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280" w:rightChars="117"/>
        <w:jc w:val="center"/>
        <w:rPr>
          <w:rFonts w:hint="eastAsia" w:ascii="宋体" w:hAnsi="宋体" w:eastAsia="宋体" w:cs="宋体"/>
          <w:b/>
          <w:bCs/>
          <w:color w:val="auto"/>
          <w:sz w:val="52"/>
          <w:szCs w:val="52"/>
        </w:rPr>
      </w:pPr>
      <w:r>
        <w:drawing>
          <wp:anchor distT="0" distB="0" distL="114300" distR="114300" simplePos="0" relativeHeight="251663360" behindDoc="0" locked="0" layoutInCell="1" allowOverlap="1">
            <wp:simplePos x="0" y="0"/>
            <wp:positionH relativeFrom="column">
              <wp:posOffset>-1012825</wp:posOffset>
            </wp:positionH>
            <wp:positionV relativeFrom="page">
              <wp:posOffset>40005</wp:posOffset>
            </wp:positionV>
            <wp:extent cx="7503795" cy="10632440"/>
            <wp:effectExtent l="0" t="0" r="1905"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7503795" cy="10632440"/>
                    </a:xfrm>
                    <a:prstGeom prst="rect">
                      <a:avLst/>
                    </a:prstGeom>
                    <a:noFill/>
                    <a:ln>
                      <a:noFill/>
                    </a:ln>
                  </pic:spPr>
                </pic:pic>
              </a:graphicData>
            </a:graphic>
          </wp:anchor>
        </w:drawing>
      </w:r>
    </w:p>
    <w:p>
      <w:pPr>
        <w:ind w:right="280" w:rightChars="117"/>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湛江经开区老旧小区改造项目</w:t>
      </w:r>
    </w:p>
    <w:p>
      <w:pPr>
        <w:ind w:right="280" w:rightChars="117"/>
        <w:jc w:val="center"/>
        <w:rPr>
          <w:rFonts w:hint="eastAsia" w:ascii="宋体" w:hAnsi="宋体" w:eastAsia="宋体" w:cs="宋体"/>
          <w:color w:val="auto"/>
          <w:sz w:val="44"/>
          <w:szCs w:val="44"/>
        </w:rPr>
      </w:pPr>
      <w:r>
        <w:rPr>
          <w:rFonts w:hint="eastAsia" w:ascii="宋体" w:hAnsi="宋体" w:eastAsia="宋体" w:cs="宋体"/>
          <w:b/>
          <w:bCs/>
          <w:color w:val="auto"/>
          <w:sz w:val="48"/>
          <w:szCs w:val="48"/>
        </w:rPr>
        <w:t>（一期一标）EPC</w:t>
      </w:r>
    </w:p>
    <w:p>
      <w:pPr>
        <w:rPr>
          <w:rFonts w:hint="eastAsia" w:ascii="宋体" w:hAnsi="宋体" w:eastAsia="宋体" w:cs="宋体"/>
          <w:color w:val="auto"/>
          <w:sz w:val="48"/>
          <w:szCs w:val="48"/>
        </w:rPr>
      </w:pPr>
    </w:p>
    <w:p>
      <w:pPr>
        <w:rPr>
          <w:rFonts w:hint="eastAsia" w:ascii="宋体" w:hAnsi="宋体" w:eastAsia="宋体" w:cs="宋体"/>
          <w:color w:val="auto"/>
          <w:sz w:val="48"/>
          <w:szCs w:val="48"/>
        </w:rPr>
      </w:pPr>
    </w:p>
    <w:p>
      <w:pPr>
        <w:pStyle w:val="2"/>
        <w:ind w:firstLine="240"/>
        <w:rPr>
          <w:rFonts w:hint="eastAsia" w:ascii="宋体" w:hAnsi="宋体" w:eastAsia="宋体" w:cs="宋体"/>
          <w:color w:val="auto"/>
        </w:rPr>
      </w:pPr>
    </w:p>
    <w:p>
      <w:pPr>
        <w:jc w:val="center"/>
        <w:rPr>
          <w:rFonts w:hint="eastAsia" w:ascii="宋体" w:hAnsi="宋体" w:eastAsia="宋体" w:cs="宋体"/>
          <w:b/>
          <w:bCs/>
          <w:color w:val="auto"/>
          <w:sz w:val="96"/>
          <w:szCs w:val="96"/>
        </w:rPr>
      </w:pPr>
    </w:p>
    <w:p>
      <w:pPr>
        <w:jc w:val="center"/>
        <w:rPr>
          <w:rFonts w:hint="eastAsia" w:ascii="宋体" w:hAnsi="宋体" w:eastAsia="宋体" w:cs="宋体"/>
          <w:b/>
          <w:bCs/>
          <w:color w:val="auto"/>
          <w:sz w:val="96"/>
          <w:szCs w:val="96"/>
        </w:rPr>
      </w:pPr>
      <w:r>
        <w:rPr>
          <w:rFonts w:hint="eastAsia" w:ascii="宋体" w:hAnsi="宋体" w:eastAsia="宋体" w:cs="宋体"/>
          <w:b/>
          <w:bCs/>
          <w:color w:val="auto"/>
          <w:sz w:val="96"/>
          <w:szCs w:val="96"/>
        </w:rPr>
        <w:t>招 标 文 件</w:t>
      </w:r>
    </w:p>
    <w:p>
      <w:pPr>
        <w:pStyle w:val="26"/>
        <w:jc w:val="center"/>
        <w:rPr>
          <w:rFonts w:hint="eastAsia" w:ascii="宋体" w:hAnsi="宋体" w:eastAsia="宋体" w:cs="宋体"/>
          <w:b/>
          <w:bCs/>
          <w:color w:val="auto"/>
          <w:sz w:val="56"/>
          <w:szCs w:val="56"/>
          <w:shd w:val="clear" w:color="auto" w:fill="FFFFFF"/>
        </w:rPr>
      </w:pPr>
      <w:r>
        <w:rPr>
          <w:rFonts w:hint="eastAsia" w:ascii="宋体" w:hAnsi="宋体" w:eastAsia="宋体" w:cs="宋体"/>
          <w:b/>
          <w:bCs/>
          <w:color w:val="auto"/>
          <w:sz w:val="56"/>
          <w:szCs w:val="56"/>
          <w:shd w:val="clear" w:color="auto" w:fill="FFFFFF"/>
        </w:rPr>
        <w:t>（公开招标）</w:t>
      </w:r>
    </w:p>
    <w:p>
      <w:pPr>
        <w:pStyle w:val="61"/>
        <w:rPr>
          <w:rFonts w:hint="eastAsia" w:ascii="宋体" w:hAnsi="宋体" w:eastAsia="宋体" w:cs="宋体"/>
          <w:color w:val="auto"/>
          <w:sz w:val="24"/>
          <w:szCs w:val="24"/>
        </w:rPr>
      </w:pPr>
    </w:p>
    <w:p>
      <w:pPr>
        <w:pStyle w:val="61"/>
        <w:rPr>
          <w:rFonts w:hint="eastAsia" w:ascii="宋体" w:hAnsi="宋体" w:eastAsia="宋体" w:cs="宋体"/>
          <w:color w:val="auto"/>
          <w:sz w:val="24"/>
          <w:szCs w:val="24"/>
        </w:rPr>
      </w:pPr>
    </w:p>
    <w:p>
      <w:pPr>
        <w:pStyle w:val="61"/>
        <w:rPr>
          <w:rFonts w:hint="eastAsia" w:ascii="宋体" w:hAnsi="宋体" w:eastAsia="宋体" w:cs="宋体"/>
          <w:color w:val="auto"/>
          <w:sz w:val="24"/>
          <w:szCs w:val="24"/>
        </w:rPr>
      </w:pPr>
    </w:p>
    <w:p>
      <w:pPr>
        <w:pStyle w:val="61"/>
        <w:spacing w:before="0" w:after="0" w:line="480" w:lineRule="auto"/>
        <w:ind w:left="1920" w:leftChars="800"/>
        <w:jc w:val="left"/>
        <w:rPr>
          <w:rFonts w:hint="eastAsia" w:ascii="宋体" w:hAnsi="宋体" w:eastAsia="宋体" w:cs="宋体"/>
          <w:color w:val="auto"/>
          <w:sz w:val="32"/>
          <w:szCs w:val="32"/>
        </w:rPr>
      </w:pPr>
      <w:r>
        <w:rPr>
          <w:rFonts w:hint="eastAsia" w:ascii="宋体" w:hAnsi="宋体" w:eastAsia="宋体" w:cs="宋体"/>
          <w:color w:val="auto"/>
          <w:sz w:val="32"/>
          <w:szCs w:val="32"/>
        </w:rPr>
        <w:t>招标人：湛江经济技术开发区城市综合管理局</w:t>
      </w:r>
    </w:p>
    <w:p>
      <w:pPr>
        <w:spacing w:line="480" w:lineRule="auto"/>
        <w:ind w:left="1920" w:leftChars="800"/>
        <w:jc w:val="left"/>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招标代理机构：</w:t>
      </w:r>
      <w:r>
        <w:rPr>
          <w:rFonts w:hint="eastAsia" w:ascii="宋体" w:hAnsi="宋体" w:eastAsia="宋体" w:cs="宋体"/>
          <w:b/>
          <w:bCs/>
          <w:color w:val="auto"/>
          <w:sz w:val="32"/>
          <w:szCs w:val="32"/>
          <w:lang w:val="zh-CN"/>
        </w:rPr>
        <w:t>广东华冠工程管理有限公司</w:t>
      </w:r>
    </w:p>
    <w:p>
      <w:pPr>
        <w:spacing w:line="480" w:lineRule="auto"/>
        <w:ind w:left="1920" w:leftChars="800"/>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编制时间：2023年4月</w:t>
      </w:r>
    </w:p>
    <w:p>
      <w:pPr>
        <w:pStyle w:val="61"/>
        <w:spacing w:before="0" w:after="0" w:line="480" w:lineRule="auto"/>
        <w:ind w:left="1920" w:leftChars="800"/>
        <w:jc w:val="center"/>
        <w:rPr>
          <w:rFonts w:hint="eastAsia" w:ascii="宋体" w:hAnsi="宋体" w:eastAsia="宋体" w:cs="宋体"/>
          <w:color w:val="auto"/>
          <w:sz w:val="32"/>
          <w:szCs w:val="32"/>
        </w:rPr>
        <w:sectPr>
          <w:footerReference r:id="rId5" w:type="default"/>
          <w:pgSz w:w="11907" w:h="16840"/>
          <w:pgMar w:top="1440" w:right="1080" w:bottom="1440" w:left="1080" w:header="851" w:footer="992" w:gutter="567"/>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textAlignment w:val="auto"/>
        <w:rPr>
          <w:rFonts w:hint="eastAsia" w:ascii="宋体" w:hAnsi="宋体" w:eastAsia="宋体" w:cs="宋体"/>
          <w:color w:val="auto"/>
          <w:sz w:val="28"/>
          <w:szCs w:val="22"/>
        </w:rPr>
      </w:pPr>
      <w:r>
        <w:rPr>
          <w:rFonts w:hint="eastAsia" w:ascii="宋体" w:hAnsi="宋体" w:eastAsia="宋体" w:cs="宋体"/>
          <w:color w:val="auto"/>
          <w:sz w:val="28"/>
          <w:szCs w:val="22"/>
        </w:rPr>
        <w:t>本项目根据《中华人民共和国招标投标法》、《中华人民共和国招标投标法实施条例》《广东省实施〈中华人民共和国招标投标法&gt;办法》、《湛江市人民政府关于印发湛江市房屋建筑和市政基础设施工程招标投标改革若干规定的通知》和湛江市建设工程招标投标程序要求，实行招标人负责制。</w:t>
      </w:r>
    </w:p>
    <w:p>
      <w:pPr>
        <w:keepNext w:val="0"/>
        <w:keepLines w:val="0"/>
        <w:pageBreakBefore w:val="0"/>
        <w:widowControl w:val="0"/>
        <w:kinsoku/>
        <w:wordWrap/>
        <w:overflowPunct/>
        <w:topLinePunct w:val="0"/>
        <w:autoSpaceDE/>
        <w:autoSpaceDN/>
        <w:bidi w:val="0"/>
        <w:adjustRightInd/>
        <w:snapToGrid/>
        <w:spacing w:line="600" w:lineRule="auto"/>
        <w:ind w:firstLine="560" w:firstLineChars="200"/>
        <w:textAlignment w:val="auto"/>
        <w:rPr>
          <w:rFonts w:hint="eastAsia" w:ascii="宋体" w:hAnsi="宋体" w:eastAsia="宋体" w:cs="宋体"/>
          <w:b/>
          <w:bCs/>
          <w:color w:val="auto"/>
          <w:sz w:val="48"/>
          <w:szCs w:val="48"/>
          <w:lang w:eastAsia="zh-CN"/>
        </w:rPr>
      </w:pPr>
      <w:r>
        <w:rPr>
          <w:rFonts w:hint="eastAsia" w:ascii="宋体" w:hAnsi="宋体" w:eastAsia="宋体" w:cs="宋体"/>
          <w:color w:val="auto"/>
          <w:sz w:val="28"/>
          <w:szCs w:val="22"/>
        </w:rPr>
        <w:t>招标人、招标代理机构在招标文件盖公章即表示“已熟知招标投标相关法律法规，承诺在本项目招标活动中严格遵守有关法律法规，本项目招标文件中条款引起的法律责任由招标人方承担”</w:t>
      </w:r>
      <w:r>
        <w:rPr>
          <w:rFonts w:hint="eastAsia" w:ascii="宋体" w:hAnsi="宋体" w:cs="宋体"/>
          <w:color w:val="auto"/>
          <w:sz w:val="28"/>
          <w:szCs w:val="22"/>
          <w:lang w:eastAsia="zh-CN"/>
        </w:rPr>
        <w:t>。</w:t>
      </w: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p>
    <w:p>
      <w:pPr>
        <w:spacing w:line="520" w:lineRule="exact"/>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目 　  录</w:t>
      </w:r>
    </w:p>
    <w:p>
      <w:pPr>
        <w:pStyle w:val="33"/>
        <w:tabs>
          <w:tab w:val="right" w:leader="dot" w:pos="9638"/>
        </w:tabs>
        <w:spacing w:line="480" w:lineRule="auto"/>
        <w:rPr>
          <w:rFonts w:hint="eastAsia" w:ascii="宋体" w:hAnsi="宋体" w:eastAsia="宋体" w:cs="宋体"/>
          <w:b/>
          <w:bCs/>
          <w:color w:val="auto"/>
          <w:sz w:val="28"/>
          <w:szCs w:val="22"/>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"_Toc32689" </w:instrText>
      </w:r>
      <w:r>
        <w:rPr>
          <w:rFonts w:hint="eastAsia" w:ascii="宋体" w:hAnsi="宋体" w:eastAsia="宋体" w:cs="宋体"/>
          <w:color w:val="auto"/>
          <w:sz w:val="28"/>
          <w:szCs w:val="22"/>
        </w:rPr>
        <w:fldChar w:fldCharType="separate"/>
      </w:r>
      <w:r>
        <w:rPr>
          <w:rFonts w:hint="eastAsia" w:ascii="宋体" w:hAnsi="宋体" w:eastAsia="宋体" w:cs="宋体"/>
          <w:b/>
          <w:bCs/>
          <w:color w:val="auto"/>
          <w:sz w:val="28"/>
          <w:szCs w:val="22"/>
        </w:rPr>
        <w:t>第一章 招标公告</w:t>
      </w:r>
      <w:r>
        <w:rPr>
          <w:rFonts w:hint="eastAsia" w:ascii="宋体" w:hAnsi="宋体" w:eastAsia="宋体" w:cs="宋体"/>
          <w:b/>
          <w:bCs/>
          <w:color w:val="auto"/>
          <w:sz w:val="28"/>
          <w:szCs w:val="22"/>
        </w:rPr>
        <w:tab/>
      </w:r>
      <w:r>
        <w:rPr>
          <w:rFonts w:hint="eastAsia" w:ascii="宋体" w:hAnsi="宋体" w:eastAsia="宋体" w:cs="宋体"/>
          <w:b/>
          <w:bCs/>
          <w:color w:val="auto"/>
          <w:sz w:val="28"/>
          <w:szCs w:val="22"/>
        </w:rPr>
        <w:fldChar w:fldCharType="begin"/>
      </w:r>
      <w:r>
        <w:rPr>
          <w:rFonts w:hint="eastAsia" w:ascii="宋体" w:hAnsi="宋体" w:eastAsia="宋体" w:cs="宋体"/>
          <w:b/>
          <w:bCs/>
          <w:color w:val="auto"/>
          <w:sz w:val="28"/>
          <w:szCs w:val="22"/>
        </w:rPr>
        <w:instrText xml:space="preserve"> PAGEREF _Toc32689 \h </w:instrText>
      </w:r>
      <w:r>
        <w:rPr>
          <w:rFonts w:hint="eastAsia" w:ascii="宋体" w:hAnsi="宋体" w:eastAsia="宋体" w:cs="宋体"/>
          <w:b/>
          <w:bCs/>
          <w:color w:val="auto"/>
          <w:sz w:val="28"/>
          <w:szCs w:val="22"/>
        </w:rPr>
        <w:fldChar w:fldCharType="separate"/>
      </w:r>
      <w:r>
        <w:rPr>
          <w:rFonts w:hint="eastAsia" w:ascii="宋体" w:hAnsi="宋体" w:eastAsia="宋体" w:cs="宋体"/>
          <w:b/>
          <w:bCs/>
          <w:color w:val="auto"/>
          <w:sz w:val="28"/>
          <w:szCs w:val="22"/>
        </w:rPr>
        <w:t>3</w:t>
      </w:r>
      <w:r>
        <w:rPr>
          <w:rFonts w:hint="eastAsia" w:ascii="宋体" w:hAnsi="宋体" w:eastAsia="宋体" w:cs="宋体"/>
          <w:b/>
          <w:bCs/>
          <w:color w:val="auto"/>
          <w:sz w:val="28"/>
          <w:szCs w:val="22"/>
        </w:rPr>
        <w:fldChar w:fldCharType="end"/>
      </w:r>
      <w:r>
        <w:rPr>
          <w:rFonts w:hint="eastAsia" w:ascii="宋体" w:hAnsi="宋体" w:eastAsia="宋体" w:cs="宋体"/>
          <w:b/>
          <w:bCs/>
          <w:color w:val="auto"/>
          <w:sz w:val="28"/>
          <w:szCs w:val="22"/>
        </w:rPr>
        <w:fldChar w:fldCharType="end"/>
      </w:r>
    </w:p>
    <w:p>
      <w:pPr>
        <w:pStyle w:val="33"/>
        <w:tabs>
          <w:tab w:val="right" w:leader="dot" w:pos="9638"/>
        </w:tabs>
        <w:spacing w:line="480" w:lineRule="auto"/>
        <w:rPr>
          <w:rFonts w:hint="eastAsia" w:ascii="宋体" w:hAnsi="宋体" w:eastAsia="宋体" w:cs="宋体"/>
          <w:b/>
          <w:bCs/>
          <w:color w:val="auto"/>
          <w:sz w:val="28"/>
          <w:szCs w:val="22"/>
        </w:rPr>
      </w:pP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"_Toc10341" </w:instrText>
      </w:r>
      <w:r>
        <w:rPr>
          <w:rFonts w:hint="eastAsia" w:ascii="宋体" w:hAnsi="宋体" w:eastAsia="宋体" w:cs="宋体"/>
          <w:color w:val="auto"/>
          <w:sz w:val="28"/>
          <w:szCs w:val="22"/>
        </w:rPr>
        <w:fldChar w:fldCharType="separate"/>
      </w:r>
      <w:r>
        <w:rPr>
          <w:rFonts w:hint="eastAsia" w:ascii="宋体" w:hAnsi="宋体" w:eastAsia="宋体" w:cs="宋体"/>
          <w:b/>
          <w:bCs/>
          <w:color w:val="auto"/>
          <w:sz w:val="28"/>
          <w:szCs w:val="22"/>
        </w:rPr>
        <w:t>第二章 投标人须知</w:t>
      </w:r>
      <w:r>
        <w:rPr>
          <w:rFonts w:hint="eastAsia" w:ascii="宋体" w:hAnsi="宋体" w:eastAsia="宋体" w:cs="宋体"/>
          <w:b/>
          <w:bCs/>
          <w:color w:val="auto"/>
          <w:sz w:val="28"/>
          <w:szCs w:val="22"/>
        </w:rPr>
        <w:tab/>
      </w:r>
      <w:r>
        <w:rPr>
          <w:rFonts w:hint="eastAsia" w:ascii="宋体" w:hAnsi="宋体" w:eastAsia="宋体" w:cs="宋体"/>
          <w:b/>
          <w:bCs/>
          <w:color w:val="auto"/>
          <w:sz w:val="28"/>
          <w:szCs w:val="22"/>
        </w:rPr>
        <w:fldChar w:fldCharType="begin"/>
      </w:r>
      <w:r>
        <w:rPr>
          <w:rFonts w:hint="eastAsia" w:ascii="宋体" w:hAnsi="宋体" w:eastAsia="宋体" w:cs="宋体"/>
          <w:b/>
          <w:bCs/>
          <w:color w:val="auto"/>
          <w:sz w:val="28"/>
          <w:szCs w:val="22"/>
        </w:rPr>
        <w:instrText xml:space="preserve"> PAGEREF _Toc10341 \h </w:instrText>
      </w:r>
      <w:r>
        <w:rPr>
          <w:rFonts w:hint="eastAsia" w:ascii="宋体" w:hAnsi="宋体" w:eastAsia="宋体" w:cs="宋体"/>
          <w:b/>
          <w:bCs/>
          <w:color w:val="auto"/>
          <w:sz w:val="28"/>
          <w:szCs w:val="22"/>
        </w:rPr>
        <w:fldChar w:fldCharType="separate"/>
      </w:r>
      <w:r>
        <w:rPr>
          <w:rFonts w:hint="eastAsia" w:ascii="宋体" w:hAnsi="宋体" w:eastAsia="宋体" w:cs="宋体"/>
          <w:b/>
          <w:bCs/>
          <w:color w:val="auto"/>
          <w:sz w:val="28"/>
          <w:szCs w:val="22"/>
        </w:rPr>
        <w:t>9</w:t>
      </w:r>
      <w:r>
        <w:rPr>
          <w:rFonts w:hint="eastAsia" w:ascii="宋体" w:hAnsi="宋体" w:eastAsia="宋体" w:cs="宋体"/>
          <w:b/>
          <w:bCs/>
          <w:color w:val="auto"/>
          <w:sz w:val="28"/>
          <w:szCs w:val="22"/>
        </w:rPr>
        <w:fldChar w:fldCharType="end"/>
      </w:r>
      <w:r>
        <w:rPr>
          <w:rFonts w:hint="eastAsia" w:ascii="宋体" w:hAnsi="宋体" w:eastAsia="宋体" w:cs="宋体"/>
          <w:b/>
          <w:bCs/>
          <w:color w:val="auto"/>
          <w:sz w:val="28"/>
          <w:szCs w:val="22"/>
        </w:rPr>
        <w:fldChar w:fldCharType="end"/>
      </w:r>
    </w:p>
    <w:p>
      <w:pPr>
        <w:pStyle w:val="33"/>
        <w:tabs>
          <w:tab w:val="right" w:leader="dot" w:pos="9638"/>
        </w:tabs>
        <w:spacing w:line="480" w:lineRule="auto"/>
        <w:rPr>
          <w:rFonts w:hint="eastAsia" w:ascii="宋体" w:hAnsi="宋体" w:eastAsia="宋体" w:cs="宋体"/>
          <w:b/>
          <w:bCs/>
          <w:color w:val="auto"/>
          <w:sz w:val="28"/>
          <w:szCs w:val="22"/>
        </w:rPr>
      </w:pP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"_Toc25948" </w:instrText>
      </w:r>
      <w:r>
        <w:rPr>
          <w:rFonts w:hint="eastAsia" w:ascii="宋体" w:hAnsi="宋体" w:eastAsia="宋体" w:cs="宋体"/>
          <w:color w:val="auto"/>
          <w:sz w:val="28"/>
          <w:szCs w:val="22"/>
        </w:rPr>
        <w:fldChar w:fldCharType="separate"/>
      </w:r>
      <w:r>
        <w:rPr>
          <w:rFonts w:hint="eastAsia" w:ascii="宋体" w:hAnsi="宋体" w:eastAsia="宋体" w:cs="宋体"/>
          <w:b/>
          <w:bCs/>
          <w:color w:val="auto"/>
          <w:sz w:val="28"/>
          <w:szCs w:val="22"/>
        </w:rPr>
        <w:t>第三章 评标办法（综合评估法）</w:t>
      </w:r>
      <w:r>
        <w:rPr>
          <w:rFonts w:hint="eastAsia" w:ascii="宋体" w:hAnsi="宋体" w:eastAsia="宋体" w:cs="宋体"/>
          <w:b/>
          <w:bCs/>
          <w:color w:val="auto"/>
          <w:sz w:val="28"/>
          <w:szCs w:val="22"/>
        </w:rPr>
        <w:tab/>
      </w:r>
      <w:r>
        <w:rPr>
          <w:rFonts w:hint="eastAsia" w:ascii="宋体" w:hAnsi="宋体" w:eastAsia="宋体" w:cs="宋体"/>
          <w:b/>
          <w:bCs/>
          <w:color w:val="auto"/>
          <w:sz w:val="28"/>
          <w:szCs w:val="22"/>
        </w:rPr>
        <w:fldChar w:fldCharType="begin"/>
      </w:r>
      <w:r>
        <w:rPr>
          <w:rFonts w:hint="eastAsia" w:ascii="宋体" w:hAnsi="宋体" w:eastAsia="宋体" w:cs="宋体"/>
          <w:b/>
          <w:bCs/>
          <w:color w:val="auto"/>
          <w:sz w:val="28"/>
          <w:szCs w:val="22"/>
        </w:rPr>
        <w:instrText xml:space="preserve"> PAGEREF _Toc25948 \h </w:instrText>
      </w:r>
      <w:r>
        <w:rPr>
          <w:rFonts w:hint="eastAsia" w:ascii="宋体" w:hAnsi="宋体" w:eastAsia="宋体" w:cs="宋体"/>
          <w:b/>
          <w:bCs/>
          <w:color w:val="auto"/>
          <w:sz w:val="28"/>
          <w:szCs w:val="22"/>
        </w:rPr>
        <w:fldChar w:fldCharType="separate"/>
      </w:r>
      <w:r>
        <w:rPr>
          <w:rFonts w:hint="eastAsia" w:ascii="宋体" w:hAnsi="宋体" w:eastAsia="宋体" w:cs="宋体"/>
          <w:b/>
          <w:bCs/>
          <w:color w:val="auto"/>
          <w:sz w:val="28"/>
          <w:szCs w:val="22"/>
        </w:rPr>
        <w:t>31</w:t>
      </w:r>
      <w:r>
        <w:rPr>
          <w:rFonts w:hint="eastAsia" w:ascii="宋体" w:hAnsi="宋体" w:eastAsia="宋体" w:cs="宋体"/>
          <w:b/>
          <w:bCs/>
          <w:color w:val="auto"/>
          <w:sz w:val="28"/>
          <w:szCs w:val="22"/>
        </w:rPr>
        <w:fldChar w:fldCharType="end"/>
      </w:r>
      <w:r>
        <w:rPr>
          <w:rFonts w:hint="eastAsia" w:ascii="宋体" w:hAnsi="宋体" w:eastAsia="宋体" w:cs="宋体"/>
          <w:b/>
          <w:bCs/>
          <w:color w:val="auto"/>
          <w:sz w:val="28"/>
          <w:szCs w:val="22"/>
        </w:rPr>
        <w:fldChar w:fldCharType="end"/>
      </w:r>
    </w:p>
    <w:p>
      <w:pPr>
        <w:pStyle w:val="33"/>
        <w:tabs>
          <w:tab w:val="right" w:leader="dot" w:pos="9638"/>
        </w:tabs>
        <w:spacing w:line="480" w:lineRule="auto"/>
        <w:rPr>
          <w:rFonts w:hint="eastAsia" w:ascii="宋体" w:hAnsi="宋体" w:eastAsia="宋体" w:cs="宋体"/>
          <w:color w:val="auto"/>
          <w:sz w:val="28"/>
          <w:szCs w:val="22"/>
        </w:rPr>
      </w:pP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"_Toc24981" </w:instrText>
      </w:r>
      <w:r>
        <w:rPr>
          <w:rFonts w:hint="eastAsia" w:ascii="宋体" w:hAnsi="宋体" w:eastAsia="宋体" w:cs="宋体"/>
          <w:color w:val="auto"/>
          <w:sz w:val="28"/>
          <w:szCs w:val="22"/>
        </w:rPr>
        <w:fldChar w:fldCharType="separate"/>
      </w:r>
      <w:r>
        <w:rPr>
          <w:rFonts w:hint="eastAsia" w:ascii="宋体" w:hAnsi="宋体" w:eastAsia="宋体" w:cs="宋体"/>
          <w:b/>
          <w:bCs/>
          <w:color w:val="auto"/>
          <w:sz w:val="28"/>
          <w:szCs w:val="22"/>
        </w:rPr>
        <w:t>第四章 合同条款及格式</w:t>
      </w:r>
      <w:r>
        <w:rPr>
          <w:rFonts w:hint="eastAsia" w:ascii="宋体" w:hAnsi="宋体" w:eastAsia="宋体" w:cs="宋体"/>
          <w:b/>
          <w:bCs/>
          <w:color w:val="auto"/>
          <w:sz w:val="28"/>
          <w:szCs w:val="22"/>
        </w:rPr>
        <w:tab/>
      </w:r>
      <w:r>
        <w:rPr>
          <w:rFonts w:hint="eastAsia" w:ascii="宋体" w:hAnsi="宋体" w:eastAsia="宋体" w:cs="宋体"/>
          <w:b/>
          <w:bCs/>
          <w:color w:val="auto"/>
          <w:sz w:val="28"/>
          <w:szCs w:val="22"/>
        </w:rPr>
        <w:fldChar w:fldCharType="begin"/>
      </w:r>
      <w:r>
        <w:rPr>
          <w:rFonts w:hint="eastAsia" w:ascii="宋体" w:hAnsi="宋体" w:eastAsia="宋体" w:cs="宋体"/>
          <w:b/>
          <w:bCs/>
          <w:color w:val="auto"/>
          <w:sz w:val="28"/>
          <w:szCs w:val="22"/>
        </w:rPr>
        <w:instrText xml:space="preserve"> PAGEREF _Toc24981 \h </w:instrText>
      </w:r>
      <w:r>
        <w:rPr>
          <w:rFonts w:hint="eastAsia" w:ascii="宋体" w:hAnsi="宋体" w:eastAsia="宋体" w:cs="宋体"/>
          <w:b/>
          <w:bCs/>
          <w:color w:val="auto"/>
          <w:sz w:val="28"/>
          <w:szCs w:val="22"/>
        </w:rPr>
        <w:fldChar w:fldCharType="separate"/>
      </w:r>
      <w:r>
        <w:rPr>
          <w:rFonts w:hint="eastAsia" w:ascii="宋体" w:hAnsi="宋体" w:eastAsia="宋体" w:cs="宋体"/>
          <w:b/>
          <w:bCs/>
          <w:color w:val="auto"/>
          <w:sz w:val="28"/>
          <w:szCs w:val="22"/>
        </w:rPr>
        <w:t>42</w:t>
      </w:r>
      <w:r>
        <w:rPr>
          <w:rFonts w:hint="eastAsia" w:ascii="宋体" w:hAnsi="宋体" w:eastAsia="宋体" w:cs="宋体"/>
          <w:b/>
          <w:bCs/>
          <w:color w:val="auto"/>
          <w:sz w:val="28"/>
          <w:szCs w:val="22"/>
        </w:rPr>
        <w:fldChar w:fldCharType="end"/>
      </w:r>
      <w:r>
        <w:rPr>
          <w:rFonts w:hint="eastAsia" w:ascii="宋体" w:hAnsi="宋体" w:eastAsia="宋体" w:cs="宋体"/>
          <w:b/>
          <w:bCs/>
          <w:color w:val="auto"/>
          <w:sz w:val="28"/>
          <w:szCs w:val="22"/>
        </w:rPr>
        <w:fldChar w:fldCharType="end"/>
      </w:r>
    </w:p>
    <w:p>
      <w:pPr>
        <w:pStyle w:val="39"/>
        <w:tabs>
          <w:tab w:val="right" w:leader="dot" w:pos="9638"/>
        </w:tabs>
        <w:spacing w:line="480" w:lineRule="auto"/>
        <w:ind w:left="480"/>
        <w:rPr>
          <w:rFonts w:hint="eastAsia" w:ascii="宋体" w:hAnsi="宋体" w:eastAsia="宋体" w:cs="宋体"/>
          <w:color w:val="auto"/>
          <w:sz w:val="28"/>
          <w:szCs w:val="22"/>
        </w:rPr>
      </w:pP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"_Toc199" </w:instrText>
      </w:r>
      <w:r>
        <w:rPr>
          <w:rFonts w:hint="eastAsia" w:ascii="宋体" w:hAnsi="宋体" w:eastAsia="宋体" w:cs="宋体"/>
          <w:color w:val="auto"/>
          <w:sz w:val="28"/>
          <w:szCs w:val="22"/>
        </w:rPr>
        <w:fldChar w:fldCharType="separate"/>
      </w:r>
      <w:r>
        <w:rPr>
          <w:rFonts w:hint="eastAsia" w:ascii="宋体" w:hAnsi="宋体" w:eastAsia="宋体" w:cs="宋体"/>
          <w:color w:val="auto"/>
          <w:sz w:val="28"/>
          <w:szCs w:val="22"/>
        </w:rPr>
        <w:t>第一部分 合同协议书</w:t>
      </w:r>
      <w:r>
        <w:rPr>
          <w:rFonts w:hint="eastAsia" w:ascii="宋体" w:hAnsi="宋体" w:eastAsia="宋体" w:cs="宋体"/>
          <w:color w:val="auto"/>
          <w:sz w:val="28"/>
          <w:szCs w:val="22"/>
        </w:rPr>
        <w:tab/>
      </w: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PAGEREF _Toc199 \h </w:instrText>
      </w:r>
      <w:r>
        <w:rPr>
          <w:rFonts w:hint="eastAsia" w:ascii="宋体" w:hAnsi="宋体" w:eastAsia="宋体" w:cs="宋体"/>
          <w:color w:val="auto"/>
          <w:sz w:val="28"/>
          <w:szCs w:val="22"/>
        </w:rPr>
        <w:fldChar w:fldCharType="separate"/>
      </w:r>
      <w:r>
        <w:rPr>
          <w:rFonts w:hint="eastAsia" w:ascii="宋体" w:hAnsi="宋体" w:eastAsia="宋体" w:cs="宋体"/>
          <w:color w:val="auto"/>
          <w:sz w:val="28"/>
          <w:szCs w:val="22"/>
        </w:rPr>
        <w:t>43</w:t>
      </w:r>
      <w:r>
        <w:rPr>
          <w:rFonts w:hint="eastAsia" w:ascii="宋体" w:hAnsi="宋体" w:eastAsia="宋体" w:cs="宋体"/>
          <w:color w:val="auto"/>
          <w:sz w:val="28"/>
          <w:szCs w:val="22"/>
        </w:rPr>
        <w:fldChar w:fldCharType="end"/>
      </w:r>
      <w:r>
        <w:rPr>
          <w:rFonts w:hint="eastAsia" w:ascii="宋体" w:hAnsi="宋体" w:eastAsia="宋体" w:cs="宋体"/>
          <w:color w:val="auto"/>
          <w:sz w:val="28"/>
          <w:szCs w:val="22"/>
        </w:rPr>
        <w:fldChar w:fldCharType="end"/>
      </w:r>
    </w:p>
    <w:p>
      <w:pPr>
        <w:pStyle w:val="39"/>
        <w:tabs>
          <w:tab w:val="right" w:leader="dot" w:pos="9638"/>
        </w:tabs>
        <w:spacing w:line="480" w:lineRule="auto"/>
        <w:ind w:left="480"/>
        <w:rPr>
          <w:rFonts w:hint="eastAsia" w:ascii="宋体" w:hAnsi="宋体" w:eastAsia="宋体" w:cs="宋体"/>
          <w:color w:val="auto"/>
          <w:sz w:val="28"/>
          <w:szCs w:val="22"/>
        </w:rPr>
      </w:pP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"_Toc3323" </w:instrText>
      </w:r>
      <w:r>
        <w:rPr>
          <w:rFonts w:hint="eastAsia" w:ascii="宋体" w:hAnsi="宋体" w:eastAsia="宋体" w:cs="宋体"/>
          <w:color w:val="auto"/>
          <w:sz w:val="28"/>
          <w:szCs w:val="22"/>
        </w:rPr>
        <w:fldChar w:fldCharType="separate"/>
      </w:r>
      <w:r>
        <w:rPr>
          <w:rFonts w:hint="eastAsia" w:ascii="宋体" w:hAnsi="宋体" w:eastAsia="宋体" w:cs="宋体"/>
          <w:color w:val="auto"/>
          <w:sz w:val="28"/>
          <w:szCs w:val="22"/>
        </w:rPr>
        <w:t>第二部分 通用合同条件</w:t>
      </w:r>
      <w:r>
        <w:rPr>
          <w:rFonts w:hint="eastAsia" w:ascii="宋体" w:hAnsi="宋体" w:eastAsia="宋体" w:cs="宋体"/>
          <w:color w:val="auto"/>
          <w:sz w:val="28"/>
          <w:szCs w:val="22"/>
        </w:rPr>
        <w:tab/>
      </w: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PAGEREF _Toc3323 \h </w:instrText>
      </w:r>
      <w:r>
        <w:rPr>
          <w:rFonts w:hint="eastAsia" w:ascii="宋体" w:hAnsi="宋体" w:eastAsia="宋体" w:cs="宋体"/>
          <w:color w:val="auto"/>
          <w:sz w:val="28"/>
          <w:szCs w:val="22"/>
        </w:rPr>
        <w:fldChar w:fldCharType="separate"/>
      </w:r>
      <w:r>
        <w:rPr>
          <w:rFonts w:hint="eastAsia" w:ascii="宋体" w:hAnsi="宋体" w:eastAsia="宋体" w:cs="宋体"/>
          <w:color w:val="auto"/>
          <w:sz w:val="28"/>
          <w:szCs w:val="22"/>
        </w:rPr>
        <w:t>43</w:t>
      </w:r>
      <w:r>
        <w:rPr>
          <w:rFonts w:hint="eastAsia" w:ascii="宋体" w:hAnsi="宋体" w:eastAsia="宋体" w:cs="宋体"/>
          <w:color w:val="auto"/>
          <w:sz w:val="28"/>
          <w:szCs w:val="22"/>
        </w:rPr>
        <w:fldChar w:fldCharType="end"/>
      </w:r>
      <w:r>
        <w:rPr>
          <w:rFonts w:hint="eastAsia" w:ascii="宋体" w:hAnsi="宋体" w:eastAsia="宋体" w:cs="宋体"/>
          <w:color w:val="auto"/>
          <w:sz w:val="28"/>
          <w:szCs w:val="22"/>
        </w:rPr>
        <w:fldChar w:fldCharType="end"/>
      </w:r>
    </w:p>
    <w:p>
      <w:pPr>
        <w:pStyle w:val="39"/>
        <w:tabs>
          <w:tab w:val="right" w:leader="dot" w:pos="9638"/>
        </w:tabs>
        <w:spacing w:line="480" w:lineRule="auto"/>
        <w:ind w:left="480"/>
        <w:rPr>
          <w:rFonts w:hint="eastAsia" w:ascii="宋体" w:hAnsi="宋体" w:eastAsia="宋体" w:cs="宋体"/>
          <w:color w:val="auto"/>
          <w:sz w:val="28"/>
          <w:szCs w:val="22"/>
        </w:rPr>
      </w:pP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"_Toc4531" </w:instrText>
      </w:r>
      <w:r>
        <w:rPr>
          <w:rFonts w:hint="eastAsia" w:ascii="宋体" w:hAnsi="宋体" w:eastAsia="宋体" w:cs="宋体"/>
          <w:color w:val="auto"/>
          <w:sz w:val="28"/>
          <w:szCs w:val="22"/>
        </w:rPr>
        <w:fldChar w:fldCharType="separate"/>
      </w:r>
      <w:r>
        <w:rPr>
          <w:rFonts w:hint="eastAsia" w:ascii="宋体" w:hAnsi="宋体" w:eastAsia="宋体" w:cs="宋体"/>
          <w:color w:val="auto"/>
          <w:sz w:val="28"/>
          <w:szCs w:val="22"/>
        </w:rPr>
        <w:t>第三部分 专用合同条件</w:t>
      </w:r>
      <w:r>
        <w:rPr>
          <w:rFonts w:hint="eastAsia" w:ascii="宋体" w:hAnsi="宋体" w:eastAsia="宋体" w:cs="宋体"/>
          <w:color w:val="auto"/>
          <w:sz w:val="28"/>
          <w:szCs w:val="22"/>
        </w:rPr>
        <w:tab/>
      </w: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PAGEREF _Toc4531 \h </w:instrText>
      </w:r>
      <w:r>
        <w:rPr>
          <w:rFonts w:hint="eastAsia" w:ascii="宋体" w:hAnsi="宋体" w:eastAsia="宋体" w:cs="宋体"/>
          <w:color w:val="auto"/>
          <w:sz w:val="28"/>
          <w:szCs w:val="22"/>
        </w:rPr>
        <w:fldChar w:fldCharType="separate"/>
      </w:r>
      <w:r>
        <w:rPr>
          <w:rFonts w:hint="eastAsia" w:ascii="宋体" w:hAnsi="宋体" w:eastAsia="宋体" w:cs="宋体"/>
          <w:color w:val="auto"/>
          <w:sz w:val="28"/>
          <w:szCs w:val="22"/>
        </w:rPr>
        <w:t>118</w:t>
      </w:r>
      <w:r>
        <w:rPr>
          <w:rFonts w:hint="eastAsia" w:ascii="宋体" w:hAnsi="宋体" w:eastAsia="宋体" w:cs="宋体"/>
          <w:color w:val="auto"/>
          <w:sz w:val="28"/>
          <w:szCs w:val="22"/>
        </w:rPr>
        <w:fldChar w:fldCharType="end"/>
      </w:r>
      <w:r>
        <w:rPr>
          <w:rFonts w:hint="eastAsia" w:ascii="宋体" w:hAnsi="宋体" w:eastAsia="宋体" w:cs="宋体"/>
          <w:color w:val="auto"/>
          <w:sz w:val="28"/>
          <w:szCs w:val="22"/>
        </w:rPr>
        <w:fldChar w:fldCharType="end"/>
      </w:r>
    </w:p>
    <w:p>
      <w:pPr>
        <w:pStyle w:val="33"/>
        <w:tabs>
          <w:tab w:val="right" w:leader="dot" w:pos="9638"/>
        </w:tabs>
        <w:spacing w:line="480" w:lineRule="auto"/>
        <w:rPr>
          <w:rFonts w:hint="eastAsia" w:ascii="宋体" w:hAnsi="宋体" w:eastAsia="宋体" w:cs="宋体"/>
          <w:b/>
          <w:bCs/>
          <w:color w:val="auto"/>
          <w:sz w:val="28"/>
          <w:szCs w:val="22"/>
        </w:rPr>
      </w:pP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"_Toc26134" </w:instrText>
      </w:r>
      <w:r>
        <w:rPr>
          <w:rFonts w:hint="eastAsia" w:ascii="宋体" w:hAnsi="宋体" w:eastAsia="宋体" w:cs="宋体"/>
          <w:color w:val="auto"/>
          <w:sz w:val="28"/>
          <w:szCs w:val="22"/>
        </w:rPr>
        <w:fldChar w:fldCharType="separate"/>
      </w:r>
      <w:r>
        <w:rPr>
          <w:rFonts w:hint="eastAsia" w:ascii="宋体" w:hAnsi="宋体" w:eastAsia="宋体" w:cs="宋体"/>
          <w:b/>
          <w:bCs/>
          <w:color w:val="auto"/>
          <w:sz w:val="28"/>
          <w:szCs w:val="22"/>
        </w:rPr>
        <w:t>第五章  发包人提供的资料和条件</w:t>
      </w:r>
      <w:r>
        <w:rPr>
          <w:rFonts w:hint="eastAsia" w:ascii="宋体" w:hAnsi="宋体" w:eastAsia="宋体" w:cs="宋体"/>
          <w:b/>
          <w:bCs/>
          <w:color w:val="auto"/>
          <w:sz w:val="28"/>
          <w:szCs w:val="22"/>
        </w:rPr>
        <w:tab/>
      </w:r>
      <w:r>
        <w:rPr>
          <w:rFonts w:hint="eastAsia" w:ascii="宋体" w:hAnsi="宋体" w:eastAsia="宋体" w:cs="宋体"/>
          <w:b/>
          <w:bCs/>
          <w:color w:val="auto"/>
          <w:sz w:val="28"/>
          <w:szCs w:val="22"/>
        </w:rPr>
        <w:fldChar w:fldCharType="begin"/>
      </w:r>
      <w:r>
        <w:rPr>
          <w:rFonts w:hint="eastAsia" w:ascii="宋体" w:hAnsi="宋体" w:eastAsia="宋体" w:cs="宋体"/>
          <w:b/>
          <w:bCs/>
          <w:color w:val="auto"/>
          <w:sz w:val="28"/>
          <w:szCs w:val="22"/>
        </w:rPr>
        <w:instrText xml:space="preserve"> PAGEREF _Toc26134 \h </w:instrText>
      </w:r>
      <w:r>
        <w:rPr>
          <w:rFonts w:hint="eastAsia" w:ascii="宋体" w:hAnsi="宋体" w:eastAsia="宋体" w:cs="宋体"/>
          <w:b/>
          <w:bCs/>
          <w:color w:val="auto"/>
          <w:sz w:val="28"/>
          <w:szCs w:val="22"/>
        </w:rPr>
        <w:fldChar w:fldCharType="separate"/>
      </w:r>
      <w:r>
        <w:rPr>
          <w:rFonts w:hint="eastAsia" w:ascii="宋体" w:hAnsi="宋体" w:eastAsia="宋体" w:cs="宋体"/>
          <w:b/>
          <w:bCs/>
          <w:color w:val="auto"/>
          <w:sz w:val="28"/>
          <w:szCs w:val="22"/>
        </w:rPr>
        <w:t>185</w:t>
      </w:r>
      <w:r>
        <w:rPr>
          <w:rFonts w:hint="eastAsia" w:ascii="宋体" w:hAnsi="宋体" w:eastAsia="宋体" w:cs="宋体"/>
          <w:b/>
          <w:bCs/>
          <w:color w:val="auto"/>
          <w:sz w:val="28"/>
          <w:szCs w:val="22"/>
        </w:rPr>
        <w:fldChar w:fldCharType="end"/>
      </w:r>
      <w:r>
        <w:rPr>
          <w:rFonts w:hint="eastAsia" w:ascii="宋体" w:hAnsi="宋体" w:eastAsia="宋体" w:cs="宋体"/>
          <w:b/>
          <w:bCs/>
          <w:color w:val="auto"/>
          <w:sz w:val="28"/>
          <w:szCs w:val="22"/>
        </w:rPr>
        <w:fldChar w:fldCharType="end"/>
      </w:r>
    </w:p>
    <w:p>
      <w:pPr>
        <w:pStyle w:val="33"/>
        <w:tabs>
          <w:tab w:val="right" w:leader="dot" w:pos="9638"/>
        </w:tabs>
        <w:spacing w:line="480" w:lineRule="auto"/>
        <w:rPr>
          <w:rFonts w:hint="eastAsia" w:ascii="宋体" w:hAnsi="宋体" w:eastAsia="宋体" w:cs="宋体"/>
          <w:color w:val="auto"/>
        </w:rPr>
      </w:pPr>
      <w:r>
        <w:rPr>
          <w:rFonts w:hint="eastAsia" w:ascii="宋体" w:hAnsi="宋体" w:eastAsia="宋体" w:cs="宋体"/>
          <w:color w:val="auto"/>
          <w:sz w:val="28"/>
          <w:szCs w:val="22"/>
        </w:rPr>
        <w:fldChar w:fldCharType="begin"/>
      </w:r>
      <w:r>
        <w:rPr>
          <w:rFonts w:hint="eastAsia" w:ascii="宋体" w:hAnsi="宋体" w:eastAsia="宋体" w:cs="宋体"/>
          <w:color w:val="auto"/>
          <w:sz w:val="28"/>
          <w:szCs w:val="22"/>
        </w:rPr>
        <w:instrText xml:space="preserve"> HYPERLINK \l "_Toc10385" </w:instrText>
      </w:r>
      <w:r>
        <w:rPr>
          <w:rFonts w:hint="eastAsia" w:ascii="宋体" w:hAnsi="宋体" w:eastAsia="宋体" w:cs="宋体"/>
          <w:color w:val="auto"/>
          <w:sz w:val="28"/>
          <w:szCs w:val="22"/>
        </w:rPr>
        <w:fldChar w:fldCharType="separate"/>
      </w:r>
      <w:r>
        <w:rPr>
          <w:rFonts w:hint="eastAsia" w:ascii="宋体" w:hAnsi="宋体" w:eastAsia="宋体" w:cs="宋体"/>
          <w:b/>
          <w:bCs/>
          <w:color w:val="auto"/>
          <w:sz w:val="28"/>
          <w:szCs w:val="22"/>
        </w:rPr>
        <w:t>第六章  投标文件格式</w:t>
      </w:r>
      <w:r>
        <w:rPr>
          <w:rFonts w:hint="eastAsia" w:ascii="宋体" w:hAnsi="宋体" w:eastAsia="宋体" w:cs="宋体"/>
          <w:b/>
          <w:bCs/>
          <w:color w:val="auto"/>
          <w:sz w:val="28"/>
          <w:szCs w:val="22"/>
        </w:rPr>
        <w:tab/>
      </w:r>
      <w:r>
        <w:rPr>
          <w:rFonts w:hint="eastAsia" w:ascii="宋体" w:hAnsi="宋体" w:eastAsia="宋体" w:cs="宋体"/>
          <w:b/>
          <w:bCs/>
          <w:color w:val="auto"/>
          <w:sz w:val="28"/>
          <w:szCs w:val="22"/>
        </w:rPr>
        <w:fldChar w:fldCharType="begin"/>
      </w:r>
      <w:r>
        <w:rPr>
          <w:rFonts w:hint="eastAsia" w:ascii="宋体" w:hAnsi="宋体" w:eastAsia="宋体" w:cs="宋体"/>
          <w:b/>
          <w:bCs/>
          <w:color w:val="auto"/>
          <w:sz w:val="28"/>
          <w:szCs w:val="22"/>
        </w:rPr>
        <w:instrText xml:space="preserve"> PAGEREF _Toc10385 \h </w:instrText>
      </w:r>
      <w:r>
        <w:rPr>
          <w:rFonts w:hint="eastAsia" w:ascii="宋体" w:hAnsi="宋体" w:eastAsia="宋体" w:cs="宋体"/>
          <w:b/>
          <w:bCs/>
          <w:color w:val="auto"/>
          <w:sz w:val="28"/>
          <w:szCs w:val="22"/>
        </w:rPr>
        <w:fldChar w:fldCharType="separate"/>
      </w:r>
      <w:r>
        <w:rPr>
          <w:rFonts w:hint="eastAsia" w:ascii="宋体" w:hAnsi="宋体" w:eastAsia="宋体" w:cs="宋体"/>
          <w:b/>
          <w:bCs/>
          <w:color w:val="auto"/>
          <w:sz w:val="28"/>
          <w:szCs w:val="22"/>
        </w:rPr>
        <w:t>186</w:t>
      </w:r>
      <w:r>
        <w:rPr>
          <w:rFonts w:hint="eastAsia" w:ascii="宋体" w:hAnsi="宋体" w:eastAsia="宋体" w:cs="宋体"/>
          <w:b/>
          <w:bCs/>
          <w:color w:val="auto"/>
          <w:sz w:val="28"/>
          <w:szCs w:val="22"/>
        </w:rPr>
        <w:fldChar w:fldCharType="end"/>
      </w:r>
      <w:r>
        <w:rPr>
          <w:rFonts w:hint="eastAsia" w:ascii="宋体" w:hAnsi="宋体" w:eastAsia="宋体" w:cs="宋体"/>
          <w:b/>
          <w:bCs/>
          <w:color w:val="auto"/>
          <w:sz w:val="28"/>
          <w:szCs w:val="22"/>
        </w:rPr>
        <w:fldChar w:fldCharType="end"/>
      </w:r>
    </w:p>
    <w:p>
      <w:pPr>
        <w:spacing w:line="440" w:lineRule="exact"/>
        <w:rPr>
          <w:rFonts w:hint="eastAsia" w:ascii="宋体" w:hAnsi="宋体" w:eastAsia="宋体" w:cs="宋体"/>
          <w:b/>
          <w:bCs/>
          <w:color w:val="auto"/>
          <w:sz w:val="44"/>
          <w:szCs w:val="44"/>
        </w:rPr>
        <w:sectPr>
          <w:footerReference r:id="rId6" w:type="default"/>
          <w:pgSz w:w="11907" w:h="16840"/>
          <w:pgMar w:top="1418" w:right="851" w:bottom="1418" w:left="851" w:header="851" w:footer="992" w:gutter="567"/>
          <w:pgNumType w:fmt="decimal" w:start="1"/>
          <w:cols w:space="720" w:num="1"/>
          <w:docGrid w:type="linesAndChars" w:linePitch="312" w:charSpace="0"/>
        </w:sectPr>
      </w:pPr>
      <w:r>
        <w:rPr>
          <w:rFonts w:hint="eastAsia" w:ascii="宋体" w:hAnsi="宋体" w:eastAsia="宋体" w:cs="宋体"/>
          <w:color w:val="auto"/>
          <w:szCs w:val="28"/>
        </w:rPr>
        <w:fldChar w:fldCharType="end"/>
      </w:r>
    </w:p>
    <w:p>
      <w:pPr>
        <w:pStyle w:val="5"/>
        <w:rPr>
          <w:rFonts w:hint="eastAsia" w:ascii="宋体" w:hAnsi="宋体" w:eastAsia="宋体" w:cs="宋体"/>
          <w:b/>
          <w:bCs/>
          <w:color w:val="auto"/>
        </w:rPr>
      </w:pPr>
      <w:bookmarkStart w:id="0" w:name="_Toc55983903"/>
      <w:bookmarkStart w:id="1" w:name="_Toc32689"/>
      <w:bookmarkStart w:id="2" w:name="_Toc72504987"/>
      <w:bookmarkStart w:id="3" w:name="_Toc55983916"/>
      <w:bookmarkStart w:id="4" w:name="_Toc438028549"/>
      <w:r>
        <w:rPr>
          <w:rFonts w:hint="eastAsia" w:ascii="宋体" w:hAnsi="宋体" w:eastAsia="宋体" w:cs="宋体"/>
          <w:b/>
          <w:bCs/>
          <w:color w:val="auto"/>
        </w:rPr>
        <w:t>第一章 招标公告</w:t>
      </w:r>
      <w:bookmarkEnd w:id="0"/>
      <w:bookmarkEnd w:id="1"/>
    </w:p>
    <w:p>
      <w:pPr>
        <w:jc w:val="center"/>
        <w:rPr>
          <w:rFonts w:hint="eastAsia" w:ascii="宋体" w:hAnsi="宋体" w:eastAsia="宋体" w:cs="宋体"/>
          <w:color w:val="auto"/>
        </w:rPr>
      </w:pPr>
      <w:r>
        <w:rPr>
          <w:rFonts w:hint="eastAsia" w:ascii="宋体" w:hAnsi="宋体" w:eastAsia="宋体" w:cs="宋体"/>
          <w:b/>
          <w:bCs/>
          <w:color w:val="auto"/>
          <w:u w:val="single"/>
        </w:rPr>
        <w:t>湛江经开区老旧小区改造项目（一期一标）EPC</w:t>
      </w:r>
      <w:r>
        <w:rPr>
          <w:rFonts w:hint="eastAsia" w:ascii="宋体" w:hAnsi="宋体" w:eastAsia="宋体" w:cs="宋体"/>
          <w:b/>
          <w:bCs/>
          <w:color w:val="auto"/>
        </w:rPr>
        <w:t>招标公告</w:t>
      </w:r>
    </w:p>
    <w:p>
      <w:pPr>
        <w:spacing w:line="490" w:lineRule="exact"/>
        <w:rPr>
          <w:rFonts w:hint="eastAsia" w:ascii="宋体" w:hAnsi="宋体" w:eastAsia="宋体" w:cs="宋体"/>
          <w:b/>
          <w:bCs/>
          <w:color w:val="auto"/>
          <w:szCs w:val="24"/>
        </w:rPr>
      </w:pPr>
      <w:r>
        <w:rPr>
          <w:rFonts w:hint="eastAsia" w:ascii="宋体" w:hAnsi="宋体" w:eastAsia="宋体" w:cs="宋体"/>
          <w:b/>
          <w:bCs/>
          <w:color w:val="auto"/>
          <w:szCs w:val="24"/>
        </w:rPr>
        <w:t>1.招标条件：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本招标项目</w:t>
      </w:r>
      <w:r>
        <w:rPr>
          <w:rFonts w:hint="eastAsia" w:ascii="宋体" w:hAnsi="宋体" w:eastAsia="宋体" w:cs="宋体"/>
          <w:b/>
          <w:bCs/>
          <w:color w:val="auto"/>
          <w:szCs w:val="24"/>
          <w:u w:val="single"/>
        </w:rPr>
        <w:t>湛江经开区老旧小区改造项目（一期一标）EPC</w:t>
      </w:r>
      <w:r>
        <w:rPr>
          <w:rFonts w:hint="eastAsia" w:ascii="宋体" w:hAnsi="宋体" w:eastAsia="宋体" w:cs="宋体"/>
          <w:color w:val="auto"/>
          <w:szCs w:val="24"/>
        </w:rPr>
        <w:t>已由</w:t>
      </w:r>
      <w:r>
        <w:rPr>
          <w:rFonts w:hint="eastAsia" w:ascii="宋体" w:hAnsi="宋体" w:eastAsia="宋体" w:cs="宋体"/>
          <w:b/>
          <w:bCs/>
          <w:color w:val="auto"/>
          <w:szCs w:val="24"/>
          <w:u w:val="single"/>
        </w:rPr>
        <w:t>湛江经济技术开发区发展改革和招商局</w:t>
      </w:r>
      <w:r>
        <w:rPr>
          <w:rFonts w:hint="eastAsia" w:ascii="宋体" w:hAnsi="宋体" w:eastAsia="宋体" w:cs="宋体"/>
          <w:color w:val="auto"/>
          <w:szCs w:val="24"/>
        </w:rPr>
        <w:t>以</w:t>
      </w:r>
      <w:r>
        <w:rPr>
          <w:rFonts w:hint="eastAsia" w:ascii="宋体" w:hAnsi="宋体" w:eastAsia="宋体" w:cs="宋体"/>
          <w:b/>
          <w:bCs/>
          <w:color w:val="auto"/>
          <w:szCs w:val="24"/>
          <w:u w:val="single"/>
        </w:rPr>
        <w:t>湛开发招投审〔2022〕46号</w:t>
      </w:r>
      <w:r>
        <w:rPr>
          <w:rFonts w:hint="eastAsia" w:ascii="宋体" w:hAnsi="宋体" w:eastAsia="宋体" w:cs="宋体"/>
          <w:color w:val="auto"/>
          <w:szCs w:val="24"/>
        </w:rPr>
        <w:t>批准建设，</w:t>
      </w:r>
      <w:r>
        <w:rPr>
          <w:rFonts w:hint="eastAsia" w:ascii="宋体" w:hAnsi="宋体" w:eastAsia="宋体" w:cs="宋体"/>
          <w:color w:val="auto"/>
          <w:spacing w:val="-4"/>
          <w:szCs w:val="22"/>
          <w:lang w:val="zh-CN" w:bidi="zh-CN"/>
        </w:rPr>
        <w:t>项目代码为</w:t>
      </w:r>
      <w:r>
        <w:rPr>
          <w:rFonts w:hint="eastAsia" w:ascii="宋体" w:hAnsi="宋体" w:eastAsia="宋体" w:cs="宋体"/>
          <w:b/>
          <w:bCs/>
          <w:color w:val="auto"/>
          <w:szCs w:val="24"/>
          <w:u w:val="single"/>
          <w:lang w:val="zh-CN"/>
        </w:rPr>
        <w:t>2209-440800-04-01-419184</w:t>
      </w:r>
      <w:r>
        <w:rPr>
          <w:rFonts w:hint="eastAsia" w:ascii="宋体" w:hAnsi="宋体" w:eastAsia="宋体" w:cs="宋体"/>
          <w:color w:val="auto"/>
          <w:spacing w:val="-19"/>
          <w:u w:val="single"/>
        </w:rPr>
        <w:t xml:space="preserve"> ,</w:t>
      </w:r>
      <w:r>
        <w:rPr>
          <w:rFonts w:hint="eastAsia" w:ascii="宋体" w:hAnsi="宋体" w:eastAsia="宋体" w:cs="宋体"/>
          <w:color w:val="auto"/>
          <w:szCs w:val="24"/>
        </w:rPr>
        <w:t>建设资金来自</w:t>
      </w:r>
      <w:r>
        <w:rPr>
          <w:rFonts w:hint="eastAsia" w:ascii="宋体" w:hAnsi="宋体" w:eastAsia="宋体" w:cs="宋体"/>
          <w:b/>
          <w:bCs/>
          <w:color w:val="auto"/>
          <w:szCs w:val="24"/>
          <w:u w:val="single"/>
          <w:lang w:val="zh-CN"/>
        </w:rPr>
        <w:t>地方政府专项债券，不足部分由财政统筹解决</w:t>
      </w:r>
      <w:r>
        <w:rPr>
          <w:rFonts w:hint="eastAsia" w:ascii="宋体" w:hAnsi="宋体" w:eastAsia="宋体" w:cs="宋体"/>
          <w:b/>
          <w:bCs/>
          <w:color w:val="auto"/>
          <w:szCs w:val="24"/>
          <w:u w:val="single"/>
        </w:rPr>
        <w:t>，不足部分由县财政统筹解决</w:t>
      </w:r>
      <w:r>
        <w:rPr>
          <w:rFonts w:hint="eastAsia" w:ascii="宋体" w:hAnsi="宋体" w:eastAsia="宋体" w:cs="宋体"/>
          <w:color w:val="auto"/>
          <w:szCs w:val="24"/>
        </w:rPr>
        <w:t>，招标人为</w:t>
      </w:r>
      <w:r>
        <w:rPr>
          <w:rFonts w:hint="eastAsia" w:ascii="宋体" w:hAnsi="宋体" w:eastAsia="宋体" w:cs="宋体"/>
          <w:b/>
          <w:bCs/>
          <w:color w:val="auto"/>
          <w:szCs w:val="24"/>
          <w:u w:val="single"/>
        </w:rPr>
        <w:t>湛江经济技术开发区城市综合管理局</w:t>
      </w:r>
      <w:r>
        <w:rPr>
          <w:rFonts w:hint="eastAsia" w:ascii="宋体" w:hAnsi="宋体" w:eastAsia="宋体" w:cs="宋体"/>
          <w:color w:val="auto"/>
          <w:szCs w:val="24"/>
        </w:rPr>
        <w:t>，招标代理机构为</w:t>
      </w:r>
      <w:r>
        <w:rPr>
          <w:rFonts w:hint="eastAsia" w:ascii="宋体" w:hAnsi="宋体" w:eastAsia="宋体" w:cs="宋体"/>
          <w:b/>
          <w:bCs/>
          <w:color w:val="auto"/>
          <w:szCs w:val="24"/>
          <w:u w:val="single"/>
        </w:rPr>
        <w:t>广东华冠工程管理有限公司</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。项目已具备招标条件，现对该项目</w:t>
      </w:r>
      <w:r>
        <w:rPr>
          <w:rFonts w:hint="eastAsia" w:ascii="宋体" w:hAnsi="宋体" w:eastAsia="宋体" w:cs="宋体"/>
          <w:b/>
          <w:bCs/>
          <w:color w:val="auto"/>
          <w:szCs w:val="24"/>
          <w:u w:val="single"/>
        </w:rPr>
        <w:t xml:space="preserve"> EPC</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进行公开招标。</w:t>
      </w:r>
    </w:p>
    <w:p>
      <w:pPr>
        <w:rPr>
          <w:rFonts w:hint="eastAsia" w:ascii="宋体" w:hAnsi="宋体" w:eastAsia="宋体" w:cs="宋体"/>
          <w:b/>
          <w:bCs/>
          <w:color w:val="auto"/>
          <w:szCs w:val="24"/>
        </w:rPr>
      </w:pPr>
      <w:r>
        <w:rPr>
          <w:rFonts w:hint="eastAsia" w:ascii="宋体" w:hAnsi="宋体" w:eastAsia="宋体" w:cs="宋体"/>
          <w:b/>
          <w:bCs/>
          <w:color w:val="auto"/>
          <w:szCs w:val="24"/>
        </w:rPr>
        <w:t>2.工程概况与招标范围</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rPr>
        <w:t>2.1工程名称：</w:t>
      </w:r>
      <w:r>
        <w:rPr>
          <w:rFonts w:hint="eastAsia" w:ascii="宋体" w:hAnsi="宋体" w:eastAsia="宋体" w:cs="宋体"/>
          <w:color w:val="auto"/>
          <w:spacing w:val="-4"/>
          <w:u w:val="single"/>
        </w:rPr>
        <w:t>湛江经开区老旧小区改造项目（一期一标）EPC</w:t>
      </w:r>
      <w:r>
        <w:rPr>
          <w:rFonts w:hint="eastAsia" w:ascii="宋体" w:hAnsi="宋体" w:eastAsia="宋体" w:cs="宋体"/>
          <w:color w:val="auto"/>
          <w:spacing w:val="-4"/>
        </w:rPr>
        <w:t>。</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rPr>
        <w:t>2.2建设地点：</w:t>
      </w:r>
      <w:r>
        <w:rPr>
          <w:rFonts w:hint="eastAsia" w:ascii="宋体" w:hAnsi="宋体" w:eastAsia="宋体" w:cs="宋体"/>
          <w:color w:val="auto"/>
          <w:spacing w:val="-4"/>
          <w:u w:val="single"/>
        </w:rPr>
        <w:t>湛江市开发区</w:t>
      </w:r>
      <w:r>
        <w:rPr>
          <w:rFonts w:hint="eastAsia" w:ascii="宋体" w:hAnsi="宋体" w:eastAsia="宋体" w:cs="宋体"/>
          <w:color w:val="auto"/>
          <w:spacing w:val="-4"/>
        </w:rPr>
        <w:t>。</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rPr>
        <w:t>2.3建设内容：本次招标为项目一期一标：</w:t>
      </w:r>
    </w:p>
    <w:p>
      <w:pPr>
        <w:autoSpaceDE w:val="0"/>
        <w:autoSpaceDN w:val="0"/>
        <w:ind w:firstLine="464" w:firstLineChars="200"/>
        <w:jc w:val="left"/>
        <w:rPr>
          <w:rFonts w:hint="eastAsia" w:ascii="宋体" w:hAnsi="宋体" w:eastAsia="宋体" w:cs="宋体"/>
          <w:color w:val="auto"/>
          <w:spacing w:val="-4"/>
          <w:lang w:eastAsia="zh-CN"/>
        </w:rPr>
      </w:pPr>
      <w:r>
        <w:rPr>
          <w:rFonts w:hint="eastAsia" w:ascii="宋体" w:hAnsi="宋体" w:eastAsia="宋体" w:cs="宋体"/>
          <w:color w:val="auto"/>
          <w:spacing w:val="-4"/>
          <w:lang w:val="en-US" w:eastAsia="zh-CN"/>
        </w:rPr>
        <w:t>1、</w:t>
      </w:r>
      <w:r>
        <w:rPr>
          <w:rFonts w:hint="eastAsia" w:ascii="宋体" w:hAnsi="宋体" w:eastAsia="宋体" w:cs="宋体"/>
          <w:color w:val="auto"/>
          <w:spacing w:val="-4"/>
        </w:rPr>
        <w:t>观海片区金地花园周边老旧小区 21 栋楼及片区内总体改造规模</w:t>
      </w:r>
      <w:r>
        <w:rPr>
          <w:rFonts w:hint="eastAsia" w:ascii="宋体" w:hAnsi="宋体" w:eastAsia="宋体" w:cs="宋体"/>
          <w:color w:val="auto"/>
          <w:spacing w:val="-4"/>
          <w:lang w:eastAsia="zh-CN"/>
        </w:rPr>
        <w:t>：</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lang w:eastAsia="zh-CN"/>
        </w:rPr>
        <w:t>（</w:t>
      </w:r>
      <w:r>
        <w:rPr>
          <w:rFonts w:hint="eastAsia" w:ascii="宋体" w:hAnsi="宋体" w:eastAsia="宋体" w:cs="宋体"/>
          <w:color w:val="auto"/>
          <w:spacing w:val="-4"/>
          <w:lang w:val="en-US" w:eastAsia="zh-CN"/>
        </w:rPr>
        <w:t>1</w:t>
      </w:r>
      <w:r>
        <w:rPr>
          <w:rFonts w:hint="eastAsia" w:ascii="宋体" w:hAnsi="宋体" w:eastAsia="宋体" w:cs="宋体"/>
          <w:color w:val="auto"/>
          <w:spacing w:val="-4"/>
          <w:lang w:eastAsia="zh-CN"/>
        </w:rPr>
        <w:t>）</w:t>
      </w:r>
      <w:r>
        <w:rPr>
          <w:rFonts w:hint="eastAsia" w:ascii="宋体" w:hAnsi="宋体" w:eastAsia="宋体" w:cs="宋体"/>
          <w:color w:val="auto"/>
          <w:spacing w:val="-4"/>
        </w:rPr>
        <w:t>道路路面修复面积约 29000 平方米。</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lang w:eastAsia="zh-CN"/>
        </w:rPr>
        <w:t>（</w:t>
      </w:r>
      <w:r>
        <w:rPr>
          <w:rFonts w:hint="eastAsia" w:ascii="宋体" w:hAnsi="宋体" w:eastAsia="宋体" w:cs="宋体"/>
          <w:color w:val="auto"/>
          <w:spacing w:val="-4"/>
          <w:lang w:val="en-US" w:eastAsia="zh-CN"/>
        </w:rPr>
        <w:t>2</w:t>
      </w:r>
      <w:r>
        <w:rPr>
          <w:rFonts w:hint="eastAsia" w:ascii="宋体" w:hAnsi="宋体" w:eastAsia="宋体" w:cs="宋体"/>
          <w:color w:val="auto"/>
          <w:spacing w:val="-4"/>
          <w:lang w:eastAsia="zh-CN"/>
        </w:rPr>
        <w:t>）</w:t>
      </w:r>
      <w:r>
        <w:rPr>
          <w:rFonts w:hint="eastAsia" w:ascii="宋体" w:hAnsi="宋体" w:eastAsia="宋体" w:cs="宋体"/>
          <w:color w:val="auto"/>
          <w:spacing w:val="-4"/>
        </w:rPr>
        <w:t>给水管网改造约 2150 米。</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lang w:eastAsia="zh-CN"/>
        </w:rPr>
        <w:t>（</w:t>
      </w:r>
      <w:r>
        <w:rPr>
          <w:rFonts w:hint="eastAsia" w:ascii="宋体" w:hAnsi="宋体" w:eastAsia="宋体" w:cs="宋体"/>
          <w:color w:val="auto"/>
          <w:spacing w:val="-4"/>
          <w:lang w:val="en-US" w:eastAsia="zh-CN"/>
        </w:rPr>
        <w:t>3</w:t>
      </w:r>
      <w:r>
        <w:rPr>
          <w:rFonts w:hint="eastAsia" w:ascii="宋体" w:hAnsi="宋体" w:eastAsia="宋体" w:cs="宋体"/>
          <w:color w:val="auto"/>
          <w:spacing w:val="-4"/>
          <w:lang w:eastAsia="zh-CN"/>
        </w:rPr>
        <w:t>）</w:t>
      </w:r>
      <w:r>
        <w:rPr>
          <w:rFonts w:hint="eastAsia" w:ascii="宋体" w:hAnsi="宋体" w:eastAsia="宋体" w:cs="宋体"/>
          <w:color w:val="auto"/>
          <w:spacing w:val="-4"/>
        </w:rPr>
        <w:t>排水水管网改造 5551 米，以及管线改造所含的配套设施建设。</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lang w:eastAsia="zh-CN"/>
        </w:rPr>
        <w:t>（</w:t>
      </w:r>
      <w:r>
        <w:rPr>
          <w:rFonts w:hint="eastAsia" w:ascii="宋体" w:hAnsi="宋体" w:eastAsia="宋体" w:cs="宋体"/>
          <w:color w:val="auto"/>
          <w:spacing w:val="-4"/>
          <w:lang w:val="en-US" w:eastAsia="zh-CN"/>
        </w:rPr>
        <w:t>4</w:t>
      </w:r>
      <w:r>
        <w:rPr>
          <w:rFonts w:hint="eastAsia" w:ascii="宋体" w:hAnsi="宋体" w:eastAsia="宋体" w:cs="宋体"/>
          <w:color w:val="auto"/>
          <w:spacing w:val="-4"/>
          <w:lang w:eastAsia="zh-CN"/>
        </w:rPr>
        <w:t>）</w:t>
      </w:r>
      <w:r>
        <w:rPr>
          <w:rFonts w:hint="eastAsia" w:ascii="宋体" w:hAnsi="宋体" w:eastAsia="宋体" w:cs="宋体"/>
          <w:color w:val="auto"/>
          <w:spacing w:val="-4"/>
        </w:rPr>
        <w:t>片区 21 栋楼三线下地。</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lang w:eastAsia="zh-CN"/>
        </w:rPr>
        <w:t>（</w:t>
      </w:r>
      <w:r>
        <w:rPr>
          <w:rFonts w:hint="eastAsia" w:ascii="宋体" w:hAnsi="宋体" w:eastAsia="宋体" w:cs="宋体"/>
          <w:color w:val="auto"/>
          <w:spacing w:val="-4"/>
          <w:lang w:val="en-US" w:eastAsia="zh-CN"/>
        </w:rPr>
        <w:t>5</w:t>
      </w:r>
      <w:r>
        <w:rPr>
          <w:rFonts w:hint="eastAsia" w:ascii="宋体" w:hAnsi="宋体" w:eastAsia="宋体" w:cs="宋体"/>
          <w:color w:val="auto"/>
          <w:spacing w:val="-4"/>
          <w:lang w:eastAsia="zh-CN"/>
        </w:rPr>
        <w:t>）</w:t>
      </w:r>
      <w:r>
        <w:rPr>
          <w:rFonts w:hint="eastAsia" w:ascii="宋体" w:hAnsi="宋体" w:eastAsia="宋体" w:cs="宋体"/>
          <w:color w:val="auto"/>
          <w:spacing w:val="-4"/>
        </w:rPr>
        <w:t>围墙改造，改造长度 890 米。</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lang w:eastAsia="zh-CN"/>
        </w:rPr>
        <w:t>（</w:t>
      </w:r>
      <w:r>
        <w:rPr>
          <w:rFonts w:hint="eastAsia" w:ascii="宋体" w:hAnsi="宋体" w:eastAsia="宋体" w:cs="宋体"/>
          <w:color w:val="auto"/>
          <w:spacing w:val="-4"/>
          <w:lang w:val="en-US" w:eastAsia="zh-CN"/>
        </w:rPr>
        <w:t>6</w:t>
      </w:r>
      <w:r>
        <w:rPr>
          <w:rFonts w:hint="eastAsia" w:ascii="宋体" w:hAnsi="宋体" w:eastAsia="宋体" w:cs="宋体"/>
          <w:color w:val="auto"/>
          <w:spacing w:val="-4"/>
          <w:lang w:eastAsia="zh-CN"/>
        </w:rPr>
        <w:t>）</w:t>
      </w:r>
      <w:r>
        <w:rPr>
          <w:rFonts w:hint="eastAsia" w:ascii="宋体" w:hAnsi="宋体" w:eastAsia="宋体" w:cs="宋体"/>
          <w:color w:val="auto"/>
          <w:spacing w:val="-4"/>
        </w:rPr>
        <w:t>增加小区安防、消防等设施。</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lang w:eastAsia="zh-CN"/>
        </w:rPr>
        <w:t>（</w:t>
      </w:r>
      <w:r>
        <w:rPr>
          <w:rFonts w:hint="eastAsia" w:ascii="宋体" w:hAnsi="宋体" w:eastAsia="宋体" w:cs="宋体"/>
          <w:color w:val="auto"/>
          <w:spacing w:val="-4"/>
          <w:lang w:val="en-US" w:eastAsia="zh-CN"/>
        </w:rPr>
        <w:t>7</w:t>
      </w:r>
      <w:r>
        <w:rPr>
          <w:rFonts w:hint="eastAsia" w:ascii="宋体" w:hAnsi="宋体" w:eastAsia="宋体" w:cs="宋体"/>
          <w:color w:val="auto"/>
          <w:spacing w:val="-4"/>
          <w:lang w:eastAsia="zh-CN"/>
        </w:rPr>
        <w:t>）</w:t>
      </w:r>
      <w:r>
        <w:rPr>
          <w:rFonts w:hint="eastAsia" w:ascii="宋体" w:hAnsi="宋体" w:eastAsia="宋体" w:cs="宋体"/>
          <w:color w:val="auto"/>
          <w:spacing w:val="-4"/>
        </w:rPr>
        <w:t>立面整治:项目所在区的居住楼占地面积75145.11平方米，建筑面积188108.97平方米，现有外立面由于时间久远，部分外墙出现不同程度的脱落、空鼓等现象，不但对小区安全造成影响，也影响城市文明形象。因此，将小区居民楼外立面进行翻新改造，包括外墙砖装饰翻新、防盗网改造、公共楼梯间改造、屋面防水、部分违建拆除，外立面改造约 61400 平方米，清除废日无用强弱电线杆线及杂物等;对小区屋面进行防水改造:对小区楼梯栏杆扶手等进行更换或防锈防腐处理。</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rPr>
        <w:t>2.4 本项目采用分期建设的模式：一期包括乐华街道老旧小区改造、公共服务和垃圾处理设施建设、开发区基础设施改造；二期包括泉庄街道老旧小区改造、乐华街道老旧小区改造、开发区基础设施改造、公共服务和垃圾处理设施建设。</w:t>
      </w:r>
    </w:p>
    <w:p>
      <w:pPr>
        <w:autoSpaceDE w:val="0"/>
        <w:autoSpaceDN w:val="0"/>
        <w:ind w:firstLine="464" w:firstLineChars="200"/>
        <w:jc w:val="left"/>
        <w:rPr>
          <w:rFonts w:hint="eastAsia" w:ascii="宋体" w:hAnsi="宋体" w:eastAsia="宋体" w:cs="宋体"/>
          <w:color w:val="auto"/>
          <w:spacing w:val="-4"/>
        </w:rPr>
      </w:pPr>
      <w:r>
        <w:rPr>
          <w:rFonts w:hint="eastAsia" w:ascii="宋体" w:hAnsi="宋体" w:eastAsia="宋体" w:cs="宋体"/>
          <w:color w:val="auto"/>
          <w:spacing w:val="-4"/>
        </w:rPr>
        <w:t>2.5 本工程总投资估算为：12213.27 万元。</w:t>
      </w:r>
    </w:p>
    <w:p>
      <w:pPr>
        <w:autoSpaceDE w:val="0"/>
        <w:autoSpaceDN w:val="0"/>
        <w:ind w:firstLine="464" w:firstLineChars="200"/>
        <w:jc w:val="left"/>
        <w:rPr>
          <w:rFonts w:hint="eastAsia" w:ascii="宋体" w:hAnsi="宋体" w:eastAsia="宋体" w:cs="宋体"/>
          <w:color w:val="auto"/>
          <w:spacing w:val="-4"/>
          <w:szCs w:val="24"/>
        </w:rPr>
      </w:pPr>
      <w:r>
        <w:rPr>
          <w:rFonts w:hint="eastAsia" w:ascii="宋体" w:hAnsi="宋体" w:eastAsia="宋体" w:cs="宋体"/>
          <w:color w:val="auto"/>
          <w:spacing w:val="-4"/>
        </w:rPr>
        <w:t>2.6 本工程招标控制价（暂定）：</w:t>
      </w:r>
      <w:r>
        <w:rPr>
          <w:rFonts w:hint="eastAsia" w:ascii="宋体" w:hAnsi="宋体" w:eastAsia="宋体" w:cs="宋体"/>
          <w:color w:val="auto"/>
          <w:spacing w:val="-4"/>
          <w:u w:val="single"/>
        </w:rPr>
        <w:t xml:space="preserve"> </w:t>
      </w:r>
      <w:r>
        <w:rPr>
          <w:rFonts w:hint="eastAsia" w:ascii="宋体" w:hAnsi="宋体" w:cs="宋体"/>
          <w:color w:val="auto"/>
          <w:spacing w:val="-4"/>
          <w:u w:val="single"/>
          <w:lang w:val="en-US" w:eastAsia="zh-CN"/>
        </w:rPr>
        <w:t>10081.93</w:t>
      </w:r>
      <w:r>
        <w:rPr>
          <w:rFonts w:hint="eastAsia" w:ascii="宋体" w:hAnsi="宋体" w:eastAsia="宋体" w:cs="宋体"/>
          <w:color w:val="auto"/>
          <w:spacing w:val="-4"/>
          <w:u w:val="single"/>
        </w:rPr>
        <w:t xml:space="preserve"> </w:t>
      </w:r>
      <w:r>
        <w:rPr>
          <w:rFonts w:hint="eastAsia" w:ascii="宋体" w:hAnsi="宋体" w:eastAsia="宋体" w:cs="宋体"/>
          <w:color w:val="auto"/>
          <w:spacing w:val="-4"/>
        </w:rPr>
        <w:t>万元；其中建安工程费</w:t>
      </w:r>
      <w:r>
        <w:rPr>
          <w:rFonts w:hint="eastAsia" w:ascii="宋体" w:hAnsi="宋体" w:eastAsia="宋体" w:cs="宋体"/>
          <w:color w:val="auto"/>
          <w:spacing w:val="-4"/>
          <w:u w:val="single"/>
        </w:rPr>
        <w:t xml:space="preserve"> 9987.99 </w:t>
      </w:r>
      <w:r>
        <w:rPr>
          <w:rFonts w:hint="eastAsia" w:ascii="宋体" w:hAnsi="宋体" w:eastAsia="宋体" w:cs="宋体"/>
          <w:color w:val="auto"/>
          <w:spacing w:val="-4"/>
        </w:rPr>
        <w:t>万元</w:t>
      </w:r>
      <w:r>
        <w:rPr>
          <w:rFonts w:hint="eastAsia" w:ascii="宋体" w:hAnsi="宋体" w:cs="宋体"/>
          <w:color w:val="auto"/>
          <w:spacing w:val="-4"/>
          <w:lang w:eastAsia="zh-CN"/>
        </w:rPr>
        <w:t>，</w:t>
      </w:r>
      <w:r>
        <w:rPr>
          <w:rFonts w:hint="eastAsia" w:ascii="宋体" w:hAnsi="宋体" w:eastAsia="宋体" w:cs="宋体"/>
          <w:color w:val="auto"/>
          <w:spacing w:val="-4"/>
        </w:rPr>
        <w:t>施工图设计费</w:t>
      </w:r>
      <w:r>
        <w:rPr>
          <w:rFonts w:hint="eastAsia" w:ascii="宋体" w:hAnsi="宋体" w:eastAsia="宋体" w:cs="宋体"/>
          <w:color w:val="auto"/>
          <w:spacing w:val="-4"/>
          <w:szCs w:val="24"/>
        </w:rPr>
        <w:t>（含施工图预算编制费）</w:t>
      </w:r>
      <w:r>
        <w:rPr>
          <w:rFonts w:hint="eastAsia" w:ascii="宋体" w:hAnsi="宋体" w:eastAsia="宋体" w:cs="宋体"/>
          <w:color w:val="auto"/>
          <w:spacing w:val="-4"/>
          <w:u w:val="single"/>
        </w:rPr>
        <w:t xml:space="preserve"> </w:t>
      </w:r>
      <w:r>
        <w:rPr>
          <w:rFonts w:hint="eastAsia" w:ascii="宋体" w:hAnsi="宋体" w:cs="宋体"/>
          <w:color w:val="auto"/>
          <w:spacing w:val="-4"/>
          <w:u w:val="single"/>
          <w:lang w:val="en-US" w:eastAsia="zh-CN"/>
        </w:rPr>
        <w:t>93.94</w:t>
      </w:r>
      <w:r>
        <w:rPr>
          <w:rFonts w:hint="eastAsia" w:ascii="宋体" w:hAnsi="宋体" w:eastAsia="宋体" w:cs="宋体"/>
          <w:color w:val="auto"/>
          <w:spacing w:val="-4"/>
          <w:u w:val="single"/>
        </w:rPr>
        <w:t xml:space="preserve"> </w:t>
      </w:r>
      <w:r>
        <w:rPr>
          <w:rFonts w:hint="eastAsia" w:ascii="宋体" w:hAnsi="宋体" w:eastAsia="宋体" w:cs="宋体"/>
          <w:color w:val="auto"/>
          <w:spacing w:val="-4"/>
        </w:rPr>
        <w:t>万元</w:t>
      </w:r>
      <w:r>
        <w:rPr>
          <w:rFonts w:hint="eastAsia" w:ascii="宋体" w:hAnsi="宋体" w:eastAsia="宋体" w:cs="宋体"/>
          <w:color w:val="auto"/>
          <w:spacing w:val="-4"/>
          <w:szCs w:val="24"/>
        </w:rPr>
        <w:t>。</w:t>
      </w:r>
    </w:p>
    <w:p>
      <w:pPr>
        <w:autoSpaceDE w:val="0"/>
        <w:autoSpaceDN w:val="0"/>
        <w:ind w:firstLine="470" w:firstLineChars="200"/>
        <w:jc w:val="left"/>
        <w:rPr>
          <w:rFonts w:hint="eastAsia" w:ascii="宋体" w:hAnsi="宋体" w:eastAsia="宋体" w:cs="宋体"/>
          <w:color w:val="auto"/>
        </w:rPr>
      </w:pPr>
      <w:r>
        <w:rPr>
          <w:rFonts w:hint="eastAsia" w:ascii="宋体" w:hAnsi="宋体" w:eastAsia="宋体" w:cs="宋体"/>
          <w:b/>
          <w:bCs/>
          <w:color w:val="auto"/>
          <w:spacing w:val="-3"/>
        </w:rPr>
        <w:t>2.7 招标范围：</w:t>
      </w:r>
      <w:bookmarkStart w:id="5" w:name="_Hlk8813340"/>
      <w:r>
        <w:rPr>
          <w:rFonts w:hint="eastAsia" w:ascii="宋体" w:hAnsi="宋体" w:eastAsia="宋体" w:cs="宋体"/>
          <w:color w:val="auto"/>
          <w:szCs w:val="24"/>
          <w:u w:val="single"/>
        </w:rPr>
        <w:t>完成本项目的施工图设计、施工图预算编制、工程的施工至工程竣工验收、备案、移交，完成并配合相关部门结（决）算、审计、工程保修等工作，具体内容包括但不限于以下事项：</w:t>
      </w:r>
    </w:p>
    <w:p>
      <w:pPr>
        <w:ind w:right="53" w:rightChars="22" w:firstLine="480" w:firstLineChars="200"/>
        <w:rPr>
          <w:rFonts w:hint="eastAsia" w:ascii="宋体" w:hAnsi="宋体" w:eastAsia="宋体" w:cs="宋体"/>
          <w:color w:val="auto"/>
          <w:szCs w:val="24"/>
        </w:rPr>
      </w:pPr>
      <w:r>
        <w:rPr>
          <w:rFonts w:hint="eastAsia" w:ascii="宋体" w:hAnsi="宋体" w:eastAsia="宋体" w:cs="宋体"/>
          <w:color w:val="auto"/>
          <w:szCs w:val="24"/>
        </w:rPr>
        <w:t>2.7.1.设计部分：</w:t>
      </w:r>
    </w:p>
    <w:p>
      <w:pPr>
        <w:ind w:right="53" w:rightChars="22" w:firstLine="480" w:firstLineChars="200"/>
        <w:rPr>
          <w:rFonts w:hint="eastAsia" w:ascii="宋体" w:hAnsi="宋体" w:eastAsia="宋体" w:cs="宋体"/>
          <w:color w:val="auto"/>
          <w:szCs w:val="24"/>
        </w:rPr>
      </w:pPr>
      <w:r>
        <w:rPr>
          <w:rFonts w:hint="eastAsia" w:ascii="宋体" w:hAnsi="宋体" w:eastAsia="宋体" w:cs="宋体"/>
          <w:color w:val="auto"/>
          <w:szCs w:val="24"/>
        </w:rPr>
        <w:t>2.7.1.1 本工程的的施工图设计内容包括但不限于：施工图设计、施工图预算编制、工程施工过程设计控制、设计跟踪、工程设计变更、施工现场配合服务、后期采购咨询服务、配合审核竣工图及质量缺陷处理等。为达到本项目竣工投入使用及其它配套工程的设计、专业设计配合服务，并通过政府主管部门的相关设计审查及批复。</w:t>
      </w:r>
    </w:p>
    <w:p>
      <w:pPr>
        <w:ind w:right="53" w:rightChars="22" w:firstLine="480" w:firstLineChars="200"/>
        <w:rPr>
          <w:rFonts w:hint="eastAsia" w:ascii="宋体" w:hAnsi="宋体" w:eastAsia="宋体" w:cs="宋体"/>
          <w:color w:val="auto"/>
          <w:szCs w:val="24"/>
        </w:rPr>
      </w:pPr>
      <w:r>
        <w:rPr>
          <w:rFonts w:hint="eastAsia" w:ascii="宋体" w:hAnsi="宋体" w:eastAsia="宋体" w:cs="宋体"/>
          <w:color w:val="auto"/>
          <w:szCs w:val="24"/>
        </w:rPr>
        <w:t>2.7.1.2</w:t>
      </w:r>
      <w:r>
        <w:rPr>
          <w:rFonts w:hint="eastAsia" w:ascii="宋体" w:hAnsi="宋体" w:eastAsia="宋体" w:cs="宋体"/>
          <w:color w:val="auto"/>
        </w:rPr>
        <w:t xml:space="preserve"> 自工程开工算起至工程竣工，对本项目全程现场指导与监督及编制竣工图等相关工作。</w:t>
      </w:r>
    </w:p>
    <w:p>
      <w:pPr>
        <w:ind w:right="53" w:rightChars="22" w:firstLine="480" w:firstLineChars="200"/>
        <w:rPr>
          <w:rFonts w:hint="eastAsia" w:ascii="宋体" w:hAnsi="宋体" w:eastAsia="宋体" w:cs="宋体"/>
          <w:color w:val="auto"/>
          <w:szCs w:val="24"/>
        </w:rPr>
      </w:pPr>
      <w:r>
        <w:rPr>
          <w:rFonts w:hint="eastAsia" w:ascii="宋体" w:hAnsi="宋体" w:eastAsia="宋体" w:cs="宋体"/>
          <w:color w:val="auto"/>
          <w:szCs w:val="24"/>
        </w:rPr>
        <w:t>2.7.2 施工部分：</w:t>
      </w:r>
    </w:p>
    <w:p>
      <w:pPr>
        <w:ind w:right="53" w:rightChars="22" w:firstLine="480" w:firstLineChars="200"/>
        <w:rPr>
          <w:rFonts w:hint="eastAsia" w:ascii="宋体" w:hAnsi="宋体" w:eastAsia="宋体" w:cs="宋体"/>
          <w:color w:val="auto"/>
          <w:szCs w:val="24"/>
        </w:rPr>
      </w:pPr>
      <w:r>
        <w:rPr>
          <w:rFonts w:hint="eastAsia" w:ascii="宋体" w:hAnsi="宋体" w:eastAsia="宋体" w:cs="宋体"/>
          <w:color w:val="auto"/>
          <w:szCs w:val="24"/>
        </w:rPr>
        <w:t>2.7.2.1本工程的施工内容包括但不限于：本工程项目设计范围内所有工程内容的施工（包工、包料、包工期、包质量、包安全生产、包验收、包保修等），施工范围包括全部施工设计图纸及工程量清单等有关资料范围内满足本项目竣工投入使用的施工总承包，具体以招标人要求为准。</w:t>
      </w:r>
    </w:p>
    <w:bookmarkEnd w:id="5"/>
    <w:p>
      <w:pPr>
        <w:ind w:right="53" w:rightChars="22" w:firstLine="480" w:firstLineChars="200"/>
        <w:rPr>
          <w:rFonts w:hint="eastAsia" w:ascii="宋体" w:hAnsi="宋体" w:eastAsia="宋体" w:cs="宋体"/>
          <w:color w:val="auto"/>
          <w:szCs w:val="24"/>
        </w:rPr>
      </w:pPr>
      <w:r>
        <w:rPr>
          <w:rFonts w:hint="eastAsia" w:ascii="宋体" w:hAnsi="宋体" w:eastAsia="宋体" w:cs="宋体"/>
          <w:color w:val="auto"/>
          <w:szCs w:val="24"/>
        </w:rPr>
        <w:t>2.7.3 承包方式：</w:t>
      </w:r>
      <w:bookmarkStart w:id="6" w:name="_Hlk8849659"/>
      <w:r>
        <w:rPr>
          <w:rFonts w:hint="eastAsia" w:ascii="宋体" w:hAnsi="宋体" w:eastAsia="宋体" w:cs="宋体"/>
          <w:color w:val="auto"/>
          <w:szCs w:val="24"/>
        </w:rPr>
        <w:t>包</w:t>
      </w:r>
      <w:r>
        <w:rPr>
          <w:rFonts w:hint="eastAsia" w:ascii="宋体" w:hAnsi="宋体" w:eastAsia="宋体" w:cs="宋体"/>
          <w:color w:val="auto"/>
        </w:rPr>
        <w:t>施工图</w:t>
      </w:r>
      <w:r>
        <w:rPr>
          <w:rFonts w:hint="eastAsia" w:ascii="宋体" w:hAnsi="宋体" w:eastAsia="宋体" w:cs="宋体"/>
          <w:color w:val="auto"/>
          <w:szCs w:val="24"/>
        </w:rPr>
        <w:t>设计、包预算编制、包施工、包安全、包质量、包工期、包文明施工；验收及竣工等各阶段的相关内容和服务。</w:t>
      </w:r>
    </w:p>
    <w:bookmarkEnd w:id="6"/>
    <w:p>
      <w:pPr>
        <w:tabs>
          <w:tab w:val="left" w:pos="1240"/>
        </w:tabs>
        <w:ind w:right="53" w:rightChars="22" w:firstLine="480" w:firstLineChars="200"/>
        <w:rPr>
          <w:rFonts w:hint="eastAsia" w:ascii="宋体" w:hAnsi="宋体" w:eastAsia="宋体" w:cs="宋体"/>
          <w:color w:val="auto"/>
        </w:rPr>
      </w:pPr>
      <w:bookmarkStart w:id="7" w:name="_Toc55983906"/>
      <w:r>
        <w:rPr>
          <w:rFonts w:hint="eastAsia" w:ascii="宋体" w:hAnsi="宋体" w:eastAsia="宋体" w:cs="宋体"/>
          <w:color w:val="auto"/>
        </w:rPr>
        <w:t>2.8 总承包工期：</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210</w:t>
      </w:r>
      <w:r>
        <w:rPr>
          <w:rFonts w:hint="eastAsia" w:ascii="宋体" w:hAnsi="宋体" w:eastAsia="宋体" w:cs="宋体"/>
          <w:color w:val="auto"/>
          <w:u w:val="single"/>
        </w:rPr>
        <w:t xml:space="preserve"> </w:t>
      </w:r>
      <w:r>
        <w:rPr>
          <w:rFonts w:hint="eastAsia" w:ascii="宋体" w:hAnsi="宋体" w:eastAsia="宋体" w:cs="宋体"/>
          <w:color w:val="auto"/>
        </w:rPr>
        <w:t>日历天。</w:t>
      </w:r>
      <w:r>
        <w:rPr>
          <w:rFonts w:hint="eastAsia" w:ascii="宋体" w:hAnsi="宋体" w:eastAsia="宋体" w:cs="宋体"/>
          <w:b/>
          <w:bCs/>
          <w:color w:val="auto"/>
        </w:rPr>
        <w:t>其中:</w:t>
      </w:r>
    </w:p>
    <w:p>
      <w:pPr>
        <w:tabs>
          <w:tab w:val="left" w:pos="1240"/>
        </w:tabs>
        <w:ind w:right="53" w:rightChars="22" w:firstLine="480" w:firstLineChars="200"/>
        <w:rPr>
          <w:rFonts w:hint="eastAsia" w:ascii="宋体" w:hAnsi="宋体" w:eastAsia="宋体" w:cs="宋体"/>
          <w:color w:val="auto"/>
        </w:rPr>
      </w:pPr>
      <w:r>
        <w:rPr>
          <w:rFonts w:hint="eastAsia" w:ascii="宋体" w:hAnsi="宋体" w:eastAsia="宋体" w:cs="宋体"/>
          <w:color w:val="auto"/>
        </w:rPr>
        <w:t xml:space="preserve">2.8.1 </w:t>
      </w:r>
      <w:r>
        <w:rPr>
          <w:rFonts w:hint="eastAsia" w:ascii="宋体" w:hAnsi="宋体" w:eastAsia="宋体" w:cs="宋体"/>
          <w:color w:val="auto"/>
          <w:lang w:val="en-US" w:eastAsia="zh-CN"/>
        </w:rPr>
        <w:t>设计工期：</w:t>
      </w:r>
      <w:r>
        <w:rPr>
          <w:rFonts w:hint="eastAsia" w:ascii="宋体" w:hAnsi="宋体" w:eastAsia="宋体" w:cs="宋体"/>
          <w:color w:val="auto"/>
        </w:rPr>
        <w:t>合同签订后</w:t>
      </w:r>
      <w:r>
        <w:rPr>
          <w:rFonts w:hint="eastAsia" w:ascii="宋体" w:hAnsi="宋体" w:eastAsia="宋体" w:cs="宋体"/>
          <w:color w:val="auto"/>
          <w:u w:val="single"/>
          <w:lang w:val="en-US" w:eastAsia="zh-CN"/>
        </w:rPr>
        <w:t>20</w:t>
      </w:r>
      <w:r>
        <w:rPr>
          <w:rFonts w:hint="eastAsia" w:ascii="宋体" w:hAnsi="宋体" w:eastAsia="宋体" w:cs="宋体"/>
          <w:color w:val="auto"/>
          <w:u w:val="single"/>
        </w:rPr>
        <w:t xml:space="preserve"> </w:t>
      </w:r>
      <w:r>
        <w:rPr>
          <w:rFonts w:hint="eastAsia" w:ascii="宋体" w:hAnsi="宋体" w:eastAsia="宋体" w:cs="宋体"/>
          <w:color w:val="auto"/>
        </w:rPr>
        <w:t>日历天内完成施工图设计，并提交全套施工图设计文件报审，施工图审核通过后</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10</w:t>
      </w:r>
      <w:r>
        <w:rPr>
          <w:rFonts w:hint="eastAsia" w:ascii="宋体" w:hAnsi="宋体" w:eastAsia="宋体" w:cs="宋体"/>
          <w:color w:val="auto"/>
          <w:u w:val="single"/>
        </w:rPr>
        <w:t xml:space="preserve"> </w:t>
      </w:r>
      <w:r>
        <w:rPr>
          <w:rFonts w:hint="eastAsia" w:ascii="宋体" w:hAnsi="宋体" w:eastAsia="宋体" w:cs="宋体"/>
          <w:color w:val="auto"/>
        </w:rPr>
        <w:t>日历天内完成施工图预算编制</w:t>
      </w:r>
      <w:r>
        <w:rPr>
          <w:rFonts w:hint="eastAsia" w:ascii="宋体" w:hAnsi="宋体" w:eastAsia="宋体" w:cs="宋体"/>
          <w:color w:val="auto"/>
          <w:lang w:eastAsia="zh-CN"/>
        </w:rPr>
        <w:t>（</w:t>
      </w:r>
      <w:r>
        <w:rPr>
          <w:rFonts w:hint="eastAsia" w:ascii="宋体" w:hAnsi="宋体" w:eastAsia="宋体" w:cs="宋体"/>
          <w:color w:val="auto"/>
          <w:lang w:val="en-US" w:eastAsia="zh-CN"/>
        </w:rPr>
        <w:t>不含审核时间</w:t>
      </w:r>
      <w:r>
        <w:rPr>
          <w:rFonts w:hint="eastAsia" w:ascii="宋体" w:hAnsi="宋体" w:eastAsia="宋体" w:cs="宋体"/>
          <w:color w:val="auto"/>
          <w:lang w:eastAsia="zh-CN"/>
        </w:rPr>
        <w:t>）</w:t>
      </w:r>
      <w:r>
        <w:rPr>
          <w:rFonts w:hint="eastAsia" w:ascii="宋体" w:hAnsi="宋体" w:eastAsia="宋体" w:cs="宋体"/>
          <w:color w:val="auto"/>
        </w:rPr>
        <w:t>。</w:t>
      </w:r>
    </w:p>
    <w:p>
      <w:pPr>
        <w:tabs>
          <w:tab w:val="left" w:pos="1240"/>
        </w:tabs>
        <w:ind w:right="53" w:rightChars="22" w:firstLine="480" w:firstLineChars="200"/>
        <w:rPr>
          <w:rFonts w:hint="eastAsia" w:ascii="宋体" w:hAnsi="宋体" w:eastAsia="宋体" w:cs="宋体"/>
          <w:color w:val="auto"/>
          <w:lang w:eastAsia="zh-CN"/>
        </w:rPr>
      </w:pPr>
      <w:r>
        <w:rPr>
          <w:rFonts w:hint="eastAsia" w:ascii="宋体" w:hAnsi="宋体" w:eastAsia="宋体" w:cs="宋体"/>
          <w:color w:val="auto"/>
        </w:rPr>
        <w:t>2.8.2 施工工期：合计</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180</w:t>
      </w:r>
      <w:r>
        <w:rPr>
          <w:rFonts w:hint="eastAsia" w:ascii="宋体" w:hAnsi="宋体" w:eastAsia="宋体" w:cs="宋体"/>
          <w:color w:val="auto"/>
          <w:u w:val="single"/>
        </w:rPr>
        <w:t xml:space="preserve"> </w:t>
      </w:r>
      <w:r>
        <w:rPr>
          <w:rFonts w:hint="eastAsia" w:ascii="宋体" w:hAnsi="宋体" w:eastAsia="宋体" w:cs="宋体"/>
          <w:color w:val="auto"/>
        </w:rPr>
        <w:t>日历天内完成竣工验收,开工日期由监理工程师发出的开工令中指定的日期算起，以工程竣工验收通过、承包人送交建设工程竣工验收报告的日期作为实际竣工日</w:t>
      </w:r>
      <w:r>
        <w:rPr>
          <w:rFonts w:hint="eastAsia" w:ascii="宋体" w:hAnsi="宋体" w:eastAsia="宋体" w:cs="宋体"/>
          <w:color w:val="auto"/>
          <w:lang w:eastAsia="zh-CN"/>
        </w:rPr>
        <w:t>。</w:t>
      </w:r>
    </w:p>
    <w:p>
      <w:pPr>
        <w:tabs>
          <w:tab w:val="left" w:pos="1240"/>
        </w:tabs>
        <w:ind w:right="53" w:rightChars="22"/>
        <w:rPr>
          <w:rFonts w:hint="eastAsia" w:ascii="宋体" w:hAnsi="宋体" w:eastAsia="宋体" w:cs="宋体"/>
          <w:b/>
          <w:color w:val="auto"/>
          <w:szCs w:val="24"/>
        </w:rPr>
      </w:pPr>
      <w:r>
        <w:rPr>
          <w:rFonts w:hint="eastAsia" w:ascii="宋体" w:hAnsi="宋体" w:eastAsia="宋体" w:cs="宋体"/>
          <w:b/>
          <w:color w:val="auto"/>
          <w:szCs w:val="24"/>
        </w:rPr>
        <w:t>3.投标人资格要求</w:t>
      </w:r>
    </w:p>
    <w:p>
      <w:pPr>
        <w:tabs>
          <w:tab w:val="left" w:pos="1240"/>
        </w:tabs>
        <w:ind w:right="53" w:rightChars="22" w:firstLine="460" w:firstLineChars="200"/>
        <w:rPr>
          <w:rFonts w:hint="eastAsia" w:ascii="宋体" w:hAnsi="宋体" w:eastAsia="宋体" w:cs="宋体"/>
          <w:color w:val="auto"/>
        </w:rPr>
      </w:pPr>
      <w:r>
        <w:rPr>
          <w:rFonts w:hint="eastAsia" w:ascii="宋体" w:hAnsi="宋体" w:eastAsia="宋体" w:cs="宋体"/>
          <w:color w:val="auto"/>
          <w:spacing w:val="-5"/>
        </w:rPr>
        <w:t>3.1 投标人</w:t>
      </w:r>
      <w:r>
        <w:rPr>
          <w:rFonts w:hint="eastAsia" w:ascii="宋体" w:hAnsi="宋体" w:eastAsia="宋体" w:cs="宋体"/>
          <w:b/>
          <w:color w:val="auto"/>
        </w:rPr>
        <w:t>（独立体或联合体各方</w:t>
      </w:r>
      <w:r>
        <w:rPr>
          <w:rFonts w:hint="eastAsia" w:ascii="宋体" w:hAnsi="宋体" w:eastAsia="宋体" w:cs="宋体"/>
          <w:b/>
          <w:color w:val="auto"/>
          <w:spacing w:val="-12"/>
        </w:rPr>
        <w:t>）</w:t>
      </w:r>
      <w:r>
        <w:rPr>
          <w:rFonts w:hint="eastAsia" w:ascii="宋体" w:hAnsi="宋体" w:eastAsia="宋体" w:cs="宋体"/>
          <w:color w:val="auto"/>
          <w:spacing w:val="-4"/>
        </w:rPr>
        <w:t>具有独立法人资格，持有工商行政管理部门核</w:t>
      </w:r>
      <w:r>
        <w:rPr>
          <w:rFonts w:hint="eastAsia" w:ascii="宋体" w:hAnsi="宋体" w:eastAsia="宋体" w:cs="宋体"/>
          <w:color w:val="auto"/>
        </w:rPr>
        <w:t>发的法人营业执照，按国家法律经营。</w:t>
      </w:r>
    </w:p>
    <w:p>
      <w:pPr>
        <w:tabs>
          <w:tab w:val="left" w:pos="1240"/>
        </w:tabs>
        <w:ind w:right="53" w:rightChars="22" w:firstLine="482" w:firstLineChars="200"/>
        <w:rPr>
          <w:rFonts w:hint="eastAsia" w:ascii="宋体" w:hAnsi="宋体" w:eastAsia="宋体" w:cs="宋体"/>
          <w:b/>
          <w:bCs/>
          <w:color w:val="auto"/>
        </w:rPr>
      </w:pPr>
      <w:r>
        <w:rPr>
          <w:rFonts w:hint="eastAsia" w:ascii="宋体" w:hAnsi="宋体" w:eastAsia="宋体" w:cs="宋体"/>
          <w:b/>
          <w:bCs/>
          <w:color w:val="auto"/>
        </w:rPr>
        <w:t>3.2 投标人须同时具备以下资质：</w:t>
      </w:r>
    </w:p>
    <w:p>
      <w:pPr>
        <w:tabs>
          <w:tab w:val="left" w:pos="1421"/>
        </w:tabs>
        <w:spacing w:line="362" w:lineRule="auto"/>
        <w:ind w:right="53" w:rightChars="22" w:firstLine="476" w:firstLineChars="200"/>
        <w:rPr>
          <w:rFonts w:hint="eastAsia" w:ascii="宋体" w:hAnsi="宋体" w:eastAsia="宋体" w:cs="宋体"/>
          <w:color w:val="auto"/>
          <w:spacing w:val="-1"/>
        </w:rPr>
      </w:pPr>
      <w:r>
        <w:rPr>
          <w:rFonts w:hint="eastAsia" w:ascii="宋体" w:hAnsi="宋体" w:eastAsia="宋体" w:cs="宋体"/>
          <w:color w:val="auto"/>
          <w:spacing w:val="-1"/>
        </w:rPr>
        <w:t>(1)</w:t>
      </w:r>
      <w:r>
        <w:rPr>
          <w:rFonts w:hint="eastAsia" w:ascii="宋体" w:hAnsi="宋体" w:eastAsia="宋体" w:cs="宋体"/>
          <w:b/>
          <w:color w:val="auto"/>
          <w:spacing w:val="-1"/>
        </w:rPr>
        <w:t>施工资质</w:t>
      </w:r>
      <w:r>
        <w:rPr>
          <w:rFonts w:hint="eastAsia" w:ascii="宋体" w:hAnsi="宋体" w:eastAsia="宋体" w:cs="宋体"/>
          <w:color w:val="auto"/>
          <w:spacing w:val="-1"/>
        </w:rPr>
        <w:t>：投标人</w:t>
      </w:r>
      <w:bookmarkStart w:id="8" w:name="_Hlk9726510"/>
      <w:r>
        <w:rPr>
          <w:rFonts w:hint="eastAsia" w:ascii="宋体" w:hAnsi="宋体" w:eastAsia="宋体" w:cs="宋体"/>
          <w:b/>
          <w:bCs/>
          <w:color w:val="auto"/>
          <w:spacing w:val="-1"/>
        </w:rPr>
        <w:t>（独立体或联合体主办方）</w:t>
      </w:r>
      <w:bookmarkEnd w:id="8"/>
      <w:r>
        <w:rPr>
          <w:rFonts w:hint="eastAsia" w:ascii="宋体" w:hAnsi="宋体" w:eastAsia="宋体" w:cs="宋体"/>
          <w:color w:val="auto"/>
          <w:spacing w:val="-1"/>
        </w:rPr>
        <w:t>具备</w:t>
      </w:r>
      <w:r>
        <w:rPr>
          <w:rFonts w:hint="eastAsia" w:ascii="宋体" w:hAnsi="宋体" w:eastAsia="宋体" w:cs="宋体"/>
          <w:b/>
          <w:bCs/>
          <w:color w:val="auto"/>
          <w:spacing w:val="-1"/>
          <w:u w:val="single"/>
        </w:rPr>
        <w:t>建筑工程施工总承包一级</w:t>
      </w:r>
      <w:r>
        <w:rPr>
          <w:rFonts w:hint="eastAsia" w:ascii="宋体" w:hAnsi="宋体" w:eastAsia="宋体" w:cs="宋体"/>
          <w:color w:val="auto"/>
          <w:spacing w:val="-1"/>
        </w:rPr>
        <w:t>（或以上）资质及具有合法有效的安全生产许可证。</w:t>
      </w:r>
    </w:p>
    <w:p>
      <w:pPr>
        <w:tabs>
          <w:tab w:val="left" w:pos="1421"/>
        </w:tabs>
        <w:spacing w:line="362" w:lineRule="auto"/>
        <w:ind w:right="53" w:rightChars="22" w:firstLine="480" w:firstLineChars="200"/>
        <w:rPr>
          <w:rFonts w:hint="eastAsia" w:ascii="宋体" w:hAnsi="宋体" w:eastAsia="宋体" w:cs="宋体"/>
          <w:color w:val="auto"/>
          <w:spacing w:val="-1"/>
        </w:rPr>
      </w:pPr>
      <w:r>
        <w:rPr>
          <w:rFonts w:hint="eastAsia" w:ascii="宋体" w:hAnsi="宋体" w:eastAsia="宋体" w:cs="宋体"/>
          <w:color w:val="auto"/>
        </w:rPr>
        <w:t>(2)</w:t>
      </w:r>
      <w:r>
        <w:rPr>
          <w:rFonts w:hint="eastAsia" w:ascii="宋体" w:hAnsi="宋体" w:eastAsia="宋体" w:cs="宋体"/>
          <w:b/>
          <w:color w:val="auto"/>
        </w:rPr>
        <w:t>设计资质</w:t>
      </w:r>
      <w:r>
        <w:rPr>
          <w:rFonts w:hint="eastAsia" w:ascii="宋体" w:hAnsi="宋体" w:eastAsia="宋体" w:cs="宋体"/>
          <w:color w:val="auto"/>
        </w:rPr>
        <w:t>：投标人</w:t>
      </w:r>
      <w:r>
        <w:rPr>
          <w:rFonts w:hint="eastAsia" w:ascii="宋体" w:hAnsi="宋体" w:eastAsia="宋体" w:cs="宋体"/>
          <w:b/>
          <w:color w:val="auto"/>
        </w:rPr>
        <w:t>（独立体或联合体成员）</w:t>
      </w:r>
      <w:r>
        <w:rPr>
          <w:rFonts w:hint="eastAsia" w:ascii="宋体" w:hAnsi="宋体" w:eastAsia="宋体" w:cs="宋体"/>
          <w:color w:val="auto"/>
          <w:spacing w:val="-1"/>
        </w:rPr>
        <w:t>具有</w:t>
      </w:r>
      <w:r>
        <w:rPr>
          <w:rFonts w:hint="eastAsia" w:ascii="宋体" w:hAnsi="宋体" w:eastAsia="宋体" w:cs="宋体"/>
          <w:b/>
          <w:color w:val="auto"/>
          <w:spacing w:val="-19"/>
          <w:szCs w:val="24"/>
          <w:u w:val="single"/>
          <w:lang w:val="zh-CN" w:bidi="zh-CN"/>
        </w:rPr>
        <w:t>工程设计综合甲级资质</w:t>
      </w:r>
      <w:r>
        <w:rPr>
          <w:rFonts w:hint="eastAsia" w:ascii="宋体" w:hAnsi="宋体" w:eastAsia="宋体" w:cs="宋体"/>
          <w:color w:val="auto"/>
          <w:spacing w:val="-1"/>
        </w:rPr>
        <w:t>或</w:t>
      </w:r>
      <w:r>
        <w:rPr>
          <w:rFonts w:hint="eastAsia" w:ascii="宋体" w:hAnsi="宋体" w:eastAsia="宋体" w:cs="宋体"/>
          <w:b/>
          <w:color w:val="auto"/>
          <w:spacing w:val="-19"/>
          <w:szCs w:val="24"/>
          <w:u w:val="single"/>
          <w:lang w:val="zh-CN" w:bidi="zh-CN"/>
        </w:rPr>
        <w:t>工程设计（建筑行业）乙级</w:t>
      </w:r>
      <w:r>
        <w:rPr>
          <w:rFonts w:hint="eastAsia" w:ascii="宋体" w:hAnsi="宋体" w:eastAsia="宋体" w:cs="宋体"/>
          <w:b/>
          <w:color w:val="auto"/>
          <w:spacing w:val="-19"/>
          <w:szCs w:val="24"/>
          <w:u w:val="single"/>
          <w:lang w:bidi="zh-CN"/>
        </w:rPr>
        <w:t xml:space="preserve"> </w:t>
      </w:r>
      <w:r>
        <w:rPr>
          <w:rFonts w:hint="eastAsia" w:ascii="宋体" w:hAnsi="宋体" w:eastAsia="宋体" w:cs="宋体"/>
          <w:color w:val="auto"/>
          <w:spacing w:val="-1"/>
        </w:rPr>
        <w:t>资质或</w:t>
      </w:r>
      <w:r>
        <w:rPr>
          <w:rFonts w:hint="eastAsia" w:ascii="宋体" w:hAnsi="宋体" w:eastAsia="宋体" w:cs="宋体"/>
          <w:b/>
          <w:color w:val="auto"/>
          <w:spacing w:val="-19"/>
          <w:szCs w:val="24"/>
          <w:u w:val="single"/>
          <w:lang w:val="zh-CN" w:bidi="zh-CN"/>
        </w:rPr>
        <w:t>建筑行业（建筑工程）专业乙级</w:t>
      </w:r>
      <w:r>
        <w:rPr>
          <w:rFonts w:hint="eastAsia" w:ascii="宋体" w:hAnsi="宋体" w:eastAsia="宋体" w:cs="宋体"/>
          <w:b/>
          <w:color w:val="auto"/>
          <w:spacing w:val="-19"/>
          <w:szCs w:val="24"/>
          <w:u w:val="single"/>
          <w:lang w:bidi="zh-CN"/>
        </w:rPr>
        <w:t xml:space="preserve"> </w:t>
      </w:r>
      <w:r>
        <w:rPr>
          <w:rFonts w:hint="eastAsia" w:ascii="宋体" w:hAnsi="宋体" w:eastAsia="宋体" w:cs="宋体"/>
          <w:color w:val="auto"/>
          <w:spacing w:val="-1"/>
        </w:rPr>
        <w:t>资质。</w:t>
      </w:r>
    </w:p>
    <w:p>
      <w:pPr>
        <w:pStyle w:val="3"/>
        <w:spacing w:line="362" w:lineRule="auto"/>
        <w:ind w:right="53" w:rightChars="22" w:firstLine="480" w:firstLineChars="200"/>
        <w:jc w:val="both"/>
        <w:rPr>
          <w:rFonts w:hint="eastAsia" w:ascii="宋体" w:hAnsi="宋体" w:eastAsia="宋体" w:cs="宋体"/>
          <w:color w:val="auto"/>
        </w:rPr>
      </w:pPr>
      <w:r>
        <w:rPr>
          <w:rFonts w:hint="eastAsia" w:ascii="宋体" w:hAnsi="宋体" w:eastAsia="宋体" w:cs="宋体"/>
          <w:color w:val="auto"/>
        </w:rPr>
        <w:t>3.3 本次招标</w:t>
      </w:r>
      <w:r>
        <w:rPr>
          <w:rFonts w:hint="eastAsia" w:ascii="宋体" w:hAnsi="宋体" w:eastAsia="宋体" w:cs="宋体"/>
          <w:color w:val="auto"/>
          <w:u w:val="single"/>
        </w:rPr>
        <w:t xml:space="preserve"> </w:t>
      </w:r>
      <w:r>
        <w:rPr>
          <w:rFonts w:hint="eastAsia" w:ascii="宋体" w:hAnsi="宋体" w:eastAsia="宋体" w:cs="宋体"/>
          <w:b/>
          <w:color w:val="auto"/>
          <w:spacing w:val="-19"/>
          <w:szCs w:val="24"/>
          <w:u w:val="single"/>
          <w:lang w:val="zh-CN" w:bidi="zh-CN"/>
        </w:rPr>
        <w:t>接受</w:t>
      </w:r>
      <w:r>
        <w:rPr>
          <w:rFonts w:hint="eastAsia" w:ascii="宋体" w:hAnsi="宋体" w:eastAsia="宋体" w:cs="宋体"/>
          <w:b/>
          <w:color w:val="auto"/>
          <w:spacing w:val="-19"/>
          <w:szCs w:val="24"/>
          <w:u w:val="single"/>
          <w:lang w:bidi="zh-CN"/>
        </w:rPr>
        <w:t xml:space="preserve"> </w:t>
      </w:r>
      <w:r>
        <w:rPr>
          <w:rFonts w:hint="eastAsia" w:ascii="宋体" w:hAnsi="宋体" w:eastAsia="宋体" w:cs="宋体"/>
          <w:color w:val="auto"/>
          <w:spacing w:val="-8"/>
        </w:rPr>
        <w:t>联合体投标，联合体的家数最多不能超过</w:t>
      </w:r>
      <w:r>
        <w:rPr>
          <w:rFonts w:hint="eastAsia" w:ascii="宋体" w:hAnsi="宋体" w:eastAsia="宋体" w:cs="宋体"/>
          <w:color w:val="auto"/>
          <w:spacing w:val="-8"/>
          <w:u w:val="single"/>
        </w:rPr>
        <w:t xml:space="preserve"> </w:t>
      </w:r>
      <w:r>
        <w:rPr>
          <w:rFonts w:hint="eastAsia" w:ascii="宋体" w:hAnsi="宋体" w:eastAsia="宋体" w:cs="宋体"/>
          <w:b/>
          <w:bCs/>
          <w:color w:val="auto"/>
          <w:spacing w:val="-8"/>
          <w:u w:val="single"/>
        </w:rPr>
        <w:t xml:space="preserve">2 </w:t>
      </w:r>
      <w:r>
        <w:rPr>
          <w:rFonts w:hint="eastAsia" w:ascii="宋体" w:hAnsi="宋体" w:eastAsia="宋体" w:cs="宋体"/>
          <w:color w:val="auto"/>
          <w:spacing w:val="-9"/>
        </w:rPr>
        <w:t>家，以具备</w:t>
      </w:r>
      <w:r>
        <w:rPr>
          <w:rFonts w:hint="eastAsia" w:ascii="宋体" w:hAnsi="宋体" w:eastAsia="宋体" w:cs="宋体"/>
          <w:color w:val="auto"/>
          <w:spacing w:val="-1"/>
        </w:rPr>
        <w:t>建筑工程施工总承包一级</w:t>
      </w:r>
      <w:r>
        <w:rPr>
          <w:rFonts w:hint="eastAsia" w:ascii="宋体" w:hAnsi="宋体" w:eastAsia="宋体" w:cs="宋体"/>
          <w:color w:val="auto"/>
        </w:rPr>
        <w:t>资质</w:t>
      </w:r>
      <w:r>
        <w:rPr>
          <w:rFonts w:hint="eastAsia" w:ascii="宋体" w:hAnsi="宋体" w:eastAsia="宋体" w:cs="宋体"/>
          <w:color w:val="auto"/>
          <w:spacing w:val="-9"/>
        </w:rPr>
        <w:t>的一方作为联合体主办方，如联合体投标需联合体各方签订联合体协议书并签字盖章，明确联合体主办方和各方权利义务。投标文件其余部分需要签字或盖章之处由联合体主办方签字或盖章即可。联合体各方在同一招标项目中再以自己名义单独投标或者参</w:t>
      </w:r>
      <w:r>
        <w:rPr>
          <w:rFonts w:hint="eastAsia" w:ascii="宋体" w:hAnsi="宋体" w:eastAsia="宋体" w:cs="宋体"/>
          <w:color w:val="auto"/>
        </w:rPr>
        <w:t>加其他联合体投标的，相关投标均无效。</w:t>
      </w:r>
    </w:p>
    <w:p>
      <w:pPr>
        <w:tabs>
          <w:tab w:val="left" w:pos="1300"/>
        </w:tabs>
        <w:ind w:right="53" w:rightChars="22" w:firstLine="482" w:firstLineChars="200"/>
        <w:rPr>
          <w:rFonts w:hint="eastAsia" w:ascii="宋体" w:hAnsi="宋体" w:eastAsia="宋体" w:cs="宋体"/>
          <w:b/>
          <w:bCs/>
          <w:color w:val="auto"/>
        </w:rPr>
      </w:pPr>
      <w:r>
        <w:rPr>
          <w:rFonts w:hint="eastAsia" w:ascii="宋体" w:hAnsi="宋体" w:eastAsia="宋体" w:cs="宋体"/>
          <w:b/>
          <w:bCs/>
          <w:color w:val="auto"/>
        </w:rPr>
        <w:t>3.4 拟派主要人员资格要求：</w:t>
      </w:r>
    </w:p>
    <w:p>
      <w:pPr>
        <w:ind w:right="53" w:rightChars="22" w:firstLine="444" w:firstLineChars="200"/>
        <w:rPr>
          <w:rFonts w:hint="eastAsia" w:ascii="宋体" w:hAnsi="宋体" w:eastAsia="宋体" w:cs="宋体"/>
          <w:color w:val="auto"/>
          <w:spacing w:val="-9"/>
          <w:szCs w:val="24"/>
        </w:rPr>
      </w:pPr>
      <w:r>
        <w:rPr>
          <w:rFonts w:hint="eastAsia" w:ascii="宋体" w:hAnsi="宋体" w:eastAsia="宋体" w:cs="宋体"/>
          <w:color w:val="auto"/>
          <w:spacing w:val="-9"/>
          <w:szCs w:val="24"/>
        </w:rPr>
        <w:t>（1）</w:t>
      </w:r>
      <w:r>
        <w:rPr>
          <w:rFonts w:hint="eastAsia" w:ascii="宋体" w:hAnsi="宋体" w:eastAsia="宋体" w:cs="宋体"/>
          <w:b/>
          <w:color w:val="auto"/>
          <w:spacing w:val="-1"/>
          <w:szCs w:val="24"/>
        </w:rPr>
        <w:t>施工项目负责人</w:t>
      </w:r>
      <w:r>
        <w:rPr>
          <w:rFonts w:hint="eastAsia" w:ascii="宋体" w:hAnsi="宋体" w:eastAsia="宋体" w:cs="宋体"/>
          <w:b/>
          <w:color w:val="auto"/>
          <w:spacing w:val="-9"/>
          <w:szCs w:val="24"/>
        </w:rPr>
        <w:t>（</w:t>
      </w:r>
      <w:r>
        <w:rPr>
          <w:rFonts w:hint="eastAsia" w:ascii="宋体" w:hAnsi="宋体" w:eastAsia="宋体" w:cs="宋体"/>
          <w:color w:val="auto"/>
          <w:szCs w:val="24"/>
        </w:rPr>
        <w:t>兼任项目总负责人</w:t>
      </w:r>
      <w:r>
        <w:rPr>
          <w:rFonts w:hint="eastAsia" w:ascii="宋体" w:hAnsi="宋体" w:eastAsia="宋体" w:cs="宋体"/>
          <w:b/>
          <w:color w:val="auto"/>
          <w:spacing w:val="-9"/>
          <w:szCs w:val="24"/>
        </w:rPr>
        <w:t>）</w:t>
      </w:r>
      <w:r>
        <w:rPr>
          <w:rFonts w:hint="eastAsia" w:ascii="宋体" w:hAnsi="宋体" w:eastAsia="宋体" w:cs="宋体"/>
          <w:color w:val="auto"/>
          <w:spacing w:val="-9"/>
          <w:szCs w:val="24"/>
        </w:rPr>
        <w:t>：投标人</w:t>
      </w:r>
      <w:r>
        <w:rPr>
          <w:rFonts w:hint="eastAsia" w:ascii="宋体" w:hAnsi="宋体" w:eastAsia="宋体" w:cs="宋体"/>
          <w:b/>
          <w:color w:val="auto"/>
        </w:rPr>
        <w:t>（独立体或联合体主办方）</w:t>
      </w:r>
      <w:r>
        <w:rPr>
          <w:rFonts w:hint="eastAsia" w:ascii="宋体" w:hAnsi="宋体" w:eastAsia="宋体" w:cs="宋体"/>
          <w:color w:val="auto"/>
          <w:spacing w:val="-9"/>
          <w:szCs w:val="24"/>
        </w:rPr>
        <w:t>拟派</w:t>
      </w:r>
      <w:r>
        <w:rPr>
          <w:rFonts w:hint="eastAsia" w:ascii="宋体" w:hAnsi="宋体" w:eastAsia="宋体" w:cs="宋体"/>
          <w:color w:val="auto"/>
          <w:szCs w:val="24"/>
        </w:rPr>
        <w:t>担任本项目的</w:t>
      </w:r>
      <w:r>
        <w:rPr>
          <w:rFonts w:hint="eastAsia" w:ascii="宋体" w:hAnsi="宋体" w:eastAsia="宋体" w:cs="宋体"/>
          <w:color w:val="auto"/>
          <w:spacing w:val="-9"/>
          <w:szCs w:val="24"/>
        </w:rPr>
        <w:t>项目负责人须具备</w:t>
      </w:r>
      <w:r>
        <w:rPr>
          <w:rFonts w:hint="eastAsia" w:ascii="宋体" w:hAnsi="宋体" w:eastAsia="宋体" w:cs="宋体"/>
          <w:b/>
          <w:color w:val="auto"/>
          <w:spacing w:val="-19"/>
          <w:szCs w:val="24"/>
          <w:u w:val="single"/>
          <w:lang w:val="zh-CN" w:bidi="zh-CN"/>
        </w:rPr>
        <w:t>建筑工程一级</w:t>
      </w:r>
      <w:r>
        <w:rPr>
          <w:rFonts w:hint="eastAsia" w:ascii="宋体" w:hAnsi="宋体" w:eastAsia="宋体" w:cs="宋体"/>
          <w:color w:val="auto"/>
          <w:spacing w:val="-9"/>
          <w:szCs w:val="24"/>
        </w:rPr>
        <w:t>注册建造师资格，并具备安全生产考核合格证（B 类，具有有效的安全生产考核合格证或广东省建筑施工企业管理人员安全生产考核系统考核合格信息打印页），拟派项目负责人须是投标人（施工单位）的在册人员。</w:t>
      </w:r>
    </w:p>
    <w:p>
      <w:pPr>
        <w:ind w:right="53" w:rightChars="22" w:firstLine="476" w:firstLineChars="200"/>
        <w:rPr>
          <w:rFonts w:hint="eastAsia" w:ascii="宋体" w:hAnsi="宋体" w:eastAsia="宋体" w:cs="宋体"/>
          <w:color w:val="auto"/>
          <w:szCs w:val="24"/>
        </w:rPr>
      </w:pPr>
      <w:r>
        <w:rPr>
          <w:rFonts w:hint="eastAsia" w:ascii="宋体" w:hAnsi="宋体" w:eastAsia="宋体" w:cs="宋体"/>
          <w:color w:val="auto"/>
          <w:spacing w:val="-1"/>
          <w:szCs w:val="24"/>
        </w:rPr>
        <w:t>（2）</w:t>
      </w:r>
      <w:r>
        <w:rPr>
          <w:rFonts w:hint="eastAsia" w:ascii="宋体" w:hAnsi="宋体" w:eastAsia="宋体" w:cs="宋体"/>
          <w:b/>
          <w:color w:val="auto"/>
          <w:spacing w:val="-1"/>
          <w:szCs w:val="24"/>
        </w:rPr>
        <w:t>设计负责人</w:t>
      </w:r>
      <w:r>
        <w:rPr>
          <w:rFonts w:hint="eastAsia" w:ascii="宋体" w:hAnsi="宋体" w:eastAsia="宋体" w:cs="宋体"/>
          <w:color w:val="auto"/>
          <w:spacing w:val="-1"/>
          <w:szCs w:val="24"/>
        </w:rPr>
        <w:t>：投标人</w:t>
      </w:r>
      <w:r>
        <w:rPr>
          <w:rFonts w:hint="eastAsia" w:ascii="宋体" w:hAnsi="宋体" w:eastAsia="宋体" w:cs="宋体"/>
          <w:b/>
          <w:color w:val="auto"/>
        </w:rPr>
        <w:t>（独立体或联合体成员）</w:t>
      </w:r>
      <w:r>
        <w:rPr>
          <w:rFonts w:hint="eastAsia" w:ascii="宋体" w:hAnsi="宋体" w:eastAsia="宋体" w:cs="宋体"/>
          <w:color w:val="auto"/>
          <w:szCs w:val="24"/>
        </w:rPr>
        <w:t>拟委派担任本项目的设计负责人须具备</w:t>
      </w:r>
      <w:r>
        <w:rPr>
          <w:rFonts w:hint="eastAsia" w:ascii="宋体" w:hAnsi="宋体" w:eastAsia="宋体" w:cs="宋体"/>
          <w:b/>
          <w:color w:val="auto"/>
          <w:spacing w:val="-19"/>
          <w:szCs w:val="24"/>
          <w:u w:val="single"/>
          <w:lang w:val="zh-CN" w:bidi="zh-CN"/>
        </w:rPr>
        <w:t>一级注册建筑师</w:t>
      </w:r>
      <w:r>
        <w:rPr>
          <w:rFonts w:hint="eastAsia" w:ascii="宋体" w:hAnsi="宋体" w:eastAsia="宋体" w:cs="宋体"/>
          <w:color w:val="auto"/>
          <w:szCs w:val="24"/>
        </w:rPr>
        <w:t>的执业资格证书，须是投标人（设计单位）</w:t>
      </w:r>
      <w:r>
        <w:rPr>
          <w:rFonts w:hint="eastAsia" w:ascii="宋体" w:hAnsi="宋体" w:eastAsia="宋体" w:cs="宋体"/>
          <w:color w:val="auto"/>
          <w:spacing w:val="-6"/>
          <w:szCs w:val="24"/>
        </w:rPr>
        <w:t>的在册人员。</w:t>
      </w:r>
    </w:p>
    <w:p>
      <w:pPr>
        <w:tabs>
          <w:tab w:val="left" w:pos="1421"/>
        </w:tabs>
        <w:spacing w:line="364" w:lineRule="auto"/>
        <w:ind w:right="53" w:rightChars="22" w:firstLine="476" w:firstLineChars="200"/>
        <w:rPr>
          <w:rFonts w:hint="eastAsia" w:ascii="宋体" w:hAnsi="宋体" w:eastAsia="宋体" w:cs="宋体"/>
          <w:color w:val="auto"/>
          <w:szCs w:val="24"/>
        </w:rPr>
      </w:pPr>
      <w:r>
        <w:rPr>
          <w:rFonts w:hint="eastAsia" w:ascii="宋体" w:hAnsi="宋体" w:eastAsia="宋体" w:cs="宋体"/>
          <w:color w:val="auto"/>
          <w:spacing w:val="-1"/>
          <w:szCs w:val="24"/>
        </w:rPr>
        <w:t>（3）</w:t>
      </w:r>
      <w:r>
        <w:rPr>
          <w:rFonts w:hint="eastAsia" w:ascii="宋体" w:hAnsi="宋体" w:eastAsia="宋体" w:cs="宋体"/>
          <w:b/>
          <w:bCs/>
          <w:color w:val="auto"/>
          <w:spacing w:val="-1"/>
          <w:szCs w:val="24"/>
        </w:rPr>
        <w:t>专职安全员：</w:t>
      </w:r>
      <w:r>
        <w:rPr>
          <w:rFonts w:hint="eastAsia" w:ascii="宋体" w:hAnsi="宋体" w:eastAsia="宋体" w:cs="宋体"/>
          <w:color w:val="auto"/>
          <w:szCs w:val="24"/>
        </w:rPr>
        <w:t>具有合法有效的安全生产考核合格证C证，须是投标人（</w:t>
      </w:r>
      <w:r>
        <w:rPr>
          <w:rFonts w:hint="eastAsia" w:ascii="宋体" w:hAnsi="宋体" w:eastAsia="宋体" w:cs="宋体"/>
          <w:color w:val="auto"/>
          <w:spacing w:val="-9"/>
          <w:szCs w:val="24"/>
        </w:rPr>
        <w:t>施工单位</w:t>
      </w:r>
      <w:r>
        <w:rPr>
          <w:rFonts w:hint="eastAsia" w:ascii="宋体" w:hAnsi="宋体" w:eastAsia="宋体" w:cs="宋体"/>
          <w:color w:val="auto"/>
          <w:szCs w:val="24"/>
        </w:rPr>
        <w:t>）的在册人员。</w:t>
      </w:r>
    </w:p>
    <w:p>
      <w:pPr>
        <w:tabs>
          <w:tab w:val="left" w:pos="1240"/>
        </w:tabs>
        <w:ind w:right="53" w:rightChars="22" w:firstLine="416" w:firstLineChars="200"/>
        <w:rPr>
          <w:rFonts w:hint="eastAsia" w:ascii="宋体" w:hAnsi="宋体" w:eastAsia="宋体" w:cs="宋体"/>
          <w:color w:val="auto"/>
          <w:spacing w:val="-5"/>
        </w:rPr>
      </w:pPr>
      <w:r>
        <w:rPr>
          <w:rFonts w:hint="eastAsia" w:ascii="宋体" w:hAnsi="宋体" w:eastAsia="宋体" w:cs="宋体"/>
          <w:color w:val="auto"/>
          <w:spacing w:val="-16"/>
        </w:rPr>
        <w:t xml:space="preserve">3.5 </w:t>
      </w:r>
      <w:r>
        <w:rPr>
          <w:rFonts w:hint="eastAsia" w:ascii="宋体" w:hAnsi="宋体" w:eastAsia="宋体" w:cs="宋体"/>
          <w:color w:val="auto"/>
        </w:rPr>
        <w:t>信誉要求：投标人</w:t>
      </w:r>
      <w:r>
        <w:rPr>
          <w:rFonts w:hint="eastAsia" w:ascii="宋体" w:hAnsi="宋体" w:eastAsia="宋体" w:cs="宋体"/>
          <w:b/>
          <w:color w:val="auto"/>
        </w:rPr>
        <w:t>（独立体或联合体各方）</w:t>
      </w:r>
      <w:r>
        <w:rPr>
          <w:rFonts w:hint="eastAsia" w:ascii="宋体" w:hAnsi="宋体" w:eastAsia="宋体" w:cs="宋体"/>
          <w:color w:val="auto"/>
        </w:rPr>
        <w:t>具有履行合同和项目执行保障能力；没有正</w:t>
      </w:r>
      <w:r>
        <w:rPr>
          <w:rFonts w:hint="eastAsia" w:ascii="宋体" w:hAnsi="宋体" w:eastAsia="宋体" w:cs="宋体"/>
          <w:color w:val="auto"/>
          <w:spacing w:val="-5"/>
        </w:rPr>
        <w:t>受到责令停业的行政处罚或正处于财务被接管、冻结、破产的状态；没有处于被</w:t>
      </w:r>
      <w:r>
        <w:rPr>
          <w:rFonts w:hint="eastAsia" w:ascii="宋体" w:hAnsi="宋体" w:eastAsia="宋体" w:cs="宋体"/>
          <w:color w:val="auto"/>
          <w:spacing w:val="-9"/>
        </w:rPr>
        <w:t>建设行政主管部门通报而取消相应投标资格的处罚期内；近3</w:t>
      </w:r>
      <w:r>
        <w:rPr>
          <w:rFonts w:hint="eastAsia" w:ascii="宋体" w:hAnsi="宋体" w:eastAsia="宋体" w:cs="宋体"/>
          <w:color w:val="auto"/>
          <w:spacing w:val="-55"/>
        </w:rPr>
        <w:t xml:space="preserve"> 年</w:t>
      </w:r>
      <w:r>
        <w:rPr>
          <w:rFonts w:hint="eastAsia" w:ascii="宋体" w:hAnsi="宋体" w:eastAsia="宋体" w:cs="宋体"/>
          <w:color w:val="auto"/>
        </w:rPr>
        <w:t>（2020</w:t>
      </w:r>
      <w:r>
        <w:rPr>
          <w:rFonts w:hint="eastAsia" w:ascii="宋体" w:hAnsi="宋体" w:eastAsia="宋体" w:cs="宋体"/>
          <w:color w:val="auto"/>
          <w:spacing w:val="-40"/>
        </w:rPr>
        <w:t xml:space="preserve">年 </w:t>
      </w:r>
      <w:r>
        <w:rPr>
          <w:rFonts w:hint="eastAsia" w:ascii="宋体" w:hAnsi="宋体" w:eastAsia="宋体" w:cs="宋体"/>
          <w:color w:val="auto"/>
        </w:rPr>
        <w:t>1</w:t>
      </w:r>
      <w:r>
        <w:rPr>
          <w:rFonts w:hint="eastAsia" w:ascii="宋体" w:hAnsi="宋体" w:eastAsia="宋体" w:cs="宋体"/>
          <w:color w:val="auto"/>
          <w:spacing w:val="-24"/>
        </w:rPr>
        <w:t>月</w:t>
      </w:r>
      <w:r>
        <w:rPr>
          <w:rFonts w:hint="eastAsia" w:ascii="宋体" w:hAnsi="宋体" w:eastAsia="宋体" w:cs="宋体"/>
          <w:color w:val="auto"/>
        </w:rPr>
        <w:t>1</w:t>
      </w:r>
      <w:r>
        <w:rPr>
          <w:rFonts w:hint="eastAsia" w:ascii="宋体" w:hAnsi="宋体" w:eastAsia="宋体" w:cs="宋体"/>
          <w:color w:val="auto"/>
          <w:spacing w:val="-7"/>
        </w:rPr>
        <w:t>日至投标登记截止之日</w:t>
      </w:r>
      <w:r>
        <w:rPr>
          <w:rFonts w:hint="eastAsia" w:ascii="宋体" w:hAnsi="宋体" w:eastAsia="宋体" w:cs="宋体"/>
          <w:color w:val="auto"/>
        </w:rPr>
        <w:t>）</w:t>
      </w:r>
      <w:r>
        <w:rPr>
          <w:rFonts w:hint="eastAsia" w:ascii="宋体" w:hAnsi="宋体" w:eastAsia="宋体" w:cs="宋体"/>
          <w:color w:val="auto"/>
          <w:spacing w:val="-1"/>
        </w:rPr>
        <w:t>没有被建设行政主管部门书面认定的重大工程质量问题；</w:t>
      </w:r>
      <w:r>
        <w:rPr>
          <w:rFonts w:hint="eastAsia" w:ascii="宋体" w:hAnsi="宋体" w:eastAsia="宋体" w:cs="宋体"/>
          <w:color w:val="auto"/>
        </w:rPr>
        <w:t>没有被国家列入失信被执行人名单。若查实不符合信誉要求，投标人</w:t>
      </w:r>
      <w:r>
        <w:rPr>
          <w:rFonts w:hint="eastAsia" w:ascii="宋体" w:hAnsi="宋体" w:eastAsia="宋体" w:cs="宋体"/>
          <w:color w:val="auto"/>
          <w:spacing w:val="-3"/>
        </w:rPr>
        <w:t>均按否决投标处理（由招标人在招标期间查实）</w:t>
      </w:r>
      <w:r>
        <w:rPr>
          <w:rFonts w:hint="eastAsia" w:ascii="宋体" w:hAnsi="宋体" w:eastAsia="宋体" w:cs="宋体"/>
          <w:color w:val="auto"/>
        </w:rPr>
        <w:t>。</w:t>
      </w:r>
    </w:p>
    <w:p>
      <w:pPr>
        <w:tabs>
          <w:tab w:val="left" w:pos="1240"/>
        </w:tabs>
        <w:ind w:right="53" w:rightChars="22" w:firstLine="468" w:firstLineChars="200"/>
        <w:rPr>
          <w:rFonts w:hint="eastAsia" w:ascii="宋体" w:hAnsi="宋体" w:eastAsia="宋体" w:cs="宋体"/>
          <w:color w:val="auto"/>
          <w:szCs w:val="24"/>
        </w:rPr>
      </w:pPr>
      <w:r>
        <w:rPr>
          <w:rFonts w:hint="eastAsia" w:ascii="宋体" w:hAnsi="宋体" w:eastAsia="宋体" w:cs="宋体"/>
          <w:color w:val="auto"/>
          <w:spacing w:val="-3"/>
          <w:szCs w:val="24"/>
        </w:rPr>
        <w:t>3.6 信用中国”网站（http://www.creditchina.gov.cn/)中被列入失信被执行人名单的投标人，在国家企业信用信息公示系统（www.gsxt.gov.cn）中被列入严重违法失信企业名单的投标人，均按否决投标处理，投标文件组成需提供查询打印页或网页截图证明材料并加盖投标人公章。</w:t>
      </w:r>
    </w:p>
    <w:p>
      <w:pPr>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3.7 本招标工程只接受投标人的总公司登记，不接受分公司登记。</w:t>
      </w:r>
    </w:p>
    <w:p>
      <w:pPr>
        <w:tabs>
          <w:tab w:val="left" w:pos="1300"/>
        </w:tabs>
        <w:ind w:right="53" w:rightChars="22" w:firstLine="482" w:firstLineChars="200"/>
        <w:rPr>
          <w:rFonts w:hint="eastAsia" w:ascii="宋体" w:hAnsi="宋体" w:eastAsia="宋体" w:cs="宋体"/>
          <w:b/>
          <w:bCs/>
          <w:color w:val="auto"/>
        </w:rPr>
      </w:pPr>
      <w:r>
        <w:rPr>
          <w:rFonts w:hint="eastAsia" w:ascii="宋体" w:hAnsi="宋体" w:eastAsia="宋体" w:cs="宋体"/>
          <w:b/>
          <w:bCs/>
          <w:color w:val="auto"/>
        </w:rPr>
        <w:t>4. 招标投标程序安排及要求</w:t>
      </w:r>
    </w:p>
    <w:p>
      <w:pPr>
        <w:tabs>
          <w:tab w:val="left" w:pos="1240"/>
        </w:tabs>
        <w:spacing w:line="364" w:lineRule="auto"/>
        <w:ind w:right="53" w:rightChars="22" w:firstLine="480" w:firstLineChars="200"/>
        <w:rPr>
          <w:rFonts w:hint="eastAsia" w:ascii="宋体" w:hAnsi="宋体" w:eastAsia="宋体" w:cs="宋体"/>
          <w:color w:val="auto"/>
          <w:spacing w:val="-1"/>
        </w:rPr>
      </w:pPr>
      <w:r>
        <w:rPr>
          <w:rFonts w:hint="eastAsia" w:ascii="宋体" w:hAnsi="宋体" w:eastAsia="宋体" w:cs="宋体"/>
          <w:color w:val="auto"/>
          <w:szCs w:val="24"/>
        </w:rPr>
        <w:t>4.1 本次招标不设置投标报名环节,实行网上投标登记，凡有意参加投标者，请于</w:t>
      </w:r>
      <w:r>
        <w:rPr>
          <w:rFonts w:hint="eastAsia" w:ascii="宋体" w:hAnsi="宋体" w:eastAsia="宋体" w:cs="宋体"/>
          <w:color w:val="auto"/>
          <w:szCs w:val="24"/>
          <w:lang w:val="en-US" w:eastAsia="zh-CN"/>
        </w:rPr>
        <w:t>招标公告发布时间起至投标截止时间止</w:t>
      </w:r>
      <w:r>
        <w:rPr>
          <w:rFonts w:hint="eastAsia" w:ascii="宋体" w:hAnsi="宋体" w:eastAsia="宋体" w:cs="宋体"/>
          <w:color w:val="auto"/>
          <w:szCs w:val="24"/>
        </w:rPr>
        <w:t>(北京时间，下同)，登录广州公共</w:t>
      </w:r>
      <w:r>
        <w:rPr>
          <w:rFonts w:hint="eastAsia" w:ascii="宋体" w:hAnsi="宋体" w:eastAsia="宋体" w:cs="宋体"/>
          <w:color w:val="auto"/>
          <w:spacing w:val="-3"/>
        </w:rPr>
        <w:t>资源交易中心网站（http//www.gzggzy.cn）下载电子招标文件。网上投标登记操作流程详见广州公共资源交易中心网站发布的最新版操作指引）。投标人须上述规定的时间（同上）前完成网上投标登记手续，逾期不受理。</w:t>
      </w:r>
    </w:p>
    <w:p>
      <w:pPr>
        <w:tabs>
          <w:tab w:val="left" w:pos="1240"/>
        </w:tabs>
        <w:spacing w:line="364" w:lineRule="auto"/>
        <w:ind w:right="53" w:rightChars="22" w:firstLine="468" w:firstLineChars="200"/>
        <w:rPr>
          <w:rFonts w:hint="eastAsia" w:ascii="宋体" w:hAnsi="宋体" w:eastAsia="宋体" w:cs="宋体"/>
          <w:color w:val="auto"/>
          <w:spacing w:val="-3"/>
        </w:rPr>
      </w:pPr>
      <w:r>
        <w:rPr>
          <w:rFonts w:hint="eastAsia" w:ascii="宋体" w:hAnsi="宋体" w:eastAsia="宋体" w:cs="宋体"/>
          <w:color w:val="auto"/>
          <w:spacing w:val="-3"/>
        </w:rPr>
        <w:t>4.2 招标公告发布时间为：</w:t>
      </w:r>
      <w:r>
        <w:rPr>
          <w:rFonts w:hint="eastAsia" w:ascii="宋体" w:hAnsi="宋体" w:eastAsia="宋体" w:cs="宋体"/>
          <w:color w:val="auto"/>
          <w:szCs w:val="24"/>
        </w:rPr>
        <w:t>2023年</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4</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28</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19</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时</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30</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分</w:t>
      </w:r>
      <w:r>
        <w:rPr>
          <w:rFonts w:hint="eastAsia" w:ascii="宋体" w:hAnsi="宋体" w:eastAsia="宋体" w:cs="宋体"/>
          <w:color w:val="auto"/>
          <w:spacing w:val="-3"/>
        </w:rPr>
        <w:t>。(北京时间，下同)。</w:t>
      </w:r>
    </w:p>
    <w:p>
      <w:pPr>
        <w:tabs>
          <w:tab w:val="left" w:pos="1240"/>
        </w:tabs>
        <w:spacing w:line="364" w:lineRule="auto"/>
        <w:ind w:right="53" w:rightChars="22" w:firstLine="468" w:firstLineChars="200"/>
        <w:rPr>
          <w:rFonts w:hint="eastAsia" w:ascii="宋体" w:hAnsi="宋体" w:eastAsia="宋体" w:cs="宋体"/>
          <w:color w:val="auto"/>
          <w:spacing w:val="-3"/>
        </w:rPr>
      </w:pPr>
      <w:r>
        <w:rPr>
          <w:rFonts w:hint="eastAsia" w:ascii="宋体" w:hAnsi="宋体" w:eastAsia="宋体" w:cs="宋体"/>
          <w:color w:val="auto"/>
          <w:spacing w:val="-3"/>
        </w:rPr>
        <w:t>4.3 答疑提问截止时间：</w:t>
      </w:r>
      <w:r>
        <w:rPr>
          <w:rFonts w:hint="eastAsia" w:ascii="宋体" w:hAnsi="宋体" w:eastAsia="宋体" w:cs="宋体"/>
          <w:color w:val="auto"/>
          <w:szCs w:val="24"/>
        </w:rPr>
        <w:t>2023年</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5</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5</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17</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时</w:t>
      </w:r>
      <w:r>
        <w:rPr>
          <w:rFonts w:hint="eastAsia" w:ascii="宋体" w:hAnsi="宋体" w:eastAsia="宋体" w:cs="宋体"/>
          <w:color w:val="auto"/>
          <w:spacing w:val="-3"/>
        </w:rPr>
        <w:t>。提问为匿名方式，通过：广州公共资源交易中心网站提出，（详细操作查阅广州公共资源交易中心网站操作指引）。</w:t>
      </w:r>
    </w:p>
    <w:p>
      <w:pPr>
        <w:tabs>
          <w:tab w:val="left" w:pos="1240"/>
        </w:tabs>
        <w:spacing w:line="364" w:lineRule="auto"/>
        <w:ind w:right="53" w:rightChars="22" w:firstLine="468" w:firstLineChars="200"/>
        <w:rPr>
          <w:rFonts w:hint="eastAsia" w:ascii="宋体" w:hAnsi="宋体" w:eastAsia="宋体" w:cs="宋体"/>
          <w:color w:val="auto"/>
          <w:spacing w:val="-3"/>
        </w:rPr>
      </w:pPr>
      <w:r>
        <w:rPr>
          <w:rFonts w:hint="eastAsia" w:ascii="宋体" w:hAnsi="宋体" w:eastAsia="宋体" w:cs="宋体"/>
          <w:color w:val="auto"/>
          <w:spacing w:val="-3"/>
        </w:rPr>
        <w:t>4.4 招标文件答疑、澄清、修改或补充内容</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"http://zb.zjcic.net），发布答疑时间为" </w:instrText>
      </w:r>
      <w:r>
        <w:rPr>
          <w:rFonts w:hint="eastAsia" w:ascii="宋体" w:hAnsi="宋体" w:eastAsia="宋体" w:cs="宋体"/>
          <w:color w:val="auto"/>
        </w:rPr>
        <w:fldChar w:fldCharType="separate"/>
      </w:r>
      <w:r>
        <w:rPr>
          <w:rFonts w:hint="eastAsia" w:ascii="宋体" w:hAnsi="宋体" w:eastAsia="宋体" w:cs="宋体"/>
          <w:color w:val="auto"/>
          <w:spacing w:val="-3"/>
        </w:rPr>
        <w:t>发布时间：</w:t>
      </w:r>
      <w:r>
        <w:rPr>
          <w:rFonts w:hint="eastAsia" w:ascii="宋体" w:hAnsi="宋体" w:eastAsia="宋体" w:cs="宋体"/>
          <w:color w:val="auto"/>
          <w:spacing w:val="-3"/>
        </w:rPr>
        <w:fldChar w:fldCharType="end"/>
      </w:r>
      <w:r>
        <w:rPr>
          <w:rFonts w:hint="eastAsia" w:ascii="宋体" w:hAnsi="宋体" w:eastAsia="宋体" w:cs="宋体"/>
          <w:color w:val="auto"/>
          <w:szCs w:val="24"/>
        </w:rPr>
        <w:t>2023年</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5</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8</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17</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时</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0</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分</w:t>
      </w:r>
      <w:r>
        <w:rPr>
          <w:rFonts w:hint="eastAsia" w:ascii="宋体" w:hAnsi="宋体" w:eastAsia="宋体" w:cs="宋体"/>
          <w:color w:val="auto"/>
          <w:spacing w:val="-3"/>
        </w:rPr>
        <w:t>。统一在广州公共资源交易中心网站发布。</w:t>
      </w:r>
    </w:p>
    <w:p>
      <w:pPr>
        <w:tabs>
          <w:tab w:val="left" w:pos="1240"/>
        </w:tabs>
        <w:spacing w:line="364" w:lineRule="auto"/>
        <w:ind w:right="53" w:rightChars="22" w:firstLine="468" w:firstLineChars="200"/>
        <w:rPr>
          <w:rFonts w:hint="eastAsia" w:ascii="宋体" w:hAnsi="宋体" w:eastAsia="宋体" w:cs="宋体"/>
          <w:color w:val="auto"/>
          <w:spacing w:val="-3"/>
        </w:rPr>
      </w:pPr>
      <w:r>
        <w:rPr>
          <w:rFonts w:hint="eastAsia" w:ascii="宋体" w:hAnsi="宋体" w:eastAsia="宋体" w:cs="宋体"/>
          <w:color w:val="auto"/>
          <w:spacing w:val="-3"/>
        </w:rPr>
        <w:t>4.5 投标（纸质版</w:t>
      </w:r>
      <w:r>
        <w:rPr>
          <w:rFonts w:hint="eastAsia" w:ascii="宋体" w:hAnsi="宋体" w:eastAsia="宋体" w:cs="宋体"/>
          <w:color w:val="auto"/>
          <w:spacing w:val="-3"/>
          <w:lang w:val="en-US" w:eastAsia="zh-CN"/>
        </w:rPr>
        <w:t>投标文件</w:t>
      </w:r>
      <w:r>
        <w:rPr>
          <w:rFonts w:hint="eastAsia" w:ascii="宋体" w:hAnsi="宋体" w:eastAsia="宋体" w:cs="宋体"/>
          <w:color w:val="auto"/>
          <w:spacing w:val="-3"/>
        </w:rPr>
        <w:t>）截止时间：</w:t>
      </w:r>
      <w:r>
        <w:rPr>
          <w:rFonts w:hint="eastAsia" w:ascii="宋体" w:hAnsi="宋体" w:eastAsia="宋体" w:cs="宋体"/>
          <w:color w:val="auto"/>
          <w:szCs w:val="24"/>
        </w:rPr>
        <w:t>2023年</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5</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23</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12</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时</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30</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分</w:t>
      </w:r>
      <w:r>
        <w:rPr>
          <w:rFonts w:hint="eastAsia" w:ascii="宋体" w:hAnsi="宋体" w:eastAsia="宋体" w:cs="宋体"/>
          <w:color w:val="auto"/>
          <w:spacing w:val="-3"/>
        </w:rPr>
        <w:t>。递交地址：广州公共资源交易中心</w:t>
      </w:r>
      <w:r>
        <w:rPr>
          <w:rFonts w:hint="eastAsia" w:ascii="宋体" w:hAnsi="宋体" w:eastAsia="宋体" w:cs="宋体"/>
          <w:color w:val="auto"/>
          <w:spacing w:val="-3"/>
          <w:u w:val="single"/>
        </w:rPr>
        <w:t xml:space="preserve"> </w:t>
      </w:r>
      <w:r>
        <w:rPr>
          <w:rFonts w:hint="eastAsia" w:ascii="宋体" w:hAnsi="宋体" w:cs="宋体"/>
          <w:color w:val="auto"/>
          <w:spacing w:val="-3"/>
          <w:u w:val="single"/>
          <w:lang w:val="en-US" w:eastAsia="zh-CN"/>
        </w:rPr>
        <w:t>10</w:t>
      </w:r>
      <w:r>
        <w:rPr>
          <w:rFonts w:hint="eastAsia" w:ascii="宋体" w:hAnsi="宋体" w:eastAsia="宋体" w:cs="宋体"/>
          <w:color w:val="auto"/>
          <w:spacing w:val="-3"/>
          <w:u w:val="single"/>
        </w:rPr>
        <w:t xml:space="preserve"> </w:t>
      </w:r>
      <w:r>
        <w:rPr>
          <w:rFonts w:hint="eastAsia" w:ascii="宋体" w:hAnsi="宋体" w:eastAsia="宋体" w:cs="宋体"/>
          <w:color w:val="auto"/>
          <w:spacing w:val="-3"/>
        </w:rPr>
        <w:t>号开标室(广州市天河区天润路333号)。</w:t>
      </w:r>
    </w:p>
    <w:p>
      <w:pPr>
        <w:tabs>
          <w:tab w:val="left" w:pos="1240"/>
        </w:tabs>
        <w:spacing w:line="364" w:lineRule="auto"/>
        <w:ind w:right="53" w:rightChars="22" w:firstLine="468" w:firstLineChars="200"/>
        <w:rPr>
          <w:rFonts w:hint="eastAsia" w:ascii="宋体" w:hAnsi="宋体" w:eastAsia="宋体" w:cs="宋体"/>
          <w:color w:val="auto"/>
          <w:spacing w:val="-3"/>
        </w:rPr>
      </w:pPr>
      <w:r>
        <w:rPr>
          <w:rFonts w:hint="eastAsia" w:ascii="宋体" w:hAnsi="宋体" w:eastAsia="宋体" w:cs="宋体"/>
          <w:color w:val="auto"/>
          <w:spacing w:val="-3"/>
        </w:rPr>
        <w:t>4.6 开标时间：</w:t>
      </w:r>
      <w:r>
        <w:rPr>
          <w:rFonts w:hint="eastAsia" w:ascii="宋体" w:hAnsi="宋体" w:eastAsia="宋体" w:cs="宋体"/>
          <w:color w:val="auto"/>
          <w:szCs w:val="24"/>
        </w:rPr>
        <w:t>2023年</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5</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23</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12</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时</w:t>
      </w:r>
      <w:r>
        <w:rPr>
          <w:rFonts w:hint="eastAsia" w:ascii="宋体" w:hAnsi="宋体" w:eastAsia="宋体" w:cs="宋体"/>
          <w:color w:val="auto"/>
          <w:szCs w:val="24"/>
          <w:u w:val="single"/>
        </w:rPr>
        <w:t xml:space="preserve"> </w:t>
      </w:r>
      <w:r>
        <w:rPr>
          <w:rFonts w:hint="eastAsia" w:ascii="宋体" w:hAnsi="宋体" w:cs="宋体"/>
          <w:color w:val="auto"/>
          <w:szCs w:val="24"/>
          <w:u w:val="single"/>
          <w:lang w:val="en-US" w:eastAsia="zh-CN"/>
        </w:rPr>
        <w:t>30</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分</w:t>
      </w:r>
      <w:r>
        <w:rPr>
          <w:rFonts w:hint="eastAsia" w:ascii="宋体" w:hAnsi="宋体" w:eastAsia="宋体" w:cs="宋体"/>
          <w:color w:val="auto"/>
          <w:spacing w:val="-3"/>
        </w:rPr>
        <w:t>。开标地点：广州公共资源交易中心</w:t>
      </w:r>
      <w:r>
        <w:rPr>
          <w:rFonts w:hint="eastAsia" w:ascii="宋体" w:hAnsi="宋体" w:eastAsia="宋体" w:cs="宋体"/>
          <w:color w:val="auto"/>
          <w:spacing w:val="-3"/>
          <w:u w:val="single"/>
        </w:rPr>
        <w:t xml:space="preserve"> </w:t>
      </w:r>
      <w:r>
        <w:rPr>
          <w:rFonts w:hint="eastAsia" w:ascii="宋体" w:hAnsi="宋体" w:cs="宋体"/>
          <w:color w:val="auto"/>
          <w:spacing w:val="-3"/>
          <w:u w:val="single"/>
          <w:lang w:val="en-US" w:eastAsia="zh-CN"/>
        </w:rPr>
        <w:t>10</w:t>
      </w:r>
      <w:r>
        <w:rPr>
          <w:rFonts w:hint="eastAsia" w:ascii="宋体" w:hAnsi="宋体" w:eastAsia="宋体" w:cs="宋体"/>
          <w:color w:val="auto"/>
          <w:spacing w:val="-3"/>
          <w:u w:val="single"/>
        </w:rPr>
        <w:t xml:space="preserve">  </w:t>
      </w:r>
      <w:r>
        <w:rPr>
          <w:rFonts w:hint="eastAsia" w:ascii="宋体" w:hAnsi="宋体" w:eastAsia="宋体" w:cs="宋体"/>
          <w:color w:val="auto"/>
          <w:spacing w:val="-3"/>
        </w:rPr>
        <w:t>号开标室(广州市天河区天润路333号)。</w:t>
      </w:r>
      <w:bookmarkStart w:id="910" w:name="_GoBack"/>
      <w:bookmarkEnd w:id="910"/>
    </w:p>
    <w:p>
      <w:pPr>
        <w:tabs>
          <w:tab w:val="left" w:pos="1240"/>
        </w:tabs>
        <w:spacing w:line="364" w:lineRule="auto"/>
        <w:ind w:right="53" w:rightChars="22" w:firstLine="468" w:firstLineChars="200"/>
        <w:rPr>
          <w:rFonts w:hint="eastAsia" w:ascii="宋体" w:hAnsi="宋体" w:eastAsia="宋体" w:cs="宋体"/>
          <w:color w:val="auto"/>
          <w:spacing w:val="-3"/>
        </w:rPr>
      </w:pPr>
      <w:r>
        <w:rPr>
          <w:rFonts w:hint="eastAsia" w:ascii="宋体" w:hAnsi="宋体" w:eastAsia="宋体" w:cs="宋体"/>
          <w:color w:val="auto"/>
          <w:spacing w:val="-3"/>
        </w:rPr>
        <w:t>4.7 逾期送达的、未送达指定地点的、不按照招标文件要求密封的投标文件，招标人或招标代理将予以拒收。</w:t>
      </w:r>
    </w:p>
    <w:p>
      <w:pPr>
        <w:tabs>
          <w:tab w:val="left" w:pos="1240"/>
        </w:tabs>
        <w:spacing w:line="364" w:lineRule="auto"/>
        <w:ind w:right="53" w:rightChars="22" w:firstLine="470" w:firstLineChars="200"/>
        <w:rPr>
          <w:rFonts w:hint="eastAsia" w:ascii="宋体" w:hAnsi="宋体" w:eastAsia="宋体" w:cs="宋体"/>
          <w:color w:val="auto"/>
          <w:spacing w:val="-3"/>
        </w:rPr>
      </w:pPr>
      <w:r>
        <w:rPr>
          <w:rFonts w:hint="eastAsia" w:ascii="宋体" w:hAnsi="宋体" w:eastAsia="宋体" w:cs="宋体"/>
          <w:b/>
          <w:bCs/>
          <w:color w:val="auto"/>
          <w:spacing w:val="-3"/>
        </w:rPr>
        <w:t>注明：</w:t>
      </w:r>
      <w:r>
        <w:rPr>
          <w:rFonts w:hint="eastAsia" w:ascii="宋体" w:hAnsi="宋体" w:eastAsia="宋体" w:cs="宋体"/>
          <w:color w:val="auto"/>
          <w:spacing w:val="-3"/>
        </w:rPr>
        <w:t>本项目招标文件及相关资料随招标公告一并在广州公共资源交易中心及广东省招标投标监管网网站发布。招标文件一经在广州公共资源交易中心及广东省招标投标监管网发布，视为送达给各投标人，招标文件及项目相关资料由投标人自行在广州公共资源交易中心网站下载。</w:t>
      </w:r>
    </w:p>
    <w:p>
      <w:pPr>
        <w:tabs>
          <w:tab w:val="left" w:pos="1240"/>
        </w:tabs>
        <w:spacing w:line="364" w:lineRule="auto"/>
        <w:ind w:right="53" w:rightChars="22" w:firstLine="468" w:firstLineChars="200"/>
        <w:rPr>
          <w:rFonts w:hint="eastAsia" w:ascii="宋体" w:hAnsi="宋体" w:eastAsia="宋体" w:cs="宋体"/>
          <w:color w:val="auto"/>
          <w:spacing w:val="-3"/>
        </w:rPr>
      </w:pPr>
      <w:r>
        <w:rPr>
          <w:rFonts w:hint="eastAsia" w:ascii="宋体" w:hAnsi="宋体" w:eastAsia="宋体" w:cs="宋体"/>
          <w:color w:val="auto"/>
          <w:spacing w:val="-3"/>
        </w:rPr>
        <w:t>4.8 投标人必须在广州交易集团有限公司（广州公共资源交易中心）办理企业信息登记（包括企业及人员信息）和项目负责人信息登记，未办理企业信息登记的无法进行网上投标登记。企业信息登记和项目负责人信息登记，详见广州公共资源交易中心网站服务指南。</w:t>
      </w:r>
    </w:p>
    <w:p>
      <w:pPr>
        <w:numPr>
          <w:ilvl w:val="0"/>
          <w:numId w:val="6"/>
        </w:numPr>
        <w:tabs>
          <w:tab w:val="left" w:pos="1240"/>
        </w:tabs>
        <w:spacing w:line="440" w:lineRule="exact"/>
        <w:ind w:right="53" w:rightChars="22" w:firstLine="482" w:firstLineChars="200"/>
        <w:rPr>
          <w:rFonts w:hint="eastAsia" w:ascii="宋体" w:hAnsi="宋体" w:eastAsia="宋体" w:cs="宋体"/>
          <w:b/>
          <w:color w:val="auto"/>
        </w:rPr>
      </w:pPr>
      <w:r>
        <w:rPr>
          <w:rFonts w:hint="eastAsia" w:ascii="宋体" w:hAnsi="宋体" w:eastAsia="宋体" w:cs="宋体"/>
          <w:b/>
          <w:color w:val="auto"/>
        </w:rPr>
        <w:t>招标文件的获取</w:t>
      </w:r>
    </w:p>
    <w:p>
      <w:pPr>
        <w:tabs>
          <w:tab w:val="left" w:pos="1240"/>
        </w:tabs>
        <w:spacing w:line="440" w:lineRule="exact"/>
        <w:ind w:right="53" w:rightChars="22" w:firstLine="480" w:firstLineChars="200"/>
        <w:rPr>
          <w:rFonts w:hint="eastAsia" w:ascii="宋体" w:hAnsi="宋体" w:eastAsia="宋体" w:cs="宋体"/>
          <w:color w:val="auto"/>
        </w:rPr>
      </w:pPr>
      <w:r>
        <w:rPr>
          <w:rFonts w:hint="eastAsia" w:ascii="宋体" w:hAnsi="宋体" w:eastAsia="宋体" w:cs="宋体"/>
          <w:color w:val="auto"/>
        </w:rPr>
        <w:t>5.1 凡有意参加投标者，请于招标公告发布之日起至投标截止时间内，登录广州公共资源交易中心门户网站查看并下载招标文件以及项目有关资料。</w:t>
      </w:r>
    </w:p>
    <w:p>
      <w:pPr>
        <w:numPr>
          <w:ilvl w:val="0"/>
          <w:numId w:val="7"/>
        </w:numPr>
        <w:tabs>
          <w:tab w:val="left" w:pos="1240"/>
        </w:tabs>
        <w:spacing w:line="440" w:lineRule="exact"/>
        <w:ind w:right="53" w:rightChars="22" w:firstLine="482" w:firstLineChars="200"/>
        <w:rPr>
          <w:rFonts w:hint="eastAsia" w:ascii="宋体" w:hAnsi="宋体" w:eastAsia="宋体" w:cs="宋体"/>
          <w:b/>
          <w:color w:val="auto"/>
        </w:rPr>
      </w:pPr>
      <w:r>
        <w:rPr>
          <w:rFonts w:hint="eastAsia" w:ascii="宋体" w:hAnsi="宋体" w:eastAsia="宋体" w:cs="宋体"/>
          <w:b/>
          <w:color w:val="auto"/>
        </w:rPr>
        <w:t>发布公告的媒介</w:t>
      </w:r>
    </w:p>
    <w:p>
      <w:pPr>
        <w:tabs>
          <w:tab w:val="left" w:pos="1240"/>
        </w:tabs>
        <w:spacing w:line="440" w:lineRule="exact"/>
        <w:ind w:right="53" w:rightChars="22" w:firstLine="480" w:firstLineChars="200"/>
        <w:rPr>
          <w:rFonts w:hint="eastAsia" w:ascii="宋体" w:hAnsi="宋体" w:eastAsia="宋体" w:cs="宋体"/>
          <w:color w:val="auto"/>
        </w:rPr>
      </w:pPr>
      <w:r>
        <w:rPr>
          <w:rFonts w:hint="eastAsia" w:ascii="宋体" w:hAnsi="宋体" w:eastAsia="宋体" w:cs="宋体"/>
          <w:color w:val="auto"/>
        </w:rPr>
        <w:t>6.1 本次招标公告同时在</w:t>
      </w:r>
      <w:r>
        <w:rPr>
          <w:rFonts w:hint="eastAsia" w:ascii="宋体" w:hAnsi="宋体" w:eastAsia="宋体" w:cs="宋体"/>
          <w:b/>
          <w:color w:val="auto"/>
          <w:spacing w:val="-19"/>
          <w:szCs w:val="24"/>
          <w:u w:val="single"/>
          <w:lang w:bidi="zh-CN"/>
        </w:rPr>
        <w:t>广州公共资源交易中心门户网站、广东省招标投标监管门户网站</w:t>
      </w:r>
      <w:r>
        <w:rPr>
          <w:rFonts w:hint="eastAsia" w:ascii="宋体" w:hAnsi="宋体" w:eastAsia="宋体" w:cs="宋体"/>
          <w:color w:val="auto"/>
        </w:rPr>
        <w:t>等媒介上发布。公告内容和时间不一致时，以广州公共资源交易中心网站发布的为准。招标人的澄清（答疑）、补充、修改等文件一律通过广州公共资源交易中心门户网站发布。</w:t>
      </w:r>
    </w:p>
    <w:p>
      <w:pPr>
        <w:pStyle w:val="3"/>
        <w:spacing w:line="440" w:lineRule="exact"/>
        <w:ind w:right="53" w:rightChars="22" w:firstLine="482" w:firstLineChars="200"/>
        <w:jc w:val="both"/>
        <w:rPr>
          <w:rFonts w:hint="eastAsia" w:ascii="宋体" w:hAnsi="宋体" w:eastAsia="宋体" w:cs="宋体"/>
          <w:b/>
          <w:color w:val="auto"/>
        </w:rPr>
      </w:pPr>
      <w:r>
        <w:rPr>
          <w:rFonts w:hint="eastAsia" w:ascii="宋体" w:hAnsi="宋体" w:eastAsia="宋体" w:cs="宋体"/>
          <w:b/>
          <w:color w:val="auto"/>
        </w:rPr>
        <w:t>7.异议与投诉</w:t>
      </w:r>
    </w:p>
    <w:p>
      <w:pPr>
        <w:pStyle w:val="3"/>
        <w:spacing w:line="440" w:lineRule="exact"/>
        <w:ind w:right="53" w:rightChars="22" w:firstLine="480" w:firstLineChars="200"/>
        <w:jc w:val="both"/>
        <w:rPr>
          <w:rFonts w:hint="eastAsia" w:ascii="宋体" w:hAnsi="宋体" w:eastAsia="宋体" w:cs="宋体"/>
          <w:color w:val="auto"/>
          <w:szCs w:val="22"/>
          <w:lang w:bidi="zh-CN"/>
        </w:rPr>
      </w:pPr>
      <w:r>
        <w:rPr>
          <w:rFonts w:hint="eastAsia" w:ascii="宋体" w:hAnsi="宋体" w:eastAsia="宋体" w:cs="宋体"/>
          <w:color w:val="auto"/>
          <w:szCs w:val="22"/>
          <w:lang w:bidi="zh-CN"/>
        </w:rPr>
        <w:t>7.1 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宋体" w:hAnsi="宋体" w:eastAsia="宋体" w:cs="宋体"/>
          <w:b/>
          <w:color w:val="auto"/>
          <w:spacing w:val="-19"/>
          <w:szCs w:val="24"/>
          <w:u w:val="single"/>
          <w:lang w:bidi="zh-CN"/>
        </w:rPr>
        <w:t>湛江经济技术开发区住房和规划建设局</w:t>
      </w:r>
      <w:r>
        <w:rPr>
          <w:rFonts w:hint="eastAsia" w:ascii="宋体" w:hAnsi="宋体" w:eastAsia="宋体" w:cs="宋体"/>
          <w:color w:val="auto"/>
          <w:szCs w:val="22"/>
          <w:lang w:bidi="zh-CN"/>
        </w:rPr>
        <w:t>实名投诉，电话：</w:t>
      </w:r>
      <w:r>
        <w:rPr>
          <w:rFonts w:hint="eastAsia" w:ascii="宋体" w:hAnsi="宋体" w:eastAsia="宋体" w:cs="宋体"/>
          <w:color w:val="auto"/>
          <w:szCs w:val="22"/>
          <w:u w:val="single"/>
          <w:lang w:bidi="zh-CN"/>
        </w:rPr>
        <w:t xml:space="preserve"> </w:t>
      </w:r>
      <w:r>
        <w:rPr>
          <w:rFonts w:hint="eastAsia" w:ascii="宋体" w:hAnsi="宋体" w:eastAsia="宋体" w:cs="宋体"/>
          <w:b/>
          <w:color w:val="auto"/>
          <w:spacing w:val="-19"/>
          <w:szCs w:val="24"/>
          <w:u w:val="single"/>
          <w:lang w:bidi="zh-CN"/>
        </w:rPr>
        <w:t>0759-3398603</w:t>
      </w:r>
      <w:r>
        <w:rPr>
          <w:rFonts w:hint="eastAsia" w:ascii="宋体" w:hAnsi="宋体" w:eastAsia="宋体" w:cs="宋体"/>
          <w:color w:val="auto"/>
          <w:szCs w:val="22"/>
          <w:u w:val="single"/>
          <w:lang w:bidi="zh-CN"/>
        </w:rPr>
        <w:t xml:space="preserve"> </w:t>
      </w:r>
      <w:r>
        <w:rPr>
          <w:rFonts w:hint="eastAsia" w:ascii="宋体" w:hAnsi="宋体" w:eastAsia="宋体" w:cs="宋体"/>
          <w:color w:val="auto"/>
          <w:szCs w:val="22"/>
          <w:lang w:bidi="zh-CN"/>
        </w:rPr>
        <w:t>。（投诉应当有明确的请求和必要的证明材料，具体要求依照《工程建设项目招标投标活动投诉处理办法》。</w:t>
      </w:r>
    </w:p>
    <w:p>
      <w:pPr>
        <w:pStyle w:val="3"/>
        <w:spacing w:line="440" w:lineRule="exact"/>
        <w:ind w:right="53" w:rightChars="22" w:firstLine="480" w:firstLineChars="200"/>
        <w:jc w:val="both"/>
        <w:rPr>
          <w:rFonts w:hint="eastAsia" w:ascii="宋体" w:hAnsi="宋体" w:eastAsia="宋体" w:cs="宋体"/>
          <w:color w:val="auto"/>
          <w:szCs w:val="22"/>
          <w:lang w:bidi="zh-CN"/>
        </w:rPr>
      </w:pPr>
      <w:r>
        <w:rPr>
          <w:rFonts w:hint="eastAsia" w:ascii="宋体" w:hAnsi="宋体" w:eastAsia="宋体" w:cs="宋体"/>
          <w:color w:val="auto"/>
          <w:szCs w:val="22"/>
          <w:lang w:bidi="zh-CN"/>
        </w:rPr>
        <w:t>7.2 潜在投标人或其他利害关系人应当充分重视异议、投诉提出的时限，避免异议权、投诉权因时效原因而消失。</w:t>
      </w:r>
    </w:p>
    <w:p>
      <w:pPr>
        <w:pStyle w:val="3"/>
        <w:spacing w:line="440" w:lineRule="exact"/>
        <w:ind w:right="53" w:rightChars="22" w:firstLine="480" w:firstLineChars="200"/>
        <w:jc w:val="both"/>
        <w:rPr>
          <w:rFonts w:hint="eastAsia" w:ascii="宋体" w:hAnsi="宋体" w:eastAsia="宋体" w:cs="宋体"/>
          <w:color w:val="auto"/>
          <w:szCs w:val="22"/>
          <w:lang w:bidi="zh-CN"/>
        </w:rPr>
      </w:pPr>
      <w:r>
        <w:rPr>
          <w:rFonts w:hint="eastAsia" w:ascii="宋体" w:hAnsi="宋体" w:eastAsia="宋体" w:cs="宋体"/>
          <w:color w:val="auto"/>
          <w:szCs w:val="22"/>
          <w:lang w:bidi="zh-CN"/>
        </w:rPr>
        <w:t>7.3 本招标公告未尽事宜，执行本工程的招标文件及有关法律法规规定。</w:t>
      </w:r>
    </w:p>
    <w:p>
      <w:pPr>
        <w:pStyle w:val="3"/>
        <w:spacing w:line="440" w:lineRule="exact"/>
        <w:ind w:right="53" w:rightChars="22" w:firstLine="482" w:firstLineChars="200"/>
        <w:jc w:val="both"/>
        <w:rPr>
          <w:rFonts w:hint="eastAsia" w:ascii="宋体" w:hAnsi="宋体" w:eastAsia="宋体" w:cs="宋体"/>
          <w:b/>
          <w:color w:val="auto"/>
        </w:rPr>
      </w:pPr>
      <w:r>
        <w:rPr>
          <w:rFonts w:hint="eastAsia" w:ascii="宋体" w:hAnsi="宋体" w:eastAsia="宋体" w:cs="宋体"/>
          <w:b/>
          <w:color w:val="auto"/>
        </w:rPr>
        <w:t>8. 联系方式</w:t>
      </w:r>
    </w:p>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 xml:space="preserve">招标人：湛江经济技术开发区城市综合管理局      </w:t>
      </w:r>
    </w:p>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 xml:space="preserve">地  址：广东省湛江市霞山区人民大道中24号之一                                                  </w:t>
      </w:r>
    </w:p>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 xml:space="preserve">联系人：陈碧静            </w:t>
      </w:r>
    </w:p>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 xml:space="preserve">联系电话：0759-3628912  </w:t>
      </w:r>
    </w:p>
    <w:p>
      <w:pPr>
        <w:pStyle w:val="3"/>
        <w:spacing w:line="440" w:lineRule="exact"/>
        <w:ind w:left="480" w:leftChars="200" w:right="53" w:rightChars="22"/>
        <w:jc w:val="both"/>
        <w:rPr>
          <w:rFonts w:hint="eastAsia" w:ascii="宋体" w:hAnsi="宋体" w:eastAsia="宋体" w:cs="宋体"/>
          <w:color w:val="auto"/>
        </w:rPr>
      </w:pPr>
    </w:p>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招标代理：</w:t>
      </w:r>
      <w:bookmarkStart w:id="9" w:name="_Hlk9192778"/>
      <w:r>
        <w:rPr>
          <w:rFonts w:hint="eastAsia" w:ascii="宋体" w:hAnsi="宋体" w:eastAsia="宋体" w:cs="宋体"/>
          <w:color w:val="auto"/>
        </w:rPr>
        <w:t>广东华冠工程管理有限公司</w:t>
      </w:r>
    </w:p>
    <w:bookmarkEnd w:id="9"/>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地</w:t>
      </w:r>
      <w:r>
        <w:rPr>
          <w:rFonts w:hint="eastAsia" w:ascii="宋体" w:hAnsi="宋体" w:eastAsia="宋体" w:cs="宋体"/>
          <w:color w:val="auto"/>
        </w:rPr>
        <w:tab/>
      </w:r>
      <w:r>
        <w:rPr>
          <w:rFonts w:hint="eastAsia" w:ascii="宋体" w:hAnsi="宋体" w:eastAsia="宋体" w:cs="宋体"/>
          <w:color w:val="auto"/>
        </w:rPr>
        <w:t>址：湛江市赤坎区海北路九号之一鹰展假日广场第8层第03A、05、06、07号</w:t>
      </w:r>
    </w:p>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联 系 人：</w:t>
      </w:r>
      <w:r>
        <w:rPr>
          <w:rFonts w:hint="eastAsia" w:ascii="宋体" w:hAnsi="宋体" w:eastAsia="宋体" w:cs="宋体"/>
          <w:color w:val="auto"/>
          <w:lang w:val="en-US" w:eastAsia="zh-CN"/>
        </w:rPr>
        <w:t>李晓</w:t>
      </w:r>
      <w:r>
        <w:rPr>
          <w:rFonts w:hint="eastAsia" w:ascii="宋体" w:hAnsi="宋体" w:eastAsia="宋体" w:cs="宋体"/>
          <w:color w:val="auto"/>
        </w:rPr>
        <w:t xml:space="preserve"> </w:t>
      </w:r>
      <w:r>
        <w:rPr>
          <w:rFonts w:hint="eastAsia" w:ascii="宋体" w:hAnsi="宋体" w:eastAsia="宋体" w:cs="宋体"/>
          <w:color w:val="auto"/>
        </w:rPr>
        <w:tab/>
      </w:r>
      <w:r>
        <w:rPr>
          <w:rFonts w:hint="eastAsia" w:ascii="宋体" w:hAnsi="宋体" w:eastAsia="宋体" w:cs="宋体"/>
          <w:color w:val="auto"/>
        </w:rPr>
        <w:t xml:space="preserve">            </w:t>
      </w:r>
    </w:p>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联系电话：19849244881</w:t>
      </w:r>
    </w:p>
    <w:p>
      <w:pPr>
        <w:pStyle w:val="3"/>
        <w:spacing w:line="440" w:lineRule="exact"/>
        <w:ind w:left="480" w:leftChars="200" w:right="53" w:rightChars="22"/>
        <w:jc w:val="both"/>
        <w:rPr>
          <w:rFonts w:hint="eastAsia" w:ascii="宋体" w:hAnsi="宋体" w:eastAsia="宋体" w:cs="宋体"/>
          <w:color w:val="auto"/>
        </w:rPr>
      </w:pPr>
      <w:r>
        <w:rPr>
          <w:rFonts w:hint="eastAsia" w:ascii="宋体" w:hAnsi="宋体" w:eastAsia="宋体" w:cs="宋体"/>
          <w:color w:val="auto"/>
        </w:rPr>
        <w:t>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"mailto:zj3289979@126.com" \h </w:instrText>
      </w:r>
      <w:r>
        <w:rPr>
          <w:rFonts w:hint="eastAsia" w:ascii="宋体" w:hAnsi="宋体" w:eastAsia="宋体" w:cs="宋体"/>
          <w:color w:val="auto"/>
        </w:rPr>
        <w:fldChar w:fldCharType="separate"/>
      </w:r>
      <w:r>
        <w:rPr>
          <w:rFonts w:hint="eastAsia" w:ascii="宋体" w:hAnsi="宋体" w:eastAsia="宋体" w:cs="宋体"/>
          <w:color w:val="auto"/>
        </w:rPr>
        <w:t>箱：</w:t>
      </w:r>
      <w:r>
        <w:rPr>
          <w:rFonts w:hint="eastAsia" w:ascii="宋体" w:hAnsi="宋体" w:eastAsia="宋体" w:cs="宋体"/>
          <w:color w:val="auto"/>
        </w:rPr>
        <w:fldChar w:fldCharType="end"/>
      </w:r>
      <w:r>
        <w:rPr>
          <w:rFonts w:hint="eastAsia" w:ascii="宋体" w:hAnsi="宋体" w:eastAsia="宋体" w:cs="宋体"/>
          <w:color w:val="auto"/>
        </w:rPr>
        <w:t>gdhg2019@163.com</w:t>
      </w:r>
    </w:p>
    <w:p>
      <w:pPr>
        <w:pStyle w:val="3"/>
        <w:spacing w:line="440" w:lineRule="exact"/>
        <w:ind w:right="717"/>
        <w:jc w:val="both"/>
        <w:rPr>
          <w:rFonts w:hint="eastAsia" w:ascii="宋体" w:hAnsi="宋体" w:eastAsia="宋体" w:cs="宋体"/>
          <w:color w:val="auto"/>
          <w:u w:val="single"/>
        </w:rPr>
      </w:pPr>
    </w:p>
    <w:p>
      <w:pPr>
        <w:pStyle w:val="3"/>
        <w:spacing w:line="440" w:lineRule="exact"/>
        <w:ind w:right="717"/>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2023</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cs="宋体"/>
          <w:color w:val="auto"/>
          <w:u w:val="single"/>
          <w:lang w:val="en-US" w:eastAsia="zh-CN"/>
        </w:rPr>
        <w:t>4</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cs="宋体"/>
          <w:color w:val="auto"/>
          <w:u w:val="single"/>
          <w:lang w:val="en-US" w:eastAsia="zh-CN"/>
        </w:rPr>
        <w:t>28</w:t>
      </w:r>
      <w:r>
        <w:rPr>
          <w:rFonts w:hint="eastAsia" w:ascii="宋体" w:hAnsi="宋体" w:eastAsia="宋体" w:cs="宋体"/>
          <w:color w:val="auto"/>
          <w:u w:val="single"/>
        </w:rPr>
        <w:t xml:space="preserve">  </w:t>
      </w:r>
      <w:r>
        <w:rPr>
          <w:rFonts w:hint="eastAsia" w:ascii="宋体" w:hAnsi="宋体" w:eastAsia="宋体" w:cs="宋体"/>
          <w:color w:val="auto"/>
        </w:rPr>
        <w:t>日</w:t>
      </w:r>
    </w:p>
    <w:p>
      <w:pPr>
        <w:pStyle w:val="3"/>
        <w:spacing w:before="66"/>
        <w:jc w:val="both"/>
        <w:rPr>
          <w:rFonts w:hint="eastAsia" w:ascii="宋体" w:hAnsi="宋体" w:eastAsia="宋体" w:cs="宋体"/>
          <w:b/>
          <w:color w:val="auto"/>
        </w:rPr>
        <w:sectPr>
          <w:pgSz w:w="11906" w:h="16838"/>
          <w:pgMar w:top="1440" w:right="1080" w:bottom="1440" w:left="1080" w:header="851" w:footer="992" w:gutter="0"/>
          <w:pgNumType w:fmt="decimal"/>
          <w:cols w:space="720" w:num="1"/>
          <w:docGrid w:type="lines" w:linePitch="312" w:charSpace="0"/>
        </w:sectPr>
      </w:pPr>
    </w:p>
    <w:p>
      <w:pPr>
        <w:pStyle w:val="3"/>
        <w:spacing w:before="66"/>
        <w:jc w:val="both"/>
        <w:rPr>
          <w:rFonts w:hint="eastAsia" w:ascii="宋体" w:hAnsi="宋体" w:eastAsia="宋体" w:cs="宋体"/>
          <w:b/>
          <w:color w:val="auto"/>
        </w:rPr>
      </w:pPr>
      <w:r>
        <w:rPr>
          <w:rFonts w:hint="eastAsia" w:ascii="宋体" w:hAnsi="宋体" w:eastAsia="宋体" w:cs="宋体"/>
          <w:b/>
          <w:color w:val="auto"/>
        </w:rPr>
        <w:t>附件一：</w:t>
      </w:r>
    </w:p>
    <w:p>
      <w:pPr>
        <w:tabs>
          <w:tab w:val="center" w:pos="4415"/>
        </w:tabs>
        <w:adjustRightInd w:val="0"/>
        <w:snapToGrid w:val="0"/>
        <w:ind w:firstLine="482" w:firstLineChars="200"/>
        <w:jc w:val="center"/>
        <w:rPr>
          <w:rFonts w:hint="eastAsia" w:ascii="宋体" w:hAnsi="宋体" w:eastAsia="宋体" w:cs="宋体"/>
          <w:b/>
          <w:bCs/>
          <w:color w:val="auto"/>
          <w:szCs w:val="24"/>
        </w:rPr>
      </w:pPr>
      <w:r>
        <w:rPr>
          <w:rFonts w:hint="eastAsia" w:ascii="宋体" w:hAnsi="宋体" w:eastAsia="宋体" w:cs="宋体"/>
          <w:b/>
          <w:bCs/>
          <w:color w:val="auto"/>
          <w:szCs w:val="24"/>
        </w:rPr>
        <w:t>联合体共同投标协议</w:t>
      </w: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u w:val="single"/>
        </w:rPr>
        <w:t xml:space="preserve">（联合体各方单位名称）  </w:t>
      </w:r>
      <w:r>
        <w:rPr>
          <w:rFonts w:hint="eastAsia" w:ascii="宋体" w:hAnsi="宋体" w:eastAsia="宋体" w:cs="宋体"/>
          <w:color w:val="auto"/>
          <w:szCs w:val="24"/>
        </w:rPr>
        <w:t>自愿组成联合体，共同参加</w:t>
      </w:r>
      <w:r>
        <w:rPr>
          <w:rFonts w:hint="eastAsia" w:ascii="宋体" w:hAnsi="宋体" w:eastAsia="宋体" w:cs="宋体"/>
          <w:color w:val="auto"/>
          <w:szCs w:val="24"/>
          <w:u w:val="single"/>
        </w:rPr>
        <w:t>（项目名称）</w:t>
      </w:r>
      <w:r>
        <w:rPr>
          <w:rFonts w:hint="eastAsia" w:ascii="宋体" w:hAnsi="宋体" w:eastAsia="宋体" w:cs="宋体"/>
          <w:color w:val="auto"/>
          <w:szCs w:val="24"/>
        </w:rPr>
        <w:t>投标。我方授权委托本协议主办方代表联合体成员参加投标、签署投标资料、提交投标文件。现就联合体投标事宜订立如下协议。</w:t>
      </w: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1、</w:t>
      </w:r>
      <w:r>
        <w:rPr>
          <w:rFonts w:hint="eastAsia" w:ascii="宋体" w:hAnsi="宋体" w:eastAsia="宋体" w:cs="宋体"/>
          <w:color w:val="auto"/>
          <w:szCs w:val="24"/>
          <w:u w:val="single"/>
        </w:rPr>
        <w:t>（施工方单位名称）</w:t>
      </w:r>
      <w:r>
        <w:rPr>
          <w:rFonts w:hint="eastAsia" w:ascii="宋体" w:hAnsi="宋体" w:eastAsia="宋体" w:cs="宋体"/>
          <w:color w:val="auto"/>
          <w:szCs w:val="24"/>
        </w:rPr>
        <w:t>为主办方。</w:t>
      </w: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2、主办方公司代表联合体全体成员负责联合体在项目中的一切投标活动，包括但不限于提交组织编制投标文件、提交投标文件、提交澄清文件以及处理与项目投标相关的一切必要的事宜。投标人与招标人之间的来往函件将通过主办方公司收寄。</w:t>
      </w: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3、联合体主办方合法代表联合体成员承担责任和接受业主的指令、指示和通知，负责合同实施阶段的主办、组织、协调和工程价款支付等工作。</w:t>
      </w: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4、联合体将严格按照招标文件的各项要求，递交投标文件，履行合同，并对外承担相应责任。</w:t>
      </w: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5、联合体成员单位内部的职责分工如下：</w:t>
      </w:r>
    </w:p>
    <w:p>
      <w:pPr>
        <w:tabs>
          <w:tab w:val="center" w:pos="4415"/>
        </w:tabs>
        <w:adjustRightInd w:val="0"/>
        <w:snapToGrid w:val="0"/>
        <w:ind w:firstLine="480" w:firstLineChars="200"/>
        <w:rPr>
          <w:rFonts w:hint="eastAsia" w:ascii="宋体" w:hAnsi="宋体" w:eastAsia="宋体" w:cs="宋体"/>
          <w:color w:val="auto"/>
          <w:szCs w:val="24"/>
          <w:u w:val="single"/>
        </w:rPr>
      </w:pPr>
      <w:r>
        <w:rPr>
          <w:rFonts w:hint="eastAsia" w:ascii="宋体" w:hAnsi="宋体" w:eastAsia="宋体" w:cs="宋体"/>
          <w:color w:val="auto"/>
          <w:szCs w:val="24"/>
        </w:rPr>
        <w:t>①</w:t>
      </w:r>
      <w:r>
        <w:rPr>
          <w:rFonts w:hint="eastAsia" w:ascii="宋体" w:hAnsi="宋体" w:eastAsia="宋体" w:cs="宋体"/>
          <w:color w:val="auto"/>
          <w:szCs w:val="24"/>
          <w:u w:val="single"/>
        </w:rPr>
        <w:t xml:space="preserve"> </w:t>
      </w:r>
      <w:r>
        <w:rPr>
          <w:rFonts w:hint="eastAsia" w:ascii="宋体" w:hAnsi="宋体" w:eastAsia="宋体" w:cs="宋体"/>
          <w:bCs/>
          <w:color w:val="auto"/>
          <w:szCs w:val="24"/>
          <w:u w:val="single"/>
        </w:rPr>
        <w:t xml:space="preserve">         </w:t>
      </w:r>
      <w:r>
        <w:rPr>
          <w:rFonts w:hint="eastAsia" w:ascii="宋体" w:hAnsi="宋体" w:eastAsia="宋体" w:cs="宋体"/>
          <w:bCs/>
          <w:color w:val="auto"/>
          <w:szCs w:val="24"/>
        </w:rPr>
        <w:t>负责本工程的</w:t>
      </w:r>
      <w:r>
        <w:rPr>
          <w:rFonts w:hint="eastAsia" w:ascii="宋体" w:hAnsi="宋体" w:eastAsia="宋体" w:cs="宋体"/>
          <w:bCs/>
          <w:color w:val="auto"/>
          <w:szCs w:val="24"/>
          <w:u w:val="single"/>
        </w:rPr>
        <w:t xml:space="preserve">  施工 </w:t>
      </w:r>
      <w:r>
        <w:rPr>
          <w:rFonts w:hint="eastAsia" w:ascii="宋体" w:hAnsi="宋体" w:eastAsia="宋体" w:cs="宋体"/>
          <w:bCs/>
          <w:color w:val="auto"/>
          <w:szCs w:val="24"/>
        </w:rPr>
        <w:t>任务，为联合体主办方，负责</w:t>
      </w:r>
      <w:r>
        <w:rPr>
          <w:rFonts w:hint="eastAsia" w:ascii="宋体" w:hAnsi="宋体" w:eastAsia="宋体" w:cs="宋体"/>
          <w:color w:val="auto"/>
          <w:szCs w:val="24"/>
        </w:rPr>
        <w:t>施工、材料、质量、安全生产、文明及施工总承包管理的职责，联合体其他相关方违约时，主办方应承担连带责任，</w:t>
      </w:r>
      <w:r>
        <w:rPr>
          <w:rFonts w:hint="eastAsia" w:ascii="宋体" w:hAnsi="宋体" w:eastAsia="宋体" w:cs="宋体"/>
          <w:bCs/>
          <w:color w:val="auto"/>
          <w:szCs w:val="24"/>
        </w:rPr>
        <w:t>具体按合同要求。</w:t>
      </w: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②</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负责本工程的</w:t>
      </w:r>
      <w:r>
        <w:rPr>
          <w:rFonts w:hint="eastAsia" w:ascii="宋体" w:hAnsi="宋体" w:eastAsia="宋体" w:cs="宋体"/>
          <w:color w:val="auto"/>
          <w:szCs w:val="24"/>
          <w:u w:val="single"/>
        </w:rPr>
        <w:t xml:space="preserve"> 设计 </w:t>
      </w:r>
      <w:r>
        <w:rPr>
          <w:rFonts w:hint="eastAsia" w:ascii="宋体" w:hAnsi="宋体" w:eastAsia="宋体" w:cs="宋体"/>
          <w:color w:val="auto"/>
          <w:szCs w:val="24"/>
        </w:rPr>
        <w:t>任务，为联合体成员方，负责设计及相关职责，具体按合同要求。</w:t>
      </w:r>
    </w:p>
    <w:p>
      <w:pPr>
        <w:tabs>
          <w:tab w:val="center" w:pos="4415"/>
        </w:tabs>
        <w:adjustRightInd w:val="0"/>
        <w:snapToGrid w:val="0"/>
        <w:spacing w:line="48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6、本协议书自签署之日起生效，合同履行完毕后自动失效。 </w:t>
      </w:r>
    </w:p>
    <w:p>
      <w:pPr>
        <w:tabs>
          <w:tab w:val="center" w:pos="4415"/>
        </w:tabs>
        <w:adjustRightInd w:val="0"/>
        <w:snapToGrid w:val="0"/>
        <w:ind w:firstLine="480" w:firstLineChars="200"/>
        <w:rPr>
          <w:rFonts w:hint="eastAsia" w:ascii="宋体" w:hAnsi="宋体" w:eastAsia="宋体" w:cs="宋体"/>
          <w:color w:val="auto"/>
          <w:szCs w:val="24"/>
        </w:rPr>
      </w:pP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主办方名称：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（盖单位章）</w:t>
      </w: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法定代表人：</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（签字或签章）</w:t>
      </w:r>
    </w:p>
    <w:p>
      <w:pPr>
        <w:tabs>
          <w:tab w:val="center" w:pos="4415"/>
        </w:tabs>
        <w:adjustRightInd w:val="0"/>
        <w:snapToGrid w:val="0"/>
        <w:ind w:firstLine="480" w:firstLineChars="200"/>
        <w:rPr>
          <w:rFonts w:hint="eastAsia" w:ascii="宋体" w:hAnsi="宋体" w:eastAsia="宋体" w:cs="宋体"/>
          <w:color w:val="auto"/>
          <w:szCs w:val="24"/>
        </w:rPr>
      </w:pPr>
    </w:p>
    <w:p>
      <w:pPr>
        <w:tabs>
          <w:tab w:val="center" w:pos="4415"/>
        </w:tabs>
        <w:adjustRightInd w:val="0"/>
        <w:snapToGrid w:val="0"/>
        <w:ind w:firstLine="480" w:firstLineChars="200"/>
        <w:rPr>
          <w:rFonts w:hint="eastAsia" w:ascii="宋体" w:hAnsi="宋体" w:eastAsia="宋体" w:cs="宋体"/>
          <w:color w:val="auto"/>
          <w:szCs w:val="24"/>
        </w:rPr>
      </w:pPr>
      <w:r>
        <w:rPr>
          <w:rFonts w:hint="eastAsia" w:ascii="宋体" w:hAnsi="宋体" w:eastAsia="宋体" w:cs="宋体"/>
          <w:color w:val="auto"/>
          <w:szCs w:val="24"/>
        </w:rPr>
        <w:t>成员方名称：</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（盖单位章）</w:t>
      </w:r>
    </w:p>
    <w:p>
      <w:pPr>
        <w:pStyle w:val="2"/>
        <w:ind w:firstLine="480" w:firstLineChars="200"/>
        <w:rPr>
          <w:rFonts w:hint="eastAsia" w:ascii="宋体" w:hAnsi="宋体" w:eastAsia="宋体" w:cs="宋体"/>
          <w:color w:val="auto"/>
        </w:rPr>
      </w:pPr>
      <w:r>
        <w:rPr>
          <w:rFonts w:hint="eastAsia" w:ascii="宋体" w:hAnsi="宋体" w:eastAsia="宋体" w:cs="宋体"/>
          <w:color w:val="auto"/>
          <w:szCs w:val="24"/>
        </w:rPr>
        <w:t>法定代表人：</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（签字或签章）</w:t>
      </w:r>
    </w:p>
    <w:p>
      <w:pPr>
        <w:tabs>
          <w:tab w:val="center" w:pos="4415"/>
        </w:tabs>
        <w:adjustRightInd w:val="0"/>
        <w:snapToGrid w:val="0"/>
        <w:ind w:firstLine="482" w:firstLineChars="200"/>
        <w:jc w:val="center"/>
        <w:rPr>
          <w:rFonts w:hint="eastAsia" w:ascii="宋体" w:hAnsi="宋体" w:eastAsia="宋体" w:cs="宋体"/>
          <w:b/>
          <w:bCs/>
          <w:color w:val="auto"/>
          <w:szCs w:val="24"/>
        </w:rPr>
      </w:pPr>
    </w:p>
    <w:p>
      <w:pPr>
        <w:tabs>
          <w:tab w:val="center" w:pos="4415"/>
        </w:tabs>
        <w:adjustRightInd w:val="0"/>
        <w:snapToGrid w:val="0"/>
        <w:ind w:firstLine="480" w:firstLineChars="200"/>
        <w:jc w:val="center"/>
        <w:rPr>
          <w:rFonts w:hint="eastAsia" w:ascii="宋体" w:hAnsi="宋体" w:eastAsia="宋体" w:cs="宋体"/>
          <w:color w:val="auto"/>
          <w:szCs w:val="24"/>
        </w:rPr>
      </w:pPr>
      <w:r>
        <w:rPr>
          <w:rFonts w:hint="eastAsia" w:ascii="宋体" w:hAnsi="宋体" w:eastAsia="宋体" w:cs="宋体"/>
          <w:color w:val="auto"/>
          <w:szCs w:val="24"/>
        </w:rPr>
        <w:t xml:space="preserve">                           日期：  年   月   日</w:t>
      </w:r>
      <w:bookmarkEnd w:id="7"/>
    </w:p>
    <w:p>
      <w:pPr>
        <w:rPr>
          <w:rFonts w:hint="eastAsia" w:ascii="宋体" w:hAnsi="宋体" w:eastAsia="宋体" w:cs="宋体"/>
          <w:color w:val="auto"/>
        </w:rPr>
      </w:pPr>
      <w:r>
        <w:rPr>
          <w:rFonts w:hint="eastAsia" w:ascii="宋体" w:hAnsi="宋体" w:eastAsia="宋体" w:cs="宋体"/>
          <w:color w:val="auto"/>
        </w:rPr>
        <w:br w:type="page"/>
      </w:r>
    </w:p>
    <w:p>
      <w:pPr>
        <w:pStyle w:val="5"/>
        <w:rPr>
          <w:rFonts w:hint="eastAsia" w:ascii="宋体" w:hAnsi="宋体" w:eastAsia="宋体" w:cs="宋体"/>
          <w:b/>
          <w:bCs/>
          <w:color w:val="auto"/>
        </w:rPr>
      </w:pPr>
      <w:bookmarkStart w:id="10" w:name="_Toc10341"/>
      <w:r>
        <w:rPr>
          <w:rFonts w:hint="eastAsia" w:ascii="宋体" w:hAnsi="宋体" w:eastAsia="宋体" w:cs="宋体"/>
          <w:b/>
          <w:bCs/>
          <w:color w:val="auto"/>
        </w:rPr>
        <w:t>第二章 投标人须知</w:t>
      </w:r>
      <w:bookmarkEnd w:id="2"/>
      <w:bookmarkEnd w:id="10"/>
    </w:p>
    <w:p>
      <w:pPr>
        <w:jc w:val="center"/>
        <w:rPr>
          <w:rFonts w:hint="eastAsia" w:ascii="宋体" w:hAnsi="宋体" w:eastAsia="宋体" w:cs="宋体"/>
          <w:b/>
          <w:bCs/>
          <w:color w:val="auto"/>
          <w:szCs w:val="24"/>
        </w:rPr>
      </w:pPr>
      <w:r>
        <w:rPr>
          <w:rFonts w:hint="eastAsia" w:ascii="宋体" w:hAnsi="宋体" w:eastAsia="宋体" w:cs="宋体"/>
          <w:b/>
          <w:bCs/>
          <w:color w:val="auto"/>
          <w:szCs w:val="24"/>
        </w:rPr>
        <w:t>投标人须知前附表</w:t>
      </w:r>
    </w:p>
    <w:tbl>
      <w:tblPr>
        <w:tblStyle w:val="49"/>
        <w:tblW w:w="94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789"/>
        <w:gridCol w:w="6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条款号</w:t>
            </w:r>
          </w:p>
        </w:tc>
        <w:tc>
          <w:tcPr>
            <w:tcW w:w="1789"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条</w:t>
            </w:r>
            <w:r>
              <w:rPr>
                <w:rFonts w:hint="eastAsia" w:ascii="宋体" w:hAnsi="宋体" w:eastAsia="宋体" w:cs="宋体"/>
                <w:b/>
                <w:bCs/>
                <w:color w:val="auto"/>
                <w:szCs w:val="24"/>
              </w:rPr>
              <w:tab/>
            </w:r>
            <w:r>
              <w:rPr>
                <w:rFonts w:hint="eastAsia" w:ascii="宋体" w:hAnsi="宋体" w:eastAsia="宋体" w:cs="宋体"/>
                <w:b/>
                <w:bCs/>
                <w:color w:val="auto"/>
                <w:szCs w:val="24"/>
              </w:rPr>
              <w:t>款</w:t>
            </w:r>
            <w:r>
              <w:rPr>
                <w:rFonts w:hint="eastAsia" w:ascii="宋体" w:hAnsi="宋体" w:eastAsia="宋体" w:cs="宋体"/>
                <w:b/>
                <w:bCs/>
                <w:color w:val="auto"/>
                <w:szCs w:val="24"/>
              </w:rPr>
              <w:tab/>
            </w:r>
            <w:r>
              <w:rPr>
                <w:rFonts w:hint="eastAsia" w:ascii="宋体" w:hAnsi="宋体" w:eastAsia="宋体" w:cs="宋体"/>
                <w:b/>
                <w:bCs/>
                <w:color w:val="auto"/>
                <w:szCs w:val="24"/>
              </w:rPr>
              <w:t>名</w:t>
            </w:r>
            <w:r>
              <w:rPr>
                <w:rFonts w:hint="eastAsia" w:ascii="宋体" w:hAnsi="宋体" w:eastAsia="宋体" w:cs="宋体"/>
                <w:b/>
                <w:bCs/>
                <w:color w:val="auto"/>
                <w:szCs w:val="24"/>
              </w:rPr>
              <w:tab/>
            </w:r>
            <w:r>
              <w:rPr>
                <w:rFonts w:hint="eastAsia" w:ascii="宋体" w:hAnsi="宋体" w:eastAsia="宋体" w:cs="宋体"/>
                <w:b/>
                <w:bCs/>
                <w:color w:val="auto"/>
                <w:szCs w:val="24"/>
              </w:rPr>
              <w:t>称</w:t>
            </w:r>
          </w:p>
        </w:tc>
        <w:tc>
          <w:tcPr>
            <w:tcW w:w="6609"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编</w:t>
            </w:r>
            <w:r>
              <w:rPr>
                <w:rFonts w:hint="eastAsia" w:ascii="宋体" w:hAnsi="宋体" w:eastAsia="宋体" w:cs="宋体"/>
                <w:b/>
                <w:bCs/>
                <w:color w:val="auto"/>
                <w:szCs w:val="24"/>
              </w:rPr>
              <w:tab/>
            </w:r>
            <w:r>
              <w:rPr>
                <w:rFonts w:hint="eastAsia" w:ascii="宋体" w:hAnsi="宋体" w:eastAsia="宋体" w:cs="宋体"/>
                <w:b/>
                <w:bCs/>
                <w:color w:val="auto"/>
                <w:szCs w:val="24"/>
              </w:rPr>
              <w:t>列</w:t>
            </w:r>
            <w:r>
              <w:rPr>
                <w:rFonts w:hint="eastAsia" w:ascii="宋体" w:hAnsi="宋体" w:eastAsia="宋体" w:cs="宋体"/>
                <w:b/>
                <w:bCs/>
                <w:color w:val="auto"/>
                <w:szCs w:val="24"/>
              </w:rPr>
              <w:tab/>
            </w:r>
            <w:r>
              <w:rPr>
                <w:rFonts w:hint="eastAsia" w:ascii="宋体" w:hAnsi="宋体" w:eastAsia="宋体" w:cs="宋体"/>
                <w:b/>
                <w:bCs/>
                <w:color w:val="auto"/>
                <w:szCs w:val="24"/>
              </w:rPr>
              <w:t>内</w:t>
            </w:r>
            <w:r>
              <w:rPr>
                <w:rFonts w:hint="eastAsia" w:ascii="宋体" w:hAnsi="宋体" w:eastAsia="宋体" w:cs="宋体"/>
                <w:b/>
                <w:bCs/>
                <w:color w:val="auto"/>
                <w:szCs w:val="24"/>
              </w:rPr>
              <w:tab/>
            </w:r>
            <w:r>
              <w:rPr>
                <w:rFonts w:hint="eastAsia" w:ascii="宋体" w:hAnsi="宋体" w:eastAsia="宋体" w:cs="宋体"/>
                <w:b/>
                <w:bCs/>
                <w:color w:val="auto"/>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招标人</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招 标 人：湛江经济技术开发区城市综合管理局；</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地</w:t>
            </w:r>
            <w:r>
              <w:rPr>
                <w:rFonts w:hint="eastAsia" w:ascii="宋体" w:hAnsi="宋体" w:eastAsia="宋体" w:cs="宋体"/>
                <w:color w:val="auto"/>
                <w:szCs w:val="24"/>
              </w:rPr>
              <w:tab/>
            </w:r>
            <w:r>
              <w:rPr>
                <w:rFonts w:hint="eastAsia" w:ascii="宋体" w:hAnsi="宋体" w:eastAsia="宋体" w:cs="宋体"/>
                <w:color w:val="auto"/>
                <w:szCs w:val="24"/>
              </w:rPr>
              <w:t>址：广东省湛江市霞山区人民大道中24号之一；</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联 系 人：陈碧静</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 xml:space="preserve">联系电话：0759-3628912。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rPr>
            </w:pPr>
            <w:r>
              <w:rPr>
                <w:rFonts w:hint="eastAsia" w:ascii="宋体" w:hAnsi="宋体" w:eastAsia="宋体" w:cs="宋体"/>
                <w:color w:val="auto"/>
                <w:szCs w:val="24"/>
              </w:rPr>
              <w:t>1.1.2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招标代理机构</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名</w:t>
            </w:r>
            <w:r>
              <w:rPr>
                <w:rFonts w:hint="eastAsia" w:ascii="宋体" w:hAnsi="宋体" w:eastAsia="宋体" w:cs="宋体"/>
                <w:color w:val="auto"/>
                <w:szCs w:val="24"/>
              </w:rPr>
              <w:tab/>
            </w:r>
            <w:r>
              <w:rPr>
                <w:rFonts w:hint="eastAsia" w:ascii="宋体" w:hAnsi="宋体" w:eastAsia="宋体" w:cs="宋体"/>
                <w:color w:val="auto"/>
                <w:szCs w:val="24"/>
              </w:rPr>
              <w:t>称：广东华冠工程管理有限公司；</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地</w:t>
            </w:r>
            <w:r>
              <w:rPr>
                <w:rFonts w:hint="eastAsia" w:ascii="宋体" w:hAnsi="宋体" w:eastAsia="宋体" w:cs="宋体"/>
                <w:color w:val="auto"/>
                <w:szCs w:val="24"/>
              </w:rPr>
              <w:tab/>
            </w:r>
            <w:r>
              <w:rPr>
                <w:rFonts w:hint="eastAsia" w:ascii="宋体" w:hAnsi="宋体" w:eastAsia="宋体" w:cs="宋体"/>
                <w:color w:val="auto"/>
                <w:szCs w:val="24"/>
              </w:rPr>
              <w:t>址：湛江市赤坎区海北路九号之一鹰展假日广场第8层；</w:t>
            </w:r>
          </w:p>
          <w:p>
            <w:pPr>
              <w:ind w:left="120" w:leftChars="50" w:right="120" w:rightChars="50"/>
              <w:rPr>
                <w:rFonts w:hint="eastAsia" w:ascii="宋体" w:hAnsi="宋体" w:eastAsia="宋体" w:cs="宋体"/>
                <w:color w:val="auto"/>
                <w:szCs w:val="24"/>
                <w:lang w:eastAsia="zh-CN"/>
              </w:rPr>
            </w:pPr>
            <w:r>
              <w:rPr>
                <w:rFonts w:hint="eastAsia" w:ascii="宋体" w:hAnsi="宋体" w:eastAsia="宋体" w:cs="宋体"/>
                <w:color w:val="auto"/>
                <w:szCs w:val="24"/>
              </w:rPr>
              <w:t>联系人：</w:t>
            </w:r>
            <w:r>
              <w:rPr>
                <w:rFonts w:hint="eastAsia" w:ascii="宋体" w:hAnsi="宋体" w:eastAsia="宋体" w:cs="宋体"/>
                <w:color w:val="auto"/>
                <w:szCs w:val="24"/>
                <w:lang w:val="en-US" w:eastAsia="zh-CN"/>
              </w:rPr>
              <w:t>李晓</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电</w:t>
            </w:r>
            <w:r>
              <w:rPr>
                <w:rFonts w:hint="eastAsia" w:ascii="宋体" w:hAnsi="宋体" w:eastAsia="宋体" w:cs="宋体"/>
                <w:color w:val="auto"/>
                <w:szCs w:val="24"/>
              </w:rPr>
              <w:tab/>
            </w:r>
            <w:r>
              <w:rPr>
                <w:rFonts w:hint="eastAsia" w:ascii="宋体" w:hAnsi="宋体" w:eastAsia="宋体" w:cs="宋体"/>
                <w:color w:val="auto"/>
                <w:szCs w:val="24"/>
              </w:rPr>
              <w:t>话：19849244881</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邮</w:t>
            </w:r>
            <w:r>
              <w:rPr>
                <w:rFonts w:hint="eastAsia" w:ascii="宋体" w:hAnsi="宋体" w:eastAsia="宋体" w:cs="宋体"/>
                <w:color w:val="auto"/>
                <w:szCs w:val="24"/>
              </w:rPr>
              <w:tab/>
            </w:r>
            <w:r>
              <w:rPr>
                <w:rFonts w:hint="eastAsia" w:ascii="宋体" w:hAnsi="宋体" w:eastAsia="宋体" w:cs="宋体"/>
                <w:color w:val="auto"/>
                <w:szCs w:val="24"/>
              </w:rPr>
              <w:t>箱</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"mailto:zj3289979@126.com" \h </w:instrText>
            </w:r>
            <w:r>
              <w:rPr>
                <w:rFonts w:hint="eastAsia" w:ascii="宋体" w:hAnsi="宋体" w:eastAsia="宋体" w:cs="宋体"/>
                <w:color w:val="auto"/>
              </w:rPr>
              <w:fldChar w:fldCharType="separate"/>
            </w:r>
            <w:r>
              <w:rPr>
                <w:rFonts w:hint="eastAsia" w:ascii="宋体" w:hAnsi="宋体" w:eastAsia="宋体" w:cs="宋体"/>
                <w:color w:val="auto"/>
                <w:szCs w:val="24"/>
              </w:rPr>
              <w:t>：</w:t>
            </w:r>
            <w:r>
              <w:rPr>
                <w:rFonts w:hint="eastAsia" w:ascii="宋体" w:hAnsi="宋体" w:eastAsia="宋体" w:cs="宋体"/>
                <w:color w:val="auto"/>
                <w:szCs w:val="24"/>
              </w:rPr>
              <w:fldChar w:fldCharType="end"/>
            </w:r>
            <w:r>
              <w:rPr>
                <w:rFonts w:hint="eastAsia" w:ascii="宋体" w:hAnsi="宋体" w:eastAsia="宋体" w:cs="宋体"/>
                <w:color w:val="auto"/>
                <w:szCs w:val="24"/>
              </w:rPr>
              <w:t>gdhg2019@163.com。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1.1.4</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项目名称</w:t>
            </w:r>
          </w:p>
        </w:tc>
        <w:tc>
          <w:tcPr>
            <w:tcW w:w="6609" w:type="dxa"/>
            <w:vAlign w:val="center"/>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湛江经开区老旧小区改造项目（一期一标）EPC。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1.1.5</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建设地点</w:t>
            </w:r>
          </w:p>
        </w:tc>
        <w:tc>
          <w:tcPr>
            <w:tcW w:w="6609" w:type="dxa"/>
            <w:vAlign w:val="center"/>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湛江市开发区。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1.2.1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资金来源</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lang w:val="zh-CN"/>
              </w:rPr>
              <w:t>地方政府专项债券，不足部分由财政统筹解决</w:t>
            </w:r>
            <w:r>
              <w:rPr>
                <w:rFonts w:hint="eastAsia" w:ascii="宋体" w:hAnsi="宋体" w:eastAsia="宋体" w:cs="宋体"/>
                <w:color w:val="auto"/>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1.2.2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资金落实情况</w:t>
            </w:r>
          </w:p>
        </w:tc>
        <w:tc>
          <w:tcPr>
            <w:tcW w:w="6609" w:type="dxa"/>
          </w:tcPr>
          <w:p>
            <w:pPr>
              <w:ind w:left="120" w:leftChars="50" w:right="120" w:rightChars="50"/>
              <w:jc w:val="center"/>
              <w:rPr>
                <w:rFonts w:hint="eastAsia" w:ascii="宋体" w:hAnsi="宋体" w:eastAsia="宋体" w:cs="宋体"/>
                <w:color w:val="auto"/>
                <w:szCs w:val="24"/>
              </w:rPr>
            </w:pPr>
            <w:r>
              <w:rPr>
                <w:rFonts w:hint="eastAsia" w:ascii="宋体" w:hAnsi="宋体" w:eastAsia="宋体" w:cs="宋体"/>
                <w:color w:val="auto"/>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1.3.1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招标范围</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1.3.2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计划工期</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计划总工期：</w:t>
            </w:r>
            <w:r>
              <w:rPr>
                <w:rFonts w:hint="eastAsia" w:ascii="宋体" w:hAnsi="宋体" w:eastAsia="宋体" w:cs="宋体"/>
                <w:color w:val="auto"/>
                <w:szCs w:val="24"/>
                <w:lang w:val="en-US" w:eastAsia="zh-CN"/>
              </w:rPr>
              <w:t>210</w:t>
            </w:r>
            <w:r>
              <w:rPr>
                <w:rFonts w:hint="eastAsia" w:ascii="宋体" w:hAnsi="宋体" w:eastAsia="宋体" w:cs="宋体"/>
                <w:color w:val="auto"/>
                <w:szCs w:val="24"/>
              </w:rPr>
              <w:t>日历天。其中：</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施工图设计工期合计</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30</w:t>
            </w:r>
            <w:r>
              <w:rPr>
                <w:rFonts w:hint="eastAsia" w:ascii="宋体" w:hAnsi="宋体" w:eastAsia="宋体" w:cs="宋体"/>
                <w:color w:val="auto"/>
                <w:szCs w:val="24"/>
              </w:rPr>
              <w:t>日历天内（不含审核时间）；</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施工工期合计</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180</w:t>
            </w:r>
            <w:r>
              <w:rPr>
                <w:rFonts w:hint="eastAsia" w:ascii="宋体" w:hAnsi="宋体" w:eastAsia="宋体" w:cs="宋体"/>
                <w:color w:val="auto"/>
                <w:szCs w:val="24"/>
              </w:rPr>
              <w:t>日历天内完成竣工验收。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1.3.3</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质量标准</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设计要求的质量标准：符合现行设计规范、规程和有关政策、法规要求；</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施工要求的质量标准：符合《工程施工质量验收规范》及相关规定。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1.4.1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投标人资质条件、能力和信誉</w:t>
            </w:r>
          </w:p>
        </w:tc>
        <w:tc>
          <w:tcPr>
            <w:tcW w:w="6609" w:type="dxa"/>
            <w:vAlign w:val="center"/>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1.4.2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是否接受联合体投标</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□不接受</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☑接受，应满足下列要求：详见招标公告。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1.5</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费用承担和设计成果补偿</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☑不补偿</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□补偿，补偿标准：/。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1.9</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踏勘现场</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☑不组织：投标人按招标公告要求自行踏勘现场。</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□组织。</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踏勘时间：/。</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0" w:hRule="atLeast"/>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1.10</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投标预备会</w:t>
            </w:r>
          </w:p>
        </w:tc>
        <w:tc>
          <w:tcPr>
            <w:tcW w:w="6609" w:type="dxa"/>
          </w:tcPr>
          <w:p>
            <w:pPr>
              <w:spacing w:line="440" w:lineRule="exact"/>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☑不召开</w:t>
            </w:r>
          </w:p>
          <w:p>
            <w:pPr>
              <w:spacing w:line="440" w:lineRule="exact"/>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□召开，召开时间：/。</w:t>
            </w:r>
          </w:p>
          <w:p>
            <w:pPr>
              <w:spacing w:line="440" w:lineRule="exact"/>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召开地点：/。</w:t>
            </w:r>
          </w:p>
          <w:p>
            <w:pPr>
              <w:spacing w:line="440" w:lineRule="exact"/>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投标人应仔细阅读和检查招标文件的全部内容。如发现缺页或附件不全，应及时向招标人提出，以便补齐。如有疑问，应在投标截止日前 18 天以书面形式提出，要求招标人对招标文件予以澄清。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1.10.2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投标人提出问题的截止时间</w:t>
            </w:r>
          </w:p>
        </w:tc>
        <w:tc>
          <w:tcPr>
            <w:tcW w:w="6609" w:type="dxa"/>
            <w:vAlign w:val="center"/>
          </w:tcPr>
          <w:p>
            <w:pPr>
              <w:ind w:left="120" w:leftChars="50" w:right="120" w:rightChars="50"/>
              <w:jc w:val="left"/>
              <w:rPr>
                <w:rFonts w:hint="eastAsia" w:ascii="宋体" w:hAnsi="宋体" w:eastAsia="宋体" w:cs="宋体"/>
                <w:color w:val="auto"/>
                <w:szCs w:val="24"/>
              </w:rPr>
            </w:pPr>
            <w:r>
              <w:rPr>
                <w:rFonts w:hint="eastAsia" w:ascii="宋体" w:hAnsi="宋体" w:eastAsia="宋体" w:cs="宋体"/>
                <w:color w:val="auto"/>
                <w:szCs w:val="24"/>
              </w:rPr>
              <w:t>投标截止日前 1</w:t>
            </w:r>
            <w:r>
              <w:rPr>
                <w:rFonts w:hint="eastAsia" w:ascii="宋体" w:hAnsi="宋体" w:eastAsia="宋体" w:cs="宋体"/>
                <w:color w:val="auto"/>
                <w:szCs w:val="24"/>
                <w:lang w:val="en-US" w:eastAsia="zh-CN"/>
              </w:rPr>
              <w:t>5</w:t>
            </w:r>
            <w:r>
              <w:rPr>
                <w:rFonts w:hint="eastAsia" w:ascii="宋体" w:hAnsi="宋体" w:eastAsia="宋体" w:cs="宋体"/>
                <w:color w:val="auto"/>
                <w:szCs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1.10.3</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招标人书面澄清的时间</w:t>
            </w:r>
          </w:p>
        </w:tc>
        <w:tc>
          <w:tcPr>
            <w:tcW w:w="6609" w:type="dxa"/>
            <w:vAlign w:val="center"/>
          </w:tcPr>
          <w:p>
            <w:pPr>
              <w:ind w:left="120" w:leftChars="50" w:right="120" w:rightChars="50"/>
              <w:jc w:val="left"/>
              <w:rPr>
                <w:rFonts w:hint="eastAsia" w:ascii="宋体" w:hAnsi="宋体" w:eastAsia="宋体" w:cs="宋体"/>
                <w:color w:val="auto"/>
                <w:szCs w:val="24"/>
              </w:rPr>
            </w:pPr>
            <w:r>
              <w:rPr>
                <w:rFonts w:hint="eastAsia" w:ascii="宋体" w:hAnsi="宋体" w:eastAsia="宋体" w:cs="宋体"/>
                <w:color w:val="auto"/>
                <w:szCs w:val="24"/>
                <w:lang w:val="en-US" w:eastAsia="zh-CN"/>
              </w:rPr>
              <w:t>投标截止日前 15 天（如澄清内容影响投标文件制作，需顺延开标日期）</w:t>
            </w:r>
            <w:r>
              <w:rPr>
                <w:rFonts w:hint="eastAsia" w:ascii="宋体" w:hAnsi="宋体" w:eastAsia="宋体" w:cs="宋体"/>
                <w:color w:val="auto"/>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分包</w:t>
            </w:r>
          </w:p>
        </w:tc>
        <w:tc>
          <w:tcPr>
            <w:tcW w:w="6609" w:type="dxa"/>
            <w:vAlign w:val="center"/>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□不允许</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☑允许，需经发包人同意，方可将该部分专业承包内容分包给具有相应资质的单位，主体不可分包。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1.11.1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投标人拟分包的工作</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□不允许</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☑允许，如建设行政主管部门对专业承包内容有专业资质要求，而承包人无相应专业承包资质的，需将该部分专业承包内容分包给具有相应资质的单位，但须经发包人同意。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偏离</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☑不允许</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□允许，允许偏离的内容、偏离范围和幅度。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2.1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构成招标文件的其他资料</w:t>
            </w:r>
          </w:p>
        </w:tc>
        <w:tc>
          <w:tcPr>
            <w:tcW w:w="6609" w:type="dxa"/>
            <w:vAlign w:val="center"/>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概算书、初步设计图纸等材料。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2.2.2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投标人要求澄清招标文件的截止时间</w:t>
            </w:r>
          </w:p>
        </w:tc>
        <w:tc>
          <w:tcPr>
            <w:tcW w:w="6609" w:type="dxa"/>
            <w:vAlign w:val="center"/>
          </w:tcPr>
          <w:p>
            <w:pPr>
              <w:ind w:left="120" w:leftChars="50" w:right="120" w:rightChars="50"/>
              <w:jc w:val="left"/>
              <w:rPr>
                <w:rFonts w:hint="eastAsia" w:ascii="宋体" w:hAnsi="宋体" w:eastAsia="宋体" w:cs="宋体"/>
                <w:color w:val="auto"/>
                <w:szCs w:val="24"/>
              </w:rPr>
            </w:pPr>
            <w:r>
              <w:rPr>
                <w:rFonts w:hint="eastAsia" w:ascii="宋体" w:hAnsi="宋体" w:eastAsia="宋体" w:cs="宋体"/>
                <w:color w:val="auto"/>
                <w:szCs w:val="24"/>
              </w:rPr>
              <w:t>投标截止日前 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2.3.1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投标人确认收到招标文件澄清的时间</w:t>
            </w:r>
          </w:p>
        </w:tc>
        <w:tc>
          <w:tcPr>
            <w:tcW w:w="6609" w:type="dxa"/>
            <w:vAlign w:val="center"/>
          </w:tcPr>
          <w:p>
            <w:pPr>
              <w:ind w:left="120" w:leftChars="50" w:right="120" w:rightChars="50"/>
              <w:jc w:val="left"/>
              <w:rPr>
                <w:rFonts w:hint="eastAsia" w:ascii="宋体" w:hAnsi="宋体" w:eastAsia="宋体" w:cs="宋体"/>
                <w:color w:val="auto"/>
                <w:szCs w:val="24"/>
              </w:rPr>
            </w:pPr>
            <w:r>
              <w:rPr>
                <w:rFonts w:hint="eastAsia" w:ascii="宋体" w:hAnsi="宋体" w:eastAsia="宋体" w:cs="宋体"/>
                <w:color w:val="auto"/>
                <w:szCs w:val="24"/>
              </w:rPr>
              <w:t>收到相应澄清问题后 24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2.3.2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投标人确认收到招标文件修改的时间</w:t>
            </w:r>
          </w:p>
        </w:tc>
        <w:tc>
          <w:tcPr>
            <w:tcW w:w="6609" w:type="dxa"/>
            <w:vAlign w:val="center"/>
          </w:tcPr>
          <w:p>
            <w:pPr>
              <w:ind w:left="120" w:leftChars="50" w:right="120" w:rightChars="50"/>
              <w:jc w:val="left"/>
              <w:rPr>
                <w:rFonts w:hint="eastAsia" w:ascii="宋体" w:hAnsi="宋体" w:eastAsia="宋体" w:cs="宋体"/>
                <w:color w:val="auto"/>
                <w:szCs w:val="24"/>
              </w:rPr>
            </w:pPr>
            <w:r>
              <w:rPr>
                <w:rFonts w:hint="eastAsia" w:ascii="宋体" w:hAnsi="宋体" w:eastAsia="宋体" w:cs="宋体"/>
                <w:color w:val="auto"/>
                <w:szCs w:val="24"/>
              </w:rPr>
              <w:t>收到相应修改后 24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构成投标文件的其他资料</w:t>
            </w:r>
          </w:p>
        </w:tc>
        <w:tc>
          <w:tcPr>
            <w:tcW w:w="6609" w:type="dxa"/>
            <w:vAlign w:val="center"/>
          </w:tcPr>
          <w:p>
            <w:pPr>
              <w:ind w:left="120" w:leftChars="50" w:right="120" w:rightChars="50"/>
              <w:jc w:val="left"/>
              <w:rPr>
                <w:rFonts w:hint="eastAsia" w:ascii="宋体" w:hAnsi="宋体" w:eastAsia="宋体" w:cs="宋体"/>
                <w:color w:val="auto"/>
                <w:szCs w:val="24"/>
              </w:rPr>
            </w:pPr>
            <w:r>
              <w:rPr>
                <w:rFonts w:hint="eastAsia" w:ascii="宋体" w:hAnsi="宋体" w:eastAsia="宋体" w:cs="宋体"/>
                <w:color w:val="auto"/>
                <w:szCs w:val="24"/>
              </w:rPr>
              <w:t>投标文件电子版U盘 1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3.2.2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最高投标限价或其计算方法</w:t>
            </w:r>
          </w:p>
        </w:tc>
        <w:tc>
          <w:tcPr>
            <w:tcW w:w="6609" w:type="dxa"/>
            <w:vAlign w:val="center"/>
          </w:tcPr>
          <w:p>
            <w:pPr>
              <w:ind w:left="120" w:leftChars="50" w:right="120" w:rightChars="50"/>
              <w:rPr>
                <w:rFonts w:hint="eastAsia"/>
                <w:color w:val="auto"/>
                <w:lang w:eastAsia="zh-CN"/>
              </w:rPr>
            </w:pPr>
            <w:r>
              <w:rPr>
                <w:rFonts w:hint="eastAsia"/>
                <w:color w:val="auto"/>
              </w:rPr>
              <w:t>根据</w:t>
            </w:r>
            <w:r>
              <w:rPr>
                <w:rFonts w:hint="eastAsia"/>
                <w:color w:val="auto"/>
                <w:lang w:val="en-US" w:eastAsia="zh-CN"/>
              </w:rPr>
              <w:t>财政部门审核的控制价</w:t>
            </w:r>
            <w:r>
              <w:rPr>
                <w:rFonts w:hint="eastAsia"/>
                <w:color w:val="auto"/>
              </w:rPr>
              <w:t xml:space="preserve">，本次招标合同的最高投标限价： </w:t>
            </w:r>
            <w:r>
              <w:rPr>
                <w:rFonts w:hint="eastAsia"/>
                <w:color w:val="auto"/>
                <w:u w:val="single"/>
                <w:lang w:val="en-US" w:eastAsia="zh-CN"/>
              </w:rPr>
              <w:t>10081.93</w:t>
            </w:r>
            <w:r>
              <w:rPr>
                <w:rFonts w:hint="eastAsia"/>
                <w:color w:val="auto"/>
                <w:u w:val="single"/>
              </w:rPr>
              <w:t xml:space="preserve"> </w:t>
            </w:r>
            <w:r>
              <w:rPr>
                <w:rFonts w:hint="eastAsia"/>
                <w:color w:val="auto"/>
              </w:rPr>
              <w:t>万元；其中建安工程费</w:t>
            </w:r>
            <w:r>
              <w:rPr>
                <w:rFonts w:hint="eastAsia"/>
                <w:color w:val="auto"/>
                <w:u w:val="single"/>
              </w:rPr>
              <w:t xml:space="preserve"> 9987.99 </w:t>
            </w:r>
            <w:r>
              <w:rPr>
                <w:rFonts w:hint="eastAsia"/>
                <w:color w:val="auto"/>
              </w:rPr>
              <w:t>万元</w:t>
            </w:r>
            <w:r>
              <w:rPr>
                <w:rFonts w:hint="eastAsia"/>
                <w:color w:val="auto"/>
                <w:lang w:eastAsia="zh-CN"/>
              </w:rPr>
              <w:t>，</w:t>
            </w:r>
            <w:r>
              <w:rPr>
                <w:rFonts w:hint="eastAsia"/>
                <w:color w:val="auto"/>
              </w:rPr>
              <w:t>施工图设计费</w:t>
            </w:r>
            <w:r>
              <w:rPr>
                <w:rFonts w:hint="eastAsia"/>
                <w:color w:val="auto"/>
                <w:lang w:eastAsia="zh-CN"/>
              </w:rPr>
              <w:t>（</w:t>
            </w:r>
            <w:r>
              <w:rPr>
                <w:rFonts w:hint="eastAsia"/>
                <w:color w:val="auto"/>
                <w:lang w:val="en-US" w:eastAsia="zh-CN"/>
              </w:rPr>
              <w:t>含预算编制费</w:t>
            </w:r>
            <w:r>
              <w:rPr>
                <w:rFonts w:hint="eastAsia"/>
                <w:color w:val="auto"/>
                <w:lang w:eastAsia="zh-CN"/>
              </w:rPr>
              <w:t>）</w:t>
            </w:r>
            <w:r>
              <w:rPr>
                <w:rFonts w:hint="eastAsia"/>
                <w:color w:val="auto"/>
                <w:u w:val="single"/>
              </w:rPr>
              <w:t xml:space="preserve"> </w:t>
            </w:r>
            <w:r>
              <w:rPr>
                <w:rFonts w:hint="eastAsia"/>
                <w:color w:val="auto"/>
                <w:u w:val="single"/>
                <w:lang w:val="en-US" w:eastAsia="zh-CN"/>
              </w:rPr>
              <w:t>93.94</w:t>
            </w:r>
            <w:r>
              <w:rPr>
                <w:rFonts w:hint="eastAsia"/>
                <w:color w:val="auto"/>
                <w:u w:val="single"/>
              </w:rPr>
              <w:t xml:space="preserve"> </w:t>
            </w:r>
            <w:r>
              <w:rPr>
                <w:rFonts w:hint="eastAsia"/>
                <w:color w:val="auto"/>
              </w:rPr>
              <w:t>万元</w:t>
            </w:r>
            <w:r>
              <w:rPr>
                <w:rFonts w:hint="eastAsia"/>
                <w:color w:val="auto"/>
                <w:lang w:eastAsia="zh-CN"/>
              </w:rPr>
              <w:t>。</w:t>
            </w:r>
          </w:p>
          <w:p>
            <w:pPr>
              <w:ind w:left="120" w:leftChars="50" w:right="120" w:rightChars="50"/>
              <w:rPr>
                <w:rFonts w:hint="eastAsia"/>
                <w:color w:val="auto"/>
              </w:rPr>
            </w:pPr>
            <w:r>
              <w:rPr>
                <w:rFonts w:hint="eastAsia"/>
                <w:color w:val="auto"/>
              </w:rPr>
              <w:t>注：1.投标人的报价不得超过最高投标限价；</w:t>
            </w:r>
          </w:p>
          <w:p>
            <w:pPr>
              <w:numPr>
                <w:ilvl w:val="0"/>
                <w:numId w:val="0"/>
              </w:numPr>
              <w:ind w:right="120" w:rightChars="50" w:firstLine="480" w:firstLineChars="200"/>
              <w:rPr>
                <w:rFonts w:hint="eastAsia"/>
                <w:color w:val="auto"/>
              </w:rPr>
            </w:pPr>
            <w:r>
              <w:rPr>
                <w:rFonts w:hint="eastAsia"/>
                <w:color w:val="auto"/>
                <w:lang w:val="en-US" w:eastAsia="zh-CN"/>
              </w:rPr>
              <w:t>2.</w:t>
            </w:r>
            <w:r>
              <w:rPr>
                <w:rFonts w:hint="eastAsia"/>
                <w:color w:val="auto"/>
              </w:rPr>
              <w:t>结算时的结算价不能高于中标人的投标报价。</w:t>
            </w:r>
          </w:p>
          <w:p>
            <w:pPr>
              <w:bidi w:val="0"/>
              <w:ind w:firstLine="480" w:firstLineChars="200"/>
              <w:rPr>
                <w:rFonts w:hint="eastAsia"/>
                <w:color w:val="auto"/>
              </w:rPr>
            </w:pPr>
            <w:r>
              <w:rPr>
                <w:rFonts w:hint="eastAsia"/>
                <w:color w:val="auto"/>
                <w:lang w:val="en-US" w:eastAsia="zh-CN"/>
              </w:rPr>
              <w:t>3.设计控制价按财政部门已审定的控制价控制，EPC中建安费控制价，按区发展改革招商局批复的初步设计概算建安费和预备费之和进行控制。完成EPC招标后，改项目施工图预算以财政部门审定金额为准推进建设，该项目最终结算均不得超过区发展改革招商局批复的项目初步设计概算建安费和预备费之和，以财政部门审定金额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3.2.4</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投标报价的其他要求</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本次招标投标人只需填报投标报价及下浮率。</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有效下浮率报价范围为0.00％-5.00 ％（以百分比为单位，精确到小数点后2位）。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3.3.1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投标有效期</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90 个日历天（从投标截止之日计起）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3.4</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投标保证金</w:t>
            </w:r>
          </w:p>
          <w:p>
            <w:pPr>
              <w:jc w:val="center"/>
              <w:rPr>
                <w:rFonts w:hint="eastAsia" w:ascii="宋体" w:hAnsi="宋体" w:eastAsia="宋体" w:cs="宋体"/>
                <w:color w:val="auto"/>
                <w:szCs w:val="24"/>
              </w:rPr>
            </w:pPr>
            <w:r>
              <w:rPr>
                <w:rFonts w:hint="eastAsia" w:ascii="宋体" w:hAnsi="宋体" w:eastAsia="宋体" w:cs="宋体"/>
                <w:color w:val="auto"/>
                <w:szCs w:val="24"/>
              </w:rPr>
              <w:t>或保函</w:t>
            </w:r>
          </w:p>
        </w:tc>
        <w:tc>
          <w:tcPr>
            <w:tcW w:w="6609" w:type="dxa"/>
          </w:tcPr>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1、投标保证金：金额为</w:t>
            </w:r>
            <w:r>
              <w:rPr>
                <w:rFonts w:hint="eastAsia" w:ascii="宋体" w:hAnsi="宋体" w:eastAsia="宋体" w:cs="宋体"/>
                <w:b/>
                <w:bCs/>
                <w:color w:val="auto"/>
                <w:szCs w:val="24"/>
                <w:u w:val="single"/>
              </w:rPr>
              <w:t>壹拾</w:t>
            </w:r>
            <w:r>
              <w:rPr>
                <w:rFonts w:hint="eastAsia" w:ascii="宋体" w:hAnsi="宋体" w:eastAsia="宋体" w:cs="宋体"/>
                <w:color w:val="auto"/>
                <w:szCs w:val="24"/>
              </w:rPr>
              <w:t>万元整。</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2、投标保证金缴纳方式：现金转账或银行保函方式（二选一）。</w:t>
            </w:r>
          </w:p>
          <w:p>
            <w:pPr>
              <w:ind w:left="120" w:leftChars="50" w:right="120" w:rightChars="50"/>
              <w:rPr>
                <w:rFonts w:hint="eastAsia" w:ascii="宋体" w:hAnsi="宋体" w:eastAsia="宋体" w:cs="宋体"/>
                <w:b/>
                <w:bCs/>
                <w:color w:val="auto"/>
                <w:szCs w:val="24"/>
              </w:rPr>
            </w:pPr>
            <w:r>
              <w:rPr>
                <w:rFonts w:hint="eastAsia" w:ascii="宋体" w:hAnsi="宋体" w:eastAsia="宋体" w:cs="宋体"/>
                <w:b/>
                <w:bCs/>
                <w:color w:val="auto"/>
                <w:szCs w:val="24"/>
              </w:rPr>
              <w:t>注：如联合体投标，投标保证金由联合体主办方缴纳。</w:t>
            </w:r>
          </w:p>
          <w:p>
            <w:pPr>
              <w:ind w:left="120" w:leftChars="50" w:right="120" w:rightChars="50"/>
              <w:rPr>
                <w:rFonts w:hint="eastAsia" w:ascii="宋体" w:hAnsi="宋体" w:eastAsia="宋体" w:cs="宋体"/>
                <w:color w:val="auto"/>
                <w:szCs w:val="24"/>
                <w:lang w:val="zh-CN"/>
              </w:rPr>
            </w:pPr>
            <w:r>
              <w:rPr>
                <w:rFonts w:hint="eastAsia" w:ascii="宋体" w:hAnsi="宋体" w:eastAsia="宋体" w:cs="宋体"/>
                <w:color w:val="auto"/>
                <w:szCs w:val="24"/>
                <w:lang w:val="zh-CN"/>
              </w:rPr>
              <w:t>2.1如银行保函形式提供投标担保，须由投标人基本账户开户银行所在网点或其上一级银行机构出具。须在递交投标文件时将投标保函原件一并递交，逾期不予接收</w:t>
            </w:r>
            <w:r>
              <w:rPr>
                <w:rFonts w:hint="eastAsia" w:ascii="宋体" w:hAnsi="宋体" w:eastAsia="宋体" w:cs="宋体"/>
                <w:color w:val="auto"/>
                <w:szCs w:val="24"/>
              </w:rPr>
              <w:t>（</w:t>
            </w:r>
            <w:r>
              <w:rPr>
                <w:rFonts w:hint="eastAsia" w:ascii="宋体" w:hAnsi="宋体" w:eastAsia="宋体" w:cs="宋体"/>
                <w:b/>
                <w:bCs/>
                <w:color w:val="auto"/>
                <w:szCs w:val="24"/>
              </w:rPr>
              <w:t>保函开具时间</w:t>
            </w:r>
            <w:r>
              <w:rPr>
                <w:rFonts w:hint="eastAsia" w:ascii="宋体" w:hAnsi="宋体" w:eastAsia="宋体" w:cs="宋体"/>
                <w:b/>
                <w:bCs/>
                <w:color w:val="auto"/>
                <w:szCs w:val="24"/>
                <w:lang w:val="en-US" w:eastAsia="zh-CN"/>
              </w:rPr>
              <w:t>与投标有效期时间一致）</w:t>
            </w:r>
            <w:r>
              <w:rPr>
                <w:rFonts w:hint="eastAsia" w:ascii="宋体" w:hAnsi="宋体" w:eastAsia="宋体" w:cs="宋体"/>
                <w:b/>
                <w:bCs/>
                <w:color w:val="auto"/>
                <w:szCs w:val="24"/>
                <w:lang w:val="zh-CN"/>
              </w:rPr>
              <w:t>。</w:t>
            </w:r>
          </w:p>
          <w:p>
            <w:pPr>
              <w:ind w:left="120" w:leftChars="50" w:right="120" w:rightChars="50"/>
              <w:rPr>
                <w:rFonts w:hint="eastAsia" w:ascii="宋体" w:hAnsi="宋体" w:eastAsia="宋体" w:cs="宋体"/>
                <w:color w:val="auto"/>
                <w:szCs w:val="24"/>
                <w:lang w:val="zh-CN"/>
              </w:rPr>
            </w:pPr>
            <w:r>
              <w:rPr>
                <w:rFonts w:hint="eastAsia" w:ascii="宋体" w:hAnsi="宋体" w:eastAsia="宋体" w:cs="宋体"/>
                <w:color w:val="auto"/>
                <w:szCs w:val="24"/>
                <w:lang w:val="zh-CN"/>
              </w:rPr>
              <w:t>2.2如现金转账提交投标保证金，须从投标人基本账户在</w:t>
            </w:r>
            <w:r>
              <w:rPr>
                <w:rFonts w:hint="eastAsia" w:ascii="宋体" w:hAnsi="宋体" w:eastAsia="宋体" w:cs="宋体"/>
                <w:b/>
                <w:bCs/>
                <w:color w:val="auto"/>
                <w:szCs w:val="24"/>
                <w:lang w:val="en-US" w:eastAsia="zh-CN"/>
              </w:rPr>
              <w:t>投标截止前</w:t>
            </w:r>
            <w:r>
              <w:rPr>
                <w:rFonts w:hint="eastAsia" w:ascii="宋体" w:hAnsi="宋体" w:eastAsia="宋体" w:cs="宋体"/>
                <w:color w:val="auto"/>
                <w:szCs w:val="24"/>
              </w:rPr>
              <w:t>之</w:t>
            </w:r>
            <w:r>
              <w:rPr>
                <w:rFonts w:hint="eastAsia" w:ascii="宋体" w:hAnsi="宋体" w:eastAsia="宋体" w:cs="宋体"/>
                <w:color w:val="auto"/>
                <w:szCs w:val="24"/>
                <w:lang w:val="zh-CN"/>
              </w:rPr>
              <w:t>前将投标保证金一次性转入或汇入以下指定专用账户：</w:t>
            </w:r>
          </w:p>
          <w:p>
            <w:pPr>
              <w:ind w:left="120" w:leftChars="50" w:right="120" w:rightChars="50"/>
              <w:rPr>
                <w:rFonts w:hint="eastAsia" w:ascii="宋体" w:hAnsi="宋体" w:eastAsia="宋体" w:cs="宋体"/>
                <w:b/>
                <w:bCs/>
                <w:color w:val="auto"/>
                <w:szCs w:val="24"/>
                <w:lang w:val="zh-CN"/>
              </w:rPr>
            </w:pPr>
            <w:r>
              <w:rPr>
                <w:rFonts w:hint="eastAsia" w:ascii="宋体" w:hAnsi="宋体" w:eastAsia="宋体" w:cs="宋体"/>
                <w:b/>
                <w:bCs/>
                <w:color w:val="auto"/>
                <w:szCs w:val="24"/>
                <w:lang w:val="zh-CN"/>
              </w:rPr>
              <w:t>开户名：广州交易集团有限公司</w:t>
            </w:r>
          </w:p>
          <w:p>
            <w:pPr>
              <w:ind w:left="120" w:leftChars="50" w:right="120" w:rightChars="50"/>
              <w:rPr>
                <w:rFonts w:hint="eastAsia" w:ascii="宋体" w:hAnsi="宋体" w:eastAsia="宋体" w:cs="宋体"/>
                <w:b/>
                <w:bCs/>
                <w:color w:val="auto"/>
                <w:szCs w:val="24"/>
                <w:lang w:val="zh-CN"/>
              </w:rPr>
            </w:pPr>
            <w:r>
              <w:rPr>
                <w:rFonts w:hint="eastAsia" w:ascii="宋体" w:hAnsi="宋体" w:eastAsia="宋体" w:cs="宋体"/>
                <w:b/>
                <w:bCs/>
                <w:color w:val="auto"/>
                <w:szCs w:val="24"/>
                <w:lang w:val="zh-CN"/>
              </w:rPr>
              <w:t>开户行：中国建设银行广州天润路支行</w:t>
            </w:r>
          </w:p>
          <w:p>
            <w:pPr>
              <w:ind w:left="120" w:leftChars="50" w:right="120" w:rightChars="50"/>
              <w:rPr>
                <w:rFonts w:hint="eastAsia" w:ascii="宋体" w:hAnsi="宋体" w:eastAsia="宋体" w:cs="宋体"/>
                <w:b/>
                <w:bCs/>
                <w:color w:val="auto"/>
                <w:szCs w:val="24"/>
                <w:lang w:val="zh-CN"/>
              </w:rPr>
            </w:pPr>
            <w:r>
              <w:rPr>
                <w:rFonts w:hint="eastAsia" w:ascii="宋体" w:hAnsi="宋体" w:eastAsia="宋体" w:cs="宋体"/>
                <w:b/>
                <w:bCs/>
                <w:color w:val="auto"/>
                <w:szCs w:val="24"/>
                <w:lang w:val="zh-CN"/>
              </w:rPr>
              <w:t>账号：44001583404059333333</w:t>
            </w:r>
          </w:p>
          <w:p>
            <w:pPr>
              <w:ind w:left="120" w:leftChars="50" w:right="120" w:rightChars="50"/>
              <w:rPr>
                <w:rFonts w:hint="eastAsia" w:ascii="宋体" w:hAnsi="宋体" w:eastAsia="宋体" w:cs="宋体"/>
                <w:color w:val="auto"/>
                <w:szCs w:val="24"/>
              </w:rPr>
            </w:pPr>
            <w:r>
              <w:rPr>
                <w:rFonts w:hint="eastAsia" w:ascii="宋体" w:hAnsi="宋体" w:eastAsia="宋体" w:cs="宋体"/>
                <w:b/>
                <w:bCs/>
                <w:color w:val="auto"/>
                <w:szCs w:val="24"/>
              </w:rPr>
              <w:t>注：</w:t>
            </w:r>
            <w:r>
              <w:rPr>
                <w:rFonts w:hint="eastAsia" w:ascii="宋体" w:hAnsi="宋体" w:eastAsia="宋体" w:cs="宋体"/>
                <w:color w:val="auto"/>
                <w:szCs w:val="24"/>
              </w:rPr>
              <w:t>①该投标保证金汇款凭证必须在用途栏注明：</w:t>
            </w:r>
            <w:r>
              <w:rPr>
                <w:rFonts w:hint="eastAsia" w:ascii="宋体" w:hAnsi="宋体" w:eastAsia="宋体" w:cs="宋体"/>
                <w:color w:val="auto"/>
                <w:szCs w:val="24"/>
                <w:u w:val="single"/>
              </w:rPr>
              <w:t>湛江经开区老旧小区改造项目（一期一标）EPC投标保证金</w:t>
            </w:r>
            <w:r>
              <w:rPr>
                <w:rFonts w:hint="eastAsia" w:ascii="宋体" w:hAnsi="宋体" w:eastAsia="宋体" w:cs="宋体"/>
                <w:color w:val="auto"/>
                <w:szCs w:val="24"/>
              </w:rPr>
              <w:t>（可缩写为“</w:t>
            </w:r>
            <w:r>
              <w:rPr>
                <w:rFonts w:hint="eastAsia" w:ascii="宋体" w:hAnsi="宋体" w:eastAsia="宋体" w:cs="宋体"/>
                <w:color w:val="auto"/>
                <w:szCs w:val="24"/>
                <w:u w:val="single"/>
              </w:rPr>
              <w:t>湛江经开区老旧小区改造项目EPC投标保证金</w:t>
            </w:r>
            <w:r>
              <w:rPr>
                <w:rFonts w:hint="eastAsia" w:ascii="宋体" w:hAnsi="宋体" w:eastAsia="宋体" w:cs="宋体"/>
                <w:color w:val="auto"/>
                <w:szCs w:val="24"/>
              </w:rPr>
              <w:t>”）。</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②该投标保证金必须按规定时间内汇到指定专用账户，否则作无效标处理。保证金汇款凭证、银行出具的《基本账户信息》复印件或基本账户开户许可证复印件为投标文件的组成部分。</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1）未中标投标人的投标保证金/银行保函将在发出中标通知书后 5 个工作日内返还。</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2）中标人的投标保证金/银行保函，在按要求与招标人签署合同后 5 个工作日内予以退还。</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3、如投标人出现下列情况，将被没收投标保证金/银行保函：</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1）投标人在规定的投标有效期内撤销或修改其投标文件；</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2）投标人在投标过程中有违反招标投标法律法规行为的；</w:t>
            </w:r>
          </w:p>
          <w:p>
            <w:pPr>
              <w:ind w:left="120" w:leftChars="50" w:right="120" w:rightChars="50"/>
              <w:rPr>
                <w:rFonts w:hint="eastAsia" w:ascii="宋体" w:hAnsi="宋体" w:eastAsia="宋体" w:cs="宋体"/>
                <w:color w:val="auto"/>
                <w:szCs w:val="24"/>
              </w:rPr>
            </w:pPr>
            <w:r>
              <w:rPr>
                <w:rFonts w:hint="eastAsia" w:ascii="宋体" w:hAnsi="宋体" w:eastAsia="宋体" w:cs="宋体"/>
                <w:color w:val="auto"/>
                <w:szCs w:val="24"/>
              </w:rPr>
              <w:t>3）中标人在收到中标通知书后，无正当理由拒签合同或未按招标文件规定提交履约担保。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3.6</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是否允许递交备选投标方案</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☑不允许</w:t>
            </w:r>
          </w:p>
          <w:p>
            <w:pPr>
              <w:ind w:left="50" w:right="50"/>
              <w:rPr>
                <w:rFonts w:hint="eastAsia" w:ascii="宋体" w:hAnsi="宋体" w:eastAsia="宋体" w:cs="宋体"/>
                <w:color w:val="auto"/>
                <w:szCs w:val="24"/>
              </w:rPr>
            </w:pPr>
            <w:r>
              <w:rPr>
                <w:rFonts w:hint="eastAsia" w:ascii="宋体" w:hAnsi="宋体" w:eastAsia="宋体" w:cs="宋体"/>
                <w:color w:val="auto"/>
                <w:szCs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3.7.3</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签字或盖章要求</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在有要求签字或加盖单位公章的位置签字或加盖单位公章；联合体投标的，除联合体协议书需加盖本单位公章证明外，投标文件其余部分需要签字或盖章之处由联合体主办方签字或盖章即可。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3.7.4</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投标文件份数</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lang w:val="en-US" w:eastAsia="zh-CN"/>
              </w:rPr>
              <w:t>商务文件</w:t>
            </w:r>
            <w:r>
              <w:rPr>
                <w:rFonts w:hint="eastAsia" w:ascii="宋体" w:hAnsi="宋体" w:eastAsia="宋体" w:cs="宋体"/>
                <w:color w:val="auto"/>
                <w:szCs w:val="24"/>
              </w:rPr>
              <w:t>一</w:t>
            </w:r>
            <w:r>
              <w:rPr>
                <w:rFonts w:hint="eastAsia" w:ascii="宋体" w:hAnsi="宋体" w:eastAsia="宋体" w:cs="宋体"/>
                <w:color w:val="auto"/>
                <w:szCs w:val="24"/>
                <w:lang w:val="en-US" w:eastAsia="zh-CN"/>
              </w:rPr>
              <w:t>正四副，技术文件一正五副</w:t>
            </w:r>
            <w:r>
              <w:rPr>
                <w:rFonts w:hint="eastAsia" w:ascii="宋体" w:hAnsi="宋体" w:eastAsia="宋体" w:cs="宋体"/>
                <w:color w:val="auto"/>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3.7.5</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装订要求</w:t>
            </w:r>
          </w:p>
        </w:tc>
        <w:tc>
          <w:tcPr>
            <w:tcW w:w="6609" w:type="dxa"/>
          </w:tcPr>
          <w:p>
            <w:pPr>
              <w:ind w:left="120" w:leftChars="50" w:right="120" w:rightChars="50"/>
              <w:rPr>
                <w:rFonts w:hint="eastAsia" w:ascii="宋体" w:hAnsi="宋体" w:eastAsia="宋体" w:cs="宋体"/>
                <w:b/>
                <w:bCs/>
                <w:color w:val="auto"/>
                <w:szCs w:val="24"/>
                <w:lang w:val="zh-CN"/>
              </w:rPr>
            </w:pPr>
            <w:r>
              <w:rPr>
                <w:rFonts w:hint="eastAsia" w:ascii="宋体" w:hAnsi="宋体" w:eastAsia="宋体" w:cs="宋体"/>
                <w:b/>
                <w:bCs/>
                <w:color w:val="auto"/>
                <w:szCs w:val="24"/>
                <w:lang w:val="zh-CN"/>
              </w:rPr>
              <w:t>整套商务、技术</w:t>
            </w:r>
            <w:r>
              <w:rPr>
                <w:rFonts w:hint="eastAsia" w:ascii="宋体" w:hAnsi="宋体" w:eastAsia="宋体" w:cs="宋体"/>
                <w:b/>
                <w:bCs/>
                <w:color w:val="auto"/>
                <w:szCs w:val="24"/>
                <w:lang w:val="en-US" w:eastAsia="zh-CN"/>
              </w:rPr>
              <w:t>文件</w:t>
            </w:r>
            <w:r>
              <w:rPr>
                <w:rFonts w:hint="eastAsia" w:ascii="宋体" w:hAnsi="宋体" w:eastAsia="宋体" w:cs="宋体"/>
                <w:b/>
                <w:bCs/>
                <w:color w:val="auto"/>
                <w:szCs w:val="24"/>
                <w:lang w:val="zh-CN"/>
              </w:rPr>
              <w:t>分开装订，封面上应分别注明“正本” 或“副本”字样，电子文件（U盘或光盘贴上投标人名称）1 份。投标文件正本按招标文件规定的格式签字、盖章；副本可用正本复印,封面</w:t>
            </w:r>
            <w:r>
              <w:rPr>
                <w:rFonts w:hint="eastAsia" w:ascii="宋体" w:hAnsi="宋体" w:eastAsia="宋体" w:cs="宋体"/>
                <w:b/>
                <w:bCs/>
                <w:color w:val="auto"/>
                <w:szCs w:val="24"/>
                <w:lang w:val="en-US" w:eastAsia="zh-CN"/>
              </w:rPr>
              <w:t>及骑缝</w:t>
            </w:r>
            <w:r>
              <w:rPr>
                <w:rFonts w:hint="eastAsia" w:ascii="宋体" w:hAnsi="宋体" w:eastAsia="宋体" w:cs="宋体"/>
                <w:b/>
                <w:bCs/>
                <w:color w:val="auto"/>
                <w:szCs w:val="24"/>
                <w:lang w:val="zh-CN"/>
              </w:rPr>
              <w:t>盖章即可。正本和副本不一致时，以正本为准。</w:t>
            </w:r>
          </w:p>
          <w:p>
            <w:pPr>
              <w:ind w:left="120" w:leftChars="50" w:right="120" w:rightChars="50"/>
              <w:rPr>
                <w:rFonts w:hint="eastAsia" w:ascii="宋体" w:hAnsi="宋体" w:eastAsia="宋体" w:cs="宋体"/>
                <w:b/>
                <w:bCs/>
                <w:color w:val="auto"/>
                <w:szCs w:val="24"/>
                <w:lang w:val="zh-CN"/>
              </w:rPr>
            </w:pPr>
            <w:r>
              <w:rPr>
                <w:rFonts w:hint="eastAsia" w:ascii="宋体" w:hAnsi="宋体" w:eastAsia="宋体" w:cs="宋体"/>
                <w:b/>
                <w:bCs/>
                <w:color w:val="auto"/>
                <w:szCs w:val="24"/>
                <w:lang w:val="zh-CN"/>
              </w:rPr>
              <w:t>商务</w:t>
            </w:r>
            <w:r>
              <w:rPr>
                <w:rFonts w:hint="eastAsia" w:ascii="宋体" w:hAnsi="宋体" w:cs="宋体"/>
                <w:b/>
                <w:bCs/>
                <w:color w:val="auto"/>
                <w:szCs w:val="24"/>
                <w:lang w:val="zh-CN"/>
              </w:rPr>
              <w:t>、</w:t>
            </w:r>
            <w:r>
              <w:rPr>
                <w:rFonts w:hint="eastAsia" w:ascii="宋体" w:hAnsi="宋体" w:eastAsia="宋体" w:cs="宋体"/>
                <w:b/>
                <w:bCs/>
                <w:color w:val="auto"/>
                <w:szCs w:val="24"/>
                <w:lang w:val="zh-CN"/>
              </w:rPr>
              <w:t>技术</w:t>
            </w:r>
            <w:r>
              <w:rPr>
                <w:rFonts w:hint="eastAsia" w:ascii="宋体" w:hAnsi="宋体" w:cs="宋体"/>
                <w:b/>
                <w:bCs/>
                <w:color w:val="auto"/>
                <w:szCs w:val="24"/>
                <w:lang w:val="en-US" w:eastAsia="zh-CN"/>
              </w:rPr>
              <w:t>及正副本必须</w:t>
            </w:r>
            <w:r>
              <w:rPr>
                <w:rFonts w:hint="eastAsia" w:ascii="宋体" w:hAnsi="宋体" w:eastAsia="宋体" w:cs="宋体"/>
                <w:b/>
                <w:bCs/>
                <w:color w:val="auto"/>
                <w:szCs w:val="24"/>
                <w:lang w:val="zh-CN"/>
              </w:rPr>
              <w:t>独自分开的封包，共为</w:t>
            </w:r>
            <w:r>
              <w:rPr>
                <w:rFonts w:hint="eastAsia" w:ascii="宋体" w:hAnsi="宋体" w:cs="宋体"/>
                <w:b/>
                <w:bCs/>
                <w:color w:val="auto"/>
                <w:szCs w:val="24"/>
                <w:lang w:val="en-US" w:eastAsia="zh-CN"/>
              </w:rPr>
              <w:t>4</w:t>
            </w:r>
            <w:r>
              <w:rPr>
                <w:rFonts w:hint="eastAsia" w:ascii="宋体" w:hAnsi="宋体" w:eastAsia="宋体" w:cs="宋体"/>
                <w:b/>
                <w:bCs/>
                <w:color w:val="auto"/>
                <w:szCs w:val="24"/>
                <w:lang w:val="zh-CN"/>
              </w:rPr>
              <w:t xml:space="preserve">包： </w:t>
            </w:r>
          </w:p>
          <w:p>
            <w:pPr>
              <w:ind w:left="120" w:leftChars="50" w:right="120" w:rightChars="50"/>
              <w:rPr>
                <w:rFonts w:hint="eastAsia" w:ascii="宋体" w:hAnsi="宋体" w:eastAsia="宋体" w:cs="宋体"/>
                <w:b/>
                <w:bCs/>
                <w:color w:val="auto"/>
                <w:szCs w:val="24"/>
                <w:lang w:val="zh-CN"/>
              </w:rPr>
            </w:pPr>
            <w:r>
              <w:rPr>
                <w:rFonts w:hint="eastAsia" w:ascii="宋体" w:hAnsi="宋体" w:eastAsia="宋体" w:cs="宋体"/>
                <w:b/>
                <w:bCs/>
                <w:color w:val="auto"/>
                <w:szCs w:val="24"/>
                <w:lang w:val="en-US"/>
              </w:rPr>
              <w:t>商务</w:t>
            </w:r>
            <w:r>
              <w:rPr>
                <w:rFonts w:hint="eastAsia" w:ascii="宋体" w:hAnsi="宋体" w:eastAsia="宋体" w:cs="宋体"/>
                <w:b/>
                <w:bCs/>
                <w:color w:val="auto"/>
                <w:szCs w:val="24"/>
                <w:lang w:val="zh-CN"/>
              </w:rPr>
              <w:t>投标文件</w:t>
            </w:r>
            <w:r>
              <w:rPr>
                <w:rFonts w:hint="eastAsia" w:ascii="宋体" w:hAnsi="宋体" w:cs="宋体"/>
                <w:b/>
                <w:bCs/>
                <w:color w:val="auto"/>
                <w:szCs w:val="24"/>
                <w:lang w:val="en-US" w:eastAsia="zh-CN"/>
              </w:rPr>
              <w:t>正本</w:t>
            </w:r>
            <w:r>
              <w:rPr>
                <w:rFonts w:hint="eastAsia" w:ascii="宋体" w:hAnsi="宋体" w:eastAsia="宋体" w:cs="宋体"/>
                <w:b/>
                <w:bCs/>
                <w:color w:val="auto"/>
                <w:szCs w:val="24"/>
                <w:lang w:val="zh-CN"/>
              </w:rPr>
              <w:t>1包</w:t>
            </w:r>
            <w:r>
              <w:rPr>
                <w:rFonts w:hint="eastAsia" w:ascii="宋体" w:hAnsi="宋体" w:cs="宋体"/>
                <w:b/>
                <w:bCs/>
                <w:color w:val="auto"/>
                <w:szCs w:val="24"/>
                <w:lang w:val="zh-CN"/>
              </w:rPr>
              <w:t>、</w:t>
            </w:r>
            <w:r>
              <w:rPr>
                <w:rFonts w:hint="eastAsia" w:ascii="宋体" w:hAnsi="宋体" w:cs="宋体"/>
                <w:b/>
                <w:bCs/>
                <w:color w:val="auto"/>
                <w:szCs w:val="24"/>
                <w:lang w:val="en-US" w:eastAsia="zh-CN"/>
              </w:rPr>
              <w:t>副本1包</w:t>
            </w:r>
            <w:r>
              <w:rPr>
                <w:rFonts w:hint="eastAsia" w:ascii="宋体" w:hAnsi="宋体" w:eastAsia="宋体" w:cs="宋体"/>
                <w:b/>
                <w:bCs/>
                <w:color w:val="auto"/>
                <w:szCs w:val="24"/>
                <w:lang w:val="zh-CN"/>
              </w:rPr>
              <w:t>；</w:t>
            </w:r>
          </w:p>
          <w:p>
            <w:pPr>
              <w:ind w:left="120" w:leftChars="50" w:right="120" w:rightChars="50"/>
              <w:rPr>
                <w:rFonts w:hint="eastAsia" w:ascii="宋体" w:hAnsi="宋体" w:eastAsia="宋体" w:cs="宋体"/>
                <w:color w:val="auto"/>
                <w:szCs w:val="24"/>
              </w:rPr>
            </w:pPr>
            <w:r>
              <w:rPr>
                <w:rFonts w:hint="eastAsia" w:ascii="宋体" w:hAnsi="宋体" w:eastAsia="宋体" w:cs="宋体"/>
                <w:b/>
                <w:bCs/>
                <w:color w:val="auto"/>
                <w:szCs w:val="24"/>
                <w:lang w:val="zh-CN"/>
              </w:rPr>
              <w:t>技术投标文件</w:t>
            </w:r>
            <w:r>
              <w:rPr>
                <w:rFonts w:hint="eastAsia" w:ascii="宋体" w:hAnsi="宋体" w:cs="宋体"/>
                <w:b/>
                <w:bCs/>
                <w:color w:val="auto"/>
                <w:szCs w:val="24"/>
                <w:lang w:val="en-US" w:eastAsia="zh-CN"/>
              </w:rPr>
              <w:t>正本</w:t>
            </w:r>
            <w:r>
              <w:rPr>
                <w:rFonts w:hint="eastAsia" w:ascii="宋体" w:hAnsi="宋体" w:eastAsia="宋体" w:cs="宋体"/>
                <w:b/>
                <w:bCs/>
                <w:color w:val="auto"/>
                <w:szCs w:val="24"/>
                <w:lang w:val="zh-CN"/>
              </w:rPr>
              <w:t>1包</w:t>
            </w:r>
            <w:r>
              <w:rPr>
                <w:rFonts w:hint="eastAsia" w:ascii="宋体" w:hAnsi="宋体" w:cs="宋体"/>
                <w:b/>
                <w:bCs/>
                <w:color w:val="auto"/>
                <w:szCs w:val="24"/>
                <w:lang w:val="zh-CN"/>
              </w:rPr>
              <w:t>、</w:t>
            </w:r>
            <w:r>
              <w:rPr>
                <w:rFonts w:hint="eastAsia" w:ascii="宋体" w:hAnsi="宋体" w:cs="宋体"/>
                <w:b/>
                <w:bCs/>
                <w:color w:val="auto"/>
                <w:szCs w:val="24"/>
                <w:lang w:val="en-US" w:eastAsia="zh-CN"/>
              </w:rPr>
              <w:t>副本1包</w:t>
            </w:r>
            <w:r>
              <w:rPr>
                <w:rFonts w:hint="eastAsia" w:ascii="宋体" w:hAnsi="宋体" w:eastAsia="宋体" w:cs="宋体"/>
                <w:b/>
                <w:bCs/>
                <w:color w:val="auto"/>
                <w:szCs w:val="24"/>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4.1.2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封套上应载明</w:t>
            </w:r>
          </w:p>
          <w:p>
            <w:pPr>
              <w:jc w:val="center"/>
              <w:rPr>
                <w:rFonts w:hint="eastAsia" w:ascii="宋体" w:hAnsi="宋体" w:eastAsia="宋体" w:cs="宋体"/>
                <w:color w:val="auto"/>
                <w:szCs w:val="24"/>
              </w:rPr>
            </w:pPr>
            <w:r>
              <w:rPr>
                <w:rFonts w:hint="eastAsia" w:ascii="宋体" w:hAnsi="宋体" w:eastAsia="宋体" w:cs="宋体"/>
                <w:color w:val="auto"/>
                <w:szCs w:val="24"/>
              </w:rPr>
              <w:t>的信息</w:t>
            </w:r>
          </w:p>
        </w:tc>
        <w:tc>
          <w:tcPr>
            <w:tcW w:w="6609" w:type="dxa"/>
          </w:tcPr>
          <w:p>
            <w:pPr>
              <w:pStyle w:val="336"/>
              <w:spacing w:line="360" w:lineRule="exact"/>
              <w:ind w:left="107" w:right="3636"/>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招标人名称：</w:t>
            </w:r>
          </w:p>
          <w:p>
            <w:pPr>
              <w:pStyle w:val="336"/>
              <w:spacing w:before="1" w:line="360" w:lineRule="exact"/>
              <w:ind w:left="107" w:right="6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w:t>
            </w:r>
          </w:p>
          <w:p>
            <w:pPr>
              <w:pStyle w:val="336"/>
              <w:spacing w:before="1" w:line="360" w:lineRule="exact"/>
              <w:ind w:left="107" w:right="65"/>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商务文件</w:t>
            </w:r>
          </w:p>
          <w:p>
            <w:pPr>
              <w:pStyle w:val="336"/>
              <w:spacing w:line="360" w:lineRule="exact"/>
              <w:ind w:left="107" w:right="3636"/>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投标人名称：</w:t>
            </w:r>
          </w:p>
          <w:p>
            <w:pPr>
              <w:ind w:left="50" w:right="5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 2023年 月  日  时  分前不得开启（开标前）。</w:t>
            </w:r>
          </w:p>
          <w:p>
            <w:pPr>
              <w:pStyle w:val="2"/>
              <w:ind w:left="0" w:leftChars="0" w:firstLine="0" w:firstLineChars="0"/>
              <w:rPr>
                <w:rFonts w:hint="eastAsia" w:ascii="宋体" w:hAnsi="宋体" w:eastAsia="宋体" w:cs="宋体"/>
                <w:color w:val="auto"/>
              </w:rPr>
            </w:pPr>
            <w:r>
              <w:rPr>
                <w:rFonts w:hint="eastAsia" w:ascii="宋体" w:hAnsi="宋体" w:eastAsia="宋体" w:cs="宋体"/>
                <w:b/>
                <w:bCs/>
                <w:color w:val="auto"/>
                <w:kern w:val="2"/>
                <w:sz w:val="24"/>
                <w:szCs w:val="24"/>
                <w:lang w:val="en-US" w:eastAsia="zh-CN" w:bidi="ar-SA"/>
              </w:rPr>
              <w:t>注：技术文件封套信息按提供的附件格式</w:t>
            </w:r>
            <w:r>
              <w:rPr>
                <w:rFonts w:hint="eastAsia" w:ascii="宋体" w:hAnsi="宋体" w:cs="宋体"/>
                <w:b/>
                <w:bCs/>
                <w:color w:val="auto"/>
                <w:kern w:val="2"/>
                <w:sz w:val="24"/>
                <w:szCs w:val="24"/>
                <w:lang w:val="en-US" w:eastAsia="zh-CN" w:bidi="ar-SA"/>
              </w:rPr>
              <w:t>五、六</w:t>
            </w:r>
            <w:r>
              <w:rPr>
                <w:rFonts w:hint="eastAsia" w:ascii="宋体" w:hAnsi="宋体" w:eastAsia="宋体" w:cs="宋体"/>
                <w:b/>
                <w:bCs/>
                <w:color w:val="auto"/>
                <w:kern w:val="2"/>
                <w:sz w:val="24"/>
                <w:szCs w:val="24"/>
                <w:lang w:val="en-US" w:eastAsia="zh-CN" w:bidi="ar-SA"/>
              </w:rPr>
              <w:t>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4.2.2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递交投标文件</w:t>
            </w:r>
          </w:p>
          <w:p>
            <w:pPr>
              <w:jc w:val="center"/>
              <w:rPr>
                <w:rFonts w:hint="eastAsia" w:ascii="宋体" w:hAnsi="宋体" w:eastAsia="宋体" w:cs="宋体"/>
                <w:color w:val="auto"/>
                <w:szCs w:val="24"/>
              </w:rPr>
            </w:pPr>
            <w:r>
              <w:rPr>
                <w:rFonts w:hint="eastAsia" w:ascii="宋体" w:hAnsi="宋体" w:eastAsia="宋体" w:cs="宋体"/>
                <w:color w:val="auto"/>
                <w:szCs w:val="24"/>
              </w:rPr>
              <w:t>地点</w:t>
            </w:r>
          </w:p>
        </w:tc>
        <w:tc>
          <w:tcPr>
            <w:tcW w:w="6609" w:type="dxa"/>
            <w:vAlign w:val="center"/>
          </w:tcPr>
          <w:p>
            <w:pPr>
              <w:ind w:left="50" w:right="50"/>
              <w:rPr>
                <w:rFonts w:hint="eastAsia" w:ascii="宋体" w:hAnsi="宋体" w:eastAsia="宋体" w:cs="宋体"/>
                <w:color w:val="auto"/>
                <w:szCs w:val="24"/>
              </w:rPr>
            </w:pPr>
            <w:r>
              <w:rPr>
                <w:rFonts w:hint="eastAsia" w:ascii="宋体" w:hAnsi="宋体" w:eastAsia="宋体" w:cs="宋体"/>
                <w:color w:val="auto"/>
                <w:szCs w:val="24"/>
              </w:rPr>
              <w:t>地点：广州公共资源交易中心（天润路333号）。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4.2.3</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是否退还投标</w:t>
            </w:r>
          </w:p>
          <w:p>
            <w:pPr>
              <w:jc w:val="center"/>
              <w:rPr>
                <w:rFonts w:hint="eastAsia" w:ascii="宋体" w:hAnsi="宋体" w:eastAsia="宋体" w:cs="宋体"/>
                <w:color w:val="auto"/>
                <w:szCs w:val="24"/>
              </w:rPr>
            </w:pPr>
            <w:r>
              <w:rPr>
                <w:rFonts w:hint="eastAsia" w:ascii="宋体" w:hAnsi="宋体" w:eastAsia="宋体" w:cs="宋体"/>
                <w:color w:val="auto"/>
                <w:szCs w:val="24"/>
              </w:rPr>
              <w:t>文件</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☑否</w:t>
            </w:r>
          </w:p>
          <w:p>
            <w:pPr>
              <w:ind w:left="50" w:right="50"/>
              <w:rPr>
                <w:rFonts w:hint="eastAsia" w:ascii="宋体" w:hAnsi="宋体" w:eastAsia="宋体" w:cs="宋体"/>
                <w:color w:val="auto"/>
                <w:szCs w:val="24"/>
              </w:rPr>
            </w:pPr>
            <w:r>
              <w:rPr>
                <w:rFonts w:hint="eastAsia" w:ascii="宋体" w:hAnsi="宋体" w:eastAsia="宋体" w:cs="宋体"/>
                <w:color w:val="auto"/>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5.1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开标时间和地点</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开标时间：同投标截止时间。</w:t>
            </w:r>
          </w:p>
          <w:p>
            <w:pPr>
              <w:ind w:left="50" w:right="50"/>
              <w:rPr>
                <w:rFonts w:hint="eastAsia" w:ascii="宋体" w:hAnsi="宋体" w:eastAsia="宋体" w:cs="宋体"/>
                <w:color w:val="auto"/>
                <w:szCs w:val="24"/>
              </w:rPr>
            </w:pPr>
            <w:r>
              <w:rPr>
                <w:rFonts w:hint="eastAsia" w:ascii="宋体" w:hAnsi="宋体" w:eastAsia="宋体" w:cs="宋体"/>
                <w:color w:val="auto"/>
                <w:szCs w:val="24"/>
              </w:rPr>
              <w:t>开标地点：同递交投标文件地点。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5.2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开标程序</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密封情况检查：由投标人代表检查密封情况。</w:t>
            </w:r>
          </w:p>
          <w:p>
            <w:pPr>
              <w:ind w:left="50" w:right="50"/>
              <w:rPr>
                <w:rFonts w:hint="eastAsia" w:ascii="宋体" w:hAnsi="宋体" w:eastAsia="宋体" w:cs="宋体"/>
                <w:color w:val="auto"/>
                <w:szCs w:val="24"/>
              </w:rPr>
            </w:pPr>
            <w:r>
              <w:rPr>
                <w:rFonts w:hint="eastAsia" w:ascii="宋体" w:hAnsi="宋体" w:eastAsia="宋体" w:cs="宋体"/>
                <w:color w:val="auto"/>
                <w:szCs w:val="24"/>
              </w:rPr>
              <w:t>开标顺序：随机启封、逐一公布。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6.1.1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评标委员会的</w:t>
            </w:r>
          </w:p>
          <w:p>
            <w:pPr>
              <w:jc w:val="center"/>
              <w:rPr>
                <w:rFonts w:hint="eastAsia" w:ascii="宋体" w:hAnsi="宋体" w:eastAsia="宋体" w:cs="宋体"/>
                <w:color w:val="auto"/>
                <w:szCs w:val="24"/>
              </w:rPr>
            </w:pPr>
            <w:r>
              <w:rPr>
                <w:rFonts w:hint="eastAsia" w:ascii="宋体" w:hAnsi="宋体" w:eastAsia="宋体" w:cs="宋体"/>
                <w:color w:val="auto"/>
                <w:szCs w:val="24"/>
              </w:rPr>
              <w:t>组建</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评标委员会构成：</w:t>
            </w:r>
            <w:r>
              <w:rPr>
                <w:rFonts w:hint="eastAsia" w:ascii="宋体" w:hAnsi="宋体" w:eastAsia="宋体" w:cs="宋体"/>
                <w:color w:val="auto"/>
                <w:szCs w:val="24"/>
                <w:u w:val="none"/>
              </w:rPr>
              <w:t>5</w:t>
            </w:r>
            <w:r>
              <w:rPr>
                <w:rFonts w:hint="eastAsia" w:ascii="宋体" w:hAnsi="宋体" w:eastAsia="宋体" w:cs="宋体"/>
                <w:color w:val="auto"/>
                <w:szCs w:val="24"/>
              </w:rPr>
              <w:t>人。</w:t>
            </w:r>
          </w:p>
          <w:p>
            <w:pPr>
              <w:ind w:left="50" w:right="50"/>
              <w:rPr>
                <w:rFonts w:hint="eastAsia" w:ascii="宋体" w:hAnsi="宋体" w:eastAsia="宋体" w:cs="宋体"/>
                <w:color w:val="auto"/>
                <w:szCs w:val="24"/>
              </w:rPr>
            </w:pPr>
            <w:r>
              <w:rPr>
                <w:rFonts w:hint="eastAsia" w:ascii="宋体" w:hAnsi="宋体" w:eastAsia="宋体" w:cs="宋体"/>
                <w:color w:val="auto"/>
                <w:szCs w:val="24"/>
              </w:rPr>
              <w:t>评标专家确定方式：5人均从广东省综合评标评审专家库中随机抽取组成。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7.1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是否授权评标委员会确定中标人</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□是</w:t>
            </w:r>
          </w:p>
          <w:p>
            <w:pPr>
              <w:ind w:left="50" w:right="50"/>
              <w:rPr>
                <w:rFonts w:hint="eastAsia" w:ascii="宋体" w:hAnsi="宋体" w:eastAsia="宋体" w:cs="宋体"/>
                <w:color w:val="auto"/>
                <w:szCs w:val="24"/>
              </w:rPr>
            </w:pPr>
            <w:r>
              <w:rPr>
                <w:rFonts w:hint="eastAsia" w:ascii="宋体" w:hAnsi="宋体" w:eastAsia="宋体" w:cs="宋体"/>
                <w:color w:val="auto"/>
                <w:szCs w:val="24"/>
              </w:rPr>
              <w:t>☑否，推荐的中标候选人数：3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7.2</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中标候选人</w:t>
            </w:r>
          </w:p>
          <w:p>
            <w:pPr>
              <w:jc w:val="center"/>
              <w:rPr>
                <w:rFonts w:hint="eastAsia" w:ascii="宋体" w:hAnsi="宋体" w:eastAsia="宋体" w:cs="宋体"/>
                <w:color w:val="auto"/>
                <w:szCs w:val="24"/>
              </w:rPr>
            </w:pPr>
            <w:r>
              <w:rPr>
                <w:rFonts w:hint="eastAsia" w:ascii="宋体" w:hAnsi="宋体" w:eastAsia="宋体" w:cs="宋体"/>
                <w:color w:val="auto"/>
                <w:szCs w:val="24"/>
              </w:rPr>
              <w:t>公示媒介</w:t>
            </w:r>
          </w:p>
        </w:tc>
        <w:tc>
          <w:tcPr>
            <w:tcW w:w="6609" w:type="dxa"/>
            <w:vAlign w:val="center"/>
          </w:tcPr>
          <w:p>
            <w:pPr>
              <w:ind w:left="50" w:right="50"/>
              <w:rPr>
                <w:rFonts w:hint="eastAsia" w:ascii="宋体" w:hAnsi="宋体" w:eastAsia="宋体" w:cs="宋体"/>
                <w:color w:val="auto"/>
                <w:szCs w:val="24"/>
              </w:rPr>
            </w:pPr>
            <w:r>
              <w:rPr>
                <w:rFonts w:hint="eastAsia" w:ascii="宋体" w:hAnsi="宋体" w:eastAsia="宋体" w:cs="宋体"/>
                <w:color w:val="auto"/>
                <w:szCs w:val="24"/>
              </w:rPr>
              <w:t>广州公共资源交易中心网站。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7.4.1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履约担保</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1、履约担保的形式：担保函或现金形式。</w:t>
            </w:r>
          </w:p>
          <w:p>
            <w:pPr>
              <w:ind w:left="50" w:right="50"/>
              <w:rPr>
                <w:rFonts w:hint="eastAsia" w:ascii="宋体" w:hAnsi="宋体" w:eastAsia="宋体" w:cs="宋体"/>
                <w:color w:val="auto"/>
                <w:szCs w:val="24"/>
              </w:rPr>
            </w:pPr>
            <w:r>
              <w:rPr>
                <w:rFonts w:hint="eastAsia" w:ascii="宋体" w:hAnsi="宋体" w:eastAsia="宋体" w:cs="宋体"/>
                <w:color w:val="auto"/>
                <w:szCs w:val="24"/>
              </w:rPr>
              <w:t>2、履约担保的金额：合同价的5%。</w:t>
            </w:r>
          </w:p>
          <w:p>
            <w:pPr>
              <w:ind w:left="50" w:right="50"/>
              <w:rPr>
                <w:rFonts w:hint="eastAsia" w:ascii="宋体" w:hAnsi="宋体" w:eastAsia="宋体" w:cs="宋体"/>
                <w:color w:val="auto"/>
                <w:szCs w:val="24"/>
              </w:rPr>
            </w:pPr>
            <w:r>
              <w:rPr>
                <w:rFonts w:hint="eastAsia" w:ascii="宋体" w:hAnsi="宋体" w:eastAsia="宋体" w:cs="宋体"/>
                <w:color w:val="auto"/>
                <w:szCs w:val="24"/>
              </w:rPr>
              <w:t>3、中标人在收到中标通知书后 5 天内提交履约担保。如在规定时间未提交的，视为中标单位放弃中标，而招标人有权没收投标保证金和重新确定的第二名中标候选人为中标单位。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10</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监管部门</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监督部门：湛江经济技术开发区住房和规划建设局</w:t>
            </w:r>
          </w:p>
          <w:p>
            <w:pPr>
              <w:ind w:left="50" w:right="50"/>
              <w:rPr>
                <w:rFonts w:hint="eastAsia" w:ascii="宋体" w:hAnsi="宋体" w:eastAsia="宋体" w:cs="宋体"/>
                <w:color w:val="auto"/>
                <w:szCs w:val="24"/>
              </w:rPr>
            </w:pPr>
            <w:r>
              <w:rPr>
                <w:rFonts w:hint="eastAsia" w:ascii="宋体" w:hAnsi="宋体" w:eastAsia="宋体" w:cs="宋体"/>
                <w:color w:val="auto"/>
                <w:szCs w:val="24"/>
              </w:rPr>
              <w:t>电</w:t>
            </w:r>
            <w:r>
              <w:rPr>
                <w:rFonts w:hint="eastAsia" w:ascii="宋体" w:hAnsi="宋体" w:eastAsia="宋体" w:cs="宋体"/>
                <w:color w:val="auto"/>
                <w:szCs w:val="24"/>
              </w:rPr>
              <w:tab/>
            </w:r>
            <w:r>
              <w:rPr>
                <w:rFonts w:hint="eastAsia" w:ascii="宋体" w:hAnsi="宋体" w:eastAsia="宋体" w:cs="宋体"/>
                <w:color w:val="auto"/>
                <w:szCs w:val="24"/>
              </w:rPr>
              <w:t>话：0759-3398603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63"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11</w:t>
            </w:r>
          </w:p>
        </w:tc>
        <w:tc>
          <w:tcPr>
            <w:tcW w:w="1789"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需要补充的</w:t>
            </w:r>
          </w:p>
          <w:p>
            <w:pPr>
              <w:jc w:val="center"/>
              <w:rPr>
                <w:rFonts w:hint="eastAsia" w:ascii="宋体" w:hAnsi="宋体" w:eastAsia="宋体" w:cs="宋体"/>
                <w:color w:val="auto"/>
                <w:szCs w:val="24"/>
              </w:rPr>
            </w:pPr>
            <w:r>
              <w:rPr>
                <w:rFonts w:hint="eastAsia" w:ascii="宋体" w:hAnsi="宋体" w:eastAsia="宋体" w:cs="宋体"/>
                <w:color w:val="auto"/>
                <w:szCs w:val="24"/>
              </w:rPr>
              <w:t>其他内容</w:t>
            </w:r>
          </w:p>
        </w:tc>
        <w:tc>
          <w:tcPr>
            <w:tcW w:w="6609" w:type="dxa"/>
          </w:tcPr>
          <w:p>
            <w:pPr>
              <w:ind w:left="50" w:right="50"/>
              <w:rPr>
                <w:rFonts w:hint="eastAsia" w:ascii="宋体" w:hAnsi="宋体" w:eastAsia="宋体" w:cs="宋体"/>
                <w:color w:val="auto"/>
                <w:szCs w:val="24"/>
              </w:rPr>
            </w:pPr>
            <w:r>
              <w:rPr>
                <w:rFonts w:hint="eastAsia" w:ascii="宋体" w:hAnsi="宋体" w:eastAsia="宋体" w:cs="宋体"/>
                <w:color w:val="auto"/>
                <w:szCs w:val="24"/>
              </w:rPr>
              <w:t>1、投标人自行承担编制与递交投标文件的一切费用；</w:t>
            </w:r>
          </w:p>
          <w:p>
            <w:pPr>
              <w:ind w:left="50" w:right="50"/>
              <w:rPr>
                <w:rFonts w:hint="eastAsia" w:ascii="宋体" w:hAnsi="宋体" w:eastAsia="宋体" w:cs="宋体"/>
                <w:color w:val="auto"/>
                <w:szCs w:val="24"/>
              </w:rPr>
            </w:pPr>
            <w:r>
              <w:rPr>
                <w:rFonts w:hint="eastAsia" w:ascii="宋体" w:hAnsi="宋体" w:eastAsia="宋体" w:cs="宋体"/>
                <w:color w:val="auto"/>
                <w:szCs w:val="24"/>
              </w:rPr>
              <w:t>2、本项目进入广州公共资源交易中心招标所产生的交易场地服务费的支付，由中标单位在中标公示结束之日起3天内，在广州公共资源交易中心网站平台上进行缴纳交易场地服务费用。3、本项目招标代理费由中标单位支付</w:t>
            </w:r>
            <w:r>
              <w:rPr>
                <w:rFonts w:hint="eastAsia" w:ascii="宋体" w:hAnsi="宋体" w:eastAsia="宋体" w:cs="宋体"/>
                <w:color w:val="auto"/>
                <w:szCs w:val="24"/>
                <w:lang w:val="en-US" w:eastAsia="zh-CN"/>
              </w:rPr>
              <w:t>（</w:t>
            </w:r>
            <w:r>
              <w:rPr>
                <w:rFonts w:hint="eastAsia" w:ascii="宋体" w:hAnsi="宋体" w:eastAsia="宋体" w:cs="宋体"/>
                <w:color w:val="auto"/>
                <w:szCs w:val="24"/>
                <w:lang w:val="zh-CN" w:eastAsia="zh-CN"/>
              </w:rPr>
              <w:t>最终</w:t>
            </w:r>
            <w:r>
              <w:rPr>
                <w:rFonts w:hint="eastAsia" w:ascii="宋体" w:hAnsi="宋体" w:eastAsia="宋体" w:cs="宋体"/>
                <w:color w:val="auto"/>
                <w:szCs w:val="24"/>
                <w:lang w:val="en-US" w:eastAsia="zh-CN"/>
              </w:rPr>
              <w:t>计费基价</w:t>
            </w:r>
            <w:r>
              <w:rPr>
                <w:rFonts w:hint="eastAsia" w:ascii="宋体" w:hAnsi="宋体" w:eastAsia="宋体" w:cs="宋体"/>
                <w:color w:val="auto"/>
                <w:szCs w:val="24"/>
                <w:lang w:val="zh-CN" w:eastAsia="zh-CN"/>
              </w:rPr>
              <w:t>待招投标完成后，</w:t>
            </w:r>
            <w:r>
              <w:rPr>
                <w:rFonts w:hint="eastAsia" w:ascii="宋体" w:hAnsi="宋体" w:eastAsia="宋体" w:cs="宋体"/>
                <w:color w:val="auto"/>
                <w:szCs w:val="24"/>
                <w:lang w:val="en-US" w:eastAsia="zh-CN"/>
              </w:rPr>
              <w:t>以</w:t>
            </w:r>
            <w:r>
              <w:rPr>
                <w:rFonts w:hint="eastAsia" w:ascii="宋体" w:hAnsi="宋体" w:eastAsia="宋体" w:cs="宋体"/>
                <w:color w:val="auto"/>
                <w:szCs w:val="24"/>
                <w:lang w:val="zh-CN" w:eastAsia="zh-CN"/>
              </w:rPr>
              <w:t>中标价</w:t>
            </w:r>
            <w:r>
              <w:rPr>
                <w:rFonts w:hint="eastAsia" w:ascii="宋体" w:hAnsi="宋体" w:eastAsia="宋体" w:cs="宋体"/>
                <w:color w:val="auto"/>
                <w:szCs w:val="24"/>
                <w:lang w:val="en-US" w:eastAsia="zh-CN"/>
              </w:rPr>
              <w:t>为准根据计价格[2011]534号计算招标代理费并下浮</w:t>
            </w:r>
            <w:r>
              <w:rPr>
                <w:rFonts w:hint="eastAsia" w:ascii="宋体" w:hAnsi="宋体" w:eastAsia="宋体" w:cs="宋体"/>
                <w:color w:val="auto"/>
                <w:szCs w:val="24"/>
                <w:lang w:val="zh-CN" w:eastAsia="zh-CN"/>
              </w:rPr>
              <w:t>50%）。</w:t>
            </w:r>
          </w:p>
        </w:tc>
      </w:tr>
    </w:tbl>
    <w:p>
      <w:pPr>
        <w:rPr>
          <w:rFonts w:hint="eastAsia" w:ascii="宋体" w:hAnsi="宋体" w:eastAsia="宋体" w:cs="宋体"/>
          <w:b/>
          <w:bCs/>
          <w:color w:val="auto"/>
          <w:szCs w:val="24"/>
        </w:rPr>
      </w:pPr>
    </w:p>
    <w:p>
      <w:pPr>
        <w:rPr>
          <w:rFonts w:hint="eastAsia" w:ascii="宋体" w:hAnsi="宋体" w:eastAsia="宋体" w:cs="宋体"/>
          <w:color w:val="auto"/>
          <w:szCs w:val="24"/>
        </w:rPr>
      </w:pPr>
      <w:r>
        <w:rPr>
          <w:rFonts w:hint="eastAsia" w:ascii="宋体" w:hAnsi="宋体" w:eastAsia="宋体" w:cs="宋体"/>
          <w:b/>
          <w:bCs/>
          <w:color w:val="auto"/>
          <w:szCs w:val="24"/>
        </w:rPr>
        <w:t>特别提示：</w:t>
      </w:r>
      <w:r>
        <w:rPr>
          <w:rFonts w:hint="eastAsia" w:ascii="宋体" w:hAnsi="宋体" w:eastAsia="宋体" w:cs="宋体"/>
          <w:color w:val="auto"/>
          <w:szCs w:val="24"/>
        </w:rPr>
        <w:t>本《投标人须知前附表》是招标文件重要内容的摘录、补充或细化，如有与招标文件正文内容不一致，应以本表内容为准；特别是补充或细化条款，投标人应仔细阅读，否则责任自负。</w:t>
      </w:r>
    </w:p>
    <w:p>
      <w:pPr>
        <w:rPr>
          <w:rFonts w:hint="eastAsia" w:ascii="宋体" w:hAnsi="宋体" w:eastAsia="宋体" w:cs="宋体"/>
          <w:color w:val="auto"/>
          <w:szCs w:val="24"/>
        </w:rPr>
        <w:sectPr>
          <w:footerReference r:id="rId7" w:type="default"/>
          <w:pgSz w:w="11910" w:h="16840"/>
          <w:pgMar w:top="1417" w:right="1373" w:bottom="1417" w:left="1417" w:header="0" w:footer="688" w:gutter="0"/>
          <w:pgNumType w:fmt="decimal"/>
          <w:cols w:space="720" w:num="1"/>
        </w:sectPr>
      </w:pP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总则</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1.1项目概况</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1.1.1根据《中华人民共和国招标投标法》等有关法律、法规和规章的规定，本招标项目已具备招标条件，现对该项目</w:t>
      </w:r>
      <w:r>
        <w:rPr>
          <w:rFonts w:hint="eastAsia" w:ascii="宋体" w:hAnsi="宋体" w:eastAsia="宋体" w:cs="宋体"/>
          <w:color w:val="auto"/>
          <w:szCs w:val="24"/>
          <w:u w:val="single"/>
        </w:rPr>
        <w:t xml:space="preserve"> EPC总承包 </w:t>
      </w:r>
      <w:r>
        <w:rPr>
          <w:rFonts w:hint="eastAsia" w:ascii="宋体" w:hAnsi="宋体" w:eastAsia="宋体" w:cs="宋体"/>
          <w:color w:val="auto"/>
          <w:szCs w:val="24"/>
        </w:rPr>
        <w:t>进行招标。</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1.1.2招标人：见投标人须知前附表。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1.1.3招标代理机构：见投标人须知前附表。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1.1.4招标项目名称：见投标人须知前附表。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1.1.5项目建设地点：见投标人须知前附表。</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1.2项目的资金来源和落实情况</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1.2.1资金来源：见投标人须知前附表。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1.2.2资金落实情况：见投标人须知前附表。</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1.3招标范围、计划工期和质量标准</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1.3.1招标范围：见投标人须知前附表。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1.3.2计划工期：见投标人须知前附表。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1.3.3质量标准：见投标人须知前附表。</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1.4投标人资格要求</w:t>
      </w:r>
    </w:p>
    <w:p>
      <w:pPr>
        <w:spacing w:line="530" w:lineRule="exact"/>
        <w:rPr>
          <w:rFonts w:hint="eastAsia" w:ascii="宋体" w:hAnsi="宋体" w:eastAsia="宋体" w:cs="宋体"/>
          <w:color w:val="auto"/>
          <w:szCs w:val="24"/>
        </w:rPr>
      </w:pPr>
      <w:r>
        <w:rPr>
          <w:rFonts w:hint="eastAsia" w:ascii="宋体" w:hAnsi="宋体" w:eastAsia="宋体" w:cs="宋体"/>
          <w:color w:val="auto"/>
          <w:szCs w:val="24"/>
        </w:rPr>
        <w:t>1.4.1投标人应具备承担本招标项目资质条件、能力和信誉。</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（1）资质要求：见投标人须知前附表；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（2）人员要求：见投标人须知前附表；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（3）信誉要求：见投标人须知前附表；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（4）其他要求：见投标人须知前附表。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1.4.2投标人须知前附表规定接受联合体投标的，除应符合本章第 1.4.1 项和投标人须知前附表的要求外，还应遵守以下规定：</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（1）联合体各方应按招标文件提供的格式签订联合体协议书，明确联合体主办方和各方权利义务；</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（2）由同一专业的单位组成的联合体，按照资质等级较低的单位确定资质等级；</w:t>
      </w:r>
    </w:p>
    <w:p>
      <w:pPr>
        <w:spacing w:line="530" w:lineRule="exact"/>
        <w:rPr>
          <w:rFonts w:hint="eastAsia" w:ascii="宋体" w:hAnsi="宋体" w:eastAsia="宋体" w:cs="宋体"/>
          <w:color w:val="auto"/>
          <w:szCs w:val="24"/>
        </w:rPr>
      </w:pPr>
      <w:r>
        <w:rPr>
          <w:rFonts w:hint="eastAsia" w:ascii="宋体" w:hAnsi="宋体" w:eastAsia="宋体" w:cs="宋体"/>
          <w:color w:val="auto"/>
          <w:szCs w:val="24"/>
        </w:rPr>
        <w:t>联合体各方不得再以自己名义单独或参加其他联合体在本招标项目中投标。</w:t>
      </w:r>
    </w:p>
    <w:p>
      <w:pPr>
        <w:spacing w:line="530" w:lineRule="exact"/>
        <w:rPr>
          <w:rFonts w:hint="eastAsia" w:ascii="宋体" w:hAnsi="宋体" w:eastAsia="宋体" w:cs="宋体"/>
          <w:color w:val="auto"/>
          <w:szCs w:val="24"/>
        </w:rPr>
      </w:pPr>
      <w:r>
        <w:rPr>
          <w:rFonts w:hint="eastAsia" w:ascii="宋体" w:hAnsi="宋体" w:eastAsia="宋体" w:cs="宋体"/>
          <w:color w:val="auto"/>
          <w:szCs w:val="24"/>
        </w:rPr>
        <w:t>1.4.3投标人不得存在下列情形之一：</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（1）为招标人不具有独立法人资格的附属机构（单位）；</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（2）为招标项目前期工作提供咨询服务的；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（3）为本招标项目的监理人；</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（4）为本招标项目的代建人；</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（5）为本招标项目提供招标代理服务的；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（6）被责令停业的；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（7）被暂停或取消投标资格的；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（8）财产被接管或冻结的；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（9）在最近三年内有骗取中标或严重违约或重大工程质量问题的；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（10）与本招标项目的监理人或代建人或招标代理机构同为一个法定代表人的；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（11）与本招标项目的监理人或代建人或招标代理机构相互控股或参股的；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（12）与本招标项目的监理人或代建人或招标代理机构相互任职或工作的。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1.4.4单位负责人为同一人或者存在控股、管理关系的不同单位，不得同时参加本招标项目投标。</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1.5费用承担和设计成果补偿</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1.5.1投标人准备和参加投标活动发生的费用自理。</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1.5.2招标人对符合招标文件规定的未中标人的设计成果进行补偿的，按投标人须知前附表规定给予补偿，并有权免费使用未中标人设计成果。</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1.6保密</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1.6.1参与招标投标活动的各方应对招标文件和投标文件中的商业和技术等秘密保密，否则应承担相应的法律责任。</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1.7语言文字</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1.7.1招标投标文件使用的语言文字为中文。专用术语使用外文的，应附有中文注释。</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1.8计量单位</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1.8.1所有计量均采用中华人民共和国法定计量单位。</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1.9踏勘现场</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1.9.1投标人须知前附表规定组织踏勘现场的，招标人按投标人须知前附表规定的时间、地点组织投标人踏勘项目现场。</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1.9.2投标人踏勘现场发生的费用自理。</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1.9.3除招标人的原因外，投标人自行负责在踏勘现场中所发生的人员伤亡和财产损失。</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1.9.4招标人应投标人要求在踏勘现场中介绍的工程场地和相关的周边环境情况，供投标人在编制投标文件时参考，招标人不对投标人据此作出的判断和决策负责。</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1.10投标预备会</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1.10.1投标人须知前附表规定召开投标预备会的，招标人按投标人须知前附表规定的时间和地点召开投标预备会，澄清投标人提出的问题。</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1.10.2投标人应在投标人须知前附表规定的时间前，以书面形式将提出的问题送达招标人，以便招标人在会议期间澄清。</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1.10.3投标预备会后，招标人在投标人须知前附表规定的时间内，将对投标人所提问题的澄清，以书面形式通知所有购买招标文件的投标人。该澄清内容为招标文件的组成部分。</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1.11分包</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1.11.1投标人拟在中标后将中标项目的部分非主体、非关键性工作进行分包的，应符合投标人须知前附表规定的分包内容、分包金额和资质要求等限制性条件。</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1.12偏离</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1.12.1投标人须知前附表允许投标文件偏离招标文件某些要求的，偏离应当符合招标文件规定的偏离范围和幅度。</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2.招标文件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2.1招标文件的组成本招标文件包括：</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（1）招标公告；</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（2）投标人须知；</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（3）评标办法；</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（4）合同条款及格式；</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（5）发包人提供的资料和条件；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（6）投标文件格式；</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（7）投标人须知前附表规定的其他资料。</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根据本章第 1.10 款、第 2.2 款和第 2.3 款对招标文件所作的澄清、修改，构成招标文件的组成部分。</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2.2招标文件的澄清</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2.2.2招标文件的澄清以书面形式发给所有购买招标文件的投标人，但不指明澄清问题的来源。澄清发出的时间距投标人须知前附表规定的投标截止时间不足 15 天的，并且澄清内容影响投标文件编制的，将书面通知所有购买招标文件的投标人相应延长投标截止时间。</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2.2.3投标人在收到澄清后，应在投标人须知前附表规定的时间内以书面形式通知招标人，确认已收到该澄清。</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2.3招标文件的修改</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2.3.1 招标人可以书面形式修改招标文件，并通知所有已购买招标文件的投标人。修改招标文件的时间距投标人须知前附表规定的投标截止时间不足 15 天的，并且澄清内容影响投标文件编制的，将书面通知所有购买招标文件的投标人相应延长投标截止时间。</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2.3.2 投标人收到修改内容后，应在投标人须知前附表规定的时间内以书面形式通知招标人，确认已收到该修改。</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3.投标文件</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3.1投标文件的组成</w:t>
      </w:r>
    </w:p>
    <w:p>
      <w:pPr>
        <w:spacing w:line="530" w:lineRule="exact"/>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 xml:space="preserve">3.1.1投标文件应包括下列内容： </w:t>
      </w:r>
    </w:p>
    <w:p>
      <w:pPr>
        <w:spacing w:line="530" w:lineRule="exact"/>
        <w:ind w:firstLine="482" w:firstLineChars="200"/>
        <w:rPr>
          <w:rFonts w:hint="eastAsia" w:ascii="宋体" w:hAnsi="宋体" w:eastAsia="宋体" w:cs="宋体"/>
          <w:b/>
          <w:bCs/>
          <w:color w:val="auto"/>
          <w:szCs w:val="24"/>
          <w:lang w:eastAsia="zh-CN"/>
        </w:rPr>
      </w:pPr>
      <w:r>
        <w:rPr>
          <w:rFonts w:hint="eastAsia" w:ascii="宋体" w:hAnsi="宋体" w:eastAsia="宋体" w:cs="宋体"/>
          <w:b/>
          <w:bCs/>
          <w:color w:val="auto"/>
          <w:szCs w:val="24"/>
        </w:rPr>
        <w:t>3.1.1.1商务文件</w:t>
      </w:r>
      <w:r>
        <w:rPr>
          <w:rFonts w:hint="eastAsia" w:ascii="宋体" w:hAnsi="宋体" w:eastAsia="宋体" w:cs="宋体"/>
          <w:b/>
          <w:bCs/>
          <w:color w:val="auto"/>
          <w:szCs w:val="24"/>
          <w:lang w:eastAsia="zh-CN"/>
        </w:rPr>
        <w:t>（</w:t>
      </w:r>
      <w:r>
        <w:rPr>
          <w:rFonts w:hint="eastAsia" w:ascii="宋体" w:hAnsi="宋体" w:eastAsia="宋体" w:cs="宋体"/>
          <w:b/>
          <w:bCs/>
          <w:color w:val="auto"/>
          <w:szCs w:val="24"/>
          <w:lang w:val="en-US" w:eastAsia="zh-CN"/>
        </w:rPr>
        <w:t>明标评审</w:t>
      </w:r>
      <w:r>
        <w:rPr>
          <w:rFonts w:hint="eastAsia" w:ascii="宋体" w:hAnsi="宋体" w:eastAsia="宋体" w:cs="宋体"/>
          <w:b/>
          <w:bCs/>
          <w:color w:val="auto"/>
          <w:szCs w:val="24"/>
          <w:lang w:eastAsia="zh-CN"/>
        </w:rPr>
        <w:t>）</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（1）投标函及投标函附录；</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（2）法定代表人身份证明或授权委托书；</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（3）联合体协议书（联合体投标须提供，格式参考招标公告附件一）；</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（4）投标保证金承诺书；</w:t>
      </w:r>
    </w:p>
    <w:p>
      <w:pPr>
        <w:spacing w:line="530" w:lineRule="exact"/>
        <w:ind w:firstLine="480" w:firstLineChars="200"/>
        <w:rPr>
          <w:rFonts w:hint="eastAsia" w:ascii="宋体" w:hAnsi="宋体" w:eastAsia="宋体" w:cs="宋体"/>
          <w:color w:val="auto"/>
          <w:szCs w:val="24"/>
        </w:rPr>
      </w:pPr>
      <w:r>
        <w:rPr>
          <w:rFonts w:hint="eastAsia" w:ascii="宋体" w:hAnsi="宋体" w:cs="宋体"/>
          <w:color w:val="auto"/>
          <w:szCs w:val="24"/>
          <w:lang w:eastAsia="zh-CN"/>
        </w:rPr>
        <w:t>（</w:t>
      </w:r>
      <w:r>
        <w:rPr>
          <w:rFonts w:hint="eastAsia" w:ascii="宋体" w:hAnsi="宋体" w:cs="宋体"/>
          <w:color w:val="auto"/>
          <w:szCs w:val="24"/>
          <w:lang w:val="en-US" w:eastAsia="zh-CN"/>
        </w:rPr>
        <w:t>5</w:t>
      </w:r>
      <w:r>
        <w:rPr>
          <w:rFonts w:hint="eastAsia" w:ascii="宋体" w:hAnsi="宋体" w:cs="宋体"/>
          <w:color w:val="auto"/>
          <w:szCs w:val="24"/>
          <w:lang w:eastAsia="zh-CN"/>
        </w:rPr>
        <w:t>）</w:t>
      </w:r>
      <w:r>
        <w:rPr>
          <w:rFonts w:hint="eastAsia" w:ascii="宋体" w:hAnsi="宋体" w:eastAsia="宋体" w:cs="宋体"/>
          <w:color w:val="auto"/>
          <w:szCs w:val="24"/>
        </w:rPr>
        <w:t>廉洁承诺书</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cs="宋体"/>
          <w:color w:val="auto"/>
          <w:szCs w:val="24"/>
          <w:lang w:val="en-US" w:eastAsia="zh-CN"/>
        </w:rPr>
        <w:t>6</w:t>
      </w:r>
      <w:r>
        <w:rPr>
          <w:rFonts w:hint="eastAsia" w:ascii="宋体" w:hAnsi="宋体" w:eastAsia="宋体" w:cs="宋体"/>
          <w:color w:val="auto"/>
          <w:szCs w:val="24"/>
        </w:rPr>
        <w:t>）资格审查资料（联合体投标，则主办方分别提供联合体各方资料并逐页加盖主办方公章，联合体协议书需双方签字并加盖公章）；</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①投标人（独立体或联合体各方）的营业执照副本复印件；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②投标人（独立体或联合体各方）的资质证书副本复印件；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③投标人（独立体或联合体主办方）的企业安全生产许可证副本复印件；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④投标人（独立体或联合体主办方）的投标保证金汇款凭证或银行保函复印件、银行出具的《基本账户信息》复印件或基本账户开户许可证复印件。</w:t>
      </w:r>
    </w:p>
    <w:p>
      <w:pPr>
        <w:spacing w:line="530" w:lineRule="exact"/>
        <w:rPr>
          <w:rFonts w:hint="eastAsia" w:ascii="宋体" w:hAnsi="宋体" w:eastAsia="宋体" w:cs="宋体"/>
          <w:color w:val="auto"/>
          <w:szCs w:val="24"/>
        </w:rPr>
      </w:pPr>
      <w:r>
        <w:rPr>
          <w:rFonts w:hint="eastAsia" w:ascii="宋体" w:hAnsi="宋体" w:eastAsia="宋体" w:cs="宋体"/>
          <w:color w:val="auto"/>
          <w:szCs w:val="24"/>
        </w:rPr>
        <w:t xml:space="preserve">    ⑤投标人（独立体或联合体主办方）拟派的项目负责人资质证书、安全考核合格证及有效身份证复印件。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⑥投标人（独立体或联合体成员方）拟派设计负责人职称证书及有效身份证复印件。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⑦拟派专职安全员的安全生产考核合格证 C 证及有效身份证。 </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⑧投标人（独立体或联合体各方）在“信用中国”网站（</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 </w:instrText>
      </w:r>
      <w:r>
        <w:rPr>
          <w:rFonts w:hint="eastAsia" w:ascii="宋体" w:hAnsi="宋体" w:eastAsia="宋体" w:cs="宋体"/>
          <w:color w:val="auto"/>
        </w:rPr>
        <w:fldChar w:fldCharType="separate"/>
      </w:r>
      <w:r>
        <w:rPr>
          <w:rFonts w:hint="eastAsia" w:ascii="宋体" w:hAnsi="宋体" w:eastAsia="宋体" w:cs="宋体"/>
          <w:color w:val="auto"/>
          <w:szCs w:val="24"/>
        </w:rPr>
        <w:t>http://www.creditchina</w:t>
      </w:r>
      <w:r>
        <w:rPr>
          <w:rFonts w:hint="eastAsia" w:ascii="宋体" w:hAnsi="宋体" w:eastAsia="宋体" w:cs="宋体"/>
          <w:color w:val="auto"/>
          <w:szCs w:val="24"/>
        </w:rPr>
        <w:fldChar w:fldCharType="end"/>
      </w:r>
      <w:r>
        <w:rPr>
          <w:rFonts w:hint="eastAsia" w:ascii="宋体" w:hAnsi="宋体" w:eastAsia="宋体" w:cs="宋体"/>
          <w:color w:val="auto"/>
          <w:szCs w:val="24"/>
        </w:rPr>
        <w:t>.gov.cn/)中被列入失信被执行人名单的投标人、在国家企业信用信息公示系统（www.gsxt.gov.cn）中被列入严重违法失信企业名单的投标人，均按否决投标处理，需提供查询打印页或网页截图证明。</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cs="宋体"/>
          <w:color w:val="auto"/>
          <w:szCs w:val="24"/>
          <w:lang w:val="en-US" w:eastAsia="zh-CN"/>
        </w:rPr>
        <w:t>7</w:t>
      </w:r>
      <w:r>
        <w:rPr>
          <w:rFonts w:hint="eastAsia" w:ascii="宋体" w:hAnsi="宋体" w:eastAsia="宋体" w:cs="宋体"/>
          <w:color w:val="auto"/>
          <w:szCs w:val="24"/>
        </w:rPr>
        <w:t>）其他资料（商务标综合评分表需要的其他证明资料）。</w:t>
      </w:r>
    </w:p>
    <w:p>
      <w:pPr>
        <w:spacing w:line="530" w:lineRule="exact"/>
        <w:ind w:firstLine="482" w:firstLineChars="200"/>
        <w:rPr>
          <w:rFonts w:hint="eastAsia" w:ascii="宋体" w:hAnsi="宋体" w:eastAsia="宋体" w:cs="宋体"/>
          <w:b w:val="0"/>
          <w:bCs w:val="0"/>
          <w:color w:val="auto"/>
          <w:szCs w:val="24"/>
        </w:rPr>
      </w:pPr>
      <w:r>
        <w:rPr>
          <w:rFonts w:hint="eastAsia" w:ascii="宋体" w:hAnsi="宋体" w:eastAsia="宋体" w:cs="宋体"/>
          <w:b/>
          <w:bCs/>
          <w:color w:val="auto"/>
          <w:szCs w:val="24"/>
        </w:rPr>
        <w:t>注：</w:t>
      </w:r>
      <w:r>
        <w:rPr>
          <w:rFonts w:hint="eastAsia" w:ascii="宋体" w:hAnsi="宋体" w:eastAsia="宋体" w:cs="宋体"/>
          <w:color w:val="auto"/>
          <w:szCs w:val="24"/>
        </w:rPr>
        <w:t>投标人须知前附表规定不接受联合体投标的，或投标人没有组成联合体的，投标文件不包括本章第 3.1.1.1（3）目所指的联合体协议书。</w:t>
      </w:r>
      <w:r>
        <w:rPr>
          <w:rFonts w:hint="eastAsia" w:ascii="宋体" w:hAnsi="宋体" w:eastAsia="宋体" w:cs="宋体"/>
          <w:b w:val="0"/>
          <w:bCs w:val="0"/>
          <w:color w:val="auto"/>
          <w:szCs w:val="24"/>
        </w:rPr>
        <w:t>本项目只需提交纸质版投标文件。需将投标文件</w:t>
      </w:r>
      <w:r>
        <w:rPr>
          <w:rFonts w:hint="eastAsia" w:ascii="宋体" w:hAnsi="宋体" w:eastAsia="宋体" w:cs="宋体"/>
          <w:b w:val="0"/>
          <w:bCs w:val="0"/>
          <w:color w:val="auto"/>
          <w:szCs w:val="24"/>
          <w:lang w:val="en-US" w:eastAsia="zh-CN"/>
        </w:rPr>
        <w:t>3.1.1.1（1）</w:t>
      </w:r>
      <w:r>
        <w:rPr>
          <w:rFonts w:hint="eastAsia" w:ascii="宋体" w:hAnsi="宋体" w:eastAsia="宋体" w:cs="宋体"/>
          <w:b w:val="0"/>
          <w:bCs w:val="0"/>
          <w:color w:val="auto"/>
          <w:szCs w:val="24"/>
        </w:rPr>
        <w:t>至3.1.1.1</w:t>
      </w:r>
      <w:r>
        <w:rPr>
          <w:rFonts w:hint="eastAsia" w:ascii="宋体" w:hAnsi="宋体" w:eastAsia="宋体" w:cs="宋体"/>
          <w:b w:val="0"/>
          <w:bCs w:val="0"/>
          <w:color w:val="auto"/>
          <w:szCs w:val="24"/>
          <w:lang w:eastAsia="zh-CN"/>
        </w:rPr>
        <w:t>（</w:t>
      </w:r>
      <w:r>
        <w:rPr>
          <w:rFonts w:hint="eastAsia" w:ascii="宋体" w:hAnsi="宋体" w:cs="宋体"/>
          <w:b w:val="0"/>
          <w:bCs w:val="0"/>
          <w:color w:val="auto"/>
          <w:szCs w:val="24"/>
          <w:lang w:val="en-US" w:eastAsia="zh-CN"/>
        </w:rPr>
        <w:t>7</w:t>
      </w:r>
      <w:r>
        <w:rPr>
          <w:rFonts w:hint="eastAsia" w:ascii="宋体" w:hAnsi="宋体" w:eastAsia="宋体" w:cs="宋体"/>
          <w:b w:val="0"/>
          <w:bCs w:val="0"/>
          <w:color w:val="auto"/>
          <w:szCs w:val="24"/>
          <w:lang w:eastAsia="zh-CN"/>
        </w:rPr>
        <w:t>）</w:t>
      </w:r>
      <w:r>
        <w:rPr>
          <w:rFonts w:hint="eastAsia" w:ascii="宋体" w:hAnsi="宋体" w:eastAsia="宋体" w:cs="宋体"/>
          <w:b w:val="0"/>
          <w:bCs w:val="0"/>
          <w:color w:val="auto"/>
          <w:szCs w:val="24"/>
        </w:rPr>
        <w:t>的内容签字盖章后按顺序进行扫描，扫描的内容要求清晰可辨，并以PDF格式刻录入</w:t>
      </w:r>
      <w:r>
        <w:rPr>
          <w:rFonts w:hint="eastAsia" w:ascii="宋体" w:hAnsi="宋体" w:eastAsia="宋体" w:cs="宋体"/>
          <w:b w:val="0"/>
          <w:bCs w:val="0"/>
          <w:color w:val="auto"/>
          <w:szCs w:val="24"/>
          <w:lang w:val="en-US" w:eastAsia="zh-CN"/>
        </w:rPr>
        <w:t>U</w:t>
      </w:r>
      <w:r>
        <w:rPr>
          <w:rFonts w:hint="eastAsia" w:ascii="宋体" w:hAnsi="宋体" w:eastAsia="宋体" w:cs="宋体"/>
          <w:b w:val="0"/>
          <w:bCs w:val="0"/>
          <w:color w:val="auto"/>
          <w:szCs w:val="24"/>
        </w:rPr>
        <w:t>盘</w:t>
      </w:r>
      <w:r>
        <w:rPr>
          <w:rFonts w:hint="eastAsia" w:ascii="宋体" w:hAnsi="宋体" w:eastAsia="宋体" w:cs="宋体"/>
          <w:b w:val="0"/>
          <w:bCs w:val="0"/>
          <w:color w:val="auto"/>
          <w:szCs w:val="24"/>
          <w:lang w:val="en-US" w:eastAsia="zh-CN"/>
        </w:rPr>
        <w:t>或光盘</w:t>
      </w:r>
      <w:r>
        <w:rPr>
          <w:rFonts w:hint="eastAsia" w:ascii="宋体" w:hAnsi="宋体" w:eastAsia="宋体" w:cs="宋体"/>
          <w:b w:val="0"/>
          <w:bCs w:val="0"/>
          <w:color w:val="auto"/>
          <w:szCs w:val="24"/>
        </w:rPr>
        <w:t>，该</w:t>
      </w:r>
      <w:r>
        <w:rPr>
          <w:rFonts w:hint="eastAsia" w:ascii="宋体" w:hAnsi="宋体" w:eastAsia="宋体" w:cs="宋体"/>
          <w:b w:val="0"/>
          <w:bCs w:val="0"/>
          <w:color w:val="auto"/>
          <w:szCs w:val="24"/>
          <w:lang w:val="en-US" w:eastAsia="zh-CN"/>
        </w:rPr>
        <w:t>U</w:t>
      </w:r>
      <w:r>
        <w:rPr>
          <w:rFonts w:hint="eastAsia" w:ascii="宋体" w:hAnsi="宋体" w:eastAsia="宋体" w:cs="宋体"/>
          <w:b w:val="0"/>
          <w:bCs w:val="0"/>
          <w:color w:val="auto"/>
          <w:szCs w:val="24"/>
        </w:rPr>
        <w:t>盘</w:t>
      </w:r>
      <w:r>
        <w:rPr>
          <w:rFonts w:hint="eastAsia" w:ascii="宋体" w:hAnsi="宋体" w:eastAsia="宋体" w:cs="宋体"/>
          <w:b w:val="0"/>
          <w:bCs w:val="0"/>
          <w:color w:val="auto"/>
          <w:szCs w:val="24"/>
          <w:lang w:val="en-US" w:eastAsia="zh-CN"/>
        </w:rPr>
        <w:t>或光盘</w:t>
      </w:r>
      <w:r>
        <w:rPr>
          <w:rFonts w:hint="eastAsia" w:ascii="宋体" w:hAnsi="宋体" w:eastAsia="宋体" w:cs="宋体"/>
          <w:b w:val="0"/>
          <w:bCs w:val="0"/>
          <w:color w:val="auto"/>
          <w:szCs w:val="24"/>
        </w:rPr>
        <w:t>作为投标文件的重要组成部分，并与纸质</w:t>
      </w:r>
      <w:r>
        <w:rPr>
          <w:rFonts w:hint="eastAsia" w:ascii="宋体" w:hAnsi="宋体" w:eastAsia="宋体" w:cs="宋体"/>
          <w:b w:val="0"/>
          <w:bCs w:val="0"/>
          <w:color w:val="auto"/>
          <w:szCs w:val="24"/>
          <w:lang w:eastAsia="zh-CN"/>
        </w:rPr>
        <w:t>商务</w:t>
      </w:r>
      <w:r>
        <w:rPr>
          <w:rFonts w:hint="eastAsia" w:ascii="宋体" w:hAnsi="宋体" w:eastAsia="宋体" w:cs="宋体"/>
          <w:b w:val="0"/>
          <w:bCs w:val="0"/>
          <w:color w:val="auto"/>
          <w:szCs w:val="24"/>
        </w:rPr>
        <w:t>文件</w:t>
      </w:r>
      <w:r>
        <w:rPr>
          <w:rFonts w:hint="eastAsia" w:ascii="宋体" w:hAnsi="宋体" w:cs="宋体"/>
          <w:b w:val="0"/>
          <w:bCs w:val="0"/>
          <w:color w:val="auto"/>
          <w:szCs w:val="24"/>
          <w:lang w:eastAsia="zh-CN"/>
        </w:rPr>
        <w:t>正本</w:t>
      </w:r>
      <w:r>
        <w:rPr>
          <w:rFonts w:hint="eastAsia" w:ascii="宋体" w:hAnsi="宋体" w:eastAsia="宋体" w:cs="宋体"/>
          <w:b w:val="0"/>
          <w:bCs w:val="0"/>
          <w:color w:val="auto"/>
          <w:szCs w:val="24"/>
        </w:rPr>
        <w:t>一起用密封袋密封包装，</w:t>
      </w:r>
      <w:r>
        <w:rPr>
          <w:rFonts w:hint="eastAsia" w:ascii="宋体" w:hAnsi="宋体" w:eastAsia="宋体" w:cs="宋体"/>
          <w:b w:val="0"/>
          <w:bCs w:val="0"/>
          <w:color w:val="auto"/>
          <w:szCs w:val="24"/>
          <w:lang w:eastAsia="zh-CN"/>
        </w:rPr>
        <w:t>递交投标文件时一同</w:t>
      </w:r>
      <w:r>
        <w:rPr>
          <w:rFonts w:hint="eastAsia" w:ascii="宋体" w:hAnsi="宋体" w:eastAsia="宋体" w:cs="宋体"/>
          <w:b w:val="0"/>
          <w:bCs w:val="0"/>
          <w:color w:val="auto"/>
          <w:szCs w:val="24"/>
        </w:rPr>
        <w:t>提交。</w:t>
      </w:r>
    </w:p>
    <w:p>
      <w:pPr>
        <w:spacing w:line="530" w:lineRule="exact"/>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3.1.1.2 技术文件（暗标评审）</w:t>
      </w:r>
    </w:p>
    <w:p>
      <w:pPr>
        <w:spacing w:line="530" w:lineRule="exact"/>
        <w:ind w:firstLine="480" w:firstLineChars="200"/>
        <w:rPr>
          <w:rFonts w:hint="eastAsia" w:ascii="宋体" w:hAnsi="宋体" w:eastAsia="宋体" w:cs="宋体"/>
          <w:color w:val="auto"/>
          <w:szCs w:val="24"/>
          <w:lang w:val="en-US" w:eastAsia="zh-CN"/>
        </w:rPr>
      </w:pPr>
      <w:r>
        <w:rPr>
          <w:rFonts w:hint="eastAsia" w:ascii="宋体" w:hAnsi="宋体" w:eastAsia="宋体" w:cs="宋体"/>
          <w:color w:val="auto"/>
          <w:szCs w:val="24"/>
        </w:rPr>
        <w:t>（1）</w:t>
      </w:r>
      <w:r>
        <w:rPr>
          <w:rFonts w:hint="eastAsia" w:ascii="宋体" w:hAnsi="宋体" w:eastAsia="宋体" w:cs="宋体"/>
          <w:color w:val="auto"/>
          <w:szCs w:val="24"/>
          <w:lang w:val="en-US" w:eastAsia="zh-CN"/>
        </w:rPr>
        <w:t>技术文件封面</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val="en-US" w:eastAsia="zh-CN"/>
        </w:rPr>
        <w:t>2</w:t>
      </w:r>
      <w:r>
        <w:rPr>
          <w:rFonts w:hint="eastAsia" w:ascii="宋体" w:hAnsi="宋体" w:eastAsia="宋体" w:cs="宋体"/>
          <w:color w:val="auto"/>
          <w:szCs w:val="24"/>
        </w:rPr>
        <w:t>）设计方案内容</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val="en-US" w:eastAsia="zh-CN"/>
        </w:rPr>
        <w:t>3</w:t>
      </w:r>
      <w:r>
        <w:rPr>
          <w:rFonts w:hint="eastAsia" w:ascii="宋体" w:hAnsi="宋体" w:eastAsia="宋体" w:cs="宋体"/>
          <w:color w:val="auto"/>
          <w:szCs w:val="24"/>
        </w:rPr>
        <w:t>）投资控制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val="en-US" w:eastAsia="zh-CN"/>
        </w:rPr>
        <w:t>4</w:t>
      </w:r>
      <w:r>
        <w:rPr>
          <w:rFonts w:hint="eastAsia" w:ascii="宋体" w:hAnsi="宋体" w:eastAsia="宋体" w:cs="宋体"/>
          <w:color w:val="auto"/>
          <w:szCs w:val="24"/>
        </w:rPr>
        <w:t>）设计服务、进度及质量保证</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val="en-US" w:eastAsia="zh-CN"/>
        </w:rPr>
        <w:t>5</w:t>
      </w:r>
      <w:r>
        <w:rPr>
          <w:rFonts w:hint="eastAsia" w:ascii="宋体" w:hAnsi="宋体" w:eastAsia="宋体" w:cs="宋体"/>
          <w:color w:val="auto"/>
          <w:szCs w:val="24"/>
        </w:rPr>
        <w:t>）施工工期计划及保证措施</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rPr>
        <w:t xml:space="preserve">）质量控制及保证措施 </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val="en-US" w:eastAsia="zh-CN"/>
        </w:rPr>
        <w:t>7</w:t>
      </w:r>
      <w:r>
        <w:rPr>
          <w:rFonts w:hint="eastAsia" w:ascii="宋体" w:hAnsi="宋体" w:eastAsia="宋体" w:cs="宋体"/>
          <w:color w:val="auto"/>
          <w:szCs w:val="24"/>
        </w:rPr>
        <w:t>）安全、文明施工保证措施</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val="en-US" w:eastAsia="zh-CN"/>
        </w:rPr>
        <w:t>8</w:t>
      </w:r>
      <w:r>
        <w:rPr>
          <w:rFonts w:hint="eastAsia" w:ascii="宋体" w:hAnsi="宋体" w:eastAsia="宋体" w:cs="宋体"/>
          <w:color w:val="auto"/>
          <w:szCs w:val="24"/>
        </w:rPr>
        <w:t>）工程施工重难点分析及应对方案</w:t>
      </w:r>
    </w:p>
    <w:p>
      <w:pPr>
        <w:spacing w:line="530" w:lineRule="exact"/>
        <w:ind w:firstLine="480" w:firstLineChars="200"/>
        <w:rPr>
          <w:rFonts w:hint="eastAsia" w:ascii="宋体" w:hAnsi="宋体" w:eastAsia="宋体" w:cs="宋体"/>
          <w:b w:val="0"/>
          <w:bCs w:val="0"/>
          <w:color w:val="auto"/>
          <w:szCs w:val="24"/>
        </w:rPr>
      </w:pPr>
      <w:r>
        <w:rPr>
          <w:rFonts w:hint="eastAsia" w:ascii="宋体" w:hAnsi="宋体" w:eastAsia="宋体" w:cs="宋体"/>
          <w:color w:val="auto"/>
          <w:sz w:val="24"/>
          <w:lang w:val="en-US" w:eastAsia="zh-CN"/>
        </w:rPr>
        <w:t>注明：</w:t>
      </w:r>
      <w:r>
        <w:rPr>
          <w:rFonts w:hint="eastAsia" w:ascii="宋体" w:hAnsi="宋体" w:eastAsia="宋体" w:cs="宋体"/>
          <w:color w:val="auto"/>
          <w:sz w:val="24"/>
          <w:lang w:val="en-US"/>
        </w:rPr>
        <w:t>投标人须将技术文件所有内容的</w:t>
      </w:r>
      <w:r>
        <w:rPr>
          <w:rFonts w:hint="eastAsia" w:ascii="宋体" w:hAnsi="宋体" w:cs="宋体"/>
          <w:color w:val="auto"/>
          <w:sz w:val="24"/>
          <w:lang w:val="en-US" w:eastAsia="zh-CN"/>
        </w:rPr>
        <w:t>以</w:t>
      </w:r>
      <w:r>
        <w:rPr>
          <w:rFonts w:hint="eastAsia" w:ascii="宋体" w:hAnsi="宋体" w:eastAsia="宋体" w:cs="宋体"/>
          <w:color w:val="auto"/>
          <w:sz w:val="24"/>
          <w:lang w:val="en-US"/>
        </w:rPr>
        <w:t>PDF格式制作成电子版技术文件，刻录入U盘或光盘，随技术文件正本</w:t>
      </w:r>
      <w:r>
        <w:rPr>
          <w:rFonts w:hint="eastAsia" w:ascii="宋体" w:hAnsi="宋体" w:eastAsia="宋体" w:cs="宋体"/>
          <w:b w:val="0"/>
          <w:bCs w:val="0"/>
          <w:color w:val="auto"/>
          <w:szCs w:val="24"/>
        </w:rPr>
        <w:t>一起用密封袋密封包装</w:t>
      </w:r>
      <w:r>
        <w:rPr>
          <w:rFonts w:hint="eastAsia" w:ascii="宋体" w:hAnsi="宋体" w:cs="宋体"/>
          <w:b w:val="0"/>
          <w:bCs w:val="0"/>
          <w:color w:val="auto"/>
          <w:szCs w:val="24"/>
          <w:lang w:eastAsia="zh-CN"/>
        </w:rPr>
        <w:t>，</w:t>
      </w:r>
      <w:r>
        <w:rPr>
          <w:rFonts w:hint="eastAsia" w:ascii="宋体" w:hAnsi="宋体" w:eastAsia="宋体" w:cs="宋体"/>
          <w:b w:val="0"/>
          <w:bCs w:val="0"/>
          <w:color w:val="auto"/>
          <w:szCs w:val="24"/>
          <w:lang w:eastAsia="zh-CN"/>
        </w:rPr>
        <w:t>递交投标文件时一同</w:t>
      </w:r>
      <w:r>
        <w:rPr>
          <w:rFonts w:hint="eastAsia" w:ascii="宋体" w:hAnsi="宋体" w:eastAsia="宋体" w:cs="宋体"/>
          <w:b w:val="0"/>
          <w:bCs w:val="0"/>
          <w:color w:val="auto"/>
          <w:szCs w:val="24"/>
        </w:rPr>
        <w:t>提交</w:t>
      </w:r>
      <w:r>
        <w:rPr>
          <w:rFonts w:hint="eastAsia" w:ascii="宋体" w:hAnsi="宋体" w:eastAsia="宋体" w:cs="宋体"/>
          <w:color w:val="auto"/>
          <w:sz w:val="24"/>
          <w:lang w:val="en-US"/>
        </w:rPr>
        <w:t>。</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3.2投标报价</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3.2.1投标人应按第六章“投标文件格式”的要求填写。</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3.2.2投标人应充分了解施工场地的位置、周边环境、道路、装卸、保管、安装限制以及影响投标报价的其他要素。投标人根据投标设计，结合市场情况进行投标报价。</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3.2.3投标人在投标截止时间前修改投标函中的投标报价总额，此修改须符合本章第 4.3 款的有关要求。</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3.2.4投标报价或其计算方法在投标人须知前附表中载明。</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3.3投标有效期</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3.3.1 除投标人须知前附表另有规定外，投标有效期为</w:t>
      </w:r>
      <w:r>
        <w:rPr>
          <w:rFonts w:hint="eastAsia" w:ascii="宋体" w:hAnsi="宋体" w:eastAsia="宋体" w:cs="宋体"/>
          <w:color w:val="auto"/>
          <w:szCs w:val="24"/>
          <w:u w:val="single"/>
        </w:rPr>
        <w:t xml:space="preserve"> 90 </w:t>
      </w:r>
      <w:r>
        <w:rPr>
          <w:rFonts w:hint="eastAsia" w:ascii="宋体" w:hAnsi="宋体" w:eastAsia="宋体" w:cs="宋体"/>
          <w:color w:val="auto"/>
          <w:szCs w:val="24"/>
        </w:rPr>
        <w:t>个日历天。</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3.3.2 在投标有效期内，投标人撤销或修改其投标文件的，应承担招标文件和法律规定的责任。</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3.4投标保证金</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3.4.1投标人在递交投标文件的同时，应按投标人须知前附表规定的金额、递交形式和第六章“投标文件格式”规定的格式递交投标保证金，并作为其投标文件的组成部分。</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3.4.2 投标人不按本章第 3.4.1 项要求提交投标保证金的，评标委员会将否决其投标。</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3.4.3 发出中标通知书后 5 个工作日内向未中标的投标人退还投标保证金，招标人与中标人签订合同并按要求提供了履约保证金后 5 个工作日内，向中标人退还投标保证金。</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3.4.4 有下列情形之一的，投标保证金将不予退还：</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（1）投标人在规定的投标有效期内撤销或修改其投标文件；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（2）投标人在投标过程中有违反招标投标法律法规行为的；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（3）中标人在收到中标通知书后，无正当理由拒签合同或未按招标文件规定提交履约担保。</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3.5资格审查资料</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3.5.1 资质应按第六章“投标文件格式”附相关证明材料；</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3.5.2 业绩应按第六章“投标文件格式”附相关证明材料（若要求）；</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3.5.3 主要人员应按第六章“投标文件格式”附相关证明材料（若要求）；</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3.5.4 信誉证明材料：应按第六章“投标文件格式”附相关证明材料（若要求）。</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3.5.5 其它辅助说明资料。</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3.6备选投标方案</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3.7投标文件的编制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3.7.1 投标文件应按第六章“投标文件格式”进行编写，如有必要，可以增加附页， 作为投标文件的组成部分。其中，投标函附录在满足招标文件实质性要求的基础上，可以提出比招标文件要求更有利于招标人的承诺。</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3.7.2 投标文件应当对招标文件有关招标人要求等实质性内容作出响应。</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3.7.3 投标文件应用不褪色的材料书写或打印，并由投标人的法定代表人在招标文件要求签字的地方签字。如联合体投标的，则由联合体主办方法定代表人。</w:t>
      </w:r>
    </w:p>
    <w:p>
      <w:pPr>
        <w:spacing w:line="530" w:lineRule="exact"/>
        <w:rPr>
          <w:rFonts w:hint="eastAsia" w:ascii="宋体" w:hAnsi="宋体" w:eastAsia="宋体" w:cs="宋体"/>
          <w:color w:val="auto"/>
          <w:szCs w:val="24"/>
        </w:rPr>
      </w:pPr>
      <w:r>
        <w:rPr>
          <w:rFonts w:hint="eastAsia" w:ascii="宋体" w:hAnsi="宋体" w:eastAsia="宋体" w:cs="宋体"/>
          <w:color w:val="auto"/>
          <w:szCs w:val="24"/>
        </w:rPr>
        <w:t>投标文件应尽量避免涂改、行间插字或删除。如果出现上述情况，改动之处应加盖单位章或由投标人的法定代表人确认。签字或盖章的具体要求见投标人须知前附表。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3.7.4 投标文件正本一份, 副本份数见投标人须知前附表。正本和副本的封面上应清楚地标记“正本”或“副本”的字样。当副本和正本不一致时，以正本为准。</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3.7.5 投标文件的正本与副本应分别装订成册，具体装订要求见投标人须知前附表规定。</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4.投标</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4.1投标文件的密封和标记</w:t>
      </w:r>
    </w:p>
    <w:p>
      <w:pPr>
        <w:spacing w:line="520" w:lineRule="exact"/>
        <w:ind w:firstLine="484" w:firstLineChars="201"/>
        <w:jc w:val="left"/>
        <w:rPr>
          <w:rFonts w:hint="eastAsia" w:ascii="宋体" w:hAnsi="宋体" w:eastAsia="宋体" w:cs="宋体"/>
          <w:color w:val="auto"/>
          <w:sz w:val="24"/>
        </w:rPr>
      </w:pPr>
      <w:r>
        <w:rPr>
          <w:rFonts w:hint="eastAsia" w:ascii="宋体" w:hAnsi="宋体" w:eastAsia="宋体" w:cs="宋体"/>
          <w:b/>
          <w:bCs/>
          <w:color w:val="auto"/>
          <w:sz w:val="24"/>
        </w:rPr>
        <w:t>4.1.</w:t>
      </w:r>
      <w:r>
        <w:rPr>
          <w:rFonts w:hint="eastAsia" w:ascii="宋体" w:hAnsi="宋体" w:cs="宋体"/>
          <w:b/>
          <w:bCs/>
          <w:color w:val="auto"/>
          <w:sz w:val="24"/>
          <w:lang w:val="en-US" w:eastAsia="zh-CN"/>
        </w:rPr>
        <w:t>1</w:t>
      </w:r>
      <w:r>
        <w:rPr>
          <w:rFonts w:hint="eastAsia" w:ascii="宋体" w:hAnsi="宋体" w:eastAsia="宋体" w:cs="宋体"/>
          <w:b/>
          <w:bCs/>
          <w:color w:val="auto"/>
          <w:sz w:val="24"/>
        </w:rPr>
        <w:t xml:space="preserve"> 技术</w:t>
      </w:r>
      <w:r>
        <w:rPr>
          <w:rFonts w:hint="eastAsia" w:ascii="宋体" w:hAnsi="宋体" w:eastAsia="宋体" w:cs="宋体"/>
          <w:b/>
          <w:color w:val="auto"/>
          <w:sz w:val="24"/>
        </w:rPr>
        <w:t>文件的装订、密封与标志</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技术文件按“A4”纸规格装订（有关图表可用A3纸打印，但必须按A4幅面折叠装订），不得采用活页夹。技术文件应编制目录，并且逐页标注连续页码，否则，招标人对由于技术文件装订松散而造成的丢失或其它后果不承担任何责任。技术文件封面和外包装封面统一采用附件的封面格式，封面统一采用无纹理纯白色A4打印纸。</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投标人提交的技术文件正本最后一页（封底）的内面位置粘贴用不透明包装材料密封的保密信封（不得加盖公章），保密信封内装以下资料：打印或手写（A4纸）拟投入本项目的项目负责人姓名，并标注投标单位名称（独立体或联合体各方），由投标单位法定代表人（独立体或联合体主办方）亲笔签名并加盖单位公章（独立体或联合体主办方）。除此之外，不得在任何地方标注投标人名称、项目负责人姓名或其它可以辨认投标人及派驻人员身份的符号</w:t>
      </w:r>
      <w:r>
        <w:rPr>
          <w:rFonts w:hint="eastAsia" w:ascii="宋体" w:hAnsi="宋体" w:cs="宋体"/>
          <w:color w:val="auto"/>
          <w:szCs w:val="24"/>
          <w:lang w:eastAsia="zh-CN"/>
        </w:rPr>
        <w:t>、</w:t>
      </w:r>
      <w:r>
        <w:rPr>
          <w:rFonts w:hint="eastAsia" w:ascii="宋体" w:hAnsi="宋体" w:cs="宋体"/>
          <w:color w:val="auto"/>
          <w:szCs w:val="24"/>
          <w:lang w:val="en-US" w:eastAsia="zh-CN"/>
        </w:rPr>
        <w:t>logo</w:t>
      </w:r>
      <w:r>
        <w:rPr>
          <w:rFonts w:hint="eastAsia" w:ascii="宋体" w:hAnsi="宋体" w:eastAsia="宋体" w:cs="宋体"/>
          <w:color w:val="auto"/>
          <w:szCs w:val="24"/>
        </w:rPr>
        <w:t>或标记。</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（3）投标人提交的技术文件副本不得标注投标人名称、项目负责人姓名或其它任何可以辨认投标人及派驻人员身份的符号</w:t>
      </w:r>
      <w:r>
        <w:rPr>
          <w:rFonts w:hint="eastAsia" w:ascii="宋体" w:hAnsi="宋体" w:cs="宋体"/>
          <w:color w:val="auto"/>
          <w:szCs w:val="24"/>
          <w:lang w:eastAsia="zh-CN"/>
        </w:rPr>
        <w:t>、</w:t>
      </w:r>
      <w:r>
        <w:rPr>
          <w:rFonts w:hint="eastAsia" w:ascii="宋体" w:hAnsi="宋体" w:cs="宋体"/>
          <w:color w:val="auto"/>
          <w:szCs w:val="24"/>
          <w:lang w:val="en-US" w:eastAsia="zh-CN"/>
        </w:rPr>
        <w:t>logo</w:t>
      </w:r>
      <w:r>
        <w:rPr>
          <w:rFonts w:hint="eastAsia" w:ascii="宋体" w:hAnsi="宋体" w:eastAsia="宋体" w:cs="宋体"/>
          <w:color w:val="auto"/>
          <w:szCs w:val="24"/>
        </w:rPr>
        <w:t>或标记</w:t>
      </w:r>
      <w:r>
        <w:rPr>
          <w:rFonts w:hint="eastAsia" w:ascii="宋体" w:hAnsi="宋体" w:cs="宋体"/>
          <w:color w:val="auto"/>
          <w:szCs w:val="24"/>
          <w:lang w:eastAsia="zh-CN"/>
        </w:rPr>
        <w:t>，否则以无效标处理</w:t>
      </w:r>
      <w:r>
        <w:rPr>
          <w:rFonts w:hint="eastAsia" w:ascii="宋体" w:hAnsi="宋体" w:eastAsia="宋体" w:cs="宋体"/>
          <w:color w:val="auto"/>
          <w:szCs w:val="24"/>
        </w:rPr>
        <w:t>。</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（4）技术文件正本与副本不一致的，以正本为准。</w:t>
      </w:r>
      <w:r>
        <w:rPr>
          <w:rFonts w:hint="eastAsia" w:ascii="宋体" w:hAnsi="宋体" w:eastAsia="宋体" w:cs="宋体"/>
          <w:b/>
          <w:bCs/>
          <w:color w:val="auto"/>
          <w:szCs w:val="24"/>
        </w:rPr>
        <w:t>技术文件封面必须按照招标文件提供的版本编制，技术文件正本单独密封，副本一起密封</w:t>
      </w:r>
      <w:r>
        <w:rPr>
          <w:rFonts w:hint="eastAsia" w:ascii="宋体" w:hAnsi="宋体" w:eastAsia="宋体" w:cs="宋体"/>
          <w:color w:val="auto"/>
          <w:szCs w:val="24"/>
        </w:rPr>
        <w:t>。均用不透明包装材料包装并密封，外表不得加盖单位公章。</w:t>
      </w:r>
    </w:p>
    <w:p>
      <w:pPr>
        <w:spacing w:line="520" w:lineRule="exact"/>
        <w:ind w:firstLine="484" w:firstLineChars="201"/>
        <w:jc w:val="left"/>
        <w:rPr>
          <w:rFonts w:hint="eastAsia" w:ascii="宋体" w:hAnsi="宋体" w:eastAsia="宋体" w:cs="宋体"/>
          <w:b/>
          <w:color w:val="auto"/>
          <w:sz w:val="24"/>
        </w:rPr>
      </w:pPr>
      <w:r>
        <w:rPr>
          <w:rFonts w:hint="eastAsia" w:ascii="宋体" w:hAnsi="宋体" w:eastAsia="宋体" w:cs="宋体"/>
          <w:b/>
          <w:color w:val="auto"/>
          <w:sz w:val="24"/>
        </w:rPr>
        <w:t>4.1.2商务文件的装订、密封与标志</w:t>
      </w:r>
    </w:p>
    <w:p>
      <w:pPr>
        <w:pStyle w:val="84"/>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商务文件按“A4”纸规格装订，不得采用活页夹。商务文件应编制目录，并且逐页标注连续页码，否则，招标人对由于商务文件装订松散而造成的丢失或其它后果不承担任何责任。商务文件封面及外包装封面纸统一采用附件的封面格式。</w:t>
      </w:r>
    </w:p>
    <w:p>
      <w:pPr>
        <w:pStyle w:val="84"/>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（2）商务文件正本扫描件U盘用不透明包装材料密封并包装在一个密封件中，商务文件的密封件封口处需加盖单位公章。</w:t>
      </w:r>
    </w:p>
    <w:p>
      <w:pPr>
        <w:pStyle w:val="84"/>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（3）商务文件正本的封面及正文内每页加盖单位公章。副本可以是正本的复印件。副本封面加盖单位公章，副本正文内不用每页加盖单位公章。</w:t>
      </w:r>
    </w:p>
    <w:p>
      <w:pPr>
        <w:pStyle w:val="84"/>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（4）商务文件正本与副本如有不一致之处以正本为准。</w:t>
      </w:r>
    </w:p>
    <w:p>
      <w:pPr>
        <w:pStyle w:val="84"/>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4.1.3 未按本章第4.1.1 项或第4.1.2 项要求密封和加写标记的投标文件，招标人有权不予受理。</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4.2投标文件的递交</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4.2.1 投标人应在规定的投标截止时间前递交投标文件。</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4.2.2 投标人递交投标文件的地点：见投标人须知前附表。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4.2.3 除投标人须知前附表另有规定外，投标人所递交的投标文件不予退还。</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4.2.4 招标人收到投标文件后，向投标人出具签收凭证。</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4.2.5 逾期送达的或者未送达指定地点的投标文件，招标人不予受理。</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4.3投标文件的修改与撤回</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4.3.1 在本章投标人须知前附表第 2.3 项规定的投标截止时间前，投标人可以修改或撤回已递交的投标文件，但应以书面形式通知招标人。</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4.3.2 投标人修改或撤回已递交投标文件的书面通知应按照本章第3.7.3项的要求签字或盖章。招标人收到书面通知后，向投标人出具签收凭证。</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4.3.3 投标人撤回投标文件的，按有关规定退还已收取的投标保证金。</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4.3.4 修改的内容为投标文件的组成部分。修改的投标文件应按照本章第3条、第 4 条规定进行编制、密封、标记和递交，并标明“修改”字样。</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5.开标</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5.1开标时间和地点</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招标人在本章投标人须知前附表第5.1项规定的投标截止时间（开标时间）和投标人须知前附表规定的开标地点公开开标，并邀请所有投标人的法定代表人或其委托代理人准时参加。</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5.2开标程序</w:t>
      </w:r>
    </w:p>
    <w:p>
      <w:pPr>
        <w:spacing w:line="530" w:lineRule="exact"/>
        <w:rPr>
          <w:rFonts w:hint="eastAsia" w:ascii="宋体" w:hAnsi="宋体" w:eastAsia="宋体" w:cs="宋体"/>
          <w:color w:val="auto"/>
          <w:szCs w:val="24"/>
        </w:rPr>
      </w:pPr>
      <w:r>
        <w:rPr>
          <w:rFonts w:hint="eastAsia" w:ascii="宋体" w:hAnsi="宋体" w:eastAsia="宋体" w:cs="宋体"/>
          <w:color w:val="auto"/>
          <w:szCs w:val="24"/>
        </w:rPr>
        <w:t>主持人按下列程序进行开标：</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（1）宣布开标纪律；</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（2）公布在投标截止时间前递交投标文件的投标人名称，并点名确认投标人是否派人到场；</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（3）宣布开标人、唱标人、记录人、监标人等有关人员姓名；</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（4）按照投标人须知前附表规定检查投标文件的密封情况；</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（5）按照投标人须知前附表的规定确定并宣布投标文件开标顺序；</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（6）按照宣布的开标顺序当众开标，公布投标人名称、项目名称、投标担保的递交情况、投标报价下浮率及其他内容，并记录在案；</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（7）公布最高投标限价；</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（8）投标人代表、招标人代表、监标人等有关人员在开标记录上签字确认；</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（9）开标结束。</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5.3开标异议</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投标人对开标有异议的，应当在开标现场提出，招标人当场作出答复，并制作记录。</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6.评标</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6.1评标委员会</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6.1.1 评标由招标人依法组建的评标委员会负责。评标委员会成员人数以及技术、经济等方面专家的确定方式见投标人须知前附表。</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6.1.2 评标委员会成员有下列情形之一的，应当回避：</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（1）投标人或投标人主要负责人的近亲属；</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（2）项目主管部门或者行政监督部门的人员；</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（3）与投标人有经济利益关系，可能影响对投标公正评审的；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（4）曾因在招标、评标以及其他与招标投标有关活动中从事违法行为而受过行政处罚或刑事处罚的；</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（5）与投标人有其他利害关系。</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6.2评标原则</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评标活动遵循公平、公正、科学和择优的原则。</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6.3评标</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评标委员会按照第三章“评标办法”规定的方法、评审因素、标准和程序对投标文件进行评审。第三章“评标办法”没有规定的方法、评审因素和标准，不作为评标依据。</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7.合同授予</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7.1定标方式</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除投标人须知前附表规定评标委员会直接确定中标人外，招标人依据评标委员会推荐的中标候选人确定中标人，评标委员会推荐中标候选人的人数见投标人须知前附表。</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7.2中标候选人公示</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招标人在投标人须知前附表规定的媒介公示中标候选人。</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7.3中标通知</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在本章第 3.3 款规定的投标有效期内，招标人以书面形式向中标人发出中标通知书，中标公示发布则视为将中标结果通知未中标的投标人。</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7.4履约担保</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7.4.1 在收到中标通知书之日起 5 天内，中标人应按投标人须知前附表规定的担保形式和招标文件第四章“合同条款及格式”规定的或者事先经过招标人书面认可的履约担保格式向招标人提交履约担保。履约担保形式及金额见投标人须知前附表。联合体中标的，其履约担保由独立体或者联合体中主办方的名义提交。</w:t>
      </w:r>
    </w:p>
    <w:p>
      <w:pPr>
        <w:spacing w:line="53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7.4.2 中标人不能按本章第 7.4.1 项要求提交履约担保的，视为放弃中标，其投标担保不予退还，给招标人造成的损失超过投标担保数额的，中标人还应当对超过部分予以赔偿。</w:t>
      </w:r>
    </w:p>
    <w:p>
      <w:pPr>
        <w:spacing w:line="530" w:lineRule="exact"/>
        <w:rPr>
          <w:rFonts w:hint="eastAsia" w:ascii="宋体" w:hAnsi="宋体" w:eastAsia="宋体" w:cs="宋体"/>
          <w:b/>
          <w:bCs/>
          <w:color w:val="auto"/>
          <w:szCs w:val="24"/>
        </w:rPr>
      </w:pPr>
      <w:r>
        <w:rPr>
          <w:rFonts w:hint="eastAsia" w:ascii="宋体" w:hAnsi="宋体" w:eastAsia="宋体" w:cs="宋体"/>
          <w:b/>
          <w:bCs/>
          <w:color w:val="auto"/>
          <w:szCs w:val="24"/>
        </w:rPr>
        <w:t>7.5签订合同</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7.5.1 招标人和中标人（如为联合体，为联合体各方）应当自中标通知书发出之日起 30 天内，根据招标文件和中标人的投标文件订立书面合同。中标人无正当理由拒签合同的，招标人取消其中标资格，其投标担保不予退还；给招标人造成的损失超过投标担保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7.5.2 发出中标通知书后，招标人无正当理由拒签合同的，招标人向中标人退还投标担保；给中标人造成损失的，还应当赔偿损失。</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8.重新招标和不再招标</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8.1重新招标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有下列情形之一的，招标人将重新招标：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（1）投标截止时间止，投标人少于 3 个的；</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（2）经评标委员会评审后否决所有投标的；</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（3）中标候选人均未与招标人签订合同的；</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（4）法律规定的其他情形。</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8.2不再招标</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重新招标后仍然出现上述 8.1 款规定情形的，属于必须审批或核准的工程建设项目，经原审批或核准部门批准后不再进行招标。</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9.纪律和监督</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9.1对招标人的纪律要求</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招标人不得泄漏招标投标活动中应当保密的情况和资料，不得与投标人串通损害国家利益、社会公共利益或者他人合法权益。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9.2对投标人的纪律要求</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9.3对评标委员会成员的纪律要求</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9.4对与评标活动有关的工作人员的纪律要求</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autoSpaceDN/>
        <w:bidi w:val="0"/>
        <w:adjustRightInd/>
        <w:snapToGrid/>
        <w:spacing w:line="490" w:lineRule="exact"/>
        <w:textAlignment w:val="auto"/>
        <w:rPr>
          <w:rFonts w:hint="eastAsia" w:ascii="宋体" w:hAnsi="宋体" w:eastAsia="宋体" w:cs="宋体"/>
          <w:b/>
          <w:bCs/>
          <w:color w:val="auto"/>
          <w:szCs w:val="24"/>
        </w:rPr>
      </w:pPr>
      <w:r>
        <w:rPr>
          <w:rFonts w:hint="eastAsia" w:ascii="宋体" w:hAnsi="宋体" w:eastAsia="宋体" w:cs="宋体"/>
          <w:b/>
          <w:bCs/>
          <w:color w:val="auto"/>
          <w:szCs w:val="24"/>
        </w:rPr>
        <w:t>10.投诉</w:t>
      </w:r>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投标人和其他利害关系人认为本次招标活动违反法律、法规和规章规定的，有权向有关行政监督部门投诉。</w:t>
      </w:r>
    </w:p>
    <w:p>
      <w:pPr>
        <w:numPr>
          <w:ilvl w:val="0"/>
          <w:numId w:val="8"/>
        </w:numPr>
        <w:spacing w:line="530" w:lineRule="exact"/>
        <w:rPr>
          <w:rFonts w:hint="eastAsia" w:ascii="宋体" w:hAnsi="宋体" w:eastAsia="宋体" w:cs="宋体"/>
          <w:b/>
          <w:bCs/>
          <w:color w:val="auto"/>
        </w:rPr>
      </w:pPr>
      <w:r>
        <w:rPr>
          <w:rFonts w:hint="eastAsia" w:ascii="宋体" w:hAnsi="宋体" w:eastAsia="宋体" w:cs="宋体"/>
          <w:b/>
          <w:bCs/>
          <w:color w:val="auto"/>
          <w:szCs w:val="24"/>
        </w:rPr>
        <w:t>需要补充的其他内容</w:t>
      </w:r>
    </w:p>
    <w:p>
      <w:pPr>
        <w:numPr>
          <w:ilvl w:val="0"/>
          <w:numId w:val="0"/>
        </w:numPr>
        <w:spacing w:line="530" w:lineRule="exact"/>
        <w:ind w:firstLine="480" w:firstLineChars="200"/>
        <w:rPr>
          <w:rFonts w:hint="eastAsia" w:ascii="宋体" w:hAnsi="宋体" w:eastAsia="宋体" w:cs="宋体"/>
          <w:b/>
          <w:bCs/>
          <w:color w:val="auto"/>
        </w:rPr>
      </w:pPr>
      <w:r>
        <w:rPr>
          <w:rFonts w:hint="eastAsia" w:ascii="宋体" w:hAnsi="宋体" w:eastAsia="宋体" w:cs="宋体"/>
          <w:color w:val="auto"/>
          <w:szCs w:val="24"/>
          <w:lang w:val="en-US"/>
        </w:rPr>
        <w:t>见投标人须知前附表。</w:t>
      </w:r>
      <w:r>
        <w:rPr>
          <w:rFonts w:hint="eastAsia" w:ascii="宋体" w:hAnsi="宋体" w:eastAsia="宋体" w:cs="宋体"/>
          <w:b/>
          <w:bCs/>
          <w:color w:val="auto"/>
        </w:rPr>
        <w:br w:type="page"/>
      </w:r>
    </w:p>
    <w:p>
      <w:pPr>
        <w:rPr>
          <w:rFonts w:hint="eastAsia" w:ascii="宋体" w:hAnsi="宋体" w:eastAsia="宋体" w:cs="宋体"/>
          <w:color w:val="auto"/>
        </w:rPr>
      </w:pPr>
      <w:r>
        <w:rPr>
          <w:rFonts w:hint="eastAsia" w:ascii="宋体" w:hAnsi="宋体" w:eastAsia="宋体" w:cs="宋体"/>
          <w:b/>
          <w:bCs/>
          <w:color w:val="auto"/>
        </w:rPr>
        <w:t>附件一：</w:t>
      </w:r>
      <w:r>
        <w:rPr>
          <w:rFonts w:hint="eastAsia" w:ascii="宋体" w:hAnsi="宋体" w:eastAsia="宋体" w:cs="宋体"/>
          <w:color w:val="auto"/>
        </w:rPr>
        <w:t xml:space="preserve"> </w:t>
      </w:r>
    </w:p>
    <w:p>
      <w:pPr>
        <w:rPr>
          <w:rFonts w:hint="eastAsia" w:ascii="宋体" w:hAnsi="宋体" w:eastAsia="宋体" w:cs="宋体"/>
          <w:color w:val="auto"/>
        </w:rPr>
      </w:pPr>
    </w:p>
    <w:p>
      <w:pPr>
        <w:jc w:val="center"/>
        <w:rPr>
          <w:rFonts w:hint="eastAsia" w:ascii="宋体" w:hAnsi="宋体" w:eastAsia="宋体" w:cs="宋体"/>
          <w:b/>
          <w:bCs/>
          <w:color w:val="auto"/>
          <w:sz w:val="32"/>
          <w:szCs w:val="24"/>
        </w:rPr>
      </w:pPr>
      <w:r>
        <w:rPr>
          <w:rFonts w:hint="eastAsia" w:ascii="宋体" w:hAnsi="宋体" w:eastAsia="宋体" w:cs="宋体"/>
          <w:b/>
          <w:bCs/>
          <w:color w:val="auto"/>
          <w:sz w:val="32"/>
          <w:szCs w:val="24"/>
        </w:rPr>
        <w:t>问题澄清通知</w:t>
      </w:r>
    </w:p>
    <w:p>
      <w:pPr>
        <w:rPr>
          <w:rFonts w:hint="eastAsia" w:ascii="宋体" w:hAnsi="宋体" w:eastAsia="宋体" w:cs="宋体"/>
          <w:color w:val="auto"/>
          <w:szCs w:val="24"/>
        </w:rPr>
      </w:pPr>
      <w:r>
        <w:rPr>
          <w:rFonts w:hint="eastAsia" w:ascii="宋体" w:hAnsi="宋体" w:eastAsia="宋体" w:cs="宋体"/>
          <w:color w:val="auto"/>
          <w:szCs w:val="24"/>
        </w:rPr>
        <w:t>编号：</w:t>
      </w:r>
    </w:p>
    <w:p>
      <w:pPr>
        <w:rPr>
          <w:rFonts w:hint="eastAsia" w:ascii="宋体" w:hAnsi="宋体" w:eastAsia="宋体" w:cs="宋体"/>
          <w:color w:val="auto"/>
          <w:szCs w:val="24"/>
        </w:rPr>
      </w:pPr>
    </w:p>
    <w:p>
      <w:pPr>
        <w:rPr>
          <w:rFonts w:hint="eastAsia" w:ascii="宋体" w:hAnsi="宋体" w:eastAsia="宋体" w:cs="宋体"/>
          <w:color w:val="auto"/>
          <w:szCs w:val="24"/>
        </w:rPr>
      </w:pPr>
    </w:p>
    <w:p>
      <w:pPr>
        <w:rPr>
          <w:rFonts w:hint="eastAsia" w:ascii="宋体" w:hAnsi="宋体" w:eastAsia="宋体" w:cs="宋体"/>
          <w:color w:val="auto"/>
          <w:szCs w:val="24"/>
        </w:rPr>
      </w:pPr>
      <w:r>
        <w:rPr>
          <w:rFonts w:hint="eastAsia" w:ascii="宋体" w:hAnsi="宋体" w:eastAsia="宋体" w:cs="宋体"/>
          <w:color w:val="auto"/>
          <w:szCs w:val="24"/>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（投标人名称）</w:t>
      </w:r>
      <w:r>
        <w:rPr>
          <w:rFonts w:hint="eastAsia" w:ascii="宋体" w:hAnsi="宋体" w:eastAsia="宋体" w:cs="宋体"/>
          <w:color w:val="auto"/>
          <w:szCs w:val="24"/>
        </w:rPr>
        <w:t>：</w:t>
      </w:r>
    </w:p>
    <w:p>
      <w:pPr>
        <w:rPr>
          <w:rFonts w:hint="eastAsia" w:ascii="宋体" w:hAnsi="宋体" w:eastAsia="宋体" w:cs="宋体"/>
          <w:color w:val="auto"/>
          <w:szCs w:val="24"/>
        </w:rPr>
      </w:pPr>
      <w:r>
        <w:rPr>
          <w:rFonts w:hint="eastAsia" w:ascii="宋体" w:hAnsi="宋体" w:eastAsia="宋体" w:cs="宋体"/>
          <w:color w:val="auto"/>
          <w:szCs w:val="24"/>
        </w:rPr>
        <w:t xml:space="preserve"> </w:t>
      </w:r>
      <w:r>
        <w:rPr>
          <w:rFonts w:hint="eastAsia" w:ascii="宋体" w:hAnsi="宋体" w:eastAsia="宋体" w:cs="宋体"/>
          <w:color w:val="auto"/>
          <w:szCs w:val="24"/>
        </w:rPr>
        <w:tab/>
      </w:r>
      <w:r>
        <w:rPr>
          <w:rFonts w:hint="eastAsia" w:ascii="宋体" w:hAnsi="宋体" w:eastAsia="宋体" w:cs="宋体"/>
          <w:color w:val="auto"/>
          <w:szCs w:val="24"/>
          <w:u w:val="single"/>
        </w:rPr>
        <w:t>（项目名称）</w:t>
      </w:r>
      <w:r>
        <w:rPr>
          <w:rFonts w:hint="eastAsia" w:ascii="宋体" w:hAnsi="宋体" w:eastAsia="宋体" w:cs="宋体"/>
          <w:color w:val="auto"/>
          <w:szCs w:val="24"/>
        </w:rPr>
        <w:t>招标的评标委员会，对你方的投标文件进行了仔细的审查， 现需你方对下列问题以书面形式予以澄清：</w:t>
      </w:r>
    </w:p>
    <w:p>
      <w:pPr>
        <w:rPr>
          <w:rFonts w:hint="eastAsia" w:ascii="宋体" w:hAnsi="宋体" w:eastAsia="宋体" w:cs="宋体"/>
          <w:color w:val="auto"/>
          <w:szCs w:val="24"/>
        </w:rPr>
      </w:pPr>
    </w:p>
    <w:p>
      <w:pPr>
        <w:rPr>
          <w:rFonts w:hint="eastAsia" w:ascii="宋体" w:hAnsi="宋体" w:eastAsia="宋体" w:cs="宋体"/>
          <w:color w:val="auto"/>
          <w:szCs w:val="24"/>
        </w:rPr>
      </w:pPr>
      <w:r>
        <w:rPr>
          <w:rFonts w:hint="eastAsia" w:ascii="宋体" w:hAnsi="宋体" w:eastAsia="宋体" w:cs="宋体"/>
          <w:color w:val="auto"/>
          <w:szCs w:val="24"/>
        </w:rPr>
        <w:t>1.</w:t>
      </w:r>
    </w:p>
    <w:p>
      <w:pPr>
        <w:rPr>
          <w:rFonts w:hint="eastAsia" w:ascii="宋体" w:hAnsi="宋体" w:eastAsia="宋体" w:cs="宋体"/>
          <w:color w:val="auto"/>
          <w:szCs w:val="24"/>
        </w:rPr>
      </w:pPr>
      <w:r>
        <w:rPr>
          <w:rFonts w:hint="eastAsia" w:ascii="宋体" w:hAnsi="宋体" w:eastAsia="宋体" w:cs="宋体"/>
          <w:color w:val="auto"/>
          <w:szCs w:val="24"/>
        </w:rPr>
        <w:t>2.</w:t>
      </w:r>
    </w:p>
    <w:p>
      <w:pPr>
        <w:rPr>
          <w:rFonts w:hint="eastAsia" w:ascii="宋体" w:hAnsi="宋体" w:eastAsia="宋体" w:cs="宋体"/>
          <w:color w:val="auto"/>
          <w:szCs w:val="24"/>
        </w:rPr>
      </w:pPr>
      <w:r>
        <w:rPr>
          <w:rFonts w:hint="eastAsia" w:ascii="宋体" w:hAnsi="宋体" w:eastAsia="宋体" w:cs="宋体"/>
          <w:color w:val="auto"/>
          <w:szCs w:val="24"/>
        </w:rPr>
        <w:t>......</w:t>
      </w:r>
    </w:p>
    <w:p>
      <w:pPr>
        <w:rPr>
          <w:rFonts w:hint="eastAsia" w:ascii="宋体" w:hAnsi="宋体" w:eastAsia="宋体" w:cs="宋体"/>
          <w:color w:val="auto"/>
          <w:szCs w:val="24"/>
          <w:u w:val="single"/>
        </w:rPr>
      </w:pPr>
      <w:r>
        <w:rPr>
          <w:rFonts w:hint="eastAsia" w:ascii="宋体" w:hAnsi="宋体" w:eastAsia="宋体" w:cs="宋体"/>
          <w:color w:val="auto"/>
          <w:szCs w:val="24"/>
        </w:rPr>
        <w:t>请将上述问题的澄清于</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年</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时前递交至</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（详细地址）</w:t>
      </w:r>
    </w:p>
    <w:p>
      <w:pPr>
        <w:rPr>
          <w:rFonts w:hint="eastAsia" w:ascii="宋体" w:hAnsi="宋体" w:eastAsia="宋体" w:cs="宋体"/>
          <w:color w:val="auto"/>
          <w:szCs w:val="24"/>
        </w:rPr>
      </w:pPr>
      <w:r>
        <w:rPr>
          <w:rFonts w:hint="eastAsia" w:ascii="宋体" w:hAnsi="宋体" w:eastAsia="宋体" w:cs="宋体"/>
          <w:color w:val="auto"/>
          <w:szCs w:val="24"/>
        </w:rPr>
        <w:t>或传真至</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（传真号码）</w:t>
      </w:r>
      <w:r>
        <w:rPr>
          <w:rFonts w:hint="eastAsia" w:ascii="宋体" w:hAnsi="宋体" w:eastAsia="宋体" w:cs="宋体"/>
          <w:color w:val="auto"/>
          <w:szCs w:val="24"/>
        </w:rPr>
        <w:t>。采用传真方式的，应在</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     时前将原件递交至</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ab/>
      </w:r>
      <w:r>
        <w:rPr>
          <w:rFonts w:hint="eastAsia" w:ascii="宋体" w:hAnsi="宋体" w:eastAsia="宋体" w:cs="宋体"/>
          <w:color w:val="auto"/>
          <w:szCs w:val="24"/>
          <w:u w:val="single"/>
        </w:rPr>
        <w:t>（详细地址）</w:t>
      </w:r>
      <w:r>
        <w:rPr>
          <w:rFonts w:hint="eastAsia" w:ascii="宋体" w:hAnsi="宋体" w:eastAsia="宋体" w:cs="宋体"/>
          <w:color w:val="auto"/>
          <w:szCs w:val="24"/>
        </w:rPr>
        <w:t>。</w:t>
      </w:r>
    </w:p>
    <w:p>
      <w:pPr>
        <w:rPr>
          <w:rFonts w:hint="eastAsia" w:ascii="宋体" w:hAnsi="宋体" w:eastAsia="宋体" w:cs="宋体"/>
          <w:color w:val="auto"/>
          <w:szCs w:val="24"/>
        </w:rPr>
      </w:pPr>
    </w:p>
    <w:p>
      <w:pPr>
        <w:rPr>
          <w:rFonts w:hint="eastAsia" w:ascii="宋体" w:hAnsi="宋体" w:eastAsia="宋体" w:cs="宋体"/>
          <w:color w:val="auto"/>
          <w:szCs w:val="24"/>
        </w:rPr>
      </w:pPr>
    </w:p>
    <w:p>
      <w:pPr>
        <w:rPr>
          <w:rFonts w:hint="eastAsia" w:ascii="宋体" w:hAnsi="宋体" w:eastAsia="宋体" w:cs="宋体"/>
          <w:color w:val="auto"/>
          <w:szCs w:val="24"/>
        </w:rPr>
      </w:pPr>
    </w:p>
    <w:p>
      <w:pPr>
        <w:ind w:left="1920" w:leftChars="800"/>
        <w:rPr>
          <w:rFonts w:hint="eastAsia" w:ascii="宋体" w:hAnsi="宋体" w:eastAsia="宋体" w:cs="宋体"/>
          <w:color w:val="auto"/>
          <w:szCs w:val="24"/>
        </w:rPr>
      </w:pPr>
      <w:r>
        <w:rPr>
          <w:rFonts w:hint="eastAsia" w:ascii="宋体" w:hAnsi="宋体" w:eastAsia="宋体" w:cs="宋体"/>
          <w:color w:val="auto"/>
          <w:szCs w:val="24"/>
        </w:rPr>
        <w:t>评标委员会授权的招标人或招标代理机构：</w:t>
      </w:r>
      <w:r>
        <w:rPr>
          <w:rFonts w:hint="eastAsia" w:ascii="宋体" w:hAnsi="宋体" w:eastAsia="宋体" w:cs="宋体"/>
          <w:color w:val="auto"/>
          <w:szCs w:val="24"/>
        </w:rPr>
        <w:tab/>
      </w:r>
      <w:r>
        <w:rPr>
          <w:rFonts w:hint="eastAsia" w:ascii="宋体" w:hAnsi="宋体" w:eastAsia="宋体" w:cs="宋体"/>
          <w:color w:val="auto"/>
          <w:szCs w:val="24"/>
        </w:rPr>
        <w:t>（签字或盖章）</w:t>
      </w:r>
    </w:p>
    <w:p>
      <w:pPr>
        <w:ind w:left="1920" w:leftChars="800"/>
        <w:rPr>
          <w:rFonts w:hint="eastAsia" w:ascii="宋体" w:hAnsi="宋体" w:eastAsia="宋体" w:cs="宋体"/>
          <w:color w:val="auto"/>
          <w:szCs w:val="24"/>
        </w:rPr>
        <w:sectPr>
          <w:footerReference r:id="rId8" w:type="default"/>
          <w:pgSz w:w="11910" w:h="16840"/>
          <w:pgMar w:top="1417" w:right="1417" w:bottom="1417" w:left="1417" w:header="0" w:footer="768" w:gutter="0"/>
          <w:pgNumType w:fmt="decimal"/>
          <w:cols w:space="720" w:num="1"/>
        </w:sectPr>
      </w:pPr>
      <w:r>
        <w:rPr>
          <w:rFonts w:hint="eastAsia" w:ascii="宋体" w:hAnsi="宋体" w:eastAsia="宋体" w:cs="宋体"/>
          <w:color w:val="auto"/>
          <w:szCs w:val="24"/>
        </w:rPr>
        <w:t xml:space="preserve">日期：     年  </w:t>
      </w:r>
      <w:r>
        <w:rPr>
          <w:rFonts w:hint="eastAsia" w:ascii="宋体" w:hAnsi="宋体" w:eastAsia="宋体" w:cs="宋体"/>
          <w:color w:val="auto"/>
          <w:szCs w:val="24"/>
        </w:rPr>
        <w:tab/>
      </w:r>
      <w:r>
        <w:rPr>
          <w:rFonts w:hint="eastAsia" w:ascii="宋体" w:hAnsi="宋体" w:eastAsia="宋体" w:cs="宋体"/>
          <w:color w:val="auto"/>
          <w:szCs w:val="24"/>
        </w:rPr>
        <w:t>月  日</w:t>
      </w:r>
    </w:p>
    <w:p>
      <w:pPr>
        <w:rPr>
          <w:rFonts w:hint="eastAsia" w:ascii="宋体" w:hAnsi="宋体" w:eastAsia="宋体" w:cs="宋体"/>
          <w:b/>
          <w:bCs/>
          <w:color w:val="auto"/>
          <w:szCs w:val="24"/>
        </w:rPr>
      </w:pPr>
      <w:r>
        <w:rPr>
          <w:rFonts w:hint="eastAsia" w:ascii="宋体" w:hAnsi="宋体" w:eastAsia="宋体" w:cs="宋体"/>
          <w:b/>
          <w:bCs/>
          <w:color w:val="auto"/>
          <w:szCs w:val="24"/>
        </w:rPr>
        <w:t>附件二：</w:t>
      </w:r>
    </w:p>
    <w:p>
      <w:pPr>
        <w:rPr>
          <w:rFonts w:hint="eastAsia" w:ascii="宋体" w:hAnsi="宋体" w:eastAsia="宋体" w:cs="宋体"/>
          <w:color w:val="auto"/>
          <w:szCs w:val="24"/>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问题的澄清</w:t>
      </w:r>
    </w:p>
    <w:p>
      <w:pPr>
        <w:rPr>
          <w:rFonts w:hint="eastAsia" w:ascii="宋体" w:hAnsi="宋体" w:eastAsia="宋体" w:cs="宋体"/>
          <w:color w:val="auto"/>
          <w:szCs w:val="24"/>
        </w:rPr>
      </w:pPr>
      <w:r>
        <w:rPr>
          <w:rFonts w:hint="eastAsia" w:ascii="宋体" w:hAnsi="宋体" w:eastAsia="宋体" w:cs="宋体"/>
          <w:color w:val="auto"/>
          <w:szCs w:val="24"/>
        </w:rPr>
        <w:t>编号：</w:t>
      </w:r>
    </w:p>
    <w:p>
      <w:pPr>
        <w:rPr>
          <w:rFonts w:hint="eastAsia" w:ascii="宋体" w:hAnsi="宋体" w:eastAsia="宋体" w:cs="宋体"/>
          <w:color w:val="auto"/>
          <w:szCs w:val="24"/>
        </w:rPr>
      </w:pPr>
    </w:p>
    <w:p>
      <w:pPr>
        <w:rPr>
          <w:rFonts w:hint="eastAsia" w:ascii="宋体" w:hAnsi="宋体" w:eastAsia="宋体" w:cs="宋体"/>
          <w:color w:val="auto"/>
          <w:szCs w:val="24"/>
        </w:rPr>
      </w:pPr>
      <w:r>
        <w:rPr>
          <w:rFonts w:hint="eastAsia" w:ascii="宋体" w:hAnsi="宋体" w:eastAsia="宋体" w:cs="宋体"/>
          <w:color w:val="auto"/>
          <w:szCs w:val="24"/>
        </w:rPr>
        <w:t xml:space="preserve"> </w:t>
      </w:r>
      <w:r>
        <w:rPr>
          <w:rFonts w:hint="eastAsia" w:ascii="宋体" w:hAnsi="宋体" w:eastAsia="宋体" w:cs="宋体"/>
          <w:color w:val="auto"/>
          <w:szCs w:val="24"/>
        </w:rPr>
        <w:tab/>
      </w:r>
      <w:r>
        <w:rPr>
          <w:rFonts w:hint="eastAsia" w:ascii="宋体" w:hAnsi="宋体" w:eastAsia="宋体" w:cs="宋体"/>
          <w:color w:val="auto"/>
          <w:szCs w:val="24"/>
          <w:u w:val="single"/>
        </w:rPr>
        <w:t>（项目名称）</w:t>
      </w:r>
      <w:r>
        <w:rPr>
          <w:rFonts w:hint="eastAsia" w:ascii="宋体" w:hAnsi="宋体" w:eastAsia="宋体" w:cs="宋体"/>
          <w:color w:val="auto"/>
          <w:szCs w:val="24"/>
        </w:rPr>
        <w:t>招标评标委员会：</w:t>
      </w:r>
    </w:p>
    <w:p>
      <w:pPr>
        <w:rPr>
          <w:rFonts w:hint="eastAsia" w:ascii="宋体" w:hAnsi="宋体" w:eastAsia="宋体" w:cs="宋体"/>
          <w:color w:val="auto"/>
          <w:szCs w:val="24"/>
        </w:rPr>
      </w:pPr>
    </w:p>
    <w:p>
      <w:pPr>
        <w:rPr>
          <w:rFonts w:hint="eastAsia" w:ascii="宋体" w:hAnsi="宋体" w:eastAsia="宋体" w:cs="宋体"/>
          <w:color w:val="auto"/>
          <w:szCs w:val="24"/>
        </w:rPr>
      </w:pPr>
    </w:p>
    <w:p>
      <w:pPr>
        <w:rPr>
          <w:rFonts w:hint="eastAsia" w:ascii="宋体" w:hAnsi="宋体" w:eastAsia="宋体" w:cs="宋体"/>
          <w:color w:val="auto"/>
          <w:szCs w:val="24"/>
        </w:rPr>
      </w:pPr>
      <w:r>
        <w:rPr>
          <w:rFonts w:hint="eastAsia" w:ascii="宋体" w:hAnsi="宋体" w:eastAsia="宋体" w:cs="宋体"/>
          <w:color w:val="auto"/>
          <w:szCs w:val="24"/>
        </w:rPr>
        <w:t>问题澄清通知（编号：</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）已收悉，现澄清如下：</w:t>
      </w:r>
    </w:p>
    <w:p>
      <w:pPr>
        <w:rPr>
          <w:rFonts w:hint="eastAsia" w:ascii="宋体" w:hAnsi="宋体" w:eastAsia="宋体" w:cs="宋体"/>
          <w:color w:val="auto"/>
          <w:szCs w:val="24"/>
        </w:rPr>
      </w:pPr>
      <w:r>
        <w:rPr>
          <w:rFonts w:hint="eastAsia" w:ascii="宋体" w:hAnsi="宋体" w:eastAsia="宋体" w:cs="宋体"/>
          <w:color w:val="auto"/>
          <w:szCs w:val="24"/>
        </w:rPr>
        <w:t>1.</w:t>
      </w:r>
    </w:p>
    <w:p>
      <w:pPr>
        <w:rPr>
          <w:rFonts w:hint="eastAsia" w:ascii="宋体" w:hAnsi="宋体" w:eastAsia="宋体" w:cs="宋体"/>
          <w:color w:val="auto"/>
          <w:szCs w:val="24"/>
        </w:rPr>
      </w:pPr>
      <w:r>
        <w:rPr>
          <w:rFonts w:hint="eastAsia" w:ascii="宋体" w:hAnsi="宋体" w:eastAsia="宋体" w:cs="宋体"/>
          <w:color w:val="auto"/>
          <w:szCs w:val="24"/>
        </w:rPr>
        <w:t>2.</w:t>
      </w:r>
    </w:p>
    <w:p>
      <w:pPr>
        <w:rPr>
          <w:rFonts w:hint="eastAsia" w:ascii="宋体" w:hAnsi="宋体" w:eastAsia="宋体" w:cs="宋体"/>
          <w:color w:val="auto"/>
          <w:szCs w:val="24"/>
        </w:rPr>
      </w:pPr>
      <w:r>
        <w:rPr>
          <w:rFonts w:hint="eastAsia" w:ascii="宋体" w:hAnsi="宋体" w:eastAsia="宋体" w:cs="宋体"/>
          <w:color w:val="auto"/>
          <w:szCs w:val="24"/>
        </w:rPr>
        <w:t>.....</w:t>
      </w:r>
    </w:p>
    <w:p>
      <w:pPr>
        <w:rPr>
          <w:rFonts w:hint="eastAsia" w:ascii="宋体" w:hAnsi="宋体" w:eastAsia="宋体" w:cs="宋体"/>
          <w:color w:val="auto"/>
          <w:szCs w:val="24"/>
        </w:rPr>
      </w:pPr>
    </w:p>
    <w:p>
      <w:pPr>
        <w:rPr>
          <w:rFonts w:hint="eastAsia" w:ascii="宋体" w:hAnsi="宋体" w:eastAsia="宋体" w:cs="宋体"/>
          <w:color w:val="auto"/>
          <w:szCs w:val="24"/>
        </w:rPr>
      </w:pPr>
    </w:p>
    <w:p>
      <w:pPr>
        <w:rPr>
          <w:rFonts w:hint="eastAsia" w:ascii="宋体" w:hAnsi="宋体" w:eastAsia="宋体" w:cs="宋体"/>
          <w:color w:val="auto"/>
          <w:szCs w:val="24"/>
        </w:rPr>
      </w:pPr>
    </w:p>
    <w:p>
      <w:pPr>
        <w:rPr>
          <w:rFonts w:hint="eastAsia" w:ascii="宋体" w:hAnsi="宋体" w:eastAsia="宋体" w:cs="宋体"/>
          <w:color w:val="auto"/>
          <w:szCs w:val="24"/>
        </w:rPr>
      </w:pPr>
    </w:p>
    <w:p>
      <w:pPr>
        <w:rPr>
          <w:rFonts w:hint="eastAsia" w:ascii="宋体" w:hAnsi="宋体" w:eastAsia="宋体" w:cs="宋体"/>
          <w:color w:val="auto"/>
          <w:szCs w:val="24"/>
        </w:rPr>
      </w:pPr>
    </w:p>
    <w:p>
      <w:pPr>
        <w:ind w:left="2880" w:leftChars="1200"/>
        <w:rPr>
          <w:rFonts w:hint="eastAsia" w:ascii="宋体" w:hAnsi="宋体" w:eastAsia="宋体" w:cs="宋体"/>
          <w:color w:val="auto"/>
          <w:szCs w:val="24"/>
        </w:rPr>
      </w:pPr>
      <w:r>
        <w:rPr>
          <w:rFonts w:hint="eastAsia" w:ascii="宋体" w:hAnsi="宋体" w:eastAsia="宋体" w:cs="宋体"/>
          <w:color w:val="auto"/>
          <w:szCs w:val="24"/>
        </w:rPr>
        <w:t xml:space="preserve">投标人： </w:t>
      </w:r>
      <w:r>
        <w:rPr>
          <w:rFonts w:hint="eastAsia" w:ascii="宋体" w:hAnsi="宋体" w:eastAsia="宋体" w:cs="宋体"/>
          <w:color w:val="auto"/>
          <w:szCs w:val="24"/>
        </w:rPr>
        <w:tab/>
      </w:r>
      <w:r>
        <w:rPr>
          <w:rFonts w:hint="eastAsia" w:ascii="宋体" w:hAnsi="宋体" w:eastAsia="宋体" w:cs="宋体"/>
          <w:color w:val="auto"/>
          <w:szCs w:val="24"/>
        </w:rPr>
        <w:t>（盖单位章）</w:t>
      </w:r>
    </w:p>
    <w:p>
      <w:pPr>
        <w:ind w:left="2880" w:leftChars="1200"/>
        <w:rPr>
          <w:rFonts w:hint="eastAsia" w:ascii="宋体" w:hAnsi="宋体" w:eastAsia="宋体" w:cs="宋体"/>
          <w:color w:val="auto"/>
          <w:szCs w:val="24"/>
        </w:rPr>
      </w:pPr>
    </w:p>
    <w:p>
      <w:pPr>
        <w:ind w:left="2880" w:leftChars="1200"/>
        <w:rPr>
          <w:rFonts w:hint="eastAsia" w:ascii="宋体" w:hAnsi="宋体" w:eastAsia="宋体" w:cs="宋体"/>
          <w:color w:val="auto"/>
          <w:szCs w:val="24"/>
        </w:rPr>
      </w:pPr>
      <w:r>
        <w:rPr>
          <w:rFonts w:hint="eastAsia" w:ascii="宋体" w:hAnsi="宋体" w:eastAsia="宋体" w:cs="宋体"/>
          <w:color w:val="auto"/>
          <w:szCs w:val="24"/>
        </w:rPr>
        <w:t xml:space="preserve">法定代表人或其委托代理人： </w:t>
      </w:r>
      <w:r>
        <w:rPr>
          <w:rFonts w:hint="eastAsia" w:ascii="宋体" w:hAnsi="宋体" w:eastAsia="宋体" w:cs="宋体"/>
          <w:color w:val="auto"/>
          <w:szCs w:val="24"/>
        </w:rPr>
        <w:tab/>
      </w:r>
      <w:r>
        <w:rPr>
          <w:rFonts w:hint="eastAsia" w:ascii="宋体" w:hAnsi="宋体" w:eastAsia="宋体" w:cs="宋体"/>
          <w:color w:val="auto"/>
          <w:szCs w:val="24"/>
        </w:rPr>
        <w:t>（签字）</w:t>
      </w:r>
    </w:p>
    <w:p>
      <w:pPr>
        <w:ind w:left="2880" w:leftChars="1200"/>
        <w:rPr>
          <w:rFonts w:hint="eastAsia" w:ascii="宋体" w:hAnsi="宋体" w:eastAsia="宋体" w:cs="宋体"/>
          <w:color w:val="auto"/>
          <w:szCs w:val="24"/>
        </w:rPr>
      </w:pPr>
    </w:p>
    <w:p>
      <w:pPr>
        <w:ind w:left="2880" w:leftChars="1200"/>
        <w:rPr>
          <w:rFonts w:hint="eastAsia" w:ascii="宋体" w:hAnsi="宋体" w:eastAsia="宋体" w:cs="宋体"/>
          <w:color w:val="auto"/>
          <w:szCs w:val="24"/>
        </w:rPr>
      </w:pPr>
      <w:r>
        <w:rPr>
          <w:rFonts w:hint="eastAsia" w:ascii="宋体" w:hAnsi="宋体" w:eastAsia="宋体" w:cs="宋体"/>
          <w:color w:val="auto"/>
          <w:szCs w:val="24"/>
        </w:rPr>
        <w:t xml:space="preserve">日期：    年 </w:t>
      </w:r>
      <w:r>
        <w:rPr>
          <w:rFonts w:hint="eastAsia" w:ascii="宋体" w:hAnsi="宋体" w:eastAsia="宋体" w:cs="宋体"/>
          <w:color w:val="auto"/>
          <w:szCs w:val="24"/>
        </w:rPr>
        <w:tab/>
      </w:r>
      <w:r>
        <w:rPr>
          <w:rFonts w:hint="eastAsia" w:ascii="宋体" w:hAnsi="宋体" w:eastAsia="宋体" w:cs="宋体"/>
          <w:color w:val="auto"/>
          <w:szCs w:val="24"/>
        </w:rPr>
        <w:t xml:space="preserve">月  </w:t>
      </w:r>
      <w:r>
        <w:rPr>
          <w:rFonts w:hint="eastAsia" w:ascii="宋体" w:hAnsi="宋体" w:eastAsia="宋体" w:cs="宋体"/>
          <w:color w:val="auto"/>
          <w:szCs w:val="24"/>
        </w:rPr>
        <w:tab/>
      </w:r>
      <w:r>
        <w:rPr>
          <w:rFonts w:hint="eastAsia" w:ascii="宋体" w:hAnsi="宋体" w:eastAsia="宋体" w:cs="宋体"/>
          <w:color w:val="auto"/>
          <w:szCs w:val="24"/>
        </w:rPr>
        <w:t>日</w:t>
      </w:r>
    </w:p>
    <w:p>
      <w:pPr>
        <w:rPr>
          <w:rFonts w:hint="eastAsia" w:ascii="宋体" w:hAnsi="宋体" w:eastAsia="宋体" w:cs="宋体"/>
          <w:color w:val="auto"/>
          <w:szCs w:val="24"/>
        </w:rPr>
        <w:sectPr>
          <w:pgSz w:w="11910" w:h="16840"/>
          <w:pgMar w:top="1417" w:right="1417" w:bottom="1417" w:left="1417" w:header="0" w:footer="768" w:gutter="0"/>
          <w:pgNumType w:fmt="decimal"/>
          <w:cols w:space="720" w:num="1"/>
        </w:sectPr>
      </w:pPr>
    </w:p>
    <w:p>
      <w:pPr>
        <w:rPr>
          <w:rFonts w:hint="eastAsia" w:ascii="宋体" w:hAnsi="宋体" w:eastAsia="宋体" w:cs="宋体"/>
          <w:color w:val="auto"/>
        </w:rPr>
      </w:pPr>
      <w:r>
        <w:rPr>
          <w:rFonts w:hint="eastAsia" w:ascii="宋体" w:hAnsi="宋体" w:eastAsia="宋体" w:cs="宋体"/>
          <w:b/>
          <w:bCs/>
          <w:color w:val="auto"/>
        </w:rPr>
        <w:t>附件三：</w:t>
      </w:r>
      <w:r>
        <w:rPr>
          <w:rFonts w:hint="eastAsia" w:ascii="宋体" w:hAnsi="宋体" w:eastAsia="宋体" w:cs="宋体"/>
          <w:color w:val="auto"/>
        </w:rPr>
        <w:t xml:space="preserve"> </w:t>
      </w:r>
    </w:p>
    <w:p>
      <w:pPr>
        <w:rPr>
          <w:rFonts w:hint="eastAsia" w:ascii="宋体" w:hAnsi="宋体" w:eastAsia="宋体" w:cs="宋体"/>
          <w:color w:val="auto"/>
        </w:rPr>
      </w:pPr>
    </w:p>
    <w:p>
      <w:pPr>
        <w:jc w:val="center"/>
        <w:rPr>
          <w:rFonts w:hint="eastAsia" w:ascii="宋体" w:hAnsi="宋体" w:eastAsia="宋体" w:cs="宋体"/>
          <w:b/>
          <w:bCs/>
          <w:color w:val="auto"/>
          <w:sz w:val="36"/>
          <w:szCs w:val="28"/>
        </w:rPr>
      </w:pPr>
      <w:r>
        <w:rPr>
          <w:rFonts w:hint="eastAsia" w:ascii="宋体" w:hAnsi="宋体" w:eastAsia="宋体" w:cs="宋体"/>
          <w:b/>
          <w:bCs/>
          <w:color w:val="auto"/>
          <w:sz w:val="36"/>
          <w:szCs w:val="28"/>
        </w:rPr>
        <w:t>确认通知</w:t>
      </w:r>
    </w:p>
    <w:p>
      <w:pPr>
        <w:rPr>
          <w:rFonts w:hint="eastAsia" w:ascii="宋体" w:hAnsi="宋体" w:eastAsia="宋体" w:cs="宋体"/>
          <w:color w:val="auto"/>
          <w:szCs w:val="24"/>
        </w:rPr>
      </w:pPr>
      <w:r>
        <w:rPr>
          <w:rFonts w:hint="eastAsia" w:ascii="宋体" w:hAnsi="宋体" w:eastAsia="宋体" w:cs="宋体"/>
          <w:color w:val="auto"/>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（招标人名称）</w:t>
      </w:r>
      <w:r>
        <w:rPr>
          <w:rFonts w:hint="eastAsia" w:ascii="宋体" w:hAnsi="宋体" w:eastAsia="宋体" w:cs="宋体"/>
          <w:color w:val="auto"/>
          <w:szCs w:val="24"/>
        </w:rPr>
        <w:t>：</w:t>
      </w:r>
    </w:p>
    <w:p>
      <w:pPr>
        <w:rPr>
          <w:rFonts w:hint="eastAsia" w:ascii="宋体" w:hAnsi="宋体" w:eastAsia="宋体" w:cs="宋体"/>
          <w:color w:val="auto"/>
          <w:szCs w:val="24"/>
        </w:rPr>
      </w:pP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你方于</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年</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 xml:space="preserve">  </w:t>
      </w:r>
      <w:r>
        <w:rPr>
          <w:rFonts w:hint="eastAsia" w:ascii="宋体" w:hAnsi="宋体" w:eastAsia="宋体" w:cs="宋体"/>
          <w:color w:val="auto"/>
          <w:szCs w:val="24"/>
        </w:rPr>
        <w:t>日发出的</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（项目名称）</w:t>
      </w:r>
      <w:r>
        <w:rPr>
          <w:rFonts w:hint="eastAsia" w:ascii="宋体" w:hAnsi="宋体" w:eastAsia="宋体" w:cs="宋体"/>
          <w:color w:val="auto"/>
          <w:szCs w:val="24"/>
        </w:rPr>
        <w:t>关于</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 xml:space="preserve">  </w:t>
      </w:r>
      <w:r>
        <w:rPr>
          <w:rFonts w:hint="eastAsia" w:ascii="宋体" w:hAnsi="宋体" w:eastAsia="宋体" w:cs="宋体"/>
          <w:color w:val="auto"/>
          <w:szCs w:val="24"/>
        </w:rPr>
        <w:t>的通知，我方已于</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 xml:space="preserve">  </w:t>
      </w:r>
      <w:r>
        <w:rPr>
          <w:rFonts w:hint="eastAsia" w:ascii="宋体" w:hAnsi="宋体" w:eastAsia="宋体" w:cs="宋体"/>
          <w:color w:val="auto"/>
          <w:szCs w:val="24"/>
        </w:rPr>
        <w:t>年</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日收到。</w:t>
      </w:r>
    </w:p>
    <w:p>
      <w:pPr>
        <w:rPr>
          <w:rFonts w:hint="eastAsia" w:ascii="宋体" w:hAnsi="宋体" w:eastAsia="宋体" w:cs="宋体"/>
          <w:color w:val="auto"/>
          <w:szCs w:val="24"/>
        </w:rPr>
      </w:pP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特此确认。</w:t>
      </w:r>
    </w:p>
    <w:p>
      <w:pPr>
        <w:rPr>
          <w:rFonts w:hint="eastAsia" w:ascii="宋体" w:hAnsi="宋体" w:eastAsia="宋体" w:cs="宋体"/>
          <w:color w:val="auto"/>
          <w:szCs w:val="24"/>
        </w:rPr>
      </w:pPr>
    </w:p>
    <w:p>
      <w:pPr>
        <w:rPr>
          <w:rFonts w:hint="eastAsia" w:ascii="宋体" w:hAnsi="宋体" w:eastAsia="宋体" w:cs="宋体"/>
          <w:color w:val="auto"/>
          <w:szCs w:val="24"/>
        </w:rPr>
      </w:pPr>
    </w:p>
    <w:p>
      <w:pPr>
        <w:rPr>
          <w:rFonts w:hint="eastAsia" w:ascii="宋体" w:hAnsi="宋体" w:eastAsia="宋体" w:cs="宋体"/>
          <w:color w:val="auto"/>
          <w:szCs w:val="24"/>
        </w:rPr>
      </w:pPr>
    </w:p>
    <w:p>
      <w:pPr>
        <w:rPr>
          <w:rFonts w:hint="eastAsia" w:ascii="宋体" w:hAnsi="宋体" w:eastAsia="宋体" w:cs="宋体"/>
          <w:color w:val="auto"/>
          <w:szCs w:val="24"/>
        </w:rPr>
      </w:pPr>
    </w:p>
    <w:p>
      <w:pPr>
        <w:ind w:left="3360" w:leftChars="1400"/>
        <w:rPr>
          <w:rFonts w:hint="eastAsia" w:ascii="宋体" w:hAnsi="宋体" w:eastAsia="宋体" w:cs="宋体"/>
          <w:color w:val="auto"/>
          <w:szCs w:val="24"/>
        </w:rPr>
      </w:pPr>
      <w:r>
        <w:rPr>
          <w:rFonts w:hint="eastAsia" w:ascii="宋体" w:hAnsi="宋体" w:eastAsia="宋体" w:cs="宋体"/>
          <w:color w:val="auto"/>
          <w:szCs w:val="24"/>
        </w:rPr>
        <w:t xml:space="preserve">投标人： </w:t>
      </w:r>
      <w:r>
        <w:rPr>
          <w:rFonts w:hint="eastAsia" w:ascii="宋体" w:hAnsi="宋体" w:eastAsia="宋体" w:cs="宋体"/>
          <w:color w:val="auto"/>
          <w:szCs w:val="24"/>
        </w:rPr>
        <w:tab/>
      </w:r>
      <w:r>
        <w:rPr>
          <w:rFonts w:hint="eastAsia" w:ascii="宋体" w:hAnsi="宋体" w:eastAsia="宋体" w:cs="宋体"/>
          <w:color w:val="auto"/>
          <w:szCs w:val="24"/>
        </w:rPr>
        <w:t>（盖单位章）</w:t>
      </w:r>
    </w:p>
    <w:p>
      <w:pPr>
        <w:ind w:left="3360" w:leftChars="1400"/>
        <w:rPr>
          <w:rFonts w:hint="eastAsia" w:ascii="宋体" w:hAnsi="宋体" w:eastAsia="宋体" w:cs="宋体"/>
          <w:color w:val="auto"/>
          <w:szCs w:val="24"/>
        </w:rPr>
      </w:pPr>
    </w:p>
    <w:p>
      <w:pPr>
        <w:ind w:left="3360" w:leftChars="1400"/>
        <w:rPr>
          <w:rFonts w:hint="eastAsia" w:ascii="宋体" w:hAnsi="宋体" w:eastAsia="宋体" w:cs="宋体"/>
          <w:color w:val="auto"/>
          <w:szCs w:val="24"/>
        </w:rPr>
        <w:sectPr>
          <w:pgSz w:w="11910" w:h="16840"/>
          <w:pgMar w:top="1417" w:right="1417" w:bottom="1417" w:left="1417" w:header="0" w:footer="768" w:gutter="0"/>
          <w:pgNumType w:fmt="decimal"/>
          <w:cols w:space="720" w:num="1"/>
        </w:sectPr>
      </w:pPr>
      <w:r>
        <w:rPr>
          <w:rFonts w:hint="eastAsia" w:ascii="宋体" w:hAnsi="宋体" w:eastAsia="宋体" w:cs="宋体"/>
          <w:color w:val="auto"/>
          <w:szCs w:val="24"/>
        </w:rPr>
        <w:t xml:space="preserve">日期：    年 </w:t>
      </w:r>
      <w:r>
        <w:rPr>
          <w:rFonts w:hint="eastAsia" w:ascii="宋体" w:hAnsi="宋体" w:eastAsia="宋体" w:cs="宋体"/>
          <w:color w:val="auto"/>
          <w:szCs w:val="24"/>
        </w:rPr>
        <w:tab/>
      </w:r>
      <w:r>
        <w:rPr>
          <w:rFonts w:hint="eastAsia" w:ascii="宋体" w:hAnsi="宋体" w:eastAsia="宋体" w:cs="宋体"/>
          <w:color w:val="auto"/>
          <w:szCs w:val="24"/>
        </w:rPr>
        <w:t xml:space="preserve">月 </w:t>
      </w:r>
      <w:r>
        <w:rPr>
          <w:rFonts w:hint="eastAsia" w:ascii="宋体" w:hAnsi="宋体" w:eastAsia="宋体" w:cs="宋体"/>
          <w:color w:val="auto"/>
          <w:szCs w:val="24"/>
        </w:rPr>
        <w:tab/>
      </w:r>
      <w:r>
        <w:rPr>
          <w:rFonts w:hint="eastAsia" w:ascii="宋体" w:hAnsi="宋体" w:eastAsia="宋体" w:cs="宋体"/>
          <w:color w:val="auto"/>
          <w:szCs w:val="24"/>
        </w:rPr>
        <w:t>日</w:t>
      </w:r>
    </w:p>
    <w:p>
      <w:pPr>
        <w:pStyle w:val="5"/>
        <w:rPr>
          <w:rFonts w:hint="eastAsia" w:ascii="宋体" w:hAnsi="宋体" w:eastAsia="宋体" w:cs="宋体"/>
          <w:b/>
          <w:bCs/>
          <w:color w:val="auto"/>
        </w:rPr>
      </w:pPr>
      <w:bookmarkStart w:id="11" w:name="_Toc486424973"/>
      <w:bookmarkStart w:id="12" w:name="_Toc72504988"/>
      <w:bookmarkStart w:id="13" w:name="_Toc25948"/>
      <w:bookmarkStart w:id="14" w:name="_Toc247514022"/>
      <w:bookmarkStart w:id="15" w:name="_Toc152045598"/>
      <w:bookmarkStart w:id="16" w:name="_Toc152042375"/>
      <w:bookmarkStart w:id="17" w:name="_Toc144974565"/>
      <w:bookmarkStart w:id="18" w:name="_Toc474134382"/>
      <w:bookmarkStart w:id="19" w:name="_Toc247527623"/>
      <w:bookmarkStart w:id="20" w:name="_Toc518118441"/>
      <w:r>
        <w:rPr>
          <w:rFonts w:hint="eastAsia" w:ascii="宋体" w:hAnsi="宋体" w:eastAsia="宋体" w:cs="宋体"/>
          <w:b/>
          <w:bCs/>
          <w:color w:val="auto"/>
        </w:rPr>
        <w:t>第三章 评标办法（综合评估法）</w:t>
      </w:r>
      <w:bookmarkEnd w:id="11"/>
      <w:bookmarkEnd w:id="12"/>
      <w:bookmarkEnd w:id="13"/>
      <w:bookmarkEnd w:id="14"/>
      <w:bookmarkEnd w:id="15"/>
      <w:bookmarkEnd w:id="16"/>
      <w:bookmarkEnd w:id="17"/>
      <w:bookmarkEnd w:id="18"/>
      <w:bookmarkEnd w:id="19"/>
      <w:bookmarkEnd w:id="20"/>
      <w:bookmarkStart w:id="21" w:name="_Toc247514023"/>
      <w:bookmarkStart w:id="22" w:name="_Toc474134383"/>
      <w:bookmarkStart w:id="23" w:name="_Toc152045599"/>
      <w:bookmarkStart w:id="24" w:name="_Toc144974566"/>
      <w:bookmarkStart w:id="25" w:name="_Toc247527624"/>
      <w:bookmarkStart w:id="26" w:name="_Toc152042376"/>
      <w:bookmarkStart w:id="27" w:name="_Toc518118442"/>
      <w:bookmarkStart w:id="28" w:name="_Toc486424974"/>
    </w:p>
    <w:p>
      <w:pPr>
        <w:jc w:val="center"/>
        <w:rPr>
          <w:rFonts w:hint="eastAsia" w:ascii="宋体" w:hAnsi="宋体" w:eastAsia="宋体" w:cs="宋体"/>
          <w:b/>
          <w:bCs/>
          <w:color w:val="auto"/>
          <w:szCs w:val="24"/>
        </w:rPr>
      </w:pPr>
      <w:r>
        <w:rPr>
          <w:rFonts w:hint="eastAsia" w:ascii="宋体" w:hAnsi="宋体" w:eastAsia="宋体" w:cs="宋体"/>
          <w:b/>
          <w:bCs/>
          <w:color w:val="auto"/>
          <w:szCs w:val="24"/>
        </w:rPr>
        <w:t>评标办法前附表</w:t>
      </w:r>
      <w:bookmarkEnd w:id="21"/>
      <w:bookmarkEnd w:id="22"/>
      <w:bookmarkEnd w:id="23"/>
      <w:bookmarkEnd w:id="24"/>
      <w:bookmarkEnd w:id="25"/>
      <w:bookmarkEnd w:id="26"/>
      <w:bookmarkEnd w:id="27"/>
      <w:bookmarkEnd w:id="28"/>
    </w:p>
    <w:tbl>
      <w:tblPr>
        <w:tblStyle w:val="49"/>
        <w:tblW w:w="10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24"/>
        <w:gridCol w:w="2001"/>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dxa"/>
            <w:gridSpan w:val="2"/>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条款号</w:t>
            </w:r>
          </w:p>
        </w:tc>
        <w:tc>
          <w:tcPr>
            <w:tcW w:w="2001"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评审因素</w:t>
            </w:r>
          </w:p>
        </w:tc>
        <w:tc>
          <w:tcPr>
            <w:tcW w:w="6646"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2.1.1</w:t>
            </w:r>
          </w:p>
        </w:tc>
        <w:tc>
          <w:tcPr>
            <w:tcW w:w="1124" w:type="dxa"/>
            <w:vMerge w:val="restart"/>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形式评审标准</w:t>
            </w: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投标人名称</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rPr>
                <w:rFonts w:hint="eastAsia" w:ascii="宋体" w:hAnsi="宋体" w:eastAsia="宋体" w:cs="宋体"/>
                <w:color w:val="auto"/>
                <w:szCs w:val="24"/>
              </w:rPr>
            </w:pPr>
          </w:p>
        </w:tc>
        <w:tc>
          <w:tcPr>
            <w:tcW w:w="1124" w:type="dxa"/>
            <w:vMerge w:val="continue"/>
            <w:vAlign w:val="center"/>
          </w:tcPr>
          <w:p>
            <w:pP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投标函签字盖章</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有法定代表人或其委托代理人签字或加盖单位公章；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rPr>
                <w:rFonts w:hint="eastAsia" w:ascii="宋体" w:hAnsi="宋体" w:eastAsia="宋体" w:cs="宋体"/>
                <w:color w:val="auto"/>
                <w:szCs w:val="24"/>
              </w:rPr>
            </w:pPr>
          </w:p>
        </w:tc>
        <w:tc>
          <w:tcPr>
            <w:tcW w:w="1124" w:type="dxa"/>
            <w:vMerge w:val="continue"/>
            <w:vAlign w:val="center"/>
          </w:tcPr>
          <w:p>
            <w:pP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投标文件格式</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rPr>
                <w:rFonts w:hint="eastAsia" w:ascii="宋体" w:hAnsi="宋体" w:eastAsia="宋体" w:cs="宋体"/>
                <w:color w:val="auto"/>
                <w:szCs w:val="24"/>
              </w:rPr>
            </w:pPr>
          </w:p>
        </w:tc>
        <w:tc>
          <w:tcPr>
            <w:tcW w:w="1124" w:type="dxa"/>
            <w:vMerge w:val="continue"/>
            <w:vAlign w:val="center"/>
          </w:tcPr>
          <w:p>
            <w:pP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联合体投标人</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提交联合体协议书，并明确联合体主办方；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rPr>
                <w:rFonts w:hint="eastAsia" w:ascii="宋体" w:hAnsi="宋体" w:eastAsia="宋体" w:cs="宋体"/>
                <w:color w:val="auto"/>
                <w:szCs w:val="24"/>
              </w:rPr>
            </w:pPr>
          </w:p>
        </w:tc>
        <w:tc>
          <w:tcPr>
            <w:tcW w:w="1124" w:type="dxa"/>
            <w:vMerge w:val="continue"/>
            <w:vAlign w:val="center"/>
          </w:tcPr>
          <w:p>
            <w:pP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报价唯一</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2.1.2</w:t>
            </w:r>
          </w:p>
        </w:tc>
        <w:tc>
          <w:tcPr>
            <w:tcW w:w="1124" w:type="dxa"/>
            <w:vMerge w:val="restart"/>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资格评审标准</w:t>
            </w: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营业执照</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资质等级</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项目负责人</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设计负责人</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其他要求</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联合体投标人</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2.1.3</w:t>
            </w:r>
          </w:p>
        </w:tc>
        <w:tc>
          <w:tcPr>
            <w:tcW w:w="1124" w:type="dxa"/>
            <w:vMerge w:val="restart"/>
            <w:vAlign w:val="center"/>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响应性评审标准</w:t>
            </w: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投标报价</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符合第二章“投标人须知前附表”第3.2.2项规定；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工期</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质量标准</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投标有效期</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jc w:val="center"/>
        </w:trPr>
        <w:tc>
          <w:tcPr>
            <w:tcW w:w="900" w:type="dxa"/>
            <w:vMerge w:val="continue"/>
            <w:vAlign w:val="center"/>
          </w:tcPr>
          <w:p>
            <w:pPr>
              <w:jc w:val="center"/>
              <w:rPr>
                <w:rFonts w:hint="eastAsia" w:ascii="宋体" w:hAnsi="宋体" w:eastAsia="宋体" w:cs="宋体"/>
                <w:color w:val="auto"/>
                <w:szCs w:val="24"/>
              </w:rPr>
            </w:pPr>
          </w:p>
        </w:tc>
        <w:tc>
          <w:tcPr>
            <w:tcW w:w="1124" w:type="dxa"/>
            <w:vMerge w:val="continue"/>
            <w:vAlign w:val="center"/>
          </w:tcPr>
          <w:p>
            <w:pPr>
              <w:jc w:val="center"/>
              <w:rPr>
                <w:rFonts w:hint="eastAsia" w:ascii="宋体" w:hAnsi="宋体" w:eastAsia="宋体" w:cs="宋体"/>
                <w:color w:val="auto"/>
                <w:szCs w:val="24"/>
              </w:rPr>
            </w:pP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投标保证金</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符合第二章“投标人须知前附表”第3.4款规定。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24" w:type="dxa"/>
            <w:gridSpan w:val="2"/>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条款号</w:t>
            </w:r>
          </w:p>
        </w:tc>
        <w:tc>
          <w:tcPr>
            <w:tcW w:w="2001"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条款内容</w:t>
            </w:r>
          </w:p>
        </w:tc>
        <w:tc>
          <w:tcPr>
            <w:tcW w:w="6646"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24" w:type="dxa"/>
            <w:gridSpan w:val="2"/>
            <w:vAlign w:val="center"/>
          </w:tcPr>
          <w:p>
            <w:pPr>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2.1.4</w:t>
            </w: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szCs w:val="24"/>
              </w:rPr>
              <w:t>分值构成</w:t>
            </w:r>
          </w:p>
          <w:p>
            <w:pPr>
              <w:jc w:val="center"/>
              <w:rPr>
                <w:rFonts w:hint="eastAsia" w:ascii="宋体" w:hAnsi="宋体" w:eastAsia="宋体" w:cs="宋体"/>
                <w:color w:val="auto"/>
                <w:szCs w:val="24"/>
              </w:rPr>
            </w:pPr>
            <w:r>
              <w:rPr>
                <w:rFonts w:hint="eastAsia" w:ascii="宋体" w:hAnsi="宋体" w:eastAsia="宋体" w:cs="宋体"/>
                <w:color w:val="auto"/>
                <w:szCs w:val="24"/>
              </w:rPr>
              <w:t>(总分100分)</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商务标评分：50分</w:t>
            </w:r>
          </w:p>
          <w:p>
            <w:pPr>
              <w:rPr>
                <w:rFonts w:hint="eastAsia" w:ascii="宋体" w:hAnsi="宋体" w:eastAsia="宋体" w:cs="宋体"/>
                <w:color w:val="auto"/>
                <w:szCs w:val="24"/>
              </w:rPr>
            </w:pPr>
            <w:r>
              <w:rPr>
                <w:rFonts w:hint="eastAsia" w:ascii="宋体" w:hAnsi="宋体" w:eastAsia="宋体" w:cs="宋体"/>
                <w:color w:val="auto"/>
                <w:szCs w:val="24"/>
              </w:rPr>
              <w:t>技术标评分：20分</w:t>
            </w:r>
          </w:p>
          <w:p>
            <w:pPr>
              <w:rPr>
                <w:rFonts w:hint="eastAsia" w:ascii="宋体" w:hAnsi="宋体" w:eastAsia="宋体" w:cs="宋体"/>
                <w:color w:val="auto"/>
                <w:szCs w:val="24"/>
              </w:rPr>
            </w:pPr>
            <w:r>
              <w:rPr>
                <w:rFonts w:hint="eastAsia" w:ascii="宋体" w:hAnsi="宋体" w:eastAsia="宋体" w:cs="宋体"/>
                <w:color w:val="auto"/>
                <w:szCs w:val="24"/>
              </w:rPr>
              <w:t>经济标评分：30分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24" w:type="dxa"/>
            <w:gridSpan w:val="2"/>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条款号</w:t>
            </w:r>
          </w:p>
        </w:tc>
        <w:tc>
          <w:tcPr>
            <w:tcW w:w="2001"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评分因素</w:t>
            </w:r>
          </w:p>
        </w:tc>
        <w:tc>
          <w:tcPr>
            <w:tcW w:w="6646" w:type="dxa"/>
            <w:vAlign w:val="center"/>
          </w:tcPr>
          <w:p>
            <w:pPr>
              <w:jc w:val="center"/>
              <w:rPr>
                <w:rFonts w:hint="eastAsia" w:ascii="宋体" w:hAnsi="宋体" w:eastAsia="宋体" w:cs="宋体"/>
                <w:b/>
                <w:bCs/>
                <w:color w:val="auto"/>
                <w:szCs w:val="24"/>
              </w:rPr>
            </w:pPr>
            <w:r>
              <w:rPr>
                <w:rFonts w:hint="eastAsia" w:ascii="宋体" w:hAnsi="宋体" w:eastAsia="宋体" w:cs="宋体"/>
                <w:b/>
                <w:bCs/>
                <w:color w:val="auto"/>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024" w:type="dxa"/>
            <w:gridSpan w:val="2"/>
            <w:vAlign w:val="center"/>
          </w:tcPr>
          <w:p>
            <w:pPr>
              <w:jc w:val="center"/>
              <w:rPr>
                <w:rFonts w:hint="eastAsia" w:ascii="宋体" w:hAnsi="宋体" w:eastAsia="宋体" w:cs="宋体"/>
                <w:color w:val="auto"/>
                <w:szCs w:val="24"/>
              </w:rPr>
            </w:pPr>
            <w:r>
              <w:rPr>
                <w:rFonts w:hint="eastAsia" w:ascii="宋体" w:hAnsi="宋体" w:eastAsia="宋体" w:cs="宋体"/>
                <w:color w:val="auto"/>
                <w:szCs w:val="24"/>
                <w:lang w:val="en-US" w:eastAsia="zh-CN"/>
              </w:rPr>
              <w:t>2.1.5</w:t>
            </w:r>
          </w:p>
        </w:tc>
        <w:tc>
          <w:tcPr>
            <w:tcW w:w="2001" w:type="dxa"/>
            <w:vAlign w:val="center"/>
          </w:tcPr>
          <w:p>
            <w:pPr>
              <w:jc w:val="center"/>
              <w:rPr>
                <w:rFonts w:hint="eastAsia" w:ascii="宋体" w:hAnsi="宋体" w:eastAsia="宋体" w:cs="宋体"/>
                <w:color w:val="auto"/>
                <w:szCs w:val="24"/>
              </w:rPr>
            </w:pPr>
            <w:r>
              <w:rPr>
                <w:rFonts w:hint="eastAsia" w:ascii="宋体" w:hAnsi="宋体" w:eastAsia="宋体" w:cs="宋体"/>
                <w:color w:val="auto"/>
              </w:rPr>
              <w:t>评标基准价计算方法</w:t>
            </w:r>
          </w:p>
        </w:tc>
        <w:tc>
          <w:tcPr>
            <w:tcW w:w="6646" w:type="dxa"/>
            <w:vAlign w:val="center"/>
          </w:tcPr>
          <w:p>
            <w:pPr>
              <w:rPr>
                <w:rFonts w:hint="eastAsia" w:ascii="宋体" w:hAnsi="宋体" w:eastAsia="宋体" w:cs="宋体"/>
                <w:color w:val="auto"/>
                <w:szCs w:val="24"/>
              </w:rPr>
            </w:pPr>
            <w:r>
              <w:rPr>
                <w:rFonts w:hint="eastAsia" w:ascii="宋体" w:hAnsi="宋体" w:eastAsia="宋体" w:cs="宋体"/>
                <w:color w:val="auto"/>
                <w:szCs w:val="24"/>
              </w:rPr>
              <w:t>所有有效投标报价下浮率平均值为本工程的评标基准下浮率。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24" w:type="dxa"/>
            <w:gridSpan w:val="2"/>
            <w:vAlign w:val="center"/>
          </w:tcPr>
          <w:p>
            <w:pPr>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2.2.1</w:t>
            </w:r>
          </w:p>
        </w:tc>
        <w:tc>
          <w:tcPr>
            <w:tcW w:w="2001" w:type="dxa"/>
            <w:vAlign w:val="center"/>
          </w:tcPr>
          <w:p>
            <w:pPr>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技术部分</w:t>
            </w:r>
          </w:p>
        </w:tc>
        <w:tc>
          <w:tcPr>
            <w:tcW w:w="6646" w:type="dxa"/>
            <w:vAlign w:val="center"/>
          </w:tcPr>
          <w:p>
            <w:pPr>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详见《技术标评分表》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24" w:type="dxa"/>
            <w:gridSpan w:val="2"/>
            <w:vAlign w:val="center"/>
          </w:tcPr>
          <w:p>
            <w:pPr>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2.2.2</w:t>
            </w:r>
          </w:p>
        </w:tc>
        <w:tc>
          <w:tcPr>
            <w:tcW w:w="2001" w:type="dxa"/>
            <w:vAlign w:val="center"/>
          </w:tcPr>
          <w:p>
            <w:pPr>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商务部分</w:t>
            </w:r>
          </w:p>
        </w:tc>
        <w:tc>
          <w:tcPr>
            <w:tcW w:w="6646" w:type="dxa"/>
            <w:vAlign w:val="center"/>
          </w:tcPr>
          <w:p>
            <w:pPr>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详见《商务标综合评分表》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24" w:type="dxa"/>
            <w:gridSpan w:val="2"/>
            <w:vAlign w:val="center"/>
          </w:tcPr>
          <w:p>
            <w:pPr>
              <w:jc w:val="center"/>
              <w:rPr>
                <w:rFonts w:hint="eastAsia" w:ascii="宋体" w:hAnsi="宋体" w:eastAsia="宋体" w:cs="宋体"/>
                <w:color w:val="auto"/>
                <w:szCs w:val="24"/>
                <w:lang w:val="en-US" w:eastAsia="zh-CN"/>
              </w:rPr>
            </w:pPr>
          </w:p>
        </w:tc>
        <w:tc>
          <w:tcPr>
            <w:tcW w:w="2001" w:type="dxa"/>
            <w:vAlign w:val="center"/>
          </w:tcPr>
          <w:p>
            <w:pPr>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投标报价</w:t>
            </w:r>
          </w:p>
        </w:tc>
        <w:tc>
          <w:tcPr>
            <w:tcW w:w="6646" w:type="dxa"/>
            <w:vAlign w:val="center"/>
          </w:tcPr>
          <w:p>
            <w:pPr>
              <w:jc w:val="center"/>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详见《投标报价评分表》</w:t>
            </w:r>
          </w:p>
        </w:tc>
      </w:tr>
    </w:tbl>
    <w:p>
      <w:pPr>
        <w:jc w:val="center"/>
        <w:rPr>
          <w:rFonts w:hint="eastAsia" w:ascii="宋体" w:hAnsi="宋体" w:eastAsia="宋体" w:cs="宋体"/>
          <w:b/>
          <w:bCs/>
          <w:color w:val="auto"/>
          <w:sz w:val="32"/>
          <w:szCs w:val="24"/>
        </w:rPr>
      </w:pPr>
      <w:r>
        <w:rPr>
          <w:rFonts w:hint="eastAsia" w:ascii="宋体" w:hAnsi="宋体" w:eastAsia="宋体" w:cs="宋体"/>
          <w:b/>
          <w:bCs/>
          <w:color w:val="auto"/>
          <w:sz w:val="32"/>
          <w:szCs w:val="24"/>
        </w:rPr>
        <w:t>（一）商务标综合评分表（50分）</w:t>
      </w:r>
    </w:p>
    <w:tbl>
      <w:tblPr>
        <w:tblStyle w:val="49"/>
        <w:tblW w:w="10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183"/>
        <w:gridCol w:w="712"/>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分项内容</w:t>
            </w:r>
          </w:p>
        </w:tc>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708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1740"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（满分4分）</w:t>
            </w:r>
          </w:p>
        </w:tc>
        <w:tc>
          <w:tcPr>
            <w:tcW w:w="11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独立体或联合体主办方</w:t>
            </w:r>
          </w:p>
        </w:tc>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2分</w:t>
            </w:r>
          </w:p>
        </w:tc>
        <w:tc>
          <w:tcPr>
            <w:tcW w:w="708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自2019年1月1日起至投标截止时间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投标人完成过</w:t>
            </w:r>
            <w:r>
              <w:rPr>
                <w:rFonts w:hint="eastAsia" w:ascii="宋体" w:hAnsi="宋体" w:eastAsia="宋体" w:cs="宋体"/>
                <w:color w:val="auto"/>
                <w:sz w:val="24"/>
                <w:szCs w:val="24"/>
                <w:lang w:val="en-US" w:eastAsia="zh-CN"/>
              </w:rPr>
              <w:t>房屋</w:t>
            </w:r>
            <w:r>
              <w:rPr>
                <w:rFonts w:hint="eastAsia" w:ascii="宋体" w:hAnsi="宋体" w:eastAsia="宋体" w:cs="宋体"/>
                <w:color w:val="auto"/>
                <w:sz w:val="24"/>
                <w:szCs w:val="24"/>
              </w:rPr>
              <w:t>建筑工程施工项目</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或EPC当中负责施工项目的业绩</w:t>
            </w: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工程造价金额为</w:t>
            </w:r>
            <w:r>
              <w:rPr>
                <w:rFonts w:hint="eastAsia" w:ascii="宋体" w:hAnsi="宋体" w:eastAsia="宋体" w:cs="宋体"/>
                <w:color w:val="auto"/>
                <w:sz w:val="24"/>
                <w:szCs w:val="24"/>
              </w:rPr>
              <w:t>6000万元以上的，</w:t>
            </w:r>
            <w:r>
              <w:rPr>
                <w:rFonts w:hint="eastAsia" w:ascii="宋体" w:hAnsi="宋体" w:eastAsia="宋体" w:cs="宋体"/>
                <w:color w:val="auto"/>
                <w:sz w:val="24"/>
                <w:szCs w:val="24"/>
                <w:lang w:val="en-US" w:eastAsia="zh-CN"/>
              </w:rPr>
              <w:t>具备一</w:t>
            </w:r>
            <w:r>
              <w:rPr>
                <w:rFonts w:hint="eastAsia" w:ascii="宋体" w:hAnsi="宋体" w:eastAsia="宋体" w:cs="宋体"/>
                <w:color w:val="auto"/>
                <w:sz w:val="24"/>
                <w:szCs w:val="24"/>
              </w:rPr>
              <w:t>项得1分，</w:t>
            </w:r>
            <w:r>
              <w:rPr>
                <w:rFonts w:hint="eastAsia" w:ascii="宋体" w:hAnsi="宋体" w:cs="宋体"/>
                <w:color w:val="auto"/>
                <w:sz w:val="24"/>
                <w:szCs w:val="24"/>
                <w:lang w:val="en-US" w:eastAsia="zh-CN"/>
              </w:rPr>
              <w:t>本项满分为</w:t>
            </w:r>
            <w:r>
              <w:rPr>
                <w:rFonts w:hint="eastAsia" w:ascii="宋体" w:hAnsi="宋体" w:eastAsia="宋体" w:cs="宋体"/>
                <w:color w:val="auto"/>
                <w:sz w:val="24"/>
                <w:szCs w:val="24"/>
              </w:rPr>
              <w:t>2分。</w:t>
            </w:r>
          </w:p>
          <w:p>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注：须提供合同协议书</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竣工验收</w:t>
            </w:r>
            <w:r>
              <w:rPr>
                <w:rFonts w:hint="eastAsia" w:ascii="宋体" w:hAnsi="宋体" w:eastAsia="宋体" w:cs="宋体"/>
                <w:color w:val="auto"/>
                <w:sz w:val="24"/>
                <w:szCs w:val="24"/>
                <w:lang w:val="en-US" w:eastAsia="zh-CN"/>
              </w:rPr>
              <w:t>报告或竣工验收</w:t>
            </w:r>
            <w:r>
              <w:rPr>
                <w:rFonts w:hint="eastAsia" w:ascii="宋体" w:hAnsi="宋体" w:eastAsia="宋体" w:cs="宋体"/>
                <w:color w:val="auto"/>
                <w:sz w:val="24"/>
                <w:szCs w:val="24"/>
              </w:rPr>
              <w:t>备案表复印件加盖公章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证明材料需显示有工程造价及签订合同时间或竣工验收备案表备案时间或竣工验收报告时间为准</w:t>
            </w:r>
            <w:r>
              <w:rPr>
                <w:rFonts w:hint="eastAsia" w:ascii="宋体" w:hAnsi="宋体" w:eastAsia="宋体" w:cs="宋体"/>
                <w:color w:val="auto"/>
                <w:sz w:val="24"/>
                <w:szCs w:val="24"/>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174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独立体或联合体成员方</w:t>
            </w:r>
          </w:p>
          <w:p>
            <w:pPr>
              <w:spacing w:line="400" w:lineRule="exact"/>
              <w:jc w:val="center"/>
              <w:rPr>
                <w:rFonts w:hint="eastAsia" w:ascii="宋体" w:hAnsi="宋体" w:eastAsia="宋体" w:cs="宋体"/>
                <w:color w:val="auto"/>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2分</w:t>
            </w:r>
          </w:p>
        </w:tc>
        <w:tc>
          <w:tcPr>
            <w:tcW w:w="7087" w:type="dxa"/>
            <w:tcBorders>
              <w:top w:val="single" w:color="auto" w:sz="4" w:space="0"/>
              <w:left w:val="single" w:color="auto" w:sz="4" w:space="0"/>
              <w:bottom w:val="single" w:color="auto" w:sz="4" w:space="0"/>
              <w:right w:val="single" w:color="auto" w:sz="4" w:space="0"/>
            </w:tcBorders>
          </w:tcPr>
          <w:p>
            <w:pPr>
              <w:pStyle w:val="394"/>
              <w:spacing w:line="400" w:lineRule="exact"/>
              <w:ind w:firstLine="0" w:firstLineChars="0"/>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t>自2019年1月1日起至投标截止时间，投标人完成过房屋建筑类设计项目</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或EPC当中负责设计项目的业绩</w:t>
            </w:r>
            <w:r>
              <w:rPr>
                <w:rFonts w:hint="eastAsia" w:ascii="宋体" w:hAnsi="宋体" w:eastAsia="宋体" w:cs="宋体"/>
                <w:color w:val="auto"/>
                <w:sz w:val="24"/>
                <w:szCs w:val="24"/>
                <w:lang w:val="zh-CN" w:eastAsia="zh-CN"/>
              </w:rPr>
              <w:t>）</w:t>
            </w:r>
            <w:r>
              <w:rPr>
                <w:rFonts w:hint="eastAsia" w:ascii="宋体" w:hAnsi="宋体" w:eastAsia="宋体" w:cs="宋体"/>
                <w:color w:val="auto"/>
                <w:kern w:val="2"/>
                <w:sz w:val="24"/>
                <w:szCs w:val="24"/>
                <w:lang w:val="zh-CN" w:eastAsia="zh-CN" w:bidi="ar-SA"/>
              </w:rPr>
              <w:t>工程造价</w:t>
            </w:r>
            <w:r>
              <w:rPr>
                <w:rFonts w:hint="eastAsia" w:ascii="宋体" w:hAnsi="宋体" w:eastAsia="宋体" w:cs="宋体"/>
                <w:color w:val="auto"/>
                <w:kern w:val="2"/>
                <w:sz w:val="24"/>
                <w:szCs w:val="24"/>
                <w:lang w:val="en-US" w:eastAsia="zh-CN" w:bidi="ar-SA"/>
              </w:rPr>
              <w:t>金额为</w:t>
            </w:r>
            <w:r>
              <w:rPr>
                <w:rFonts w:hint="eastAsia" w:ascii="宋体" w:hAnsi="宋体" w:eastAsia="宋体" w:cs="宋体"/>
                <w:color w:val="auto"/>
                <w:kern w:val="2"/>
                <w:sz w:val="24"/>
                <w:szCs w:val="24"/>
                <w:lang w:val="zh-CN" w:eastAsia="zh-CN" w:bidi="ar-SA"/>
              </w:rPr>
              <w:t>6000万元以上的，具备一项得1分，本项满分为2分。</w:t>
            </w:r>
          </w:p>
          <w:p>
            <w:p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注：须提供中标通知书</w:t>
            </w:r>
            <w:r>
              <w:rPr>
                <w:rFonts w:hint="eastAsia" w:ascii="宋体" w:hAnsi="宋体" w:eastAsia="宋体" w:cs="宋体"/>
                <w:color w:val="auto"/>
                <w:sz w:val="24"/>
                <w:szCs w:val="24"/>
                <w:lang w:val="en-US" w:eastAsia="zh-CN"/>
              </w:rPr>
              <w:t>或图纸审查合格证</w:t>
            </w:r>
            <w:r>
              <w:rPr>
                <w:rFonts w:hint="eastAsia" w:ascii="宋体" w:hAnsi="宋体" w:eastAsia="宋体" w:cs="宋体"/>
                <w:color w:val="auto"/>
                <w:sz w:val="24"/>
                <w:szCs w:val="24"/>
                <w:lang w:val="zh-CN"/>
              </w:rPr>
              <w:t>或合同</w:t>
            </w:r>
            <w:r>
              <w:rPr>
                <w:rFonts w:hint="eastAsia" w:ascii="宋体" w:hAnsi="宋体" w:eastAsia="宋体" w:cs="宋体"/>
                <w:color w:val="auto"/>
                <w:sz w:val="24"/>
                <w:szCs w:val="24"/>
              </w:rPr>
              <w:t>关键页</w:t>
            </w:r>
            <w:r>
              <w:rPr>
                <w:rFonts w:hint="eastAsia" w:ascii="宋体" w:hAnsi="宋体" w:eastAsia="宋体" w:cs="宋体"/>
                <w:color w:val="auto"/>
                <w:sz w:val="24"/>
                <w:szCs w:val="24"/>
                <w:lang w:val="zh-CN"/>
              </w:rPr>
              <w:t>作证明材料，</w:t>
            </w:r>
            <w:r>
              <w:rPr>
                <w:rFonts w:hint="eastAsia" w:ascii="宋体" w:hAnsi="宋体" w:eastAsia="宋体" w:cs="宋体"/>
                <w:color w:val="auto"/>
                <w:sz w:val="24"/>
                <w:szCs w:val="24"/>
                <w:lang w:val="en-US" w:eastAsia="zh-CN"/>
              </w:rPr>
              <w:t>时间以合同为准，材料需显示有工程造价及项目类别，</w:t>
            </w:r>
            <w:r>
              <w:rPr>
                <w:rFonts w:hint="eastAsia" w:ascii="宋体" w:hAnsi="宋体" w:eastAsia="宋体" w:cs="宋体"/>
                <w:color w:val="auto"/>
                <w:sz w:val="24"/>
                <w:szCs w:val="24"/>
                <w:lang w:val="zh-CN"/>
              </w:rPr>
              <w:t>资料不全者不得分。相关证明材料复印件加盖公章，否则不得分。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1740"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企业工程奖项</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w:t>
            </w:r>
            <w:r>
              <w:rPr>
                <w:rFonts w:hint="eastAsia" w:ascii="宋体" w:hAnsi="宋体" w:eastAsia="宋体" w:cs="宋体"/>
                <w:color w:val="auto"/>
                <w:sz w:val="24"/>
                <w:szCs w:val="24"/>
              </w:rPr>
              <w:t>满分</w:t>
            </w:r>
            <w:r>
              <w:rPr>
                <w:rFonts w:hint="eastAsia" w:ascii="宋体" w:hAnsi="宋体" w:eastAsia="宋体" w:cs="宋体"/>
                <w:color w:val="auto"/>
                <w:spacing w:val="6"/>
                <w:sz w:val="24"/>
                <w:szCs w:val="24"/>
              </w:rPr>
              <w:t>6分）</w:t>
            </w:r>
          </w:p>
        </w:tc>
        <w:tc>
          <w:tcPr>
            <w:tcW w:w="11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独立体或联合体主办方</w:t>
            </w:r>
          </w:p>
        </w:tc>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3分</w:t>
            </w:r>
          </w:p>
        </w:tc>
        <w:tc>
          <w:tcPr>
            <w:tcW w:w="708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自2019年1月1日起至投标截止时间，承接过的</w:t>
            </w:r>
            <w:r>
              <w:rPr>
                <w:rFonts w:hint="eastAsia" w:ascii="宋体" w:hAnsi="宋体" w:eastAsia="宋体" w:cs="宋体"/>
                <w:color w:val="auto"/>
                <w:sz w:val="24"/>
                <w:szCs w:val="24"/>
                <w:lang w:val="en-US" w:eastAsia="zh-CN"/>
              </w:rPr>
              <w:t>房屋</w:t>
            </w:r>
            <w:r>
              <w:rPr>
                <w:rFonts w:hint="eastAsia" w:ascii="宋体" w:hAnsi="宋体" w:eastAsia="宋体" w:cs="宋体"/>
                <w:color w:val="auto"/>
                <w:sz w:val="24"/>
                <w:szCs w:val="24"/>
              </w:rPr>
              <w:t>建筑工程施工项目获得省级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或以上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奖项的，每</w:t>
            </w:r>
            <w:r>
              <w:rPr>
                <w:rFonts w:hint="eastAsia" w:ascii="宋体" w:hAnsi="宋体" w:eastAsia="宋体" w:cs="宋体"/>
                <w:color w:val="auto"/>
                <w:sz w:val="24"/>
                <w:szCs w:val="24"/>
                <w:lang w:val="en-US" w:eastAsia="zh-CN"/>
              </w:rPr>
              <w:t>小</w:t>
            </w:r>
            <w:r>
              <w:rPr>
                <w:rFonts w:hint="eastAsia" w:ascii="宋体" w:hAnsi="宋体" w:eastAsia="宋体" w:cs="宋体"/>
                <w:color w:val="auto"/>
                <w:sz w:val="24"/>
                <w:szCs w:val="24"/>
              </w:rPr>
              <w:t>项得1分，</w:t>
            </w:r>
            <w:r>
              <w:rPr>
                <w:rFonts w:hint="eastAsia" w:ascii="宋体" w:hAnsi="宋体" w:eastAsia="宋体" w:cs="宋体"/>
                <w:color w:val="auto"/>
                <w:kern w:val="2"/>
                <w:sz w:val="24"/>
                <w:szCs w:val="24"/>
                <w:lang w:val="zh-CN" w:eastAsia="zh-CN" w:bidi="ar-SA"/>
              </w:rPr>
              <w:t>本项满分为</w:t>
            </w:r>
            <w:r>
              <w:rPr>
                <w:rFonts w:hint="eastAsia" w:ascii="宋体" w:hAnsi="宋体" w:eastAsia="宋体" w:cs="宋体"/>
                <w:color w:val="auto"/>
                <w:sz w:val="24"/>
                <w:szCs w:val="24"/>
              </w:rPr>
              <w:t>3分；获得市奖的，</w:t>
            </w:r>
            <w:r>
              <w:rPr>
                <w:rFonts w:hint="eastAsia" w:ascii="宋体" w:hAnsi="宋体" w:eastAsia="宋体" w:cs="宋体"/>
                <w:color w:val="auto"/>
                <w:sz w:val="24"/>
                <w:szCs w:val="24"/>
                <w:lang w:val="en-US" w:eastAsia="zh-CN"/>
              </w:rPr>
              <w:t>具备一</w:t>
            </w:r>
            <w:r>
              <w:rPr>
                <w:rFonts w:hint="eastAsia" w:ascii="宋体" w:hAnsi="宋体" w:eastAsia="宋体" w:cs="宋体"/>
                <w:color w:val="auto"/>
                <w:sz w:val="24"/>
                <w:szCs w:val="24"/>
              </w:rPr>
              <w:t>项得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kern w:val="2"/>
                <w:sz w:val="24"/>
                <w:szCs w:val="24"/>
                <w:lang w:val="zh-CN" w:eastAsia="zh-CN" w:bidi="ar-SA"/>
              </w:rPr>
              <w:t>本项满分为2分</w:t>
            </w:r>
            <w:r>
              <w:rPr>
                <w:rFonts w:hint="eastAsia" w:ascii="宋体" w:hAnsi="宋体" w:eastAsia="宋体" w:cs="宋体"/>
                <w:color w:val="auto"/>
                <w:sz w:val="24"/>
                <w:szCs w:val="24"/>
              </w:rPr>
              <w:t>。</w:t>
            </w:r>
          </w:p>
          <w:p>
            <w:pPr>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注：获奖内容详见附表，最多提供三项。若同一项目获多个奖项的，仅按最高奖项计分一次为准，取得奖项时间以获奖证书记载的颁发时间时间为准。提交获奖证书复印件加盖公章，否则不得分。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740" w:type="dxa"/>
            <w:vMerge w:val="continue"/>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独立体或联合体成员方</w:t>
            </w:r>
          </w:p>
        </w:tc>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3分</w:t>
            </w:r>
          </w:p>
        </w:tc>
        <w:tc>
          <w:tcPr>
            <w:tcW w:w="7087" w:type="dxa"/>
            <w:tcBorders>
              <w:top w:val="single" w:color="auto" w:sz="4" w:space="0"/>
              <w:left w:val="single" w:color="auto" w:sz="4" w:space="0"/>
              <w:bottom w:val="single" w:color="auto" w:sz="4" w:space="0"/>
              <w:right w:val="single" w:color="auto" w:sz="4" w:space="0"/>
            </w:tcBorders>
          </w:tcPr>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自2019年1月1日起至投标截止时间，投标人承接的设计工程项目获得省级（或以上）相关勘察设计协会或</w:t>
            </w:r>
            <w:r>
              <w:rPr>
                <w:rFonts w:hint="eastAsia" w:ascii="宋体" w:hAnsi="宋体" w:eastAsia="宋体" w:cs="宋体"/>
                <w:color w:val="auto"/>
                <w:sz w:val="24"/>
                <w:szCs w:val="24"/>
                <w:lang w:val="en-US" w:eastAsia="zh-CN"/>
              </w:rPr>
              <w:t>住房和城乡建设厅</w:t>
            </w:r>
            <w:r>
              <w:rPr>
                <w:rFonts w:hint="eastAsia" w:ascii="宋体" w:hAnsi="宋体" w:eastAsia="宋体" w:cs="宋体"/>
                <w:color w:val="auto"/>
                <w:sz w:val="24"/>
                <w:szCs w:val="24"/>
              </w:rPr>
              <w:t>颁发奖项的，</w:t>
            </w:r>
            <w:r>
              <w:rPr>
                <w:rFonts w:hint="eastAsia" w:ascii="宋体" w:hAnsi="宋体" w:eastAsia="宋体" w:cs="宋体"/>
                <w:color w:val="auto"/>
                <w:sz w:val="24"/>
                <w:szCs w:val="24"/>
                <w:lang w:val="en-US" w:eastAsia="zh-CN"/>
              </w:rPr>
              <w:t>具备一</w:t>
            </w:r>
            <w:r>
              <w:rPr>
                <w:rFonts w:hint="eastAsia" w:ascii="宋体" w:hAnsi="宋体" w:eastAsia="宋体" w:cs="宋体"/>
                <w:color w:val="auto"/>
                <w:sz w:val="24"/>
                <w:szCs w:val="24"/>
              </w:rPr>
              <w:t>项得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kern w:val="2"/>
                <w:sz w:val="24"/>
                <w:szCs w:val="24"/>
                <w:lang w:val="zh-CN" w:eastAsia="zh-CN" w:bidi="ar-SA"/>
              </w:rPr>
              <w:t>本项满分为</w:t>
            </w:r>
            <w:r>
              <w:rPr>
                <w:rFonts w:hint="eastAsia" w:ascii="宋体" w:hAnsi="宋体" w:eastAsia="宋体" w:cs="宋体"/>
                <w:color w:val="auto"/>
                <w:sz w:val="24"/>
                <w:szCs w:val="24"/>
              </w:rPr>
              <w:t>3分；</w:t>
            </w:r>
          </w:p>
          <w:p>
            <w:pPr>
              <w:widowControl/>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自2019年1月1日起至投标截止时间获得市级相关勘察设计协会或或</w:t>
            </w:r>
            <w:r>
              <w:rPr>
                <w:rFonts w:hint="eastAsia" w:ascii="宋体" w:hAnsi="宋体" w:eastAsia="宋体" w:cs="宋体"/>
                <w:color w:val="auto"/>
                <w:sz w:val="24"/>
                <w:szCs w:val="24"/>
                <w:lang w:val="en-US" w:eastAsia="zh-CN"/>
              </w:rPr>
              <w:t>住房和城乡建设厅</w:t>
            </w:r>
            <w:r>
              <w:rPr>
                <w:rFonts w:hint="eastAsia" w:ascii="宋体" w:hAnsi="宋体" w:eastAsia="宋体" w:cs="宋体"/>
                <w:color w:val="auto"/>
                <w:sz w:val="24"/>
                <w:szCs w:val="24"/>
              </w:rPr>
              <w:t>颁发奖项的，</w:t>
            </w:r>
            <w:r>
              <w:rPr>
                <w:rFonts w:hint="eastAsia" w:ascii="宋体" w:hAnsi="宋体" w:eastAsia="宋体" w:cs="宋体"/>
                <w:color w:val="auto"/>
                <w:sz w:val="24"/>
                <w:szCs w:val="24"/>
                <w:lang w:val="en-US" w:eastAsia="zh-CN"/>
              </w:rPr>
              <w:t>具备一</w:t>
            </w:r>
            <w:r>
              <w:rPr>
                <w:rFonts w:hint="eastAsia" w:ascii="宋体" w:hAnsi="宋体" w:eastAsia="宋体" w:cs="宋体"/>
                <w:color w:val="auto"/>
                <w:sz w:val="24"/>
                <w:szCs w:val="24"/>
              </w:rPr>
              <w:t>项得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kern w:val="2"/>
                <w:sz w:val="24"/>
                <w:szCs w:val="24"/>
                <w:lang w:val="zh-CN" w:eastAsia="zh-CN" w:bidi="ar-SA"/>
              </w:rPr>
              <w:t>本项满分为2分</w:t>
            </w:r>
            <w:r>
              <w:rPr>
                <w:rFonts w:hint="eastAsia" w:ascii="宋体" w:hAnsi="宋体" w:eastAsia="宋体" w:cs="宋体"/>
                <w:color w:val="auto"/>
                <w:sz w:val="24"/>
                <w:szCs w:val="24"/>
              </w:rPr>
              <w:t>。</w:t>
            </w:r>
          </w:p>
          <w:p>
            <w:pPr>
              <w:widowControl/>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注:须提供证书的复印件或扫描件并加盖投标人公章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时间以证书时间为准</w:t>
            </w:r>
            <w:r>
              <w:rPr>
                <w:rFonts w:hint="eastAsia" w:ascii="宋体" w:hAnsi="宋体" w:eastAsia="宋体" w:cs="宋体"/>
                <w:color w:val="auto"/>
                <w:sz w:val="24"/>
                <w:szCs w:val="24"/>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740" w:type="dxa"/>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(满分4分)</w:t>
            </w:r>
          </w:p>
        </w:tc>
        <w:tc>
          <w:tcPr>
            <w:tcW w:w="1183" w:type="dxa"/>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独立体或联合体成员方</w:t>
            </w:r>
          </w:p>
        </w:tc>
        <w:tc>
          <w:tcPr>
            <w:tcW w:w="712" w:type="dxa"/>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4分</w:t>
            </w:r>
          </w:p>
        </w:tc>
        <w:tc>
          <w:tcPr>
            <w:tcW w:w="7087" w:type="dxa"/>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拟派的设计项目负责人：</w:t>
            </w:r>
            <w:r>
              <w:rPr>
                <w:rFonts w:hint="eastAsia" w:ascii="宋体" w:hAnsi="宋体" w:eastAsia="宋体" w:cs="宋体"/>
                <w:color w:val="auto"/>
                <w:sz w:val="24"/>
                <w:szCs w:val="24"/>
                <w:lang w:val="en-US" w:eastAsia="zh-CN"/>
              </w:rPr>
              <w:t>具备高级工程师（专业为建筑设计）</w:t>
            </w:r>
            <w:r>
              <w:rPr>
                <w:rFonts w:hint="eastAsia" w:ascii="宋体" w:hAnsi="宋体" w:eastAsia="宋体" w:cs="宋体"/>
                <w:color w:val="auto"/>
                <w:sz w:val="24"/>
                <w:szCs w:val="24"/>
              </w:rPr>
              <w:t>职称（或以上）</w:t>
            </w:r>
            <w:r>
              <w:rPr>
                <w:rFonts w:hint="eastAsia" w:ascii="宋体" w:hAnsi="宋体" w:cs="宋体"/>
                <w:color w:val="auto"/>
                <w:sz w:val="24"/>
                <w:szCs w:val="24"/>
                <w:lang w:eastAsia="zh-CN"/>
              </w:rPr>
              <w:t>得</w:t>
            </w:r>
            <w:r>
              <w:rPr>
                <w:rFonts w:hint="eastAsia" w:ascii="宋体" w:hAnsi="宋体" w:cs="宋体"/>
                <w:color w:val="auto"/>
                <w:sz w:val="24"/>
                <w:szCs w:val="24"/>
                <w:lang w:val="en-US" w:eastAsia="zh-CN"/>
              </w:rPr>
              <w:t>2分</w:t>
            </w:r>
            <w:r>
              <w:rPr>
                <w:rFonts w:hint="eastAsia" w:ascii="宋体" w:hAnsi="宋体" w:cs="宋体"/>
                <w:color w:val="auto"/>
                <w:sz w:val="24"/>
                <w:szCs w:val="24"/>
                <w:lang w:eastAsia="zh-CN"/>
              </w:rPr>
              <w:t>；具备</w:t>
            </w:r>
            <w:r>
              <w:rPr>
                <w:rFonts w:hint="eastAsia" w:ascii="宋体" w:hAnsi="宋体" w:eastAsia="宋体" w:cs="宋体"/>
                <w:color w:val="auto"/>
                <w:sz w:val="24"/>
                <w:szCs w:val="24"/>
                <w:lang w:eastAsia="zh-CN"/>
              </w:rPr>
              <w:t>一级注册建筑师</w:t>
            </w:r>
            <w:r>
              <w:rPr>
                <w:rFonts w:hint="eastAsia" w:ascii="宋体" w:hAnsi="宋体" w:eastAsia="宋体" w:cs="宋体"/>
                <w:color w:val="auto"/>
                <w:sz w:val="24"/>
                <w:szCs w:val="24"/>
                <w:lang w:val="en-US" w:eastAsia="zh-CN"/>
              </w:rPr>
              <w:t>得2分</w:t>
            </w:r>
            <w:r>
              <w:rPr>
                <w:rFonts w:hint="eastAsia" w:ascii="宋体" w:hAnsi="宋体" w:eastAsia="宋体" w:cs="宋体"/>
                <w:color w:val="auto"/>
                <w:sz w:val="24"/>
                <w:szCs w:val="24"/>
              </w:rPr>
              <w:t>。</w:t>
            </w:r>
          </w:p>
          <w:p>
            <w:pPr>
              <w:autoSpaceDE w:val="0"/>
              <w:autoSpaceDN w:val="0"/>
              <w:adjustRightIn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TW"/>
              </w:rPr>
              <w:t>注</w:t>
            </w:r>
            <w:r>
              <w:rPr>
                <w:rFonts w:hint="eastAsia" w:ascii="宋体" w:hAnsi="宋体" w:eastAsia="宋体" w:cs="宋体"/>
                <w:color w:val="auto"/>
                <w:sz w:val="24"/>
                <w:szCs w:val="24"/>
              </w:rPr>
              <w:t>:须提相关证书或相关证明材料复印件或扫描件及在投标人或分支机构缴纳的近三个月（2023年1月、2月、3月）任意一个月社保证明文件复印件并加盖公章</w:t>
            </w:r>
            <w:r>
              <w:rPr>
                <w:rFonts w:hint="eastAsia" w:ascii="宋体" w:hAnsi="宋体" w:eastAsia="宋体" w:cs="宋体"/>
                <w:color w:val="auto"/>
                <w:sz w:val="24"/>
                <w:szCs w:val="24"/>
                <w:lang w:val="zh-TW"/>
              </w:rPr>
              <w:t>，</w:t>
            </w:r>
            <w:r>
              <w:rPr>
                <w:rFonts w:hint="eastAsia" w:ascii="宋体" w:hAnsi="宋体" w:eastAsia="宋体" w:cs="宋体"/>
                <w:color w:val="auto"/>
                <w:sz w:val="24"/>
                <w:szCs w:val="24"/>
              </w:rPr>
              <w:t>否则不得分</w:t>
            </w:r>
            <w:r>
              <w:rPr>
                <w:rFonts w:hint="eastAsia" w:ascii="宋体" w:hAnsi="宋体" w:eastAsia="宋体" w:cs="宋体"/>
                <w:color w:val="auto"/>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left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企业人员资质</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分)</w:t>
            </w:r>
          </w:p>
        </w:tc>
        <w:tc>
          <w:tcPr>
            <w:tcW w:w="11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独立体或联合体成员方</w:t>
            </w:r>
          </w:p>
        </w:tc>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分</w:t>
            </w:r>
          </w:p>
        </w:tc>
        <w:tc>
          <w:tcPr>
            <w:tcW w:w="7087" w:type="dxa"/>
            <w:tcBorders>
              <w:top w:val="single" w:color="auto" w:sz="4" w:space="0"/>
              <w:left w:val="single" w:color="auto" w:sz="4" w:space="0"/>
              <w:bottom w:val="single" w:color="auto" w:sz="4" w:space="0"/>
              <w:right w:val="single" w:color="auto" w:sz="4" w:space="0"/>
            </w:tcBorders>
            <w:vAlign w:val="center"/>
          </w:tcPr>
          <w:p>
            <w:pPr>
              <w:numPr>
                <w:ilvl w:val="0"/>
                <w:numId w:val="9"/>
              </w:num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拟派设计技术负责人1名：</w:t>
            </w:r>
          </w:p>
          <w:p>
            <w:pPr>
              <w:numPr>
                <w:ilvl w:val="0"/>
                <w:numId w:val="0"/>
              </w:num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具备</w:t>
            </w:r>
            <w:r>
              <w:rPr>
                <w:rFonts w:hint="eastAsia"/>
                <w:lang w:val="en-US" w:eastAsia="zh-CN"/>
              </w:rPr>
              <w:t>建筑</w:t>
            </w:r>
            <w:r>
              <w:rPr>
                <w:rFonts w:hint="eastAsia" w:ascii="宋体" w:hAnsi="宋体" w:eastAsia="宋体" w:cs="宋体"/>
                <w:color w:val="auto"/>
                <w:sz w:val="24"/>
                <w:szCs w:val="24"/>
              </w:rPr>
              <w:t>高级工程师职称（或以上）职称</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rPr>
              <w:t>2分</w:t>
            </w:r>
            <w:r>
              <w:rPr>
                <w:rFonts w:hint="eastAsia" w:ascii="宋体" w:hAnsi="宋体" w:cs="宋体"/>
                <w:color w:val="auto"/>
                <w:sz w:val="24"/>
                <w:szCs w:val="24"/>
                <w:lang w:eastAsia="zh-CN"/>
              </w:rPr>
              <w:t>；</w:t>
            </w:r>
            <w:r>
              <w:rPr>
                <w:rFonts w:hint="eastAsia" w:ascii="宋体" w:hAnsi="宋体" w:eastAsia="宋体" w:cs="宋体"/>
                <w:color w:val="auto"/>
                <w:sz w:val="24"/>
                <w:szCs w:val="24"/>
              </w:rPr>
              <w:t>具备一级注册结构工程师</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rPr>
              <w:t>2分。</w:t>
            </w:r>
          </w:p>
          <w:p>
            <w:pPr>
              <w:pStyle w:val="394"/>
              <w:numPr>
                <w:ilvl w:val="0"/>
                <w:numId w:val="9"/>
              </w:numPr>
              <w:spacing w:line="40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拟派建筑专业负责人1名：</w:t>
            </w:r>
          </w:p>
          <w:p>
            <w:pPr>
              <w:pStyle w:val="394"/>
              <w:numPr>
                <w:ilvl w:val="0"/>
                <w:numId w:val="0"/>
              </w:numPr>
              <w:spacing w:line="400" w:lineRule="exact"/>
              <w:ind w:leftChars="0"/>
              <w:rPr>
                <w:rFonts w:hint="eastAsia" w:ascii="宋体" w:hAnsi="宋体" w:eastAsia="宋体" w:cs="宋体"/>
                <w:color w:val="auto"/>
                <w:sz w:val="24"/>
                <w:szCs w:val="24"/>
              </w:rPr>
            </w:pPr>
            <w:r>
              <w:rPr>
                <w:rFonts w:hint="eastAsia" w:ascii="宋体" w:hAnsi="宋体" w:eastAsia="宋体" w:cs="宋体"/>
                <w:color w:val="auto"/>
                <w:sz w:val="24"/>
                <w:szCs w:val="24"/>
              </w:rPr>
              <w:t>具备</w:t>
            </w:r>
            <w:r>
              <w:rPr>
                <w:rFonts w:hint="eastAsia" w:ascii="宋体" w:hAnsi="宋体" w:eastAsia="宋体" w:cs="宋体"/>
                <w:color w:val="auto"/>
                <w:sz w:val="24"/>
                <w:szCs w:val="24"/>
                <w:lang w:eastAsia="zh-CN"/>
              </w:rPr>
              <w:t>建筑</w:t>
            </w:r>
            <w:r>
              <w:rPr>
                <w:rFonts w:hint="eastAsia" w:ascii="宋体" w:hAnsi="宋体" w:eastAsia="宋体" w:cs="宋体"/>
                <w:color w:val="auto"/>
                <w:sz w:val="24"/>
                <w:szCs w:val="24"/>
              </w:rPr>
              <w:t>高级工程师（或以上）</w:t>
            </w:r>
            <w:r>
              <w:rPr>
                <w:rFonts w:hint="eastAsia" w:ascii="宋体" w:hAnsi="宋体" w:eastAsia="宋体" w:cs="宋体"/>
                <w:color w:val="auto"/>
                <w:sz w:val="24"/>
                <w:szCs w:val="24"/>
                <w:lang w:val="en-US" w:eastAsia="zh-CN"/>
              </w:rPr>
              <w:t>得1分</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具备一级注册建筑师</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pPr>
              <w:pStyle w:val="394"/>
              <w:numPr>
                <w:ilvl w:val="0"/>
                <w:numId w:val="9"/>
              </w:numPr>
              <w:spacing w:line="40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拟派</w:t>
            </w:r>
            <w:r>
              <w:rPr>
                <w:rFonts w:hint="eastAsia" w:ascii="宋体" w:hAnsi="宋体" w:eastAsia="宋体" w:cs="宋体"/>
                <w:color w:val="auto"/>
                <w:sz w:val="24"/>
                <w:szCs w:val="24"/>
                <w:lang w:val="zh-CN"/>
              </w:rPr>
              <w:t>结构</w:t>
            </w:r>
            <w:r>
              <w:rPr>
                <w:rFonts w:hint="eastAsia" w:ascii="宋体" w:hAnsi="宋体" w:eastAsia="宋体" w:cs="宋体"/>
                <w:color w:val="auto"/>
                <w:sz w:val="24"/>
                <w:szCs w:val="24"/>
              </w:rPr>
              <w:t>专业负责人1名：</w:t>
            </w:r>
          </w:p>
          <w:p>
            <w:pPr>
              <w:pStyle w:val="394"/>
              <w:numPr>
                <w:ilvl w:val="0"/>
                <w:numId w:val="9"/>
              </w:numPr>
              <w:spacing w:line="40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具备</w:t>
            </w:r>
            <w:r>
              <w:rPr>
                <w:rFonts w:hint="eastAsia" w:ascii="宋体" w:hAnsi="宋体" w:eastAsia="宋体" w:cs="宋体"/>
                <w:color w:val="auto"/>
                <w:sz w:val="24"/>
                <w:szCs w:val="24"/>
                <w:lang w:eastAsia="zh-CN"/>
              </w:rPr>
              <w:t>结构</w:t>
            </w:r>
            <w:r>
              <w:rPr>
                <w:rFonts w:hint="eastAsia" w:ascii="宋体" w:hAnsi="宋体" w:eastAsia="宋体" w:cs="宋体"/>
                <w:color w:val="auto"/>
                <w:sz w:val="24"/>
                <w:szCs w:val="24"/>
              </w:rPr>
              <w:t>高级工程师职称（或以上）职称</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具备一级注册结构工程师</w:t>
            </w:r>
            <w:r>
              <w:rPr>
                <w:rFonts w:hint="eastAsia" w:ascii="宋体" w:hAnsi="宋体" w:eastAsia="宋体" w:cs="宋体"/>
                <w:color w:val="auto"/>
                <w:sz w:val="24"/>
                <w:szCs w:val="24"/>
                <w:lang w:val="en-US" w:eastAsia="zh-CN"/>
              </w:rPr>
              <w:t>得1分</w:t>
            </w:r>
            <w:r>
              <w:rPr>
                <w:rFonts w:hint="eastAsia" w:ascii="宋体" w:hAnsi="宋体" w:eastAsia="宋体" w:cs="宋体"/>
                <w:color w:val="auto"/>
                <w:sz w:val="24"/>
                <w:szCs w:val="24"/>
              </w:rPr>
              <w:t>。</w:t>
            </w:r>
          </w:p>
          <w:p>
            <w:pPr>
              <w:pStyle w:val="394"/>
              <w:spacing w:line="400" w:lineRule="exact"/>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拟派电气专业负责人1名：具备</w:t>
            </w:r>
            <w:r>
              <w:rPr>
                <w:rFonts w:hint="eastAsia" w:ascii="宋体" w:hAnsi="宋体" w:eastAsia="宋体" w:cs="宋体"/>
                <w:color w:val="auto"/>
                <w:sz w:val="24"/>
                <w:szCs w:val="24"/>
                <w:lang w:eastAsia="zh-CN"/>
              </w:rPr>
              <w:t>电气</w:t>
            </w:r>
            <w:r>
              <w:rPr>
                <w:rFonts w:hint="eastAsia" w:ascii="宋体" w:hAnsi="宋体" w:eastAsia="宋体" w:cs="宋体"/>
                <w:color w:val="auto"/>
                <w:sz w:val="24"/>
                <w:szCs w:val="24"/>
              </w:rPr>
              <w:t>高级工程师（或以上）职称</w:t>
            </w:r>
            <w:r>
              <w:rPr>
                <w:rFonts w:hint="eastAsia" w:ascii="宋体" w:hAnsi="宋体" w:eastAsia="宋体" w:cs="宋体"/>
                <w:color w:val="auto"/>
                <w:sz w:val="24"/>
                <w:szCs w:val="24"/>
                <w:lang w:val="en-US" w:eastAsia="zh-CN"/>
              </w:rPr>
              <w:t>得1分</w:t>
            </w:r>
            <w:r>
              <w:rPr>
                <w:rFonts w:hint="eastAsia" w:ascii="宋体" w:hAnsi="宋体" w:cs="宋体"/>
                <w:color w:val="auto"/>
                <w:sz w:val="24"/>
                <w:szCs w:val="24"/>
                <w:lang w:eastAsia="zh-CN"/>
              </w:rPr>
              <w:t>；</w:t>
            </w:r>
            <w:r>
              <w:rPr>
                <w:rFonts w:hint="eastAsia" w:ascii="宋体" w:hAnsi="宋体" w:eastAsia="宋体" w:cs="宋体"/>
                <w:color w:val="auto"/>
                <w:sz w:val="24"/>
                <w:szCs w:val="24"/>
              </w:rPr>
              <w:t>具备注册电气工程师（供配电）</w:t>
            </w:r>
            <w:r>
              <w:rPr>
                <w:rFonts w:hint="eastAsia" w:ascii="宋体" w:hAnsi="宋体" w:eastAsia="宋体" w:cs="宋体"/>
                <w:color w:val="auto"/>
                <w:sz w:val="24"/>
                <w:szCs w:val="24"/>
                <w:lang w:val="en-US" w:eastAsia="zh-CN"/>
              </w:rPr>
              <w:t>得1分</w:t>
            </w:r>
            <w:r>
              <w:rPr>
                <w:rFonts w:hint="eastAsia" w:ascii="宋体" w:hAnsi="宋体" w:eastAsia="宋体" w:cs="宋体"/>
                <w:color w:val="auto"/>
                <w:sz w:val="24"/>
                <w:szCs w:val="24"/>
              </w:rPr>
              <w:t>。</w:t>
            </w:r>
          </w:p>
          <w:p>
            <w:pPr>
              <w:pStyle w:val="394"/>
              <w:numPr>
                <w:ilvl w:val="0"/>
                <w:numId w:val="9"/>
              </w:numPr>
              <w:spacing w:line="40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拟派造价专业负责人</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名：</w:t>
            </w:r>
          </w:p>
          <w:p>
            <w:pPr>
              <w:pStyle w:val="394"/>
              <w:numPr>
                <w:ilvl w:val="0"/>
                <w:numId w:val="0"/>
              </w:numPr>
              <w:spacing w:line="400" w:lineRule="exact"/>
              <w:ind w:leftChars="0"/>
              <w:rPr>
                <w:rFonts w:hint="eastAsia" w:ascii="宋体" w:hAnsi="宋体" w:eastAsia="宋体" w:cs="宋体"/>
                <w:color w:val="auto"/>
                <w:sz w:val="24"/>
                <w:szCs w:val="24"/>
              </w:rPr>
            </w:pPr>
            <w:r>
              <w:rPr>
                <w:rFonts w:hint="eastAsia" w:ascii="宋体" w:hAnsi="宋体" w:eastAsia="宋体" w:cs="宋体"/>
                <w:color w:val="auto"/>
                <w:sz w:val="24"/>
                <w:szCs w:val="24"/>
              </w:rPr>
              <w:t>具备</w:t>
            </w:r>
            <w:r>
              <w:rPr>
                <w:rFonts w:hint="eastAsia" w:ascii="宋体" w:hAnsi="宋体" w:eastAsia="宋体" w:cs="宋体"/>
                <w:color w:val="auto"/>
                <w:sz w:val="24"/>
                <w:szCs w:val="24"/>
                <w:lang w:eastAsia="zh-CN"/>
              </w:rPr>
              <w:t>造价</w:t>
            </w:r>
            <w:r>
              <w:rPr>
                <w:rFonts w:hint="eastAsia" w:ascii="宋体" w:hAnsi="宋体" w:eastAsia="宋体" w:cs="宋体"/>
                <w:color w:val="auto"/>
                <w:sz w:val="24"/>
                <w:szCs w:val="24"/>
              </w:rPr>
              <w:t>高级工程师（或以上）职称</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具备注册造价工程师</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pPr>
              <w:pStyle w:val="394"/>
              <w:numPr>
                <w:ilvl w:val="0"/>
                <w:numId w:val="9"/>
              </w:numPr>
              <w:spacing w:line="400" w:lineRule="exact"/>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拟派给排水专业负责人1名：</w:t>
            </w:r>
          </w:p>
          <w:p>
            <w:pPr>
              <w:pStyle w:val="394"/>
              <w:numPr>
                <w:ilvl w:val="0"/>
                <w:numId w:val="0"/>
              </w:numPr>
              <w:spacing w:line="400" w:lineRule="exact"/>
              <w:ind w:leftChars="0"/>
              <w:rPr>
                <w:rFonts w:hint="eastAsia" w:ascii="宋体" w:hAnsi="宋体" w:eastAsia="宋体" w:cs="宋体"/>
                <w:color w:val="auto"/>
                <w:sz w:val="24"/>
                <w:szCs w:val="24"/>
              </w:rPr>
            </w:pPr>
            <w:r>
              <w:rPr>
                <w:rFonts w:hint="eastAsia" w:ascii="宋体" w:hAnsi="宋体" w:eastAsia="宋体" w:cs="宋体"/>
                <w:color w:val="auto"/>
                <w:sz w:val="24"/>
                <w:szCs w:val="24"/>
              </w:rPr>
              <w:t>具备</w:t>
            </w:r>
            <w:r>
              <w:rPr>
                <w:rFonts w:hint="eastAsia" w:ascii="宋体" w:hAnsi="宋体" w:eastAsia="宋体" w:cs="宋体"/>
                <w:color w:val="auto"/>
                <w:sz w:val="24"/>
                <w:szCs w:val="24"/>
                <w:lang w:eastAsia="zh-CN"/>
              </w:rPr>
              <w:t>给排水</w:t>
            </w:r>
            <w:r>
              <w:rPr>
                <w:rFonts w:hint="eastAsia" w:ascii="宋体" w:hAnsi="宋体" w:eastAsia="宋体" w:cs="宋体"/>
                <w:color w:val="auto"/>
                <w:sz w:val="24"/>
                <w:szCs w:val="24"/>
              </w:rPr>
              <w:t>高级工程师（或以上）职称</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具备注册公用设备工程师（给水排水）</w:t>
            </w:r>
            <w:r>
              <w:rPr>
                <w:rFonts w:hint="eastAsia" w:ascii="宋体" w:hAnsi="宋体" w:eastAsia="宋体" w:cs="宋体"/>
                <w:color w:val="auto"/>
                <w:sz w:val="24"/>
                <w:szCs w:val="24"/>
                <w:lang w:eastAsia="zh-CN"/>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w:t>
            </w:r>
          </w:p>
          <w:p>
            <w:pPr>
              <w:pStyle w:val="394"/>
              <w:spacing w:line="400" w:lineRule="exact"/>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本项满分为14分，</w:t>
            </w:r>
            <w:r>
              <w:rPr>
                <w:rFonts w:hint="eastAsia" w:ascii="宋体" w:hAnsi="宋体" w:eastAsia="宋体" w:cs="宋体"/>
                <w:color w:val="auto"/>
                <w:sz w:val="24"/>
                <w:szCs w:val="24"/>
              </w:rPr>
              <w:t>以上人员一人一岗，须提相关证书或相关证明材料复印件或扫描件及在投标人或分支机构缴纳的近三个月（2023年1月、2月、3月）任意一个月社保证明文件复印件并加盖公章</w:t>
            </w:r>
            <w:r>
              <w:rPr>
                <w:rFonts w:hint="eastAsia" w:ascii="宋体" w:hAnsi="宋体" w:eastAsia="宋体" w:cs="宋体"/>
                <w:color w:val="auto"/>
                <w:sz w:val="24"/>
                <w:szCs w:val="24"/>
                <w:lang w:val="zh-TW"/>
              </w:rPr>
              <w:t>，</w:t>
            </w:r>
            <w:r>
              <w:rPr>
                <w:rFonts w:hint="eastAsia" w:ascii="宋体" w:hAnsi="宋体" w:eastAsia="宋体" w:cs="宋体"/>
                <w:color w:val="auto"/>
                <w:sz w:val="24"/>
                <w:szCs w:val="24"/>
              </w:rPr>
              <w:t>否则不得分</w:t>
            </w:r>
            <w:r>
              <w:rPr>
                <w:rFonts w:hint="eastAsia" w:ascii="宋体" w:hAnsi="宋体" w:eastAsia="宋体" w:cs="宋体"/>
                <w:color w:val="auto"/>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财务状况</w:t>
            </w:r>
          </w:p>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独立体或联合体主办方</w:t>
            </w: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c>
          <w:tcPr>
            <w:tcW w:w="7087" w:type="dxa"/>
            <w:tcBorders>
              <w:top w:val="single" w:color="auto" w:sz="4" w:space="0"/>
              <w:left w:val="single" w:color="auto" w:sz="4" w:space="0"/>
              <w:bottom w:val="single" w:color="auto" w:sz="4" w:space="0"/>
              <w:right w:val="single" w:color="auto" w:sz="4" w:space="0"/>
            </w:tcBorders>
            <w:vAlign w:val="center"/>
          </w:tcPr>
          <w:p>
            <w:pPr>
              <w:spacing w:before="38" w:line="400" w:lineRule="exact"/>
              <w:ind w:right="-146"/>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1.投标人(独立体或联合体主办方)自(2020年~2022年)三年平均资产负债率在0～10%（含10%）的得</w:t>
            </w:r>
            <w:r>
              <w:rPr>
                <w:rFonts w:hint="eastAsia" w:ascii="宋体" w:hAnsi="宋体" w:eastAsia="宋体" w:cs="宋体"/>
                <w:color w:val="auto"/>
                <w:spacing w:val="5"/>
                <w:sz w:val="24"/>
                <w:szCs w:val="24"/>
                <w:lang w:val="en-US" w:eastAsia="zh-CN"/>
              </w:rPr>
              <w:t>9</w:t>
            </w:r>
            <w:r>
              <w:rPr>
                <w:rFonts w:hint="eastAsia" w:ascii="宋体" w:hAnsi="宋体" w:eastAsia="宋体" w:cs="宋体"/>
                <w:color w:val="auto"/>
                <w:spacing w:val="5"/>
                <w:sz w:val="24"/>
                <w:szCs w:val="24"/>
              </w:rPr>
              <w:t>分；</w:t>
            </w:r>
          </w:p>
          <w:p>
            <w:pPr>
              <w:spacing w:before="38" w:line="400" w:lineRule="exact"/>
              <w:ind w:right="-146"/>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2.投标人(独立体或联合体主办方)自(2020年~2022年)三年平均资产负债率在10%～20%（含20%）的得</w:t>
            </w:r>
            <w:r>
              <w:rPr>
                <w:rFonts w:hint="eastAsia" w:ascii="宋体" w:hAnsi="宋体" w:eastAsia="宋体" w:cs="宋体"/>
                <w:color w:val="auto"/>
                <w:spacing w:val="5"/>
                <w:sz w:val="24"/>
                <w:szCs w:val="24"/>
                <w:lang w:val="en-US" w:eastAsia="zh-CN"/>
              </w:rPr>
              <w:t>4</w:t>
            </w:r>
            <w:r>
              <w:rPr>
                <w:rFonts w:hint="eastAsia" w:ascii="宋体" w:hAnsi="宋体" w:eastAsia="宋体" w:cs="宋体"/>
                <w:color w:val="auto"/>
                <w:spacing w:val="5"/>
                <w:sz w:val="24"/>
                <w:szCs w:val="24"/>
              </w:rPr>
              <w:t>分；</w:t>
            </w:r>
          </w:p>
          <w:p>
            <w:pPr>
              <w:spacing w:before="38" w:line="400" w:lineRule="exact"/>
              <w:ind w:right="-146"/>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3.投标人 (独立体或联合体主办方)自(2020年~2022年)三年平均资产负债率20%～30%（含30%）的得</w:t>
            </w:r>
            <w:r>
              <w:rPr>
                <w:rFonts w:hint="eastAsia" w:ascii="宋体" w:hAnsi="宋体" w:eastAsia="宋体" w:cs="宋体"/>
                <w:color w:val="auto"/>
                <w:spacing w:val="5"/>
                <w:sz w:val="24"/>
                <w:szCs w:val="24"/>
                <w:lang w:val="en-US" w:eastAsia="zh-CN"/>
              </w:rPr>
              <w:t>2</w:t>
            </w:r>
            <w:r>
              <w:rPr>
                <w:rFonts w:hint="eastAsia" w:ascii="宋体" w:hAnsi="宋体" w:eastAsia="宋体" w:cs="宋体"/>
                <w:color w:val="auto"/>
                <w:spacing w:val="5"/>
                <w:sz w:val="24"/>
                <w:szCs w:val="24"/>
              </w:rPr>
              <w:t>分；</w:t>
            </w:r>
          </w:p>
          <w:p>
            <w:pPr>
              <w:spacing w:before="38" w:line="400" w:lineRule="exact"/>
              <w:ind w:right="-146"/>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4.其他情况不得分。</w:t>
            </w:r>
          </w:p>
          <w:p>
            <w:pPr>
              <w:spacing w:line="400" w:lineRule="exact"/>
              <w:rPr>
                <w:rFonts w:hint="eastAsia" w:ascii="宋体" w:hAnsi="宋体" w:eastAsia="宋体" w:cs="宋体"/>
                <w:b/>
                <w:color w:val="auto"/>
                <w:sz w:val="24"/>
                <w:szCs w:val="24"/>
              </w:rPr>
            </w:pPr>
            <w:r>
              <w:rPr>
                <w:rFonts w:hint="eastAsia" w:ascii="宋体" w:hAnsi="宋体" w:eastAsia="宋体" w:cs="宋体"/>
                <w:b w:val="0"/>
                <w:bCs/>
                <w:color w:val="auto"/>
                <w:spacing w:val="5"/>
                <w:sz w:val="24"/>
                <w:szCs w:val="24"/>
              </w:rPr>
              <w:t>注：资产负债率=年（期）末负债总额/年（期）末资产总额×100％（四舍五入保留小数点后两位），投标人须提供2020、2021、2022年度会计师事务所或审计机构审计的财务审计报告关键页（含资产负债表、利润表、现金流量表等关键页复印件并加盖投标人公章），投标人没有提供或者不按以上要求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企业信誉</w:t>
            </w:r>
          </w:p>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（满分3分）</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独立体或联合体主办方</w:t>
            </w: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3分</w:t>
            </w:r>
          </w:p>
        </w:tc>
        <w:tc>
          <w:tcPr>
            <w:tcW w:w="7087" w:type="dxa"/>
            <w:tcBorders>
              <w:top w:val="single" w:color="auto" w:sz="4" w:space="0"/>
              <w:left w:val="single" w:color="auto" w:sz="4" w:space="0"/>
              <w:bottom w:val="single" w:color="auto" w:sz="4" w:space="0"/>
              <w:right w:val="single" w:color="auto" w:sz="4" w:space="0"/>
            </w:tcBorders>
            <w:vAlign w:val="center"/>
          </w:tcPr>
          <w:p>
            <w:pPr>
              <w:spacing w:before="38" w:line="400" w:lineRule="exact"/>
              <w:ind w:right="-146"/>
              <w:rPr>
                <w:rFonts w:hint="eastAsia" w:ascii="宋体" w:hAnsi="宋体" w:eastAsia="宋体" w:cs="宋体"/>
                <w:color w:val="auto"/>
                <w:sz w:val="24"/>
                <w:szCs w:val="24"/>
              </w:rPr>
            </w:pPr>
            <w:r>
              <w:rPr>
                <w:rFonts w:hint="eastAsia" w:ascii="宋体" w:hAnsi="宋体" w:eastAsia="宋体" w:cs="宋体"/>
                <w:color w:val="auto"/>
                <w:sz w:val="24"/>
                <w:szCs w:val="24"/>
              </w:rPr>
              <w:t>1.投标人连续</w:t>
            </w:r>
            <w:r>
              <w:rPr>
                <w:rFonts w:hint="eastAsia" w:ascii="宋体" w:hAnsi="宋体" w:eastAsia="宋体" w:cs="宋体"/>
                <w:color w:val="auto"/>
                <w:sz w:val="24"/>
                <w:szCs w:val="24"/>
                <w:lang w:val="en-US" w:eastAsia="zh-CN"/>
              </w:rPr>
              <w:t>大于5年</w:t>
            </w:r>
            <w:r>
              <w:rPr>
                <w:rFonts w:hint="eastAsia" w:ascii="宋体" w:hAnsi="宋体" w:eastAsia="宋体" w:cs="宋体"/>
                <w:color w:val="auto"/>
                <w:sz w:val="24"/>
                <w:szCs w:val="24"/>
              </w:rPr>
              <w:t>被评定为“纳税信用A级纳税人”的称号得3分；</w:t>
            </w:r>
          </w:p>
          <w:p>
            <w:pPr>
              <w:spacing w:before="38" w:line="400" w:lineRule="exact"/>
              <w:ind w:right="-146"/>
              <w:rPr>
                <w:rFonts w:hint="eastAsia" w:ascii="宋体" w:hAnsi="宋体" w:eastAsia="宋体" w:cs="宋体"/>
                <w:color w:val="auto"/>
                <w:sz w:val="24"/>
                <w:szCs w:val="24"/>
              </w:rPr>
            </w:pPr>
            <w:r>
              <w:rPr>
                <w:rFonts w:hint="eastAsia" w:ascii="宋体" w:hAnsi="宋体" w:eastAsia="宋体" w:cs="宋体"/>
                <w:color w:val="auto"/>
                <w:sz w:val="24"/>
                <w:szCs w:val="24"/>
              </w:rPr>
              <w:t>2.投标人连续4-5年被评定为“纳税信用A级纳税人”的称号得2分；</w:t>
            </w:r>
          </w:p>
          <w:p>
            <w:pPr>
              <w:spacing w:before="38" w:line="400" w:lineRule="exact"/>
              <w:ind w:right="-146"/>
              <w:rPr>
                <w:rFonts w:hint="eastAsia" w:ascii="宋体" w:hAnsi="宋体" w:eastAsia="宋体" w:cs="宋体"/>
                <w:color w:val="auto"/>
                <w:sz w:val="24"/>
                <w:szCs w:val="24"/>
              </w:rPr>
            </w:pPr>
            <w:r>
              <w:rPr>
                <w:rFonts w:hint="eastAsia" w:ascii="宋体" w:hAnsi="宋体" w:eastAsia="宋体" w:cs="宋体"/>
                <w:color w:val="auto"/>
                <w:sz w:val="24"/>
                <w:szCs w:val="24"/>
              </w:rPr>
              <w:t>3.投标人连续1-3年被评定为“纳税信用A级纳税人”的称号的得1分。</w:t>
            </w:r>
          </w:p>
          <w:p>
            <w:pPr>
              <w:spacing w:before="38" w:line="400" w:lineRule="exact"/>
              <w:ind w:right="-146"/>
              <w:rPr>
                <w:rFonts w:hint="eastAsia" w:ascii="宋体" w:hAnsi="宋体" w:eastAsia="宋体" w:cs="宋体"/>
                <w:color w:val="auto"/>
                <w:sz w:val="24"/>
                <w:szCs w:val="24"/>
              </w:rPr>
            </w:pPr>
            <w:r>
              <w:rPr>
                <w:rFonts w:hint="eastAsia" w:ascii="宋体" w:hAnsi="宋体" w:eastAsia="宋体" w:cs="宋体"/>
                <w:color w:val="auto"/>
                <w:sz w:val="24"/>
                <w:szCs w:val="24"/>
              </w:rPr>
              <w:t>本项最高得3分。</w:t>
            </w:r>
          </w:p>
          <w:p>
            <w:pPr>
              <w:adjustRightInd w:val="0"/>
              <w:snapToGrid w:val="0"/>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明：“纳税信用A级纳税人”须提供在“国家税务总局”官网的查询结果网页的打印页或证书复印件（必须涵盖2021年度），纳税人只计投标人自身（注：上级公司、分公司或子公司等的纳税等级不计）。投标人没有提供或者不按以上要求提供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1740" w:type="dxa"/>
            <w:tcBorders>
              <w:left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企业诚信</w:t>
            </w:r>
          </w:p>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管理平台</w:t>
            </w:r>
          </w:p>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（满分10分）</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独立体或联合体主办方</w:t>
            </w: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7087" w:type="dxa"/>
            <w:tcBorders>
              <w:top w:val="single" w:color="auto" w:sz="4" w:space="0"/>
              <w:left w:val="single" w:color="auto" w:sz="4" w:space="0"/>
              <w:bottom w:val="single" w:color="auto" w:sz="4" w:space="0"/>
              <w:right w:val="single" w:color="auto" w:sz="4" w:space="0"/>
            </w:tcBorders>
            <w:vAlign w:val="center"/>
          </w:tcPr>
          <w:p>
            <w:pPr>
              <w:spacing w:before="38" w:line="400" w:lineRule="exact"/>
              <w:ind w:right="-146"/>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1.投标人信用分值排名1至5名，得10分；</w:t>
            </w:r>
          </w:p>
          <w:p>
            <w:pPr>
              <w:spacing w:before="38" w:line="400" w:lineRule="exact"/>
              <w:ind w:right="-146"/>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2.投标人信用分值排名6至10名，得5分；</w:t>
            </w:r>
          </w:p>
          <w:p>
            <w:pPr>
              <w:spacing w:before="38" w:line="400" w:lineRule="exact"/>
              <w:ind w:right="-146"/>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3.投标人信用分值排名11名（含）以下，得2分。</w:t>
            </w:r>
          </w:p>
          <w:p>
            <w:pPr>
              <w:spacing w:before="38" w:line="400" w:lineRule="exact"/>
              <w:ind w:right="-23"/>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注：以湛江市住房和城乡建设局企业诚信平台显示投标人在开标当日上午9点30分前的诚信排名情况为准。</w:t>
            </w:r>
            <w:r>
              <w:rPr>
                <w:rFonts w:hint="eastAsia" w:ascii="宋体" w:hAnsi="宋体" w:eastAsia="宋体" w:cs="宋体"/>
                <w:color w:val="auto"/>
                <w:kern w:val="0"/>
                <w:sz w:val="24"/>
                <w:szCs w:val="24"/>
              </w:rPr>
              <w:t>未在诚信管理平台的企业按0分计数。</w:t>
            </w:r>
          </w:p>
        </w:tc>
      </w:tr>
    </w:tbl>
    <w:p>
      <w:pPr>
        <w:spacing w:line="360" w:lineRule="exact"/>
        <w:rPr>
          <w:rFonts w:hint="eastAsia" w:ascii="宋体" w:hAnsi="宋体" w:eastAsia="宋体" w:cs="宋体"/>
          <w:color w:val="auto"/>
          <w:szCs w:val="24"/>
        </w:rPr>
      </w:pPr>
      <w:r>
        <w:rPr>
          <w:rFonts w:hint="eastAsia" w:ascii="宋体" w:hAnsi="宋体" w:eastAsia="宋体" w:cs="宋体"/>
          <w:b/>
          <w:bCs/>
          <w:color w:val="auto"/>
          <w:szCs w:val="24"/>
        </w:rPr>
        <w:t>备注：</w:t>
      </w:r>
      <w:r>
        <w:rPr>
          <w:rFonts w:hint="eastAsia" w:ascii="宋体" w:hAnsi="宋体" w:eastAsia="宋体" w:cs="宋体"/>
          <w:color w:val="auto"/>
          <w:szCs w:val="24"/>
        </w:rPr>
        <w:t>1.评分表中所需的证明材料的复印件并加盖公章，否则作为无效证明材料，不计取分值但不作为无效标。</w:t>
      </w:r>
    </w:p>
    <w:p>
      <w:pPr>
        <w:spacing w:line="36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2.奖项：同一个工程项目获得二个或二个以上的奖项只能够计一个奖项分，时间以获奖证书颁发时间为准，根据行业协会或行政主管部门认可奖项的获奖证书或获奖正式文件为准，奖项须获奖证书。</w:t>
      </w:r>
    </w:p>
    <w:p>
      <w:pPr>
        <w:spacing w:line="36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3. 招标文件所指的人员社保是指投标人（或非独立法人分支机构）缴纳的有效社保证明文件。</w:t>
      </w:r>
    </w:p>
    <w:p>
      <w:pPr>
        <w:spacing w:line="360" w:lineRule="exact"/>
        <w:ind w:firstLine="480" w:firstLineChars="200"/>
        <w:rPr>
          <w:rFonts w:hint="eastAsia" w:ascii="宋体" w:hAnsi="宋体" w:eastAsia="宋体" w:cs="宋体"/>
          <w:color w:val="auto"/>
          <w:szCs w:val="24"/>
        </w:rPr>
      </w:pPr>
      <w:r>
        <w:rPr>
          <w:rFonts w:hint="eastAsia" w:ascii="宋体" w:hAnsi="宋体" w:eastAsia="宋体" w:cs="宋体"/>
          <w:color w:val="auto"/>
          <w:szCs w:val="24"/>
        </w:rPr>
        <w:t>4.若投标人提供的资料显示的单位名称与投标单位名称不一致的，需提供有效单位名称变更证明，否则作无效资料处理。</w:t>
      </w:r>
    </w:p>
    <w:p>
      <w:pPr>
        <w:snapToGrid w:val="0"/>
        <w:spacing w:line="240" w:lineRule="auto"/>
        <w:rPr>
          <w:rFonts w:hint="eastAsia" w:ascii="宋体" w:hAnsi="宋体" w:eastAsia="宋体" w:cs="宋体"/>
          <w:b/>
          <w:bCs/>
          <w:color w:val="auto"/>
          <w:sz w:val="28"/>
          <w:szCs w:val="32"/>
        </w:rPr>
      </w:pPr>
    </w:p>
    <w:p>
      <w:pPr>
        <w:snapToGrid w:val="0"/>
        <w:spacing w:line="240" w:lineRule="auto"/>
        <w:rPr>
          <w:rFonts w:hint="eastAsia" w:ascii="宋体" w:hAnsi="宋体" w:eastAsia="宋体" w:cs="宋体"/>
          <w:b/>
          <w:bCs/>
          <w:color w:val="auto"/>
          <w:sz w:val="28"/>
          <w:szCs w:val="32"/>
        </w:rPr>
      </w:pPr>
    </w:p>
    <w:p>
      <w:pPr>
        <w:rPr>
          <w:rFonts w:hint="eastAsia" w:ascii="宋体" w:hAnsi="宋体" w:eastAsia="宋体" w:cs="宋体"/>
          <w:b/>
          <w:bCs/>
          <w:color w:val="auto"/>
          <w:sz w:val="28"/>
          <w:szCs w:val="32"/>
        </w:rPr>
      </w:pPr>
      <w:r>
        <w:rPr>
          <w:rFonts w:hint="eastAsia" w:ascii="宋体" w:hAnsi="宋体" w:eastAsia="宋体" w:cs="宋体"/>
          <w:b/>
          <w:bCs/>
          <w:color w:val="auto"/>
          <w:sz w:val="28"/>
          <w:szCs w:val="32"/>
        </w:rPr>
        <w:br w:type="page"/>
      </w:r>
    </w:p>
    <w:p>
      <w:pPr>
        <w:snapToGrid w:val="0"/>
        <w:spacing w:line="240" w:lineRule="auto"/>
        <w:rPr>
          <w:rFonts w:hint="eastAsia" w:ascii="宋体" w:hAnsi="宋体" w:eastAsia="宋体" w:cs="宋体"/>
          <w:b/>
          <w:color w:val="auto"/>
          <w:sz w:val="28"/>
          <w:szCs w:val="32"/>
        </w:rPr>
      </w:pPr>
      <w:r>
        <w:rPr>
          <w:rFonts w:hint="eastAsia" w:ascii="宋体" w:hAnsi="宋体" w:eastAsia="宋体" w:cs="宋体"/>
          <w:b/>
          <w:bCs/>
          <w:color w:val="auto"/>
          <w:sz w:val="28"/>
          <w:szCs w:val="32"/>
        </w:rPr>
        <w:t xml:space="preserve">附表                           </w:t>
      </w:r>
      <w:r>
        <w:rPr>
          <w:rFonts w:hint="eastAsia" w:ascii="宋体" w:hAnsi="宋体" w:eastAsia="宋体" w:cs="宋体"/>
          <w:b/>
          <w:color w:val="auto"/>
          <w:sz w:val="28"/>
          <w:szCs w:val="32"/>
        </w:rPr>
        <w:t>奖项表</w:t>
      </w:r>
    </w:p>
    <w:tbl>
      <w:tblPr>
        <w:tblStyle w:val="49"/>
        <w:tblpPr w:leftFromText="180" w:rightFromText="180" w:vertAnchor="text" w:horzAnchor="margin" w:tblpXSpec="center" w:tblpY="292"/>
        <w:tblOverlap w:val="never"/>
        <w:tblW w:w="97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663"/>
        <w:gridCol w:w="2732"/>
        <w:gridCol w:w="43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3" w:hRule="atLeast"/>
          <w:jc w:val="center"/>
        </w:trPr>
        <w:tc>
          <w:tcPr>
            <w:tcW w:w="972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国奖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鲁班奖</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国家优质工程奖</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中国土木工程詹天佑大奖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全国建筑工程装饰奖</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中国安装之星</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中国钢结构金奖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1"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全国市政金杯示范工程</w:t>
            </w:r>
          </w:p>
        </w:tc>
        <w:tc>
          <w:tcPr>
            <w:tcW w:w="7057"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rPr>
                <w:rFonts w:hint="eastAsia" w:ascii="宋体" w:hAnsi="宋体" w:eastAsia="宋体" w:cs="宋体"/>
                <w:color w:val="auto"/>
                <w:sz w:val="21"/>
                <w:u w:val="single"/>
              </w:rPr>
            </w:pPr>
            <w:r>
              <w:rPr>
                <w:rFonts w:hint="eastAsia" w:ascii="宋体" w:hAnsi="宋体" w:eastAsia="宋体" w:cs="宋体"/>
                <w:color w:val="auto"/>
                <w:sz w:val="21"/>
              </w:rPr>
              <w:t>其他</w:t>
            </w:r>
            <w:r>
              <w:rPr>
                <w:rFonts w:hint="eastAsia" w:ascii="宋体" w:hAnsi="宋体" w:eastAsia="宋体" w:cs="宋体"/>
                <w:color w:val="auto"/>
                <w:sz w:val="21"/>
                <w:u w:val="single"/>
              </w:rPr>
              <w:t xml:space="preserve">  /   </w:t>
            </w:r>
            <w:r>
              <w:rPr>
                <w:rFonts w:hint="eastAsia" w:ascii="宋体" w:hAnsi="宋体" w:eastAsia="宋体" w:cs="宋体"/>
                <w:color w:val="auto"/>
                <w:sz w:val="21"/>
              </w:rPr>
              <w:t>。（由招标人在此注明奖项名称，该奖应与项目的特点和需求紧密相关，未注明的不作为评审依据）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2" w:hRule="atLeast"/>
          <w:jc w:val="center"/>
        </w:trPr>
        <w:tc>
          <w:tcPr>
            <w:tcW w:w="972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省奖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长城杯（北京）</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阿房宫奖（陕西）</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钱江杯（浙江）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白玉兰杯（上海）</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西夏杯（宁夏）</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杜鹃花杯（江西）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海河杯（天津）</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飞天奖（甘肃）</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楚天杯（湖北）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巴渝杯（重庆）</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江河源杯（青海）</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芙蓉奖（湖南）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龙江杯（黑龙江）</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天山奖（新疆）</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天府杯（四川）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长白山杯（吉林）</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雪莲杯（西藏）</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云南省优质工程（云南）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世纪杯（辽宁）</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安济杯（河北）</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黄果树杯（贵州）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草原杯（内蒙古）</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中州杯（河南）</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金匠奖（广东）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汾水杯（山西）</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扬子杯（江苏）</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广西优质工程奖（广西）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泰山杯（山东）</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黄山杯（安徽）</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闽江杯（福建）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1"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绿岛杯（海南）</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省建设工程优质奖（省市政优良样板工程）</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972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rPr>
            </w:pPr>
            <w:r>
              <w:rPr>
                <w:rFonts w:hint="eastAsia" w:ascii="宋体" w:hAnsi="宋体" w:eastAsia="宋体" w:cs="宋体"/>
                <w:color w:val="auto"/>
                <w:sz w:val="21"/>
              </w:rPr>
              <w:t>市奖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4" w:hRule="atLeast"/>
          <w:jc w:val="center"/>
        </w:trPr>
        <w:tc>
          <w:tcPr>
            <w:tcW w:w="972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rPr>
                <w:rFonts w:hint="eastAsia" w:ascii="宋体" w:hAnsi="宋体" w:eastAsia="宋体" w:cs="宋体"/>
                <w:color w:val="auto"/>
                <w:sz w:val="21"/>
              </w:rPr>
            </w:pPr>
            <w:r>
              <w:rPr>
                <w:rFonts w:hint="eastAsia" w:ascii="宋体" w:hAnsi="宋体" w:eastAsia="宋体" w:cs="宋体"/>
                <w:color w:val="auto"/>
                <w:sz w:val="21"/>
              </w:rPr>
              <w:t>市建设工程优质奖</w:t>
            </w:r>
          </w:p>
        </w:tc>
      </w:tr>
    </w:tbl>
    <w:p>
      <w:pPr>
        <w:rPr>
          <w:rFonts w:hint="eastAsia" w:ascii="宋体" w:hAnsi="宋体" w:eastAsia="宋体" w:cs="宋体"/>
          <w:b/>
          <w:bCs/>
          <w:color w:val="auto"/>
        </w:rPr>
      </w:pPr>
      <w:r>
        <w:rPr>
          <w:rFonts w:hint="eastAsia" w:ascii="宋体" w:hAnsi="宋体" w:eastAsia="宋体" w:cs="宋体"/>
          <w:b/>
          <w:bCs/>
          <w:color w:val="auto"/>
        </w:rPr>
        <w:br w:type="page"/>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（二）技术标评分表（20分）</w:t>
      </w:r>
    </w:p>
    <w:tbl>
      <w:tblPr>
        <w:tblStyle w:val="49"/>
        <w:tblW w:w="99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1276"/>
        <w:gridCol w:w="7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125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ind w:left="120" w:leftChars="50" w:right="120" w:rightChars="50"/>
              <w:jc w:val="center"/>
              <w:rPr>
                <w:rFonts w:hint="eastAsia" w:ascii="宋体" w:hAnsi="宋体" w:eastAsia="宋体" w:cs="宋体"/>
                <w:b/>
                <w:bCs/>
                <w:color w:val="auto"/>
              </w:rPr>
            </w:pPr>
            <w:r>
              <w:rPr>
                <w:rFonts w:hint="eastAsia" w:ascii="宋体" w:hAnsi="宋体" w:eastAsia="宋体" w:cs="宋体"/>
                <w:b/>
                <w:bCs/>
                <w:color w:val="auto"/>
                <w:lang w:val="zh-TW" w:eastAsia="zh-TW"/>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jc w:val="center"/>
              <w:rPr>
                <w:rFonts w:hint="eastAsia" w:ascii="宋体" w:hAnsi="宋体" w:eastAsia="宋体" w:cs="宋体"/>
                <w:b/>
                <w:bCs/>
                <w:color w:val="auto"/>
              </w:rPr>
            </w:pPr>
            <w:r>
              <w:rPr>
                <w:rFonts w:hint="eastAsia" w:ascii="宋体" w:hAnsi="宋体" w:eastAsia="宋体" w:cs="宋体"/>
                <w:b/>
                <w:bCs/>
                <w:color w:val="auto"/>
                <w:lang w:val="zh-TW" w:eastAsia="zh-TW"/>
              </w:rPr>
              <w:t>评分内容</w:t>
            </w:r>
          </w:p>
        </w:tc>
        <w:tc>
          <w:tcPr>
            <w:tcW w:w="7384"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jc w:val="center"/>
              <w:rPr>
                <w:rFonts w:hint="eastAsia" w:ascii="宋体" w:hAnsi="宋体" w:eastAsia="宋体" w:cs="宋体"/>
                <w:b/>
                <w:bCs/>
                <w:color w:val="auto"/>
              </w:rPr>
            </w:pPr>
            <w:r>
              <w:rPr>
                <w:rFonts w:hint="eastAsia" w:ascii="宋体" w:hAnsi="宋体" w:eastAsia="宋体" w:cs="宋体"/>
                <w:b/>
                <w:bCs/>
                <w:color w:val="auto"/>
                <w:lang w:val="zh-TW" w:eastAsia="zh-TW"/>
              </w:rPr>
              <w:t>评分说明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restart"/>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rFonts w:hint="eastAsia" w:ascii="宋体" w:hAnsi="宋体" w:eastAsia="宋体" w:cs="宋体"/>
                <w:color w:val="auto"/>
                <w:lang w:val="zh-TW"/>
              </w:rPr>
            </w:pPr>
            <w:r>
              <w:rPr>
                <w:rFonts w:hint="eastAsia" w:ascii="宋体" w:hAnsi="宋体" w:eastAsia="宋体" w:cs="宋体"/>
                <w:color w:val="auto"/>
                <w:lang w:val="zh-TW"/>
              </w:rPr>
              <w:t>一、设计技术方案（10）分</w:t>
            </w:r>
          </w:p>
        </w:tc>
        <w:tc>
          <w:tcPr>
            <w:tcW w:w="1276" w:type="dxa"/>
            <w:tcBorders>
              <w:top w:val="single" w:color="000000" w:sz="4" w:space="0"/>
              <w:left w:val="single" w:color="000000" w:sz="4" w:space="0"/>
              <w:right w:val="single" w:color="000000" w:sz="4" w:space="0"/>
            </w:tcBorders>
            <w:vAlign w:val="center"/>
          </w:tcPr>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设计方案内容（6）</w:t>
            </w:r>
          </w:p>
        </w:tc>
        <w:tc>
          <w:tcPr>
            <w:tcW w:w="7384"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rPr>
                <w:rFonts w:hint="eastAsia" w:ascii="宋体" w:hAnsi="宋体" w:eastAsia="宋体" w:cs="宋体"/>
                <w:color w:val="auto"/>
              </w:rPr>
            </w:pPr>
            <w:r>
              <w:rPr>
                <w:rFonts w:hint="eastAsia" w:ascii="宋体" w:hAnsi="宋体" w:eastAsia="宋体" w:cs="宋体"/>
                <w:color w:val="auto"/>
              </w:rPr>
              <w:t>1、对项目的理解和所在地区建设条件的认识准确全面、透彻。</w:t>
            </w:r>
          </w:p>
          <w:p>
            <w:pPr>
              <w:ind w:left="120" w:leftChars="50" w:right="120" w:rightChars="50"/>
              <w:rPr>
                <w:rFonts w:hint="eastAsia" w:ascii="宋体" w:hAnsi="宋体" w:eastAsia="宋体" w:cs="宋体"/>
                <w:color w:val="auto"/>
              </w:rPr>
            </w:pPr>
            <w:r>
              <w:rPr>
                <w:rFonts w:hint="eastAsia" w:ascii="宋体" w:hAnsi="宋体" w:eastAsia="宋体" w:cs="宋体"/>
                <w:color w:val="auto"/>
              </w:rPr>
              <w:t>【优】得（1.5分），【中】得（1.</w:t>
            </w:r>
            <w:r>
              <w:rPr>
                <w:rFonts w:hint="eastAsia" w:ascii="宋体" w:hAnsi="宋体" w:eastAsia="宋体" w:cs="宋体"/>
                <w:color w:val="auto"/>
                <w:lang w:val="en-US" w:eastAsia="zh-CN"/>
              </w:rPr>
              <w:t>2</w:t>
            </w:r>
            <w:r>
              <w:rPr>
                <w:rFonts w:hint="eastAsia" w:ascii="宋体" w:hAnsi="宋体" w:eastAsia="宋体" w:cs="宋体"/>
                <w:color w:val="auto"/>
              </w:rPr>
              <w:t>～</w:t>
            </w:r>
            <w:r>
              <w:rPr>
                <w:rFonts w:hint="eastAsia" w:ascii="宋体" w:hAnsi="宋体" w:eastAsia="宋体" w:cs="宋体"/>
                <w:color w:val="auto"/>
                <w:lang w:val="en-US" w:eastAsia="zh-CN"/>
              </w:rPr>
              <w:t>0.9</w:t>
            </w:r>
            <w:r>
              <w:rPr>
                <w:rFonts w:hint="eastAsia" w:ascii="宋体" w:hAnsi="宋体" w:eastAsia="宋体" w:cs="宋体"/>
                <w:color w:val="auto"/>
              </w:rPr>
              <w:t>分），【一般】得（</w:t>
            </w:r>
            <w:r>
              <w:rPr>
                <w:rFonts w:hint="eastAsia" w:ascii="宋体" w:hAnsi="宋体" w:eastAsia="宋体" w:cs="宋体"/>
                <w:color w:val="auto"/>
                <w:lang w:val="en-US" w:eastAsia="zh-CN"/>
              </w:rPr>
              <w:t>0.8</w:t>
            </w:r>
            <w:r>
              <w:rPr>
                <w:rFonts w:hint="eastAsia" w:ascii="宋体" w:hAnsi="宋体" w:eastAsia="宋体" w:cs="宋体"/>
                <w:color w:val="auto"/>
              </w:rPr>
              <w:t>分），不提供得0分。</w:t>
            </w:r>
          </w:p>
          <w:p>
            <w:pPr>
              <w:ind w:left="120" w:leftChars="50" w:right="120" w:rightChars="50"/>
              <w:rPr>
                <w:rFonts w:hint="eastAsia" w:ascii="宋体" w:hAnsi="宋体" w:eastAsia="宋体" w:cs="宋体"/>
                <w:color w:val="auto"/>
              </w:rPr>
            </w:pPr>
            <w:r>
              <w:rPr>
                <w:rFonts w:hint="eastAsia" w:ascii="宋体" w:hAnsi="宋体" w:eastAsia="宋体" w:cs="宋体"/>
                <w:color w:val="auto"/>
              </w:rPr>
              <w:t>2、工程特点、难点分析透彻，方案针对性强。</w:t>
            </w:r>
          </w:p>
          <w:p>
            <w:pPr>
              <w:ind w:left="120" w:leftChars="50" w:right="120" w:rightChars="50"/>
              <w:rPr>
                <w:rFonts w:hint="eastAsia" w:ascii="宋体" w:hAnsi="宋体" w:eastAsia="宋体" w:cs="宋体"/>
                <w:color w:val="auto"/>
              </w:rPr>
            </w:pPr>
            <w:r>
              <w:rPr>
                <w:rFonts w:hint="eastAsia" w:ascii="宋体" w:hAnsi="宋体" w:eastAsia="宋体" w:cs="宋体"/>
                <w:color w:val="auto"/>
              </w:rPr>
              <w:t>【优】得（1.5分），【中】得（1.</w:t>
            </w:r>
            <w:r>
              <w:rPr>
                <w:rFonts w:hint="eastAsia" w:ascii="宋体" w:hAnsi="宋体" w:eastAsia="宋体" w:cs="宋体"/>
                <w:color w:val="auto"/>
                <w:lang w:val="en-US" w:eastAsia="zh-CN"/>
              </w:rPr>
              <w:t>2</w:t>
            </w:r>
            <w:r>
              <w:rPr>
                <w:rFonts w:hint="eastAsia" w:ascii="宋体" w:hAnsi="宋体" w:eastAsia="宋体" w:cs="宋体"/>
                <w:color w:val="auto"/>
              </w:rPr>
              <w:t>～</w:t>
            </w:r>
            <w:r>
              <w:rPr>
                <w:rFonts w:hint="eastAsia" w:ascii="宋体" w:hAnsi="宋体" w:eastAsia="宋体" w:cs="宋体"/>
                <w:color w:val="auto"/>
                <w:lang w:val="en-US" w:eastAsia="zh-CN"/>
              </w:rPr>
              <w:t>0.9</w:t>
            </w:r>
            <w:r>
              <w:rPr>
                <w:rFonts w:hint="eastAsia" w:ascii="宋体" w:hAnsi="宋体" w:eastAsia="宋体" w:cs="宋体"/>
                <w:color w:val="auto"/>
              </w:rPr>
              <w:t>分），【一般】得（</w:t>
            </w:r>
            <w:r>
              <w:rPr>
                <w:rFonts w:hint="eastAsia" w:ascii="宋体" w:hAnsi="宋体" w:eastAsia="宋体" w:cs="宋体"/>
                <w:color w:val="auto"/>
                <w:lang w:val="en-US" w:eastAsia="zh-CN"/>
              </w:rPr>
              <w:t>0.8</w:t>
            </w:r>
            <w:r>
              <w:rPr>
                <w:rFonts w:hint="eastAsia" w:ascii="宋体" w:hAnsi="宋体" w:eastAsia="宋体" w:cs="宋体"/>
                <w:color w:val="auto"/>
              </w:rPr>
              <w:t>分），不提供得0分。</w:t>
            </w:r>
          </w:p>
          <w:p>
            <w:pPr>
              <w:ind w:left="120" w:leftChars="50" w:right="120" w:rightChars="50"/>
              <w:rPr>
                <w:rFonts w:hint="eastAsia" w:ascii="宋体" w:hAnsi="宋体" w:eastAsia="宋体" w:cs="宋体"/>
                <w:color w:val="auto"/>
              </w:rPr>
            </w:pPr>
            <w:r>
              <w:rPr>
                <w:rFonts w:hint="eastAsia" w:ascii="宋体" w:hAnsi="宋体" w:eastAsia="宋体" w:cs="宋体"/>
                <w:color w:val="auto"/>
              </w:rPr>
              <w:t>3、工程系统方案论证合理、可实施性强。</w:t>
            </w:r>
          </w:p>
          <w:p>
            <w:pPr>
              <w:ind w:left="120" w:leftChars="50" w:right="120" w:rightChars="50"/>
              <w:rPr>
                <w:rFonts w:hint="eastAsia" w:ascii="宋体" w:hAnsi="宋体" w:eastAsia="宋体" w:cs="宋体"/>
                <w:color w:val="auto"/>
              </w:rPr>
            </w:pPr>
            <w:r>
              <w:rPr>
                <w:rFonts w:hint="eastAsia" w:ascii="宋体" w:hAnsi="宋体" w:eastAsia="宋体" w:cs="宋体"/>
                <w:color w:val="auto"/>
              </w:rPr>
              <w:t>【优】得（1.5分），【中】得（1.</w:t>
            </w:r>
            <w:r>
              <w:rPr>
                <w:rFonts w:hint="eastAsia" w:ascii="宋体" w:hAnsi="宋体" w:eastAsia="宋体" w:cs="宋体"/>
                <w:color w:val="auto"/>
                <w:lang w:val="en-US" w:eastAsia="zh-CN"/>
              </w:rPr>
              <w:t>2</w:t>
            </w:r>
            <w:r>
              <w:rPr>
                <w:rFonts w:hint="eastAsia" w:ascii="宋体" w:hAnsi="宋体" w:eastAsia="宋体" w:cs="宋体"/>
                <w:color w:val="auto"/>
              </w:rPr>
              <w:t>～</w:t>
            </w:r>
            <w:r>
              <w:rPr>
                <w:rFonts w:hint="eastAsia" w:ascii="宋体" w:hAnsi="宋体" w:eastAsia="宋体" w:cs="宋体"/>
                <w:color w:val="auto"/>
                <w:lang w:val="en-US" w:eastAsia="zh-CN"/>
              </w:rPr>
              <w:t>0.9</w:t>
            </w:r>
            <w:r>
              <w:rPr>
                <w:rFonts w:hint="eastAsia" w:ascii="宋体" w:hAnsi="宋体" w:eastAsia="宋体" w:cs="宋体"/>
                <w:color w:val="auto"/>
              </w:rPr>
              <w:t>分），【一般】得（</w:t>
            </w:r>
            <w:r>
              <w:rPr>
                <w:rFonts w:hint="eastAsia" w:ascii="宋体" w:hAnsi="宋体" w:eastAsia="宋体" w:cs="宋体"/>
                <w:color w:val="auto"/>
                <w:lang w:val="en-US" w:eastAsia="zh-CN"/>
              </w:rPr>
              <w:t>0.8</w:t>
            </w:r>
            <w:r>
              <w:rPr>
                <w:rFonts w:hint="eastAsia" w:ascii="宋体" w:hAnsi="宋体" w:eastAsia="宋体" w:cs="宋体"/>
                <w:color w:val="auto"/>
              </w:rPr>
              <w:t>分），不提供得0分。</w:t>
            </w:r>
          </w:p>
          <w:p>
            <w:pPr>
              <w:ind w:left="120" w:leftChars="50" w:right="120" w:rightChars="50"/>
              <w:rPr>
                <w:rFonts w:hint="eastAsia" w:ascii="宋体" w:hAnsi="宋体" w:eastAsia="宋体" w:cs="宋体"/>
                <w:color w:val="auto"/>
              </w:rPr>
            </w:pPr>
            <w:r>
              <w:rPr>
                <w:rFonts w:hint="eastAsia" w:ascii="宋体" w:hAnsi="宋体" w:eastAsia="宋体" w:cs="宋体"/>
                <w:color w:val="auto"/>
              </w:rPr>
              <w:t>4、根据工程特点提出合理化建议和意见。</w:t>
            </w:r>
          </w:p>
          <w:p>
            <w:pPr>
              <w:ind w:left="120" w:leftChars="50" w:right="120" w:rightChars="50"/>
              <w:rPr>
                <w:rFonts w:hint="eastAsia" w:ascii="宋体" w:hAnsi="宋体" w:eastAsia="宋体" w:cs="宋体"/>
                <w:color w:val="auto"/>
                <w:lang w:val="en-US" w:eastAsia="zh-CN"/>
              </w:rPr>
            </w:pPr>
            <w:r>
              <w:rPr>
                <w:rFonts w:hint="eastAsia" w:ascii="宋体" w:hAnsi="宋体" w:eastAsia="宋体" w:cs="宋体"/>
                <w:color w:val="auto"/>
              </w:rPr>
              <w:t>【优】得（1.5分），【中】得（1.</w:t>
            </w:r>
            <w:r>
              <w:rPr>
                <w:rFonts w:hint="eastAsia" w:ascii="宋体" w:hAnsi="宋体" w:eastAsia="宋体" w:cs="宋体"/>
                <w:color w:val="auto"/>
                <w:lang w:val="en-US" w:eastAsia="zh-CN"/>
              </w:rPr>
              <w:t>2</w:t>
            </w:r>
            <w:r>
              <w:rPr>
                <w:rFonts w:hint="eastAsia" w:ascii="宋体" w:hAnsi="宋体" w:eastAsia="宋体" w:cs="宋体"/>
                <w:color w:val="auto"/>
              </w:rPr>
              <w:t>～</w:t>
            </w:r>
            <w:r>
              <w:rPr>
                <w:rFonts w:hint="eastAsia" w:ascii="宋体" w:hAnsi="宋体" w:eastAsia="宋体" w:cs="宋体"/>
                <w:color w:val="auto"/>
                <w:lang w:val="en-US" w:eastAsia="zh-CN"/>
              </w:rPr>
              <w:t>0.9</w:t>
            </w:r>
            <w:r>
              <w:rPr>
                <w:rFonts w:hint="eastAsia" w:ascii="宋体" w:hAnsi="宋体" w:eastAsia="宋体" w:cs="宋体"/>
                <w:color w:val="auto"/>
              </w:rPr>
              <w:t>分），【一般】得（</w:t>
            </w:r>
            <w:r>
              <w:rPr>
                <w:rFonts w:hint="eastAsia" w:ascii="宋体" w:hAnsi="宋体" w:eastAsia="宋体" w:cs="宋体"/>
                <w:color w:val="auto"/>
                <w:lang w:val="en-US" w:eastAsia="zh-CN"/>
              </w:rPr>
              <w:t>0.8</w:t>
            </w:r>
            <w:r>
              <w:rPr>
                <w:rFonts w:hint="eastAsia" w:ascii="宋体" w:hAnsi="宋体" w:eastAsia="宋体" w:cs="宋体"/>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rFonts w:hint="eastAsia" w:ascii="宋体" w:hAnsi="宋体" w:eastAsia="宋体" w:cs="宋体"/>
                <w:color w:val="auto"/>
                <w:lang w:val="zh-TW"/>
              </w:rPr>
            </w:pPr>
          </w:p>
        </w:tc>
        <w:tc>
          <w:tcPr>
            <w:tcW w:w="1276"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投资控制</w:t>
            </w:r>
          </w:p>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（2分）</w:t>
            </w:r>
          </w:p>
        </w:tc>
        <w:tc>
          <w:tcPr>
            <w:tcW w:w="7384"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rPr>
                <w:rFonts w:hint="eastAsia" w:ascii="宋体" w:hAnsi="宋体" w:eastAsia="宋体" w:cs="宋体"/>
                <w:color w:val="auto"/>
              </w:rPr>
            </w:pPr>
            <w:r>
              <w:rPr>
                <w:rFonts w:hint="eastAsia" w:ascii="宋体" w:hAnsi="宋体" w:eastAsia="宋体" w:cs="宋体"/>
                <w:color w:val="auto"/>
              </w:rPr>
              <w:t>1、项目设计方案中的经济分析合理节约，能满足项目使用要求及保证项目的工期和质量要求。</w:t>
            </w:r>
          </w:p>
          <w:p>
            <w:pPr>
              <w:ind w:left="120" w:leftChars="50" w:right="120" w:rightChars="50"/>
              <w:rPr>
                <w:rFonts w:hint="eastAsia" w:ascii="宋体" w:hAnsi="宋体" w:eastAsia="宋体" w:cs="宋体"/>
                <w:color w:val="auto"/>
              </w:rPr>
            </w:pPr>
            <w:r>
              <w:rPr>
                <w:rFonts w:hint="eastAsia" w:ascii="宋体" w:hAnsi="宋体" w:eastAsia="宋体" w:cs="宋体"/>
                <w:color w:val="auto"/>
              </w:rPr>
              <w:t>【优】得（2.0～1.</w:t>
            </w:r>
            <w:r>
              <w:rPr>
                <w:rFonts w:hint="eastAsia" w:ascii="宋体" w:hAnsi="宋体" w:eastAsia="宋体" w:cs="宋体"/>
                <w:color w:val="auto"/>
                <w:lang w:val="en-US" w:eastAsia="zh-CN"/>
              </w:rPr>
              <w:t>7</w:t>
            </w:r>
            <w:r>
              <w:rPr>
                <w:rFonts w:hint="eastAsia" w:ascii="宋体" w:hAnsi="宋体" w:eastAsia="宋体" w:cs="宋体"/>
                <w:color w:val="auto"/>
              </w:rPr>
              <w:t>分），【中】得（1.</w:t>
            </w:r>
            <w:r>
              <w:rPr>
                <w:rFonts w:hint="eastAsia" w:ascii="宋体" w:hAnsi="宋体" w:eastAsia="宋体" w:cs="宋体"/>
                <w:color w:val="auto"/>
                <w:lang w:val="en-US" w:eastAsia="zh-CN"/>
              </w:rPr>
              <w:t>6</w:t>
            </w: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分），【一般】得（1.</w:t>
            </w:r>
            <w:r>
              <w:rPr>
                <w:rFonts w:hint="eastAsia" w:ascii="宋体" w:hAnsi="宋体" w:eastAsia="宋体" w:cs="宋体"/>
                <w:color w:val="auto"/>
                <w:lang w:val="en-US" w:eastAsia="zh-CN"/>
              </w:rPr>
              <w:t>3</w:t>
            </w:r>
            <w:r>
              <w:rPr>
                <w:rFonts w:hint="eastAsia" w:ascii="宋体" w:hAnsi="宋体" w:eastAsia="宋体" w:cs="宋体"/>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rFonts w:hint="eastAsia" w:ascii="宋体" w:hAnsi="宋体" w:eastAsia="宋体" w:cs="宋体"/>
                <w:color w:val="auto"/>
              </w:rPr>
            </w:pPr>
          </w:p>
        </w:tc>
        <w:tc>
          <w:tcPr>
            <w:tcW w:w="1276" w:type="dxa"/>
            <w:tcBorders>
              <w:top w:val="single" w:color="auto" w:sz="4" w:space="0"/>
              <w:left w:val="single" w:color="000000" w:sz="4" w:space="0"/>
              <w:right w:val="single" w:color="000000" w:sz="4" w:space="0"/>
            </w:tcBorders>
            <w:vAlign w:val="center"/>
          </w:tcPr>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设计服务、进度及质量保证</w:t>
            </w:r>
          </w:p>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（2分）</w:t>
            </w:r>
          </w:p>
        </w:tc>
        <w:tc>
          <w:tcPr>
            <w:tcW w:w="7384" w:type="dxa"/>
            <w:tcBorders>
              <w:top w:val="single" w:color="auto" w:sz="4" w:space="0"/>
              <w:left w:val="single" w:color="000000" w:sz="4" w:space="0"/>
              <w:bottom w:val="single" w:color="auto" w:sz="4" w:space="0"/>
              <w:right w:val="single" w:color="000000" w:sz="4" w:space="0"/>
            </w:tcBorders>
            <w:vAlign w:val="center"/>
          </w:tcPr>
          <w:p>
            <w:pPr>
              <w:ind w:left="120" w:leftChars="50" w:right="120" w:rightChars="50"/>
              <w:rPr>
                <w:rFonts w:hint="eastAsia" w:ascii="宋体" w:hAnsi="宋体" w:eastAsia="宋体" w:cs="宋体"/>
                <w:color w:val="auto"/>
              </w:rPr>
            </w:pPr>
            <w:r>
              <w:rPr>
                <w:rFonts w:hint="eastAsia" w:ascii="宋体" w:hAnsi="宋体" w:eastAsia="宋体" w:cs="宋体"/>
                <w:color w:val="auto"/>
              </w:rPr>
              <w:t>1、有现场服务措施及相关承诺，设计阶段工作进度符合招标文件要求，承诺达到招标文件要求的设计质量，满足工程实际需要；并提出质量保证措施，质量保障措施可行。</w:t>
            </w:r>
          </w:p>
          <w:p>
            <w:pPr>
              <w:ind w:left="120" w:leftChars="50" w:right="120" w:rightChars="50"/>
              <w:rPr>
                <w:rFonts w:hint="eastAsia" w:ascii="宋体" w:hAnsi="宋体" w:eastAsia="宋体" w:cs="宋体"/>
                <w:color w:val="auto"/>
              </w:rPr>
            </w:pPr>
            <w:r>
              <w:rPr>
                <w:rFonts w:hint="eastAsia" w:ascii="宋体" w:hAnsi="宋体" w:eastAsia="宋体" w:cs="宋体"/>
                <w:color w:val="auto"/>
              </w:rPr>
              <w:t>【优】得（2.0～1.</w:t>
            </w:r>
            <w:r>
              <w:rPr>
                <w:rFonts w:hint="eastAsia" w:ascii="宋体" w:hAnsi="宋体" w:eastAsia="宋体" w:cs="宋体"/>
                <w:color w:val="auto"/>
                <w:lang w:val="en-US" w:eastAsia="zh-CN"/>
              </w:rPr>
              <w:t>7</w:t>
            </w:r>
            <w:r>
              <w:rPr>
                <w:rFonts w:hint="eastAsia" w:ascii="宋体" w:hAnsi="宋体" w:eastAsia="宋体" w:cs="宋体"/>
                <w:color w:val="auto"/>
              </w:rPr>
              <w:t>分），【中】得（1.</w:t>
            </w:r>
            <w:r>
              <w:rPr>
                <w:rFonts w:hint="eastAsia" w:ascii="宋体" w:hAnsi="宋体" w:eastAsia="宋体" w:cs="宋体"/>
                <w:color w:val="auto"/>
                <w:lang w:val="en-US" w:eastAsia="zh-CN"/>
              </w:rPr>
              <w:t>6</w:t>
            </w: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分），【一般】得（1.</w:t>
            </w:r>
            <w:r>
              <w:rPr>
                <w:rFonts w:hint="eastAsia" w:ascii="宋体" w:hAnsi="宋体" w:eastAsia="宋体" w:cs="宋体"/>
                <w:color w:val="auto"/>
                <w:lang w:val="en-US" w:eastAsia="zh-CN"/>
              </w:rPr>
              <w:t>3</w:t>
            </w:r>
            <w:r>
              <w:rPr>
                <w:rFonts w:hint="eastAsia" w:ascii="宋体" w:hAnsi="宋体" w:eastAsia="宋体" w:cs="宋体"/>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restart"/>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二、施工方案及项目管理（10）分</w:t>
            </w:r>
          </w:p>
        </w:tc>
        <w:tc>
          <w:tcPr>
            <w:tcW w:w="1276"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施工工期计划及保证措施</w:t>
            </w:r>
          </w:p>
          <w:p>
            <w:pPr>
              <w:ind w:left="120" w:leftChars="50" w:right="120" w:rightChars="50"/>
              <w:jc w:val="center"/>
              <w:rPr>
                <w:rFonts w:hint="eastAsia" w:ascii="宋体" w:hAnsi="宋体" w:eastAsia="宋体" w:cs="宋体"/>
                <w:color w:val="auto"/>
                <w:lang w:val="zh-TW"/>
              </w:rPr>
            </w:pPr>
            <w:r>
              <w:rPr>
                <w:rFonts w:hint="eastAsia" w:ascii="宋体" w:hAnsi="宋体" w:eastAsia="宋体" w:cs="宋体"/>
                <w:color w:val="auto"/>
              </w:rPr>
              <w:t>（3分）</w:t>
            </w:r>
          </w:p>
        </w:tc>
        <w:tc>
          <w:tcPr>
            <w:tcW w:w="7384"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rPr>
                <w:rFonts w:hint="eastAsia" w:ascii="宋体" w:hAnsi="宋体" w:eastAsia="宋体" w:cs="宋体"/>
                <w:color w:val="auto"/>
              </w:rPr>
            </w:pPr>
            <w:r>
              <w:rPr>
                <w:rFonts w:hint="eastAsia" w:ascii="宋体" w:hAnsi="宋体" w:eastAsia="宋体" w:cs="宋体"/>
                <w:color w:val="auto"/>
              </w:rPr>
              <w:t>1、工期合理，施工工期计划目标满足招标文件要求。</w:t>
            </w:r>
          </w:p>
          <w:p>
            <w:pPr>
              <w:ind w:left="120" w:leftChars="50" w:right="120" w:rightChars="50"/>
              <w:rPr>
                <w:rFonts w:hint="eastAsia" w:ascii="宋体" w:hAnsi="宋体" w:eastAsia="宋体" w:cs="宋体"/>
                <w:color w:val="auto"/>
              </w:rPr>
            </w:pPr>
            <w:r>
              <w:rPr>
                <w:rFonts w:hint="eastAsia" w:ascii="宋体" w:hAnsi="宋体" w:eastAsia="宋体" w:cs="宋体"/>
                <w:color w:val="auto"/>
              </w:rPr>
              <w:t>2、结合本项目特点，制定总进度计划可行、较合理、有保证措施，形象计划制定较科学。</w:t>
            </w:r>
          </w:p>
          <w:p>
            <w:pPr>
              <w:ind w:left="120" w:leftChars="50" w:right="120" w:rightChars="50"/>
              <w:rPr>
                <w:rFonts w:hint="eastAsia" w:ascii="宋体" w:hAnsi="宋体" w:eastAsia="宋体" w:cs="宋体"/>
                <w:color w:val="auto"/>
                <w:lang w:eastAsia="zh-TW"/>
              </w:rPr>
            </w:pPr>
            <w:r>
              <w:rPr>
                <w:rFonts w:hint="eastAsia" w:ascii="宋体" w:hAnsi="宋体" w:eastAsia="宋体" w:cs="宋体"/>
                <w:color w:val="auto"/>
              </w:rPr>
              <w:t>【优】得（3.0～2.</w:t>
            </w:r>
            <w:r>
              <w:rPr>
                <w:rFonts w:hint="eastAsia" w:ascii="宋体" w:hAnsi="宋体" w:eastAsia="宋体" w:cs="宋体"/>
                <w:color w:val="auto"/>
                <w:lang w:val="en-US" w:eastAsia="zh-CN"/>
              </w:rPr>
              <w:t>6</w:t>
            </w:r>
            <w:r>
              <w:rPr>
                <w:rFonts w:hint="eastAsia" w:ascii="宋体" w:hAnsi="宋体" w:eastAsia="宋体" w:cs="宋体"/>
                <w:color w:val="auto"/>
              </w:rPr>
              <w:t>分），【中】得（2.</w:t>
            </w:r>
            <w:r>
              <w:rPr>
                <w:rFonts w:hint="eastAsia" w:ascii="宋体" w:hAnsi="宋体" w:eastAsia="宋体" w:cs="宋体"/>
                <w:color w:val="auto"/>
                <w:lang w:val="en-US" w:eastAsia="zh-CN"/>
              </w:rPr>
              <w:t>5</w:t>
            </w:r>
            <w:r>
              <w:rPr>
                <w:rFonts w:hint="eastAsia" w:ascii="宋体" w:hAnsi="宋体" w:eastAsia="宋体" w:cs="宋体"/>
                <w:color w:val="auto"/>
              </w:rPr>
              <w:t>～2.</w:t>
            </w:r>
            <w:r>
              <w:rPr>
                <w:rFonts w:hint="eastAsia" w:ascii="宋体" w:hAnsi="宋体" w:eastAsia="宋体" w:cs="宋体"/>
                <w:color w:val="auto"/>
                <w:lang w:val="en-US" w:eastAsia="zh-CN"/>
              </w:rPr>
              <w:t>2</w:t>
            </w:r>
            <w:r>
              <w:rPr>
                <w:rFonts w:hint="eastAsia" w:ascii="宋体" w:hAnsi="宋体" w:eastAsia="宋体" w:cs="宋体"/>
                <w:color w:val="auto"/>
              </w:rPr>
              <w:t>分），【一般】得（</w:t>
            </w:r>
            <w:r>
              <w:rPr>
                <w:rFonts w:hint="eastAsia" w:ascii="宋体" w:hAnsi="宋体" w:eastAsia="宋体" w:cs="宋体"/>
                <w:color w:val="auto"/>
                <w:lang w:val="en-US" w:eastAsia="zh-CN"/>
              </w:rPr>
              <w:t>2.1</w:t>
            </w:r>
            <w:r>
              <w:rPr>
                <w:rFonts w:hint="eastAsia" w:ascii="宋体" w:hAnsi="宋体" w:eastAsia="宋体" w:cs="宋体"/>
                <w:color w:val="auto"/>
              </w:rPr>
              <w:t>～</w:t>
            </w:r>
            <w:r>
              <w:rPr>
                <w:rFonts w:hint="eastAsia" w:ascii="宋体" w:hAnsi="宋体" w:eastAsia="宋体" w:cs="宋体"/>
                <w:color w:val="auto"/>
                <w:lang w:val="en-US" w:eastAsia="zh-CN"/>
              </w:rPr>
              <w:t>1.8</w:t>
            </w:r>
            <w:r>
              <w:rPr>
                <w:rFonts w:hint="eastAsia" w:ascii="宋体" w:hAnsi="宋体" w:eastAsia="宋体" w:cs="宋体"/>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rFonts w:hint="eastAsia" w:ascii="宋体" w:hAnsi="宋体" w:eastAsia="宋体" w:cs="宋体"/>
                <w:color w:val="auto"/>
                <w:lang w:val="zh-TW" w:eastAsia="zh-TW"/>
              </w:rPr>
            </w:pPr>
          </w:p>
        </w:tc>
        <w:tc>
          <w:tcPr>
            <w:tcW w:w="1276" w:type="dxa"/>
            <w:tcBorders>
              <w:top w:val="single" w:color="auto" w:sz="4" w:space="0"/>
              <w:left w:val="single" w:color="000000" w:sz="4" w:space="0"/>
              <w:bottom w:val="single" w:color="000000" w:sz="4" w:space="0"/>
              <w:right w:val="single" w:color="000000" w:sz="4" w:space="0"/>
            </w:tcBorders>
            <w:vAlign w:val="center"/>
          </w:tcPr>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质量控制及保证措施</w:t>
            </w:r>
          </w:p>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（3分）</w:t>
            </w:r>
          </w:p>
        </w:tc>
        <w:tc>
          <w:tcPr>
            <w:tcW w:w="7384" w:type="dxa"/>
            <w:tcBorders>
              <w:top w:val="single" w:color="auto" w:sz="4" w:space="0"/>
              <w:left w:val="single" w:color="000000" w:sz="4" w:space="0"/>
              <w:bottom w:val="single" w:color="000000" w:sz="4" w:space="0"/>
              <w:right w:val="single" w:color="000000" w:sz="4" w:space="0"/>
            </w:tcBorders>
            <w:vAlign w:val="center"/>
          </w:tcPr>
          <w:p>
            <w:pPr>
              <w:ind w:left="120" w:leftChars="50" w:right="120" w:rightChars="50"/>
              <w:rPr>
                <w:rFonts w:hint="eastAsia" w:ascii="宋体" w:hAnsi="宋体" w:eastAsia="宋体" w:cs="宋体"/>
                <w:color w:val="auto"/>
              </w:rPr>
            </w:pPr>
            <w:r>
              <w:rPr>
                <w:rFonts w:hint="eastAsia" w:ascii="宋体" w:hAnsi="宋体" w:eastAsia="宋体" w:cs="宋体"/>
                <w:color w:val="auto"/>
              </w:rPr>
              <w:t>1、质量目标明确。</w:t>
            </w:r>
          </w:p>
          <w:p>
            <w:pPr>
              <w:ind w:left="120" w:leftChars="50" w:right="120" w:rightChars="50"/>
              <w:rPr>
                <w:rFonts w:hint="eastAsia" w:ascii="宋体" w:hAnsi="宋体" w:eastAsia="宋体" w:cs="宋体"/>
                <w:color w:val="auto"/>
              </w:rPr>
            </w:pPr>
            <w:r>
              <w:rPr>
                <w:rFonts w:hint="eastAsia" w:ascii="宋体" w:hAnsi="宋体" w:eastAsia="宋体" w:cs="宋体"/>
                <w:color w:val="auto"/>
              </w:rPr>
              <w:t>2、结合本项目特点，从材料选用及进场质量验收、施工工艺及施工组织管理等方面提出相应得质量保证措施，确保实现工程质量目标。</w:t>
            </w:r>
          </w:p>
          <w:p>
            <w:pPr>
              <w:ind w:left="120" w:leftChars="50" w:right="120" w:rightChars="50"/>
              <w:rPr>
                <w:rFonts w:hint="eastAsia" w:ascii="宋体" w:hAnsi="宋体" w:eastAsia="宋体" w:cs="宋体"/>
                <w:color w:val="auto"/>
              </w:rPr>
            </w:pPr>
            <w:r>
              <w:rPr>
                <w:rFonts w:hint="eastAsia" w:ascii="宋体" w:hAnsi="宋体" w:eastAsia="宋体" w:cs="宋体"/>
                <w:color w:val="auto"/>
              </w:rPr>
              <w:t>【优】得（3.0～2.</w:t>
            </w:r>
            <w:r>
              <w:rPr>
                <w:rFonts w:hint="eastAsia" w:ascii="宋体" w:hAnsi="宋体" w:eastAsia="宋体" w:cs="宋体"/>
                <w:color w:val="auto"/>
                <w:lang w:val="en-US" w:eastAsia="zh-CN"/>
              </w:rPr>
              <w:t>6</w:t>
            </w:r>
            <w:r>
              <w:rPr>
                <w:rFonts w:hint="eastAsia" w:ascii="宋体" w:hAnsi="宋体" w:eastAsia="宋体" w:cs="宋体"/>
                <w:color w:val="auto"/>
              </w:rPr>
              <w:t>分），【中】得（2.</w:t>
            </w:r>
            <w:r>
              <w:rPr>
                <w:rFonts w:hint="eastAsia" w:ascii="宋体" w:hAnsi="宋体" w:eastAsia="宋体" w:cs="宋体"/>
                <w:color w:val="auto"/>
                <w:lang w:val="en-US" w:eastAsia="zh-CN"/>
              </w:rPr>
              <w:t>5</w:t>
            </w:r>
            <w:r>
              <w:rPr>
                <w:rFonts w:hint="eastAsia" w:ascii="宋体" w:hAnsi="宋体" w:eastAsia="宋体" w:cs="宋体"/>
                <w:color w:val="auto"/>
              </w:rPr>
              <w:t>～2.</w:t>
            </w:r>
            <w:r>
              <w:rPr>
                <w:rFonts w:hint="eastAsia" w:ascii="宋体" w:hAnsi="宋体" w:eastAsia="宋体" w:cs="宋体"/>
                <w:color w:val="auto"/>
                <w:lang w:val="en-US" w:eastAsia="zh-CN"/>
              </w:rPr>
              <w:t>2</w:t>
            </w:r>
            <w:r>
              <w:rPr>
                <w:rFonts w:hint="eastAsia" w:ascii="宋体" w:hAnsi="宋体" w:eastAsia="宋体" w:cs="宋体"/>
                <w:color w:val="auto"/>
              </w:rPr>
              <w:t>分），【一般】得（</w:t>
            </w:r>
            <w:r>
              <w:rPr>
                <w:rFonts w:hint="eastAsia" w:ascii="宋体" w:hAnsi="宋体" w:eastAsia="宋体" w:cs="宋体"/>
                <w:color w:val="auto"/>
                <w:lang w:val="en-US" w:eastAsia="zh-CN"/>
              </w:rPr>
              <w:t>2.1</w:t>
            </w:r>
            <w:r>
              <w:rPr>
                <w:rFonts w:hint="eastAsia" w:ascii="宋体" w:hAnsi="宋体" w:eastAsia="宋体" w:cs="宋体"/>
                <w:color w:val="auto"/>
              </w:rPr>
              <w:t>～</w:t>
            </w:r>
            <w:r>
              <w:rPr>
                <w:rFonts w:hint="eastAsia" w:ascii="宋体" w:hAnsi="宋体" w:eastAsia="宋体" w:cs="宋体"/>
                <w:color w:val="auto"/>
                <w:lang w:val="en-US" w:eastAsia="zh-CN"/>
              </w:rPr>
              <w:t>1.8</w:t>
            </w:r>
            <w:r>
              <w:rPr>
                <w:rFonts w:hint="eastAsia" w:ascii="宋体" w:hAnsi="宋体" w:eastAsia="宋体" w:cs="宋体"/>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rFonts w:hint="eastAsia" w:ascii="宋体" w:hAnsi="宋体" w:eastAsia="宋体" w:cs="宋体"/>
                <w:color w:val="auto"/>
                <w:lang w:val="zh-TW" w:eastAsia="zh-TW"/>
              </w:rPr>
            </w:pPr>
          </w:p>
        </w:tc>
        <w:tc>
          <w:tcPr>
            <w:tcW w:w="1276"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安全、文明施工保证措施</w:t>
            </w:r>
          </w:p>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（2分）</w:t>
            </w:r>
          </w:p>
        </w:tc>
        <w:tc>
          <w:tcPr>
            <w:tcW w:w="7384"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rPr>
                <w:rFonts w:hint="eastAsia" w:ascii="宋体" w:hAnsi="宋体" w:eastAsia="宋体" w:cs="宋体"/>
                <w:color w:val="auto"/>
              </w:rPr>
            </w:pPr>
            <w:r>
              <w:rPr>
                <w:rFonts w:hint="eastAsia" w:ascii="宋体" w:hAnsi="宋体" w:eastAsia="宋体" w:cs="宋体"/>
                <w:color w:val="auto"/>
              </w:rPr>
              <w:t>1、安全目标明确。</w:t>
            </w:r>
          </w:p>
          <w:p>
            <w:pPr>
              <w:ind w:left="120" w:leftChars="50" w:right="120" w:rightChars="50"/>
              <w:rPr>
                <w:rFonts w:hint="eastAsia" w:ascii="宋体" w:hAnsi="宋体" w:eastAsia="宋体" w:cs="宋体"/>
                <w:color w:val="auto"/>
              </w:rPr>
            </w:pPr>
            <w:r>
              <w:rPr>
                <w:rFonts w:hint="eastAsia" w:ascii="宋体" w:hAnsi="宋体" w:eastAsia="宋体" w:cs="宋体"/>
                <w:color w:val="auto"/>
              </w:rPr>
              <w:t>2、结合本项目特点，制定健全的安全、文明施工保证体系，各项保证措施明确、具体、可行、落实，特别是在典型位置的安全措施先进可靠。</w:t>
            </w:r>
          </w:p>
          <w:p>
            <w:pPr>
              <w:ind w:left="120" w:leftChars="50" w:right="120" w:rightChars="50"/>
              <w:rPr>
                <w:rFonts w:hint="eastAsia" w:ascii="宋体" w:hAnsi="宋体" w:eastAsia="宋体" w:cs="宋体"/>
                <w:color w:val="auto"/>
                <w:lang w:val="zh-TW"/>
              </w:rPr>
            </w:pPr>
            <w:r>
              <w:rPr>
                <w:rFonts w:hint="eastAsia" w:ascii="宋体" w:hAnsi="宋体" w:eastAsia="宋体" w:cs="宋体"/>
                <w:color w:val="auto"/>
              </w:rPr>
              <w:t>【优】得（2.0～1.</w:t>
            </w:r>
            <w:r>
              <w:rPr>
                <w:rFonts w:hint="eastAsia" w:ascii="宋体" w:hAnsi="宋体" w:eastAsia="宋体" w:cs="宋体"/>
                <w:color w:val="auto"/>
                <w:lang w:val="en-US" w:eastAsia="zh-CN"/>
              </w:rPr>
              <w:t>7</w:t>
            </w:r>
            <w:r>
              <w:rPr>
                <w:rFonts w:hint="eastAsia" w:ascii="宋体" w:hAnsi="宋体" w:eastAsia="宋体" w:cs="宋体"/>
                <w:color w:val="auto"/>
              </w:rPr>
              <w:t>分），【中】得（1.</w:t>
            </w:r>
            <w:r>
              <w:rPr>
                <w:rFonts w:hint="eastAsia" w:ascii="宋体" w:hAnsi="宋体" w:eastAsia="宋体" w:cs="宋体"/>
                <w:color w:val="auto"/>
                <w:lang w:val="en-US" w:eastAsia="zh-CN"/>
              </w:rPr>
              <w:t>6</w:t>
            </w: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分），【一般】得（1.</w:t>
            </w:r>
            <w:r>
              <w:rPr>
                <w:rFonts w:hint="eastAsia" w:ascii="宋体" w:hAnsi="宋体" w:eastAsia="宋体" w:cs="宋体"/>
                <w:color w:val="auto"/>
                <w:lang w:val="en-US" w:eastAsia="zh-CN"/>
              </w:rPr>
              <w:t>3</w:t>
            </w:r>
            <w:r>
              <w:rPr>
                <w:rFonts w:hint="eastAsia" w:ascii="宋体" w:hAnsi="宋体" w:eastAsia="宋体" w:cs="宋体"/>
                <w:color w:val="auto"/>
              </w:rPr>
              <w:t>分）</w:t>
            </w:r>
            <w:r>
              <w:rPr>
                <w:rFonts w:hint="eastAsia" w:ascii="宋体" w:hAnsi="宋体" w:eastAsia="宋体" w:cs="宋体"/>
                <w:color w:val="auto"/>
                <w:lang w:eastAsia="zh-CN"/>
              </w:rPr>
              <w:t>，</w:t>
            </w:r>
            <w:r>
              <w:rPr>
                <w:rFonts w:hint="eastAsia" w:ascii="宋体" w:hAnsi="宋体" w:eastAsia="宋体" w:cs="宋体"/>
                <w:color w:val="auto"/>
              </w:rPr>
              <w:t>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rFonts w:hint="eastAsia" w:ascii="宋体" w:hAnsi="宋体" w:eastAsia="宋体" w:cs="宋体"/>
                <w:color w:val="auto"/>
                <w:lang w:val="zh-TW" w:eastAsia="zh-TW"/>
              </w:rPr>
            </w:pPr>
          </w:p>
        </w:tc>
        <w:tc>
          <w:tcPr>
            <w:tcW w:w="1276"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工程施工重难点分析及应对方案</w:t>
            </w:r>
          </w:p>
          <w:p>
            <w:pPr>
              <w:ind w:left="120" w:leftChars="50" w:right="120" w:rightChars="50"/>
              <w:jc w:val="center"/>
              <w:rPr>
                <w:rFonts w:hint="eastAsia" w:ascii="宋体" w:hAnsi="宋体" w:eastAsia="宋体" w:cs="宋体"/>
                <w:color w:val="auto"/>
              </w:rPr>
            </w:pPr>
            <w:r>
              <w:rPr>
                <w:rFonts w:hint="eastAsia" w:ascii="宋体" w:hAnsi="宋体" w:eastAsia="宋体" w:cs="宋体"/>
                <w:color w:val="auto"/>
              </w:rPr>
              <w:t>（2分）</w:t>
            </w:r>
          </w:p>
        </w:tc>
        <w:tc>
          <w:tcPr>
            <w:tcW w:w="7384"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rPr>
                <w:rFonts w:hint="eastAsia" w:ascii="宋体" w:hAnsi="宋体" w:eastAsia="宋体" w:cs="宋体"/>
                <w:color w:val="auto"/>
              </w:rPr>
            </w:pPr>
            <w:r>
              <w:rPr>
                <w:rFonts w:hint="eastAsia" w:ascii="宋体" w:hAnsi="宋体" w:eastAsia="宋体" w:cs="宋体"/>
                <w:color w:val="auto"/>
              </w:rPr>
              <w:t>1、依据工程重点、难点制定专项施工方案。</w:t>
            </w:r>
          </w:p>
          <w:p>
            <w:pPr>
              <w:ind w:left="120" w:leftChars="50" w:right="120" w:rightChars="50"/>
              <w:rPr>
                <w:rFonts w:hint="eastAsia" w:ascii="宋体" w:hAnsi="宋体" w:eastAsia="宋体" w:cs="宋体"/>
                <w:color w:val="auto"/>
              </w:rPr>
            </w:pPr>
            <w:r>
              <w:rPr>
                <w:rFonts w:hint="eastAsia" w:ascii="宋体" w:hAnsi="宋体" w:eastAsia="宋体" w:cs="宋体"/>
                <w:color w:val="auto"/>
              </w:rPr>
              <w:t>2、对本项目工程重点、难点理解透彻，制定相应对策，对策的针对性强、可行性好。</w:t>
            </w:r>
          </w:p>
          <w:p>
            <w:pPr>
              <w:ind w:left="120" w:leftChars="50" w:right="120" w:rightChars="50"/>
              <w:rPr>
                <w:rFonts w:hint="eastAsia" w:ascii="宋体" w:hAnsi="宋体" w:eastAsia="宋体" w:cs="宋体"/>
                <w:color w:val="auto"/>
                <w:lang w:val="zh-TW" w:eastAsia="zh-TW"/>
              </w:rPr>
            </w:pPr>
            <w:r>
              <w:rPr>
                <w:rFonts w:hint="eastAsia" w:ascii="宋体" w:hAnsi="宋体" w:eastAsia="宋体" w:cs="宋体"/>
                <w:color w:val="auto"/>
              </w:rPr>
              <w:t>【优】得（2.0～1.</w:t>
            </w:r>
            <w:r>
              <w:rPr>
                <w:rFonts w:hint="eastAsia" w:ascii="宋体" w:hAnsi="宋体" w:eastAsia="宋体" w:cs="宋体"/>
                <w:color w:val="auto"/>
                <w:lang w:val="en-US" w:eastAsia="zh-CN"/>
              </w:rPr>
              <w:t>7</w:t>
            </w:r>
            <w:r>
              <w:rPr>
                <w:rFonts w:hint="eastAsia" w:ascii="宋体" w:hAnsi="宋体" w:eastAsia="宋体" w:cs="宋体"/>
                <w:color w:val="auto"/>
              </w:rPr>
              <w:t>分），【中】得（1.</w:t>
            </w:r>
            <w:r>
              <w:rPr>
                <w:rFonts w:hint="eastAsia" w:ascii="宋体" w:hAnsi="宋体" w:eastAsia="宋体" w:cs="宋体"/>
                <w:color w:val="auto"/>
                <w:lang w:val="en-US" w:eastAsia="zh-CN"/>
              </w:rPr>
              <w:t>6</w:t>
            </w: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分），【一般】得（1.</w:t>
            </w:r>
            <w:r>
              <w:rPr>
                <w:rFonts w:hint="eastAsia" w:ascii="宋体" w:hAnsi="宋体" w:eastAsia="宋体" w:cs="宋体"/>
                <w:color w:val="auto"/>
                <w:lang w:val="en-US" w:eastAsia="zh-CN"/>
              </w:rPr>
              <w:t>3</w:t>
            </w:r>
            <w:r>
              <w:rPr>
                <w:rFonts w:hint="eastAsia" w:ascii="宋体" w:hAnsi="宋体" w:eastAsia="宋体" w:cs="宋体"/>
                <w:color w:val="auto"/>
              </w:rPr>
              <w:t>分）</w:t>
            </w:r>
            <w:r>
              <w:rPr>
                <w:rFonts w:hint="eastAsia" w:ascii="宋体" w:hAnsi="宋体" w:eastAsia="宋体" w:cs="宋体"/>
                <w:color w:val="auto"/>
                <w:lang w:eastAsia="zh-CN"/>
              </w:rPr>
              <w:t>，</w:t>
            </w:r>
            <w:r>
              <w:rPr>
                <w:rFonts w:hint="eastAsia" w:ascii="宋体" w:hAnsi="宋体" w:eastAsia="宋体" w:cs="宋体"/>
                <w:color w:val="auto"/>
              </w:rPr>
              <w:t>不提供得0分。</w:t>
            </w:r>
          </w:p>
        </w:tc>
      </w:tr>
    </w:tbl>
    <w:p>
      <w:pPr>
        <w:rPr>
          <w:rFonts w:hint="eastAsia" w:ascii="宋体" w:hAnsi="宋体" w:eastAsia="宋体" w:cs="宋体"/>
          <w:color w:val="auto"/>
        </w:rPr>
      </w:pPr>
      <w:r>
        <w:rPr>
          <w:rFonts w:hint="eastAsia" w:ascii="宋体" w:hAnsi="宋体" w:eastAsia="宋体" w:cs="宋体"/>
          <w:color w:val="auto"/>
        </w:rPr>
        <w:t>备注：1、技术评分：评标委员会各成员根据评分表独立评分，所有评委的评分去掉一个最高分和最低分算术平均为投标人的技术标得分（技术标分值四舍五入保留小数点后两位数字）。</w:t>
      </w:r>
    </w:p>
    <w:p>
      <w:pPr>
        <w:rPr>
          <w:rFonts w:hint="eastAsia" w:ascii="宋体" w:hAnsi="宋体" w:eastAsia="宋体" w:cs="宋体"/>
          <w:color w:val="auto"/>
        </w:rPr>
      </w:pPr>
      <w:r>
        <w:rPr>
          <w:rFonts w:hint="eastAsia" w:ascii="宋体" w:hAnsi="宋体" w:eastAsia="宋体" w:cs="宋体"/>
          <w:color w:val="auto"/>
        </w:rPr>
        <w:br w:type="page"/>
      </w:r>
    </w:p>
    <w:p>
      <w:pPr>
        <w:jc w:val="center"/>
        <w:rPr>
          <w:rFonts w:hint="eastAsia" w:ascii="宋体" w:hAnsi="宋体" w:eastAsia="宋体" w:cs="宋体"/>
          <w:b/>
          <w:bCs/>
          <w:color w:val="auto"/>
          <w:sz w:val="32"/>
          <w:szCs w:val="24"/>
        </w:rPr>
      </w:pPr>
      <w:r>
        <w:rPr>
          <w:rFonts w:hint="eastAsia" w:ascii="宋体" w:hAnsi="宋体" w:eastAsia="宋体" w:cs="宋体"/>
          <w:b/>
          <w:bCs/>
          <w:color w:val="auto"/>
          <w:sz w:val="32"/>
          <w:szCs w:val="24"/>
        </w:rPr>
        <w:t>（三）投标报价评分表（30分）</w:t>
      </w:r>
    </w:p>
    <w:tbl>
      <w:tblPr>
        <w:tblStyle w:val="50"/>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4" w:hRule="atLeast"/>
          <w:jc w:val="center"/>
        </w:trPr>
        <w:tc>
          <w:tcPr>
            <w:tcW w:w="1844" w:type="dxa"/>
            <w:vAlign w:val="center"/>
          </w:tcPr>
          <w:p>
            <w:pPr>
              <w:rPr>
                <w:rFonts w:hint="eastAsia" w:ascii="宋体" w:hAnsi="宋体" w:eastAsia="宋体" w:cs="宋体"/>
                <w:color w:val="auto"/>
              </w:rPr>
            </w:pPr>
            <w:r>
              <w:rPr>
                <w:rFonts w:hint="eastAsia" w:ascii="宋体" w:hAnsi="宋体" w:eastAsia="宋体" w:cs="宋体"/>
                <w:color w:val="auto"/>
              </w:rPr>
              <w:t>投标报价得分（满分30分）</w:t>
            </w:r>
          </w:p>
        </w:tc>
        <w:tc>
          <w:tcPr>
            <w:tcW w:w="8455" w:type="dxa"/>
            <w:vAlign w:val="center"/>
          </w:tcPr>
          <w:p>
            <w:pPr>
              <w:rPr>
                <w:rFonts w:hint="eastAsia" w:ascii="宋体" w:hAnsi="宋体" w:eastAsia="宋体" w:cs="宋体"/>
                <w:color w:val="auto"/>
              </w:rPr>
            </w:pPr>
            <w:r>
              <w:rPr>
                <w:rFonts w:hint="eastAsia" w:ascii="宋体" w:hAnsi="宋体" w:eastAsia="宋体" w:cs="宋体"/>
                <w:color w:val="auto"/>
              </w:rPr>
              <w:t>1、投标时由投标人投标报价下浮率（a）：投标人以下浮率5.00％为投标下限报价，以下浮率0.00%为投标上限报价，若超出此报价范围，则作废标处理。所有有效投标报价下浮率平均值为本工程的评标基准下浮率。</w:t>
            </w:r>
          </w:p>
          <w:p>
            <w:pPr>
              <w:rPr>
                <w:rFonts w:hint="eastAsia" w:ascii="宋体" w:hAnsi="宋体" w:eastAsia="宋体" w:cs="宋体"/>
                <w:color w:val="auto"/>
              </w:rPr>
            </w:pPr>
            <w:r>
              <w:rPr>
                <w:rFonts w:hint="eastAsia" w:ascii="宋体" w:hAnsi="宋体" w:eastAsia="宋体" w:cs="宋体"/>
                <w:color w:val="auto"/>
              </w:rPr>
              <w:t>2、投标报价下浮率按以下方式评分：</w:t>
            </w:r>
          </w:p>
          <w:p>
            <w:pPr>
              <w:rPr>
                <w:rFonts w:hint="eastAsia" w:ascii="宋体" w:hAnsi="宋体" w:eastAsia="宋体" w:cs="宋体"/>
                <w:color w:val="auto"/>
              </w:rPr>
            </w:pPr>
            <w:r>
              <w:rPr>
                <w:rFonts w:hint="eastAsia" w:ascii="宋体" w:hAnsi="宋体" w:eastAsia="宋体" w:cs="宋体"/>
                <w:color w:val="auto"/>
              </w:rPr>
              <w:t>(1)投标报价下浮率等于评标基准下浮率的得分为满分30分；</w:t>
            </w:r>
          </w:p>
          <w:p>
            <w:pPr>
              <w:rPr>
                <w:rFonts w:hint="eastAsia" w:ascii="宋体" w:hAnsi="宋体" w:eastAsia="宋体" w:cs="宋体"/>
                <w:color w:val="auto"/>
              </w:rPr>
            </w:pPr>
            <w:r>
              <w:rPr>
                <w:rFonts w:hint="eastAsia" w:ascii="宋体" w:hAnsi="宋体" w:eastAsia="宋体" w:cs="宋体"/>
                <w:color w:val="auto"/>
              </w:rPr>
              <w:t>(2)投标报价下浮率小于评标基准下浮率的，每减少1%减0.2分；</w:t>
            </w:r>
          </w:p>
          <w:p>
            <w:pPr>
              <w:rPr>
                <w:rFonts w:hint="eastAsia" w:ascii="宋体" w:hAnsi="宋体" w:eastAsia="宋体" w:cs="宋体"/>
                <w:color w:val="auto"/>
              </w:rPr>
            </w:pPr>
            <w:r>
              <w:rPr>
                <w:rFonts w:hint="eastAsia" w:ascii="宋体" w:hAnsi="宋体" w:eastAsia="宋体" w:cs="宋体"/>
                <w:color w:val="auto"/>
              </w:rPr>
              <w:t>即投标价得分＝30</w:t>
            </w:r>
            <w:r>
              <w:rPr>
                <w:rFonts w:hint="eastAsia" w:ascii="宋体" w:hAnsi="宋体" w:cs="宋体"/>
                <w:color w:val="auto"/>
                <w:lang w:val="en-US" w:eastAsia="zh-CN"/>
              </w:rPr>
              <w:t>+</w:t>
            </w:r>
            <w:r>
              <w:rPr>
                <w:rFonts w:hint="eastAsia" w:ascii="宋体" w:hAnsi="宋体" w:eastAsia="宋体" w:cs="宋体"/>
                <w:color w:val="auto"/>
              </w:rPr>
              <w:t>（投标人投标价下浮率-评标基准下浮率）×100×0.2；</w:t>
            </w:r>
          </w:p>
          <w:p>
            <w:pPr>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rPr>
              <w:tab/>
            </w:r>
            <w:r>
              <w:rPr>
                <w:rFonts w:hint="eastAsia" w:ascii="宋体" w:hAnsi="宋体" w:eastAsia="宋体" w:cs="宋体"/>
                <w:color w:val="auto"/>
              </w:rPr>
              <w:t>投标报价下浮率大于评标基准下浮率的，每增加1%减0.</w:t>
            </w:r>
            <w:r>
              <w:rPr>
                <w:rFonts w:hint="eastAsia" w:ascii="宋体" w:hAnsi="宋体" w:eastAsia="宋体" w:cs="宋体"/>
                <w:color w:val="auto"/>
                <w:lang w:val="en-US" w:eastAsia="zh-CN"/>
              </w:rPr>
              <w:t>5</w:t>
            </w:r>
            <w:r>
              <w:rPr>
                <w:rFonts w:hint="eastAsia" w:ascii="宋体" w:hAnsi="宋体" w:eastAsia="宋体" w:cs="宋体"/>
                <w:color w:val="auto"/>
              </w:rPr>
              <w:t>分；</w:t>
            </w:r>
          </w:p>
          <w:p>
            <w:pPr>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rPr>
              <w:tab/>
            </w:r>
            <w:r>
              <w:rPr>
                <w:rFonts w:hint="eastAsia" w:ascii="宋体" w:hAnsi="宋体" w:eastAsia="宋体" w:cs="宋体"/>
                <w:color w:val="auto"/>
              </w:rPr>
              <w:t>即投标价得分＝30</w:t>
            </w:r>
            <w:r>
              <w:rPr>
                <w:rFonts w:hint="eastAsia" w:ascii="宋体" w:hAnsi="宋体" w:cs="宋体"/>
                <w:color w:val="auto"/>
                <w:lang w:val="en-US" w:eastAsia="zh-CN"/>
              </w:rPr>
              <w:t>-</w:t>
            </w:r>
            <w:r>
              <w:rPr>
                <w:rFonts w:hint="eastAsia" w:ascii="宋体" w:hAnsi="宋体" w:eastAsia="宋体" w:cs="宋体"/>
                <w:color w:val="auto"/>
              </w:rPr>
              <w:t>（投标人投标价下浮率-评标基准下浮率）×100×0.</w:t>
            </w:r>
            <w:r>
              <w:rPr>
                <w:rFonts w:hint="eastAsia" w:ascii="宋体" w:hAnsi="宋体" w:cs="宋体"/>
                <w:color w:val="auto"/>
                <w:lang w:val="en-US" w:eastAsia="zh-CN"/>
              </w:rPr>
              <w:t>5</w:t>
            </w:r>
            <w:r>
              <w:rPr>
                <w:rFonts w:hint="eastAsia" w:ascii="宋体" w:hAnsi="宋体" w:eastAsia="宋体" w:cs="宋体"/>
                <w:color w:val="auto"/>
              </w:rPr>
              <w:t>；</w:t>
            </w:r>
          </w:p>
          <w:p>
            <w:pPr>
              <w:rPr>
                <w:rFonts w:hint="eastAsia" w:ascii="宋体" w:hAnsi="宋体" w:eastAsia="宋体" w:cs="宋体"/>
                <w:color w:val="auto"/>
                <w:lang w:val="en-US" w:eastAsia="zh-CN"/>
              </w:rPr>
            </w:pPr>
            <w:r>
              <w:rPr>
                <w:rFonts w:hint="eastAsia" w:ascii="宋体" w:hAnsi="宋体" w:eastAsia="宋体" w:cs="宋体"/>
                <w:color w:val="auto"/>
              </w:rPr>
              <w:t>3、得分最终保留到小数点后两位，第三位四舍五入。</w:t>
            </w:r>
          </w:p>
        </w:tc>
      </w:tr>
    </w:tbl>
    <w:p>
      <w:pPr>
        <w:rPr>
          <w:rFonts w:hint="eastAsia" w:ascii="宋体" w:hAnsi="宋体" w:eastAsia="宋体" w:cs="宋体"/>
          <w:color w:val="auto"/>
        </w:rPr>
      </w:pPr>
    </w:p>
    <w:bookmarkEnd w:id="3"/>
    <w:bookmarkEnd w:id="4"/>
    <w:p>
      <w:pPr>
        <w:keepNext w:val="0"/>
        <w:keepLines w:val="0"/>
        <w:pageBreakBefore w:val="0"/>
        <w:widowControl w:val="0"/>
        <w:kinsoku/>
        <w:wordWrap/>
        <w:overflowPunct/>
        <w:topLinePunct w:val="0"/>
        <w:autoSpaceDE/>
        <w:autoSpaceDN/>
        <w:bidi w:val="0"/>
        <w:adjustRightInd/>
        <w:spacing w:line="560" w:lineRule="exact"/>
        <w:ind w:left="204" w:leftChars="85"/>
        <w:textAlignment w:val="auto"/>
        <w:outlineLvl w:val="1"/>
        <w:rPr>
          <w:rFonts w:hint="eastAsia" w:ascii="宋体" w:hAnsi="宋体" w:eastAsia="宋体" w:cs="宋体"/>
          <w:b/>
          <w:color w:val="auto"/>
          <w:sz w:val="24"/>
        </w:rPr>
      </w:pPr>
      <w:bookmarkStart w:id="29" w:name="_Toc506123960"/>
      <w:bookmarkStart w:id="30" w:name="_Toc506123570"/>
      <w:bookmarkStart w:id="31" w:name="_Toc2784"/>
      <w:bookmarkStart w:id="32" w:name="_Toc394264940"/>
      <w:bookmarkStart w:id="33" w:name="_Toc394271210"/>
      <w:r>
        <w:rPr>
          <w:rFonts w:hint="eastAsia" w:ascii="宋体" w:hAnsi="宋体" w:eastAsia="宋体" w:cs="宋体"/>
          <w:b/>
          <w:color w:val="auto"/>
          <w:sz w:val="24"/>
        </w:rPr>
        <w:t>一、评标依据：</w:t>
      </w:r>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(1)《中华人民共和国招标投标法》（中华人民共和国主席令第二十一号）及《中华人民共和国招标投标法实施条例》（中华人民共和国国务院令第613号）；</w:t>
      </w:r>
    </w:p>
    <w:p>
      <w:pPr>
        <w:keepNext w:val="0"/>
        <w:keepLines w:val="0"/>
        <w:pageBreakBefore w:val="0"/>
        <w:widowControl w:val="0"/>
        <w:kinsoku/>
        <w:wordWrap/>
        <w:overflowPunct/>
        <w:topLinePunct w:val="0"/>
        <w:autoSpaceDE/>
        <w:autoSpaceDN/>
        <w:bidi w:val="0"/>
        <w:adjustRightInd/>
        <w:snapToGrid w:val="0"/>
        <w:spacing w:line="560" w:lineRule="exact"/>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rPr>
        <w:t xml:space="preserve"> (2)国家和部及地方颁有关技术规范和管理规定；</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(3)本工程招标文件。</w:t>
      </w:r>
    </w:p>
    <w:p>
      <w:pPr>
        <w:keepNext w:val="0"/>
        <w:keepLines w:val="0"/>
        <w:pageBreakBefore w:val="0"/>
        <w:widowControl w:val="0"/>
        <w:kinsoku/>
        <w:wordWrap/>
        <w:overflowPunct/>
        <w:topLinePunct w:val="0"/>
        <w:autoSpaceDE/>
        <w:autoSpaceDN/>
        <w:bidi w:val="0"/>
        <w:adjustRightInd/>
        <w:spacing w:line="560" w:lineRule="exact"/>
        <w:ind w:left="204" w:leftChars="85"/>
        <w:textAlignment w:val="auto"/>
        <w:outlineLvl w:val="1"/>
        <w:rPr>
          <w:rFonts w:hint="eastAsia" w:ascii="宋体" w:hAnsi="宋体" w:eastAsia="宋体" w:cs="宋体"/>
          <w:b/>
          <w:color w:val="auto"/>
          <w:sz w:val="24"/>
        </w:rPr>
      </w:pPr>
      <w:bookmarkStart w:id="34" w:name="_Toc506123961"/>
      <w:bookmarkStart w:id="35" w:name="_Toc394271211"/>
      <w:bookmarkStart w:id="36" w:name="_Toc394264941"/>
      <w:bookmarkStart w:id="37" w:name="_Toc506123571"/>
      <w:bookmarkStart w:id="38" w:name="_Toc2626"/>
      <w:r>
        <w:rPr>
          <w:rFonts w:hint="eastAsia" w:ascii="宋体" w:hAnsi="宋体" w:eastAsia="宋体" w:cs="宋体"/>
          <w:b/>
          <w:color w:val="auto"/>
          <w:sz w:val="24"/>
        </w:rPr>
        <w:t>二、评标委员会组成</w:t>
      </w:r>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pacing w:line="560" w:lineRule="exact"/>
        <w:ind w:left="-103" w:leftChars="-4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评标委员会根据有关规定组建，评标委员会</w:t>
      </w:r>
      <w:r>
        <w:rPr>
          <w:rFonts w:hint="eastAsia" w:ascii="宋体" w:hAnsi="宋体" w:eastAsia="宋体" w:cs="宋体"/>
          <w:color w:val="auto"/>
          <w:sz w:val="24"/>
          <w:lang w:val="en-US" w:eastAsia="zh-CN"/>
        </w:rPr>
        <w:t>5人</w:t>
      </w:r>
      <w:r>
        <w:rPr>
          <w:rFonts w:hint="eastAsia" w:ascii="宋体" w:hAnsi="宋体" w:eastAsia="宋体" w:cs="宋体"/>
          <w:color w:val="auto"/>
          <w:sz w:val="24"/>
        </w:rPr>
        <w:t>在开标前在从广东省综合评标评审专家库中随机抽取，评标委员会由有关技术、经济等方面的专家组成。</w:t>
      </w:r>
    </w:p>
    <w:p>
      <w:pPr>
        <w:keepNext w:val="0"/>
        <w:keepLines w:val="0"/>
        <w:pageBreakBefore w:val="0"/>
        <w:widowControl w:val="0"/>
        <w:kinsoku/>
        <w:wordWrap/>
        <w:overflowPunct/>
        <w:topLinePunct w:val="0"/>
        <w:autoSpaceDE/>
        <w:autoSpaceDN/>
        <w:bidi w:val="0"/>
        <w:adjustRightInd/>
        <w:spacing w:line="560" w:lineRule="exact"/>
        <w:ind w:left="204" w:leftChars="85"/>
        <w:textAlignment w:val="auto"/>
        <w:outlineLvl w:val="1"/>
        <w:rPr>
          <w:rFonts w:hint="eastAsia" w:ascii="宋体" w:hAnsi="宋体" w:eastAsia="宋体" w:cs="宋体"/>
          <w:b/>
          <w:color w:val="auto"/>
          <w:sz w:val="24"/>
        </w:rPr>
      </w:pPr>
      <w:bookmarkStart w:id="39" w:name="_Toc394271213"/>
      <w:bookmarkStart w:id="40" w:name="_Toc394264943"/>
      <w:bookmarkStart w:id="41" w:name="_Toc506123573"/>
      <w:bookmarkStart w:id="42" w:name="_Toc319"/>
      <w:bookmarkStart w:id="43" w:name="_Toc506123963"/>
      <w:r>
        <w:rPr>
          <w:rFonts w:hint="eastAsia" w:ascii="宋体" w:hAnsi="宋体" w:eastAsia="宋体" w:cs="宋体"/>
          <w:b/>
          <w:color w:val="auto"/>
          <w:sz w:val="24"/>
        </w:rPr>
        <w:t>三、评标纪律</w:t>
      </w:r>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1、参加评标的所有评标委员均不代表原来各自的单位和组织，评标委员的名单在中标结果确定前保密。</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2、评标委员会和与评标活动有关的工作人员不得透露对投标文件的评审和比较、中标候选人的推荐情况以及与评标有关的其它情况。</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3、评标委员会成员对所提出的评审意见承担个人责任，评标委员不得与任何投标人或者与招标结果有利害关系的人进行私下接触。</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4、评标委员应站在公平、公正的立场，严格按照评标办法、招标文件和国家有关技术规范的规定进行，不得随意修改评标办法。</w:t>
      </w:r>
    </w:p>
    <w:p>
      <w:pPr>
        <w:spacing w:line="480" w:lineRule="exact"/>
        <w:ind w:left="204" w:leftChars="85"/>
        <w:outlineLvl w:val="1"/>
        <w:rPr>
          <w:rFonts w:hint="eastAsia" w:ascii="宋体" w:hAnsi="宋体" w:eastAsia="宋体" w:cs="宋体"/>
          <w:b/>
          <w:color w:val="auto"/>
          <w:sz w:val="24"/>
        </w:rPr>
      </w:pPr>
      <w:bookmarkStart w:id="44" w:name="_Toc394264944"/>
      <w:bookmarkStart w:id="45" w:name="_Toc506123574"/>
      <w:bookmarkStart w:id="46" w:name="_Toc394271214"/>
      <w:bookmarkStart w:id="47" w:name="_Toc506123964"/>
      <w:bookmarkStart w:id="48" w:name="_Toc1770"/>
      <w:r>
        <w:rPr>
          <w:rFonts w:hint="eastAsia" w:ascii="宋体" w:hAnsi="宋体" w:eastAsia="宋体" w:cs="宋体"/>
          <w:b/>
          <w:color w:val="auto"/>
          <w:sz w:val="24"/>
        </w:rPr>
        <w:t>四、评标监督管理</w:t>
      </w:r>
      <w:bookmarkEnd w:id="44"/>
      <w:bookmarkEnd w:id="45"/>
      <w:bookmarkEnd w:id="46"/>
      <w:bookmarkEnd w:id="47"/>
      <w:bookmarkEnd w:id="48"/>
    </w:p>
    <w:p>
      <w:pPr>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招标评标活动在招标人和有关行政监督部门、上级主管部门的监督下进行。</w:t>
      </w:r>
    </w:p>
    <w:p>
      <w:pPr>
        <w:spacing w:line="480" w:lineRule="exact"/>
        <w:ind w:firstLine="236" w:firstLineChars="98"/>
        <w:rPr>
          <w:rFonts w:hint="eastAsia" w:ascii="宋体" w:hAnsi="宋体" w:eastAsia="宋体" w:cs="宋体"/>
          <w:b/>
          <w:color w:val="auto"/>
          <w:sz w:val="24"/>
        </w:rPr>
      </w:pPr>
      <w:bookmarkStart w:id="49" w:name="_Toc394271216"/>
      <w:bookmarkStart w:id="50" w:name="_Toc2201"/>
      <w:bookmarkStart w:id="51" w:name="_Toc394264946"/>
      <w:r>
        <w:rPr>
          <w:rFonts w:hint="eastAsia" w:ascii="宋体" w:hAnsi="宋体" w:eastAsia="宋体" w:cs="宋体"/>
          <w:b/>
          <w:color w:val="auto"/>
          <w:sz w:val="24"/>
        </w:rPr>
        <w:t>五、评标办法</w:t>
      </w:r>
      <w:bookmarkEnd w:id="49"/>
      <w:bookmarkEnd w:id="50"/>
      <w:bookmarkEnd w:id="51"/>
    </w:p>
    <w:p>
      <w:pPr>
        <w:pStyle w:val="91"/>
        <w:spacing w:line="520" w:lineRule="exact"/>
        <w:ind w:left="0" w:leftChars="0"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1 评标办法</w:t>
      </w:r>
    </w:p>
    <w:p>
      <w:pPr>
        <w:spacing w:line="56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1.1本招标工程评标定标办法采用综合评估法。</w:t>
      </w:r>
    </w:p>
    <w:p>
      <w:pPr>
        <w:spacing w:line="56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2评标程序</w:t>
      </w:r>
    </w:p>
    <w:p>
      <w:pPr>
        <w:spacing w:line="560" w:lineRule="exact"/>
        <w:ind w:firstLine="470" w:firstLineChars="196"/>
        <w:rPr>
          <w:rFonts w:hint="eastAsia" w:ascii="宋体" w:hAnsi="宋体" w:eastAsia="宋体" w:cs="宋体"/>
          <w:color w:val="auto"/>
          <w:sz w:val="24"/>
          <w:lang w:eastAsia="zh-CN" w:bidi="ar"/>
        </w:rPr>
      </w:pPr>
      <w:r>
        <w:rPr>
          <w:rFonts w:hint="eastAsia" w:ascii="宋体" w:hAnsi="宋体" w:eastAsia="宋体" w:cs="宋体"/>
          <w:color w:val="auto"/>
          <w:sz w:val="24"/>
          <w:lang w:bidi="ar"/>
        </w:rPr>
        <w:t>2.1.1形式评审（见评标办法前附表）</w:t>
      </w:r>
      <w:r>
        <w:rPr>
          <w:rFonts w:hint="eastAsia" w:ascii="宋体" w:hAnsi="宋体" w:cs="宋体"/>
          <w:color w:val="auto"/>
          <w:sz w:val="24"/>
          <w:lang w:eastAsia="zh-CN" w:bidi="ar"/>
        </w:rPr>
        <w:t>；</w:t>
      </w:r>
    </w:p>
    <w:p>
      <w:pPr>
        <w:spacing w:line="560" w:lineRule="exact"/>
        <w:ind w:firstLine="470" w:firstLineChars="196"/>
        <w:rPr>
          <w:rFonts w:hint="eastAsia" w:ascii="宋体" w:hAnsi="宋体" w:eastAsia="宋体" w:cs="宋体"/>
          <w:color w:val="auto"/>
          <w:sz w:val="24"/>
          <w:lang w:bidi="ar"/>
        </w:rPr>
      </w:pPr>
      <w:r>
        <w:rPr>
          <w:rFonts w:hint="eastAsia" w:ascii="宋体" w:hAnsi="宋体" w:eastAsia="宋体" w:cs="宋体"/>
          <w:color w:val="auto"/>
          <w:sz w:val="24"/>
          <w:lang w:bidi="ar"/>
        </w:rPr>
        <w:t>2.1.2资格评审（见评标办法前附表），通过资格审查的申请人少于三个的，应当重新招标。</w:t>
      </w:r>
    </w:p>
    <w:p>
      <w:pPr>
        <w:spacing w:line="560" w:lineRule="exact"/>
        <w:ind w:firstLine="470" w:firstLineChars="196"/>
        <w:rPr>
          <w:rFonts w:hint="eastAsia" w:ascii="宋体" w:hAnsi="宋体" w:eastAsia="宋体" w:cs="宋体"/>
          <w:color w:val="auto"/>
          <w:sz w:val="24"/>
          <w:lang w:eastAsia="zh-CN" w:bidi="ar"/>
        </w:rPr>
      </w:pPr>
      <w:r>
        <w:rPr>
          <w:rFonts w:hint="eastAsia" w:ascii="宋体" w:hAnsi="宋体" w:eastAsia="宋体" w:cs="宋体"/>
          <w:color w:val="auto"/>
          <w:sz w:val="24"/>
          <w:lang w:val="en-US" w:eastAsia="zh-CN" w:bidi="ar"/>
        </w:rPr>
        <w:t xml:space="preserve">2.1.3 </w:t>
      </w:r>
      <w:r>
        <w:rPr>
          <w:rFonts w:hint="eastAsia" w:ascii="宋体" w:hAnsi="宋体" w:eastAsia="宋体" w:cs="宋体"/>
          <w:color w:val="auto"/>
          <w:sz w:val="24"/>
          <w:lang w:bidi="ar"/>
        </w:rPr>
        <w:t>响应性评审标准（见评标办法前附表）</w:t>
      </w:r>
      <w:r>
        <w:rPr>
          <w:rFonts w:hint="eastAsia" w:ascii="宋体" w:hAnsi="宋体" w:eastAsia="宋体" w:cs="宋体"/>
          <w:color w:val="auto"/>
          <w:sz w:val="24"/>
          <w:lang w:eastAsia="zh-CN" w:bidi="ar"/>
        </w:rPr>
        <w:t>；</w:t>
      </w:r>
    </w:p>
    <w:p>
      <w:pPr>
        <w:spacing w:line="560" w:lineRule="exact"/>
        <w:ind w:firstLine="470" w:firstLineChars="196"/>
        <w:rPr>
          <w:rFonts w:hint="eastAsia" w:ascii="宋体" w:hAnsi="宋体" w:eastAsia="宋体" w:cs="宋体"/>
          <w:color w:val="auto"/>
          <w:sz w:val="24"/>
          <w:lang w:bidi="ar"/>
        </w:rPr>
      </w:pPr>
      <w:r>
        <w:rPr>
          <w:rFonts w:hint="eastAsia" w:ascii="宋体" w:hAnsi="宋体" w:eastAsia="宋体" w:cs="宋体"/>
          <w:color w:val="auto"/>
          <w:sz w:val="24"/>
          <w:lang w:bidi="ar"/>
        </w:rPr>
        <w:t>2.</w:t>
      </w:r>
      <w:r>
        <w:rPr>
          <w:rFonts w:hint="eastAsia" w:ascii="宋体" w:hAnsi="宋体" w:cs="宋体"/>
          <w:color w:val="auto"/>
          <w:sz w:val="24"/>
          <w:lang w:val="en-US" w:eastAsia="zh-CN" w:bidi="ar"/>
        </w:rPr>
        <w:t>1</w:t>
      </w:r>
      <w:r>
        <w:rPr>
          <w:rFonts w:hint="eastAsia" w:ascii="宋体" w:hAnsi="宋体" w:eastAsia="宋体" w:cs="宋体"/>
          <w:color w:val="auto"/>
          <w:sz w:val="24"/>
          <w:lang w:bidi="ar"/>
        </w:rPr>
        <w:t>.</w:t>
      </w:r>
      <w:r>
        <w:rPr>
          <w:rFonts w:hint="eastAsia" w:ascii="宋体" w:hAnsi="宋体" w:cs="宋体"/>
          <w:color w:val="auto"/>
          <w:sz w:val="24"/>
          <w:lang w:val="en-US" w:eastAsia="zh-CN" w:bidi="ar"/>
        </w:rPr>
        <w:t>4</w:t>
      </w:r>
      <w:r>
        <w:rPr>
          <w:rFonts w:hint="eastAsia" w:ascii="宋体" w:hAnsi="宋体" w:eastAsia="宋体" w:cs="宋体"/>
          <w:color w:val="auto"/>
          <w:sz w:val="24"/>
          <w:lang w:bidi="ar"/>
        </w:rPr>
        <w:t>分值构成(总分100分)</w:t>
      </w:r>
    </w:p>
    <w:p>
      <w:pPr>
        <w:spacing w:line="560" w:lineRule="exact"/>
        <w:ind w:firstLine="470" w:firstLineChars="196"/>
        <w:rPr>
          <w:rFonts w:hint="eastAsia" w:ascii="宋体" w:hAnsi="宋体" w:eastAsia="宋体" w:cs="宋体"/>
          <w:color w:val="auto"/>
          <w:sz w:val="24"/>
          <w:lang w:eastAsia="zh-CN" w:bidi="ar"/>
        </w:rPr>
      </w:pPr>
      <w:r>
        <w:rPr>
          <w:rFonts w:hint="eastAsia" w:ascii="宋体" w:hAnsi="宋体" w:cs="宋体"/>
          <w:color w:val="auto"/>
          <w:sz w:val="24"/>
          <w:lang w:eastAsia="zh-CN" w:bidi="ar"/>
        </w:rPr>
        <w:t>（</w:t>
      </w:r>
      <w:r>
        <w:rPr>
          <w:rFonts w:hint="eastAsia" w:ascii="宋体" w:hAnsi="宋体" w:cs="宋体"/>
          <w:color w:val="auto"/>
          <w:sz w:val="24"/>
          <w:lang w:val="en-US" w:eastAsia="zh-CN" w:bidi="ar"/>
        </w:rPr>
        <w:t>1</w:t>
      </w:r>
      <w:r>
        <w:rPr>
          <w:rFonts w:hint="eastAsia" w:ascii="宋体" w:hAnsi="宋体" w:cs="宋体"/>
          <w:color w:val="auto"/>
          <w:sz w:val="24"/>
          <w:lang w:eastAsia="zh-CN" w:bidi="ar"/>
        </w:rPr>
        <w:t>）</w:t>
      </w:r>
      <w:r>
        <w:rPr>
          <w:rFonts w:hint="eastAsia" w:ascii="宋体" w:hAnsi="宋体" w:eastAsia="宋体" w:cs="宋体"/>
          <w:color w:val="auto"/>
          <w:sz w:val="24"/>
          <w:lang w:bidi="ar"/>
        </w:rPr>
        <w:t>商务标评分：</w:t>
      </w:r>
      <w:r>
        <w:rPr>
          <w:rFonts w:hint="eastAsia"/>
          <w:color w:val="auto"/>
        </w:rPr>
        <w:t>见评标办法前附表</w:t>
      </w:r>
      <w:r>
        <w:rPr>
          <w:rFonts w:hint="eastAsia" w:ascii="宋体" w:hAnsi="宋体" w:cs="宋体"/>
          <w:color w:val="auto"/>
          <w:sz w:val="24"/>
          <w:lang w:eastAsia="zh-CN" w:bidi="ar"/>
        </w:rPr>
        <w:t>；</w:t>
      </w:r>
    </w:p>
    <w:p>
      <w:pPr>
        <w:spacing w:line="560" w:lineRule="exact"/>
        <w:ind w:firstLine="470" w:firstLineChars="196"/>
        <w:rPr>
          <w:rFonts w:hint="eastAsia" w:ascii="宋体" w:hAnsi="宋体" w:eastAsia="宋体" w:cs="宋体"/>
          <w:color w:val="auto"/>
          <w:sz w:val="24"/>
          <w:lang w:eastAsia="zh-CN" w:bidi="ar"/>
        </w:rPr>
      </w:pPr>
      <w:r>
        <w:rPr>
          <w:rFonts w:hint="eastAsia" w:ascii="宋体" w:hAnsi="宋体" w:cs="宋体"/>
          <w:color w:val="auto"/>
          <w:sz w:val="24"/>
          <w:lang w:eastAsia="zh-CN" w:bidi="ar"/>
        </w:rPr>
        <w:t>（</w:t>
      </w:r>
      <w:r>
        <w:rPr>
          <w:rFonts w:hint="eastAsia" w:ascii="宋体" w:hAnsi="宋体" w:cs="宋体"/>
          <w:color w:val="auto"/>
          <w:sz w:val="24"/>
          <w:lang w:val="en-US" w:eastAsia="zh-CN" w:bidi="ar"/>
        </w:rPr>
        <w:t>2</w:t>
      </w:r>
      <w:r>
        <w:rPr>
          <w:rFonts w:hint="eastAsia" w:ascii="宋体" w:hAnsi="宋体" w:cs="宋体"/>
          <w:color w:val="auto"/>
          <w:sz w:val="24"/>
          <w:lang w:eastAsia="zh-CN" w:bidi="ar"/>
        </w:rPr>
        <w:t>）</w:t>
      </w:r>
      <w:r>
        <w:rPr>
          <w:rFonts w:hint="eastAsia" w:ascii="宋体" w:hAnsi="宋体" w:eastAsia="宋体" w:cs="宋体"/>
          <w:color w:val="auto"/>
          <w:sz w:val="24"/>
          <w:lang w:bidi="ar"/>
        </w:rPr>
        <w:t>技术标评分：</w:t>
      </w:r>
      <w:r>
        <w:rPr>
          <w:rFonts w:hint="eastAsia"/>
          <w:color w:val="auto"/>
        </w:rPr>
        <w:t>见评标办法前附表</w:t>
      </w:r>
      <w:r>
        <w:rPr>
          <w:rFonts w:hint="eastAsia" w:ascii="宋体" w:hAnsi="宋体" w:cs="宋体"/>
          <w:color w:val="auto"/>
          <w:sz w:val="24"/>
          <w:lang w:eastAsia="zh-CN" w:bidi="ar"/>
        </w:rPr>
        <w:t>；</w:t>
      </w:r>
    </w:p>
    <w:p>
      <w:pPr>
        <w:spacing w:line="560" w:lineRule="exact"/>
        <w:ind w:firstLine="470" w:firstLineChars="196"/>
        <w:rPr>
          <w:rFonts w:hint="eastAsia" w:ascii="宋体" w:hAnsi="宋体" w:eastAsia="宋体" w:cs="宋体"/>
          <w:color w:val="auto"/>
          <w:sz w:val="24"/>
          <w:lang w:val="en-US" w:eastAsia="zh-CN" w:bidi="ar"/>
        </w:rPr>
      </w:pPr>
      <w:r>
        <w:rPr>
          <w:rFonts w:hint="eastAsia" w:ascii="宋体" w:hAnsi="宋体" w:cs="宋体"/>
          <w:color w:val="auto"/>
          <w:sz w:val="24"/>
          <w:lang w:eastAsia="zh-CN" w:bidi="ar"/>
        </w:rPr>
        <w:t>（</w:t>
      </w:r>
      <w:r>
        <w:rPr>
          <w:rFonts w:hint="eastAsia" w:ascii="宋体" w:hAnsi="宋体" w:cs="宋体"/>
          <w:color w:val="auto"/>
          <w:sz w:val="24"/>
          <w:lang w:val="en-US" w:eastAsia="zh-CN" w:bidi="ar"/>
        </w:rPr>
        <w:t>3</w:t>
      </w:r>
      <w:r>
        <w:rPr>
          <w:rFonts w:hint="eastAsia" w:ascii="宋体" w:hAnsi="宋体" w:cs="宋体"/>
          <w:color w:val="auto"/>
          <w:sz w:val="24"/>
          <w:lang w:eastAsia="zh-CN" w:bidi="ar"/>
        </w:rPr>
        <w:t>）</w:t>
      </w:r>
      <w:r>
        <w:rPr>
          <w:rFonts w:hint="eastAsia" w:ascii="宋体" w:hAnsi="宋体" w:eastAsia="宋体" w:cs="宋体"/>
          <w:color w:val="auto"/>
          <w:sz w:val="24"/>
          <w:lang w:bidi="ar"/>
        </w:rPr>
        <w:t>经济标评分：</w:t>
      </w:r>
      <w:r>
        <w:rPr>
          <w:rFonts w:hint="eastAsia"/>
          <w:color w:val="auto"/>
        </w:rPr>
        <w:t>见评标办法前附表</w:t>
      </w:r>
      <w:r>
        <w:rPr>
          <w:rFonts w:hint="eastAsia" w:ascii="宋体" w:hAnsi="宋体" w:cs="宋体"/>
          <w:color w:val="auto"/>
          <w:sz w:val="24"/>
          <w:lang w:eastAsia="zh-CN" w:bidi="ar"/>
        </w:rPr>
        <w:t>；</w:t>
      </w:r>
    </w:p>
    <w:p>
      <w:pPr>
        <w:spacing w:line="560" w:lineRule="exact"/>
        <w:ind w:firstLine="470" w:firstLineChars="196"/>
        <w:rPr>
          <w:rFonts w:hint="eastAsia" w:ascii="宋体" w:hAnsi="宋体" w:cs="宋体"/>
          <w:color w:val="auto"/>
          <w:lang w:val="en-US" w:eastAsia="zh-CN"/>
        </w:rPr>
      </w:pPr>
      <w:r>
        <w:rPr>
          <w:rFonts w:hint="eastAsia" w:ascii="宋体" w:hAnsi="宋体" w:cs="宋体"/>
          <w:color w:val="auto"/>
          <w:lang w:val="en-US" w:eastAsia="zh-CN"/>
        </w:rPr>
        <w:t>2.1.5评标基准价计算</w:t>
      </w:r>
    </w:p>
    <w:p>
      <w:pPr>
        <w:spacing w:line="560" w:lineRule="exact"/>
        <w:ind w:firstLine="470" w:firstLineChars="196"/>
        <w:rPr>
          <w:rFonts w:hint="eastAsia" w:ascii="宋体" w:hAnsi="宋体" w:eastAsia="宋体" w:cs="宋体"/>
          <w:color w:val="auto"/>
          <w:sz w:val="24"/>
          <w:lang w:eastAsia="zh-CN" w:bidi="ar"/>
        </w:rPr>
      </w:pPr>
      <w:r>
        <w:rPr>
          <w:rFonts w:hint="eastAsia" w:ascii="宋体" w:hAnsi="宋体" w:eastAsia="宋体" w:cs="宋体"/>
          <w:color w:val="auto"/>
        </w:rPr>
        <w:t>评标基准价计算方法</w:t>
      </w:r>
      <w:r>
        <w:rPr>
          <w:rFonts w:hint="eastAsia" w:ascii="宋体" w:hAnsi="宋体" w:cs="宋体"/>
          <w:color w:val="auto"/>
          <w:lang w:eastAsia="zh-CN"/>
        </w:rPr>
        <w:t>：</w:t>
      </w:r>
      <w:r>
        <w:rPr>
          <w:rFonts w:hint="eastAsia" w:ascii="宋体" w:hAnsi="宋体" w:eastAsia="宋体" w:cs="宋体"/>
          <w:color w:val="auto"/>
          <w:sz w:val="24"/>
          <w:lang w:bidi="ar"/>
        </w:rPr>
        <w:t>（见评标办法前附表）</w:t>
      </w:r>
      <w:r>
        <w:rPr>
          <w:rFonts w:hint="eastAsia" w:ascii="宋体" w:hAnsi="宋体" w:cs="宋体"/>
          <w:color w:val="auto"/>
          <w:sz w:val="24"/>
          <w:lang w:eastAsia="zh-CN" w:bidi="ar"/>
        </w:rPr>
        <w:t>；</w:t>
      </w:r>
    </w:p>
    <w:p>
      <w:pPr>
        <w:spacing w:line="560" w:lineRule="exact"/>
        <w:ind w:firstLine="470" w:firstLineChars="196"/>
        <w:rPr>
          <w:rFonts w:hint="eastAsia" w:ascii="宋体" w:hAnsi="宋体" w:eastAsia="宋体" w:cs="宋体"/>
          <w:color w:val="auto"/>
          <w:sz w:val="24"/>
          <w:lang w:eastAsia="zh-CN" w:bidi="ar"/>
        </w:rPr>
      </w:pPr>
      <w:r>
        <w:rPr>
          <w:rFonts w:hint="eastAsia" w:ascii="宋体" w:hAnsi="宋体" w:eastAsia="宋体" w:cs="宋体"/>
          <w:color w:val="auto"/>
          <w:sz w:val="24"/>
          <w:lang w:bidi="ar"/>
        </w:rPr>
        <w:t>2.1.</w:t>
      </w:r>
      <w:r>
        <w:rPr>
          <w:rFonts w:hint="eastAsia" w:ascii="宋体" w:hAnsi="宋体" w:cs="宋体"/>
          <w:color w:val="auto"/>
          <w:sz w:val="24"/>
          <w:lang w:val="en-US" w:eastAsia="zh-CN" w:bidi="ar"/>
        </w:rPr>
        <w:t>6</w:t>
      </w:r>
      <w:r>
        <w:rPr>
          <w:rFonts w:hint="eastAsia" w:ascii="宋体" w:hAnsi="宋体" w:eastAsia="宋体" w:cs="宋体"/>
          <w:color w:val="auto"/>
          <w:sz w:val="24"/>
          <w:lang w:bidi="ar"/>
        </w:rPr>
        <w:t>判断投标报价是否为无效报价</w:t>
      </w:r>
      <w:r>
        <w:rPr>
          <w:rFonts w:hint="eastAsia" w:ascii="宋体" w:hAnsi="宋体" w:cs="宋体"/>
          <w:color w:val="auto"/>
          <w:sz w:val="24"/>
          <w:lang w:eastAsia="zh-CN" w:bidi="ar"/>
        </w:rPr>
        <w:t>；</w:t>
      </w:r>
    </w:p>
    <w:p>
      <w:pPr>
        <w:spacing w:line="560" w:lineRule="exact"/>
        <w:ind w:firstLine="470" w:firstLineChars="196"/>
        <w:rPr>
          <w:rFonts w:hint="eastAsia" w:ascii="宋体" w:hAnsi="宋体" w:eastAsia="宋体" w:cs="宋体"/>
          <w:color w:val="auto"/>
          <w:sz w:val="24"/>
          <w:lang w:bidi="ar"/>
        </w:rPr>
      </w:pPr>
      <w:r>
        <w:rPr>
          <w:rFonts w:hint="eastAsia" w:ascii="宋体" w:hAnsi="宋体" w:eastAsia="宋体" w:cs="宋体"/>
          <w:color w:val="auto"/>
          <w:sz w:val="24"/>
          <w:lang w:bidi="ar"/>
        </w:rPr>
        <w:t>2.1.</w:t>
      </w:r>
      <w:r>
        <w:rPr>
          <w:rFonts w:hint="eastAsia" w:ascii="宋体" w:hAnsi="宋体" w:cs="宋体"/>
          <w:color w:val="auto"/>
          <w:sz w:val="24"/>
          <w:lang w:val="en-US" w:eastAsia="zh-CN" w:bidi="ar"/>
        </w:rPr>
        <w:t>6</w:t>
      </w:r>
      <w:r>
        <w:rPr>
          <w:rFonts w:hint="eastAsia" w:ascii="宋体" w:hAnsi="宋体" w:eastAsia="宋体" w:cs="宋体"/>
          <w:color w:val="auto"/>
          <w:sz w:val="24"/>
          <w:lang w:bidi="ar"/>
        </w:rPr>
        <w:t>.1 按招标人给出的金额全额填报。如填报超过或减少则视为废标。</w:t>
      </w:r>
    </w:p>
    <w:p>
      <w:pPr>
        <w:spacing w:line="560" w:lineRule="exact"/>
        <w:ind w:firstLine="470" w:firstLineChars="196"/>
        <w:rPr>
          <w:rFonts w:hint="eastAsia" w:ascii="宋体" w:hAnsi="宋体" w:eastAsia="宋体" w:cs="宋体"/>
          <w:color w:val="auto"/>
          <w:sz w:val="24"/>
          <w:lang w:bidi="ar"/>
        </w:rPr>
      </w:pPr>
      <w:r>
        <w:rPr>
          <w:rFonts w:hint="eastAsia" w:ascii="宋体" w:hAnsi="宋体" w:eastAsia="宋体" w:cs="宋体"/>
          <w:color w:val="auto"/>
          <w:sz w:val="24"/>
          <w:lang w:bidi="ar"/>
        </w:rPr>
        <w:t>2.1.</w:t>
      </w:r>
      <w:r>
        <w:rPr>
          <w:rFonts w:hint="eastAsia" w:ascii="宋体" w:hAnsi="宋体" w:cs="宋体"/>
          <w:color w:val="auto"/>
          <w:sz w:val="24"/>
          <w:lang w:val="en-US" w:eastAsia="zh-CN" w:bidi="ar"/>
        </w:rPr>
        <w:t>6</w:t>
      </w:r>
      <w:r>
        <w:rPr>
          <w:rFonts w:hint="eastAsia" w:ascii="宋体" w:hAnsi="宋体" w:eastAsia="宋体" w:cs="宋体"/>
          <w:color w:val="auto"/>
          <w:sz w:val="24"/>
          <w:lang w:bidi="ar"/>
        </w:rPr>
        <w:t>.2投标报价出现负数的（任何报价）则视为废标。</w:t>
      </w:r>
    </w:p>
    <w:p>
      <w:pPr>
        <w:spacing w:line="560" w:lineRule="exact"/>
        <w:ind w:firstLine="470" w:firstLineChars="196"/>
        <w:rPr>
          <w:rFonts w:hint="eastAsia" w:ascii="宋体" w:hAnsi="宋体" w:eastAsia="宋体" w:cs="宋体"/>
          <w:color w:val="auto"/>
          <w:sz w:val="24"/>
          <w:lang w:bidi="ar"/>
        </w:rPr>
      </w:pPr>
      <w:r>
        <w:rPr>
          <w:rFonts w:hint="eastAsia" w:ascii="宋体" w:hAnsi="宋体" w:eastAsia="宋体" w:cs="宋体"/>
          <w:color w:val="auto"/>
          <w:sz w:val="24"/>
          <w:lang w:bidi="ar"/>
        </w:rPr>
        <w:t>2.1.</w:t>
      </w:r>
      <w:r>
        <w:rPr>
          <w:rFonts w:hint="eastAsia" w:ascii="宋体" w:hAnsi="宋体" w:cs="宋体"/>
          <w:color w:val="auto"/>
          <w:sz w:val="24"/>
          <w:lang w:val="en-US" w:eastAsia="zh-CN" w:bidi="ar"/>
        </w:rPr>
        <w:t>7</w:t>
      </w:r>
      <w:r>
        <w:rPr>
          <w:rFonts w:hint="eastAsia" w:ascii="宋体" w:hAnsi="宋体" w:eastAsia="宋体" w:cs="宋体"/>
          <w:color w:val="auto"/>
          <w:sz w:val="24"/>
          <w:lang w:bidi="ar"/>
        </w:rPr>
        <w:t> 算术错误修正</w:t>
      </w:r>
    </w:p>
    <w:p>
      <w:pPr>
        <w:spacing w:line="560" w:lineRule="exact"/>
        <w:ind w:firstLine="470" w:firstLineChars="196"/>
        <w:rPr>
          <w:rFonts w:hint="eastAsia" w:ascii="宋体" w:hAnsi="宋体" w:eastAsia="宋体" w:cs="宋体"/>
          <w:color w:val="auto"/>
          <w:sz w:val="24"/>
          <w:lang w:bidi="ar"/>
        </w:rPr>
      </w:pPr>
      <w:r>
        <w:rPr>
          <w:rFonts w:hint="eastAsia" w:ascii="宋体" w:hAnsi="宋体" w:eastAsia="宋体" w:cs="宋体"/>
          <w:color w:val="auto"/>
          <w:sz w:val="24"/>
          <w:lang w:bidi="ar"/>
        </w:rPr>
        <w:t>投标报价有算术错误的，评标委员会按以下原则对投标报价进行修正，修正的价格经投标人书面确认后具有约束力。投标人不接受修正价格的，其投标作废标处理。</w:t>
      </w:r>
    </w:p>
    <w:p>
      <w:pPr>
        <w:spacing w:line="560" w:lineRule="exact"/>
        <w:ind w:firstLine="470" w:firstLineChars="196"/>
        <w:rPr>
          <w:rFonts w:hint="eastAsia" w:ascii="宋体" w:hAnsi="宋体" w:eastAsia="宋体" w:cs="宋体"/>
          <w:color w:val="auto"/>
          <w:sz w:val="24"/>
          <w:lang w:bidi="ar"/>
        </w:rPr>
      </w:pPr>
      <w:r>
        <w:rPr>
          <w:rFonts w:hint="eastAsia" w:ascii="宋体" w:hAnsi="宋体" w:eastAsia="宋体" w:cs="宋体"/>
          <w:color w:val="auto"/>
          <w:sz w:val="24"/>
          <w:lang w:bidi="ar"/>
        </w:rPr>
        <w:t>（1）投标文件中的大写金额与小写金额不一致的，以大写金额为准；</w:t>
      </w:r>
    </w:p>
    <w:p>
      <w:pPr>
        <w:spacing w:line="560" w:lineRule="exact"/>
        <w:ind w:firstLine="470" w:firstLineChars="196"/>
        <w:rPr>
          <w:rFonts w:hint="eastAsia" w:ascii="宋体" w:hAnsi="宋体" w:eastAsia="宋体" w:cs="宋体"/>
          <w:color w:val="auto"/>
          <w:sz w:val="24"/>
          <w:lang w:bidi="ar"/>
        </w:rPr>
      </w:pPr>
      <w:r>
        <w:rPr>
          <w:rFonts w:hint="eastAsia" w:ascii="宋体" w:hAnsi="宋体" w:eastAsia="宋体" w:cs="宋体"/>
          <w:color w:val="auto"/>
          <w:sz w:val="24"/>
          <w:lang w:bidi="ar"/>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按上述修正错误的原则及方法调整或修正投标文件的投标报价，投标人书面同意后，应随后补盖公章。调整后的投标报价对投标人起约束作用。</w:t>
      </w:r>
    </w:p>
    <w:p>
      <w:pPr>
        <w:keepNext w:val="0"/>
        <w:keepLines w:val="0"/>
        <w:pageBreakBefore w:val="0"/>
        <w:widowControl w:val="0"/>
        <w:kinsoku/>
        <w:wordWrap/>
        <w:overflowPunct/>
        <w:topLinePunct w:val="0"/>
        <w:autoSpaceDE/>
        <w:autoSpaceDN/>
        <w:bidi w:val="0"/>
        <w:adjustRightInd/>
        <w:snapToGrid/>
        <w:spacing w:line="560" w:lineRule="exact"/>
        <w:ind w:firstLine="470" w:firstLineChars="196"/>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 xml:space="preserve">评标委员会首先对投标单位的投标文件进行初步评审，并以“少数服从多数”的原则确定是否通过。通过资格审查的申请人少于三个的，应当重新招标。 </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2.2详细评审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2.2.1技术文件</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暗标</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（1）评标委员会成员首先对每个投标人的技术文件副本进行拆封</w:t>
      </w:r>
      <w:r>
        <w:rPr>
          <w:rFonts w:hint="eastAsia" w:ascii="宋体" w:hAnsi="宋体" w:eastAsia="宋体" w:cs="宋体"/>
          <w:color w:val="auto"/>
          <w:sz w:val="24"/>
          <w:lang w:val="en-US" w:eastAsia="zh-CN"/>
        </w:rPr>
        <w:t>编号</w:t>
      </w:r>
      <w:r>
        <w:rPr>
          <w:rFonts w:hint="eastAsia" w:ascii="宋体" w:hAnsi="宋体" w:eastAsia="宋体" w:cs="宋体"/>
          <w:color w:val="auto"/>
          <w:sz w:val="24"/>
        </w:rPr>
        <w:t>并评审，按招标文件的综合评分表中技术标评分表进行打分，计算出每个副本的技术得分，然后拆封技术文件的正本及技术文件内页的保密信封，确定每个投标单位名称，记录好每个投标单位的技术分，再进行商务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（2）评标委员会各成员根据评分表独立评分，所有评委的评分去掉一个最高分和最低分算术平均为投标人的技术标得分（技术标分值四舍五入保留小数点后两位数字）。</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2.2.2商务文件</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明标</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（1）评标委员会成员对每个投标人的商务文件进行评审，按招标文件的综合评分表中商务标综合评分表进行打分，计算出每个投标单位的商务得分。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（2）商务部分评审，由所有评委共同评定商务标分值。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2.3技术部分和商务部分</w:t>
      </w:r>
      <w:r>
        <w:rPr>
          <w:rFonts w:hint="eastAsia" w:ascii="宋体" w:hAnsi="宋体" w:cs="宋体"/>
          <w:color w:val="auto"/>
          <w:sz w:val="24"/>
          <w:lang w:eastAsia="zh-CN"/>
        </w:rPr>
        <w:t>（含投标报价）</w:t>
      </w:r>
      <w:r>
        <w:rPr>
          <w:rFonts w:hint="eastAsia" w:ascii="宋体" w:hAnsi="宋体" w:eastAsia="宋体" w:cs="宋体"/>
          <w:color w:val="auto"/>
          <w:sz w:val="24"/>
        </w:rPr>
        <w:t>两者得分相加即为综合得分（所有分值均四舍五入保留小数点后两位数字），根据投标单位得分的高低确定名次。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2.4中标候选人排序：评标委员会对所有符合要求的投标文件，根据评标办法进行综合评定，采用百分制进行评分，并按照招标文件中规定的评标办法，推荐综合得分最高的投标人为第一中标候选人，得分次高的投标人为第二中标候选人，依次类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综合得分相同的，以商务得分较高的排前；总得分与商务得分均相同的投标文件，以投标报价排名靠前的排前；如仍存在相同情况，则对具有相同情况的投标人，按中标候选人数量规定，由评标委员会采用随机抽取方式，确定中标候选人的排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注：随机方式确定排序的具体操作步骤为：由评标会对出现该情况的投标人进行编号，然后通过摇珠机依次摇出投标人的排序。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2.5在评标过程中，对于投标人的投标报价明显低于成本、可能影响工程质量、安全和工程进度的，评标委员会应当对其工程量清单报价进行详细评审。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2.6若投标文件互相雷同，经评标委员会确认，可以认定投标人串通投标，作无效标处理。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3编写评标报告</w:t>
      </w:r>
      <w:bookmarkStart w:id="52" w:name="_Toc506123965"/>
      <w:bookmarkStart w:id="53" w:name="_Toc506123575"/>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标委员会根据评标委员会成员的评审结果，编写评标报告，确定所有投标单位的排名。评标报告由评标委员会全体成员签字，对评标结论持有异议的评标委员会成员可以书面形式阐述其不同意见和理由。评标委员会成员拒绝在评标报告上签字且不陈述其不同意见和理由的，视为同意评标结论，评标委员会应当对此作出书面说明并记录在案。确定中标单位</w:t>
      </w:r>
      <w:bookmarkEnd w:id="52"/>
      <w:bookmarkEnd w:id="53"/>
      <w:r>
        <w:rPr>
          <w:rFonts w:hint="eastAsia" w:ascii="宋体" w:hAnsi="宋体" w:eastAsia="宋体" w:cs="宋体"/>
          <w:b w:val="0"/>
          <w:bCs w:val="0"/>
          <w:color w:val="auto"/>
          <w:sz w:val="24"/>
          <w:szCs w:val="24"/>
        </w:rPr>
        <w:t>。</w:t>
      </w:r>
    </w:p>
    <w:p>
      <w:pPr>
        <w:pStyle w:val="8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六、确定中标单位</w:t>
      </w:r>
    </w:p>
    <w:p>
      <w:pPr>
        <w:pStyle w:val="8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人根据评标委员会提供的评标报告和推荐的中标候选人排列的先后顺序确定排名第一的中标候选人为中标人，并在广州公共资源交易中心网及广东省招标投标监管网公示三日，如在公示期间有接到参加投标的投标人异议的，经核实若存在与本招标文件废标条件相符的，可废除其中标资格；排名第一的中标候选人被废除中标资格的，确定排名第二的中标候选人为中标人。排名第一的中标候选人放弃中标的、因不可抗力提出不能履行合同的，招标人可以确定排名第二的中标候选人为中标人。排名第二的中标候选人出现前款规定同样原因的，招标人可以确定排名第三的中标候选人为中标人。</w:t>
      </w:r>
    </w:p>
    <w:p>
      <w:pPr>
        <w:pStyle w:val="8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Cs w:val="28"/>
        </w:rPr>
      </w:pPr>
      <w:r>
        <w:rPr>
          <w:rFonts w:hint="eastAsia" w:ascii="宋体" w:hAnsi="宋体" w:eastAsia="宋体" w:cs="宋体"/>
          <w:color w:val="auto"/>
          <w:sz w:val="24"/>
          <w:szCs w:val="24"/>
        </w:rPr>
        <w:t>招标人没有义务向未中标的投标人解释不中标的理由。</w:t>
      </w:r>
    </w:p>
    <w:p>
      <w:pPr>
        <w:pStyle w:val="3"/>
        <w:keepNext w:val="0"/>
        <w:keepLines w:val="0"/>
        <w:pageBreakBefore w:val="0"/>
        <w:widowControl w:val="0"/>
        <w:kinsoku/>
        <w:wordWrap/>
        <w:overflowPunct/>
        <w:topLinePunct w:val="0"/>
        <w:autoSpaceDE/>
        <w:autoSpaceDN/>
        <w:bidi w:val="0"/>
        <w:adjustRightInd/>
        <w:snapToGrid/>
        <w:spacing w:before="7" w:line="560" w:lineRule="exact"/>
        <w:textAlignment w:val="auto"/>
        <w:rPr>
          <w:rFonts w:hint="eastAsia" w:ascii="宋体" w:hAnsi="宋体" w:eastAsia="宋体" w:cs="宋体"/>
          <w:color w:val="auto"/>
          <w:sz w:val="11"/>
          <w:lang w:val="en-US"/>
        </w:rPr>
      </w:pPr>
    </w:p>
    <w:p>
      <w:pPr>
        <w:pStyle w:val="3"/>
        <w:keepNext w:val="0"/>
        <w:keepLines w:val="0"/>
        <w:pageBreakBefore w:val="0"/>
        <w:widowControl w:val="0"/>
        <w:kinsoku/>
        <w:wordWrap/>
        <w:overflowPunct/>
        <w:topLinePunct w:val="0"/>
        <w:autoSpaceDE/>
        <w:autoSpaceDN/>
        <w:bidi w:val="0"/>
        <w:adjustRightInd/>
        <w:snapToGrid/>
        <w:spacing w:before="7" w:line="560" w:lineRule="exact"/>
        <w:textAlignment w:val="auto"/>
        <w:rPr>
          <w:rFonts w:hint="eastAsia" w:ascii="宋体" w:hAnsi="宋体" w:eastAsia="宋体" w:cs="宋体"/>
          <w:color w:val="auto"/>
          <w:sz w:val="1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u w:val="single"/>
        </w:rPr>
      </w:pPr>
    </w:p>
    <w:p>
      <w:pPr>
        <w:rPr>
          <w:rFonts w:hint="eastAsia" w:ascii="宋体" w:hAnsi="宋体" w:eastAsia="宋体" w:cs="宋体"/>
          <w:color w:val="auto"/>
          <w:sz w:val="32"/>
          <w:szCs w:val="32"/>
        </w:rPr>
      </w:pPr>
      <w:bookmarkStart w:id="54" w:name="_Toc144974834"/>
      <w:bookmarkStart w:id="55" w:name="_Toc168476293"/>
      <w:bookmarkStart w:id="56" w:name="_Toc168475890"/>
      <w:r>
        <w:rPr>
          <w:rFonts w:hint="eastAsia" w:ascii="宋体" w:hAnsi="宋体" w:eastAsia="宋体" w:cs="宋体"/>
          <w:color w:val="auto"/>
          <w:sz w:val="32"/>
          <w:szCs w:val="32"/>
        </w:rPr>
        <w:br w:type="page"/>
      </w:r>
    </w:p>
    <w:p>
      <w:pPr>
        <w:pStyle w:val="5"/>
        <w:rPr>
          <w:rFonts w:hint="eastAsia" w:ascii="宋体" w:hAnsi="宋体" w:eastAsia="宋体" w:cs="宋体"/>
          <w:b/>
          <w:bCs/>
          <w:color w:val="auto"/>
        </w:rPr>
      </w:pPr>
      <w:bookmarkStart w:id="57" w:name="_Toc55983925"/>
      <w:bookmarkStart w:id="58" w:name="_Toc24981"/>
      <w:r>
        <w:rPr>
          <w:rFonts w:hint="eastAsia" w:ascii="宋体" w:hAnsi="宋体" w:eastAsia="宋体" w:cs="宋体"/>
          <w:b/>
          <w:bCs/>
          <w:color w:val="auto"/>
        </w:rPr>
        <w:t xml:space="preserve">第四章 </w:t>
      </w:r>
      <w:bookmarkEnd w:id="57"/>
      <w:r>
        <w:rPr>
          <w:rFonts w:hint="eastAsia" w:ascii="宋体" w:hAnsi="宋体" w:eastAsia="宋体" w:cs="宋体"/>
          <w:b/>
          <w:bCs/>
          <w:color w:val="auto"/>
        </w:rPr>
        <w:t>合同条款及格式</w:t>
      </w:r>
      <w:bookmarkEnd w:id="58"/>
    </w:p>
    <w:p>
      <w:pPr>
        <w:rPr>
          <w:rFonts w:hint="eastAsia" w:ascii="宋体" w:hAnsi="宋体" w:eastAsia="宋体" w:cs="宋体"/>
          <w:b/>
          <w:bCs/>
          <w:color w:val="auto"/>
          <w:sz w:val="52"/>
          <w:szCs w:val="52"/>
        </w:rPr>
      </w:pPr>
    </w:p>
    <w:p>
      <w:pPr>
        <w:rPr>
          <w:rFonts w:hint="eastAsia" w:ascii="宋体" w:hAnsi="宋体" w:eastAsia="宋体" w:cs="宋体"/>
          <w:b/>
          <w:bCs/>
          <w:color w:val="auto"/>
          <w:sz w:val="40"/>
          <w:szCs w:val="40"/>
        </w:rPr>
      </w:pPr>
      <w:r>
        <w:rPr>
          <w:rFonts w:hint="eastAsia" w:ascii="宋体" w:hAnsi="宋体" w:eastAsia="宋体" w:cs="宋体"/>
          <w:b/>
          <w:bCs/>
          <w:color w:val="auto"/>
          <w:sz w:val="40"/>
          <w:szCs w:val="40"/>
        </w:rPr>
        <w:t>（GF-2020-0216）</w:t>
      </w:r>
    </w:p>
    <w:p>
      <w:pPr>
        <w:jc w:val="center"/>
        <w:rPr>
          <w:rFonts w:hint="eastAsia" w:ascii="宋体" w:hAnsi="宋体" w:eastAsia="宋体" w:cs="宋体"/>
          <w:b/>
          <w:bCs/>
          <w:color w:val="auto"/>
          <w:sz w:val="52"/>
          <w:szCs w:val="52"/>
        </w:rPr>
      </w:pPr>
    </w:p>
    <w:p>
      <w:pPr>
        <w:jc w:val="center"/>
        <w:rPr>
          <w:rFonts w:hint="eastAsia" w:ascii="宋体" w:hAnsi="宋体" w:eastAsia="宋体" w:cs="宋体"/>
          <w:b/>
          <w:bCs/>
          <w:color w:val="auto"/>
          <w:sz w:val="52"/>
          <w:szCs w:val="52"/>
        </w:rPr>
      </w:pPr>
    </w:p>
    <w:p>
      <w:pPr>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建设工程施工合同</w:t>
      </w:r>
    </w:p>
    <w:p>
      <w:pPr>
        <w:jc w:val="center"/>
        <w:rPr>
          <w:rFonts w:hint="eastAsia" w:ascii="宋体" w:hAnsi="宋体" w:eastAsia="宋体" w:cs="宋体"/>
          <w:b/>
          <w:bCs/>
          <w:color w:val="auto"/>
          <w:sz w:val="52"/>
          <w:szCs w:val="52"/>
        </w:rPr>
      </w:pPr>
      <w:r>
        <w:rPr>
          <w:rFonts w:hint="eastAsia" w:ascii="宋体" w:hAnsi="宋体" w:eastAsia="宋体" w:cs="宋体"/>
          <w:b/>
          <w:bCs/>
          <w:color w:val="auto"/>
          <w:sz w:val="52"/>
          <w:szCs w:val="52"/>
        </w:rPr>
        <w:t>（示范文本）</w:t>
      </w:r>
    </w:p>
    <w:p>
      <w:pPr>
        <w:jc w:val="center"/>
        <w:rPr>
          <w:rFonts w:hint="eastAsia" w:ascii="宋体" w:hAnsi="宋体" w:eastAsia="宋体" w:cs="宋体"/>
          <w:b/>
          <w:bCs/>
          <w:color w:val="auto"/>
          <w:sz w:val="52"/>
          <w:szCs w:val="52"/>
        </w:rPr>
      </w:pPr>
    </w:p>
    <w:p>
      <w:pPr>
        <w:jc w:val="center"/>
        <w:rPr>
          <w:rFonts w:hint="eastAsia" w:ascii="宋体" w:hAnsi="宋体" w:eastAsia="宋体" w:cs="宋体"/>
          <w:b/>
          <w:bCs/>
          <w:color w:val="auto"/>
          <w:sz w:val="72"/>
          <w:szCs w:val="72"/>
        </w:rPr>
      </w:pPr>
    </w:p>
    <w:p>
      <w:pPr>
        <w:jc w:val="center"/>
        <w:rPr>
          <w:rFonts w:hint="eastAsia" w:ascii="宋体" w:hAnsi="宋体" w:eastAsia="宋体" w:cs="宋体"/>
          <w:b/>
          <w:bCs/>
          <w:color w:val="auto"/>
          <w:sz w:val="52"/>
          <w:szCs w:val="52"/>
        </w:rPr>
      </w:pPr>
    </w:p>
    <w:p>
      <w:pPr>
        <w:rPr>
          <w:rFonts w:hint="eastAsia" w:ascii="宋体" w:hAnsi="宋体" w:eastAsia="宋体" w:cs="宋体"/>
          <w:b/>
          <w:bCs/>
          <w:color w:val="auto"/>
          <w:sz w:val="28"/>
          <w:szCs w:val="28"/>
        </w:rPr>
      </w:pPr>
    </w:p>
    <w:p>
      <w:pPr>
        <w:rPr>
          <w:rFonts w:hint="eastAsia" w:ascii="宋体" w:hAnsi="宋体" w:eastAsia="宋体" w:cs="宋体"/>
          <w:b/>
          <w:bCs/>
          <w:color w:val="auto"/>
          <w:sz w:val="28"/>
          <w:szCs w:val="28"/>
        </w:rPr>
      </w:pPr>
    </w:p>
    <w:p>
      <w:pPr>
        <w:rPr>
          <w:rFonts w:hint="eastAsia" w:ascii="宋体" w:hAnsi="宋体" w:eastAsia="宋体" w:cs="宋体"/>
          <w:b/>
          <w:bCs/>
          <w:color w:val="auto"/>
          <w:sz w:val="28"/>
          <w:szCs w:val="28"/>
        </w:rPr>
      </w:pPr>
    </w:p>
    <w:p>
      <w:pPr>
        <w:rPr>
          <w:rFonts w:hint="eastAsia" w:ascii="宋体" w:hAnsi="宋体" w:eastAsia="宋体" w:cs="宋体"/>
          <w:b/>
          <w:bCs/>
          <w:color w:val="auto"/>
          <w:sz w:val="28"/>
          <w:szCs w:val="28"/>
        </w:rPr>
      </w:pPr>
    </w:p>
    <w:p>
      <w:pPr>
        <w:ind w:left="1920" w:leftChars="800" w:right="3108" w:rightChars="1295"/>
        <w:jc w:val="distribute"/>
        <w:rPr>
          <w:rFonts w:hint="eastAsia" w:ascii="宋体" w:hAnsi="宋体" w:eastAsia="宋体" w:cs="宋体"/>
          <w:b/>
          <w:bCs/>
          <w:color w:val="auto"/>
          <w:sz w:val="32"/>
          <w:szCs w:val="32"/>
        </w:rPr>
      </w:pPr>
      <w:r>
        <w:rPr>
          <w:rFonts w:hint="eastAsia" w:ascii="宋体" w:hAnsi="宋体" w:eastAsia="宋体" w:cs="宋体"/>
          <w:color w:val="auto"/>
        </w:rPr>
        <mc:AlternateContent>
          <mc:Choice Requires="wps">
            <w:drawing>
              <wp:anchor distT="0" distB="0" distL="114300" distR="114300" simplePos="0" relativeHeight="251661312" behindDoc="0" locked="0" layoutInCell="1" allowOverlap="1">
                <wp:simplePos x="0" y="0"/>
                <wp:positionH relativeFrom="column">
                  <wp:posOffset>4228465</wp:posOffset>
                </wp:positionH>
                <wp:positionV relativeFrom="paragraph">
                  <wp:posOffset>151130</wp:posOffset>
                </wp:positionV>
                <wp:extent cx="723900" cy="457200"/>
                <wp:effectExtent l="8255" t="6985" r="10795" b="12065"/>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pPr>
                              <w:rPr>
                                <w:b/>
                                <w:bCs/>
                                <w:sz w:val="32"/>
                                <w:szCs w:val="32"/>
                              </w:rPr>
                            </w:pPr>
                            <w:r>
                              <w:rPr>
                                <w:rFonts w:hint="eastAsia" w:cs="宋体"/>
                                <w:b/>
                                <w:bCs/>
                                <w:sz w:val="32"/>
                                <w:szCs w:val="32"/>
                              </w:rPr>
                              <w:t>制定</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32.95pt;margin-top:11.9pt;height:36pt;width:57pt;z-index:251661312;mso-width-relative:page;mso-height-relative:page;" filled="f" stroked="t" coordsize="21600,21600" o:gfxdata="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infSXZAAAACQEAAA8AAAAAAAAAAQAgAAAAIgAAAGRy&#10;cy9kb3ducmV2LnhtbFBLAQIUABQAAAAIAIdO4kDXWjeDPQIAAF4EAAAOAAAAAAAAAAEAIAAAACgB&#10;AABkcnMvZTJvRG9jLnhtbFBLBQYAAAAABgAGAFkBAADXBQAAAAA=&#10;">
                <v:fill on="f" focussize="0,0"/>
                <v:stroke color="#FFFFFF" miterlimit="8" joinstyle="miter"/>
                <v:imagedata o:title=""/>
                <o:lock v:ext="edit" aspectratio="f"/>
                <v:textbox>
                  <w:txbxContent>
                    <w:p>
                      <w:pPr>
                        <w:rPr>
                          <w:b/>
                          <w:bCs/>
                          <w:sz w:val="32"/>
                          <w:szCs w:val="32"/>
                        </w:rPr>
                      </w:pPr>
                      <w:r>
                        <w:rPr>
                          <w:rFonts w:hint="eastAsia" w:cs="宋体"/>
                          <w:b/>
                          <w:bCs/>
                          <w:sz w:val="32"/>
                          <w:szCs w:val="32"/>
                        </w:rPr>
                        <w:t>制定</w:t>
                      </w:r>
                    </w:p>
                  </w:txbxContent>
                </v:textbox>
              </v:shape>
            </w:pict>
          </mc:Fallback>
        </mc:AlternateContent>
      </w:r>
      <w:r>
        <w:rPr>
          <w:rFonts w:hint="eastAsia" w:ascii="宋体" w:hAnsi="宋体" w:eastAsia="宋体" w:cs="宋体"/>
          <w:b/>
          <w:bCs/>
          <w:color w:val="auto"/>
          <w:sz w:val="32"/>
          <w:szCs w:val="32"/>
        </w:rPr>
        <w:t>住房城乡建设部</w:t>
      </w:r>
    </w:p>
    <w:p>
      <w:pPr>
        <w:ind w:left="1920" w:leftChars="800" w:right="3108" w:rightChars="1295"/>
        <w:jc w:val="distribute"/>
        <w:rPr>
          <w:rFonts w:hint="eastAsia" w:ascii="宋体" w:hAnsi="宋体" w:eastAsia="宋体" w:cs="宋体"/>
          <w:b/>
          <w:bCs/>
          <w:color w:val="auto"/>
          <w:sz w:val="32"/>
          <w:szCs w:val="32"/>
        </w:rPr>
      </w:pPr>
      <w:r>
        <w:rPr>
          <w:rFonts w:hint="eastAsia" w:ascii="宋体" w:hAnsi="宋体" w:eastAsia="宋体" w:cs="宋体"/>
          <w:b/>
          <w:bCs/>
          <w:color w:val="auto"/>
          <w:sz w:val="32"/>
          <w:szCs w:val="32"/>
        </w:rPr>
        <w:t>国家工商行政管理总局</w:t>
      </w:r>
    </w:p>
    <w:p>
      <w:pPr>
        <w:rPr>
          <w:rFonts w:hint="eastAsia" w:ascii="宋体" w:hAnsi="宋体" w:eastAsia="宋体" w:cs="宋体"/>
          <w:b/>
          <w:bCs/>
          <w:color w:val="auto"/>
        </w:rPr>
      </w:pPr>
    </w:p>
    <w:p>
      <w:pPr>
        <w:ind w:firstLine="480" w:firstLineChars="200"/>
        <w:rPr>
          <w:rFonts w:hint="eastAsia" w:ascii="宋体" w:hAnsi="宋体" w:eastAsia="宋体" w:cs="宋体"/>
          <w:color w:val="auto"/>
          <w:sz w:val="30"/>
          <w:szCs w:val="30"/>
        </w:rPr>
        <w:sectPr>
          <w:footerReference r:id="rId10" w:type="first"/>
          <w:footerReference r:id="rId9" w:type="default"/>
          <w:pgSz w:w="11906" w:h="16838"/>
          <w:pgMar w:top="1134" w:right="1080" w:bottom="1134" w:left="1080" w:header="851" w:footer="992" w:gutter="0"/>
          <w:pgNumType w:fmt="decimal"/>
          <w:cols w:space="720" w:num="1"/>
          <w:titlePg/>
          <w:docGrid w:type="lines" w:linePitch="312" w:charSpace="0"/>
        </w:sectPr>
      </w:pPr>
      <w:r>
        <w:rPr>
          <w:rFonts w:hint="eastAsia" w:ascii="宋体" w:hAnsi="宋体" w:eastAsia="宋体" w:cs="宋体"/>
          <w:color w:val="auto"/>
        </w:rPr>
        <w:br w:type="page"/>
      </w:r>
      <w:bookmarkStart w:id="59" w:name="_Toc296503025"/>
      <w:bookmarkStart w:id="60" w:name="_Toc296890982"/>
    </w:p>
    <w:bookmarkEnd w:id="54"/>
    <w:bookmarkEnd w:id="55"/>
    <w:bookmarkEnd w:id="56"/>
    <w:bookmarkEnd w:id="59"/>
    <w:bookmarkEnd w:id="60"/>
    <w:p>
      <w:pPr>
        <w:pStyle w:val="7"/>
        <w:jc w:val="center"/>
        <w:rPr>
          <w:rFonts w:hint="eastAsia" w:ascii="宋体" w:hAnsi="宋体" w:eastAsia="宋体" w:cs="宋体"/>
          <w:color w:val="auto"/>
        </w:rPr>
      </w:pPr>
      <w:bookmarkStart w:id="61" w:name="_Toc351203480"/>
      <w:bookmarkStart w:id="62" w:name="_Toc8426"/>
      <w:bookmarkStart w:id="63" w:name="_Toc55983932"/>
      <w:bookmarkStart w:id="64" w:name="_Toc199"/>
      <w:bookmarkStart w:id="65" w:name="_Toc72504994"/>
      <w:bookmarkStart w:id="66" w:name="_Toc494203359"/>
      <w:bookmarkStart w:id="67" w:name="_Toc518642840"/>
      <w:r>
        <w:rPr>
          <w:rFonts w:hint="eastAsia" w:ascii="宋体" w:hAnsi="宋体" w:eastAsia="宋体" w:cs="宋体"/>
          <w:color w:val="auto"/>
        </w:rPr>
        <w:t>第一部分 合同协议书</w:t>
      </w:r>
      <w:bookmarkEnd w:id="61"/>
      <w:bookmarkEnd w:id="62"/>
      <w:bookmarkEnd w:id="63"/>
      <w:bookmarkEnd w:id="64"/>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u w:val="single"/>
        </w:rPr>
      </w:pPr>
      <w:bookmarkStart w:id="68" w:name="_Toc351203494"/>
      <w:bookmarkStart w:id="69" w:name="_Toc55983946"/>
      <w:bookmarkStart w:id="70" w:name="_Toc20782"/>
      <w:bookmarkStart w:id="71" w:name="_Toc3323"/>
      <w:r>
        <w:rPr>
          <w:rFonts w:hint="eastAsia" w:ascii="宋体" w:hAnsi="宋体" w:eastAsia="宋体" w:cs="宋体"/>
          <w:color w:val="auto"/>
          <w:sz w:val="24"/>
          <w:szCs w:val="24"/>
        </w:rPr>
        <w:t>发包人（全称）：</w:t>
      </w:r>
      <w:r>
        <w:rPr>
          <w:rFonts w:hint="eastAsia" w:ascii="宋体" w:hAnsi="宋体" w:eastAsia="宋体" w:cs="宋体"/>
          <w:color w:val="auto"/>
          <w:sz w:val="24"/>
          <w:szCs w:val="24"/>
          <w:u w:val="single"/>
          <w:lang w:val="en-US" w:eastAsia="zh-CN"/>
        </w:rPr>
        <w:t>湛江经济技术开发区城市综合管理局</w:t>
      </w:r>
      <w:r>
        <w:rPr>
          <w:rFonts w:hint="eastAsia" w:ascii="宋体" w:hAnsi="宋体" w:eastAsia="宋体" w:cs="宋体"/>
          <w:color w:val="auto"/>
          <w:sz w:val="24"/>
          <w:szCs w:val="24"/>
          <w:u w:val="single"/>
        </w:rPr>
        <w:t xml:space="preserve"> </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承包人（全称）：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主办方</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成员方</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项目的工程总承包及有关事项协商一致，共同达成如下协议：</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color w:val="auto"/>
          <w:sz w:val="24"/>
          <w:szCs w:val="24"/>
        </w:rPr>
      </w:pPr>
      <w:bookmarkStart w:id="72" w:name="_Toc54862165"/>
      <w:r>
        <w:rPr>
          <w:rFonts w:hint="eastAsia" w:ascii="宋体" w:hAnsi="宋体" w:eastAsia="宋体" w:cs="宋体"/>
          <w:b w:val="0"/>
          <w:bCs/>
          <w:color w:val="auto"/>
          <w:sz w:val="24"/>
          <w:szCs w:val="24"/>
        </w:rPr>
        <w:t>一、工程概况</w:t>
      </w:r>
      <w:bookmarkEnd w:id="72"/>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工程名称：</w:t>
      </w:r>
      <w:r>
        <w:rPr>
          <w:rFonts w:hint="eastAsia" w:ascii="宋体" w:hAnsi="宋体" w:eastAsia="宋体" w:cs="宋体"/>
          <w:color w:val="auto"/>
          <w:sz w:val="24"/>
          <w:szCs w:val="24"/>
          <w:u w:val="single"/>
          <w:lang w:val="en-US" w:eastAsia="zh-CN"/>
        </w:rPr>
        <w:t>湛江经开区老旧小区改造项目（一期一标）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工程地点：</w:t>
      </w:r>
      <w:r>
        <w:rPr>
          <w:rFonts w:hint="eastAsia" w:ascii="宋体" w:hAnsi="宋体" w:eastAsia="宋体" w:cs="宋体"/>
          <w:color w:val="auto"/>
          <w:sz w:val="24"/>
          <w:szCs w:val="24"/>
          <w:u w:val="single"/>
          <w:lang w:val="en-US" w:eastAsia="zh-CN"/>
        </w:rPr>
        <w:t>湛江经开区建成区</w:t>
      </w:r>
      <w:r>
        <w:rPr>
          <w:rFonts w:hint="eastAsia" w:ascii="宋体" w:hAnsi="宋体" w:eastAsia="宋体" w:cs="宋体"/>
          <w:color w:val="auto"/>
          <w:sz w:val="24"/>
          <w:szCs w:val="24"/>
        </w:rPr>
        <w:t>。</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工程审批、核准或备案文号：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资金来源：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工程内容及规模：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 工程承包范围：负责本项目</w:t>
      </w:r>
      <w:r>
        <w:rPr>
          <w:rFonts w:hint="eastAsia" w:ascii="宋体" w:hAnsi="宋体" w:eastAsia="宋体" w:cs="宋体"/>
          <w:color w:val="auto"/>
          <w:sz w:val="24"/>
          <w:szCs w:val="24"/>
          <w:lang w:val="en-US" w:eastAsia="zh-CN"/>
        </w:rPr>
        <w:t>施工图</w:t>
      </w:r>
      <w:r>
        <w:rPr>
          <w:rFonts w:hint="eastAsia" w:ascii="宋体" w:hAnsi="宋体" w:eastAsia="宋体" w:cs="宋体"/>
          <w:color w:val="auto"/>
          <w:sz w:val="24"/>
          <w:szCs w:val="24"/>
        </w:rPr>
        <w:t>设计与施工总承包工作</w:t>
      </w:r>
      <w:r>
        <w:rPr>
          <w:rFonts w:hint="eastAsia" w:ascii="宋体" w:hAnsi="宋体" w:eastAsia="宋体" w:cs="宋体"/>
          <w:color w:val="auto"/>
          <w:sz w:val="24"/>
          <w:szCs w:val="24"/>
          <w:lang w:eastAsia="zh-CN"/>
        </w:rPr>
        <w:t>。</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设计工作内容包括但不限于:</w:t>
      </w:r>
      <w:r>
        <w:rPr>
          <w:rFonts w:hint="eastAsia" w:ascii="宋体" w:hAnsi="宋体" w:eastAsia="宋体" w:cs="宋体"/>
          <w:color w:val="auto"/>
          <w:sz w:val="24"/>
          <w:szCs w:val="24"/>
          <w:lang w:val="en-US" w:eastAsia="zh-CN"/>
        </w:rPr>
        <w:t>老旧小区改造效果图、施工图</w:t>
      </w:r>
      <w:r>
        <w:rPr>
          <w:rFonts w:hint="eastAsia" w:ascii="宋体" w:hAnsi="宋体" w:eastAsia="宋体" w:cs="宋体"/>
          <w:color w:val="auto"/>
          <w:sz w:val="24"/>
          <w:szCs w:val="24"/>
        </w:rPr>
        <w:t>（含施工图预算编制）</w:t>
      </w:r>
      <w:r>
        <w:rPr>
          <w:rFonts w:hint="eastAsia" w:ascii="宋体" w:hAnsi="宋体" w:eastAsia="宋体" w:cs="宋体"/>
          <w:color w:val="auto"/>
          <w:sz w:val="24"/>
          <w:szCs w:val="24"/>
          <w:lang w:val="en-US" w:eastAsia="zh-CN"/>
        </w:rPr>
        <w:t>，包含建筑外立面改造，供电、供水、燃气、通讯等管线改造，小区内、外</w:t>
      </w:r>
      <w:r>
        <w:rPr>
          <w:rFonts w:hint="eastAsia" w:ascii="宋体" w:hAnsi="宋体" w:eastAsia="宋体" w:cs="宋体"/>
          <w:color w:val="auto"/>
          <w:sz w:val="24"/>
          <w:szCs w:val="24"/>
        </w:rPr>
        <w:t>道路工程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小区雨、污排水，停车规划、消防等一切满足老旧小区改造项目配套工程的设计；</w:t>
      </w:r>
      <w:r>
        <w:rPr>
          <w:rFonts w:hint="eastAsia" w:ascii="宋体" w:hAnsi="宋体" w:eastAsia="宋体" w:cs="宋体"/>
          <w:color w:val="auto"/>
          <w:sz w:val="24"/>
          <w:szCs w:val="24"/>
        </w:rPr>
        <w:t>包施工图审查通过、</w:t>
      </w:r>
      <w:r>
        <w:rPr>
          <w:rFonts w:hint="eastAsia" w:ascii="宋体" w:hAnsi="宋体" w:eastAsia="宋体" w:cs="宋体"/>
          <w:color w:val="auto"/>
          <w:sz w:val="24"/>
          <w:szCs w:val="24"/>
          <w:lang w:val="en-US" w:eastAsia="zh-CN"/>
        </w:rPr>
        <w:t>驻场</w:t>
      </w:r>
      <w:r>
        <w:rPr>
          <w:rFonts w:hint="eastAsia" w:ascii="宋体" w:hAnsi="宋体" w:eastAsia="宋体" w:cs="宋体"/>
          <w:color w:val="auto"/>
          <w:sz w:val="24"/>
          <w:szCs w:val="24"/>
        </w:rPr>
        <w:t>指导、配合发包人报建、现场服务与技术交底、后期采购咨询服务、专业设计配合服务以及配合审核竣工图、设计变更、签证、质量缺陷处理及工程验收等后续服务等。</w:t>
      </w:r>
    </w:p>
    <w:p>
      <w:pPr>
        <w:keepLines w:val="0"/>
        <w:pageBreakBefore w:val="0"/>
        <w:overflowPunct/>
        <w:autoSpaceDE/>
        <w:autoSpaceDN/>
        <w:bidi w:val="0"/>
        <w:spacing w:beforeAutospacing="0" w:after="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①供电、供水、通信等管线</w:t>
      </w:r>
      <w:r>
        <w:rPr>
          <w:rFonts w:hint="eastAsia" w:ascii="宋体" w:hAnsi="宋体" w:eastAsia="宋体" w:cs="宋体"/>
          <w:color w:val="auto"/>
          <w:sz w:val="24"/>
          <w:szCs w:val="24"/>
        </w:rPr>
        <w:t>设计方案需满足供电</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部门的要求并取得供电</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部门审批备案。</w:t>
      </w:r>
      <w:r>
        <w:rPr>
          <w:rFonts w:hint="eastAsia" w:ascii="宋体" w:hAnsi="宋体" w:eastAsia="宋体" w:cs="宋体"/>
          <w:color w:val="auto"/>
          <w:sz w:val="24"/>
          <w:szCs w:val="24"/>
          <w:lang w:val="en-US" w:eastAsia="zh-CN"/>
        </w:rPr>
        <w:t>最终设计内容以发包人确认的项目建设范围为准。</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②本工程采取限额设计，</w:t>
      </w:r>
      <w:r>
        <w:rPr>
          <w:rFonts w:hint="eastAsia" w:ascii="宋体" w:hAnsi="宋体" w:eastAsia="宋体" w:cs="宋体"/>
          <w:color w:val="auto"/>
          <w:sz w:val="24"/>
          <w:szCs w:val="24"/>
          <w:u w:val="single"/>
          <w:lang w:val="en-US" w:eastAsia="zh-CN"/>
        </w:rPr>
        <w:t>湛江经开区老旧小区改造项目（一期一标）</w:t>
      </w:r>
      <w:r>
        <w:rPr>
          <w:rFonts w:hint="eastAsia" w:ascii="宋体" w:hAnsi="宋体" w:eastAsia="宋体" w:cs="宋体"/>
          <w:color w:val="auto"/>
          <w:sz w:val="24"/>
          <w:szCs w:val="24"/>
          <w:lang w:val="en-US" w:eastAsia="zh-CN"/>
        </w:rPr>
        <w:t>工程设计施工图建安费预算造价不得高于发改批复初步设计概算的建安费；施工图设计必须进行技术经济分析。通过对设计方案、工艺、设备等进行全面的评价，在满足功能要求的前提下，采用技术经济优化、有效控制工程投资的方案。</w:t>
      </w:r>
    </w:p>
    <w:p>
      <w:pPr>
        <w:pStyle w:val="5"/>
        <w:keepLines w:val="0"/>
        <w:pageBreakBefore w:val="0"/>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（2）</w:t>
      </w:r>
      <w:r>
        <w:rPr>
          <w:rFonts w:hint="eastAsia" w:ascii="宋体" w:hAnsi="宋体" w:eastAsia="宋体" w:cs="宋体"/>
          <w:b/>
          <w:bCs/>
          <w:color w:val="auto"/>
          <w:kern w:val="0"/>
          <w:sz w:val="24"/>
          <w:szCs w:val="24"/>
          <w:lang w:val="en-US" w:eastAsia="zh-CN" w:bidi="ar-SA"/>
        </w:rPr>
        <w:t>施工工作内容和费用主要包括但不限于</w:t>
      </w:r>
      <w:r>
        <w:rPr>
          <w:rFonts w:hint="eastAsia" w:ascii="宋体" w:hAnsi="宋体" w:eastAsia="宋体" w:cs="宋体"/>
          <w:b w:val="0"/>
          <w:color w:val="auto"/>
          <w:kern w:val="0"/>
          <w:sz w:val="24"/>
          <w:szCs w:val="24"/>
          <w:lang w:val="en-US" w:eastAsia="zh-CN" w:bidi="ar-SA"/>
        </w:rPr>
        <w:t>:负责按期按质按量完成施工图设计内容及因满足项目正常实施的配套设施的施工，包工、包料、包质量、包安全生产、包文明施工、包工期、包工程及材料检测、及合同约定和相关规定由承包人承担的相关费用 (含风险范围内的费用、组织专家对方案评审的费用)，包工程竣工验收通过、移交、完成结算和保修期工程保修及缺陷责任期的修复等工作。</w:t>
      </w:r>
    </w:p>
    <w:p>
      <w:pPr>
        <w:pStyle w:val="5"/>
        <w:keepLines w:val="0"/>
        <w:pageBreakBefore w:val="0"/>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7.承包方式:由承包人按照本合同约定范围，包效果图和施工图设计、包施工图审查通过，包工、包料、包设备、包工期、包质量、包造价控制、包安全、包文明施工、包工程材料及工程检测、包项目协调管理、包验收合格移交、包竣工资料收集整理移交档案、包保修。本工程不允许转包、不允许违法分包，如确需分包的项目，必须与建设单位协商并得到建设单位的同意，分包方必须具备相应的专业资质方可分包。</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color w:val="auto"/>
          <w:sz w:val="24"/>
          <w:szCs w:val="24"/>
        </w:rPr>
      </w:pPr>
      <w:bookmarkStart w:id="73" w:name="_Toc54862166"/>
      <w:r>
        <w:rPr>
          <w:rFonts w:hint="eastAsia" w:ascii="宋体" w:hAnsi="宋体" w:eastAsia="宋体" w:cs="宋体"/>
          <w:b w:val="0"/>
          <w:bCs/>
          <w:color w:val="auto"/>
          <w:sz w:val="24"/>
          <w:szCs w:val="24"/>
        </w:rPr>
        <w:t>二、合同工期</w:t>
      </w:r>
      <w:bookmarkEnd w:id="73"/>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设计工期：</w:t>
      </w:r>
      <w:r>
        <w:rPr>
          <w:rFonts w:hint="eastAsia" w:ascii="宋体" w:hAnsi="宋体" w:eastAsia="宋体" w:cs="宋体"/>
          <w:color w:val="auto"/>
          <w:sz w:val="24"/>
          <w:szCs w:val="24"/>
        </w:rPr>
        <w:t>承包人应在总承包合同签订之日起后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日历天内完成施工图设计（不含评审时间），并提交全套施工图设计文件报审，施工图审核通过后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日历天内完成预算编制（不含评审时间）。</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施工工期：合计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日历天内完成竣工验收</w:t>
      </w:r>
      <w:r>
        <w:rPr>
          <w:rFonts w:hint="eastAsia" w:ascii="宋体" w:hAnsi="宋体" w:eastAsia="宋体" w:cs="宋体"/>
          <w:color w:val="auto"/>
          <w:sz w:val="24"/>
          <w:szCs w:val="24"/>
          <w:lang w:eastAsia="zh-CN"/>
        </w:rPr>
        <w:t>。</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计划开工日期：年月日</w:t>
      </w:r>
      <w:r>
        <w:rPr>
          <w:rFonts w:hint="eastAsia" w:ascii="宋体" w:hAnsi="宋体" w:eastAsia="宋体" w:cs="宋体"/>
          <w:color w:val="auto"/>
          <w:sz w:val="24"/>
          <w:szCs w:val="24"/>
          <w:lang w:eastAsia="zh-CN"/>
        </w:rPr>
        <w:t>；</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计划竣工日期：年月日。</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开工日期由监理工程师发出的开工令中指定的日期算起，以工程竣工验收通过、承包人送交建设工程竣工验收报告的日期作为实际竣工日。</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color w:val="auto"/>
          <w:sz w:val="24"/>
          <w:szCs w:val="24"/>
        </w:rPr>
      </w:pPr>
      <w:bookmarkStart w:id="74" w:name="_Toc54862167"/>
      <w:r>
        <w:rPr>
          <w:rFonts w:hint="eastAsia" w:ascii="宋体" w:hAnsi="宋体" w:eastAsia="宋体" w:cs="宋体"/>
          <w:b w:val="0"/>
          <w:bCs/>
          <w:color w:val="auto"/>
          <w:sz w:val="24"/>
          <w:szCs w:val="24"/>
        </w:rPr>
        <w:t>三、质量标准</w:t>
      </w:r>
      <w:bookmarkEnd w:id="74"/>
    </w:p>
    <w:p>
      <w:pPr>
        <w:keepLines w:val="0"/>
        <w:pageBreakBefore w:val="0"/>
        <w:wordWrap/>
        <w:overflowPunct/>
        <w:topLinePunct w:val="0"/>
        <w:autoSpaceDE/>
        <w:autoSpaceDN/>
        <w:bidi w:val="0"/>
        <w:spacing w:beforeAutospacing="0" w:after="0" w:afterAutospacing="0" w:line="360" w:lineRule="auto"/>
        <w:ind w:left="0" w:leftChars="0" w:firstLine="480" w:firstLineChars="200"/>
        <w:textAlignment w:val="auto"/>
        <w:rPr>
          <w:rFonts w:hint="eastAsia" w:ascii="宋体" w:hAnsi="宋体" w:eastAsia="宋体" w:cs="宋体"/>
          <w:color w:val="auto"/>
          <w:sz w:val="24"/>
          <w:szCs w:val="24"/>
          <w:lang w:eastAsia="zh-CN"/>
        </w:rPr>
      </w:pPr>
      <w:bookmarkStart w:id="75" w:name="_Toc54862168"/>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设计要求的质量标准:符合《建设工程质量管理条例》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《建设工程勘察设计管理条例》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《建筑工程设计文件编制深度规定(2016 年版)》等国家及地方有关工程设计管理法规和规章，达到行业相关规范技术标准等要求;符合建设工程勘察设计的技术规范及本项目设计任务书的要求</w:t>
      </w:r>
      <w:r>
        <w:rPr>
          <w:rFonts w:hint="eastAsia" w:ascii="宋体" w:hAnsi="宋体" w:eastAsia="宋体" w:cs="宋体"/>
          <w:color w:val="auto"/>
          <w:sz w:val="24"/>
          <w:szCs w:val="24"/>
          <w:lang w:eastAsia="zh-CN"/>
        </w:rPr>
        <w:t>。</w:t>
      </w:r>
    </w:p>
    <w:p>
      <w:pPr>
        <w:keepLines w:val="0"/>
        <w:pageBreakBefore w:val="0"/>
        <w:wordWrap/>
        <w:overflowPunct/>
        <w:topLinePunct w:val="0"/>
        <w:autoSpaceDE/>
        <w:autoSpaceDN/>
        <w:bidi w:val="0"/>
        <w:spacing w:beforeAutospacing="0" w:after="0" w:afterAutospacing="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施工要求的质量标准:符合设计图纸要求和国家、省、市相关法律法规规定要求及行业颁发的工程质量验收合格标准。承包人投标时承诺达到更高质量标准的按承诺的质量标准执行。</w:t>
      </w:r>
    </w:p>
    <w:p>
      <w:pPr>
        <w:pStyle w:val="5"/>
        <w:keepLines w:val="0"/>
        <w:pageBreakBefore w:val="0"/>
        <w:overflowPunct/>
        <w:autoSpaceDE/>
        <w:autoSpaceDN/>
        <w:bidi w:val="0"/>
        <w:spacing w:before="0" w:beforeAutospacing="0" w:afterAutospacing="0"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四、签约合同价与合同价格形式</w:t>
      </w:r>
      <w:bookmarkEnd w:id="75"/>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签约合同价（含税）为：</w:t>
      </w:r>
    </w:p>
    <w:p>
      <w:pPr>
        <w:keepLines w:val="0"/>
        <w:pageBreakBefore w:val="0"/>
        <w:wordWrap/>
        <w:overflowPunct/>
        <w:topLinePunct w:val="0"/>
        <w:autoSpaceDE/>
        <w:autoSpaceDN/>
        <w:bidi w:val="0"/>
        <w:spacing w:beforeAutospacing="0" w:after="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施工图设计费中标下浮率：=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%，建安费中标下浮率：=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%，合同价暂定为</w:t>
      </w:r>
      <w:r>
        <w:rPr>
          <w:rFonts w:hint="eastAsia" w:ascii="宋体" w:hAnsi="宋体" w:eastAsia="宋体" w:cs="宋体"/>
          <w:color w:val="auto"/>
          <w:sz w:val="24"/>
          <w:szCs w:val="24"/>
        </w:rPr>
        <w:t>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大写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具体构成详见价格清单。其中： </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1.施工图</w:t>
      </w:r>
      <w:r>
        <w:rPr>
          <w:rFonts w:hint="eastAsia" w:ascii="宋体" w:hAnsi="宋体" w:eastAsia="宋体" w:cs="宋体"/>
          <w:color w:val="auto"/>
          <w:sz w:val="24"/>
          <w:szCs w:val="24"/>
        </w:rPr>
        <w:t>设计费（含税）：</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人民币（大写)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元）；适用税率：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%，税金为人民币（大写)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元）； </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设备购置费（含税）：</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人民币（大写)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元）；适用税率：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%，税金为人民币（大写)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元）； </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建筑安装工程费（含税）：</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元）；适用税率：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%，税金为人民币（大写)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元）； </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暂估价（含税）：</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暂列金额（含税）：</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合同价格形式：</w:t>
      </w:r>
    </w:p>
    <w:p>
      <w:pPr>
        <w:keepNext w:val="0"/>
        <w:keepLines w:val="0"/>
        <w:pageBreakBefore w:val="0"/>
        <w:widowControl/>
        <w:kinsoku/>
        <w:wordWrap w:val="0"/>
        <w:overflowPunct/>
        <w:topLinePunct/>
        <w:autoSpaceDE/>
        <w:autoSpaceDN/>
        <w:bidi w:val="0"/>
        <w:adjustRightInd w:val="0"/>
        <w:snapToGrid w:val="0"/>
        <w:spacing w:beforeAutospacing="0" w:after="0" w:afterAutospacing="0" w:line="360" w:lineRule="auto"/>
        <w:ind w:firstLine="459"/>
        <w:textAlignment w:val="auto"/>
        <w:rPr>
          <w:rFonts w:hint="eastAsia" w:ascii="宋体" w:hAnsi="宋体" w:eastAsia="宋体" w:cs="宋体"/>
          <w:b w:val="0"/>
          <w:bCs/>
          <w:color w:val="auto"/>
          <w:sz w:val="24"/>
          <w:szCs w:val="24"/>
          <w:u w:val="none"/>
        </w:rPr>
      </w:pPr>
      <w:r>
        <w:rPr>
          <w:rFonts w:hint="eastAsia" w:ascii="宋体" w:hAnsi="宋体" w:eastAsia="宋体" w:cs="宋体"/>
          <w:b w:val="0"/>
          <w:bCs/>
          <w:color w:val="auto"/>
          <w:sz w:val="24"/>
          <w:szCs w:val="24"/>
          <w:u w:val="none"/>
        </w:rPr>
        <w:t>本工程采用固定单价合同。工程量按施工图纸及批准的变更图纸计算。结算时综合单价按中标价中相应清单综合单价固定不变，以实际发生的工程量进行结算。</w:t>
      </w:r>
    </w:p>
    <w:p>
      <w:pPr>
        <w:keepLines w:val="0"/>
        <w:pageBreakBefore w:val="0"/>
        <w:numPr>
          <w:ilvl w:val="0"/>
          <w:numId w:val="10"/>
        </w:numPr>
        <w:kinsoku w:val="0"/>
        <w:wordWrap/>
        <w:overflowPunct/>
        <w:topLinePunct w:val="0"/>
        <w:autoSpaceDE/>
        <w:autoSpaceDN/>
        <w:bidi w:val="0"/>
        <w:spacing w:beforeAutospacing="0" w:after="0" w:afterAutospacing="0" w:line="360" w:lineRule="auto"/>
        <w:ind w:left="300" w:leftChars="125" w:firstLine="240" w:firstLineChars="1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本合同进一步约定如下：</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b w:val="0"/>
          <w:bCs/>
          <w:color w:val="auto"/>
          <w:kern w:val="0"/>
          <w:sz w:val="24"/>
          <w:szCs w:val="24"/>
          <w:lang w:val="en-US" w:eastAsia="zh-CN" w:bidi="ar-SA"/>
        </w:rPr>
      </w:pPr>
      <w:bookmarkStart w:id="76" w:name="_Toc54862169"/>
      <w:r>
        <w:rPr>
          <w:rFonts w:hint="eastAsia" w:ascii="宋体" w:hAnsi="宋体" w:eastAsia="宋体" w:cs="宋体"/>
          <w:b w:val="0"/>
          <w:bCs/>
          <w:color w:val="auto"/>
          <w:kern w:val="0"/>
          <w:sz w:val="24"/>
          <w:szCs w:val="24"/>
          <w:lang w:val="en-US" w:eastAsia="zh-CN" w:bidi="ar-SA"/>
        </w:rPr>
        <w:t>1.工程设计费根据《工程设计收费标准》（计价格[2002]10号）计算，工程设计费＝（工程设计收费基价×专业调整系数×工程复杂程度调整系数×附加调整系数） ×60%×（1-投标下浮率），专业调整系数为</w:t>
      </w:r>
      <w:r>
        <w:rPr>
          <w:rFonts w:hint="eastAsia" w:ascii="宋体" w:hAnsi="宋体" w:eastAsia="宋体" w:cs="宋体"/>
          <w:b w:val="0"/>
          <w:bCs/>
          <w:color w:val="auto"/>
          <w:kern w:val="0"/>
          <w:sz w:val="24"/>
          <w:szCs w:val="24"/>
          <w:u w:val="single"/>
          <w:lang w:val="en-US" w:eastAsia="zh-CN" w:bidi="ar-SA"/>
        </w:rPr>
        <w:t xml:space="preserve">    </w:t>
      </w:r>
      <w:r>
        <w:rPr>
          <w:rFonts w:hint="eastAsia" w:ascii="宋体" w:hAnsi="宋体" w:eastAsia="宋体" w:cs="宋体"/>
          <w:b w:val="0"/>
          <w:bCs/>
          <w:color w:val="auto"/>
          <w:kern w:val="0"/>
          <w:sz w:val="24"/>
          <w:szCs w:val="24"/>
          <w:lang w:val="en-US" w:eastAsia="zh-CN" w:bidi="ar-SA"/>
        </w:rPr>
        <w:t>，工程复杂程度调整系数为</w:t>
      </w:r>
      <w:r>
        <w:rPr>
          <w:rFonts w:hint="eastAsia" w:ascii="宋体" w:hAnsi="宋体" w:eastAsia="宋体" w:cs="宋体"/>
          <w:b w:val="0"/>
          <w:bCs/>
          <w:color w:val="auto"/>
          <w:kern w:val="0"/>
          <w:sz w:val="24"/>
          <w:szCs w:val="24"/>
          <w:u w:val="single"/>
          <w:lang w:val="en-US" w:eastAsia="zh-CN" w:bidi="ar-SA"/>
        </w:rPr>
        <w:t xml:space="preserve">   </w:t>
      </w:r>
      <w:r>
        <w:rPr>
          <w:rFonts w:hint="eastAsia" w:ascii="宋体" w:hAnsi="宋体" w:eastAsia="宋体" w:cs="宋体"/>
          <w:b w:val="0"/>
          <w:bCs/>
          <w:color w:val="auto"/>
          <w:kern w:val="0"/>
          <w:sz w:val="24"/>
          <w:szCs w:val="24"/>
          <w:lang w:val="en-US" w:eastAsia="zh-CN" w:bidi="ar-SA"/>
        </w:rPr>
        <w:t>，附加调整系数为</w:t>
      </w:r>
      <w:r>
        <w:rPr>
          <w:rFonts w:hint="eastAsia" w:ascii="宋体" w:hAnsi="宋体" w:eastAsia="宋体" w:cs="宋体"/>
          <w:b w:val="0"/>
          <w:bCs/>
          <w:color w:val="auto"/>
          <w:kern w:val="0"/>
          <w:sz w:val="24"/>
          <w:szCs w:val="24"/>
          <w:u w:val="single"/>
          <w:lang w:val="en-US" w:eastAsia="zh-CN" w:bidi="ar-SA"/>
        </w:rPr>
        <w:t xml:space="preserve">   </w:t>
      </w:r>
      <w:r>
        <w:rPr>
          <w:rFonts w:hint="eastAsia" w:ascii="宋体" w:hAnsi="宋体" w:eastAsia="宋体" w:cs="宋体"/>
          <w:b w:val="0"/>
          <w:bCs/>
          <w:color w:val="auto"/>
          <w:kern w:val="0"/>
          <w:sz w:val="24"/>
          <w:szCs w:val="24"/>
          <w:u w:val="none"/>
          <w:lang w:val="en-US" w:eastAsia="zh-CN" w:bidi="ar-SA"/>
        </w:rPr>
        <w:t>；</w:t>
      </w:r>
      <w:r>
        <w:rPr>
          <w:rFonts w:hint="eastAsia" w:ascii="宋体" w:hAnsi="宋体" w:eastAsia="宋体" w:cs="宋体"/>
          <w:b w:val="0"/>
          <w:bCs/>
          <w:color w:val="auto"/>
          <w:kern w:val="0"/>
          <w:sz w:val="24"/>
          <w:szCs w:val="24"/>
          <w:lang w:val="en-US" w:eastAsia="zh-CN" w:bidi="ar-SA"/>
        </w:rPr>
        <w:t>施工图设计费占比55%，即施工图设计费=工程设计费×55%；施工图预算编制费=</w:t>
      </w:r>
      <w:r>
        <w:rPr>
          <w:rFonts w:hint="eastAsia" w:cs="宋体"/>
          <w:b w:val="0"/>
          <w:bCs/>
          <w:color w:val="auto"/>
          <w:kern w:val="0"/>
          <w:sz w:val="24"/>
          <w:szCs w:val="24"/>
          <w:lang w:val="en-US" w:eastAsia="zh-CN" w:bidi="ar-SA"/>
        </w:rPr>
        <w:t>施工图</w:t>
      </w:r>
      <w:r>
        <w:rPr>
          <w:rFonts w:hint="eastAsia" w:ascii="宋体" w:hAnsi="宋体" w:eastAsia="宋体" w:cs="宋体"/>
          <w:b w:val="0"/>
          <w:bCs/>
          <w:color w:val="auto"/>
          <w:kern w:val="0"/>
          <w:sz w:val="24"/>
          <w:szCs w:val="24"/>
          <w:lang w:val="en-US" w:eastAsia="zh-CN" w:bidi="ar-SA"/>
        </w:rPr>
        <w:t>设计费×10%。设计费包含了为完成本设计项目所需进行的研究或评估等工作的所有费用；包含了在施工过程派驻设计代表等服务和交通差旅费等相关费用等，在此过程中发包人不再另外增加任何费用；包含了发包人认为承包人提交的成果需要组织的专家论证发生的费用，承包人原因造成的变更、签证的专家论证、第三方咨询等发生的费用。</w:t>
      </w:r>
    </w:p>
    <w:p>
      <w:pPr>
        <w:keepLines w:val="0"/>
        <w:pageBreakBefore w:val="0"/>
        <w:overflowPunct/>
        <w:autoSpaceDE/>
        <w:autoSpaceDN/>
        <w:bidi w:val="0"/>
        <w:spacing w:beforeAutospacing="0" w:after="0" w:afterAutospacing="0" w:line="360" w:lineRule="auto"/>
        <w:ind w:left="0" w:leftChars="0" w:firstLine="480" w:firstLineChars="200"/>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2.建筑安装工程费为暂定价，须根据施工图预算进行调整。</w:t>
      </w:r>
    </w:p>
    <w:p>
      <w:pPr>
        <w:keepLines w:val="0"/>
        <w:pageBreakBefore w:val="0"/>
        <w:overflowPunct/>
        <w:autoSpaceDE/>
        <w:autoSpaceDN/>
        <w:bidi w:val="0"/>
        <w:spacing w:beforeAutospacing="0" w:after="0" w:afterAutospacing="0" w:line="360" w:lineRule="auto"/>
        <w:ind w:left="0" w:leftChars="0" w:firstLine="480" w:firstLineChars="200"/>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3.施工阶段因承包人自身因素引起的设计及施工调整的费用由承包人承担，建筑安装工程费最终结算造价不得超过建安工程费用的中标价与暂列金中标价总和。</w:t>
      </w:r>
    </w:p>
    <w:p>
      <w:pPr>
        <w:keepLines w:val="0"/>
        <w:pageBreakBefore w:val="0"/>
        <w:overflowPunct/>
        <w:autoSpaceDE/>
        <w:autoSpaceDN/>
        <w:bidi w:val="0"/>
        <w:spacing w:beforeAutospacing="0" w:after="0" w:afterAutospacing="0" w:line="360" w:lineRule="auto"/>
        <w:ind w:left="0" w:leftChars="0" w:firstLine="480" w:firstLineChars="200"/>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4.此合同价为暂定价，专用条款中约定的“合同价”以财政部门审核的预算为准。</w:t>
      </w:r>
    </w:p>
    <w:p>
      <w:pPr>
        <w:keepLines w:val="0"/>
        <w:pageBreakBefore w:val="0"/>
        <w:overflowPunct/>
        <w:autoSpaceDE/>
        <w:autoSpaceDN/>
        <w:bidi w:val="0"/>
        <w:spacing w:beforeAutospacing="0" w:after="0" w:afterAutospacing="0" w:line="360" w:lineRule="auto"/>
        <w:ind w:left="0" w:leftChars="0" w:firstLine="480" w:firstLineChars="200"/>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5.发包人承诺按专用条款约定的条件、时间和方式向承包人支付合同价款，并按财政部门最终审定的竣工结算价款作为本合同工程款的最终支付依据。</w:t>
      </w:r>
    </w:p>
    <w:p>
      <w:pPr>
        <w:pStyle w:val="5"/>
        <w:keepLines w:val="0"/>
        <w:pageBreakBefore w:val="0"/>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6.合同价含完成本工程施工图设计、施工所有项目的全部费用：包括效果图设计、施工图设计、施工图预算编制、施工过程设计控制及设计跟踪、工程设计变更、施工现场配合服务、后期采购咨询服务、专业设计配合服务；包括发包人认为承包人提交的设计成果需要组织的专家论证发生的费用；包括承包人原因造成的变更、签证的专家论证、第三方咨询等发生的费用；包括配合审核竣工图及质量缺陷处理等后续服务的费用:施工分部分项工程费、安全、文明措施项目费、交通围蔽安全疏导等其他项目费、赶工、所有工程和材料检测费、和规费、利润、税金、修复(因此工程施工导致的道路、绿化等设施损坏)、清理等所有施工过程的所有费用和施工范围地下管线的勘查及保护的费用；包括专用条款约定的费用。最终结算造价以实际施工完成的工程结算，以财政局审核该工程结算造价为准，如果整个项目结算造价如高于本项目中标价，则按中标价结算支付。</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五、</w:t>
      </w:r>
      <w:bookmarkEnd w:id="76"/>
      <w:r>
        <w:rPr>
          <w:rFonts w:hint="eastAsia" w:ascii="宋体" w:hAnsi="宋体" w:eastAsia="宋体" w:cs="宋体"/>
          <w:b w:val="0"/>
          <w:bCs/>
          <w:color w:val="auto"/>
          <w:sz w:val="24"/>
          <w:szCs w:val="24"/>
          <w:lang w:val="en-US" w:eastAsia="zh-CN"/>
        </w:rPr>
        <w:t>项目负责人</w:t>
      </w:r>
    </w:p>
    <w:p>
      <w:pPr>
        <w:keepLines w:val="0"/>
        <w:pageBreakBefore w:val="0"/>
        <w:wordWrap/>
        <w:overflowPunct/>
        <w:topLinePunct w:val="0"/>
        <w:autoSpaceDE/>
        <w:autoSpaceDN/>
        <w:bidi w:val="0"/>
        <w:spacing w:beforeAutospacing="0" w:after="0" w:afterAutospacing="0" w:line="360" w:lineRule="auto"/>
        <w:ind w:firstLine="600"/>
        <w:jc w:val="both"/>
        <w:textAlignment w:val="auto"/>
        <w:rPr>
          <w:rFonts w:hint="eastAsia" w:ascii="宋体" w:hAnsi="宋体" w:eastAsia="宋体" w:cs="宋体"/>
          <w:b w:val="0"/>
          <w:bCs/>
          <w:color w:val="auto"/>
          <w:sz w:val="24"/>
          <w:szCs w:val="24"/>
          <w:u w:val="single"/>
          <w:lang w:val="en-US" w:eastAsia="zh-CN"/>
        </w:rPr>
      </w:pPr>
      <w:r>
        <w:rPr>
          <w:rFonts w:hint="eastAsia" w:ascii="宋体" w:hAnsi="宋体" w:eastAsia="宋体" w:cs="宋体"/>
          <w:b w:val="0"/>
          <w:bCs/>
          <w:color w:val="auto"/>
          <w:sz w:val="24"/>
          <w:szCs w:val="24"/>
        </w:rPr>
        <w:t>工程总承包项目经理：</w:t>
      </w:r>
      <w:r>
        <w:rPr>
          <w:rFonts w:hint="eastAsia" w:ascii="宋体" w:hAnsi="宋体" w:eastAsia="宋体" w:cs="宋体"/>
          <w:b w:val="0"/>
          <w:bCs/>
          <w:color w:val="auto"/>
          <w:sz w:val="24"/>
          <w:szCs w:val="24"/>
          <w:u w:val="single"/>
        </w:rPr>
        <w:t xml:space="preserve">        </w:t>
      </w:r>
      <w:r>
        <w:rPr>
          <w:rFonts w:hint="eastAsia" w:ascii="宋体" w:hAnsi="宋体" w:eastAsia="宋体" w:cs="宋体"/>
          <w:b w:val="0"/>
          <w:bCs/>
          <w:color w:val="auto"/>
          <w:sz w:val="24"/>
          <w:szCs w:val="24"/>
          <w:u w:val="none"/>
          <w:lang w:eastAsia="zh-CN"/>
        </w:rPr>
        <w:t>；</w:t>
      </w:r>
      <w:r>
        <w:rPr>
          <w:rFonts w:hint="eastAsia" w:ascii="宋体" w:hAnsi="宋体" w:eastAsia="宋体" w:cs="宋体"/>
          <w:b w:val="0"/>
          <w:bCs/>
          <w:color w:val="auto"/>
          <w:sz w:val="24"/>
          <w:szCs w:val="24"/>
          <w:u w:val="none"/>
          <w:lang w:val="en-US" w:eastAsia="zh-CN"/>
        </w:rPr>
        <w:t>设计负责人：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；施工负责人：</w:t>
      </w:r>
      <w:r>
        <w:rPr>
          <w:rFonts w:hint="eastAsia" w:ascii="宋体" w:hAnsi="宋体" w:eastAsia="宋体" w:cs="宋体"/>
          <w:b w:val="0"/>
          <w:bCs/>
          <w:color w:val="auto"/>
          <w:sz w:val="24"/>
          <w:szCs w:val="24"/>
          <w:u w:val="single"/>
          <w:lang w:val="en-US" w:eastAsia="zh-CN"/>
        </w:rPr>
        <w:t xml:space="preserve">      。</w:t>
      </w:r>
    </w:p>
    <w:p>
      <w:pPr>
        <w:pStyle w:val="5"/>
        <w:keepLines w:val="0"/>
        <w:pageBreakBefore w:val="0"/>
        <w:overflowPunct/>
        <w:autoSpaceDE/>
        <w:autoSpaceDN/>
        <w:bidi w:val="0"/>
        <w:spacing w:before="0" w:beforeAutospacing="0" w:after="0" w:afterAutospacing="0" w:line="360" w:lineRule="auto"/>
        <w:jc w:val="both"/>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发包人施工现场管理代表：</w:t>
      </w:r>
      <w:r>
        <w:rPr>
          <w:rFonts w:hint="eastAsia" w:ascii="宋体" w:hAnsi="宋体" w:eastAsia="宋体" w:cs="宋体"/>
          <w:b w:val="0"/>
          <w:bCs/>
          <w:color w:val="auto"/>
          <w:kern w:val="0"/>
          <w:sz w:val="24"/>
          <w:szCs w:val="24"/>
          <w:u w:val="single"/>
          <w:lang w:val="en-US" w:eastAsia="zh-CN" w:bidi="ar-SA"/>
        </w:rPr>
        <w:t xml:space="preserve">              </w:t>
      </w:r>
      <w:r>
        <w:rPr>
          <w:rFonts w:hint="eastAsia" w:ascii="宋体" w:hAnsi="宋体" w:eastAsia="宋体" w:cs="宋体"/>
          <w:b w:val="0"/>
          <w:bCs/>
          <w:color w:val="auto"/>
          <w:kern w:val="0"/>
          <w:sz w:val="24"/>
          <w:szCs w:val="24"/>
          <w:u w:val="none"/>
          <w:lang w:val="en-US" w:eastAsia="zh-CN" w:bidi="ar-SA"/>
        </w:rPr>
        <w:t>。</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color w:val="auto"/>
          <w:sz w:val="24"/>
          <w:szCs w:val="24"/>
          <w:lang w:val="en-US" w:eastAsia="zh-CN"/>
        </w:rPr>
      </w:pPr>
      <w:bookmarkStart w:id="77" w:name="_Toc54862170"/>
      <w:r>
        <w:rPr>
          <w:rFonts w:hint="eastAsia" w:ascii="宋体" w:hAnsi="宋体" w:eastAsia="宋体" w:cs="宋体"/>
          <w:b w:val="0"/>
          <w:bCs/>
          <w:color w:val="auto"/>
          <w:sz w:val="24"/>
          <w:szCs w:val="24"/>
        </w:rPr>
        <w:t>六、合同文件</w:t>
      </w:r>
      <w:bookmarkEnd w:id="77"/>
      <w:r>
        <w:rPr>
          <w:rFonts w:hint="eastAsia" w:ascii="宋体" w:hAnsi="宋体" w:eastAsia="宋体" w:cs="宋体"/>
          <w:b w:val="0"/>
          <w:bCs/>
          <w:color w:val="auto"/>
          <w:sz w:val="24"/>
          <w:szCs w:val="24"/>
          <w:lang w:val="en-US" w:eastAsia="zh-CN"/>
        </w:rPr>
        <w:t>及解释顺序</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合同文件应能相互解释，互为说明。组成本合同的文件及优先解释顺序如下：</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bookmarkStart w:id="78" w:name="_Toc54862171"/>
      <w:r>
        <w:rPr>
          <w:rFonts w:hint="eastAsia" w:ascii="宋体" w:hAnsi="宋体" w:eastAsia="宋体" w:cs="宋体"/>
          <w:b w:val="0"/>
          <w:bCs/>
          <w:color w:val="auto"/>
          <w:sz w:val="24"/>
          <w:szCs w:val="24"/>
        </w:rPr>
        <w:t>（1）协议书；</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（2）履行本合同的相关补充协议（含工程洽商记录、会议纪要、工程变更、现场签证、索赔和合同价款调整报告等修正文件）；</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（3）中标通知书；</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（4）承包人投标文件及其附件（含评标期间的澄清文件和补充资料）；湛江开发区财政部门审定预算；</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（5）本合同补充条款；</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（6）本合同专用条款；</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（7）本合同通用条款；</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（8）招标文件（含招标文件补充文件、澄清文件、答疑文件等）；</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（9）标准、规范及有关技术文件；</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（10）发包人针对本工程建设管理的各项制度、规定；</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（11）施工设计图纸；</w:t>
      </w:r>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（12）组成合同的其他文件：本合同的附件及其他文件。</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七、设计成果文件及竣工资料</w:t>
      </w:r>
    </w:p>
    <w:p>
      <w:pPr>
        <w:keepLines w:val="0"/>
        <w:pageBreakBefore w:val="0"/>
        <w:widowControl w:val="0"/>
        <w:kinsoku/>
        <w:wordWrap/>
        <w:overflowPunct/>
        <w:topLinePunct w:val="0"/>
        <w:autoSpaceDE/>
        <w:autoSpaceDN/>
        <w:bidi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施工图设计成果文件</w:t>
      </w:r>
      <w:r>
        <w:rPr>
          <w:rFonts w:hint="eastAsia" w:ascii="宋体" w:hAnsi="宋体" w:eastAsia="宋体" w:cs="宋体"/>
          <w:b w:val="0"/>
          <w:bCs w:val="0"/>
          <w:color w:val="auto"/>
          <w:sz w:val="24"/>
          <w:szCs w:val="24"/>
          <w:highlight w:val="none"/>
        </w:rPr>
        <w:t>的内容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none"/>
        </w:rPr>
        <w:t>施工图设计图纸18套、工程概、预算书各4套、有关工程CAD版图纸及电子材料（上述书面材料须制作成汇编本并配套相应的电子光盘）。</w:t>
      </w:r>
      <w:r>
        <w:rPr>
          <w:rFonts w:hint="eastAsia" w:ascii="宋体" w:hAnsi="宋体" w:eastAsia="宋体" w:cs="宋体"/>
          <w:b w:val="0"/>
          <w:bCs w:val="0"/>
          <w:color w:val="auto"/>
          <w:sz w:val="24"/>
          <w:szCs w:val="24"/>
          <w:highlight w:val="none"/>
          <w:u w:val="none"/>
          <w:lang w:eastAsia="zh-CN"/>
        </w:rPr>
        <w:t>承包人</w:t>
      </w:r>
      <w:r>
        <w:rPr>
          <w:rFonts w:hint="eastAsia" w:ascii="宋体" w:hAnsi="宋体" w:eastAsia="宋体" w:cs="宋体"/>
          <w:b w:val="0"/>
          <w:bCs w:val="0"/>
          <w:color w:val="auto"/>
          <w:sz w:val="24"/>
          <w:szCs w:val="24"/>
          <w:highlight w:val="none"/>
          <w:u w:val="none"/>
        </w:rPr>
        <w:t>提交设计过程中相关文件及成果文件数量须满足相关评审、报批以及</w:t>
      </w:r>
      <w:r>
        <w:rPr>
          <w:rFonts w:hint="eastAsia" w:ascii="宋体" w:hAnsi="宋体" w:eastAsia="宋体" w:cs="宋体"/>
          <w:b w:val="0"/>
          <w:bCs w:val="0"/>
          <w:color w:val="auto"/>
          <w:sz w:val="24"/>
          <w:szCs w:val="24"/>
          <w:highlight w:val="none"/>
          <w:u w:val="none"/>
          <w:lang w:eastAsia="zh-CN"/>
        </w:rPr>
        <w:t>发包人</w:t>
      </w:r>
      <w:r>
        <w:rPr>
          <w:rFonts w:hint="eastAsia" w:ascii="宋体" w:hAnsi="宋体" w:eastAsia="宋体" w:cs="宋体"/>
          <w:b w:val="0"/>
          <w:bCs w:val="0"/>
          <w:color w:val="auto"/>
          <w:sz w:val="24"/>
          <w:szCs w:val="24"/>
          <w:highlight w:val="none"/>
          <w:u w:val="none"/>
        </w:rPr>
        <w:t>的有关要求，并对成果文件的质量负责及承担相关的制作费用</w:t>
      </w:r>
      <w:r>
        <w:rPr>
          <w:rFonts w:hint="eastAsia" w:ascii="宋体" w:hAnsi="宋体" w:eastAsia="宋体" w:cs="宋体"/>
          <w:b w:val="0"/>
          <w:bCs w:val="0"/>
          <w:color w:val="auto"/>
          <w:sz w:val="24"/>
          <w:szCs w:val="24"/>
          <w:highlight w:val="none"/>
          <w:u w:val="none"/>
          <w:lang w:eastAsia="zh-CN"/>
        </w:rPr>
        <w:t>。</w:t>
      </w:r>
    </w:p>
    <w:p>
      <w:pPr>
        <w:keepLines w:val="0"/>
        <w:pageBreakBefore w:val="0"/>
        <w:widowControl w:val="0"/>
        <w:kinsoku/>
        <w:wordWrap/>
        <w:overflowPunct/>
        <w:topLinePunct w:val="0"/>
        <w:autoSpaceDE/>
        <w:autoSpaceDN/>
        <w:bidi w:val="0"/>
        <w:snapToGrid w:val="0"/>
        <w:spacing w:beforeAutospacing="0" w:afterAutospacing="0" w:line="360" w:lineRule="auto"/>
        <w:ind w:firstLine="480" w:firstLineChars="200"/>
        <w:jc w:val="left"/>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二</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承包人提交的竣工资料的内容：完整竣工资料一式六份（包含竣工图及竣工图CAD 版和扫描件）及竣工验收报告</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必须满足</w:t>
      </w:r>
      <w:r>
        <w:rPr>
          <w:rFonts w:hint="eastAsia" w:ascii="宋体" w:hAnsi="宋体" w:eastAsia="宋体" w:cs="宋体"/>
          <w:b w:val="0"/>
          <w:bCs w:val="0"/>
          <w:color w:val="auto"/>
          <w:sz w:val="24"/>
          <w:szCs w:val="24"/>
          <w:highlight w:val="none"/>
          <w:u w:val="none"/>
        </w:rPr>
        <w:t>《湛江市房屋建筑工程和市政基础设施工程竣工验收及备案管理实施意见》（若市建设行政主管部门有新规定，则按新规定执行）的有关规定。</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七、承诺</w:t>
      </w:r>
      <w:bookmarkEnd w:id="78"/>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 发包人承诺按照法律规定履行项目审批手续、筹集工程建设资金并按照合同约定的期限和方式支付合同价款。</w:t>
      </w:r>
    </w:p>
    <w:p>
      <w:pPr>
        <w:keepLines w:val="0"/>
        <w:pageBreakBefore w:val="0"/>
        <w:overflowPunct/>
        <w:autoSpaceDE/>
        <w:autoSpaceDN/>
        <w:bidi w:val="0"/>
        <w:spacing w:beforeAutospacing="0" w:after="0" w:afterAutospacing="0" w:line="360" w:lineRule="auto"/>
        <w:ind w:firstLine="6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承包人承诺按照法律规定及合同约定组织完成工程的设计、采购和施工等工作，确保工程质量和安全，不进行转包及违法分包，并在缺陷责任期及保修期内承担相应的工程维修责任。</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val="0"/>
          <w:color w:val="auto"/>
          <w:sz w:val="24"/>
          <w:szCs w:val="24"/>
        </w:rPr>
      </w:pPr>
      <w:bookmarkStart w:id="79" w:name="_Toc54862172"/>
      <w:r>
        <w:rPr>
          <w:rFonts w:hint="eastAsia" w:ascii="宋体" w:hAnsi="宋体" w:eastAsia="宋体" w:cs="宋体"/>
          <w:b w:val="0"/>
          <w:bCs w:val="0"/>
          <w:color w:val="auto"/>
          <w:sz w:val="24"/>
          <w:szCs w:val="24"/>
        </w:rPr>
        <w:t>八、订立时间</w:t>
      </w:r>
      <w:bookmarkEnd w:id="79"/>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本合同于</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日订立。</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val="0"/>
          <w:color w:val="auto"/>
          <w:sz w:val="24"/>
          <w:szCs w:val="24"/>
        </w:rPr>
      </w:pPr>
      <w:bookmarkStart w:id="80" w:name="_Toc54862173"/>
      <w:r>
        <w:rPr>
          <w:rFonts w:hint="eastAsia" w:ascii="宋体" w:hAnsi="宋体" w:eastAsia="宋体" w:cs="宋体"/>
          <w:b w:val="0"/>
          <w:bCs w:val="0"/>
          <w:color w:val="auto"/>
          <w:sz w:val="24"/>
          <w:szCs w:val="24"/>
        </w:rPr>
        <w:t>九、订立地点</w:t>
      </w:r>
      <w:bookmarkEnd w:id="80"/>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本合同在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订立。</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val="0"/>
          <w:color w:val="auto"/>
          <w:sz w:val="24"/>
          <w:szCs w:val="24"/>
        </w:rPr>
      </w:pPr>
      <w:bookmarkStart w:id="81" w:name="_Toc54862174"/>
      <w:r>
        <w:rPr>
          <w:rFonts w:hint="eastAsia" w:ascii="宋体" w:hAnsi="宋体" w:eastAsia="宋体" w:cs="宋体"/>
          <w:b w:val="0"/>
          <w:bCs w:val="0"/>
          <w:color w:val="auto"/>
          <w:sz w:val="24"/>
          <w:szCs w:val="24"/>
        </w:rPr>
        <w:t>十、合同生效</w:t>
      </w:r>
      <w:bookmarkEnd w:id="81"/>
    </w:p>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本合同经双方签字或盖章后生效。</w:t>
      </w:r>
    </w:p>
    <w:p>
      <w:pPr>
        <w:keepLines w:val="0"/>
        <w:pageBreakBefore w:val="0"/>
        <w:overflowPunct/>
        <w:autoSpaceDE/>
        <w:autoSpaceDN/>
        <w:bidi w:val="0"/>
        <w:spacing w:beforeAutospacing="0" w:after="0" w:afterAutospacing="0" w:line="360" w:lineRule="auto"/>
        <w:ind w:left="0" w:leftChars="0" w:firstLine="0" w:firstLineChars="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十一、合同争议</w:t>
      </w:r>
    </w:p>
    <w:p>
      <w:pPr>
        <w:keepLines w:val="0"/>
        <w:pageBreakBefore w:val="0"/>
        <w:overflowPunct/>
        <w:autoSpaceDE/>
        <w:autoSpaceDN/>
        <w:bidi w:val="0"/>
        <w:spacing w:beforeAutospacing="0" w:after="0" w:afterAutospacing="0" w:line="360" w:lineRule="auto"/>
        <w:ind w:left="0" w:leftChars="0"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本合同发生争议，发包人、承包人应及时协商解决，也可由当地建设行政主管部门调解</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协商或调解不成时，发包人、承包人任一方均可向</w:t>
      </w:r>
      <w:r>
        <w:rPr>
          <w:rFonts w:hint="eastAsia" w:ascii="宋体" w:hAnsi="宋体" w:eastAsia="宋体" w:cs="宋体"/>
          <w:b w:val="0"/>
          <w:bCs w:val="0"/>
          <w:color w:val="auto"/>
          <w:sz w:val="24"/>
          <w:szCs w:val="24"/>
          <w:u w:val="single"/>
        </w:rPr>
        <w:t>湛江经济技术开发区人民法院</w:t>
      </w:r>
      <w:r>
        <w:rPr>
          <w:rFonts w:hint="eastAsia" w:ascii="宋体" w:hAnsi="宋体" w:eastAsia="宋体" w:cs="宋体"/>
          <w:b w:val="0"/>
          <w:bCs w:val="0"/>
          <w:color w:val="auto"/>
          <w:sz w:val="24"/>
          <w:szCs w:val="24"/>
        </w:rPr>
        <w:t>提起诉讼。</w:t>
      </w:r>
    </w:p>
    <w:p>
      <w:pPr>
        <w:pStyle w:val="395"/>
        <w:keepLines w:val="0"/>
        <w:pageBreakBefore w:val="0"/>
        <w:numPr>
          <w:ilvl w:val="0"/>
          <w:numId w:val="0"/>
        </w:numPr>
        <w:wordWrap/>
        <w:overflowPunct/>
        <w:topLinePunct w:val="0"/>
        <w:autoSpaceDE/>
        <w:autoSpaceDN/>
        <w:bidi w:val="0"/>
        <w:spacing w:before="0" w:beforeAutospacing="0" w:after="0" w:afterAutospacing="0" w:line="360" w:lineRule="auto"/>
        <w:textAlignment w:val="auto"/>
        <w:rPr>
          <w:rFonts w:hint="eastAsia" w:ascii="宋体" w:hAnsi="宋体" w:eastAsia="宋体" w:cs="宋体"/>
          <w:b w:val="0"/>
          <w:bCs w:val="0"/>
          <w:color w:val="auto"/>
          <w:sz w:val="24"/>
          <w:szCs w:val="24"/>
        </w:rPr>
      </w:pPr>
      <w:bookmarkStart w:id="82" w:name="_Toc54862175"/>
      <w:r>
        <w:rPr>
          <w:rFonts w:hint="eastAsia" w:ascii="宋体" w:hAnsi="宋体" w:eastAsia="宋体" w:cs="宋体"/>
          <w:b w:val="0"/>
          <w:bCs w:val="0"/>
          <w:color w:val="auto"/>
          <w:sz w:val="24"/>
          <w:szCs w:val="24"/>
        </w:rPr>
        <w:t>十一、合同份数</w:t>
      </w:r>
      <w:bookmarkEnd w:id="82"/>
    </w:p>
    <w:p>
      <w:pPr>
        <w:keepLines w:val="0"/>
        <w:pageBreakBefore w:val="0"/>
        <w:wordWrap/>
        <w:overflowPunct/>
        <w:topLinePunct w:val="0"/>
        <w:autoSpaceDE/>
        <w:autoSpaceDN/>
        <w:bidi w:val="0"/>
        <w:spacing w:beforeAutospacing="0" w:after="0" w:afterAutospacing="0" w:line="360" w:lineRule="auto"/>
        <w:ind w:left="0" w:leftChars="0"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本合同正本一式</w:t>
      </w:r>
      <w:r>
        <w:rPr>
          <w:rFonts w:hint="eastAsia" w:ascii="宋体" w:hAnsi="宋体" w:eastAsia="宋体" w:cs="宋体"/>
          <w:b w:val="0"/>
          <w:bCs w:val="0"/>
          <w:color w:val="auto"/>
          <w:sz w:val="24"/>
          <w:szCs w:val="24"/>
          <w:u w:val="single"/>
          <w:lang w:val="en-US" w:eastAsia="zh-CN"/>
        </w:rPr>
        <w:t>贰</w:t>
      </w:r>
      <w:r>
        <w:rPr>
          <w:rFonts w:hint="eastAsia" w:ascii="宋体" w:hAnsi="宋体" w:eastAsia="宋体" w:cs="宋体"/>
          <w:b w:val="0"/>
          <w:bCs w:val="0"/>
          <w:color w:val="auto"/>
          <w:sz w:val="24"/>
          <w:szCs w:val="24"/>
          <w:lang w:eastAsia="zh-CN"/>
        </w:rPr>
        <w:t>份，双方各执</w:t>
      </w:r>
      <w:r>
        <w:rPr>
          <w:rFonts w:hint="eastAsia" w:ascii="宋体" w:hAnsi="宋体" w:eastAsia="宋体" w:cs="宋体"/>
          <w:b w:val="0"/>
          <w:bCs w:val="0"/>
          <w:color w:val="auto"/>
          <w:sz w:val="24"/>
          <w:szCs w:val="24"/>
          <w:u w:val="single"/>
          <w:lang w:val="en-US" w:eastAsia="zh-CN"/>
        </w:rPr>
        <w:t>壹</w:t>
      </w:r>
      <w:r>
        <w:rPr>
          <w:rFonts w:hint="eastAsia" w:ascii="宋体" w:hAnsi="宋体" w:eastAsia="宋体" w:cs="宋体"/>
          <w:b w:val="0"/>
          <w:bCs w:val="0"/>
          <w:color w:val="auto"/>
          <w:sz w:val="24"/>
          <w:szCs w:val="24"/>
          <w:lang w:eastAsia="zh-CN"/>
        </w:rPr>
        <w:t>份；副本</w:t>
      </w:r>
      <w:r>
        <w:rPr>
          <w:rFonts w:hint="eastAsia" w:ascii="宋体" w:hAnsi="宋体" w:eastAsia="宋体" w:cs="宋体"/>
          <w:b w:val="0"/>
          <w:bCs w:val="0"/>
          <w:color w:val="auto"/>
          <w:sz w:val="24"/>
          <w:szCs w:val="24"/>
          <w:lang w:val="en-US" w:eastAsia="zh-CN"/>
        </w:rPr>
        <w:t>一式</w:t>
      </w:r>
      <w:r>
        <w:rPr>
          <w:rFonts w:hint="eastAsia" w:ascii="宋体" w:hAnsi="宋体" w:eastAsia="宋体" w:cs="宋体"/>
          <w:b w:val="0"/>
          <w:bCs w:val="0"/>
          <w:color w:val="auto"/>
          <w:sz w:val="24"/>
          <w:szCs w:val="24"/>
          <w:u w:val="single"/>
          <w:lang w:val="en-US" w:eastAsia="zh-CN"/>
        </w:rPr>
        <w:t>拾</w:t>
      </w:r>
      <w:r>
        <w:rPr>
          <w:rFonts w:hint="eastAsia" w:ascii="宋体" w:hAnsi="宋体" w:eastAsia="宋体" w:cs="宋体"/>
          <w:b w:val="0"/>
          <w:bCs w:val="0"/>
          <w:color w:val="auto"/>
          <w:sz w:val="24"/>
          <w:szCs w:val="24"/>
          <w:lang w:eastAsia="zh-CN"/>
        </w:rPr>
        <w:t>份，发包人执</w:t>
      </w:r>
      <w:r>
        <w:rPr>
          <w:rFonts w:hint="eastAsia" w:ascii="宋体" w:hAnsi="宋体" w:eastAsia="宋体" w:cs="宋体"/>
          <w:b w:val="0"/>
          <w:bCs w:val="0"/>
          <w:color w:val="auto"/>
          <w:sz w:val="24"/>
          <w:szCs w:val="24"/>
          <w:u w:val="single"/>
          <w:lang w:val="en-US" w:eastAsia="zh-CN"/>
        </w:rPr>
        <w:t>陆</w:t>
      </w:r>
      <w:r>
        <w:rPr>
          <w:rFonts w:hint="eastAsia" w:ascii="宋体" w:hAnsi="宋体" w:eastAsia="宋体" w:cs="宋体"/>
          <w:b w:val="0"/>
          <w:bCs w:val="0"/>
          <w:color w:val="auto"/>
          <w:sz w:val="24"/>
          <w:szCs w:val="24"/>
          <w:lang w:eastAsia="zh-CN"/>
        </w:rPr>
        <w:t>份，承包人执</w:t>
      </w:r>
      <w:r>
        <w:rPr>
          <w:rFonts w:hint="eastAsia" w:ascii="宋体" w:hAnsi="宋体" w:eastAsia="宋体" w:cs="宋体"/>
          <w:b w:val="0"/>
          <w:bCs w:val="0"/>
          <w:color w:val="auto"/>
          <w:sz w:val="24"/>
          <w:szCs w:val="24"/>
          <w:u w:val="single"/>
          <w:lang w:val="en-US" w:eastAsia="zh-CN"/>
        </w:rPr>
        <w:t>肆</w:t>
      </w:r>
      <w:r>
        <w:rPr>
          <w:rFonts w:hint="eastAsia" w:ascii="宋体" w:hAnsi="宋体" w:eastAsia="宋体" w:cs="宋体"/>
          <w:b w:val="0"/>
          <w:bCs w:val="0"/>
          <w:color w:val="auto"/>
          <w:sz w:val="24"/>
          <w:szCs w:val="24"/>
          <w:lang w:eastAsia="zh-CN"/>
        </w:rPr>
        <w:t>份；</w:t>
      </w:r>
      <w:r>
        <w:rPr>
          <w:rFonts w:hint="eastAsia" w:ascii="宋体" w:hAnsi="宋体" w:eastAsia="宋体" w:cs="宋体"/>
          <w:b w:val="0"/>
          <w:bCs w:val="0"/>
          <w:color w:val="auto"/>
          <w:sz w:val="24"/>
          <w:szCs w:val="24"/>
          <w:lang w:val="en-US" w:eastAsia="zh-CN"/>
        </w:rPr>
        <w:t>合同正、副本</w:t>
      </w:r>
      <w:r>
        <w:rPr>
          <w:rFonts w:hint="eastAsia" w:ascii="宋体" w:hAnsi="宋体" w:eastAsia="宋体" w:cs="宋体"/>
          <w:b w:val="0"/>
          <w:bCs w:val="0"/>
          <w:color w:val="auto"/>
          <w:sz w:val="24"/>
          <w:szCs w:val="24"/>
          <w:lang w:eastAsia="zh-CN"/>
        </w:rPr>
        <w:t>均具有同等法律效力。</w:t>
      </w:r>
    </w:p>
    <w:p>
      <w:pPr>
        <w:keepLines w:val="0"/>
        <w:pageBreakBefore w:val="0"/>
        <w:wordWrap/>
        <w:overflowPunct/>
        <w:topLinePunct w:val="0"/>
        <w:autoSpaceDE/>
        <w:autoSpaceDN/>
        <w:bidi w:val="0"/>
        <w:spacing w:beforeAutospacing="0" w:after="0" w:afterAutospacing="0"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以下无正文</w:t>
      </w:r>
      <w:r>
        <w:rPr>
          <w:rFonts w:hint="eastAsia" w:ascii="宋体" w:hAnsi="宋体" w:eastAsia="宋体" w:cs="宋体"/>
          <w:color w:val="auto"/>
          <w:sz w:val="24"/>
          <w:szCs w:val="24"/>
          <w:lang w:eastAsia="zh-CN"/>
        </w:rPr>
        <w:t>）</w:t>
      </w:r>
    </w:p>
    <w:tbl>
      <w:tblPr>
        <w:tblStyle w:val="49"/>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keepLines w:val="0"/>
              <w:pageBreakBefore w:val="0"/>
              <w:wordWrap/>
              <w:overflowPunct/>
              <w:topLinePunct w:val="0"/>
              <w:autoSpaceDE/>
              <w:autoSpaceDN/>
              <w:bidi w:val="0"/>
              <w:spacing w:beforeAutospacing="0" w:after="0" w:afterAutospacing="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发包人：（公章）</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p>
        </w:tc>
        <w:tc>
          <w:tcPr>
            <w:tcW w:w="4565" w:type="dxa"/>
            <w:noWrap w:val="0"/>
            <w:vAlign w:val="top"/>
          </w:tcPr>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承包人：（公章）</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p>
        </w:tc>
      </w:tr>
      <w:tr>
        <w:tblPrEx>
          <w:tblCellMar>
            <w:top w:w="0" w:type="dxa"/>
            <w:left w:w="108" w:type="dxa"/>
            <w:bottom w:w="0" w:type="dxa"/>
            <w:right w:w="108" w:type="dxa"/>
          </w:tblCellMar>
        </w:tblPrEx>
        <w:tc>
          <w:tcPr>
            <w:tcW w:w="4507" w:type="dxa"/>
            <w:noWrap w:val="0"/>
            <w:vAlign w:val="top"/>
          </w:tcPr>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（签字）</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p>
        </w:tc>
        <w:tc>
          <w:tcPr>
            <w:tcW w:w="4565" w:type="dxa"/>
            <w:noWrap w:val="0"/>
            <w:vAlign w:val="top"/>
          </w:tcPr>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（签字）</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p>
        </w:tc>
      </w:tr>
      <w:tr>
        <w:tblPrEx>
          <w:tblCellMar>
            <w:top w:w="0" w:type="dxa"/>
            <w:left w:w="108" w:type="dxa"/>
            <w:bottom w:w="0" w:type="dxa"/>
            <w:right w:w="108" w:type="dxa"/>
          </w:tblCellMar>
        </w:tblPrEx>
        <w:tc>
          <w:tcPr>
            <w:tcW w:w="4507" w:type="dxa"/>
            <w:noWrap w:val="0"/>
            <w:vAlign w:val="top"/>
          </w:tcPr>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传真： </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kern w:val="0"/>
                <w:sz w:val="24"/>
                <w:szCs w:val="24"/>
                <w:u w:val="single"/>
              </w:rPr>
              <w:t xml:space="preserve">                       </w:t>
            </w:r>
          </w:p>
        </w:tc>
        <w:tc>
          <w:tcPr>
            <w:tcW w:w="4565" w:type="dxa"/>
            <w:noWrap w:val="0"/>
            <w:vAlign w:val="top"/>
          </w:tcPr>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kern w:val="0"/>
                <w:sz w:val="24"/>
                <w:szCs w:val="24"/>
                <w:u w:val="single"/>
              </w:rPr>
              <w:t xml:space="preserve">                   </w:t>
            </w:r>
          </w:p>
          <w:p>
            <w:pPr>
              <w:pStyle w:val="396"/>
              <w:keepLines w:val="0"/>
              <w:pageBreakBefore w:val="0"/>
              <w:framePr w:hSpace="0" w:wrap="auto" w:vAnchor="margin" w:hAnchor="text" w:yAlign="inline"/>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eastAsia="宋体" w:cs="宋体"/>
                <w:color w:val="auto"/>
                <w:sz w:val="24"/>
                <w:szCs w:val="24"/>
                <w:u w:val="single"/>
              </w:rPr>
              <w:t xml:space="preserve">                       </w:t>
            </w:r>
          </w:p>
        </w:tc>
      </w:tr>
    </w:tbl>
    <w:p>
      <w:pPr>
        <w:keepLines w:val="0"/>
        <w:pageBreakBefore w:val="0"/>
        <w:overflowPunct/>
        <w:autoSpaceDE/>
        <w:autoSpaceDN/>
        <w:bidi w:val="0"/>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7"/>
        <w:jc w:val="center"/>
        <w:rPr>
          <w:rFonts w:hint="eastAsia" w:ascii="宋体" w:hAnsi="宋体" w:eastAsia="宋体" w:cs="宋体"/>
          <w:color w:val="auto"/>
        </w:rPr>
      </w:pPr>
      <w:r>
        <w:rPr>
          <w:rFonts w:hint="eastAsia" w:ascii="宋体" w:hAnsi="宋体" w:eastAsia="宋体" w:cs="宋体"/>
          <w:color w:val="auto"/>
        </w:rPr>
        <w:t xml:space="preserve">第二部分 </w:t>
      </w:r>
      <w:bookmarkEnd w:id="68"/>
      <w:bookmarkEnd w:id="69"/>
      <w:r>
        <w:rPr>
          <w:rFonts w:hint="eastAsia" w:ascii="宋体" w:hAnsi="宋体" w:eastAsia="宋体" w:cs="宋体"/>
          <w:color w:val="auto"/>
        </w:rPr>
        <w:t>通用合同条件</w:t>
      </w:r>
      <w:bookmarkEnd w:id="70"/>
      <w:bookmarkEnd w:id="71"/>
    </w:p>
    <w:p>
      <w:pPr>
        <w:ind w:firstLine="482" w:firstLineChars="200"/>
        <w:rPr>
          <w:rFonts w:hint="eastAsia" w:ascii="宋体" w:hAnsi="宋体" w:eastAsia="宋体" w:cs="宋体"/>
          <w:b/>
          <w:bCs/>
          <w:color w:val="auto"/>
          <w:szCs w:val="24"/>
        </w:rPr>
      </w:pPr>
      <w:bookmarkStart w:id="83" w:name="_Toc54862177"/>
      <w:bookmarkStart w:id="84" w:name="_Ref508893699"/>
      <w:bookmarkStart w:id="85" w:name="_Ref509040831"/>
      <w:bookmarkStart w:id="86" w:name="_Ref509040826"/>
      <w:bookmarkStart w:id="87" w:name="_Toc55983390"/>
      <w:bookmarkStart w:id="88" w:name="_Toc55983947"/>
      <w:bookmarkStart w:id="89" w:name="_Toc351203632"/>
      <w:r>
        <w:rPr>
          <w:rFonts w:hint="eastAsia" w:ascii="宋体" w:hAnsi="宋体" w:eastAsia="宋体" w:cs="宋体"/>
          <w:b/>
          <w:bCs/>
          <w:color w:val="auto"/>
          <w:szCs w:val="24"/>
        </w:rPr>
        <w:t>第1条 一般约定</w:t>
      </w:r>
      <w:bookmarkEnd w:id="83"/>
      <w:bookmarkEnd w:id="84"/>
    </w:p>
    <w:p>
      <w:pPr>
        <w:ind w:firstLine="480" w:firstLineChars="200"/>
        <w:rPr>
          <w:rFonts w:hint="eastAsia" w:ascii="宋体" w:hAnsi="宋体" w:eastAsia="宋体" w:cs="宋体"/>
          <w:color w:val="auto"/>
          <w:szCs w:val="24"/>
        </w:rPr>
      </w:pPr>
      <w:bookmarkStart w:id="90" w:name="_Toc54862178"/>
      <w:bookmarkStart w:id="91" w:name="_Ref523741474"/>
      <w:bookmarkStart w:id="92" w:name="_Ref523741471"/>
      <w:r>
        <w:rPr>
          <w:rFonts w:hint="eastAsia" w:ascii="宋体" w:hAnsi="宋体" w:eastAsia="宋体" w:cs="宋体"/>
          <w:color w:val="auto"/>
          <w:szCs w:val="24"/>
        </w:rPr>
        <w:t>1.1 词语定义和解释</w:t>
      </w:r>
      <w:bookmarkEnd w:id="85"/>
      <w:bookmarkEnd w:id="86"/>
      <w:bookmarkEnd w:id="90"/>
      <w:bookmarkEnd w:id="91"/>
      <w:bookmarkEnd w:id="9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合同协议书、通用合同条件、专用合同条件中的下列词语应具有本款所赋予的含义：</w:t>
      </w:r>
    </w:p>
    <w:p>
      <w:pPr>
        <w:ind w:firstLine="480" w:firstLineChars="200"/>
        <w:rPr>
          <w:rFonts w:hint="eastAsia" w:ascii="宋体" w:hAnsi="宋体" w:eastAsia="宋体" w:cs="宋体"/>
          <w:color w:val="auto"/>
          <w:szCs w:val="24"/>
        </w:rPr>
      </w:pPr>
      <w:bookmarkStart w:id="93" w:name="_Ref4757289"/>
      <w:bookmarkStart w:id="94" w:name="_Ref521288340"/>
      <w:r>
        <w:rPr>
          <w:rFonts w:hint="eastAsia" w:ascii="宋体" w:hAnsi="宋体" w:eastAsia="宋体" w:cs="宋体"/>
          <w:color w:val="auto"/>
          <w:szCs w:val="24"/>
        </w:rPr>
        <w:t>1.1.1 合同</w:t>
      </w:r>
      <w:bookmarkEnd w:id="9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1.1.1.2 合同协议书：是指构成合同的由发包人和承包人共同签署的称为“合同协议书”的书面文件。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1.1.1.3 中标通知书：是指构成合同的由发包人通知承包人中标的书面文件。中标通知书随附的澄清、说明、补正事项纪要等，是中标通知书的组成部分。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1.1.1.4 投标函：是指构成合同的由承包人填写并签署的用于投标的称为“投标函”的文件。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1.1.1.5 投标函附录：是指构成合同的附在投标函后的称为“投标函附录”的文件。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1.1.1.6 《发包人要求》：指构成合同文件组成部分的名为《发包人要求》的文件，其中列明工程的目的、范围、设计与其他技术标准和要求，以及合同双方当事人约定对其所作的修改或补充。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1.1.1.7 项目清单：是指发包人提供的载明工程总承包项目勘察费（如果有）、设计费、建筑安装工程费、设备购置费、暂估价、暂列金额和双方约定的其他费用的名称和相应数量等内容的项目明细。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1.1.1.8 价格清单：指构成合同文件组成部分的由承包人按发包人提供的项目清单规定的格式和要求填写并标明价格的清单。</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1.1.1.9 承包人建议书：指构成合同文件组成部分的名为承包人建议书的文件。承包人建议书由承包人随投标函一起提交。</w:t>
      </w:r>
    </w:p>
    <w:p>
      <w:pPr>
        <w:ind w:firstLine="480" w:firstLineChars="200"/>
        <w:rPr>
          <w:rFonts w:hint="eastAsia" w:ascii="宋体" w:hAnsi="宋体" w:eastAsia="宋体" w:cs="宋体"/>
          <w:color w:val="auto"/>
          <w:szCs w:val="24"/>
        </w:rPr>
      </w:pPr>
      <w:bookmarkStart w:id="95" w:name="_Ref4415300"/>
      <w:r>
        <w:rPr>
          <w:rFonts w:hint="eastAsia" w:ascii="宋体" w:hAnsi="宋体" w:eastAsia="宋体" w:cs="宋体"/>
          <w:color w:val="auto"/>
          <w:szCs w:val="24"/>
        </w:rPr>
        <w:t>1.1.1.10 其他合同文件：是指经合同当事人约定的与工程实施有关的具有合同约束力的文件或书面协议。合同当事人可以在专用合同条件中进行约定。</w:t>
      </w:r>
      <w:bookmarkEnd w:id="95"/>
    </w:p>
    <w:p>
      <w:pPr>
        <w:ind w:firstLine="480" w:firstLineChars="200"/>
        <w:rPr>
          <w:rFonts w:hint="eastAsia" w:ascii="宋体" w:hAnsi="宋体" w:eastAsia="宋体" w:cs="宋体"/>
          <w:color w:val="auto"/>
          <w:szCs w:val="24"/>
        </w:rPr>
      </w:pPr>
      <w:bookmarkStart w:id="96" w:name="_Ref4757418"/>
      <w:r>
        <w:rPr>
          <w:rFonts w:hint="eastAsia" w:ascii="宋体" w:hAnsi="宋体" w:eastAsia="宋体" w:cs="宋体"/>
          <w:color w:val="auto"/>
          <w:szCs w:val="24"/>
        </w:rPr>
        <w:t>1.1.2 合同当事人及其他相关方</w:t>
      </w:r>
      <w:bookmarkEnd w:id="9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1.1.2.1 合同当事人：是指发包人和（或）承包人。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1.1.2.2 发包人：是指与承包人订立合同协议书的当事人及取得该当事人资格的合法继受人。本合同中“因发包人原因”里的“发包人”包括发包人及所有发包人人员。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1.1.2.3 承包人：是指与发包人订立合同协议书的当事人及取得该当事人资格的合法继受人。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1.1.2.4 联合体：是指经发包人同意由两个或两个以上法人或者其他组织组成的，作为承包人的临时机构。</w:t>
      </w:r>
    </w:p>
    <w:p>
      <w:pPr>
        <w:ind w:firstLine="480" w:firstLineChars="200"/>
        <w:rPr>
          <w:rFonts w:hint="eastAsia" w:ascii="宋体" w:hAnsi="宋体" w:eastAsia="宋体" w:cs="宋体"/>
          <w:color w:val="auto"/>
          <w:szCs w:val="24"/>
        </w:rPr>
      </w:pPr>
      <w:bookmarkStart w:id="97" w:name="_Ref4420046"/>
      <w:r>
        <w:rPr>
          <w:rFonts w:hint="eastAsia" w:ascii="宋体" w:hAnsi="宋体" w:eastAsia="宋体" w:cs="宋体"/>
          <w:color w:val="auto"/>
          <w:szCs w:val="24"/>
        </w:rPr>
        <w:t>1.1.2.5 发包人代表：是指由发包人任命并派驻工作现场，在发包人授权范围内行使发包人权利和履行发包人义务的人。</w:t>
      </w:r>
    </w:p>
    <w:p>
      <w:pPr>
        <w:ind w:firstLine="480" w:firstLineChars="200"/>
        <w:rPr>
          <w:rFonts w:hint="eastAsia" w:ascii="宋体" w:hAnsi="宋体" w:eastAsia="宋体" w:cs="宋体"/>
          <w:color w:val="auto"/>
          <w:szCs w:val="24"/>
        </w:rPr>
      </w:pPr>
      <w:bookmarkStart w:id="98" w:name="_Ref4756982"/>
      <w:r>
        <w:rPr>
          <w:rFonts w:hint="eastAsia" w:ascii="宋体" w:hAnsi="宋体" w:eastAsia="宋体" w:cs="宋体"/>
          <w:color w:val="auto"/>
          <w:szCs w:val="24"/>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97"/>
      <w:bookmarkEnd w:id="9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1.1.2.7 工程总承包项目经理：是指由承包人任命的，在承包人授权范围内负责合同履行的管理，且按照法律规定具有相应资格的项目负责人。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1.1.2.8 设计负责人：是指承包人指定负责组织、指导、协调设计工作并具有相应资格的人员。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1.1.2.9 采购负责人：是指承包人指定负责组织、指导、协调采购工作的人员。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1.1.2.10 施工负责人：是指承包人指定负责组织、指导、协调施工工作并具有相应资格的人员。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1.1.2.11 分包人：是指按照法律规定和合同约定，分包部分工程或工作，并与承包人订立分包合同的具有相应资质或资格的法人或其他组织。</w:t>
      </w:r>
    </w:p>
    <w:p>
      <w:pPr>
        <w:ind w:firstLine="480" w:firstLineChars="200"/>
        <w:rPr>
          <w:rFonts w:hint="eastAsia" w:ascii="宋体" w:hAnsi="宋体" w:eastAsia="宋体" w:cs="宋体"/>
          <w:color w:val="auto"/>
          <w:szCs w:val="24"/>
        </w:rPr>
      </w:pPr>
      <w:bookmarkStart w:id="99" w:name="_Ref4758319"/>
      <w:r>
        <w:rPr>
          <w:rFonts w:hint="eastAsia" w:ascii="宋体" w:hAnsi="宋体" w:eastAsia="宋体" w:cs="宋体"/>
          <w:color w:val="auto"/>
          <w:szCs w:val="24"/>
        </w:rPr>
        <w:t>1.1.3 工程和设备</w:t>
      </w:r>
      <w:bookmarkEnd w:id="9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1.1.3.1 工程：是指与合同协议书中工程承包范围对应的永久工程和（或）临时工程。</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1.1.3.2 工程实施：是指进行工程的设计、采购、施工和竣工以及对工程任何缺陷的修复。</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1.1.3.3 永久工程：是指按合同约定建造并移交给发包人的工程，包括工程设备。</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1.1.3.4 临时工程：是指为完成合同约定的永久工程所修建的各类临时性工程，不包括施工设备。</w:t>
      </w:r>
    </w:p>
    <w:p>
      <w:pPr>
        <w:ind w:firstLine="480" w:firstLineChars="200"/>
        <w:rPr>
          <w:rFonts w:hint="eastAsia" w:ascii="宋体" w:hAnsi="宋体" w:eastAsia="宋体" w:cs="宋体"/>
          <w:color w:val="auto"/>
          <w:szCs w:val="24"/>
        </w:rPr>
      </w:pPr>
      <w:bookmarkStart w:id="100" w:name="_Ref4419825"/>
      <w:r>
        <w:rPr>
          <w:rFonts w:hint="eastAsia" w:ascii="宋体" w:hAnsi="宋体" w:eastAsia="宋体" w:cs="宋体"/>
          <w:color w:val="auto"/>
          <w:szCs w:val="24"/>
        </w:rPr>
        <w:t>1.1.3.5 单位/区段工程：是指在专用合同条件中指明特定范围的，能单独接收并使用的永久工程。</w:t>
      </w:r>
      <w:bookmarkEnd w:id="10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1.1.3.6 工程设备：指构成永久工程的机电设备、仪器装置、运载工具及其他类似的设备和装置，包括其配件及备品、备件、易损易耗件等。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1.1.3.7 施工设备：指为完成合同约定的各项工作所需的设备、器具和其他物品，不包括工程设备、临时工程和材料。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1.1.3.8 临时设施：指为完成合同约定的各项工作所服务的临时性生产和生活设施。</w:t>
      </w:r>
    </w:p>
    <w:p>
      <w:pPr>
        <w:ind w:firstLine="480" w:firstLineChars="200"/>
        <w:rPr>
          <w:rFonts w:hint="eastAsia" w:ascii="宋体" w:hAnsi="宋体" w:eastAsia="宋体" w:cs="宋体"/>
          <w:color w:val="auto"/>
          <w:szCs w:val="24"/>
        </w:rPr>
      </w:pPr>
      <w:bookmarkStart w:id="101" w:name="_Ref4420577"/>
      <w:r>
        <w:rPr>
          <w:rFonts w:hint="eastAsia" w:ascii="宋体" w:hAnsi="宋体" w:eastAsia="宋体" w:cs="宋体"/>
          <w:color w:val="auto"/>
          <w:szCs w:val="24"/>
        </w:rPr>
        <w:t>1.1.3.9 施工现场：是指用于工程施工的场所，以及在专用合同条件中指明作为施工场所组成部分的其他场所，包括永久占地和临时占地。</w:t>
      </w:r>
      <w:bookmarkEnd w:id="101"/>
    </w:p>
    <w:p>
      <w:pPr>
        <w:ind w:firstLine="480" w:firstLineChars="200"/>
        <w:rPr>
          <w:rFonts w:hint="eastAsia" w:ascii="宋体" w:hAnsi="宋体" w:eastAsia="宋体" w:cs="宋体"/>
          <w:color w:val="auto"/>
          <w:szCs w:val="24"/>
        </w:rPr>
      </w:pPr>
      <w:bookmarkStart w:id="102" w:name="_Ref4420746"/>
      <w:r>
        <w:rPr>
          <w:rFonts w:hint="eastAsia" w:ascii="宋体" w:hAnsi="宋体" w:eastAsia="宋体" w:cs="宋体"/>
          <w:color w:val="auto"/>
          <w:szCs w:val="24"/>
        </w:rPr>
        <w:t>1.1.3.10 永久占地：是指专用合同条件中指明为实施工程需永久占用的土地。</w:t>
      </w:r>
      <w:bookmarkEnd w:id="102"/>
    </w:p>
    <w:p>
      <w:pPr>
        <w:ind w:firstLine="480" w:firstLineChars="200"/>
        <w:rPr>
          <w:rFonts w:hint="eastAsia" w:ascii="宋体" w:hAnsi="宋体" w:eastAsia="宋体" w:cs="宋体"/>
          <w:color w:val="auto"/>
          <w:szCs w:val="24"/>
        </w:rPr>
      </w:pPr>
      <w:bookmarkStart w:id="103" w:name="_Ref4420821"/>
      <w:r>
        <w:rPr>
          <w:rFonts w:hint="eastAsia" w:ascii="宋体" w:hAnsi="宋体" w:eastAsia="宋体" w:cs="宋体"/>
          <w:color w:val="auto"/>
          <w:szCs w:val="24"/>
        </w:rPr>
        <w:t>1.1.3.11 临时占地：是指专用合同条件中指明为实施工程需临时占用的土地。</w:t>
      </w:r>
      <w:bookmarkEnd w:id="10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 日期和期限</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1.1.4.1 开始工作通知：指工程师按第8.1.2项[开始工作通知]的约定通知承包人开始工作的函件。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1.1.4.4 竣工日期：包括计划竣工日期和实际竣工日期。计划竣工日期是指合同协议书约定的竣工日期；实际竣工日期按照第8.2款[竣工日期]的约定确定。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1.1.4.5 工期：是指在合同协议书约定的承包人完成合同工作所需的期限，包括按照合同约定所作的期限变更及按合同约定承包人有权取得的工期延长。</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1.1.4.6 缺陷责任期：是指发包人预留工程质量保证金以保证承包人履行第11.3款[缺陷调查]下质量缺陷责任的期限。</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1.1.4.7 保修期：是指承包人按照合同约定和法律规定对工程质量承担保修责任的期限，该期限自缺陷责任期起算之日起计算。</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1.1.4.8 基准日期：招标发包的工程以投标截止日前28天的日期为基准日期，直接发包的工程以合同订立日前28天的日期为基准日期。</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1.1.4.9 天：除特别指明外，均指日历天。合同中按天计算时间的，开始当天不计入，从次日开始计算。期限最后一天的截止时间为当天24:00。</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1.1.4.10 竣工试验：是指在工程竣工验收前，根据第9条[竣工试验]要求进行的试验。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1.1.4.11 竣工验收：是指承包人完成了合同约定的各项内容后，发包人按合同要求进行的验收。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1.1.4.12 竣工后试验：是指在工程竣工验收后，根据第12条[竣工后试验]约定进行的试验。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 合同价格和费用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1.1.5.1 签约合同价：是指发包人和承包人在合同协议书中确定的总金额，包括暂估价及暂列金额等。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1.1.5.2 合同价格：是指发包人用于支付承包人按照合同约定完成承包范围内全部工作的金额，包括合同履行过程中按合同约定发生的价格变化。</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1.1.5.3 费用：是指为履行合同所发生的或将要发生的所有合理开支，包括管理费和应分摊的其他费用，但不包括利润。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1.1.5.4 人工费：是指支付给直接从事建筑安装工程施工作业的建筑工人的各项费用。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1.1.5.5 暂估价：</w:t>
      </w:r>
      <w:bookmarkStart w:id="104" w:name="_Hlk18973781"/>
      <w:r>
        <w:rPr>
          <w:rFonts w:hint="eastAsia" w:ascii="宋体" w:hAnsi="宋体" w:eastAsia="宋体" w:cs="宋体"/>
          <w:color w:val="auto"/>
          <w:szCs w:val="24"/>
        </w:rPr>
        <w:t>是指发包人在项目清单中给定的，用于支付必然发生但暂时不能确定价格的专业服务、材料、设备、专业工程的金额。</w:t>
      </w:r>
      <w:bookmarkEnd w:id="10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1.1.5.6 暂列金额：是指发包人在项目清单中给定的，用于在订立协议书时尚未确定或不可预见变更的设计、施工及其所需材料、工程设备、服务等的金额，包括以计日工方式支付的金额。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1.1.5.7 计日工：是指合同履行过程中，承包人完成发包人提出的零星工作或需要采用计日工计价的变更工作时，按合同中约定的单价计价的一种方式。</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1.1.5.8 质量保证金：是指按第14.6款[质量保证金]约定承包人用于保证其在缺陷责任期内履行缺陷修复义务的担保。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1.1.6 其他</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1.1.6.1 书面形式：指合同文件、信函、电报、传真、数据电文、电子邮件、会议纪要等可以有形地表现所载内容的形式。</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1.1.6.2 承包人文件：指由承包人根据合同约定应提交的所有图纸、手册、模型、计算书、软件、函件、洽商性文件和其他技术性文件。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1.1.6.3 变更：指根据第13条[变更与调整]的约定，经指示或批准对《发包人要求》或工程所做的改变。</w:t>
      </w:r>
    </w:p>
    <w:bookmarkEnd w:id="94"/>
    <w:p>
      <w:pPr>
        <w:ind w:firstLine="480" w:firstLineChars="200"/>
        <w:rPr>
          <w:rFonts w:hint="eastAsia" w:ascii="宋体" w:hAnsi="宋体" w:eastAsia="宋体" w:cs="宋体"/>
          <w:color w:val="auto"/>
          <w:szCs w:val="24"/>
        </w:rPr>
      </w:pPr>
      <w:bookmarkStart w:id="105" w:name="_Toc54862179"/>
      <w:bookmarkStart w:id="106" w:name="_Ref509042104"/>
      <w:bookmarkStart w:id="107" w:name="_Ref509042101"/>
      <w:bookmarkStart w:id="108" w:name="_Ref522730349"/>
      <w:bookmarkStart w:id="109" w:name="_Ref522730353"/>
      <w:r>
        <w:rPr>
          <w:rFonts w:hint="eastAsia" w:ascii="宋体" w:hAnsi="宋体" w:eastAsia="宋体" w:cs="宋体"/>
          <w:color w:val="auto"/>
          <w:szCs w:val="24"/>
        </w:rPr>
        <w:t>1.2 语言文字</w:t>
      </w:r>
      <w:bookmarkEnd w:id="105"/>
      <w:bookmarkEnd w:id="106"/>
      <w:bookmarkEnd w:id="10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合同文件以中国的汉语简体语言文字编写、解释和说明。专用术语使用外文的，应附有中文注释。合同当事人在专用合同条件约定使用两种及以上语言时，汉语为优先解释和说明合同的语言。</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与合同有关的联络应使用专用合同条件约定的语言。如没有约定，则应使用中国的汉语简体语言文字。</w:t>
      </w:r>
    </w:p>
    <w:p>
      <w:pPr>
        <w:ind w:firstLine="480" w:firstLineChars="200"/>
        <w:rPr>
          <w:rFonts w:hint="eastAsia" w:ascii="宋体" w:hAnsi="宋体" w:eastAsia="宋体" w:cs="宋体"/>
          <w:color w:val="auto"/>
          <w:szCs w:val="24"/>
        </w:rPr>
      </w:pPr>
      <w:bookmarkStart w:id="110" w:name="_Ref531949539"/>
      <w:bookmarkStart w:id="111" w:name="_Ref531949543"/>
      <w:bookmarkStart w:id="112" w:name="_Toc54862180"/>
      <w:r>
        <w:rPr>
          <w:rFonts w:hint="eastAsia" w:ascii="宋体" w:hAnsi="宋体" w:eastAsia="宋体" w:cs="宋体"/>
          <w:color w:val="auto"/>
          <w:szCs w:val="24"/>
        </w:rPr>
        <w:t>1.3 法律</w:t>
      </w:r>
      <w:bookmarkEnd w:id="110"/>
      <w:bookmarkEnd w:id="111"/>
      <w:bookmarkEnd w:id="11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合同所称法律是指中华人民共和国法律、行政法规、部门规章，以及工程所在地的地方法规、自治条例、单行条例和地方政府规章等。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合同当事人可以在专用合同条件中约定合同适用的其他规范性文件。</w:t>
      </w:r>
    </w:p>
    <w:p>
      <w:pPr>
        <w:ind w:firstLine="480" w:firstLineChars="200"/>
        <w:rPr>
          <w:rFonts w:hint="eastAsia" w:ascii="宋体" w:hAnsi="宋体" w:eastAsia="宋体" w:cs="宋体"/>
          <w:color w:val="auto"/>
          <w:szCs w:val="24"/>
        </w:rPr>
      </w:pPr>
      <w:bookmarkStart w:id="113" w:name="_Toc54862181"/>
      <w:bookmarkStart w:id="114" w:name="_Ref531949594"/>
      <w:bookmarkStart w:id="115" w:name="_Ref531949589"/>
      <w:r>
        <w:rPr>
          <w:rFonts w:hint="eastAsia" w:ascii="宋体" w:hAnsi="宋体" w:eastAsia="宋体" w:cs="宋体"/>
          <w:color w:val="auto"/>
          <w:szCs w:val="24"/>
        </w:rPr>
        <w:t>1.4 标准和规范</w:t>
      </w:r>
      <w:bookmarkEnd w:id="113"/>
      <w:bookmarkEnd w:id="114"/>
      <w:bookmarkEnd w:id="115"/>
    </w:p>
    <w:p>
      <w:pPr>
        <w:ind w:firstLine="480" w:firstLineChars="200"/>
        <w:rPr>
          <w:rFonts w:hint="eastAsia" w:ascii="宋体" w:hAnsi="宋体" w:eastAsia="宋体" w:cs="宋体"/>
          <w:color w:val="auto"/>
          <w:szCs w:val="24"/>
        </w:rPr>
      </w:pPr>
      <w:bookmarkStart w:id="116" w:name="_Ref4420991"/>
      <w:r>
        <w:rPr>
          <w:rFonts w:hint="eastAsia" w:ascii="宋体" w:hAnsi="宋体" w:eastAsia="宋体" w:cs="宋体"/>
          <w:color w:val="auto"/>
          <w:szCs w:val="24"/>
        </w:rPr>
        <w:t>1.4.1 适用于工程的国家标准、行业标准、工程所在地的地方性标准，以及相应的规范、规程等，合同当事人有特别要求的，应在专用合同条件中约定。</w:t>
      </w:r>
      <w:bookmarkEnd w:id="116"/>
    </w:p>
    <w:p>
      <w:pPr>
        <w:ind w:firstLine="480" w:firstLineChars="200"/>
        <w:rPr>
          <w:rFonts w:hint="eastAsia" w:ascii="宋体" w:hAnsi="宋体" w:eastAsia="宋体" w:cs="宋体"/>
          <w:color w:val="auto"/>
          <w:szCs w:val="24"/>
        </w:rPr>
      </w:pPr>
      <w:bookmarkStart w:id="117" w:name="_Ref531949642"/>
      <w:r>
        <w:rPr>
          <w:rFonts w:hint="eastAsia" w:ascii="宋体" w:hAnsi="宋体" w:eastAsia="宋体" w:cs="宋体"/>
          <w:color w:val="auto"/>
          <w:szCs w:val="24"/>
        </w:rPr>
        <w:t>1.4.2 发包人要求使用国外标准、规范的，发包人负责提供原文版本和中文译本，并在专用合同条件中约定提供标准规范的名称、份数和时间。</w:t>
      </w:r>
      <w:bookmarkEnd w:id="117"/>
    </w:p>
    <w:p>
      <w:pPr>
        <w:ind w:firstLine="480" w:firstLineChars="200"/>
        <w:rPr>
          <w:rFonts w:hint="eastAsia" w:ascii="宋体" w:hAnsi="宋体" w:eastAsia="宋体" w:cs="宋体"/>
          <w:color w:val="auto"/>
          <w:szCs w:val="24"/>
        </w:rPr>
      </w:pPr>
      <w:bookmarkStart w:id="118" w:name="_Ref531949657"/>
      <w:r>
        <w:rPr>
          <w:rFonts w:hint="eastAsia" w:ascii="宋体" w:hAnsi="宋体" w:eastAsia="宋体" w:cs="宋体"/>
          <w:color w:val="auto"/>
          <w:szCs w:val="24"/>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118"/>
    </w:p>
    <w:p>
      <w:pPr>
        <w:ind w:firstLine="480" w:firstLineChars="200"/>
        <w:rPr>
          <w:rFonts w:hint="eastAsia" w:ascii="宋体" w:hAnsi="宋体" w:eastAsia="宋体" w:cs="宋体"/>
          <w:color w:val="auto"/>
          <w:szCs w:val="24"/>
        </w:rPr>
      </w:pPr>
      <w:bookmarkStart w:id="119" w:name="_Ref4421272"/>
      <w:r>
        <w:rPr>
          <w:rFonts w:hint="eastAsia" w:ascii="宋体" w:hAnsi="宋体" w:eastAsia="宋体" w:cs="宋体"/>
          <w:color w:val="auto"/>
          <w:szCs w:val="24"/>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119"/>
    </w:p>
    <w:p>
      <w:pPr>
        <w:ind w:firstLine="480" w:firstLineChars="200"/>
        <w:rPr>
          <w:rFonts w:hint="eastAsia" w:ascii="宋体" w:hAnsi="宋体" w:eastAsia="宋体" w:cs="宋体"/>
          <w:color w:val="auto"/>
          <w:szCs w:val="24"/>
        </w:rPr>
      </w:pPr>
      <w:bookmarkStart w:id="120" w:name="_Toc54862182"/>
      <w:bookmarkStart w:id="121" w:name="_Ref4421717"/>
      <w:r>
        <w:rPr>
          <w:rFonts w:hint="eastAsia" w:ascii="宋体" w:hAnsi="宋体" w:eastAsia="宋体" w:cs="宋体"/>
          <w:color w:val="auto"/>
          <w:szCs w:val="24"/>
        </w:rPr>
        <w:t>1.5 合同文件的优先顺序</w:t>
      </w:r>
      <w:bookmarkEnd w:id="108"/>
      <w:bookmarkEnd w:id="109"/>
      <w:bookmarkEnd w:id="120"/>
      <w:bookmarkEnd w:id="121"/>
    </w:p>
    <w:p>
      <w:pPr>
        <w:ind w:firstLine="480" w:firstLineChars="200"/>
        <w:rPr>
          <w:rFonts w:hint="eastAsia" w:ascii="宋体" w:hAnsi="宋体" w:eastAsia="宋体" w:cs="宋体"/>
          <w:color w:val="auto"/>
          <w:szCs w:val="24"/>
        </w:rPr>
      </w:pPr>
      <w:bookmarkStart w:id="122" w:name="_Ref531948776"/>
      <w:r>
        <w:rPr>
          <w:rFonts w:hint="eastAsia" w:ascii="宋体" w:hAnsi="宋体" w:eastAsia="宋体" w:cs="宋体"/>
          <w:color w:val="auto"/>
          <w:szCs w:val="24"/>
        </w:rPr>
        <w:t>组成合同的各项文件应互相解释，互为说明。除专用合同条件另有约定外，</w:t>
      </w:r>
      <w:bookmarkEnd w:id="122"/>
      <w:r>
        <w:rPr>
          <w:rFonts w:hint="eastAsia" w:ascii="宋体" w:hAnsi="宋体" w:eastAsia="宋体" w:cs="宋体"/>
          <w:color w:val="auto"/>
          <w:szCs w:val="24"/>
        </w:rPr>
        <w:t>解释合同文件的优先顺序如下：</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合同协议书；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中标通知书（如果有）；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投标函及投标函附录（如果有）；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专用合同条件及《发包人要求》等附件；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通用合同条件；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（6） 承包人建议书；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价格清单；</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 双方约定的其他合同文件。</w:t>
      </w:r>
    </w:p>
    <w:p>
      <w:pPr>
        <w:ind w:firstLine="480" w:firstLineChars="200"/>
        <w:rPr>
          <w:rFonts w:hint="eastAsia" w:ascii="宋体" w:hAnsi="宋体" w:eastAsia="宋体" w:cs="宋体"/>
          <w:color w:val="auto"/>
          <w:szCs w:val="24"/>
        </w:rPr>
      </w:pPr>
      <w:bookmarkStart w:id="123" w:name="_Hlk18951547"/>
      <w:r>
        <w:rPr>
          <w:rFonts w:hint="eastAsia" w:ascii="宋体" w:hAnsi="宋体" w:eastAsia="宋体" w:cs="宋体"/>
          <w:color w:val="auto"/>
          <w:szCs w:val="24"/>
        </w:rPr>
        <w:t>上述各项合同文件包括合同当事人就该项合同文件所作出的补充和修改，属于同一类内容的文件，应以最新签署的为准</w:t>
      </w:r>
      <w:bookmarkEnd w:id="123"/>
      <w:r>
        <w:rPr>
          <w:rFonts w:hint="eastAsia" w:ascii="宋体" w:hAnsi="宋体" w:eastAsia="宋体" w:cs="宋体"/>
          <w:color w:val="auto"/>
          <w:szCs w:val="24"/>
        </w:rPr>
        <w:t>。</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在合同订立及履行过程中形成的与合同有关的文件均构成合同文件组成部分，并根据其性质确定优先解释顺序。</w:t>
      </w:r>
    </w:p>
    <w:p>
      <w:pPr>
        <w:ind w:firstLine="480" w:firstLineChars="200"/>
        <w:rPr>
          <w:rFonts w:hint="eastAsia" w:ascii="宋体" w:hAnsi="宋体" w:eastAsia="宋体" w:cs="宋体"/>
          <w:color w:val="auto"/>
          <w:szCs w:val="24"/>
        </w:rPr>
      </w:pPr>
      <w:bookmarkStart w:id="124" w:name="_Ref4422060"/>
      <w:bookmarkStart w:id="125" w:name="_Toc54862183"/>
      <w:bookmarkStart w:id="126" w:name="_Ref11917818"/>
      <w:bookmarkStart w:id="127" w:name="_Ref531949807"/>
      <w:bookmarkStart w:id="128" w:name="_Ref531949803"/>
      <w:bookmarkStart w:id="129" w:name="_Ref531949822"/>
      <w:r>
        <w:rPr>
          <w:rFonts w:hint="eastAsia" w:ascii="宋体" w:hAnsi="宋体" w:eastAsia="宋体" w:cs="宋体"/>
          <w:color w:val="auto"/>
          <w:szCs w:val="24"/>
        </w:rPr>
        <w:t>1.6 文件的提供和</w:t>
      </w:r>
      <w:bookmarkEnd w:id="124"/>
      <w:r>
        <w:rPr>
          <w:rFonts w:hint="eastAsia" w:ascii="宋体" w:hAnsi="宋体" w:eastAsia="宋体" w:cs="宋体"/>
          <w:color w:val="auto"/>
          <w:szCs w:val="24"/>
        </w:rPr>
        <w:t>照管</w:t>
      </w:r>
      <w:bookmarkEnd w:id="125"/>
      <w:bookmarkEnd w:id="126"/>
    </w:p>
    <w:p>
      <w:pPr>
        <w:ind w:firstLine="480" w:firstLineChars="200"/>
        <w:rPr>
          <w:rFonts w:hint="eastAsia" w:ascii="宋体" w:hAnsi="宋体" w:eastAsia="宋体" w:cs="宋体"/>
          <w:color w:val="auto"/>
          <w:szCs w:val="24"/>
        </w:rPr>
      </w:pPr>
      <w:bookmarkStart w:id="130" w:name="_Ref4421991"/>
      <w:r>
        <w:rPr>
          <w:rFonts w:hint="eastAsia" w:ascii="宋体" w:hAnsi="宋体" w:eastAsia="宋体" w:cs="宋体"/>
          <w:color w:val="auto"/>
          <w:szCs w:val="24"/>
        </w:rPr>
        <w:t>1.6.1 发包人文件的提供</w:t>
      </w:r>
      <w:bookmarkEnd w:id="13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ind w:firstLine="480" w:firstLineChars="200"/>
        <w:rPr>
          <w:rFonts w:hint="eastAsia" w:ascii="宋体" w:hAnsi="宋体" w:eastAsia="宋体" w:cs="宋体"/>
          <w:color w:val="auto"/>
          <w:szCs w:val="24"/>
        </w:rPr>
      </w:pPr>
      <w:bookmarkStart w:id="131" w:name="_Ref4422317"/>
      <w:r>
        <w:rPr>
          <w:rFonts w:hint="eastAsia" w:ascii="宋体" w:hAnsi="宋体" w:eastAsia="宋体" w:cs="宋体"/>
          <w:color w:val="auto"/>
          <w:szCs w:val="24"/>
        </w:rPr>
        <w:t>1.6.2 承包人文件的提供</w:t>
      </w:r>
      <w:bookmarkEnd w:id="13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除专用合同条件另有约定外，承包人文件应包含下列内容，并用第1.2款[语言文字]约定的语言制作：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《发包人要求》中规定的相关文件；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满足工程相关行政审批手续所必须的应由承包人负责的相关文件；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第5.4款[竣工文件]与第5.5款[操作和维修手册]中要求的相关文件。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1.6.3 文件错误的通知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任何一方发现文件中存在明显的错误或疏忽，应及时通知另一方。</w:t>
      </w:r>
    </w:p>
    <w:p>
      <w:pPr>
        <w:ind w:firstLine="480" w:firstLineChars="200"/>
        <w:rPr>
          <w:rFonts w:hint="eastAsia" w:ascii="宋体" w:hAnsi="宋体" w:eastAsia="宋体" w:cs="宋体"/>
          <w:color w:val="auto"/>
          <w:szCs w:val="24"/>
        </w:rPr>
      </w:pPr>
      <w:bookmarkStart w:id="132" w:name="_Ref4678410"/>
      <w:bookmarkStart w:id="133" w:name="_Ref11957673"/>
      <w:r>
        <w:rPr>
          <w:rFonts w:hint="eastAsia" w:ascii="宋体" w:hAnsi="宋体" w:eastAsia="宋体" w:cs="宋体"/>
          <w:color w:val="auto"/>
          <w:szCs w:val="24"/>
        </w:rPr>
        <w:t>1.6.4 文件的</w:t>
      </w:r>
      <w:bookmarkEnd w:id="132"/>
      <w:r>
        <w:rPr>
          <w:rFonts w:hint="eastAsia" w:ascii="宋体" w:hAnsi="宋体" w:eastAsia="宋体" w:cs="宋体"/>
          <w:color w:val="auto"/>
          <w:szCs w:val="24"/>
        </w:rPr>
        <w:t>照管</w:t>
      </w:r>
      <w:bookmarkEnd w:id="13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ind w:firstLine="480" w:firstLineChars="200"/>
        <w:rPr>
          <w:rFonts w:hint="eastAsia" w:ascii="宋体" w:hAnsi="宋体" w:eastAsia="宋体" w:cs="宋体"/>
          <w:color w:val="auto"/>
          <w:szCs w:val="24"/>
        </w:rPr>
      </w:pPr>
      <w:bookmarkStart w:id="134" w:name="_Toc54862184"/>
      <w:bookmarkStart w:id="135" w:name="_Ref4415170"/>
      <w:r>
        <w:rPr>
          <w:rFonts w:hint="eastAsia" w:ascii="宋体" w:hAnsi="宋体" w:eastAsia="宋体" w:cs="宋体"/>
          <w:color w:val="auto"/>
          <w:szCs w:val="24"/>
        </w:rPr>
        <w:t>1.7 联络</w:t>
      </w:r>
      <w:bookmarkEnd w:id="134"/>
      <w:bookmarkEnd w:id="13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ind w:firstLine="480" w:firstLineChars="200"/>
        <w:rPr>
          <w:rFonts w:hint="eastAsia" w:ascii="宋体" w:hAnsi="宋体" w:eastAsia="宋体" w:cs="宋体"/>
          <w:color w:val="auto"/>
          <w:szCs w:val="24"/>
        </w:rPr>
      </w:pPr>
      <w:bookmarkStart w:id="136" w:name="_Ref531949897"/>
      <w:r>
        <w:rPr>
          <w:rFonts w:hint="eastAsia" w:ascii="宋体" w:hAnsi="宋体" w:eastAsia="宋体" w:cs="宋体"/>
          <w:color w:val="auto"/>
          <w:szCs w:val="24"/>
        </w:rPr>
        <w:t>1.7.2 发包人和承包人应在专用合同条件中约定各自的送达方式和收件地址。任何一方合同当事人指定的送达方式或收件地址发生变动的，应提前3天以书面形式通知对方。</w:t>
      </w:r>
      <w:bookmarkEnd w:id="13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1.7.3 发包人和承包人应当及时签收另一方通过约定的送达方式送达至收件地址的来往文件。拒不签收的，由此增加的费用和（或）延误的工期由拒绝接收一方承担。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ind w:firstLine="480" w:firstLineChars="200"/>
        <w:rPr>
          <w:rFonts w:hint="eastAsia" w:ascii="宋体" w:hAnsi="宋体" w:eastAsia="宋体" w:cs="宋体"/>
          <w:color w:val="auto"/>
          <w:szCs w:val="24"/>
        </w:rPr>
      </w:pPr>
      <w:bookmarkStart w:id="137" w:name="_Toc54862185"/>
      <w:r>
        <w:rPr>
          <w:rFonts w:hint="eastAsia" w:ascii="宋体" w:hAnsi="宋体" w:eastAsia="宋体" w:cs="宋体"/>
          <w:color w:val="auto"/>
          <w:szCs w:val="24"/>
        </w:rPr>
        <w:t>1.8 严禁贿赂</w:t>
      </w:r>
      <w:bookmarkEnd w:id="127"/>
      <w:bookmarkEnd w:id="128"/>
      <w:bookmarkEnd w:id="129"/>
      <w:bookmarkEnd w:id="13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合同当事人不得以贿赂或变相贿赂的方式，谋取非法利益或损害对方权益。因一方合同当事人的贿赂造成对方损失的，应赔偿损失，并承担相应的法律责任。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承包人不得与工程师或发包人聘请的第三方串通损害发包人利益。未经发包人书面同意，承包人不得为工程师提供合同约定以外的通讯设备、交通工具及其他任何形式的利益，不得向工程师支付报酬。</w:t>
      </w:r>
    </w:p>
    <w:p>
      <w:pPr>
        <w:ind w:firstLine="480" w:firstLineChars="200"/>
        <w:rPr>
          <w:rFonts w:hint="eastAsia" w:ascii="宋体" w:hAnsi="宋体" w:eastAsia="宋体" w:cs="宋体"/>
          <w:color w:val="auto"/>
          <w:szCs w:val="24"/>
        </w:rPr>
      </w:pPr>
      <w:bookmarkStart w:id="138" w:name="_Toc54862186"/>
      <w:r>
        <w:rPr>
          <w:rFonts w:hint="eastAsia" w:ascii="宋体" w:hAnsi="宋体" w:eastAsia="宋体" w:cs="宋体"/>
          <w:color w:val="auto"/>
          <w:szCs w:val="24"/>
        </w:rPr>
        <w:t>1.9 化石、文物</w:t>
      </w:r>
      <w:bookmarkEnd w:id="13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发包人、工程师和承包人应按有关政府行政管理部门要求采取妥善的保护措施，由此增加的费用和（或）延误的工期由发包人承担。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承包人发现文物后不及时报告或隐瞒不报，致使文物丢失或损坏的，应赔偿损失，并承担相应的法律责任。</w:t>
      </w:r>
    </w:p>
    <w:p>
      <w:pPr>
        <w:ind w:firstLine="480" w:firstLineChars="200"/>
        <w:rPr>
          <w:rFonts w:hint="eastAsia" w:ascii="宋体" w:hAnsi="宋体" w:eastAsia="宋体" w:cs="宋体"/>
          <w:color w:val="auto"/>
          <w:szCs w:val="24"/>
        </w:rPr>
      </w:pPr>
      <w:bookmarkStart w:id="139" w:name="_Ref531949770"/>
      <w:bookmarkStart w:id="140" w:name="_Toc54862187"/>
      <w:bookmarkStart w:id="141" w:name="_Ref4423426"/>
      <w:bookmarkStart w:id="142" w:name="_Ref531949766"/>
      <w:bookmarkStart w:id="143" w:name="_Ref531949855"/>
      <w:bookmarkStart w:id="144" w:name="_Ref531949826"/>
      <w:bookmarkStart w:id="145" w:name="_Ref531949841"/>
      <w:r>
        <w:rPr>
          <w:rFonts w:hint="eastAsia" w:ascii="宋体" w:hAnsi="宋体" w:eastAsia="宋体" w:cs="宋体"/>
          <w:color w:val="auto"/>
          <w:szCs w:val="24"/>
        </w:rPr>
        <w:t>1.10 知识产权</w:t>
      </w:r>
      <w:bookmarkEnd w:id="139"/>
      <w:bookmarkEnd w:id="140"/>
      <w:bookmarkEnd w:id="141"/>
      <w:bookmarkEnd w:id="142"/>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146" w:name="_Ref4423563"/>
      <w:r>
        <w:rPr>
          <w:rFonts w:hint="eastAsia" w:ascii="宋体" w:hAnsi="宋体" w:eastAsia="宋体" w:cs="宋体"/>
          <w:color w:val="auto"/>
          <w:szCs w:val="24"/>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46"/>
    </w:p>
    <w:p>
      <w:pPr>
        <w:ind w:firstLine="480" w:firstLineChars="200"/>
        <w:rPr>
          <w:rFonts w:hint="eastAsia" w:ascii="宋体" w:hAnsi="宋体" w:eastAsia="宋体" w:cs="宋体"/>
          <w:color w:val="auto"/>
          <w:szCs w:val="24"/>
        </w:rPr>
      </w:pPr>
      <w:bookmarkStart w:id="147" w:name="_Ref4423604"/>
      <w:r>
        <w:rPr>
          <w:rFonts w:hint="eastAsia" w:ascii="宋体" w:hAnsi="宋体" w:eastAsia="宋体" w:cs="宋体"/>
          <w:color w:val="auto"/>
          <w:szCs w:val="24"/>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4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ind w:firstLine="480" w:firstLineChars="200"/>
        <w:rPr>
          <w:rFonts w:hint="eastAsia" w:ascii="宋体" w:hAnsi="宋体" w:eastAsia="宋体" w:cs="宋体"/>
          <w:color w:val="auto"/>
          <w:szCs w:val="24"/>
        </w:rPr>
      </w:pPr>
      <w:bookmarkStart w:id="148" w:name="_Ref4423695"/>
      <w:r>
        <w:rPr>
          <w:rFonts w:hint="eastAsia" w:ascii="宋体" w:hAnsi="宋体" w:eastAsia="宋体" w:cs="宋体"/>
          <w:color w:val="auto"/>
          <w:szCs w:val="24"/>
        </w:rPr>
        <w:t>1.10.4 除专用合同条件另有约定外，承包人在投标文件中采用的专利、专有技术、商业软件、技术秘密的使用费已包含在签约合同价中。</w:t>
      </w:r>
      <w:bookmarkEnd w:id="14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ind w:firstLine="480" w:firstLineChars="200"/>
        <w:rPr>
          <w:rFonts w:hint="eastAsia" w:ascii="宋体" w:hAnsi="宋体" w:eastAsia="宋体" w:cs="宋体"/>
          <w:color w:val="auto"/>
          <w:szCs w:val="24"/>
        </w:rPr>
      </w:pPr>
      <w:bookmarkStart w:id="149" w:name="_Ref4423898"/>
      <w:bookmarkStart w:id="150" w:name="_Toc54862188"/>
      <w:bookmarkStart w:id="151" w:name="_Ref4423873"/>
      <w:r>
        <w:rPr>
          <w:rFonts w:hint="eastAsia" w:ascii="宋体" w:hAnsi="宋体" w:eastAsia="宋体" w:cs="宋体"/>
          <w:color w:val="auto"/>
          <w:szCs w:val="24"/>
        </w:rPr>
        <w:t>1.11 保密</w:t>
      </w:r>
      <w:bookmarkEnd w:id="143"/>
      <w:bookmarkEnd w:id="144"/>
      <w:bookmarkEnd w:id="145"/>
      <w:bookmarkEnd w:id="149"/>
      <w:bookmarkEnd w:id="150"/>
      <w:bookmarkEnd w:id="15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合同当事人一方对在订立和履行合同过程中知悉的另一方的商业秘密、技术秘密，以及任何一方明确要求保密的其它信息，负有保密责任。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除法律规定或合同另有约定外，未经对方同意，任何一方当事人不得将对方提供的文件、技术秘密以及声明需要保密的资料信息等商业秘密泄露给第三方或者用于本合同以外的目的。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ind w:firstLine="480" w:firstLineChars="200"/>
        <w:rPr>
          <w:rFonts w:hint="eastAsia" w:ascii="宋体" w:hAnsi="宋体" w:eastAsia="宋体" w:cs="宋体"/>
          <w:color w:val="auto"/>
          <w:szCs w:val="24"/>
        </w:rPr>
      </w:pPr>
      <w:bookmarkStart w:id="152" w:name="_Toc54862189"/>
      <w:bookmarkStart w:id="153" w:name="_Ref532336812"/>
      <w:r>
        <w:rPr>
          <w:rFonts w:hint="eastAsia" w:ascii="宋体" w:hAnsi="宋体" w:eastAsia="宋体" w:cs="宋体"/>
          <w:color w:val="auto"/>
          <w:szCs w:val="24"/>
        </w:rPr>
        <w:t xml:space="preserve">1.12 </w:t>
      </w:r>
      <w:bookmarkStart w:id="154" w:name="_Hlk55215423"/>
      <w:r>
        <w:rPr>
          <w:rFonts w:hint="eastAsia" w:ascii="宋体" w:hAnsi="宋体" w:eastAsia="宋体" w:cs="宋体"/>
          <w:color w:val="auto"/>
          <w:szCs w:val="24"/>
        </w:rPr>
        <w:t>《发包人要求》和基础资料中的错误</w:t>
      </w:r>
      <w:bookmarkEnd w:id="152"/>
      <w:bookmarkEnd w:id="153"/>
      <w:bookmarkEnd w:id="15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承包人应尽早认真阅读、复核《发包人要求》以及其提供的基础资料，发现错误的，应及时书面通知发包人补正。发包人作相应修改的，按照第13条[变更与调整</w:t>
      </w:r>
      <w:bookmarkStart w:id="155" w:name="_Ref523403409"/>
      <w:bookmarkStart w:id="156" w:name="_Ref523403776"/>
      <w:r>
        <w:rPr>
          <w:rFonts w:hint="eastAsia" w:ascii="宋体" w:hAnsi="宋体" w:eastAsia="宋体" w:cs="宋体"/>
          <w:color w:val="auto"/>
          <w:szCs w:val="24"/>
        </w:rPr>
        <w:t>]的约定处理。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《发包人要求》或其提供的基础资料中的错误导致承包人增加费用和（或）工期延误的，发包人应承担由此增加的费用和（或）工期延误，并向承包人支付合理利润。</w:t>
      </w:r>
    </w:p>
    <w:bookmarkEnd w:id="155"/>
    <w:bookmarkEnd w:id="156"/>
    <w:p>
      <w:pPr>
        <w:ind w:firstLine="480" w:firstLineChars="200"/>
        <w:rPr>
          <w:rFonts w:hint="eastAsia" w:ascii="宋体" w:hAnsi="宋体" w:eastAsia="宋体" w:cs="宋体"/>
          <w:color w:val="auto"/>
          <w:szCs w:val="24"/>
        </w:rPr>
      </w:pPr>
      <w:bookmarkStart w:id="157" w:name="_Ref531949937"/>
      <w:bookmarkStart w:id="158" w:name="_Ref531949933"/>
      <w:bookmarkStart w:id="159" w:name="_Toc54862190"/>
      <w:r>
        <w:rPr>
          <w:rFonts w:hint="eastAsia" w:ascii="宋体" w:hAnsi="宋体" w:eastAsia="宋体" w:cs="宋体"/>
          <w:color w:val="auto"/>
          <w:szCs w:val="24"/>
        </w:rPr>
        <w:t>1.13 责任限制</w:t>
      </w:r>
      <w:bookmarkEnd w:id="157"/>
      <w:bookmarkEnd w:id="158"/>
      <w:bookmarkEnd w:id="15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ind w:firstLine="480" w:firstLineChars="200"/>
        <w:rPr>
          <w:rFonts w:hint="eastAsia" w:ascii="宋体" w:hAnsi="宋体" w:eastAsia="宋体" w:cs="宋体"/>
          <w:color w:val="auto"/>
          <w:szCs w:val="24"/>
        </w:rPr>
      </w:pPr>
      <w:bookmarkStart w:id="160" w:name="_Toc54862191"/>
      <w:bookmarkStart w:id="161" w:name="_Hlk51506160"/>
      <w:r>
        <w:rPr>
          <w:rFonts w:hint="eastAsia" w:ascii="宋体" w:hAnsi="宋体" w:eastAsia="宋体" w:cs="宋体"/>
          <w:color w:val="auto"/>
          <w:szCs w:val="24"/>
        </w:rPr>
        <w:t>1.14 建筑信息模型技术的应用</w:t>
      </w:r>
      <w:bookmarkEnd w:id="160"/>
    </w:p>
    <w:bookmarkEnd w:id="161"/>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ind w:firstLine="482" w:firstLineChars="200"/>
        <w:rPr>
          <w:rFonts w:hint="eastAsia" w:ascii="宋体" w:hAnsi="宋体" w:eastAsia="宋体" w:cs="宋体"/>
          <w:b/>
          <w:bCs/>
          <w:color w:val="auto"/>
          <w:szCs w:val="24"/>
        </w:rPr>
      </w:pPr>
      <w:bookmarkStart w:id="162" w:name="_Ref4796511"/>
      <w:bookmarkStart w:id="163" w:name="_Toc54862192"/>
      <w:r>
        <w:rPr>
          <w:rFonts w:hint="eastAsia" w:ascii="宋体" w:hAnsi="宋体" w:eastAsia="宋体" w:cs="宋体"/>
          <w:b/>
          <w:bCs/>
          <w:color w:val="auto"/>
          <w:szCs w:val="24"/>
        </w:rPr>
        <w:t>第2条 发包人</w:t>
      </w:r>
      <w:bookmarkEnd w:id="162"/>
      <w:bookmarkEnd w:id="163"/>
    </w:p>
    <w:p>
      <w:pPr>
        <w:ind w:firstLine="480" w:firstLineChars="200"/>
        <w:rPr>
          <w:rFonts w:hint="eastAsia" w:ascii="宋体" w:hAnsi="宋体" w:eastAsia="宋体" w:cs="宋体"/>
          <w:color w:val="auto"/>
          <w:szCs w:val="24"/>
        </w:rPr>
      </w:pPr>
      <w:bookmarkStart w:id="164" w:name="_Toc54862193"/>
      <w:r>
        <w:rPr>
          <w:rFonts w:hint="eastAsia" w:ascii="宋体" w:hAnsi="宋体" w:eastAsia="宋体" w:cs="宋体"/>
          <w:color w:val="auto"/>
          <w:szCs w:val="24"/>
        </w:rPr>
        <w:t>2.1 遵守法律</w:t>
      </w:r>
      <w:bookmarkEnd w:id="16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ind w:firstLine="480" w:firstLineChars="200"/>
        <w:rPr>
          <w:rFonts w:hint="eastAsia" w:ascii="宋体" w:hAnsi="宋体" w:eastAsia="宋体" w:cs="宋体"/>
          <w:color w:val="auto"/>
          <w:szCs w:val="24"/>
        </w:rPr>
      </w:pPr>
      <w:bookmarkStart w:id="165" w:name="_Ref11917977"/>
      <w:bookmarkStart w:id="166" w:name="_Ref11917995"/>
      <w:bookmarkStart w:id="167" w:name="_Toc54862194"/>
      <w:r>
        <w:rPr>
          <w:rFonts w:hint="eastAsia" w:ascii="宋体" w:hAnsi="宋体" w:eastAsia="宋体" w:cs="宋体"/>
          <w:color w:val="auto"/>
          <w:szCs w:val="24"/>
        </w:rPr>
        <w:t>2.2 提供施工现场和工作条件</w:t>
      </w:r>
      <w:bookmarkEnd w:id="165"/>
      <w:bookmarkEnd w:id="166"/>
      <w:bookmarkEnd w:id="167"/>
      <w:bookmarkStart w:id="168" w:name="_Toc51505125"/>
      <w:bookmarkEnd w:id="168"/>
      <w:bookmarkStart w:id="169" w:name="_Toc54862196"/>
      <w:bookmarkEnd w:id="169"/>
      <w:bookmarkStart w:id="170" w:name="_Toc51505124"/>
      <w:bookmarkEnd w:id="170"/>
      <w:bookmarkStart w:id="171" w:name="_Toc54862197"/>
      <w:bookmarkEnd w:id="171"/>
      <w:bookmarkStart w:id="172" w:name="_Toc51505123"/>
      <w:bookmarkEnd w:id="172"/>
      <w:bookmarkStart w:id="173" w:name="_Toc54862195"/>
      <w:bookmarkEnd w:id="173"/>
      <w:bookmarkStart w:id="174" w:name="_Ref53195008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2.2.1 提供施工</w:t>
      </w:r>
      <w:bookmarkEnd w:id="174"/>
      <w:r>
        <w:rPr>
          <w:rFonts w:hint="eastAsia" w:ascii="宋体" w:hAnsi="宋体" w:eastAsia="宋体" w:cs="宋体"/>
          <w:color w:val="auto"/>
          <w:szCs w:val="24"/>
        </w:rPr>
        <w:t>现场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ind w:firstLine="480" w:firstLineChars="200"/>
        <w:rPr>
          <w:rFonts w:hint="eastAsia" w:ascii="宋体" w:hAnsi="宋体" w:eastAsia="宋体" w:cs="宋体"/>
          <w:color w:val="auto"/>
          <w:szCs w:val="24"/>
        </w:rPr>
      </w:pPr>
      <w:bookmarkStart w:id="175" w:name="_Ref531950101"/>
      <w:r>
        <w:rPr>
          <w:rFonts w:hint="eastAsia" w:ascii="宋体" w:hAnsi="宋体" w:eastAsia="宋体" w:cs="宋体"/>
          <w:color w:val="auto"/>
          <w:szCs w:val="24"/>
        </w:rPr>
        <w:t>2.2.2 提供工作条件</w:t>
      </w:r>
      <w:bookmarkEnd w:id="17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发包人应按专用合同条件约定向承包人提供工作条件。专用合同条件对此没有约定的，发包人应负责提供开展本合同相关工作所需要的条件，包括：</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将施工用水、电力、通讯线路等施工所必需的条件接至施工现场内；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保证向承包人提供正常施工所需要的进入施工现场的交通条件；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协调处理施工现场周围地下管线和邻近建筑物、构筑物、古树名木、文物、化石及坟墓等的保护工作，并承担相关费用；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按照专用合同条件约定应提供的其他设施和条件。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2.2.3 逾期提供的责任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因发包人原因未能按合同约定及时向承包人提供施工现场和施工条件的，由发包人承担由此增加的费用和（或）延误的工期。</w:t>
      </w:r>
    </w:p>
    <w:p>
      <w:pPr>
        <w:ind w:firstLine="480" w:firstLineChars="200"/>
        <w:rPr>
          <w:rFonts w:hint="eastAsia" w:ascii="宋体" w:hAnsi="宋体" w:eastAsia="宋体" w:cs="宋体"/>
          <w:color w:val="auto"/>
          <w:szCs w:val="24"/>
        </w:rPr>
      </w:pPr>
      <w:bookmarkStart w:id="176" w:name="_Ref11956647"/>
      <w:bookmarkStart w:id="177" w:name="_Ref11956654"/>
      <w:bookmarkStart w:id="178" w:name="_Ref11918036"/>
      <w:bookmarkStart w:id="179" w:name="_Ref11918025"/>
      <w:bookmarkStart w:id="180" w:name="_Toc54862198"/>
      <w:r>
        <w:rPr>
          <w:rFonts w:hint="eastAsia" w:ascii="宋体" w:hAnsi="宋体" w:eastAsia="宋体" w:cs="宋体"/>
          <w:color w:val="auto"/>
          <w:szCs w:val="24"/>
        </w:rPr>
        <w:t>2.3 提供基础资料</w:t>
      </w:r>
      <w:bookmarkEnd w:id="176"/>
      <w:bookmarkEnd w:id="177"/>
      <w:bookmarkEnd w:id="178"/>
      <w:bookmarkEnd w:id="179"/>
      <w:bookmarkEnd w:id="180"/>
    </w:p>
    <w:p>
      <w:pPr>
        <w:ind w:firstLine="480" w:firstLineChars="200"/>
        <w:rPr>
          <w:rFonts w:hint="eastAsia" w:ascii="宋体" w:hAnsi="宋体" w:eastAsia="宋体" w:cs="宋体"/>
          <w:color w:val="auto"/>
          <w:szCs w:val="24"/>
        </w:rPr>
      </w:pPr>
      <w:bookmarkStart w:id="181" w:name="_Hlk51506429"/>
      <w:r>
        <w:rPr>
          <w:rFonts w:hint="eastAsia" w:ascii="宋体" w:hAnsi="宋体" w:eastAsia="宋体" w:cs="宋体"/>
          <w:color w:val="auto"/>
          <w:szCs w:val="24"/>
        </w:rPr>
        <w:t>发包人应按专用合同条件和《发包人要求》中的约定向承包人提供</w:t>
      </w:r>
      <w:bookmarkEnd w:id="181"/>
      <w:r>
        <w:rPr>
          <w:rFonts w:hint="eastAsia" w:ascii="宋体" w:hAnsi="宋体" w:eastAsia="宋体" w:cs="宋体"/>
          <w:color w:val="auto"/>
          <w:szCs w:val="24"/>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ind w:firstLine="480" w:firstLineChars="200"/>
        <w:rPr>
          <w:rFonts w:hint="eastAsia" w:ascii="宋体" w:hAnsi="宋体" w:eastAsia="宋体" w:cs="宋体"/>
          <w:color w:val="auto"/>
          <w:szCs w:val="24"/>
        </w:rPr>
      </w:pPr>
      <w:bookmarkStart w:id="182" w:name="_Ref531950045"/>
      <w:bookmarkStart w:id="183" w:name="_Toc54862199"/>
      <w:bookmarkStart w:id="184" w:name="_Ref531950041"/>
      <w:r>
        <w:rPr>
          <w:rFonts w:hint="eastAsia" w:ascii="宋体" w:hAnsi="宋体" w:eastAsia="宋体" w:cs="宋体"/>
          <w:color w:val="auto"/>
          <w:szCs w:val="24"/>
        </w:rPr>
        <w:t>2.4 办理许可和批准</w:t>
      </w:r>
      <w:bookmarkEnd w:id="182"/>
      <w:bookmarkEnd w:id="183"/>
      <w:bookmarkEnd w:id="184"/>
    </w:p>
    <w:p>
      <w:pPr>
        <w:ind w:firstLine="480" w:firstLineChars="200"/>
        <w:rPr>
          <w:rFonts w:hint="eastAsia" w:ascii="宋体" w:hAnsi="宋体" w:eastAsia="宋体" w:cs="宋体"/>
          <w:color w:val="auto"/>
          <w:szCs w:val="24"/>
        </w:rPr>
      </w:pPr>
      <w:bookmarkStart w:id="185" w:name="_Toc51505128"/>
      <w:r>
        <w:rPr>
          <w:rFonts w:hint="eastAsia" w:ascii="宋体" w:hAnsi="宋体" w:eastAsia="宋体" w:cs="宋体"/>
          <w:color w:val="auto"/>
          <w:szCs w:val="24"/>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85"/>
    </w:p>
    <w:p>
      <w:pPr>
        <w:ind w:firstLine="480" w:firstLineChars="200"/>
        <w:rPr>
          <w:rFonts w:hint="eastAsia" w:ascii="宋体" w:hAnsi="宋体" w:eastAsia="宋体" w:cs="宋体"/>
          <w:color w:val="auto"/>
          <w:szCs w:val="24"/>
        </w:rPr>
      </w:pPr>
      <w:bookmarkStart w:id="186" w:name="_Toc51505129"/>
      <w:r>
        <w:rPr>
          <w:rFonts w:hint="eastAsia" w:ascii="宋体" w:hAnsi="宋体" w:eastAsia="宋体" w:cs="宋体"/>
          <w:color w:val="auto"/>
          <w:szCs w:val="24"/>
        </w:rPr>
        <w:t>2.4.2 因发包人原因未能及时办理完毕前述许可、批准或备案，由发包人承担由此增加的费用和（或）延误的工期，并支付承包人合理的利润。</w:t>
      </w:r>
      <w:bookmarkEnd w:id="186"/>
    </w:p>
    <w:p>
      <w:pPr>
        <w:ind w:firstLine="480" w:firstLineChars="200"/>
        <w:rPr>
          <w:rFonts w:hint="eastAsia" w:ascii="宋体" w:hAnsi="宋体" w:eastAsia="宋体" w:cs="宋体"/>
          <w:color w:val="auto"/>
          <w:szCs w:val="24"/>
        </w:rPr>
      </w:pPr>
      <w:bookmarkStart w:id="187" w:name="_Ref11918070"/>
      <w:bookmarkStart w:id="188" w:name="_Toc54862200"/>
      <w:bookmarkStart w:id="189" w:name="_Ref11956525"/>
      <w:bookmarkStart w:id="190" w:name="_Ref11956533"/>
      <w:bookmarkStart w:id="191" w:name="_Ref11918060"/>
      <w:r>
        <w:rPr>
          <w:rFonts w:hint="eastAsia" w:ascii="宋体" w:hAnsi="宋体" w:eastAsia="宋体" w:cs="宋体"/>
          <w:color w:val="auto"/>
          <w:szCs w:val="24"/>
        </w:rPr>
        <w:t>2.5 支付合同价款</w:t>
      </w:r>
      <w:bookmarkEnd w:id="187"/>
      <w:bookmarkEnd w:id="188"/>
      <w:bookmarkEnd w:id="189"/>
      <w:bookmarkEnd w:id="190"/>
      <w:bookmarkEnd w:id="191"/>
    </w:p>
    <w:p>
      <w:pPr>
        <w:ind w:firstLine="480" w:firstLineChars="200"/>
        <w:rPr>
          <w:rFonts w:hint="eastAsia" w:ascii="宋体" w:hAnsi="宋体" w:eastAsia="宋体" w:cs="宋体"/>
          <w:color w:val="auto"/>
          <w:szCs w:val="24"/>
        </w:rPr>
      </w:pPr>
      <w:bookmarkStart w:id="192" w:name="_Toc51505131"/>
      <w:bookmarkStart w:id="193" w:name="_Ref531950147"/>
      <w:r>
        <w:rPr>
          <w:rFonts w:hint="eastAsia" w:ascii="宋体" w:hAnsi="宋体" w:eastAsia="宋体" w:cs="宋体"/>
          <w:color w:val="auto"/>
          <w:szCs w:val="24"/>
        </w:rPr>
        <w:t>2.5.1 发包人应按合同约定向承包人及时支付合同价款。</w:t>
      </w:r>
      <w:bookmarkEnd w:id="192"/>
    </w:p>
    <w:bookmarkEnd w:id="193"/>
    <w:p>
      <w:pPr>
        <w:ind w:firstLine="480" w:firstLineChars="200"/>
        <w:rPr>
          <w:rFonts w:hint="eastAsia" w:ascii="宋体" w:hAnsi="宋体" w:eastAsia="宋体" w:cs="宋体"/>
          <w:color w:val="auto"/>
          <w:szCs w:val="24"/>
        </w:rPr>
      </w:pPr>
      <w:bookmarkStart w:id="194" w:name="_Toc51505132"/>
      <w:r>
        <w:rPr>
          <w:rFonts w:hint="eastAsia" w:ascii="宋体" w:hAnsi="宋体" w:eastAsia="宋体" w:cs="宋体"/>
          <w:color w:val="auto"/>
          <w:szCs w:val="24"/>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94"/>
    </w:p>
    <w:p>
      <w:pPr>
        <w:ind w:firstLine="480" w:firstLineChars="200"/>
        <w:rPr>
          <w:rFonts w:hint="eastAsia" w:ascii="宋体" w:hAnsi="宋体" w:eastAsia="宋体" w:cs="宋体"/>
          <w:color w:val="auto"/>
          <w:szCs w:val="24"/>
        </w:rPr>
      </w:pPr>
      <w:bookmarkStart w:id="195" w:name="_Toc51505133"/>
      <w:bookmarkStart w:id="196" w:name="_Ref531950161"/>
      <w:r>
        <w:rPr>
          <w:rFonts w:hint="eastAsia" w:ascii="宋体" w:hAnsi="宋体" w:eastAsia="宋体" w:cs="宋体"/>
          <w:color w:val="auto"/>
          <w:szCs w:val="24"/>
        </w:rPr>
        <w:t>2.5.3 发包人应当向承包人提供支付担保。支付担保可以采用银行保函或担保公司担保等形式，具体由合同当事人在专用合同条件中约定。</w:t>
      </w:r>
      <w:bookmarkEnd w:id="195"/>
      <w:bookmarkEnd w:id="196"/>
    </w:p>
    <w:p>
      <w:pPr>
        <w:ind w:firstLine="480" w:firstLineChars="200"/>
        <w:rPr>
          <w:rFonts w:hint="eastAsia" w:ascii="宋体" w:hAnsi="宋体" w:eastAsia="宋体" w:cs="宋体"/>
          <w:color w:val="auto"/>
          <w:szCs w:val="24"/>
        </w:rPr>
      </w:pPr>
      <w:bookmarkStart w:id="197" w:name="_Toc54862201"/>
      <w:r>
        <w:rPr>
          <w:rFonts w:hint="eastAsia" w:ascii="宋体" w:hAnsi="宋体" w:eastAsia="宋体" w:cs="宋体"/>
          <w:color w:val="auto"/>
          <w:szCs w:val="24"/>
        </w:rPr>
        <w:t>2.6 现场管理配合</w:t>
      </w:r>
      <w:bookmarkEnd w:id="19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发包人应负责保证在现场或现场附近的发包人人员和发包人的其他承包人（如有）：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根据第7.3款[现场合作]的约定，与承包人进行合作；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遵守第7.5款[现场劳动用工]、第7.6款[安全文明施工]、第7.7款[职业健康</w:t>
      </w:r>
      <w:bookmarkStart w:id="198" w:name="_Ref531952756"/>
      <w:bookmarkStart w:id="199" w:name="_Ref531952761"/>
      <w:r>
        <w:rPr>
          <w:rFonts w:hint="eastAsia" w:ascii="宋体" w:hAnsi="宋体" w:eastAsia="宋体" w:cs="宋体"/>
          <w:color w:val="auto"/>
          <w:szCs w:val="24"/>
        </w:rPr>
        <w:t>]和第7.8款[环境保护]的相关约定。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发包人应与承包人、由发包人直接发包的其他承包人（如有）订立施工现场统一管理协议，明确各方的权利义务。</w:t>
      </w:r>
    </w:p>
    <w:p>
      <w:pPr>
        <w:ind w:firstLine="480" w:firstLineChars="200"/>
        <w:rPr>
          <w:rFonts w:hint="eastAsia" w:ascii="宋体" w:hAnsi="宋体" w:eastAsia="宋体" w:cs="宋体"/>
          <w:color w:val="auto"/>
          <w:szCs w:val="24"/>
        </w:rPr>
      </w:pPr>
      <w:bookmarkStart w:id="200" w:name="_Toc54862202"/>
      <w:bookmarkStart w:id="201" w:name="_Ref11959376"/>
      <w:bookmarkStart w:id="202" w:name="_Ref11959372"/>
      <w:r>
        <w:rPr>
          <w:rFonts w:hint="eastAsia" w:ascii="宋体" w:hAnsi="宋体" w:eastAsia="宋体" w:cs="宋体"/>
          <w:color w:val="auto"/>
          <w:szCs w:val="24"/>
        </w:rPr>
        <w:t>2.7 其他义务</w:t>
      </w:r>
      <w:bookmarkEnd w:id="200"/>
      <w:bookmarkEnd w:id="201"/>
      <w:bookmarkEnd w:id="20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发包人应履行合同约定的其他义务，双方可在专用合同条件内对发包人应履行的其他义务进行补充约定。</w:t>
      </w:r>
    </w:p>
    <w:bookmarkEnd w:id="198"/>
    <w:bookmarkEnd w:id="199"/>
    <w:p>
      <w:pPr>
        <w:ind w:firstLine="482" w:firstLineChars="200"/>
        <w:rPr>
          <w:rFonts w:hint="eastAsia" w:ascii="宋体" w:hAnsi="宋体" w:eastAsia="宋体" w:cs="宋体"/>
          <w:b/>
          <w:bCs/>
          <w:color w:val="auto"/>
          <w:szCs w:val="24"/>
        </w:rPr>
      </w:pPr>
      <w:bookmarkStart w:id="203" w:name="_Ref531952791"/>
      <w:bookmarkStart w:id="204" w:name="_Toc54862203"/>
      <w:r>
        <w:rPr>
          <w:rFonts w:hint="eastAsia" w:ascii="宋体" w:hAnsi="宋体" w:eastAsia="宋体" w:cs="宋体"/>
          <w:b/>
          <w:bCs/>
          <w:color w:val="auto"/>
          <w:szCs w:val="24"/>
        </w:rPr>
        <w:t>第3条 发包人的管理</w:t>
      </w:r>
      <w:bookmarkEnd w:id="203"/>
      <w:bookmarkEnd w:id="204"/>
    </w:p>
    <w:p>
      <w:pPr>
        <w:ind w:firstLine="480" w:firstLineChars="200"/>
        <w:rPr>
          <w:rFonts w:hint="eastAsia" w:ascii="宋体" w:hAnsi="宋体" w:eastAsia="宋体" w:cs="宋体"/>
          <w:color w:val="auto"/>
          <w:szCs w:val="24"/>
        </w:rPr>
      </w:pPr>
      <w:bookmarkStart w:id="205" w:name="_Ref522810097"/>
      <w:bookmarkStart w:id="206" w:name="_Ref522810094"/>
      <w:bookmarkStart w:id="207" w:name="_Ref531951533"/>
      <w:bookmarkStart w:id="208" w:name="_Toc54862204"/>
      <w:bookmarkStart w:id="209" w:name="_Ref531951538"/>
      <w:r>
        <w:rPr>
          <w:rFonts w:hint="eastAsia" w:ascii="宋体" w:hAnsi="宋体" w:eastAsia="宋体" w:cs="宋体"/>
          <w:color w:val="auto"/>
          <w:szCs w:val="24"/>
        </w:rPr>
        <w:t>3.1 发包人</w:t>
      </w:r>
      <w:bookmarkEnd w:id="205"/>
      <w:bookmarkEnd w:id="206"/>
      <w:r>
        <w:rPr>
          <w:rFonts w:hint="eastAsia" w:ascii="宋体" w:hAnsi="宋体" w:eastAsia="宋体" w:cs="宋体"/>
          <w:color w:val="auto"/>
          <w:szCs w:val="24"/>
        </w:rPr>
        <w:t>代表</w:t>
      </w:r>
      <w:bookmarkEnd w:id="207"/>
      <w:bookmarkEnd w:id="208"/>
      <w:bookmarkEnd w:id="20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除非发包人另行通知承包人，发包人代表应被授予并且被认为具有发包人在授权范围内享有的相应权利，涉及第16.1款[由发包人解除合同]的权利除外。</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发包人代表（或者在其为法人的情况下，被任命代表其行事的自然人）应：</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履行指派给其的职责，行使发包人托付给的权利；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具备履行这些职责、行使这些权利的能力；</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作为熟练的专业人员行事。</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发包人代表不能按照合同约定履行其职责及义务，并导致合同无法继续正常履行的，承包人可以要求发包人撤换发包人代表。</w:t>
      </w:r>
    </w:p>
    <w:p>
      <w:pPr>
        <w:ind w:firstLine="480" w:firstLineChars="200"/>
        <w:rPr>
          <w:rFonts w:hint="eastAsia" w:ascii="宋体" w:hAnsi="宋体" w:eastAsia="宋体" w:cs="宋体"/>
          <w:color w:val="auto"/>
          <w:szCs w:val="24"/>
        </w:rPr>
      </w:pPr>
      <w:bookmarkStart w:id="210" w:name="_Toc54862205"/>
      <w:bookmarkStart w:id="211" w:name="_Ref531951553"/>
      <w:bookmarkStart w:id="212" w:name="_Ref531951557"/>
      <w:r>
        <w:rPr>
          <w:rFonts w:hint="eastAsia" w:ascii="宋体" w:hAnsi="宋体" w:eastAsia="宋体" w:cs="宋体"/>
          <w:color w:val="auto"/>
          <w:szCs w:val="24"/>
        </w:rPr>
        <w:t>3.2 发包人人员</w:t>
      </w:r>
      <w:bookmarkEnd w:id="210"/>
      <w:bookmarkEnd w:id="211"/>
      <w:bookmarkEnd w:id="21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发包人应要求在施工现场的发包人人员遵守法律及有关安全、质量、环境保护、文明施工等规定，因发包人人员未遵守上述要求给承包人造成的损失和责任由发包人承担。</w:t>
      </w:r>
    </w:p>
    <w:p>
      <w:pPr>
        <w:ind w:firstLine="480" w:firstLineChars="200"/>
        <w:rPr>
          <w:rFonts w:hint="eastAsia" w:ascii="宋体" w:hAnsi="宋体" w:eastAsia="宋体" w:cs="宋体"/>
          <w:color w:val="auto"/>
          <w:szCs w:val="24"/>
        </w:rPr>
      </w:pPr>
      <w:bookmarkStart w:id="213" w:name="_Toc54862206"/>
      <w:r>
        <w:rPr>
          <w:rFonts w:hint="eastAsia" w:ascii="宋体" w:hAnsi="宋体" w:eastAsia="宋体" w:cs="宋体"/>
          <w:color w:val="auto"/>
          <w:szCs w:val="24"/>
        </w:rPr>
        <w:t>3.3 工程师</w:t>
      </w:r>
      <w:bookmarkEnd w:id="213"/>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ind w:firstLine="480" w:firstLineChars="200"/>
        <w:rPr>
          <w:rFonts w:hint="eastAsia" w:ascii="宋体" w:hAnsi="宋体" w:eastAsia="宋体" w:cs="宋体"/>
          <w:color w:val="auto"/>
          <w:szCs w:val="24"/>
        </w:rPr>
      </w:pPr>
      <w:bookmarkStart w:id="214" w:name="_Toc54862207"/>
      <w:bookmarkStart w:id="215" w:name="_Ref531951594"/>
      <w:bookmarkStart w:id="216" w:name="_Ref531951597"/>
      <w:r>
        <w:rPr>
          <w:rFonts w:hint="eastAsia" w:ascii="宋体" w:hAnsi="宋体" w:eastAsia="宋体" w:cs="宋体"/>
          <w:color w:val="auto"/>
          <w:szCs w:val="24"/>
        </w:rPr>
        <w:t>3.4 任命和授权</w:t>
      </w:r>
      <w:bookmarkEnd w:id="21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ind w:firstLine="480" w:firstLineChars="200"/>
        <w:rPr>
          <w:rFonts w:hint="eastAsia" w:ascii="宋体" w:hAnsi="宋体" w:eastAsia="宋体" w:cs="宋体"/>
          <w:color w:val="auto"/>
          <w:szCs w:val="24"/>
        </w:rPr>
      </w:pPr>
      <w:bookmarkStart w:id="217" w:name="_Toc54862208"/>
      <w:bookmarkStart w:id="218" w:name="_Ref20165400"/>
      <w:r>
        <w:rPr>
          <w:rFonts w:hint="eastAsia" w:ascii="宋体" w:hAnsi="宋体" w:eastAsia="宋体" w:cs="宋体"/>
          <w:color w:val="auto"/>
          <w:szCs w:val="24"/>
        </w:rPr>
        <w:t>3.5 指示</w:t>
      </w:r>
      <w:bookmarkEnd w:id="215"/>
      <w:bookmarkEnd w:id="216"/>
      <w:bookmarkEnd w:id="217"/>
      <w:bookmarkEnd w:id="21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3.5.2 承包人收到工程师作出的指示后应遵照执行。如果任何此类指示构成一项变更时，应按照第13条[变更与调整]的约定办理。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3.5.3 由于工程师未能按合同约定发出指示、指示延误或指示错误而导致承包人费用增加和（或）工期延误的，发包人应承担由此增加的费用和（或）工期延误，并向承包人支付合理利润。</w:t>
      </w:r>
    </w:p>
    <w:p>
      <w:pPr>
        <w:ind w:firstLine="480" w:firstLineChars="200"/>
        <w:rPr>
          <w:rFonts w:hint="eastAsia" w:ascii="宋体" w:hAnsi="宋体" w:eastAsia="宋体" w:cs="宋体"/>
          <w:color w:val="auto"/>
          <w:szCs w:val="24"/>
        </w:rPr>
      </w:pPr>
      <w:bookmarkStart w:id="219" w:name="_Toc54862209"/>
      <w:bookmarkStart w:id="220" w:name="_Ref531951611"/>
      <w:bookmarkStart w:id="221" w:name="_Ref531951609"/>
      <w:r>
        <w:rPr>
          <w:rFonts w:hint="eastAsia" w:ascii="宋体" w:hAnsi="宋体" w:eastAsia="宋体" w:cs="宋体"/>
          <w:color w:val="auto"/>
          <w:szCs w:val="24"/>
        </w:rPr>
        <w:t>3.6 商定或确定</w:t>
      </w:r>
      <w:bookmarkEnd w:id="219"/>
      <w:bookmarkEnd w:id="220"/>
      <w:bookmarkEnd w:id="22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3.6.1 合同约定工程师应按照本款对任何事项进行商定或确定时，工程师应及时与合同当事人协商，尽量达成一致。工程师应将商定的结果以书面形式通知发包人和承包人，并由双方签署确认。</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ind w:firstLine="480" w:firstLineChars="200"/>
        <w:rPr>
          <w:rFonts w:hint="eastAsia" w:ascii="宋体" w:hAnsi="宋体" w:eastAsia="宋体" w:cs="宋体"/>
          <w:color w:val="auto"/>
          <w:szCs w:val="24"/>
        </w:rPr>
      </w:pPr>
      <w:bookmarkStart w:id="222" w:name="_Ref532287856"/>
      <w:r>
        <w:rPr>
          <w:rFonts w:hint="eastAsia" w:ascii="宋体" w:hAnsi="宋体" w:eastAsia="宋体" w:cs="宋体"/>
          <w:color w:val="auto"/>
          <w:szCs w:val="24"/>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22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3.6.4 在该争议解决前，双方应暂按工程师的确定执行。按照第20条[争议解决]的约定对工程师的确定作出修改的，按修改后的结果执行，由此导致承包人增加的费用和延误的工期由责任方承担。</w:t>
      </w:r>
    </w:p>
    <w:p>
      <w:pPr>
        <w:ind w:firstLine="480" w:firstLineChars="200"/>
        <w:rPr>
          <w:rFonts w:hint="eastAsia" w:ascii="宋体" w:hAnsi="宋体" w:eastAsia="宋体" w:cs="宋体"/>
          <w:color w:val="auto"/>
          <w:szCs w:val="24"/>
        </w:rPr>
      </w:pPr>
      <w:bookmarkStart w:id="223" w:name="_Toc54862210"/>
      <w:bookmarkStart w:id="224" w:name="_Ref531951749"/>
      <w:bookmarkStart w:id="225" w:name="_Ref531951747"/>
      <w:r>
        <w:rPr>
          <w:rFonts w:hint="eastAsia" w:ascii="宋体" w:hAnsi="宋体" w:eastAsia="宋体" w:cs="宋体"/>
          <w:color w:val="auto"/>
          <w:szCs w:val="24"/>
        </w:rPr>
        <w:t>3.7 会议</w:t>
      </w:r>
      <w:bookmarkEnd w:id="223"/>
      <w:bookmarkEnd w:id="224"/>
      <w:bookmarkEnd w:id="22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3.7.2 除专用合同条件另有约定外，发包人应保存每次会议参加人签名的记录，并将会议纪要提供给出席会议的人员。任何根据此类会议以及会议纪要采取的行动应符合本合同的约定。</w:t>
      </w:r>
    </w:p>
    <w:p>
      <w:pPr>
        <w:ind w:firstLine="482" w:firstLineChars="200"/>
        <w:rPr>
          <w:rFonts w:hint="eastAsia" w:ascii="宋体" w:hAnsi="宋体" w:eastAsia="宋体" w:cs="宋体"/>
          <w:b/>
          <w:bCs/>
          <w:color w:val="auto"/>
          <w:szCs w:val="24"/>
        </w:rPr>
      </w:pPr>
      <w:bookmarkStart w:id="226" w:name="_Toc54862211"/>
      <w:bookmarkStart w:id="227" w:name="_Ref531952805"/>
      <w:r>
        <w:rPr>
          <w:rFonts w:hint="eastAsia" w:ascii="宋体" w:hAnsi="宋体" w:eastAsia="宋体" w:cs="宋体"/>
          <w:b/>
          <w:bCs/>
          <w:color w:val="auto"/>
          <w:szCs w:val="24"/>
        </w:rPr>
        <w:t>第4条 承包人</w:t>
      </w:r>
      <w:bookmarkEnd w:id="226"/>
      <w:bookmarkEnd w:id="227"/>
    </w:p>
    <w:p>
      <w:pPr>
        <w:ind w:firstLine="480" w:firstLineChars="200"/>
        <w:rPr>
          <w:rFonts w:hint="eastAsia" w:ascii="宋体" w:hAnsi="宋体" w:eastAsia="宋体" w:cs="宋体"/>
          <w:color w:val="auto"/>
          <w:szCs w:val="24"/>
        </w:rPr>
      </w:pPr>
      <w:bookmarkStart w:id="228" w:name="_Ref531951958"/>
      <w:bookmarkStart w:id="229" w:name="_Ref531951961"/>
      <w:bookmarkStart w:id="230" w:name="_Ref531951941"/>
      <w:bookmarkStart w:id="231" w:name="_Toc54862212"/>
      <w:bookmarkStart w:id="232" w:name="_Ref531951975"/>
      <w:bookmarkStart w:id="233" w:name="_Ref531951945"/>
      <w:r>
        <w:rPr>
          <w:rFonts w:hint="eastAsia" w:ascii="宋体" w:hAnsi="宋体" w:eastAsia="宋体" w:cs="宋体"/>
          <w:color w:val="auto"/>
          <w:szCs w:val="24"/>
        </w:rPr>
        <w:t>4.1 承包人的一般义务</w:t>
      </w:r>
      <w:bookmarkEnd w:id="228"/>
      <w:bookmarkEnd w:id="229"/>
      <w:bookmarkEnd w:id="230"/>
      <w:bookmarkEnd w:id="231"/>
      <w:bookmarkEnd w:id="232"/>
      <w:bookmarkEnd w:id="233"/>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234" w:name="_Ref509046929"/>
      <w:r>
        <w:rPr>
          <w:rFonts w:hint="eastAsia" w:ascii="宋体" w:hAnsi="宋体" w:eastAsia="宋体" w:cs="宋体"/>
          <w:color w:val="auto"/>
          <w:szCs w:val="24"/>
        </w:rPr>
        <w:t>除专用合同条件另有约定外，承包人在履行合同过程中应遵守法律和工程建设标准规范，并履行以下义务：</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办理法律规定和合同约定由承包人办理的许可和批准，将办理结果书面报送发包人留存，并承担因承包人违反法律或合同约定给发包人造成的任何费用和损失；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按合同约定完成全部工作并在缺陷责任期和保修期内承担缺陷保证责任和保修义务，对工作中的任何缺陷进行整改、完善和修补，使其满足合同约定的目的；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提供合同约定的工程设备和承包人文件，以及为完成合同工作所需的劳务、材料、施工设备和其他物品，并按合同约定负责临时设施的设计、施工、运行、维护、管理和拆除；</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按合同约定的工作内容和进度要求，编制设计、施工的组织和实施计划，保证项目进度计划的实现，并对所有设计、施工作业和施工方法，以及全部工程的完备性和安全可靠性负责；</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按法律规定和合同约定采取安全文明施工、职业健康和环境保护措施，办理员工工伤保险等相关保险，确保工程及人员、材料、设备和设施的安全，防止因工程实施造成的人身伤害和财产损失；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将发包人按合同约定支付的各项价款专用于合同工程，且应及时支付其雇用人员（包括建筑工人）工资，并及时向分包人支付合同价款；</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在进行合同约定的各项工作时，不得侵害发包人与他人使用公用道路、水源、市政管网等公共设施的权利，避免对邻近的公共设施产生干扰。</w:t>
      </w:r>
    </w:p>
    <w:p>
      <w:pPr>
        <w:ind w:firstLine="480" w:firstLineChars="200"/>
        <w:rPr>
          <w:rFonts w:hint="eastAsia" w:ascii="宋体" w:hAnsi="宋体" w:eastAsia="宋体" w:cs="宋体"/>
          <w:color w:val="auto"/>
          <w:szCs w:val="24"/>
        </w:rPr>
      </w:pPr>
      <w:bookmarkStart w:id="235" w:name="_Toc54862213"/>
      <w:bookmarkStart w:id="236" w:name="_Ref4426803"/>
      <w:bookmarkStart w:id="237" w:name="_Ref4428418"/>
      <w:r>
        <w:rPr>
          <w:rFonts w:hint="eastAsia" w:ascii="宋体" w:hAnsi="宋体" w:eastAsia="宋体" w:cs="宋体"/>
          <w:color w:val="auto"/>
          <w:szCs w:val="24"/>
        </w:rPr>
        <w:t>4.2 履约担保</w:t>
      </w:r>
      <w:bookmarkEnd w:id="235"/>
      <w:bookmarkEnd w:id="23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承包人应保证其履约担保在发包人竣工验收前一直有效，发包人应在竣工验收合格后7天内将履约担保款项退还给承包人或者解除履约担保。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因承包人原因导致工期延长的，继续提供履约担保所增加的费用由承包人承担；非因承包人原因导致工期延长的，继续提供履约担保所增加的费用由发包人承担。</w:t>
      </w:r>
    </w:p>
    <w:bookmarkEnd w:id="234"/>
    <w:bookmarkEnd w:id="237"/>
    <w:p>
      <w:pPr>
        <w:ind w:firstLine="480" w:firstLineChars="200"/>
        <w:rPr>
          <w:rFonts w:hint="eastAsia" w:ascii="宋体" w:hAnsi="宋体" w:eastAsia="宋体" w:cs="宋体"/>
          <w:color w:val="auto"/>
          <w:szCs w:val="24"/>
        </w:rPr>
      </w:pPr>
      <w:bookmarkStart w:id="238" w:name="_Ref532689108"/>
      <w:bookmarkStart w:id="239" w:name="_Ref532689105"/>
      <w:bookmarkStart w:id="240" w:name="_Toc54862214"/>
      <w:r>
        <w:rPr>
          <w:rFonts w:hint="eastAsia" w:ascii="宋体" w:hAnsi="宋体" w:eastAsia="宋体" w:cs="宋体"/>
          <w:color w:val="auto"/>
          <w:szCs w:val="24"/>
        </w:rPr>
        <w:t>4.3 工程总承包项目经理</w:t>
      </w:r>
      <w:bookmarkEnd w:id="238"/>
      <w:bookmarkEnd w:id="239"/>
      <w:bookmarkEnd w:id="240"/>
    </w:p>
    <w:p>
      <w:pPr>
        <w:ind w:firstLine="480" w:firstLineChars="200"/>
        <w:rPr>
          <w:rFonts w:hint="eastAsia" w:ascii="宋体" w:hAnsi="宋体" w:eastAsia="宋体" w:cs="宋体"/>
          <w:color w:val="auto"/>
          <w:szCs w:val="24"/>
        </w:rPr>
      </w:pPr>
      <w:bookmarkStart w:id="241" w:name="_Ref532351726"/>
      <w:r>
        <w:rPr>
          <w:rFonts w:hint="eastAsia" w:ascii="宋体" w:hAnsi="宋体" w:eastAsia="宋体" w:cs="宋体"/>
          <w:color w:val="auto"/>
          <w:szCs w:val="24"/>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41"/>
    </w:p>
    <w:p>
      <w:pPr>
        <w:ind w:firstLine="480" w:firstLineChars="200"/>
        <w:rPr>
          <w:rFonts w:hint="eastAsia" w:ascii="宋体" w:hAnsi="宋体" w:eastAsia="宋体" w:cs="宋体"/>
          <w:color w:val="auto"/>
          <w:szCs w:val="24"/>
        </w:rPr>
      </w:pPr>
      <w:bookmarkStart w:id="242" w:name="_Ref532689263"/>
      <w:r>
        <w:rPr>
          <w:rFonts w:hint="eastAsia" w:ascii="宋体" w:hAnsi="宋体" w:eastAsia="宋体" w:cs="宋体"/>
          <w:color w:val="auto"/>
          <w:szCs w:val="24"/>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42"/>
    </w:p>
    <w:p>
      <w:pPr>
        <w:ind w:firstLine="480" w:firstLineChars="200"/>
        <w:rPr>
          <w:rFonts w:hint="eastAsia" w:ascii="宋体" w:hAnsi="宋体" w:eastAsia="宋体" w:cs="宋体"/>
          <w:color w:val="auto"/>
          <w:szCs w:val="24"/>
        </w:rPr>
      </w:pPr>
      <w:bookmarkStart w:id="243" w:name="_Ref532689178"/>
      <w:bookmarkStart w:id="244" w:name="_Ref531952112"/>
      <w:r>
        <w:rPr>
          <w:rFonts w:hint="eastAsia" w:ascii="宋体" w:hAnsi="宋体" w:eastAsia="宋体" w:cs="宋体"/>
          <w:color w:val="auto"/>
          <w:szCs w:val="24"/>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43"/>
    </w:p>
    <w:bookmarkEnd w:id="244"/>
    <w:p>
      <w:pPr>
        <w:ind w:firstLine="480" w:firstLineChars="200"/>
        <w:rPr>
          <w:rFonts w:hint="eastAsia" w:ascii="宋体" w:hAnsi="宋体" w:eastAsia="宋体" w:cs="宋体"/>
          <w:color w:val="auto"/>
          <w:szCs w:val="24"/>
        </w:rPr>
      </w:pPr>
      <w:bookmarkStart w:id="245" w:name="_Ref4426412"/>
      <w:r>
        <w:rPr>
          <w:rFonts w:hint="eastAsia" w:ascii="宋体" w:hAnsi="宋体" w:eastAsia="宋体" w:cs="宋体"/>
          <w:color w:val="auto"/>
          <w:szCs w:val="24"/>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46" w:name="_Hlk55056591"/>
      <w:r>
        <w:rPr>
          <w:rFonts w:hint="eastAsia" w:ascii="宋体" w:hAnsi="宋体" w:eastAsia="宋体" w:cs="宋体"/>
          <w:color w:val="auto"/>
          <w:szCs w:val="24"/>
        </w:rPr>
        <w:t>应按照专用合同条件的约定承担违约责任。</w:t>
      </w:r>
      <w:bookmarkEnd w:id="245"/>
      <w:bookmarkEnd w:id="246"/>
    </w:p>
    <w:p>
      <w:pPr>
        <w:ind w:firstLine="480" w:firstLineChars="200"/>
        <w:rPr>
          <w:rFonts w:hint="eastAsia" w:ascii="宋体" w:hAnsi="宋体" w:eastAsia="宋体" w:cs="宋体"/>
          <w:color w:val="auto"/>
          <w:szCs w:val="24"/>
        </w:rPr>
      </w:pPr>
      <w:bookmarkStart w:id="247" w:name="_Ref531952137"/>
      <w:r>
        <w:rPr>
          <w:rFonts w:hint="eastAsia" w:ascii="宋体" w:hAnsi="宋体" w:eastAsia="宋体" w:cs="宋体"/>
          <w:color w:val="auto"/>
          <w:szCs w:val="24"/>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47"/>
    </w:p>
    <w:p>
      <w:pPr>
        <w:ind w:firstLine="480" w:firstLineChars="200"/>
        <w:rPr>
          <w:rFonts w:hint="eastAsia" w:ascii="宋体" w:hAnsi="宋体" w:eastAsia="宋体" w:cs="宋体"/>
          <w:color w:val="auto"/>
          <w:szCs w:val="24"/>
        </w:rPr>
      </w:pPr>
      <w:bookmarkStart w:id="248" w:name="_Ref122620"/>
      <w:r>
        <w:rPr>
          <w:rFonts w:hint="eastAsia" w:ascii="宋体" w:hAnsi="宋体" w:eastAsia="宋体" w:cs="宋体"/>
          <w:color w:val="auto"/>
          <w:szCs w:val="24"/>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48"/>
    </w:p>
    <w:p>
      <w:pPr>
        <w:ind w:firstLine="480" w:firstLineChars="200"/>
        <w:rPr>
          <w:rFonts w:hint="eastAsia" w:ascii="宋体" w:hAnsi="宋体" w:eastAsia="宋体" w:cs="宋体"/>
          <w:color w:val="auto"/>
          <w:szCs w:val="24"/>
        </w:rPr>
      </w:pPr>
      <w:bookmarkStart w:id="249" w:name="_Ref531952175"/>
      <w:bookmarkStart w:id="250" w:name="_Toc54862215"/>
      <w:bookmarkStart w:id="251" w:name="_Ref531952172"/>
      <w:r>
        <w:rPr>
          <w:rFonts w:hint="eastAsia" w:ascii="宋体" w:hAnsi="宋体" w:eastAsia="宋体" w:cs="宋体"/>
          <w:color w:val="auto"/>
          <w:szCs w:val="24"/>
        </w:rPr>
        <w:t>4.4 承包人人员</w:t>
      </w:r>
      <w:bookmarkEnd w:id="249"/>
      <w:bookmarkEnd w:id="250"/>
      <w:bookmarkEnd w:id="251"/>
    </w:p>
    <w:p>
      <w:pPr>
        <w:ind w:firstLine="480" w:firstLineChars="200"/>
        <w:rPr>
          <w:rFonts w:hint="eastAsia" w:ascii="宋体" w:hAnsi="宋体" w:eastAsia="宋体" w:cs="宋体"/>
          <w:color w:val="auto"/>
          <w:szCs w:val="24"/>
        </w:rPr>
      </w:pPr>
      <w:bookmarkStart w:id="252" w:name="_Ref531952185"/>
      <w:r>
        <w:rPr>
          <w:rFonts w:hint="eastAsia" w:ascii="宋体" w:hAnsi="宋体" w:eastAsia="宋体" w:cs="宋体"/>
          <w:color w:val="auto"/>
          <w:szCs w:val="24"/>
        </w:rPr>
        <w:t>4.4.1 人员安排</w:t>
      </w:r>
      <w:bookmarkEnd w:id="25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关键人员</w:t>
      </w:r>
      <w:bookmarkStart w:id="253" w:name="_Hlk16210335"/>
      <w:r>
        <w:rPr>
          <w:rFonts w:hint="eastAsia" w:ascii="宋体" w:hAnsi="宋体" w:eastAsia="宋体" w:cs="宋体"/>
          <w:color w:val="auto"/>
          <w:szCs w:val="24"/>
        </w:rPr>
        <w:t>是发包人及承包人一致认为对工程建设起重要作用的承包人主要管理人员或技术人员。关键人员的具体范围由发包人及承包人在附件5[承包人主要管理人员表]中另行约定。</w:t>
      </w:r>
    </w:p>
    <w:bookmarkEnd w:id="253"/>
    <w:p>
      <w:pPr>
        <w:ind w:firstLine="480" w:firstLineChars="200"/>
        <w:rPr>
          <w:rFonts w:hint="eastAsia" w:ascii="宋体" w:hAnsi="宋体" w:eastAsia="宋体" w:cs="宋体"/>
          <w:color w:val="auto"/>
          <w:szCs w:val="24"/>
        </w:rPr>
      </w:pPr>
      <w:bookmarkStart w:id="254" w:name="_Ref4426641"/>
      <w:bookmarkStart w:id="255" w:name="_Ref531952211"/>
      <w:r>
        <w:rPr>
          <w:rFonts w:hint="eastAsia" w:ascii="宋体" w:hAnsi="宋体" w:eastAsia="宋体" w:cs="宋体"/>
          <w:color w:val="auto"/>
          <w:szCs w:val="24"/>
        </w:rPr>
        <w:t>4.4.2 关键人员更换</w:t>
      </w:r>
      <w:bookmarkEnd w:id="254"/>
      <w:bookmarkEnd w:id="25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ind w:firstLine="480" w:firstLineChars="200"/>
        <w:rPr>
          <w:rFonts w:hint="eastAsia" w:ascii="宋体" w:hAnsi="宋体" w:eastAsia="宋体" w:cs="宋体"/>
          <w:color w:val="auto"/>
          <w:szCs w:val="24"/>
        </w:rPr>
      </w:pPr>
      <w:bookmarkStart w:id="256" w:name="_Ref531952227"/>
      <w:r>
        <w:rPr>
          <w:rFonts w:hint="eastAsia" w:ascii="宋体" w:hAnsi="宋体" w:eastAsia="宋体" w:cs="宋体"/>
          <w:color w:val="auto"/>
          <w:szCs w:val="24"/>
        </w:rPr>
        <w:t>4.4.3 现场管理关键人员在岗要求</w:t>
      </w:r>
      <w:bookmarkEnd w:id="25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ind w:firstLine="480" w:firstLineChars="200"/>
        <w:rPr>
          <w:rFonts w:hint="eastAsia" w:ascii="宋体" w:hAnsi="宋体" w:eastAsia="宋体" w:cs="宋体"/>
          <w:color w:val="auto"/>
          <w:szCs w:val="24"/>
        </w:rPr>
      </w:pPr>
      <w:bookmarkStart w:id="257" w:name="_Toc54862216"/>
      <w:bookmarkStart w:id="258" w:name="_Ref531952262"/>
      <w:bookmarkStart w:id="259" w:name="_Ref531952259"/>
      <w:r>
        <w:rPr>
          <w:rFonts w:hint="eastAsia" w:ascii="宋体" w:hAnsi="宋体" w:eastAsia="宋体" w:cs="宋体"/>
          <w:color w:val="auto"/>
          <w:szCs w:val="24"/>
        </w:rPr>
        <w:t>4.5 分包</w:t>
      </w:r>
      <w:bookmarkEnd w:id="257"/>
      <w:bookmarkEnd w:id="258"/>
      <w:bookmarkEnd w:id="259"/>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260" w:name="_Ref531952273"/>
      <w:r>
        <w:rPr>
          <w:rFonts w:hint="eastAsia" w:ascii="宋体" w:hAnsi="宋体" w:eastAsia="宋体" w:cs="宋体"/>
          <w:color w:val="auto"/>
          <w:szCs w:val="24"/>
        </w:rPr>
        <w:t>4.5.1 一般约定</w:t>
      </w:r>
      <w:bookmarkEnd w:id="26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ind w:firstLine="480" w:firstLineChars="200"/>
        <w:rPr>
          <w:rFonts w:hint="eastAsia" w:ascii="宋体" w:hAnsi="宋体" w:eastAsia="宋体" w:cs="宋体"/>
          <w:color w:val="auto"/>
          <w:szCs w:val="24"/>
        </w:rPr>
      </w:pPr>
      <w:bookmarkStart w:id="261" w:name="_Ref531952286"/>
      <w:r>
        <w:rPr>
          <w:rFonts w:hint="eastAsia" w:ascii="宋体" w:hAnsi="宋体" w:eastAsia="宋体" w:cs="宋体"/>
          <w:color w:val="auto"/>
          <w:szCs w:val="24"/>
        </w:rPr>
        <w:t>4.5.2 分包的确定</w:t>
      </w:r>
      <w:bookmarkEnd w:id="26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承包人应按照专用合同条件约定对工作事项进行分包，确定分包人。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4.5.3 分包人资质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分包人应符合国家法律规定的资质等级，否则不能作为分包人。承包人有义务对分包人的资质进行审查。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4.5.4 分包管理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ind w:firstLine="480" w:firstLineChars="200"/>
        <w:rPr>
          <w:rFonts w:hint="eastAsia" w:ascii="宋体" w:hAnsi="宋体" w:eastAsia="宋体" w:cs="宋体"/>
          <w:color w:val="auto"/>
          <w:szCs w:val="24"/>
        </w:rPr>
      </w:pPr>
      <w:bookmarkStart w:id="262" w:name="_Ref531952298"/>
      <w:r>
        <w:rPr>
          <w:rFonts w:hint="eastAsia" w:ascii="宋体" w:hAnsi="宋体" w:eastAsia="宋体" w:cs="宋体"/>
          <w:color w:val="auto"/>
          <w:szCs w:val="24"/>
        </w:rPr>
        <w:t>4.5.5 分包合同价款支付</w:t>
      </w:r>
      <w:bookmarkEnd w:id="26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除本项第（2）目约定的情况或专用合同条件另有约定外，分包合同价款由承包人与分包人结算，未经承包人同意，发包人不得向分包人支付分包合同价款；</w:t>
      </w:r>
    </w:p>
    <w:p>
      <w:pPr>
        <w:ind w:firstLine="480" w:firstLineChars="200"/>
        <w:rPr>
          <w:rFonts w:hint="eastAsia" w:ascii="宋体" w:hAnsi="宋体" w:eastAsia="宋体" w:cs="宋体"/>
          <w:color w:val="auto"/>
          <w:szCs w:val="24"/>
        </w:rPr>
      </w:pPr>
      <w:bookmarkStart w:id="263" w:name="_Ref4613798"/>
      <w:r>
        <w:rPr>
          <w:rFonts w:hint="eastAsia" w:ascii="宋体" w:hAnsi="宋体" w:eastAsia="宋体" w:cs="宋体"/>
          <w:color w:val="auto"/>
          <w:szCs w:val="24"/>
        </w:rPr>
        <w:t>（2） 生效法律文书要求发包人向分包人支付分包合同价款的，发包人有权从应付承包人工程款中扣除该部分款项</w:t>
      </w:r>
      <w:bookmarkEnd w:id="263"/>
      <w:r>
        <w:rPr>
          <w:rFonts w:hint="eastAsia" w:ascii="宋体" w:hAnsi="宋体" w:eastAsia="宋体" w:cs="宋体"/>
          <w:color w:val="auto"/>
          <w:szCs w:val="24"/>
        </w:rPr>
        <w:t>，将扣款直接支付给分包人，并书面通知承包人。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4.5.6 责任承担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承包人对分包人的行为向发包人负责，承包人和分包人就分包工作向发包人承担连带责任。</w:t>
      </w:r>
    </w:p>
    <w:p>
      <w:pPr>
        <w:ind w:firstLine="480" w:firstLineChars="200"/>
        <w:rPr>
          <w:rFonts w:hint="eastAsia" w:ascii="宋体" w:hAnsi="宋体" w:eastAsia="宋体" w:cs="宋体"/>
          <w:color w:val="auto"/>
          <w:szCs w:val="24"/>
        </w:rPr>
      </w:pPr>
      <w:bookmarkStart w:id="264" w:name="_Ref4426916"/>
      <w:bookmarkStart w:id="265" w:name="_Toc54862217"/>
      <w:bookmarkStart w:id="266" w:name="_Ref531952317"/>
      <w:bookmarkStart w:id="267" w:name="_Ref531952321"/>
      <w:bookmarkStart w:id="268" w:name="_Ref4768805"/>
      <w:r>
        <w:rPr>
          <w:rFonts w:hint="eastAsia" w:ascii="宋体" w:hAnsi="宋体" w:eastAsia="宋体" w:cs="宋体"/>
          <w:color w:val="auto"/>
          <w:szCs w:val="24"/>
        </w:rPr>
        <w:t>4.6 联合体</w:t>
      </w:r>
      <w:bookmarkEnd w:id="264"/>
      <w:bookmarkEnd w:id="265"/>
    </w:p>
    <w:p>
      <w:pPr>
        <w:ind w:firstLine="480" w:firstLineChars="200"/>
        <w:rPr>
          <w:rFonts w:hint="eastAsia" w:ascii="宋体" w:hAnsi="宋体" w:eastAsia="宋体" w:cs="宋体"/>
          <w:color w:val="auto"/>
          <w:szCs w:val="24"/>
        </w:rPr>
      </w:pPr>
      <w:bookmarkStart w:id="269" w:name="_Hlk16235129"/>
      <w:r>
        <w:rPr>
          <w:rFonts w:hint="eastAsia" w:ascii="宋体" w:hAnsi="宋体" w:eastAsia="宋体" w:cs="宋体"/>
          <w:color w:val="auto"/>
          <w:szCs w:val="24"/>
        </w:rPr>
        <w:t>4.6.1 经发包人同意，</w:t>
      </w:r>
      <w:bookmarkEnd w:id="269"/>
      <w:r>
        <w:rPr>
          <w:rFonts w:hint="eastAsia" w:ascii="宋体" w:hAnsi="宋体" w:eastAsia="宋体" w:cs="宋体"/>
          <w:color w:val="auto"/>
          <w:szCs w:val="24"/>
        </w:rPr>
        <w:t>以联合体方式承包工程的，联合体各方应共同与发包人订立合同协议书。联合体各方应为履行合同向发包人承担连带责任。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4.6.3 联合体协议经发包人确认后作为合同附件。在履行合同过程中，未经发包人同意，不得变更联合体成员和其负责的工作范围，或者修改联合体协议中与本合同履行相关的内容。</w:t>
      </w:r>
    </w:p>
    <w:p>
      <w:pPr>
        <w:ind w:firstLine="480" w:firstLineChars="200"/>
        <w:rPr>
          <w:rFonts w:hint="eastAsia" w:ascii="宋体" w:hAnsi="宋体" w:eastAsia="宋体" w:cs="宋体"/>
          <w:color w:val="auto"/>
          <w:szCs w:val="24"/>
        </w:rPr>
      </w:pPr>
      <w:bookmarkStart w:id="270" w:name="_Ref11926631"/>
      <w:bookmarkStart w:id="271" w:name="_Ref11926629"/>
      <w:bookmarkStart w:id="272" w:name="_Toc54862218"/>
      <w:r>
        <w:rPr>
          <w:rFonts w:hint="eastAsia" w:ascii="宋体" w:hAnsi="宋体" w:eastAsia="宋体" w:cs="宋体"/>
          <w:color w:val="auto"/>
          <w:szCs w:val="24"/>
        </w:rPr>
        <w:t>4.7 承包人现场查勘</w:t>
      </w:r>
      <w:bookmarkEnd w:id="270"/>
      <w:bookmarkEnd w:id="271"/>
      <w:bookmarkEnd w:id="27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ind w:firstLine="480" w:firstLineChars="200"/>
        <w:rPr>
          <w:rFonts w:hint="eastAsia" w:ascii="宋体" w:hAnsi="宋体" w:eastAsia="宋体" w:cs="宋体"/>
          <w:color w:val="auto"/>
          <w:szCs w:val="24"/>
        </w:rPr>
      </w:pPr>
      <w:bookmarkStart w:id="273" w:name="不可预见的困难"/>
      <w:bookmarkStart w:id="274" w:name="_Ref11918789"/>
      <w:bookmarkStart w:id="275" w:name="_Ref11918693"/>
      <w:bookmarkStart w:id="276" w:name="_Ref11918626"/>
      <w:bookmarkStart w:id="277" w:name="_Toc54862219"/>
      <w:r>
        <w:rPr>
          <w:rFonts w:hint="eastAsia" w:ascii="宋体" w:hAnsi="宋体" w:eastAsia="宋体" w:cs="宋体"/>
          <w:color w:val="auto"/>
          <w:szCs w:val="24"/>
        </w:rPr>
        <w:t>4.8 不可预见的困难</w:t>
      </w:r>
      <w:bookmarkEnd w:id="266"/>
      <w:bookmarkEnd w:id="267"/>
      <w:bookmarkEnd w:id="268"/>
      <w:bookmarkEnd w:id="273"/>
      <w:bookmarkEnd w:id="274"/>
      <w:bookmarkEnd w:id="275"/>
      <w:bookmarkEnd w:id="276"/>
      <w:bookmarkEnd w:id="277"/>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ind w:firstLine="480" w:firstLineChars="200"/>
        <w:rPr>
          <w:rFonts w:hint="eastAsia" w:ascii="宋体" w:hAnsi="宋体" w:eastAsia="宋体" w:cs="宋体"/>
          <w:color w:val="auto"/>
          <w:szCs w:val="24"/>
        </w:rPr>
      </w:pPr>
      <w:bookmarkStart w:id="278" w:name="_Ref11926566"/>
      <w:bookmarkStart w:id="279" w:name="_Ref11926570"/>
      <w:bookmarkStart w:id="280" w:name="_Toc54862220"/>
      <w:r>
        <w:rPr>
          <w:rFonts w:hint="eastAsia" w:ascii="宋体" w:hAnsi="宋体" w:eastAsia="宋体" w:cs="宋体"/>
          <w:color w:val="auto"/>
          <w:szCs w:val="24"/>
        </w:rPr>
        <w:t>4.9 工程质量管理</w:t>
      </w:r>
      <w:bookmarkEnd w:id="278"/>
      <w:bookmarkEnd w:id="279"/>
      <w:bookmarkEnd w:id="28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4.9.3 承包人应对其人员进行质量教育和技术培训，定期考核人员的劳动技能，严格执行相关规范和操作规程。</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ind w:firstLine="482" w:firstLineChars="200"/>
        <w:rPr>
          <w:rFonts w:hint="eastAsia" w:ascii="宋体" w:hAnsi="宋体" w:eastAsia="宋体" w:cs="宋体"/>
          <w:b/>
          <w:bCs/>
          <w:color w:val="auto"/>
          <w:szCs w:val="24"/>
        </w:rPr>
      </w:pPr>
      <w:bookmarkStart w:id="281" w:name="_Toc54862221"/>
      <w:bookmarkStart w:id="282" w:name="_Ref531952837"/>
      <w:r>
        <w:rPr>
          <w:rFonts w:hint="eastAsia" w:ascii="宋体" w:hAnsi="宋体" w:eastAsia="宋体" w:cs="宋体"/>
          <w:b/>
          <w:bCs/>
          <w:color w:val="auto"/>
          <w:szCs w:val="24"/>
        </w:rPr>
        <w:t>第5条 设计</w:t>
      </w:r>
      <w:bookmarkEnd w:id="281"/>
      <w:bookmarkEnd w:id="282"/>
    </w:p>
    <w:p>
      <w:pPr>
        <w:ind w:firstLine="480" w:firstLineChars="200"/>
        <w:rPr>
          <w:rFonts w:hint="eastAsia" w:ascii="宋体" w:hAnsi="宋体" w:eastAsia="宋体" w:cs="宋体"/>
          <w:color w:val="auto"/>
          <w:szCs w:val="24"/>
        </w:rPr>
      </w:pPr>
      <w:bookmarkStart w:id="283" w:name="_Ref531952863"/>
      <w:bookmarkStart w:id="284" w:name="_Ref531952860"/>
      <w:bookmarkStart w:id="285" w:name="_Toc54862222"/>
      <w:r>
        <w:rPr>
          <w:rFonts w:hint="eastAsia" w:ascii="宋体" w:hAnsi="宋体" w:eastAsia="宋体" w:cs="宋体"/>
          <w:color w:val="auto"/>
          <w:szCs w:val="24"/>
        </w:rPr>
        <w:t>5.1 承包人的设计义务</w:t>
      </w:r>
      <w:bookmarkEnd w:id="283"/>
      <w:bookmarkEnd w:id="284"/>
      <w:bookmarkEnd w:id="285"/>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286" w:name="_Ref531952881"/>
      <w:r>
        <w:rPr>
          <w:rFonts w:hint="eastAsia" w:ascii="宋体" w:hAnsi="宋体" w:eastAsia="宋体" w:cs="宋体"/>
          <w:color w:val="auto"/>
          <w:szCs w:val="24"/>
        </w:rPr>
        <w:t>5.1.1 设计义务的一般要求</w:t>
      </w:r>
      <w:bookmarkEnd w:id="28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ind w:firstLine="480" w:firstLineChars="200"/>
        <w:rPr>
          <w:rFonts w:hint="eastAsia" w:ascii="宋体" w:hAnsi="宋体" w:eastAsia="宋体" w:cs="宋体"/>
          <w:color w:val="auto"/>
          <w:szCs w:val="24"/>
        </w:rPr>
      </w:pPr>
      <w:bookmarkStart w:id="287" w:name="_Ref531952952"/>
      <w:bookmarkStart w:id="288" w:name="_Ref531952899"/>
      <w:r>
        <w:rPr>
          <w:rFonts w:hint="eastAsia" w:ascii="宋体" w:hAnsi="宋体" w:eastAsia="宋体" w:cs="宋体"/>
          <w:color w:val="auto"/>
          <w:szCs w:val="24"/>
        </w:rPr>
        <w:t>5.1.2 对设计人员的要求</w:t>
      </w:r>
      <w:bookmarkEnd w:id="28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88"/>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5.1.3 法律和标准的变化</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在基准日期之后，因国家颁布新的强制性规范、标准导致承包人的费用变化的，发包人应合理调整合同价格；导致工期延误的，发包人应合理延长工期。</w:t>
      </w:r>
    </w:p>
    <w:p>
      <w:pPr>
        <w:ind w:firstLine="480" w:firstLineChars="200"/>
        <w:rPr>
          <w:rFonts w:hint="eastAsia" w:ascii="宋体" w:hAnsi="宋体" w:eastAsia="宋体" w:cs="宋体"/>
          <w:color w:val="auto"/>
          <w:szCs w:val="24"/>
        </w:rPr>
      </w:pPr>
      <w:bookmarkStart w:id="289" w:name="_Ref531953054"/>
      <w:bookmarkStart w:id="290" w:name="_Toc54862223"/>
      <w:bookmarkStart w:id="291" w:name="_Ref531953051"/>
      <w:r>
        <w:rPr>
          <w:rFonts w:hint="eastAsia" w:ascii="宋体" w:hAnsi="宋体" w:eastAsia="宋体" w:cs="宋体"/>
          <w:color w:val="auto"/>
          <w:szCs w:val="24"/>
        </w:rPr>
        <w:t>5.2 承包人文件审查</w:t>
      </w:r>
      <w:bookmarkEnd w:id="289"/>
      <w:bookmarkEnd w:id="290"/>
      <w:bookmarkEnd w:id="291"/>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292" w:name="_Ref531953064"/>
      <w:r>
        <w:rPr>
          <w:rFonts w:hint="eastAsia" w:ascii="宋体" w:hAnsi="宋体" w:eastAsia="宋体" w:cs="宋体"/>
          <w:color w:val="auto"/>
          <w:szCs w:val="24"/>
        </w:rPr>
        <w:t>5.2.1 根据《发包人要求》应当通过工程师报发包人审查同意的承包人文件，承包人应当按照《发包人要求》约定的范围和内容及时报送审查。</w:t>
      </w:r>
      <w:bookmarkEnd w:id="29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发包人同意承包人文件的，应及时通知承包人，发包人不同意承包人文件的，应在审查期限内通过工程师以书面形式通知承包人，并说明不同意的具体内容和理由。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承包人对发包人的意见按以下方式处理：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发包人的意见构成变更的，承包人应在7天内通知发包人按照第13条[变更与调整]中关于发包人指示变更的约定执行，双方对是否构成变更无法达成一致的，按照第20条[争议解决]的约定执行；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因承包人原因导致无法通过审查的，承包人应根据发包人的书面说明，对承包人文件进行修改后重新报送发包人审查，审查期重新起算。因此引起的工期延长和必要的工程费用增加，由承包人负责。</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合同约定的审查期满，发包人没有做出审查结论也没有提出异议的，视为承包人文件已获发包人同意。</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发包人对承包人文件的审查和同意不得被理解为对合同的修改或改变，也并不减轻或免除承包人任何的责任和义务。</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5.2.2 承包人文件不需要政府有关部门或专用合同条件约定的第三方审查单位审查或批准的，承包人应当严格按照经发包人审查同意的承包人文件设计和实施工程。</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发包人有义务向承包人提供审查会议的批准文件和纪要。承包人有义务按照相关审查会议批准的文件和纪要，并依据合同约定及相关技术标准，对承包人文件进行修改、补充和完善。</w:t>
      </w:r>
    </w:p>
    <w:p>
      <w:pPr>
        <w:ind w:firstLine="480" w:firstLineChars="200"/>
        <w:rPr>
          <w:rFonts w:hint="eastAsia" w:ascii="宋体" w:hAnsi="宋体" w:eastAsia="宋体" w:cs="宋体"/>
          <w:color w:val="auto"/>
          <w:szCs w:val="24"/>
        </w:rPr>
      </w:pPr>
      <w:bookmarkStart w:id="293" w:name="_Ref531953074"/>
      <w:r>
        <w:rPr>
          <w:rFonts w:hint="eastAsia" w:ascii="宋体" w:hAnsi="宋体" w:eastAsia="宋体" w:cs="宋体"/>
          <w:color w:val="auto"/>
          <w:szCs w:val="24"/>
        </w:rPr>
        <w:t>5.2.3 承包人文件需政府有关部门或专用合同条件约定的第三方审查单位审查或批准的，发包人应在发包人审查同意承包人文件后7天内，向政府有关部门或第三方报送承包人文件，承包人应予以协助。</w:t>
      </w:r>
      <w:bookmarkEnd w:id="29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ind w:firstLine="480" w:firstLineChars="200"/>
        <w:rPr>
          <w:rFonts w:hint="eastAsia" w:ascii="宋体" w:hAnsi="宋体" w:eastAsia="宋体" w:cs="宋体"/>
          <w:color w:val="auto"/>
          <w:szCs w:val="24"/>
        </w:rPr>
      </w:pPr>
      <w:bookmarkStart w:id="294" w:name="_Ref531953097"/>
      <w:bookmarkStart w:id="295" w:name="_Toc54862224"/>
      <w:bookmarkStart w:id="296" w:name="_Ref531953095"/>
      <w:r>
        <w:rPr>
          <w:rFonts w:hint="eastAsia" w:ascii="宋体" w:hAnsi="宋体" w:eastAsia="宋体" w:cs="宋体"/>
          <w:color w:val="auto"/>
          <w:szCs w:val="24"/>
        </w:rPr>
        <w:t>5.3 培训</w:t>
      </w:r>
      <w:bookmarkEnd w:id="294"/>
      <w:bookmarkEnd w:id="295"/>
      <w:bookmarkEnd w:id="29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培训的时长应由双方在专用合同条件中约定，承包人应为培训提供有经验的人员、设施和其它必要条件。</w:t>
      </w:r>
    </w:p>
    <w:p>
      <w:pPr>
        <w:ind w:firstLine="480" w:firstLineChars="200"/>
        <w:rPr>
          <w:rFonts w:hint="eastAsia" w:ascii="宋体" w:hAnsi="宋体" w:eastAsia="宋体" w:cs="宋体"/>
          <w:color w:val="auto"/>
          <w:szCs w:val="24"/>
        </w:rPr>
      </w:pPr>
      <w:bookmarkStart w:id="297" w:name="_Ref531953108"/>
      <w:bookmarkStart w:id="298" w:name="_Ref531953105"/>
      <w:bookmarkStart w:id="299" w:name="_Toc54862225"/>
      <w:r>
        <w:rPr>
          <w:rFonts w:hint="eastAsia" w:ascii="宋体" w:hAnsi="宋体" w:eastAsia="宋体" w:cs="宋体"/>
          <w:color w:val="auto"/>
          <w:szCs w:val="24"/>
        </w:rPr>
        <w:t>5.4 竣工文件</w:t>
      </w:r>
      <w:bookmarkEnd w:id="297"/>
      <w:bookmarkEnd w:id="298"/>
      <w:bookmarkEnd w:id="299"/>
    </w:p>
    <w:p>
      <w:pPr>
        <w:ind w:firstLine="480" w:firstLineChars="200"/>
        <w:rPr>
          <w:rFonts w:hint="eastAsia" w:ascii="宋体" w:hAnsi="宋体" w:eastAsia="宋体" w:cs="宋体"/>
          <w:color w:val="auto"/>
          <w:szCs w:val="24"/>
        </w:rPr>
      </w:pPr>
      <w:bookmarkStart w:id="300" w:name="_Ref531953134"/>
      <w:r>
        <w:rPr>
          <w:rFonts w:hint="eastAsia" w:ascii="宋体" w:hAnsi="宋体" w:eastAsia="宋体" w:cs="宋体"/>
          <w:color w:val="auto"/>
          <w:szCs w:val="24"/>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30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5.4.3 除专用合同条件另有约定外，在工程师收到本款下的文件前，不应认为工程已根据第10.1款[竣工验收]和第10.2款[单位/区段工程的验收]的约定完成验收。</w:t>
      </w:r>
    </w:p>
    <w:p>
      <w:pPr>
        <w:ind w:firstLine="480" w:firstLineChars="200"/>
        <w:rPr>
          <w:rFonts w:hint="eastAsia" w:ascii="宋体" w:hAnsi="宋体" w:eastAsia="宋体" w:cs="宋体"/>
          <w:color w:val="auto"/>
          <w:szCs w:val="24"/>
        </w:rPr>
      </w:pPr>
      <w:bookmarkStart w:id="301" w:name="_Ref531953117"/>
      <w:bookmarkStart w:id="302" w:name="_Toc54862226"/>
      <w:bookmarkStart w:id="303" w:name="_Ref531953119"/>
      <w:r>
        <w:rPr>
          <w:rFonts w:hint="eastAsia" w:ascii="宋体" w:hAnsi="宋体" w:eastAsia="宋体" w:cs="宋体"/>
          <w:color w:val="auto"/>
          <w:szCs w:val="24"/>
        </w:rPr>
        <w:t>5.5 操作和维修手册</w:t>
      </w:r>
      <w:bookmarkEnd w:id="301"/>
      <w:bookmarkEnd w:id="302"/>
      <w:bookmarkEnd w:id="303"/>
    </w:p>
    <w:p>
      <w:pPr>
        <w:ind w:firstLine="480" w:firstLineChars="200"/>
        <w:rPr>
          <w:rFonts w:hint="eastAsia" w:ascii="宋体" w:hAnsi="宋体" w:eastAsia="宋体" w:cs="宋体"/>
          <w:color w:val="auto"/>
          <w:szCs w:val="24"/>
        </w:rPr>
      </w:pPr>
      <w:bookmarkStart w:id="304" w:name="_Ref531953145"/>
      <w:r>
        <w:rPr>
          <w:rFonts w:hint="eastAsia" w:ascii="宋体" w:hAnsi="宋体" w:eastAsia="宋体" w:cs="宋体"/>
          <w:color w:val="auto"/>
          <w:szCs w:val="24"/>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30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5.5.2 工程师收到承包人提交的文件后，应依据第5.2款[承包人文件审查]的约定对操作和维修手册进行审查，竣工试验工程中，承包人应为任何因操作和维修手册错误或遗漏引起的风险或损失承担责任。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ind w:firstLine="480" w:firstLineChars="200"/>
        <w:rPr>
          <w:rFonts w:hint="eastAsia" w:ascii="宋体" w:hAnsi="宋体" w:eastAsia="宋体" w:cs="宋体"/>
          <w:color w:val="auto"/>
          <w:szCs w:val="24"/>
        </w:rPr>
      </w:pPr>
      <w:bookmarkStart w:id="305" w:name="_Toc54862227"/>
      <w:r>
        <w:rPr>
          <w:rFonts w:hint="eastAsia" w:ascii="宋体" w:hAnsi="宋体" w:eastAsia="宋体" w:cs="宋体"/>
          <w:color w:val="auto"/>
          <w:szCs w:val="24"/>
        </w:rPr>
        <w:t>5.6 承包人文件错误</w:t>
      </w:r>
      <w:bookmarkEnd w:id="305"/>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ind w:firstLine="482" w:firstLineChars="200"/>
        <w:rPr>
          <w:rFonts w:hint="eastAsia" w:ascii="宋体" w:hAnsi="宋体" w:eastAsia="宋体" w:cs="宋体"/>
          <w:b/>
          <w:bCs/>
          <w:color w:val="auto"/>
          <w:szCs w:val="24"/>
        </w:rPr>
      </w:pPr>
      <w:bookmarkStart w:id="306" w:name="_Toc54862228"/>
      <w:bookmarkStart w:id="307" w:name="_Ref531953765"/>
      <w:bookmarkStart w:id="308" w:name="_Ref531953761"/>
      <w:r>
        <w:rPr>
          <w:rFonts w:hint="eastAsia" w:ascii="宋体" w:hAnsi="宋体" w:eastAsia="宋体" w:cs="宋体"/>
          <w:b/>
          <w:bCs/>
          <w:color w:val="auto"/>
          <w:szCs w:val="24"/>
        </w:rPr>
        <w:t>第6条 材料、工程设备</w:t>
      </w:r>
      <w:bookmarkEnd w:id="306"/>
      <w:bookmarkEnd w:id="307"/>
      <w:bookmarkEnd w:id="308"/>
    </w:p>
    <w:p>
      <w:pPr>
        <w:ind w:firstLine="480" w:firstLineChars="200"/>
        <w:rPr>
          <w:rFonts w:hint="eastAsia" w:ascii="宋体" w:hAnsi="宋体" w:eastAsia="宋体" w:cs="宋体"/>
          <w:color w:val="auto"/>
          <w:szCs w:val="24"/>
        </w:rPr>
      </w:pPr>
      <w:bookmarkStart w:id="309" w:name="_Ref531953832"/>
      <w:bookmarkStart w:id="310" w:name="_Ref531953828"/>
      <w:bookmarkStart w:id="311" w:name="_Toc54862229"/>
      <w:r>
        <w:rPr>
          <w:rFonts w:hint="eastAsia" w:ascii="宋体" w:hAnsi="宋体" w:eastAsia="宋体" w:cs="宋体"/>
          <w:color w:val="auto"/>
          <w:szCs w:val="24"/>
        </w:rPr>
        <w:t>6.1 实施方法</w:t>
      </w:r>
      <w:bookmarkEnd w:id="309"/>
      <w:bookmarkEnd w:id="310"/>
      <w:bookmarkEnd w:id="311"/>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承包人应按以下方法进行材料的加工、工程设备的采购、制造和安装、以及工程的所有其他实施作业：</w:t>
      </w:r>
    </w:p>
    <w:p>
      <w:pPr>
        <w:ind w:firstLine="480" w:firstLineChars="200"/>
        <w:rPr>
          <w:rFonts w:hint="eastAsia" w:ascii="宋体" w:hAnsi="宋体" w:eastAsia="宋体" w:cs="宋体"/>
          <w:color w:val="auto"/>
          <w:szCs w:val="24"/>
        </w:rPr>
      </w:pPr>
      <w:bookmarkStart w:id="312" w:name="_Ref531953847"/>
      <w:r>
        <w:rPr>
          <w:rFonts w:hint="eastAsia" w:ascii="宋体" w:hAnsi="宋体" w:eastAsia="宋体" w:cs="宋体"/>
          <w:color w:val="auto"/>
          <w:szCs w:val="24"/>
        </w:rPr>
        <w:t>（1） 按照法律规定和合同约定的方法；</w:t>
      </w:r>
      <w:bookmarkEnd w:id="31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按照公认的良好行业习惯，使用恰当、审慎、先进的方法；</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除专用合同条件另有规定外，应使用适当配备的实施方法、设备、设施和无危险的材料。</w:t>
      </w:r>
    </w:p>
    <w:p>
      <w:pPr>
        <w:ind w:firstLine="480" w:firstLineChars="200"/>
        <w:rPr>
          <w:rFonts w:hint="eastAsia" w:ascii="宋体" w:hAnsi="宋体" w:eastAsia="宋体" w:cs="宋体"/>
          <w:color w:val="auto"/>
          <w:szCs w:val="24"/>
        </w:rPr>
      </w:pPr>
      <w:bookmarkStart w:id="313" w:name="_Toc54862230"/>
      <w:bookmarkStart w:id="314" w:name="_Ref11926422"/>
      <w:bookmarkStart w:id="315" w:name="_Ref4427594"/>
      <w:r>
        <w:rPr>
          <w:rFonts w:hint="eastAsia" w:ascii="宋体" w:hAnsi="宋体" w:eastAsia="宋体" w:cs="宋体"/>
          <w:color w:val="auto"/>
          <w:szCs w:val="24"/>
        </w:rPr>
        <w:t>6.2 材料和工程设备</w:t>
      </w:r>
      <w:bookmarkEnd w:id="313"/>
      <w:bookmarkEnd w:id="314"/>
    </w:p>
    <w:p>
      <w:pPr>
        <w:ind w:firstLine="480" w:firstLineChars="200"/>
        <w:rPr>
          <w:rFonts w:hint="eastAsia" w:ascii="宋体" w:hAnsi="宋体" w:eastAsia="宋体" w:cs="宋体"/>
          <w:color w:val="auto"/>
          <w:szCs w:val="24"/>
        </w:rPr>
      </w:pPr>
      <w:bookmarkStart w:id="316" w:name="_Ref11960295"/>
      <w:r>
        <w:rPr>
          <w:rFonts w:hint="eastAsia" w:ascii="宋体" w:hAnsi="宋体" w:eastAsia="宋体" w:cs="宋体"/>
          <w:color w:val="auto"/>
          <w:szCs w:val="24"/>
        </w:rPr>
        <w:t>6.2.1 发包人提供的材料和工程设备</w:t>
      </w:r>
      <w:bookmarkEnd w:id="315"/>
      <w:bookmarkEnd w:id="31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发包人自行供应材料、工程设备的，应在订立合同时在专用合同条件的附件《发包人供应材料设备一览表》中明确材料、工程设备的品种、规格、型号、主要参数、数量、单价、质量等级和交接地点等。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ind w:firstLine="480" w:firstLineChars="200"/>
        <w:rPr>
          <w:rFonts w:hint="eastAsia" w:ascii="宋体" w:hAnsi="宋体" w:eastAsia="宋体" w:cs="宋体"/>
          <w:color w:val="auto"/>
          <w:szCs w:val="24"/>
        </w:rPr>
      </w:pPr>
      <w:bookmarkStart w:id="317" w:name="_Ref531953918"/>
      <w:r>
        <w:rPr>
          <w:rFonts w:hint="eastAsia" w:ascii="宋体" w:hAnsi="宋体" w:eastAsia="宋体" w:cs="宋体"/>
          <w:color w:val="auto"/>
          <w:szCs w:val="24"/>
        </w:rPr>
        <w:t>6.2.2 承包人提供的材料和工程设备</w:t>
      </w:r>
      <w:bookmarkEnd w:id="31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ind w:firstLine="480" w:firstLineChars="200"/>
        <w:rPr>
          <w:rFonts w:hint="eastAsia" w:ascii="宋体" w:hAnsi="宋体" w:eastAsia="宋体" w:cs="宋体"/>
          <w:color w:val="auto"/>
          <w:szCs w:val="24"/>
        </w:rPr>
      </w:pPr>
      <w:bookmarkStart w:id="318" w:name="_Ref531953999"/>
      <w:bookmarkStart w:id="319" w:name="_Ref531953991"/>
      <w:r>
        <w:rPr>
          <w:rFonts w:hint="eastAsia" w:ascii="宋体" w:hAnsi="宋体" w:eastAsia="宋体" w:cs="宋体"/>
          <w:color w:val="auto"/>
          <w:szCs w:val="24"/>
        </w:rPr>
        <w:t>6.2.3 材料和工程设备的保管</w:t>
      </w:r>
      <w:bookmarkEnd w:id="318"/>
      <w:bookmarkEnd w:id="319"/>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发包人供应材料与工程设备的保管与使用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发包人供应的材料和工程设备，承包人清点并接收后由承包人妥善保管，保管费用由承包人承担，但专用合同条件另有约定除外。因承包人原因发生丢失毁损的，由承包人负责赔偿。</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发包人供应的材料和工程设备使用前，由承包人负责必要的检验，检验费用由发包人承担，不合格的不得使用。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承包人采购材料与工程设备的保管与使用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工程师发现承包人使用不符合设计或有关标准要求的材料和工程设备时，有权要求承包人进行修复、拆除或重新采购，由此增加的费用和（或）延误的工期，由承包人承担。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6.2.4 材料和工程设备的所有权</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承包人按第6.2.2项提供的材料和工程设备，承包人应确保发包人取得无权利负担的材料及工程设备所有权，因承包人与第三人的物权争议导致的增加的费用和（或）延误的工期，由承包人承担。</w:t>
      </w:r>
    </w:p>
    <w:p>
      <w:pPr>
        <w:ind w:firstLine="480" w:firstLineChars="200"/>
        <w:rPr>
          <w:rFonts w:hint="eastAsia" w:ascii="宋体" w:hAnsi="宋体" w:eastAsia="宋体" w:cs="宋体"/>
          <w:color w:val="auto"/>
          <w:szCs w:val="24"/>
        </w:rPr>
      </w:pPr>
      <w:bookmarkStart w:id="320" w:name="_Toc54862231"/>
      <w:bookmarkStart w:id="321" w:name="_Ref4428239"/>
      <w:bookmarkStart w:id="322" w:name="_Toc351203565"/>
      <w:bookmarkStart w:id="323" w:name="_Toc337558785"/>
      <w:r>
        <w:rPr>
          <w:rFonts w:hint="eastAsia" w:ascii="宋体" w:hAnsi="宋体" w:eastAsia="宋体" w:cs="宋体"/>
          <w:color w:val="auto"/>
          <w:szCs w:val="24"/>
        </w:rPr>
        <w:t>6.3 样品</w:t>
      </w:r>
      <w:bookmarkEnd w:id="320"/>
      <w:bookmarkEnd w:id="32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6.3.1 样品的报送与封存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需要承包人报送样品的材料或工程设备，样品的种类、名称、规格、数量等要求均应在专用合同条件中约定。样品的报送程序如下：</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经工程师审批确认的样品应按约定的方法封样，封存的样品作为检验工程相关部分的标准之一。承包人在施工过程中不得使用与样品不符的材料或工程设备。</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6.3.2 样品的保管</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经批准的样品应由工程师负责封存于现场，承包人应在现场为保存样品提供适当和固定的场所并保持适当和良好的存储环境条件。</w:t>
      </w:r>
    </w:p>
    <w:p>
      <w:pPr>
        <w:ind w:firstLine="480" w:firstLineChars="200"/>
        <w:rPr>
          <w:rFonts w:hint="eastAsia" w:ascii="宋体" w:hAnsi="宋体" w:eastAsia="宋体" w:cs="宋体"/>
          <w:color w:val="auto"/>
          <w:szCs w:val="24"/>
        </w:rPr>
      </w:pPr>
      <w:bookmarkStart w:id="324" w:name="_Toc54862232"/>
      <w:bookmarkStart w:id="325" w:name="_Ref11959210"/>
      <w:bookmarkStart w:id="326" w:name="_Ref11959204"/>
      <w:r>
        <w:rPr>
          <w:rFonts w:hint="eastAsia" w:ascii="宋体" w:hAnsi="宋体" w:eastAsia="宋体" w:cs="宋体"/>
          <w:color w:val="auto"/>
          <w:szCs w:val="24"/>
        </w:rPr>
        <w:t>6.4 质量检查</w:t>
      </w:r>
      <w:bookmarkEnd w:id="324"/>
      <w:bookmarkEnd w:id="325"/>
      <w:bookmarkEnd w:id="326"/>
    </w:p>
    <w:p>
      <w:pPr>
        <w:ind w:firstLine="480" w:firstLineChars="200"/>
        <w:rPr>
          <w:rFonts w:hint="eastAsia" w:ascii="宋体" w:hAnsi="宋体" w:eastAsia="宋体" w:cs="宋体"/>
          <w:color w:val="auto"/>
          <w:szCs w:val="24"/>
        </w:rPr>
      </w:pPr>
      <w:bookmarkStart w:id="327" w:name="_Ref18990699"/>
      <w:r>
        <w:rPr>
          <w:rFonts w:hint="eastAsia" w:ascii="宋体" w:hAnsi="宋体" w:eastAsia="宋体" w:cs="宋体"/>
          <w:color w:val="auto"/>
          <w:szCs w:val="24"/>
        </w:rPr>
        <w:t>6.4.1 工程质量要求</w:t>
      </w:r>
      <w:bookmarkEnd w:id="32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工程质量标准必须符合现行国家有关工程施工质量验收规范和标准的要求。有关工程质量的特殊标准或要求由合同当事人在专用合同条件中约定。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ind w:firstLine="480" w:firstLineChars="200"/>
        <w:rPr>
          <w:rFonts w:hint="eastAsia" w:ascii="宋体" w:hAnsi="宋体" w:eastAsia="宋体" w:cs="宋体"/>
          <w:color w:val="auto"/>
          <w:szCs w:val="24"/>
        </w:rPr>
      </w:pPr>
      <w:bookmarkStart w:id="328" w:name="_Ref18990717"/>
      <w:r>
        <w:rPr>
          <w:rFonts w:hint="eastAsia" w:ascii="宋体" w:hAnsi="宋体" w:eastAsia="宋体" w:cs="宋体"/>
          <w:color w:val="auto"/>
          <w:szCs w:val="24"/>
        </w:rPr>
        <w:t>6.4.2 质量检查</w:t>
      </w:r>
      <w:bookmarkEnd w:id="32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ind w:firstLine="480" w:firstLineChars="200"/>
        <w:rPr>
          <w:rFonts w:hint="eastAsia" w:ascii="宋体" w:hAnsi="宋体" w:eastAsia="宋体" w:cs="宋体"/>
          <w:color w:val="auto"/>
          <w:szCs w:val="24"/>
        </w:rPr>
      </w:pPr>
      <w:bookmarkStart w:id="329" w:name="_Ref11959222"/>
      <w:r>
        <w:rPr>
          <w:rFonts w:hint="eastAsia" w:ascii="宋体" w:hAnsi="宋体" w:eastAsia="宋体" w:cs="宋体"/>
          <w:color w:val="auto"/>
          <w:szCs w:val="24"/>
        </w:rPr>
        <w:t>6.4.3 隐蔽工程检查</w:t>
      </w:r>
      <w:bookmarkEnd w:id="32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承包人未通知工程师到场检查，私自将工程隐蔽部位覆盖的，工程师有权指示承包人钻孔探测或揭开检查，无论工程隐蔽部位质量是否合格，由此增加的费用和（或）延误的工期均由承包人承担。</w:t>
      </w:r>
    </w:p>
    <w:bookmarkEnd w:id="322"/>
    <w:p>
      <w:pPr>
        <w:ind w:firstLine="480" w:firstLineChars="200"/>
        <w:rPr>
          <w:rFonts w:hint="eastAsia" w:ascii="宋体" w:hAnsi="宋体" w:eastAsia="宋体" w:cs="宋体"/>
          <w:color w:val="auto"/>
          <w:szCs w:val="24"/>
        </w:rPr>
      </w:pPr>
      <w:bookmarkStart w:id="330" w:name="_Ref11927389"/>
      <w:bookmarkStart w:id="331" w:name="_Ref11927403"/>
      <w:bookmarkStart w:id="332" w:name="_Ref11927398"/>
      <w:bookmarkStart w:id="333" w:name="_Ref11959158"/>
      <w:bookmarkStart w:id="334" w:name="_Toc54862233"/>
      <w:bookmarkStart w:id="335" w:name="_Ref11959175"/>
      <w:r>
        <w:rPr>
          <w:rFonts w:hint="eastAsia" w:ascii="宋体" w:hAnsi="宋体" w:eastAsia="宋体" w:cs="宋体"/>
          <w:color w:val="auto"/>
          <w:szCs w:val="24"/>
        </w:rPr>
        <w:t>6.5 由承包人试验</w:t>
      </w:r>
      <w:bookmarkEnd w:id="330"/>
      <w:bookmarkEnd w:id="331"/>
      <w:bookmarkEnd w:id="332"/>
      <w:r>
        <w:rPr>
          <w:rFonts w:hint="eastAsia" w:ascii="宋体" w:hAnsi="宋体" w:eastAsia="宋体" w:cs="宋体"/>
          <w:color w:val="auto"/>
          <w:szCs w:val="24"/>
        </w:rPr>
        <w:t>和检验</w:t>
      </w:r>
      <w:bookmarkEnd w:id="333"/>
      <w:bookmarkEnd w:id="334"/>
      <w:bookmarkEnd w:id="335"/>
    </w:p>
    <w:bookmarkEnd w:id="323"/>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6.5.1 试验设备与试验人员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承包人应按专用合同条件约定的试验内容、时间和地点提供试验设备、取样装置、试验场所和试验条件，并向工程师提交相应进场计划表。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承包人配置的试验设备要符合相应试验规程的要求并经过具有资质的检测单位检测，且在正式使用该试验设备前，需要经过工程师与承包人共同校定。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承包人应向工程师提交试验人员的名单及其岗位、资格等证明资料，试验人员必须能够熟练进行相应的检测试验，承包人对试验人员的试验程序和试验结果的正确性负责。</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6.5.2 取样</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试验属于自检性质的，承包人可以单独取样。试验属于工程师抽检性质的，可由工程师取样，也可由承包人的试验人员在工程师的监督下取样。</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6.5.3 材料、工程设备和工程的试验和检验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ind w:firstLine="480" w:firstLineChars="200"/>
        <w:rPr>
          <w:rFonts w:hint="eastAsia" w:ascii="宋体" w:hAnsi="宋体" w:eastAsia="宋体" w:cs="宋体"/>
          <w:color w:val="auto"/>
          <w:szCs w:val="24"/>
        </w:rPr>
      </w:pPr>
      <w:bookmarkStart w:id="336" w:name="_Toc351203566"/>
      <w:bookmarkStart w:id="337" w:name="_Toc337558786"/>
      <w:r>
        <w:rPr>
          <w:rFonts w:hint="eastAsia" w:ascii="宋体" w:hAnsi="宋体" w:eastAsia="宋体" w:cs="宋体"/>
          <w:color w:val="auto"/>
          <w:szCs w:val="24"/>
        </w:rPr>
        <w:t>6.5.4 现场工艺试验</w:t>
      </w:r>
      <w:bookmarkEnd w:id="336"/>
    </w:p>
    <w:bookmarkEnd w:id="337"/>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承包人应按合同约定进行现场工艺试验。对大型的现场工艺试验，发包人认为必要时，承包人应根据发包人提出的工艺试验要求，编制工艺试验措施计划，报送发包人审查。</w:t>
      </w:r>
    </w:p>
    <w:p>
      <w:pPr>
        <w:ind w:firstLine="480" w:firstLineChars="200"/>
        <w:rPr>
          <w:rFonts w:hint="eastAsia" w:ascii="宋体" w:hAnsi="宋体" w:eastAsia="宋体" w:cs="宋体"/>
          <w:color w:val="auto"/>
          <w:szCs w:val="24"/>
        </w:rPr>
      </w:pPr>
      <w:bookmarkStart w:id="338" w:name="_Toc54862234"/>
      <w:bookmarkStart w:id="339" w:name="_Ref532592787"/>
      <w:bookmarkStart w:id="340" w:name="_Ref532592784"/>
      <w:r>
        <w:rPr>
          <w:rFonts w:hint="eastAsia" w:ascii="宋体" w:hAnsi="宋体" w:eastAsia="宋体" w:cs="宋体"/>
          <w:color w:val="auto"/>
          <w:szCs w:val="24"/>
        </w:rPr>
        <w:t>6.6 缺陷和修补</w:t>
      </w:r>
      <w:bookmarkEnd w:id="338"/>
      <w:bookmarkEnd w:id="339"/>
      <w:bookmarkEnd w:id="340"/>
    </w:p>
    <w:p>
      <w:pPr>
        <w:ind w:firstLine="480" w:firstLineChars="200"/>
        <w:rPr>
          <w:rFonts w:hint="eastAsia" w:ascii="宋体" w:hAnsi="宋体" w:eastAsia="宋体" w:cs="宋体"/>
          <w:color w:val="auto"/>
          <w:szCs w:val="24"/>
        </w:rPr>
      </w:pPr>
      <w:bookmarkStart w:id="341" w:name="_Ref16875551"/>
      <w:r>
        <w:rPr>
          <w:rFonts w:hint="eastAsia" w:ascii="宋体" w:hAnsi="宋体" w:eastAsia="宋体" w:cs="宋体"/>
          <w:color w:val="auto"/>
          <w:szCs w:val="24"/>
        </w:rPr>
        <w:t>6.6.1 发包人可在颁发接收证书前随时指示承包人：</w:t>
      </w:r>
      <w:bookmarkEnd w:id="34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对不符合合同要求的任何工程设备或材料进行修补，或者将其移出现场并进行更换；</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（2） 对不符合合同的其他工作进行修补，或者将其去除并重新实施； </w:t>
      </w:r>
    </w:p>
    <w:p>
      <w:pPr>
        <w:ind w:firstLine="480" w:firstLineChars="200"/>
        <w:rPr>
          <w:rFonts w:hint="eastAsia" w:ascii="宋体" w:hAnsi="宋体" w:eastAsia="宋体" w:cs="宋体"/>
          <w:color w:val="auto"/>
          <w:szCs w:val="24"/>
        </w:rPr>
      </w:pPr>
      <w:bookmarkStart w:id="342" w:name="_Ref4708991"/>
      <w:r>
        <w:rPr>
          <w:rFonts w:hint="eastAsia" w:ascii="宋体" w:hAnsi="宋体" w:eastAsia="宋体" w:cs="宋体"/>
          <w:color w:val="auto"/>
          <w:szCs w:val="24"/>
        </w:rPr>
        <w:t>（3） 实施因意外、不可预见的事件或其他原因引起的、为工程的安全迫切需要的任何修补工作。</w:t>
      </w:r>
      <w:bookmarkEnd w:id="342"/>
    </w:p>
    <w:p>
      <w:pPr>
        <w:ind w:firstLine="480" w:firstLineChars="200"/>
        <w:rPr>
          <w:rFonts w:hint="eastAsia" w:ascii="宋体" w:hAnsi="宋体" w:eastAsia="宋体" w:cs="宋体"/>
          <w:color w:val="auto"/>
          <w:szCs w:val="24"/>
        </w:rPr>
      </w:pPr>
      <w:bookmarkStart w:id="343" w:name="_Ref11956964"/>
      <w:r>
        <w:rPr>
          <w:rFonts w:hint="eastAsia" w:ascii="宋体" w:hAnsi="宋体" w:eastAsia="宋体" w:cs="宋体"/>
          <w:color w:val="auto"/>
          <w:szCs w:val="24"/>
        </w:rPr>
        <w:t>6.6.2 承包人应遵守第6.6.1项下指示，并在合理可行的情况下，根据上述指示中规定的时间完成修补工作。除因下列原因引起的第6.6.1项第（3）目下的情形外，承包人应承担所有修补工作的费用：</w:t>
      </w:r>
      <w:bookmarkEnd w:id="34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因发包人或其人员的任何行为导致的情形，且在此情况下发包人应承担因此引起的工期延误和承包人费用损失，并向承包人支付合理的利润。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第17.4款[不可抗力后果的承担]中适用的不可抗力事件的情形。</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ind w:firstLine="482" w:firstLineChars="200"/>
        <w:rPr>
          <w:rFonts w:hint="eastAsia" w:ascii="宋体" w:hAnsi="宋体" w:eastAsia="宋体" w:cs="宋体"/>
          <w:b/>
          <w:bCs/>
          <w:color w:val="auto"/>
          <w:szCs w:val="24"/>
        </w:rPr>
      </w:pPr>
      <w:bookmarkStart w:id="344" w:name="_Ref531954214"/>
      <w:bookmarkStart w:id="345" w:name="_Toc54862235"/>
      <w:r>
        <w:rPr>
          <w:rFonts w:hint="eastAsia" w:ascii="宋体" w:hAnsi="宋体" w:eastAsia="宋体" w:cs="宋体"/>
          <w:b/>
          <w:bCs/>
          <w:color w:val="auto"/>
          <w:szCs w:val="24"/>
        </w:rPr>
        <w:t>第7条 施工</w:t>
      </w:r>
      <w:bookmarkEnd w:id="344"/>
      <w:bookmarkEnd w:id="345"/>
    </w:p>
    <w:p>
      <w:pPr>
        <w:ind w:firstLine="480" w:firstLineChars="200"/>
        <w:rPr>
          <w:rFonts w:hint="eastAsia" w:ascii="宋体" w:hAnsi="宋体" w:eastAsia="宋体" w:cs="宋体"/>
          <w:color w:val="auto"/>
          <w:szCs w:val="24"/>
        </w:rPr>
      </w:pPr>
      <w:bookmarkStart w:id="346" w:name="_Ref531954276"/>
      <w:bookmarkStart w:id="347" w:name="_Toc54862236"/>
      <w:bookmarkStart w:id="348" w:name="_Ref531954272"/>
      <w:bookmarkStart w:id="349" w:name="_Ref531954246"/>
      <w:bookmarkStart w:id="350" w:name="_Ref531954260"/>
      <w:r>
        <w:rPr>
          <w:rFonts w:hint="eastAsia" w:ascii="宋体" w:hAnsi="宋体" w:eastAsia="宋体" w:cs="宋体"/>
          <w:color w:val="auto"/>
          <w:szCs w:val="24"/>
        </w:rPr>
        <w:t>7.1 交通运输</w:t>
      </w:r>
      <w:bookmarkEnd w:id="346"/>
      <w:bookmarkEnd w:id="347"/>
      <w:bookmarkEnd w:id="348"/>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351" w:name="_Ref4422645"/>
      <w:r>
        <w:rPr>
          <w:rFonts w:hint="eastAsia" w:ascii="宋体" w:hAnsi="宋体" w:eastAsia="宋体" w:cs="宋体"/>
          <w:color w:val="auto"/>
          <w:szCs w:val="24"/>
        </w:rPr>
        <w:t>7.1.1 出入现场的权利</w:t>
      </w:r>
      <w:bookmarkEnd w:id="35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ind w:firstLine="480" w:firstLineChars="200"/>
        <w:rPr>
          <w:rFonts w:hint="eastAsia" w:ascii="宋体" w:hAnsi="宋体" w:eastAsia="宋体" w:cs="宋体"/>
          <w:color w:val="auto"/>
          <w:szCs w:val="24"/>
        </w:rPr>
      </w:pPr>
      <w:bookmarkStart w:id="352" w:name="_Ref18957045"/>
      <w:r>
        <w:rPr>
          <w:rFonts w:hint="eastAsia" w:ascii="宋体" w:hAnsi="宋体" w:eastAsia="宋体" w:cs="宋体"/>
          <w:color w:val="auto"/>
          <w:szCs w:val="24"/>
        </w:rPr>
        <w:t>7.1.2 场外交通</w:t>
      </w:r>
      <w:bookmarkEnd w:id="35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ind w:firstLine="480" w:firstLineChars="200"/>
        <w:rPr>
          <w:rFonts w:hint="eastAsia" w:ascii="宋体" w:hAnsi="宋体" w:eastAsia="宋体" w:cs="宋体"/>
          <w:color w:val="auto"/>
          <w:szCs w:val="24"/>
        </w:rPr>
      </w:pPr>
      <w:bookmarkStart w:id="353" w:name="_Ref4622358"/>
      <w:r>
        <w:rPr>
          <w:rFonts w:hint="eastAsia" w:ascii="宋体" w:hAnsi="宋体" w:eastAsia="宋体" w:cs="宋体"/>
          <w:color w:val="auto"/>
          <w:szCs w:val="24"/>
        </w:rPr>
        <w:t>7.1.3 场内交通</w:t>
      </w:r>
      <w:bookmarkEnd w:id="35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ind w:firstLine="480" w:firstLineChars="200"/>
        <w:rPr>
          <w:rFonts w:hint="eastAsia" w:ascii="宋体" w:hAnsi="宋体" w:eastAsia="宋体" w:cs="宋体"/>
          <w:color w:val="auto"/>
          <w:szCs w:val="24"/>
        </w:rPr>
      </w:pPr>
      <w:bookmarkStart w:id="354" w:name="_Ref4622376"/>
      <w:r>
        <w:rPr>
          <w:rFonts w:hint="eastAsia" w:ascii="宋体" w:hAnsi="宋体" w:eastAsia="宋体" w:cs="宋体"/>
          <w:color w:val="auto"/>
          <w:szCs w:val="24"/>
        </w:rPr>
        <w:t>7.1.4 超大件和超重件的运输</w:t>
      </w:r>
      <w:bookmarkEnd w:id="35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7.1.5 道路和桥梁的损坏责任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因承包人运输造成施工现场内外公共道路和桥梁损坏的，由承包人承担修复损坏的全部费用和可能引起的赔偿。</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7.1.6 水路和航空运输</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本条上述各款的内容适用于水路运输和航空运输，其中“道路”一词的涵义包括河道、航线、船闸、机场、码头、堤防以及水路或航空运输中其他相似结构物；“车辆”一词的涵义包括船舶和飞机等。</w:t>
      </w:r>
    </w:p>
    <w:p>
      <w:pPr>
        <w:ind w:firstLine="480" w:firstLineChars="200"/>
        <w:rPr>
          <w:rFonts w:hint="eastAsia" w:ascii="宋体" w:hAnsi="宋体" w:eastAsia="宋体" w:cs="宋体"/>
          <w:color w:val="auto"/>
          <w:szCs w:val="24"/>
        </w:rPr>
      </w:pPr>
      <w:bookmarkStart w:id="355" w:name="_Ref11919294"/>
      <w:bookmarkStart w:id="356" w:name="_Ref11919459"/>
      <w:bookmarkStart w:id="357" w:name="_Toc54862237"/>
      <w:r>
        <w:rPr>
          <w:rFonts w:hint="eastAsia" w:ascii="宋体" w:hAnsi="宋体" w:eastAsia="宋体" w:cs="宋体"/>
          <w:color w:val="auto"/>
          <w:szCs w:val="24"/>
        </w:rPr>
        <w:t>7.2 施工设备和临时设施</w:t>
      </w:r>
      <w:bookmarkEnd w:id="349"/>
      <w:bookmarkEnd w:id="350"/>
      <w:bookmarkEnd w:id="355"/>
      <w:bookmarkEnd w:id="356"/>
      <w:bookmarkEnd w:id="357"/>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358" w:name="_Ref18990767"/>
      <w:bookmarkStart w:id="359" w:name="_Ref509043186"/>
      <w:r>
        <w:rPr>
          <w:rFonts w:hint="eastAsia" w:ascii="宋体" w:hAnsi="宋体" w:eastAsia="宋体" w:cs="宋体"/>
          <w:color w:val="auto"/>
          <w:szCs w:val="24"/>
        </w:rPr>
        <w:t>7.2.1 承包人提供的施工设备和临时设施</w:t>
      </w:r>
      <w:bookmarkEnd w:id="35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359"/>
    <w:p>
      <w:pPr>
        <w:ind w:firstLine="480" w:firstLineChars="200"/>
        <w:rPr>
          <w:rFonts w:hint="eastAsia" w:ascii="宋体" w:hAnsi="宋体" w:eastAsia="宋体" w:cs="宋体"/>
          <w:color w:val="auto"/>
          <w:szCs w:val="24"/>
        </w:rPr>
      </w:pPr>
      <w:bookmarkStart w:id="360" w:name="_Ref18990784"/>
      <w:r>
        <w:rPr>
          <w:rFonts w:hint="eastAsia" w:ascii="宋体" w:hAnsi="宋体" w:eastAsia="宋体" w:cs="宋体"/>
          <w:color w:val="auto"/>
          <w:szCs w:val="24"/>
        </w:rPr>
        <w:t>7.2.2 发包人提供的施工设备和临时设施</w:t>
      </w:r>
      <w:bookmarkEnd w:id="36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发包人提供的施工设备或临时设施在专用合同条件中约定。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7.2.3 要求承包人增加或更换施工设备</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承包人使用的施工设备不能满足项目进度计划和（或）质量要求时，工程师有权要求承包人增加或更换施工设备，承包人应及时增加或更换，由此增加的费用和（或）延误的工期由承包人承担。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7.2.4 施工设备和临时设施专用于合同工程</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ind w:firstLine="480" w:firstLineChars="200"/>
        <w:rPr>
          <w:rFonts w:hint="eastAsia" w:ascii="宋体" w:hAnsi="宋体" w:eastAsia="宋体" w:cs="宋体"/>
          <w:color w:val="auto"/>
          <w:szCs w:val="24"/>
        </w:rPr>
      </w:pPr>
      <w:bookmarkStart w:id="361" w:name="_Ref11874352"/>
      <w:bookmarkStart w:id="362" w:name="_Toc54862238"/>
      <w:r>
        <w:rPr>
          <w:rFonts w:hint="eastAsia" w:ascii="宋体" w:hAnsi="宋体" w:eastAsia="宋体" w:cs="宋体"/>
          <w:color w:val="auto"/>
          <w:szCs w:val="24"/>
        </w:rPr>
        <w:t>7.3 现场合作</w:t>
      </w:r>
      <w:bookmarkEnd w:id="361"/>
      <w:bookmarkEnd w:id="36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承包人应按合同约定或发包人的指示，与发包人人员、发包人的其他承包人等人员就在现场或附近实施与工程有关的各项工作进行合作并提供适当条件，包括使用承包人设备、临时工程或进入现场等。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承包人应对其在现场的施工活动负责，并应尽合理努力按合同约定或发包人的指示，协调自身与发包人人员、发包人的其他承包人等人员的活动。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ind w:firstLine="480" w:firstLineChars="200"/>
        <w:rPr>
          <w:rFonts w:hint="eastAsia" w:ascii="宋体" w:hAnsi="宋体" w:eastAsia="宋体" w:cs="宋体"/>
          <w:color w:val="auto"/>
          <w:szCs w:val="24"/>
        </w:rPr>
      </w:pPr>
      <w:bookmarkStart w:id="363" w:name="_Ref531954285"/>
      <w:bookmarkStart w:id="364" w:name="_Ref531954287"/>
      <w:bookmarkStart w:id="365" w:name="_Toc54862239"/>
      <w:r>
        <w:rPr>
          <w:rFonts w:hint="eastAsia" w:ascii="宋体" w:hAnsi="宋体" w:eastAsia="宋体" w:cs="宋体"/>
          <w:color w:val="auto"/>
          <w:szCs w:val="24"/>
        </w:rPr>
        <w:t>7.4 测量放线</w:t>
      </w:r>
      <w:bookmarkEnd w:id="363"/>
      <w:bookmarkEnd w:id="364"/>
      <w:bookmarkEnd w:id="36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ind w:firstLine="480" w:firstLineChars="200"/>
        <w:rPr>
          <w:rFonts w:hint="eastAsia" w:ascii="宋体" w:hAnsi="宋体" w:eastAsia="宋体" w:cs="宋体"/>
          <w:color w:val="auto"/>
          <w:szCs w:val="24"/>
        </w:rPr>
      </w:pPr>
      <w:bookmarkStart w:id="366" w:name="_Toc54862240"/>
      <w:bookmarkStart w:id="367" w:name="_Ref531954329"/>
      <w:bookmarkStart w:id="368" w:name="_Ref531954323"/>
      <w:bookmarkStart w:id="369" w:name="_Ref4770992"/>
      <w:r>
        <w:rPr>
          <w:rFonts w:hint="eastAsia" w:ascii="宋体" w:hAnsi="宋体" w:eastAsia="宋体" w:cs="宋体"/>
          <w:color w:val="auto"/>
          <w:szCs w:val="24"/>
        </w:rPr>
        <w:t>7.5 现场劳动用工</w:t>
      </w:r>
      <w:bookmarkEnd w:id="36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7.5.3 承包人应当按照相关法律法规的要求，进行劳动用工管理和建筑工人工资支付。</w:t>
      </w:r>
    </w:p>
    <w:p>
      <w:pPr>
        <w:ind w:firstLine="480" w:firstLineChars="200"/>
        <w:rPr>
          <w:rFonts w:hint="eastAsia" w:ascii="宋体" w:hAnsi="宋体" w:eastAsia="宋体" w:cs="宋体"/>
          <w:color w:val="auto"/>
          <w:szCs w:val="24"/>
        </w:rPr>
      </w:pPr>
      <w:bookmarkStart w:id="370" w:name="_Toc54862241"/>
      <w:bookmarkStart w:id="371" w:name="_Ref41554059"/>
      <w:r>
        <w:rPr>
          <w:rFonts w:hint="eastAsia" w:ascii="宋体" w:hAnsi="宋体" w:eastAsia="宋体" w:cs="宋体"/>
          <w:color w:val="auto"/>
          <w:szCs w:val="24"/>
        </w:rPr>
        <w:t>7.6 安全文明施工</w:t>
      </w:r>
      <w:bookmarkEnd w:id="367"/>
      <w:bookmarkEnd w:id="368"/>
      <w:bookmarkEnd w:id="369"/>
      <w:bookmarkEnd w:id="370"/>
      <w:bookmarkEnd w:id="371"/>
    </w:p>
    <w:p>
      <w:pPr>
        <w:ind w:firstLine="480" w:firstLineChars="200"/>
        <w:rPr>
          <w:rFonts w:hint="eastAsia" w:ascii="宋体" w:hAnsi="宋体" w:eastAsia="宋体" w:cs="宋体"/>
          <w:color w:val="auto"/>
          <w:szCs w:val="24"/>
        </w:rPr>
      </w:pPr>
      <w:bookmarkStart w:id="372" w:name="_Ref18990822"/>
      <w:r>
        <w:rPr>
          <w:rFonts w:hint="eastAsia" w:ascii="宋体" w:hAnsi="宋体" w:eastAsia="宋体" w:cs="宋体"/>
          <w:color w:val="auto"/>
          <w:szCs w:val="24"/>
        </w:rPr>
        <w:t>7.6.1 安全生产要求</w:t>
      </w:r>
      <w:bookmarkEnd w:id="37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因安全生产需要暂停施工的，按照第8.9款[暂停工作]的约定执行。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7.6.2 安全生产保证措施</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ind w:firstLine="480" w:firstLineChars="200"/>
        <w:rPr>
          <w:rFonts w:hint="eastAsia" w:ascii="宋体" w:hAnsi="宋体" w:eastAsia="宋体" w:cs="宋体"/>
          <w:color w:val="auto"/>
          <w:szCs w:val="24"/>
        </w:rPr>
      </w:pPr>
      <w:bookmarkStart w:id="373" w:name="_Ref18990840"/>
      <w:r>
        <w:rPr>
          <w:rFonts w:hint="eastAsia" w:ascii="宋体" w:hAnsi="宋体" w:eastAsia="宋体" w:cs="宋体"/>
          <w:color w:val="auto"/>
          <w:szCs w:val="24"/>
        </w:rPr>
        <w:t>7.6.3 文明施工</w:t>
      </w:r>
      <w:bookmarkEnd w:id="37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7.6.4 事故处理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7.6.5 安全生产责任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发包人应负责赔偿以下各种情况造成的损失：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工程或工程的任何部分对土地的占用所造成的第三者财产损失；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由于发包人原因在施工现场及其毗邻地带、履行合同工作中造成的第三者人身伤亡和财产损失；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由于发包人原因对发包人自身、承包人、工程师造成的人身伤害和财产损失。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承包人应负责赔偿由于承包人原因在施工现场及其毗邻地带、履行合同工作中造成的第三者人身伤亡和财产损失。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如果上述损失是由于发包人和承包人共同原因导致的，则双方应根据过错情况按比例承担。</w:t>
      </w:r>
    </w:p>
    <w:p>
      <w:pPr>
        <w:ind w:firstLine="480" w:firstLineChars="200"/>
        <w:rPr>
          <w:rFonts w:hint="eastAsia" w:ascii="宋体" w:hAnsi="宋体" w:eastAsia="宋体" w:cs="宋体"/>
          <w:color w:val="auto"/>
          <w:szCs w:val="24"/>
        </w:rPr>
      </w:pPr>
      <w:bookmarkStart w:id="374" w:name="_Ref11874562"/>
      <w:bookmarkStart w:id="375" w:name="_Ref41554069"/>
      <w:bookmarkStart w:id="376" w:name="_Toc54862242"/>
      <w:r>
        <w:rPr>
          <w:rFonts w:hint="eastAsia" w:ascii="宋体" w:hAnsi="宋体" w:eastAsia="宋体" w:cs="宋体"/>
          <w:color w:val="auto"/>
          <w:szCs w:val="24"/>
        </w:rPr>
        <w:t>7.7 职业健康</w:t>
      </w:r>
      <w:bookmarkEnd w:id="374"/>
      <w:bookmarkEnd w:id="375"/>
      <w:bookmarkEnd w:id="37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承包人应遵守适用的职业健康的法律和合同约定（包括对雇用、职业健康、安全、福利等方面的规定），负责现场实施过程中其人员的职业健康和保护，包括：</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承包人应依法为承包人</w:t>
      </w:r>
      <w:bookmarkStart w:id="377" w:name="_Hlk46339538"/>
      <w:r>
        <w:rPr>
          <w:rFonts w:hint="eastAsia" w:ascii="宋体" w:hAnsi="宋体" w:eastAsia="宋体" w:cs="宋体"/>
          <w:color w:val="auto"/>
          <w:szCs w:val="24"/>
        </w:rPr>
        <w:t>员工及承包人聘用的第三方人员</w:t>
      </w:r>
      <w:bookmarkEnd w:id="377"/>
      <w:r>
        <w:rPr>
          <w:rFonts w:hint="eastAsia" w:ascii="宋体" w:hAnsi="宋体" w:eastAsia="宋体" w:cs="宋体"/>
          <w:color w:val="auto"/>
          <w:szCs w:val="24"/>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ind w:firstLine="480" w:firstLineChars="200"/>
        <w:rPr>
          <w:rFonts w:hint="eastAsia" w:ascii="宋体" w:hAnsi="宋体" w:eastAsia="宋体" w:cs="宋体"/>
          <w:color w:val="auto"/>
          <w:szCs w:val="24"/>
        </w:rPr>
      </w:pPr>
      <w:bookmarkStart w:id="378" w:name="_Ref11874570"/>
      <w:bookmarkStart w:id="379" w:name="_Toc54862243"/>
      <w:r>
        <w:rPr>
          <w:rFonts w:hint="eastAsia" w:ascii="宋体" w:hAnsi="宋体" w:eastAsia="宋体" w:cs="宋体"/>
          <w:color w:val="auto"/>
          <w:szCs w:val="24"/>
        </w:rPr>
        <w:t>7.8 环境保护</w:t>
      </w:r>
      <w:bookmarkEnd w:id="378"/>
      <w:bookmarkEnd w:id="37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7.8.2 承包人应采取措施，并负责控制和（或）处理现场的粉尘、废气、废水、固体废物和噪声对环境的污染和危害。因此发生的伤害、赔偿、罚款等费用增加，和（或）竣工日期延误，由承包人负责。</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ind w:firstLine="480" w:firstLineChars="200"/>
        <w:rPr>
          <w:rFonts w:hint="eastAsia" w:ascii="宋体" w:hAnsi="宋体" w:eastAsia="宋体" w:cs="宋体"/>
          <w:color w:val="auto"/>
          <w:szCs w:val="24"/>
        </w:rPr>
      </w:pPr>
      <w:bookmarkStart w:id="380" w:name="_Ref531954340"/>
      <w:bookmarkStart w:id="381" w:name="_Ref531954344"/>
      <w:bookmarkStart w:id="382" w:name="_Toc54862244"/>
      <w:bookmarkStart w:id="383" w:name="_Ref4771116"/>
      <w:r>
        <w:rPr>
          <w:rFonts w:hint="eastAsia" w:ascii="宋体" w:hAnsi="宋体" w:eastAsia="宋体" w:cs="宋体"/>
          <w:color w:val="auto"/>
          <w:szCs w:val="24"/>
        </w:rPr>
        <w:t>7.9 临时性公用设施</w:t>
      </w:r>
      <w:bookmarkEnd w:id="380"/>
      <w:bookmarkEnd w:id="381"/>
      <w:bookmarkEnd w:id="382"/>
      <w:r>
        <w:rPr>
          <w:rFonts w:hint="eastAsia" w:ascii="宋体" w:hAnsi="宋体" w:eastAsia="宋体" w:cs="宋体"/>
          <w:color w:val="auto"/>
          <w:szCs w:val="24"/>
        </w:rPr>
        <w:t xml:space="preserve"> </w:t>
      </w:r>
      <w:bookmarkEnd w:id="38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7.9.1 提供临时用水、用电等和节点铺设</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7.9.2 临时用水、用电等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因承包人未能按合同约定提交上述资料，造成发包人费用增加和竣工日期延误时，由承包人负责。</w:t>
      </w:r>
      <w:bookmarkStart w:id="384" w:name="_Ref508893743"/>
    </w:p>
    <w:p>
      <w:pPr>
        <w:ind w:firstLine="480" w:firstLineChars="200"/>
        <w:rPr>
          <w:rFonts w:hint="eastAsia" w:ascii="宋体" w:hAnsi="宋体" w:eastAsia="宋体" w:cs="宋体"/>
          <w:color w:val="auto"/>
          <w:szCs w:val="24"/>
        </w:rPr>
      </w:pPr>
      <w:bookmarkStart w:id="385" w:name="_Ref531952248"/>
      <w:bookmarkStart w:id="386" w:name="_Ref531952239"/>
      <w:bookmarkStart w:id="387" w:name="_Toc54862245"/>
      <w:r>
        <w:rPr>
          <w:rFonts w:hint="eastAsia" w:ascii="宋体" w:hAnsi="宋体" w:eastAsia="宋体" w:cs="宋体"/>
          <w:color w:val="auto"/>
          <w:szCs w:val="24"/>
        </w:rPr>
        <w:t>7.10 现场安保</w:t>
      </w:r>
      <w:bookmarkEnd w:id="385"/>
      <w:bookmarkEnd w:id="386"/>
      <w:bookmarkEnd w:id="38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承包人应将其作业限制在现场区域、合同约定的区域或为履行合同所需的区域内。承包人应采取一切必要的预防措施，以保持承包人的设备和人员处于现场区域内，避免其进入邻近地区。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承包人为履行合同义务而占用的其他场所（如预制加工场所、办公及生活营区） 的安保适用本款前述关于现场安保的规定。</w:t>
      </w:r>
    </w:p>
    <w:p>
      <w:pPr>
        <w:ind w:firstLine="480" w:firstLineChars="200"/>
        <w:rPr>
          <w:rFonts w:hint="eastAsia" w:ascii="宋体" w:hAnsi="宋体" w:eastAsia="宋体" w:cs="宋体"/>
          <w:color w:val="auto"/>
          <w:szCs w:val="24"/>
        </w:rPr>
      </w:pPr>
      <w:bookmarkStart w:id="388" w:name="_Toc54862246"/>
      <w:r>
        <w:rPr>
          <w:rFonts w:hint="eastAsia" w:ascii="宋体" w:hAnsi="宋体" w:eastAsia="宋体" w:cs="宋体"/>
          <w:color w:val="auto"/>
          <w:szCs w:val="24"/>
        </w:rPr>
        <w:t>7.11 工程照管</w:t>
      </w:r>
      <w:bookmarkEnd w:id="38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自开始现场施工日期起至发包人应当接收工程之日止，承包人应承担工程现场、材料、设备及承包人文件的照管和维护工作。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如部分工程于竣工验收前提前交付发包人的，则自交付之日起，该部分工程照管及维护职责由发包人承担。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如发包人及承包人进行竣工验收时尚有部分未竣工工程的，承包人应负责该未竣工工程的照管和维护工作，直至竣工后移交给发包人。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如合同解除或终止的，承包人自合同解除或终止之日起不再对工程承担照管和维护义务。</w:t>
      </w:r>
    </w:p>
    <w:p>
      <w:pPr>
        <w:ind w:firstLine="482" w:firstLineChars="200"/>
        <w:rPr>
          <w:rFonts w:hint="eastAsia" w:ascii="宋体" w:hAnsi="宋体" w:eastAsia="宋体" w:cs="宋体"/>
          <w:b/>
          <w:bCs/>
          <w:color w:val="auto"/>
          <w:szCs w:val="24"/>
        </w:rPr>
      </w:pPr>
      <w:bookmarkStart w:id="389" w:name="_Toc54862247"/>
      <w:bookmarkStart w:id="390" w:name="_Ref508998009"/>
      <w:bookmarkStart w:id="391" w:name="_Ref531954505"/>
      <w:bookmarkStart w:id="392" w:name="_Ref531954518"/>
      <w:r>
        <w:rPr>
          <w:rFonts w:hint="eastAsia" w:ascii="宋体" w:hAnsi="宋体" w:eastAsia="宋体" w:cs="宋体"/>
          <w:b/>
          <w:bCs/>
          <w:color w:val="auto"/>
          <w:szCs w:val="24"/>
        </w:rPr>
        <w:t>第8条 工期和进度</w:t>
      </w:r>
      <w:bookmarkEnd w:id="389"/>
      <w:bookmarkEnd w:id="390"/>
    </w:p>
    <w:p>
      <w:pPr>
        <w:ind w:firstLine="480" w:firstLineChars="200"/>
        <w:rPr>
          <w:rFonts w:hint="eastAsia" w:ascii="宋体" w:hAnsi="宋体" w:eastAsia="宋体" w:cs="宋体"/>
          <w:color w:val="auto"/>
          <w:szCs w:val="24"/>
        </w:rPr>
      </w:pPr>
      <w:bookmarkStart w:id="393" w:name="_Ref532362072"/>
      <w:bookmarkStart w:id="394" w:name="_Ref532362777"/>
      <w:bookmarkStart w:id="395" w:name="_Ref532362075"/>
      <w:bookmarkStart w:id="396" w:name="_Toc54862248"/>
      <w:bookmarkStart w:id="397" w:name="_Ref532362774"/>
      <w:r>
        <w:rPr>
          <w:rFonts w:hint="eastAsia" w:ascii="宋体" w:hAnsi="宋体" w:eastAsia="宋体" w:cs="宋体"/>
          <w:color w:val="auto"/>
          <w:szCs w:val="24"/>
        </w:rPr>
        <w:t>8.1 开始工作</w:t>
      </w:r>
      <w:bookmarkEnd w:id="393"/>
      <w:bookmarkEnd w:id="394"/>
      <w:bookmarkEnd w:id="395"/>
      <w:bookmarkEnd w:id="396"/>
      <w:bookmarkEnd w:id="397"/>
    </w:p>
    <w:p>
      <w:pPr>
        <w:ind w:firstLine="480" w:firstLineChars="200"/>
        <w:rPr>
          <w:rFonts w:hint="eastAsia" w:ascii="宋体" w:hAnsi="宋体" w:eastAsia="宋体" w:cs="宋体"/>
          <w:color w:val="auto"/>
          <w:szCs w:val="24"/>
        </w:rPr>
      </w:pPr>
      <w:bookmarkStart w:id="398" w:name="_Ref4428890"/>
      <w:r>
        <w:rPr>
          <w:rFonts w:hint="eastAsia" w:ascii="宋体" w:hAnsi="宋体" w:eastAsia="宋体" w:cs="宋体"/>
          <w:color w:val="auto"/>
          <w:szCs w:val="24"/>
        </w:rPr>
        <w:t>8.1.1 开始工作准备</w:t>
      </w:r>
      <w:bookmarkEnd w:id="39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合同当事人应按专用合同条件约定完成开始工作准备工作。</w:t>
      </w:r>
    </w:p>
    <w:p>
      <w:pPr>
        <w:ind w:firstLine="480" w:firstLineChars="200"/>
        <w:rPr>
          <w:rFonts w:hint="eastAsia" w:ascii="宋体" w:hAnsi="宋体" w:eastAsia="宋体" w:cs="宋体"/>
          <w:color w:val="auto"/>
          <w:szCs w:val="24"/>
        </w:rPr>
      </w:pPr>
      <w:bookmarkStart w:id="399" w:name="_Ref536790534"/>
      <w:bookmarkStart w:id="400" w:name="_Hlk51506490"/>
      <w:r>
        <w:rPr>
          <w:rFonts w:hint="eastAsia" w:ascii="宋体" w:hAnsi="宋体" w:eastAsia="宋体" w:cs="宋体"/>
          <w:color w:val="auto"/>
          <w:szCs w:val="24"/>
        </w:rPr>
        <w:t>8.1.2 开始工作通知</w:t>
      </w:r>
      <w:bookmarkEnd w:id="399"/>
    </w:p>
    <w:bookmarkEnd w:id="400"/>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经发包人同意后，工程师应提前7天向承包人发出经发包人签认的开始工作通知，工期自开始工作通知中载明的开始工作日期起算。</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除专用合同条件另有约定外，因发包人原因造成实际开始现场施工日期迟于</w:t>
      </w:r>
      <w:bookmarkStart w:id="401" w:name="_Hlk51506566"/>
      <w:r>
        <w:rPr>
          <w:rFonts w:hint="eastAsia" w:ascii="宋体" w:hAnsi="宋体" w:eastAsia="宋体" w:cs="宋体"/>
          <w:color w:val="auto"/>
          <w:szCs w:val="24"/>
        </w:rPr>
        <w:t>计划开始现场施工日期</w:t>
      </w:r>
      <w:bookmarkEnd w:id="401"/>
      <w:r>
        <w:rPr>
          <w:rFonts w:hint="eastAsia" w:ascii="宋体" w:hAnsi="宋体" w:eastAsia="宋体" w:cs="宋体"/>
          <w:color w:val="auto"/>
          <w:szCs w:val="24"/>
        </w:rPr>
        <w:t>后第84天的，承包人有权提出价格调整要求，或者解除合同。发包人应当承担由此增加的费用和（或）延误的工期，并向承包人支付合理利润。</w:t>
      </w:r>
    </w:p>
    <w:p>
      <w:pPr>
        <w:ind w:firstLine="480" w:firstLineChars="200"/>
        <w:rPr>
          <w:rFonts w:hint="eastAsia" w:ascii="宋体" w:hAnsi="宋体" w:eastAsia="宋体" w:cs="宋体"/>
          <w:color w:val="auto"/>
          <w:szCs w:val="24"/>
        </w:rPr>
      </w:pPr>
      <w:bookmarkStart w:id="402" w:name="_Toc54862249"/>
      <w:bookmarkStart w:id="403" w:name="_Ref532362124"/>
      <w:r>
        <w:rPr>
          <w:rFonts w:hint="eastAsia" w:ascii="宋体" w:hAnsi="宋体" w:eastAsia="宋体" w:cs="宋体"/>
          <w:color w:val="auto"/>
          <w:szCs w:val="24"/>
        </w:rPr>
        <w:t>8.2 竣工日期</w:t>
      </w:r>
      <w:bookmarkEnd w:id="402"/>
      <w:bookmarkEnd w:id="403"/>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承包人应在合同协议书约定的工期内完成合同工作。除专用合同条件另有约定外，工程的竣工日期以第10.1条[竣工验收]的约定为准，并在工程接收证书中写明。</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因发包人原因，在工程师收到承包人竣工验收申请报告42天后未进行验收的，视为验收合格，实际竣工日期以提交竣工验收申请报告的日期为准，但发包人由于不可抗力不能进行验收的除外。</w:t>
      </w:r>
    </w:p>
    <w:p>
      <w:pPr>
        <w:ind w:firstLine="480" w:firstLineChars="200"/>
        <w:rPr>
          <w:rFonts w:hint="eastAsia" w:ascii="宋体" w:hAnsi="宋体" w:eastAsia="宋体" w:cs="宋体"/>
          <w:color w:val="auto"/>
          <w:szCs w:val="24"/>
        </w:rPr>
      </w:pPr>
      <w:bookmarkStart w:id="404" w:name="_Ref11863334"/>
      <w:bookmarkStart w:id="405" w:name="_Toc54862250"/>
      <w:bookmarkStart w:id="406" w:name="_Ref532362204"/>
      <w:bookmarkStart w:id="407" w:name="_Ref532352853"/>
      <w:bookmarkStart w:id="408" w:name="_Ref532362207"/>
      <w:bookmarkStart w:id="409" w:name="_Ref532352856"/>
      <w:r>
        <w:rPr>
          <w:rFonts w:hint="eastAsia" w:ascii="宋体" w:hAnsi="宋体" w:eastAsia="宋体" w:cs="宋体"/>
          <w:color w:val="auto"/>
          <w:szCs w:val="24"/>
        </w:rPr>
        <w:t>8.3 项目实施计划</w:t>
      </w:r>
      <w:bookmarkEnd w:id="404"/>
      <w:bookmarkEnd w:id="405"/>
    </w:p>
    <w:p>
      <w:pPr>
        <w:ind w:firstLine="480" w:firstLineChars="200"/>
        <w:rPr>
          <w:rFonts w:hint="eastAsia" w:ascii="宋体" w:hAnsi="宋体" w:eastAsia="宋体" w:cs="宋体"/>
          <w:color w:val="auto"/>
          <w:szCs w:val="24"/>
        </w:rPr>
      </w:pPr>
      <w:bookmarkStart w:id="410" w:name="_Ref18990904"/>
      <w:r>
        <w:rPr>
          <w:rFonts w:hint="eastAsia" w:ascii="宋体" w:hAnsi="宋体" w:eastAsia="宋体" w:cs="宋体"/>
          <w:color w:val="auto"/>
          <w:szCs w:val="24"/>
        </w:rPr>
        <w:t>8.3.1 项目实施计划的内容</w:t>
      </w:r>
      <w:bookmarkEnd w:id="41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ind w:firstLine="480" w:firstLineChars="200"/>
        <w:rPr>
          <w:rFonts w:hint="eastAsia" w:ascii="宋体" w:hAnsi="宋体" w:eastAsia="宋体" w:cs="宋体"/>
          <w:color w:val="auto"/>
          <w:szCs w:val="24"/>
        </w:rPr>
      </w:pPr>
      <w:bookmarkStart w:id="411" w:name="_Ref18990921"/>
      <w:r>
        <w:rPr>
          <w:rFonts w:hint="eastAsia" w:ascii="宋体" w:hAnsi="宋体" w:eastAsia="宋体" w:cs="宋体"/>
          <w:color w:val="auto"/>
          <w:szCs w:val="24"/>
        </w:rPr>
        <w:t>8.3.2 项目实施计划的提交和修改</w:t>
      </w:r>
      <w:bookmarkEnd w:id="41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项目进度计划的编制和修改按照第8.4款[项目进度计划]执行。</w:t>
      </w:r>
    </w:p>
    <w:p>
      <w:pPr>
        <w:ind w:firstLine="480" w:firstLineChars="200"/>
        <w:rPr>
          <w:rFonts w:hint="eastAsia" w:ascii="宋体" w:hAnsi="宋体" w:eastAsia="宋体" w:cs="宋体"/>
          <w:color w:val="auto"/>
          <w:szCs w:val="24"/>
        </w:rPr>
      </w:pPr>
      <w:bookmarkStart w:id="412" w:name="_Ref11865507"/>
      <w:bookmarkStart w:id="413" w:name="_Toc54862251"/>
      <w:r>
        <w:rPr>
          <w:rFonts w:hint="eastAsia" w:ascii="宋体" w:hAnsi="宋体" w:eastAsia="宋体" w:cs="宋体"/>
          <w:color w:val="auto"/>
          <w:szCs w:val="24"/>
        </w:rPr>
        <w:t>8.4 项目进度计划</w:t>
      </w:r>
      <w:bookmarkEnd w:id="406"/>
      <w:bookmarkEnd w:id="407"/>
      <w:bookmarkEnd w:id="408"/>
      <w:bookmarkEnd w:id="409"/>
      <w:bookmarkEnd w:id="412"/>
      <w:bookmarkEnd w:id="413"/>
    </w:p>
    <w:p>
      <w:pPr>
        <w:ind w:firstLine="480" w:firstLineChars="200"/>
        <w:rPr>
          <w:rFonts w:hint="eastAsia" w:ascii="宋体" w:hAnsi="宋体" w:eastAsia="宋体" w:cs="宋体"/>
          <w:color w:val="auto"/>
          <w:szCs w:val="24"/>
        </w:rPr>
      </w:pPr>
      <w:bookmarkStart w:id="414" w:name="_Ref4681217"/>
      <w:r>
        <w:rPr>
          <w:rFonts w:hint="eastAsia" w:ascii="宋体" w:hAnsi="宋体" w:eastAsia="宋体" w:cs="宋体"/>
          <w:color w:val="auto"/>
          <w:szCs w:val="24"/>
        </w:rPr>
        <w:t>8.4.1 项目进度计划的提交和修改</w:t>
      </w:r>
      <w:bookmarkEnd w:id="41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ind w:firstLine="480" w:firstLineChars="200"/>
        <w:rPr>
          <w:rFonts w:hint="eastAsia" w:ascii="宋体" w:hAnsi="宋体" w:eastAsia="宋体" w:cs="宋体"/>
          <w:color w:val="auto"/>
          <w:szCs w:val="24"/>
        </w:rPr>
      </w:pPr>
      <w:bookmarkStart w:id="415" w:name="_Ref4429079"/>
      <w:r>
        <w:rPr>
          <w:rFonts w:hint="eastAsia" w:ascii="宋体" w:hAnsi="宋体" w:eastAsia="宋体" w:cs="宋体"/>
          <w:color w:val="auto"/>
          <w:szCs w:val="24"/>
        </w:rPr>
        <w:t>8.4.2 项目进度计划的内容</w:t>
      </w:r>
      <w:bookmarkEnd w:id="41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ind w:firstLine="480" w:firstLineChars="200"/>
        <w:rPr>
          <w:rFonts w:hint="eastAsia" w:ascii="宋体" w:hAnsi="宋体" w:eastAsia="宋体" w:cs="宋体"/>
          <w:color w:val="auto"/>
          <w:szCs w:val="24"/>
        </w:rPr>
      </w:pPr>
      <w:bookmarkStart w:id="416" w:name="_Ref3848203"/>
      <w:r>
        <w:rPr>
          <w:rFonts w:hint="eastAsia" w:ascii="宋体" w:hAnsi="宋体" w:eastAsia="宋体" w:cs="宋体"/>
          <w:color w:val="auto"/>
          <w:szCs w:val="24"/>
        </w:rPr>
        <w:t>8.4.3 项目进度计划的修订</w:t>
      </w:r>
      <w:bookmarkEnd w:id="41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除合同当事人另有约定外，项目进度计划的修订并不能减轻或者免除双方按第8.7款[工期延误]、第8.8款[工期提前]、第8.9款[暂停工作]应承担的合同责任。</w:t>
      </w:r>
    </w:p>
    <w:p>
      <w:pPr>
        <w:ind w:firstLine="480" w:firstLineChars="200"/>
        <w:rPr>
          <w:rFonts w:hint="eastAsia" w:ascii="宋体" w:hAnsi="宋体" w:eastAsia="宋体" w:cs="宋体"/>
          <w:color w:val="auto"/>
          <w:szCs w:val="24"/>
        </w:rPr>
      </w:pPr>
      <w:bookmarkStart w:id="417" w:name="_Ref532362276"/>
      <w:bookmarkStart w:id="418" w:name="_Ref532362278"/>
      <w:bookmarkStart w:id="419" w:name="_Toc54862252"/>
      <w:r>
        <w:rPr>
          <w:rFonts w:hint="eastAsia" w:ascii="宋体" w:hAnsi="宋体" w:eastAsia="宋体" w:cs="宋体"/>
          <w:color w:val="auto"/>
          <w:szCs w:val="24"/>
        </w:rPr>
        <w:t>8.5 进度报告</w:t>
      </w:r>
      <w:bookmarkEnd w:id="417"/>
      <w:bookmarkEnd w:id="418"/>
      <w:bookmarkEnd w:id="41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项目实施过程中，承包人应进行实际进度记录，并根据工程师的要求编制月进度报告，并提交给工程师。进度报告应包含以下主要内容：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工程设计、采购、施工等各个工作内容的进展报告；</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工程施工方法的一般说明；</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当月工程实施介入的项目人员、设备和材料的预估明细报告；</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（4） 当月实际进度与进度计划对比分析，以及提出未来可能引起工期延误的情形，同时提出应对措施；需要修订项目进度计划的，应对项目进度计划的修订部分进行说明；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承包人对于解决工期延误所提出的建议；</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其他与工程有关的重大事项。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进度报告的具体要求等，在专用合同条件约定。</w:t>
      </w:r>
    </w:p>
    <w:p>
      <w:pPr>
        <w:ind w:firstLine="480" w:firstLineChars="200"/>
        <w:rPr>
          <w:rFonts w:hint="eastAsia" w:ascii="宋体" w:hAnsi="宋体" w:eastAsia="宋体" w:cs="宋体"/>
          <w:color w:val="auto"/>
          <w:szCs w:val="24"/>
        </w:rPr>
      </w:pPr>
      <w:bookmarkStart w:id="420" w:name="_Toc54862253"/>
      <w:r>
        <w:rPr>
          <w:rFonts w:hint="eastAsia" w:ascii="宋体" w:hAnsi="宋体" w:eastAsia="宋体" w:cs="宋体"/>
          <w:color w:val="auto"/>
          <w:szCs w:val="24"/>
        </w:rPr>
        <w:t>8.6 提前预警</w:t>
      </w:r>
      <w:bookmarkEnd w:id="42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任何一方应当在下列情形发生时尽快书面通知另一方：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该情形可能对合同的履行或实现合同目的产生不利影响；</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该情形可能对工程完成后的使用产生不利影响；</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该情形可能导致合同价款增加；</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该情形可能导致整个工程或单位/区段工程的工期延长。</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发包人有权要求承包人根据第13.2款[承包人的合理化建议]的约定提交变更建议，采取措施尽量避免或最小化上述情形的发生或影响。</w:t>
      </w:r>
    </w:p>
    <w:p>
      <w:pPr>
        <w:ind w:firstLine="480" w:firstLineChars="200"/>
        <w:rPr>
          <w:rFonts w:hint="eastAsia" w:ascii="宋体" w:hAnsi="宋体" w:eastAsia="宋体" w:cs="宋体"/>
          <w:color w:val="auto"/>
          <w:szCs w:val="24"/>
        </w:rPr>
      </w:pPr>
      <w:bookmarkStart w:id="421" w:name="_Toc4784174"/>
      <w:bookmarkEnd w:id="421"/>
      <w:bookmarkStart w:id="422" w:name="_Toc4784162"/>
      <w:bookmarkEnd w:id="422"/>
      <w:bookmarkStart w:id="423" w:name="_Toc4784154"/>
      <w:bookmarkEnd w:id="423"/>
      <w:bookmarkStart w:id="424" w:name="_Toc4784159"/>
      <w:bookmarkEnd w:id="424"/>
      <w:bookmarkStart w:id="425" w:name="_Toc4784169"/>
      <w:bookmarkEnd w:id="425"/>
      <w:bookmarkStart w:id="426" w:name="_Toc4784168"/>
      <w:bookmarkEnd w:id="426"/>
      <w:bookmarkStart w:id="427" w:name="_Toc4784164"/>
      <w:bookmarkEnd w:id="427"/>
      <w:bookmarkStart w:id="428" w:name="_Toc4784167"/>
      <w:bookmarkEnd w:id="428"/>
      <w:bookmarkStart w:id="429" w:name="_Toc4784156"/>
      <w:bookmarkEnd w:id="429"/>
      <w:bookmarkStart w:id="430" w:name="_Toc4784172"/>
      <w:bookmarkEnd w:id="430"/>
      <w:bookmarkStart w:id="431" w:name="_Toc4784163"/>
      <w:bookmarkEnd w:id="431"/>
      <w:bookmarkStart w:id="432" w:name="_Toc4784171"/>
      <w:bookmarkEnd w:id="432"/>
      <w:bookmarkStart w:id="433" w:name="_Toc4784157"/>
      <w:bookmarkEnd w:id="433"/>
      <w:bookmarkStart w:id="434" w:name="_Toc4784170"/>
      <w:bookmarkEnd w:id="434"/>
      <w:bookmarkStart w:id="435" w:name="_Toc4784155"/>
      <w:bookmarkEnd w:id="435"/>
      <w:bookmarkStart w:id="436" w:name="_Toc4784166"/>
      <w:bookmarkEnd w:id="436"/>
      <w:bookmarkStart w:id="437" w:name="_Toc4784161"/>
      <w:bookmarkEnd w:id="437"/>
      <w:bookmarkStart w:id="438" w:name="_Toc4784158"/>
      <w:bookmarkEnd w:id="438"/>
      <w:bookmarkStart w:id="439" w:name="_Toc4784160"/>
      <w:bookmarkEnd w:id="439"/>
      <w:bookmarkStart w:id="440" w:name="_Toc4784165"/>
      <w:bookmarkEnd w:id="440"/>
      <w:bookmarkStart w:id="441" w:name="_Toc4784173"/>
      <w:bookmarkEnd w:id="441"/>
      <w:bookmarkStart w:id="442" w:name="_Toc4784175"/>
      <w:bookmarkEnd w:id="442"/>
      <w:bookmarkStart w:id="443" w:name="_Ref4770106"/>
      <w:bookmarkStart w:id="444" w:name="_Toc54862254"/>
      <w:bookmarkStart w:id="445" w:name="_Ref532362359"/>
      <w:bookmarkStart w:id="446" w:name="_Ref532362356"/>
      <w:r>
        <w:rPr>
          <w:rFonts w:hint="eastAsia" w:ascii="宋体" w:hAnsi="宋体" w:eastAsia="宋体" w:cs="宋体"/>
          <w:color w:val="auto"/>
          <w:szCs w:val="24"/>
        </w:rPr>
        <w:t>8.7 工期延误</w:t>
      </w:r>
      <w:bookmarkEnd w:id="443"/>
      <w:bookmarkEnd w:id="444"/>
    </w:p>
    <w:p>
      <w:pPr>
        <w:ind w:firstLine="480" w:firstLineChars="200"/>
        <w:rPr>
          <w:rFonts w:hint="eastAsia" w:ascii="宋体" w:hAnsi="宋体" w:eastAsia="宋体" w:cs="宋体"/>
          <w:color w:val="auto"/>
          <w:szCs w:val="24"/>
        </w:rPr>
      </w:pPr>
      <w:bookmarkStart w:id="447" w:name="_Ref4796050"/>
      <w:r>
        <w:rPr>
          <w:rFonts w:hint="eastAsia" w:ascii="宋体" w:hAnsi="宋体" w:eastAsia="宋体" w:cs="宋体"/>
          <w:color w:val="auto"/>
          <w:szCs w:val="24"/>
        </w:rPr>
        <w:t>8.7.1 因发包人原因导致工期延误</w:t>
      </w:r>
      <w:bookmarkEnd w:id="44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在合同履行过程中，因下列情况导致工期延误和（或）费用增加的，由发包人承担由此延误的工期和（或）增加的费用，且发包人应支付承包人合理的利润：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根据第13条[变更与调整]的约定构成一项变更的；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发包人违反本合同约定，导致工期延误和（或）费用增加的；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发包人、发包人代表、工程师或发包人聘请的任意第三方造成或引起的任何延误、妨碍和阻碍；</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发包人未能依据第6.2.1项[发包人提供的材料和工程设备]的约定提供材料和工程设备导致工期延误和（或）费用增加的；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因发包人原因导致的暂停施工；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发包人未及时履行相关合同义务，造成工期延误的其他原因。</w:t>
      </w:r>
    </w:p>
    <w:p>
      <w:pPr>
        <w:ind w:firstLine="480" w:firstLineChars="200"/>
        <w:rPr>
          <w:rFonts w:hint="eastAsia" w:ascii="宋体" w:hAnsi="宋体" w:eastAsia="宋体" w:cs="宋体"/>
          <w:color w:val="auto"/>
          <w:szCs w:val="24"/>
        </w:rPr>
      </w:pPr>
      <w:bookmarkStart w:id="448" w:name="_Ref4770209"/>
      <w:r>
        <w:rPr>
          <w:rFonts w:hint="eastAsia" w:ascii="宋体" w:hAnsi="宋体" w:eastAsia="宋体" w:cs="宋体"/>
          <w:color w:val="auto"/>
          <w:szCs w:val="24"/>
        </w:rPr>
        <w:t>8.7.2 因承包人原因导致工期延误</w:t>
      </w:r>
      <w:bookmarkEnd w:id="44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由于承包人的原因，未能按项目进度计划完成工作，承包人应采取措施加快进度，并承担加快进度所增加的费用。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ind w:firstLine="480" w:firstLineChars="200"/>
        <w:rPr>
          <w:rFonts w:hint="eastAsia" w:ascii="宋体" w:hAnsi="宋体" w:eastAsia="宋体" w:cs="宋体"/>
          <w:color w:val="auto"/>
          <w:szCs w:val="24"/>
        </w:rPr>
      </w:pPr>
      <w:bookmarkStart w:id="449" w:name="_Ref4770872"/>
      <w:r>
        <w:rPr>
          <w:rFonts w:hint="eastAsia" w:ascii="宋体" w:hAnsi="宋体" w:eastAsia="宋体" w:cs="宋体"/>
          <w:color w:val="auto"/>
          <w:szCs w:val="24"/>
        </w:rPr>
        <w:t>8.7.3 行政审批迟延</w:t>
      </w:r>
      <w:bookmarkEnd w:id="449"/>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ind w:firstLine="480" w:firstLineChars="200"/>
        <w:rPr>
          <w:rFonts w:hint="eastAsia" w:ascii="宋体" w:hAnsi="宋体" w:eastAsia="宋体" w:cs="宋体"/>
          <w:color w:val="auto"/>
          <w:szCs w:val="24"/>
        </w:rPr>
      </w:pPr>
      <w:bookmarkStart w:id="450" w:name="_Ref4770933"/>
      <w:r>
        <w:rPr>
          <w:rFonts w:hint="eastAsia" w:ascii="宋体" w:hAnsi="宋体" w:eastAsia="宋体" w:cs="宋体"/>
          <w:color w:val="auto"/>
          <w:szCs w:val="24"/>
        </w:rPr>
        <w:t>8.7.4 异常恶劣的气候条件</w:t>
      </w:r>
      <w:bookmarkEnd w:id="45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ind w:firstLine="480" w:firstLineChars="200"/>
        <w:rPr>
          <w:rFonts w:hint="eastAsia" w:ascii="宋体" w:hAnsi="宋体" w:eastAsia="宋体" w:cs="宋体"/>
          <w:color w:val="auto"/>
          <w:szCs w:val="24"/>
        </w:rPr>
      </w:pPr>
      <w:bookmarkStart w:id="451" w:name="_Ref4781828"/>
      <w:bookmarkStart w:id="452" w:name="_Toc54862255"/>
      <w:r>
        <w:rPr>
          <w:rFonts w:hint="eastAsia" w:ascii="宋体" w:hAnsi="宋体" w:eastAsia="宋体" w:cs="宋体"/>
          <w:color w:val="auto"/>
          <w:szCs w:val="24"/>
        </w:rPr>
        <w:t>8.8 工期提前</w:t>
      </w:r>
      <w:bookmarkEnd w:id="445"/>
      <w:bookmarkEnd w:id="446"/>
      <w:bookmarkEnd w:id="451"/>
      <w:bookmarkEnd w:id="45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ind w:firstLine="480" w:firstLineChars="200"/>
        <w:rPr>
          <w:rFonts w:hint="eastAsia" w:ascii="宋体" w:hAnsi="宋体" w:eastAsia="宋体" w:cs="宋体"/>
          <w:color w:val="auto"/>
          <w:szCs w:val="24"/>
        </w:rPr>
      </w:pPr>
      <w:bookmarkStart w:id="453" w:name="_Ref4429347"/>
      <w:r>
        <w:rPr>
          <w:rFonts w:hint="eastAsia" w:ascii="宋体" w:hAnsi="宋体" w:eastAsia="宋体" w:cs="宋体"/>
          <w:color w:val="auto"/>
          <w:szCs w:val="24"/>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453"/>
    </w:p>
    <w:p>
      <w:pPr>
        <w:ind w:firstLine="480" w:firstLineChars="200"/>
        <w:rPr>
          <w:rFonts w:hint="eastAsia" w:ascii="宋体" w:hAnsi="宋体" w:eastAsia="宋体" w:cs="宋体"/>
          <w:color w:val="auto"/>
          <w:szCs w:val="24"/>
        </w:rPr>
      </w:pPr>
      <w:bookmarkStart w:id="454" w:name="_Ref4615031"/>
      <w:bookmarkStart w:id="455" w:name="_Toc54862256"/>
      <w:bookmarkStart w:id="456" w:name="_Ref4615040"/>
      <w:r>
        <w:rPr>
          <w:rFonts w:hint="eastAsia" w:ascii="宋体" w:hAnsi="宋体" w:eastAsia="宋体" w:cs="宋体"/>
          <w:color w:val="auto"/>
          <w:szCs w:val="24"/>
        </w:rPr>
        <w:t>8.9 暂停工作</w:t>
      </w:r>
      <w:bookmarkEnd w:id="454"/>
      <w:bookmarkEnd w:id="455"/>
      <w:bookmarkEnd w:id="456"/>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457" w:name="_Ref4709151"/>
      <w:r>
        <w:rPr>
          <w:rFonts w:hint="eastAsia" w:ascii="宋体" w:hAnsi="宋体" w:eastAsia="宋体" w:cs="宋体"/>
          <w:color w:val="auto"/>
          <w:szCs w:val="24"/>
        </w:rPr>
        <w:t>8.9.1 由发包人暂停工作</w:t>
      </w:r>
      <w:bookmarkEnd w:id="45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发包人认为必要时，可通过工程师向承包人发出经发包人签认的暂停工作通知，应列明暂停原因、暂停的日期及预计暂停的期限。承包人应按该通知暂停工作。</w:t>
      </w:r>
      <w:bookmarkStart w:id="458" w:name="_Ref470923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承包人因执行暂停工作通知而造成费用的增加和（或）工期延误由发包人承担，并有权要求发包人支付合理利润，但</w:t>
      </w:r>
      <w:bookmarkEnd w:id="458"/>
      <w:r>
        <w:rPr>
          <w:rFonts w:hint="eastAsia" w:ascii="宋体" w:hAnsi="宋体" w:eastAsia="宋体" w:cs="宋体"/>
          <w:color w:val="auto"/>
          <w:szCs w:val="24"/>
        </w:rPr>
        <w:t>由于承包人原因造成发包人暂停工作的除外。</w:t>
      </w:r>
    </w:p>
    <w:p>
      <w:pPr>
        <w:ind w:firstLine="480" w:firstLineChars="200"/>
        <w:rPr>
          <w:rFonts w:hint="eastAsia" w:ascii="宋体" w:hAnsi="宋体" w:eastAsia="宋体" w:cs="宋体"/>
          <w:color w:val="auto"/>
          <w:szCs w:val="24"/>
        </w:rPr>
      </w:pPr>
      <w:bookmarkStart w:id="459" w:name="_Ref18972173"/>
      <w:r>
        <w:rPr>
          <w:rFonts w:hint="eastAsia" w:ascii="宋体" w:hAnsi="宋体" w:eastAsia="宋体" w:cs="宋体"/>
          <w:color w:val="auto"/>
          <w:szCs w:val="24"/>
        </w:rPr>
        <w:t>8.9.2 由承包人暂停工作</w:t>
      </w:r>
      <w:bookmarkEnd w:id="459"/>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ind w:firstLine="480" w:firstLineChars="200"/>
        <w:rPr>
          <w:rFonts w:hint="eastAsia" w:ascii="宋体" w:hAnsi="宋体" w:eastAsia="宋体" w:cs="宋体"/>
          <w:color w:val="auto"/>
          <w:szCs w:val="24"/>
        </w:rPr>
      </w:pPr>
      <w:bookmarkStart w:id="460" w:name="_Ref4709224"/>
      <w:r>
        <w:rPr>
          <w:rFonts w:hint="eastAsia" w:ascii="宋体" w:hAnsi="宋体" w:eastAsia="宋体" w:cs="宋体"/>
          <w:color w:val="auto"/>
          <w:szCs w:val="24"/>
        </w:rPr>
        <w:t>（1） 发包人拖延、拒绝批准付款申请和支付证书，或未能按合同约定支付价款，导致付款延误的；</w:t>
      </w:r>
      <w:bookmarkEnd w:id="46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发包人未按约定履行合同其他义务导致承包人无法继续履行合同的，或者发包人明确表示暂停或实质上已暂停履行合同的。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8.9.3 除上述原因以外的暂停工作，双方应遵守第17条[不可抗力]的相关约定。</w:t>
      </w:r>
    </w:p>
    <w:p>
      <w:pPr>
        <w:ind w:firstLine="480" w:firstLineChars="200"/>
        <w:rPr>
          <w:rFonts w:hint="eastAsia" w:ascii="宋体" w:hAnsi="宋体" w:eastAsia="宋体" w:cs="宋体"/>
          <w:color w:val="auto"/>
          <w:szCs w:val="24"/>
        </w:rPr>
      </w:pPr>
      <w:bookmarkStart w:id="461" w:name="_Ref4709158"/>
      <w:r>
        <w:rPr>
          <w:rFonts w:hint="eastAsia" w:ascii="宋体" w:hAnsi="宋体" w:eastAsia="宋体" w:cs="宋体"/>
          <w:color w:val="auto"/>
          <w:szCs w:val="24"/>
        </w:rPr>
        <w:t>8.9.4 暂停工作期间的工程照管</w:t>
      </w:r>
      <w:bookmarkEnd w:id="461"/>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因承包人未能尽到照管、保护的责任造成损失的，使发包人的费用增加，（或）竣工日期延误的，由承包人按本合同约定承担责任。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8.9.5 拖长的暂停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ind w:firstLine="480" w:firstLineChars="200"/>
        <w:rPr>
          <w:rFonts w:hint="eastAsia" w:ascii="宋体" w:hAnsi="宋体" w:eastAsia="宋体" w:cs="宋体"/>
          <w:color w:val="auto"/>
          <w:szCs w:val="24"/>
        </w:rPr>
      </w:pPr>
      <w:bookmarkStart w:id="462" w:name="_Toc54862257"/>
      <w:r>
        <w:rPr>
          <w:rFonts w:hint="eastAsia" w:ascii="宋体" w:hAnsi="宋体" w:eastAsia="宋体" w:cs="宋体"/>
          <w:color w:val="auto"/>
          <w:szCs w:val="24"/>
        </w:rPr>
        <w:t>8.10 复工</w:t>
      </w:r>
      <w:bookmarkEnd w:id="462"/>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8.10.1 收到发包人的复工通知后，承包人应按通知时间复工；发包人通知的复工时间应当给予承包人必要的准备复工时间。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8.10.2 不论由于何种原因引起暂停工作，双方均可要求对方一同对受暂停影响的工程、工程设备和工程物资进行检查，承包人应将检查结果及需要恢复、修复的内容和估算通知发包人。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8.10.3 除第17条[不可抗力]另有约定外，发生的恢复、修复价款及工期延误的后果由责任方承担。</w:t>
      </w:r>
    </w:p>
    <w:p>
      <w:pPr>
        <w:ind w:firstLine="482" w:firstLineChars="200"/>
        <w:rPr>
          <w:rFonts w:hint="eastAsia" w:ascii="宋体" w:hAnsi="宋体" w:eastAsia="宋体" w:cs="宋体"/>
          <w:b/>
          <w:bCs/>
          <w:color w:val="auto"/>
          <w:szCs w:val="24"/>
        </w:rPr>
      </w:pPr>
      <w:bookmarkStart w:id="463" w:name="_Toc54862258"/>
      <w:bookmarkStart w:id="464" w:name="_Ref4621041"/>
      <w:bookmarkStart w:id="465" w:name="_Ref4621029"/>
      <w:r>
        <w:rPr>
          <w:rFonts w:hint="eastAsia" w:ascii="宋体" w:hAnsi="宋体" w:eastAsia="宋体" w:cs="宋体"/>
          <w:b/>
          <w:bCs/>
          <w:color w:val="auto"/>
          <w:szCs w:val="24"/>
        </w:rPr>
        <w:t>第9条 竣工试验</w:t>
      </w:r>
      <w:bookmarkEnd w:id="391"/>
      <w:bookmarkEnd w:id="463"/>
      <w:bookmarkEnd w:id="464"/>
      <w:bookmarkEnd w:id="465"/>
      <w:r>
        <w:rPr>
          <w:rFonts w:hint="eastAsia" w:ascii="宋体" w:hAnsi="宋体" w:eastAsia="宋体" w:cs="宋体"/>
          <w:b/>
          <w:bCs/>
          <w:color w:val="auto"/>
          <w:szCs w:val="24"/>
        </w:rPr>
        <w:t xml:space="preserve"> </w:t>
      </w:r>
    </w:p>
    <w:p>
      <w:pPr>
        <w:ind w:firstLine="480" w:firstLineChars="200"/>
        <w:rPr>
          <w:rFonts w:hint="eastAsia" w:ascii="宋体" w:hAnsi="宋体" w:eastAsia="宋体" w:cs="宋体"/>
          <w:color w:val="auto"/>
          <w:szCs w:val="24"/>
        </w:rPr>
      </w:pPr>
      <w:bookmarkStart w:id="466" w:name="_Toc54862259"/>
      <w:bookmarkStart w:id="467" w:name="_Ref532586251"/>
      <w:bookmarkStart w:id="468" w:name="_Ref532586248"/>
      <w:r>
        <w:rPr>
          <w:rFonts w:hint="eastAsia" w:ascii="宋体" w:hAnsi="宋体" w:eastAsia="宋体" w:cs="宋体"/>
          <w:color w:val="auto"/>
          <w:szCs w:val="24"/>
        </w:rPr>
        <w:t>9.1 竣工试验的义务</w:t>
      </w:r>
      <w:bookmarkEnd w:id="466"/>
      <w:bookmarkEnd w:id="467"/>
      <w:bookmarkEnd w:id="46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9.1.1 承包人完成工程或区段工程进行竣工试验所需的作业，并根据第5.4款[竣工文件]和第5.5款[操作和维修手册]提交文件后，进行竣工试验。</w:t>
      </w:r>
      <w:bookmarkStart w:id="469" w:name="_Ref532586608"/>
    </w:p>
    <w:p>
      <w:pPr>
        <w:ind w:firstLine="480" w:firstLineChars="200"/>
        <w:rPr>
          <w:rFonts w:hint="eastAsia" w:ascii="宋体" w:hAnsi="宋体" w:eastAsia="宋体" w:cs="宋体"/>
          <w:color w:val="auto"/>
          <w:szCs w:val="24"/>
        </w:rPr>
      </w:pPr>
      <w:bookmarkStart w:id="470" w:name="_Ref11919920"/>
      <w:r>
        <w:rPr>
          <w:rFonts w:hint="eastAsia" w:ascii="宋体" w:hAnsi="宋体" w:eastAsia="宋体" w:cs="宋体"/>
          <w:color w:val="auto"/>
          <w:szCs w:val="24"/>
        </w:rPr>
        <w:t>9.1.2 承包人应在进行竣工试验之前，至少提前42天向工程师提交详细的竣工试验计划，该计划应载明竣工试验的内容、地点、拟开展时间和需要发包人提供的资源条件。</w:t>
      </w:r>
      <w:bookmarkEnd w:id="469"/>
      <w:r>
        <w:rPr>
          <w:rFonts w:hint="eastAsia" w:ascii="宋体" w:hAnsi="宋体" w:eastAsia="宋体" w:cs="宋体"/>
          <w:color w:val="auto"/>
          <w:szCs w:val="24"/>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70"/>
    </w:p>
    <w:p>
      <w:pPr>
        <w:ind w:firstLine="480" w:firstLineChars="200"/>
        <w:rPr>
          <w:rFonts w:hint="eastAsia" w:ascii="宋体" w:hAnsi="宋体" w:eastAsia="宋体" w:cs="宋体"/>
          <w:color w:val="auto"/>
          <w:szCs w:val="24"/>
        </w:rPr>
      </w:pPr>
      <w:bookmarkStart w:id="471" w:name="_Ref532688147"/>
      <w:r>
        <w:rPr>
          <w:rFonts w:hint="eastAsia" w:ascii="宋体" w:hAnsi="宋体" w:eastAsia="宋体" w:cs="宋体"/>
          <w:color w:val="auto"/>
          <w:szCs w:val="24"/>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47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承包人进行启动前试验，包括适当的检查和功能性试验，以证明工程或区段工程的每一部分均能够安全地承受下一阶段试验；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承包人进行启动试验，以证明工程或区段工程能够在所有可利用的操作条件下安全运行，并按照专用合同条件和《发包人要求》中的规定操作；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承包人进行试运行试验。当工程或区段工程能稳定安全运行时，承包人应通知工程师，可以进行其他竣工试验，包括各种性能测试，以证明工程或区段工程符合《发包人要求》中列明的性能保证指标。</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进行上述试验不应构成第10条[验收和工程接收]规定的接收，但试验所产生的任何产品或其他收益均应归属于发包人。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ind w:firstLine="480" w:firstLineChars="200"/>
        <w:rPr>
          <w:rFonts w:hint="eastAsia" w:ascii="宋体" w:hAnsi="宋体" w:eastAsia="宋体" w:cs="宋体"/>
          <w:color w:val="auto"/>
          <w:szCs w:val="24"/>
        </w:rPr>
      </w:pPr>
      <w:bookmarkStart w:id="472" w:name="_Toc54862260"/>
      <w:r>
        <w:rPr>
          <w:rFonts w:hint="eastAsia" w:ascii="宋体" w:hAnsi="宋体" w:eastAsia="宋体" w:cs="宋体"/>
          <w:color w:val="auto"/>
          <w:szCs w:val="24"/>
        </w:rPr>
        <w:t>9.2 延误的试验</w:t>
      </w:r>
      <w:bookmarkEnd w:id="47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9.2.2 承包人无正当理由延误进行竣工试验的，工程师可向其发出通知，要求其在收到通知后的21天内进行该项竣工试验。承包人应在该21天的期限内确定进行试验的日期，并至少提前7天通知工程师。</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9.2.3 如果承包人未在该期限内进行竣工试验，则发包人有权自行组织该项竣工试验，由此产生的合理费用由承包人承担。发包人应在试验完成后28天内向承包人发送试验结果。</w:t>
      </w:r>
    </w:p>
    <w:p>
      <w:pPr>
        <w:ind w:firstLine="480" w:firstLineChars="200"/>
        <w:rPr>
          <w:rFonts w:hint="eastAsia" w:ascii="宋体" w:hAnsi="宋体" w:eastAsia="宋体" w:cs="宋体"/>
          <w:color w:val="auto"/>
          <w:szCs w:val="24"/>
        </w:rPr>
      </w:pPr>
      <w:bookmarkStart w:id="473" w:name="_Ref532594592"/>
      <w:bookmarkStart w:id="474" w:name="_Toc54862261"/>
      <w:bookmarkStart w:id="475" w:name="_Ref532594588"/>
      <w:r>
        <w:rPr>
          <w:rFonts w:hint="eastAsia" w:ascii="宋体" w:hAnsi="宋体" w:eastAsia="宋体" w:cs="宋体"/>
          <w:color w:val="auto"/>
          <w:szCs w:val="24"/>
        </w:rPr>
        <w:t>9.3 重新试验</w:t>
      </w:r>
      <w:bookmarkEnd w:id="473"/>
      <w:bookmarkEnd w:id="474"/>
      <w:bookmarkEnd w:id="475"/>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ind w:firstLine="480" w:firstLineChars="200"/>
        <w:rPr>
          <w:rFonts w:hint="eastAsia" w:ascii="宋体" w:hAnsi="宋体" w:eastAsia="宋体" w:cs="宋体"/>
          <w:color w:val="auto"/>
          <w:szCs w:val="24"/>
        </w:rPr>
      </w:pPr>
      <w:bookmarkStart w:id="476" w:name="_Ref532688226"/>
      <w:bookmarkStart w:id="477" w:name="_Toc54862262"/>
      <w:bookmarkStart w:id="478" w:name="_Ref532688221"/>
      <w:r>
        <w:rPr>
          <w:rFonts w:hint="eastAsia" w:ascii="宋体" w:hAnsi="宋体" w:eastAsia="宋体" w:cs="宋体"/>
          <w:color w:val="auto"/>
          <w:szCs w:val="24"/>
        </w:rPr>
        <w:t>9.4 未能通过竣工试验</w:t>
      </w:r>
      <w:bookmarkEnd w:id="476"/>
      <w:bookmarkEnd w:id="477"/>
      <w:bookmarkEnd w:id="47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9.4.1 因发包人原因导致竣工试验未能通过的，承包人进行竣工试验的费用由发包人承担，竣工日期相应顺延。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9.4.2 如果工程或区段工程未能通过根据第9.3款[重新试验]重新进行的竣工试验的，则：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发包人有权要求承包人根据第6.6款[缺陷和修补]继续进行修补和改正，并根据第9.3款[重新试验]再次进行竣工试验；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ind w:firstLine="480" w:firstLineChars="200"/>
        <w:rPr>
          <w:rFonts w:hint="eastAsia" w:ascii="宋体" w:hAnsi="宋体" w:eastAsia="宋体" w:cs="宋体"/>
          <w:color w:val="auto"/>
          <w:szCs w:val="24"/>
        </w:rPr>
      </w:pPr>
      <w:bookmarkStart w:id="479" w:name="_Ref4621461"/>
      <w:r>
        <w:rPr>
          <w:rFonts w:hint="eastAsia" w:ascii="宋体" w:hAnsi="宋体" w:eastAsia="宋体" w:cs="宋体"/>
          <w:color w:val="auto"/>
          <w:szCs w:val="24"/>
        </w:rPr>
        <w:t>（3） 未能通过竣工试验，使工程或区段工程的任何主要部分丧失了生产、使用功能时，发包人有权指令承包人更换相关部分，承包人应承担因此增加的费用和误期损害赔偿责任，并赔偿发包人的相应损失</w:t>
      </w:r>
      <w:bookmarkEnd w:id="479"/>
      <w:r>
        <w:rPr>
          <w:rFonts w:hint="eastAsia" w:ascii="宋体" w:hAnsi="宋体" w:eastAsia="宋体" w:cs="宋体"/>
          <w:color w:val="auto"/>
          <w:szCs w:val="24"/>
        </w:rPr>
        <w:t>；</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ind w:firstLine="482" w:firstLineChars="200"/>
        <w:rPr>
          <w:rFonts w:hint="eastAsia" w:ascii="宋体" w:hAnsi="宋体" w:eastAsia="宋体" w:cs="宋体"/>
          <w:b/>
          <w:bCs/>
          <w:color w:val="auto"/>
          <w:szCs w:val="24"/>
        </w:rPr>
      </w:pPr>
      <w:bookmarkStart w:id="480" w:name="_Ref4624043"/>
      <w:bookmarkStart w:id="481" w:name="_Toc54862263"/>
      <w:bookmarkStart w:id="482" w:name="_Ref4618338"/>
      <w:bookmarkStart w:id="483" w:name="_Ref4618348"/>
      <w:r>
        <w:rPr>
          <w:rFonts w:hint="eastAsia" w:ascii="宋体" w:hAnsi="宋体" w:eastAsia="宋体" w:cs="宋体"/>
          <w:b/>
          <w:bCs/>
          <w:color w:val="auto"/>
          <w:szCs w:val="24"/>
        </w:rPr>
        <w:t>第10条 验收和工程接收</w:t>
      </w:r>
      <w:bookmarkEnd w:id="480"/>
      <w:bookmarkEnd w:id="481"/>
      <w:bookmarkEnd w:id="482"/>
      <w:bookmarkEnd w:id="483"/>
    </w:p>
    <w:p>
      <w:pPr>
        <w:ind w:firstLine="480" w:firstLineChars="200"/>
        <w:rPr>
          <w:rFonts w:hint="eastAsia" w:ascii="宋体" w:hAnsi="宋体" w:eastAsia="宋体" w:cs="宋体"/>
          <w:color w:val="auto"/>
          <w:szCs w:val="24"/>
        </w:rPr>
      </w:pPr>
      <w:bookmarkStart w:id="484" w:name="_Ref532301199"/>
      <w:bookmarkStart w:id="485" w:name="_Ref532359143"/>
      <w:bookmarkStart w:id="486" w:name="_Ref532359152"/>
      <w:bookmarkStart w:id="487" w:name="_Ref532300804"/>
      <w:bookmarkStart w:id="488" w:name="_Toc54862264"/>
      <w:bookmarkStart w:id="489" w:name="_Ref532300801"/>
      <w:bookmarkStart w:id="490" w:name="_Ref532301202"/>
      <w:r>
        <w:rPr>
          <w:rFonts w:hint="eastAsia" w:ascii="宋体" w:hAnsi="宋体" w:eastAsia="宋体" w:cs="宋体"/>
          <w:color w:val="auto"/>
          <w:szCs w:val="24"/>
        </w:rPr>
        <w:t>10.1 竣工验收</w:t>
      </w:r>
      <w:bookmarkEnd w:id="484"/>
      <w:bookmarkEnd w:id="485"/>
      <w:bookmarkEnd w:id="486"/>
      <w:bookmarkEnd w:id="487"/>
      <w:bookmarkEnd w:id="488"/>
      <w:bookmarkEnd w:id="489"/>
      <w:bookmarkEnd w:id="490"/>
    </w:p>
    <w:p>
      <w:pPr>
        <w:ind w:firstLine="480" w:firstLineChars="200"/>
        <w:rPr>
          <w:rFonts w:hint="eastAsia" w:ascii="宋体" w:hAnsi="宋体" w:eastAsia="宋体" w:cs="宋体"/>
          <w:color w:val="auto"/>
          <w:szCs w:val="24"/>
        </w:rPr>
      </w:pPr>
      <w:bookmarkStart w:id="491" w:name="_Ref532628356"/>
      <w:r>
        <w:rPr>
          <w:rFonts w:hint="eastAsia" w:ascii="宋体" w:hAnsi="宋体" w:eastAsia="宋体" w:cs="宋体"/>
          <w:color w:val="auto"/>
          <w:szCs w:val="24"/>
        </w:rPr>
        <w:t>10.1.1 竣工验收条件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工程具备以下条件的，承包人可以申请竣工验收：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已按合同约定编制了扫尾工作和缺陷修补工作清单以及相应实施计划；</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已按合同约定的内容和份数备齐竣工资料；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合同约定要求在竣工验收前应完成的其他工作。</w:t>
      </w:r>
    </w:p>
    <w:bookmarkEnd w:id="491"/>
    <w:p>
      <w:pPr>
        <w:ind w:firstLine="480" w:firstLineChars="200"/>
        <w:rPr>
          <w:rFonts w:hint="eastAsia" w:ascii="宋体" w:hAnsi="宋体" w:eastAsia="宋体" w:cs="宋体"/>
          <w:color w:val="auto"/>
          <w:szCs w:val="24"/>
        </w:rPr>
      </w:pPr>
      <w:bookmarkStart w:id="492" w:name="_Ref4429424"/>
      <w:bookmarkStart w:id="493" w:name="_Hlk51506601"/>
      <w:r>
        <w:rPr>
          <w:rFonts w:hint="eastAsia" w:ascii="宋体" w:hAnsi="宋体" w:eastAsia="宋体" w:cs="宋体"/>
          <w:color w:val="auto"/>
          <w:szCs w:val="24"/>
        </w:rPr>
        <w:t>10.1.2 竣工验收程序</w:t>
      </w:r>
      <w:bookmarkEnd w:id="492"/>
    </w:p>
    <w:bookmarkEnd w:id="493"/>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除专用合同条件另有约定外，承包人申请竣工验收的，应当按照以下程序进行：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firstLine="480" w:firstLineChars="200"/>
        <w:rPr>
          <w:rFonts w:hint="eastAsia" w:ascii="宋体" w:hAnsi="宋体" w:eastAsia="宋体" w:cs="宋体"/>
          <w:color w:val="auto"/>
          <w:szCs w:val="24"/>
        </w:rPr>
      </w:pPr>
      <w:bookmarkStart w:id="494" w:name="_Hlk51506640"/>
      <w:r>
        <w:rPr>
          <w:rFonts w:hint="eastAsia" w:ascii="宋体" w:hAnsi="宋体" w:eastAsia="宋体" w:cs="宋体"/>
          <w:color w:val="auto"/>
          <w:szCs w:val="24"/>
        </w:rPr>
        <w:t>（4） 因发包人原因，未在工程师收到承包人竣工验收申请报告之日起42天内完成竣工验收的，以承包人提交竣工验收申请报告之日作为工程实际竣工日期。</w:t>
      </w:r>
    </w:p>
    <w:bookmarkEnd w:id="494"/>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工程未经竣工验收，发包人擅自使用的，以转移占有工程之日为实际竣工日期。</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除专用合同条件另有约定外，发包人不按照本项和第10.4款[接收证书]约定组织竣工验收、颁发工程接收证书的，每逾期一天，应以签约合同价为基数，按照贷款市场报价利率（LPR）支付违约金。</w:t>
      </w:r>
    </w:p>
    <w:p>
      <w:pPr>
        <w:ind w:firstLine="480" w:firstLineChars="200"/>
        <w:rPr>
          <w:rFonts w:hint="eastAsia" w:ascii="宋体" w:hAnsi="宋体" w:eastAsia="宋体" w:cs="宋体"/>
          <w:color w:val="auto"/>
          <w:szCs w:val="24"/>
        </w:rPr>
      </w:pPr>
      <w:bookmarkStart w:id="495" w:name="_Ref532301210"/>
      <w:bookmarkStart w:id="496" w:name="_Toc54862265"/>
      <w:bookmarkStart w:id="497" w:name="_Ref532301213"/>
      <w:r>
        <w:rPr>
          <w:rFonts w:hint="eastAsia" w:ascii="宋体" w:hAnsi="宋体" w:eastAsia="宋体" w:cs="宋体"/>
          <w:color w:val="auto"/>
          <w:szCs w:val="24"/>
        </w:rPr>
        <w:t>10.2 单位/区段工程的验收</w:t>
      </w:r>
      <w:bookmarkEnd w:id="495"/>
      <w:bookmarkEnd w:id="496"/>
      <w:bookmarkEnd w:id="49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10.2.2 发包人在全部工程竣工前，使用已接收的单位/区段工程导致承包人费用增加的，发包人应承担由此增加的费用和（或）工期延误，并支付承包人合理利润。</w:t>
      </w:r>
    </w:p>
    <w:p>
      <w:pPr>
        <w:ind w:firstLine="480" w:firstLineChars="200"/>
        <w:rPr>
          <w:rFonts w:hint="eastAsia" w:ascii="宋体" w:hAnsi="宋体" w:eastAsia="宋体" w:cs="宋体"/>
          <w:color w:val="auto"/>
          <w:szCs w:val="24"/>
        </w:rPr>
      </w:pPr>
      <w:bookmarkStart w:id="498" w:name="_Toc54862266"/>
      <w:bookmarkStart w:id="499" w:name="_Ref4429473"/>
      <w:bookmarkStart w:id="500" w:name="_Ref532688351"/>
      <w:bookmarkStart w:id="501" w:name="_Ref532688354"/>
      <w:r>
        <w:rPr>
          <w:rFonts w:hint="eastAsia" w:ascii="宋体" w:hAnsi="宋体" w:eastAsia="宋体" w:cs="宋体"/>
          <w:color w:val="auto"/>
          <w:szCs w:val="24"/>
        </w:rPr>
        <w:t>10.3 工程的接收</w:t>
      </w:r>
      <w:bookmarkEnd w:id="49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10.3.1 根据工程项目的具体情况和特点，可按工程或单位/区段工程进行接收，并在专用合同条件约定接收的先后顺序、时间安排和其他要求。</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10.3.2 除按本条约定已经提交的资料外，接收工程时承包人需提交竣工验收资料的类别、内容、份数和提交时间，在专用合同条件中约定。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10.3.4 承包人无正当理由不移交工程的，承包人应承担工程照管、成品保护、保管等与工程有关的各项费用，合同当事人可以在专用合同条件中另行约定承包人无正当理由不移交工程的违约责任。</w:t>
      </w:r>
    </w:p>
    <w:p>
      <w:pPr>
        <w:ind w:firstLine="480" w:firstLineChars="200"/>
        <w:rPr>
          <w:rFonts w:hint="eastAsia" w:ascii="宋体" w:hAnsi="宋体" w:eastAsia="宋体" w:cs="宋体"/>
          <w:color w:val="auto"/>
          <w:szCs w:val="24"/>
        </w:rPr>
      </w:pPr>
      <w:bookmarkStart w:id="502" w:name="_Toc54862267"/>
      <w:r>
        <w:rPr>
          <w:rFonts w:hint="eastAsia" w:ascii="宋体" w:hAnsi="宋体" w:eastAsia="宋体" w:cs="宋体"/>
          <w:color w:val="auto"/>
          <w:szCs w:val="24"/>
        </w:rPr>
        <w:t>10.4 接收证书</w:t>
      </w:r>
      <w:bookmarkEnd w:id="499"/>
      <w:bookmarkEnd w:id="502"/>
    </w:p>
    <w:p>
      <w:pPr>
        <w:ind w:firstLine="480" w:firstLineChars="200"/>
        <w:rPr>
          <w:rFonts w:hint="eastAsia" w:ascii="宋体" w:hAnsi="宋体" w:eastAsia="宋体" w:cs="宋体"/>
          <w:color w:val="auto"/>
          <w:szCs w:val="24"/>
        </w:rPr>
      </w:pPr>
      <w:bookmarkStart w:id="503" w:name="_Ref4429542"/>
      <w:r>
        <w:rPr>
          <w:rFonts w:hint="eastAsia" w:ascii="宋体" w:hAnsi="宋体" w:eastAsia="宋体" w:cs="宋体"/>
          <w:color w:val="auto"/>
          <w:szCs w:val="24"/>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0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10.4.3 竣工验收合格而发包人无正当理由逾期不颁发工程接收证书的，自验收合格后第15天起视为已颁发工程接收证书。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10.4.5 存在扫尾工作的，工程接收证书中应当将第14.5.3项[扫尾工作清单]中约定的扫尾工作清单作为工程接收证书附件。</w:t>
      </w:r>
    </w:p>
    <w:bookmarkEnd w:id="500"/>
    <w:bookmarkEnd w:id="501"/>
    <w:p>
      <w:pPr>
        <w:ind w:firstLine="480" w:firstLineChars="200"/>
        <w:rPr>
          <w:rFonts w:hint="eastAsia" w:ascii="宋体" w:hAnsi="宋体" w:eastAsia="宋体" w:cs="宋体"/>
          <w:color w:val="auto"/>
          <w:szCs w:val="24"/>
        </w:rPr>
      </w:pPr>
      <w:bookmarkStart w:id="504" w:name="_Ref4429932"/>
      <w:bookmarkStart w:id="505" w:name="_Toc54862268"/>
      <w:bookmarkStart w:id="506" w:name="_Ref4429935"/>
      <w:r>
        <w:rPr>
          <w:rFonts w:hint="eastAsia" w:ascii="宋体" w:hAnsi="宋体" w:eastAsia="宋体" w:cs="宋体"/>
          <w:color w:val="auto"/>
          <w:szCs w:val="24"/>
        </w:rPr>
        <w:t>10.5 竣工退场</w:t>
      </w:r>
      <w:bookmarkEnd w:id="504"/>
      <w:bookmarkEnd w:id="505"/>
      <w:bookmarkEnd w:id="506"/>
    </w:p>
    <w:p>
      <w:pPr>
        <w:ind w:firstLine="480" w:firstLineChars="200"/>
        <w:rPr>
          <w:rFonts w:hint="eastAsia" w:ascii="宋体" w:hAnsi="宋体" w:eastAsia="宋体" w:cs="宋体"/>
          <w:color w:val="auto"/>
          <w:szCs w:val="24"/>
        </w:rPr>
      </w:pPr>
      <w:bookmarkStart w:id="507" w:name="_Ref4429943"/>
      <w:r>
        <w:rPr>
          <w:rFonts w:hint="eastAsia" w:ascii="宋体" w:hAnsi="宋体" w:eastAsia="宋体" w:cs="宋体"/>
          <w:color w:val="auto"/>
          <w:szCs w:val="24"/>
        </w:rPr>
        <w:t>10.5.1 竣工退场</w:t>
      </w:r>
      <w:bookmarkEnd w:id="50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颁发工程接收证书后，承包人应对施工现场进行清理，并撤离相关人员，使得施工现场处于以下状态，直至工程师检验合格为止：</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施工现场内残留的垃圾已全部清除出场；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临时工程已拆除，场地已按合同约定进行清理、平整或复原；</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按合同约定应撤离的人员、承包人提供的施工设备和剩余的材料，包括废弃的施工设备和材料，已按计划撤离施工现场；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施工现场周边及其附近道路、河道的施工堆积物，已全部清理；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施工现场其他竣工退场工作已全部完成。</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10.5.2 地表还原</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承包人应按合同约定和工程师的要求恢复临时占地及清理场地，否则发包人有权委托其他人恢复或清理，所发生的费用由承包人承担。</w:t>
      </w:r>
    </w:p>
    <w:p>
      <w:pPr>
        <w:ind w:firstLine="480" w:firstLineChars="200"/>
        <w:rPr>
          <w:rFonts w:hint="eastAsia" w:ascii="宋体" w:hAnsi="宋体" w:eastAsia="宋体" w:cs="宋体"/>
          <w:color w:val="auto"/>
          <w:szCs w:val="24"/>
        </w:rPr>
      </w:pPr>
      <w:bookmarkStart w:id="508" w:name="_Ref20159437"/>
      <w:r>
        <w:rPr>
          <w:rFonts w:hint="eastAsia" w:ascii="宋体" w:hAnsi="宋体" w:eastAsia="宋体" w:cs="宋体"/>
          <w:color w:val="auto"/>
          <w:szCs w:val="24"/>
        </w:rPr>
        <w:t>10.5.3 人员撤离</w:t>
      </w:r>
      <w:bookmarkEnd w:id="50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92"/>
    </w:p>
    <w:p>
      <w:pPr>
        <w:ind w:firstLine="482" w:firstLineChars="200"/>
        <w:rPr>
          <w:rFonts w:hint="eastAsia" w:ascii="宋体" w:hAnsi="宋体" w:eastAsia="宋体" w:cs="宋体"/>
          <w:b/>
          <w:bCs/>
          <w:color w:val="auto"/>
          <w:szCs w:val="24"/>
        </w:rPr>
      </w:pPr>
      <w:bookmarkStart w:id="509" w:name="_Ref4796906"/>
      <w:bookmarkStart w:id="510" w:name="_Ref531955009"/>
      <w:bookmarkStart w:id="511" w:name="_Ref4796909"/>
      <w:bookmarkStart w:id="512" w:name="_Toc54862269"/>
      <w:r>
        <w:rPr>
          <w:rFonts w:hint="eastAsia" w:ascii="宋体" w:hAnsi="宋体" w:eastAsia="宋体" w:cs="宋体"/>
          <w:b/>
          <w:bCs/>
          <w:color w:val="auto"/>
          <w:szCs w:val="24"/>
        </w:rPr>
        <w:t>第11条 缺陷责任与保修</w:t>
      </w:r>
      <w:bookmarkEnd w:id="509"/>
      <w:bookmarkEnd w:id="510"/>
      <w:bookmarkEnd w:id="511"/>
      <w:bookmarkEnd w:id="512"/>
      <w:r>
        <w:rPr>
          <w:rFonts w:hint="eastAsia" w:ascii="宋体" w:hAnsi="宋体" w:eastAsia="宋体" w:cs="宋体"/>
          <w:b/>
          <w:bCs/>
          <w:color w:val="auto"/>
          <w:szCs w:val="24"/>
        </w:rPr>
        <w:t xml:space="preserve"> </w:t>
      </w:r>
    </w:p>
    <w:p>
      <w:pPr>
        <w:ind w:firstLine="480" w:firstLineChars="200"/>
        <w:rPr>
          <w:rFonts w:hint="eastAsia" w:ascii="宋体" w:hAnsi="宋体" w:eastAsia="宋体" w:cs="宋体"/>
          <w:color w:val="auto"/>
          <w:szCs w:val="24"/>
        </w:rPr>
      </w:pPr>
      <w:bookmarkStart w:id="513" w:name="_Toc54862270"/>
      <w:bookmarkStart w:id="514" w:name="_Ref531955245"/>
      <w:bookmarkStart w:id="515" w:name="_Ref531955248"/>
      <w:bookmarkStart w:id="516" w:name="_Ref532362928"/>
      <w:bookmarkStart w:id="517" w:name="_Toc296503147"/>
      <w:bookmarkStart w:id="518" w:name="_Toc296346648"/>
      <w:bookmarkStart w:id="519" w:name="_Toc337558841"/>
      <w:r>
        <w:rPr>
          <w:rFonts w:hint="eastAsia" w:ascii="宋体" w:hAnsi="宋体" w:eastAsia="宋体" w:cs="宋体"/>
          <w:color w:val="auto"/>
          <w:szCs w:val="24"/>
        </w:rPr>
        <w:t>11.1 工程保修的原则</w:t>
      </w:r>
      <w:bookmarkEnd w:id="51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在工程移交发包人后，因承包人原因产生的质量缺陷，承包人应承担质量缺陷责任和保修义务。缺陷责任期届满，承包人仍应按合同约定的工程各部位保修年限承担保修义务。</w:t>
      </w:r>
    </w:p>
    <w:p>
      <w:pPr>
        <w:ind w:firstLine="480" w:firstLineChars="200"/>
        <w:rPr>
          <w:rFonts w:hint="eastAsia" w:ascii="宋体" w:hAnsi="宋体" w:eastAsia="宋体" w:cs="宋体"/>
          <w:color w:val="auto"/>
          <w:szCs w:val="24"/>
        </w:rPr>
      </w:pPr>
      <w:bookmarkStart w:id="520" w:name="_Ref4430062"/>
      <w:bookmarkStart w:id="521" w:name="_Toc54862271"/>
      <w:r>
        <w:rPr>
          <w:rFonts w:hint="eastAsia" w:ascii="宋体" w:hAnsi="宋体" w:eastAsia="宋体" w:cs="宋体"/>
          <w:color w:val="auto"/>
          <w:szCs w:val="24"/>
        </w:rPr>
        <w:t>11.2 缺陷责任</w:t>
      </w:r>
      <w:bookmarkEnd w:id="514"/>
      <w:bookmarkEnd w:id="515"/>
      <w:r>
        <w:rPr>
          <w:rFonts w:hint="eastAsia" w:ascii="宋体" w:hAnsi="宋体" w:eastAsia="宋体" w:cs="宋体"/>
          <w:color w:val="auto"/>
          <w:szCs w:val="24"/>
        </w:rPr>
        <w:t>期</w:t>
      </w:r>
      <w:bookmarkEnd w:id="516"/>
      <w:bookmarkEnd w:id="520"/>
      <w:bookmarkEnd w:id="521"/>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缺陷责任期原则上从工程竣工验收合格之日起计算，合同当事人应在专用合同条件约定缺陷责任期的具体期限，但该期限最长不超过24个月。</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ind w:firstLine="480" w:firstLineChars="200"/>
        <w:rPr>
          <w:rFonts w:hint="eastAsia" w:ascii="宋体" w:hAnsi="宋体" w:eastAsia="宋体" w:cs="宋体"/>
          <w:color w:val="auto"/>
          <w:szCs w:val="24"/>
        </w:rPr>
      </w:pPr>
      <w:bookmarkStart w:id="522" w:name="_Ref532662486"/>
      <w:bookmarkStart w:id="523" w:name="_Toc54862272"/>
      <w:bookmarkStart w:id="524" w:name="_Ref532662491"/>
      <w:r>
        <w:rPr>
          <w:rFonts w:hint="eastAsia" w:ascii="宋体" w:hAnsi="宋体" w:eastAsia="宋体" w:cs="宋体"/>
          <w:color w:val="auto"/>
          <w:szCs w:val="24"/>
        </w:rPr>
        <w:t>11.3 缺陷调查</w:t>
      </w:r>
      <w:bookmarkEnd w:id="522"/>
      <w:bookmarkEnd w:id="523"/>
      <w:bookmarkEnd w:id="52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11.3.1 承包人缺陷调查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11.3.2 缺陷责任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11.3.3 修复费用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发包人和承包人应共同查清缺陷或损坏的原因。经查明属承包人原因造成的，应由承包人承担修复的费用。经查验非承包人原因造成的，发包人应承担修复的费用，并支付承包人合理利润。</w:t>
      </w:r>
    </w:p>
    <w:p>
      <w:pPr>
        <w:ind w:firstLine="480" w:firstLineChars="200"/>
        <w:rPr>
          <w:rFonts w:hint="eastAsia" w:ascii="宋体" w:hAnsi="宋体" w:eastAsia="宋体" w:cs="宋体"/>
          <w:color w:val="auto"/>
          <w:szCs w:val="24"/>
        </w:rPr>
      </w:pPr>
      <w:bookmarkStart w:id="525" w:name="_Ref531955041"/>
      <w:r>
        <w:rPr>
          <w:rFonts w:hint="eastAsia" w:ascii="宋体" w:hAnsi="宋体" w:eastAsia="宋体" w:cs="宋体"/>
          <w:color w:val="auto"/>
          <w:szCs w:val="24"/>
        </w:rPr>
        <w:t>11.3.4 修复通知</w:t>
      </w:r>
      <w:bookmarkEnd w:id="52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11.3.5 在现场外修复</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ind w:firstLine="480" w:firstLineChars="200"/>
        <w:rPr>
          <w:rFonts w:hint="eastAsia" w:ascii="宋体" w:hAnsi="宋体" w:eastAsia="宋体" w:cs="宋体"/>
          <w:color w:val="auto"/>
          <w:szCs w:val="24"/>
        </w:rPr>
      </w:pPr>
      <w:bookmarkStart w:id="526" w:name="_Ref4534291"/>
      <w:bookmarkStart w:id="527" w:name="_Hlk51506786"/>
      <w:r>
        <w:rPr>
          <w:rFonts w:hint="eastAsia" w:ascii="宋体" w:hAnsi="宋体" w:eastAsia="宋体" w:cs="宋体"/>
          <w:color w:val="auto"/>
          <w:szCs w:val="24"/>
        </w:rPr>
        <w:t>11.3.6 未能修复</w:t>
      </w:r>
      <w:bookmarkEnd w:id="526"/>
    </w:p>
    <w:bookmarkEnd w:id="527"/>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如果工程或工程设备的缺陷或损害使发包人实质上失去了工程的整体功能，发包人有权向承包人追回已支付的工程款项，并要求其赔偿发包人相应损失。</w:t>
      </w:r>
    </w:p>
    <w:bookmarkEnd w:id="517"/>
    <w:bookmarkEnd w:id="518"/>
    <w:bookmarkEnd w:id="519"/>
    <w:p>
      <w:pPr>
        <w:ind w:firstLine="480" w:firstLineChars="200"/>
        <w:rPr>
          <w:rFonts w:hint="eastAsia" w:ascii="宋体" w:hAnsi="宋体" w:eastAsia="宋体" w:cs="宋体"/>
          <w:color w:val="auto"/>
          <w:szCs w:val="24"/>
        </w:rPr>
      </w:pPr>
      <w:bookmarkStart w:id="528" w:name="_Ref532662552"/>
      <w:bookmarkStart w:id="529" w:name="_Ref532662554"/>
      <w:bookmarkStart w:id="530" w:name="_Toc54862273"/>
      <w:r>
        <w:rPr>
          <w:rFonts w:hint="eastAsia" w:ascii="宋体" w:hAnsi="宋体" w:eastAsia="宋体" w:cs="宋体"/>
          <w:color w:val="auto"/>
          <w:szCs w:val="24"/>
        </w:rPr>
        <w:t>11.4 缺陷修复后的进一步试验</w:t>
      </w:r>
      <w:bookmarkEnd w:id="528"/>
      <w:bookmarkEnd w:id="529"/>
      <w:bookmarkEnd w:id="53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所有的重复试验应按照适用于先前试验的条款进行，但应由责任方承担修补工作的成本和重新试验的风险和费用。</w:t>
      </w:r>
    </w:p>
    <w:p>
      <w:pPr>
        <w:ind w:firstLine="480" w:firstLineChars="200"/>
        <w:rPr>
          <w:rFonts w:hint="eastAsia" w:ascii="宋体" w:hAnsi="宋体" w:eastAsia="宋体" w:cs="宋体"/>
          <w:color w:val="auto"/>
          <w:szCs w:val="24"/>
        </w:rPr>
      </w:pPr>
      <w:bookmarkStart w:id="531" w:name="_Toc54862274"/>
      <w:r>
        <w:rPr>
          <w:rFonts w:hint="eastAsia" w:ascii="宋体" w:hAnsi="宋体" w:eastAsia="宋体" w:cs="宋体"/>
          <w:color w:val="auto"/>
          <w:szCs w:val="24"/>
        </w:rPr>
        <w:t>11.5 承包人出入权</w:t>
      </w:r>
      <w:bookmarkEnd w:id="53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ind w:firstLine="480" w:firstLineChars="200"/>
        <w:rPr>
          <w:rFonts w:hint="eastAsia" w:ascii="宋体" w:hAnsi="宋体" w:eastAsia="宋体" w:cs="宋体"/>
          <w:color w:val="auto"/>
          <w:szCs w:val="24"/>
        </w:rPr>
      </w:pPr>
      <w:bookmarkStart w:id="532" w:name="_Ref4430223"/>
      <w:bookmarkStart w:id="533" w:name="_Ref4430229"/>
      <w:bookmarkStart w:id="534" w:name="_Toc54862275"/>
      <w:r>
        <w:rPr>
          <w:rFonts w:hint="eastAsia" w:ascii="宋体" w:hAnsi="宋体" w:eastAsia="宋体" w:cs="宋体"/>
          <w:color w:val="auto"/>
          <w:szCs w:val="24"/>
        </w:rPr>
        <w:t>11.6 缺陷责任期终止证书</w:t>
      </w:r>
      <w:bookmarkEnd w:id="532"/>
      <w:bookmarkEnd w:id="533"/>
      <w:bookmarkEnd w:id="53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w:t>
      </w:r>
      <w:bookmarkStart w:id="535" w:name="_Hlk4686672"/>
      <w:r>
        <w:rPr>
          <w:rFonts w:hint="eastAsia" w:ascii="宋体" w:hAnsi="宋体" w:eastAsia="宋体" w:cs="宋体"/>
          <w:color w:val="auto"/>
          <w:szCs w:val="24"/>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53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如根据第10.5.3项[人员撤离]承包人在施工现场还留有人员、施工设备和临时工程的，承包人应当在收到缺陷责任期终止证书后28天内，将上述人员、施工设备和临时工程撤离施工现场。</w:t>
      </w:r>
    </w:p>
    <w:p>
      <w:pPr>
        <w:ind w:firstLine="480" w:firstLineChars="200"/>
        <w:rPr>
          <w:rFonts w:hint="eastAsia" w:ascii="宋体" w:hAnsi="宋体" w:eastAsia="宋体" w:cs="宋体"/>
          <w:color w:val="auto"/>
          <w:szCs w:val="24"/>
        </w:rPr>
      </w:pPr>
      <w:bookmarkStart w:id="536" w:name="_Ref4430272"/>
      <w:bookmarkStart w:id="537" w:name="_Toc54862276"/>
      <w:r>
        <w:rPr>
          <w:rFonts w:hint="eastAsia" w:ascii="宋体" w:hAnsi="宋体" w:eastAsia="宋体" w:cs="宋体"/>
          <w:color w:val="auto"/>
          <w:szCs w:val="24"/>
        </w:rPr>
        <w:t>11.7 保修责任</w:t>
      </w:r>
      <w:bookmarkEnd w:id="536"/>
      <w:bookmarkEnd w:id="53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因承包人原因导致的质量缺陷责任，由合同当事人根据有关法律规定，在专用合同条件和工程质量保修书中约定工程质量保修范围、期限和责任。</w:t>
      </w:r>
      <w:bookmarkEnd w:id="384"/>
      <w:bookmarkStart w:id="538" w:name="_Ref531957860"/>
      <w:bookmarkStart w:id="539" w:name="_Ref531958289"/>
    </w:p>
    <w:bookmarkEnd w:id="538"/>
    <w:p>
      <w:pPr>
        <w:ind w:firstLine="482" w:firstLineChars="200"/>
        <w:rPr>
          <w:rFonts w:hint="eastAsia" w:ascii="宋体" w:hAnsi="宋体" w:eastAsia="宋体" w:cs="宋体"/>
          <w:b/>
          <w:bCs/>
          <w:color w:val="auto"/>
          <w:szCs w:val="24"/>
        </w:rPr>
      </w:pPr>
      <w:bookmarkStart w:id="540" w:name="_Ref4621057"/>
      <w:bookmarkStart w:id="541" w:name="_Toc54862277"/>
      <w:bookmarkStart w:id="542" w:name="_Ref4621065"/>
      <w:bookmarkStart w:id="543" w:name="_Ref4796955"/>
      <w:bookmarkStart w:id="544" w:name="_Ref4796958"/>
      <w:r>
        <w:rPr>
          <w:rFonts w:hint="eastAsia" w:ascii="宋体" w:hAnsi="宋体" w:eastAsia="宋体" w:cs="宋体"/>
          <w:b/>
          <w:bCs/>
          <w:color w:val="auto"/>
          <w:szCs w:val="24"/>
        </w:rPr>
        <w:t>第12条 竣工后试验</w:t>
      </w:r>
      <w:bookmarkEnd w:id="540"/>
      <w:bookmarkEnd w:id="541"/>
      <w:bookmarkEnd w:id="54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本合同工程包含竣工后试验的，遵守本条约定。</w:t>
      </w:r>
    </w:p>
    <w:p>
      <w:pPr>
        <w:ind w:firstLine="480" w:firstLineChars="200"/>
        <w:rPr>
          <w:rFonts w:hint="eastAsia" w:ascii="宋体" w:hAnsi="宋体" w:eastAsia="宋体" w:cs="宋体"/>
          <w:color w:val="auto"/>
          <w:szCs w:val="24"/>
        </w:rPr>
      </w:pPr>
      <w:bookmarkStart w:id="545" w:name="_Ref531954601"/>
      <w:bookmarkStart w:id="546" w:name="_Ref531954604"/>
      <w:bookmarkStart w:id="547" w:name="_Toc54862278"/>
      <w:bookmarkStart w:id="548" w:name="_Ref531954694"/>
      <w:bookmarkStart w:id="549" w:name="_Hlk522259976"/>
      <w:r>
        <w:rPr>
          <w:rFonts w:hint="eastAsia" w:ascii="宋体" w:hAnsi="宋体" w:eastAsia="宋体" w:cs="宋体"/>
          <w:color w:val="auto"/>
          <w:szCs w:val="24"/>
        </w:rPr>
        <w:t>12.1 竣工后试验</w:t>
      </w:r>
      <w:bookmarkEnd w:id="545"/>
      <w:bookmarkEnd w:id="546"/>
      <w:r>
        <w:rPr>
          <w:rFonts w:hint="eastAsia" w:ascii="宋体" w:hAnsi="宋体" w:eastAsia="宋体" w:cs="宋体"/>
          <w:color w:val="auto"/>
          <w:szCs w:val="24"/>
        </w:rPr>
        <w:t>的程序</w:t>
      </w:r>
      <w:bookmarkEnd w:id="547"/>
      <w:bookmarkEnd w:id="548"/>
    </w:p>
    <w:p>
      <w:pPr>
        <w:ind w:firstLine="480" w:firstLineChars="200"/>
        <w:rPr>
          <w:rFonts w:hint="eastAsia" w:ascii="宋体" w:hAnsi="宋体" w:eastAsia="宋体" w:cs="宋体"/>
          <w:color w:val="auto"/>
          <w:szCs w:val="24"/>
        </w:rPr>
      </w:pPr>
      <w:bookmarkStart w:id="550" w:name="_Ref11920184"/>
      <w:r>
        <w:rPr>
          <w:rFonts w:hint="eastAsia" w:ascii="宋体" w:hAnsi="宋体" w:eastAsia="宋体" w:cs="宋体"/>
          <w:color w:val="auto"/>
          <w:szCs w:val="24"/>
        </w:rPr>
        <w:t>12.1.1 工程或区段工程被发包人接收后，在合理可行的情况下应根据合同约定尽早进行竣工后试验。</w:t>
      </w:r>
      <w:bookmarkEnd w:id="55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ind w:firstLine="480" w:firstLineChars="200"/>
        <w:rPr>
          <w:rFonts w:hint="eastAsia" w:ascii="宋体" w:hAnsi="宋体" w:eastAsia="宋体" w:cs="宋体"/>
          <w:color w:val="auto"/>
          <w:szCs w:val="24"/>
        </w:rPr>
      </w:pPr>
      <w:bookmarkStart w:id="551" w:name="_Ref11920162"/>
      <w:r>
        <w:rPr>
          <w:rFonts w:hint="eastAsia" w:ascii="宋体" w:hAnsi="宋体" w:eastAsia="宋体" w:cs="宋体"/>
          <w:color w:val="auto"/>
          <w:szCs w:val="24"/>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51"/>
    </w:p>
    <w:p>
      <w:pPr>
        <w:ind w:firstLine="480" w:firstLineChars="200"/>
        <w:rPr>
          <w:rFonts w:hint="eastAsia" w:ascii="宋体" w:hAnsi="宋体" w:eastAsia="宋体" w:cs="宋体"/>
          <w:color w:val="auto"/>
          <w:szCs w:val="24"/>
        </w:rPr>
      </w:pPr>
      <w:bookmarkStart w:id="552" w:name="_Ref11920146"/>
      <w:r>
        <w:rPr>
          <w:rFonts w:hint="eastAsia" w:ascii="宋体" w:hAnsi="宋体" w:eastAsia="宋体" w:cs="宋体"/>
          <w:color w:val="auto"/>
          <w:szCs w:val="24"/>
        </w:rPr>
        <w:t>12.1.4 发包人应根据《发包人要求》、承包人按照第5.5款</w:t>
      </w:r>
      <w:bookmarkStart w:id="553" w:name="_Hlk18943978"/>
      <w:r>
        <w:rPr>
          <w:rFonts w:hint="eastAsia" w:ascii="宋体" w:hAnsi="宋体" w:eastAsia="宋体" w:cs="宋体"/>
          <w:color w:val="auto"/>
          <w:szCs w:val="24"/>
        </w:rPr>
        <w:t>[操作和维修手册]</w:t>
      </w:r>
      <w:bookmarkEnd w:id="553"/>
      <w:r>
        <w:rPr>
          <w:rFonts w:hint="eastAsia" w:ascii="宋体" w:hAnsi="宋体" w:eastAsia="宋体" w:cs="宋体"/>
          <w:color w:val="auto"/>
          <w:szCs w:val="24"/>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5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12.1.5 竣工后试验的结果应由双方进行整理和评价，并应适当考虑发包人对工程或其任何部分的使用，对工程或区段工程的性能、特性和试验结果产生的影响。</w:t>
      </w:r>
    </w:p>
    <w:p>
      <w:pPr>
        <w:ind w:firstLine="480" w:firstLineChars="200"/>
        <w:rPr>
          <w:rFonts w:hint="eastAsia" w:ascii="宋体" w:hAnsi="宋体" w:eastAsia="宋体" w:cs="宋体"/>
          <w:color w:val="auto"/>
          <w:szCs w:val="24"/>
        </w:rPr>
      </w:pPr>
      <w:bookmarkStart w:id="554" w:name="_Ref531954781"/>
      <w:bookmarkStart w:id="555" w:name="_Ref531954785"/>
      <w:bookmarkStart w:id="556" w:name="_Toc54862279"/>
      <w:r>
        <w:rPr>
          <w:rFonts w:hint="eastAsia" w:ascii="宋体" w:hAnsi="宋体" w:eastAsia="宋体" w:cs="宋体"/>
          <w:color w:val="auto"/>
          <w:szCs w:val="24"/>
        </w:rPr>
        <w:t>12.2 延误的试验</w:t>
      </w:r>
      <w:bookmarkEnd w:id="554"/>
      <w:bookmarkEnd w:id="555"/>
      <w:bookmarkEnd w:id="556"/>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12.2.1 如果竣工后试验因发包人原因被延误的，发包人应承担承包人由此增加的费用并支付承包人合理利润。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12.2.2 如果因承包人以外的原因，导致竣工后试验未能在缺陷责任期或双方另行同意的其他期限内完成，则相关工程或区段工程应视为已通过该竣工后试验。</w:t>
      </w:r>
    </w:p>
    <w:p>
      <w:pPr>
        <w:ind w:firstLine="480" w:firstLineChars="200"/>
        <w:rPr>
          <w:rFonts w:hint="eastAsia" w:ascii="宋体" w:hAnsi="宋体" w:eastAsia="宋体" w:cs="宋体"/>
          <w:color w:val="auto"/>
          <w:szCs w:val="24"/>
        </w:rPr>
      </w:pPr>
      <w:bookmarkStart w:id="557" w:name="_Toc54862280"/>
      <w:r>
        <w:rPr>
          <w:rFonts w:hint="eastAsia" w:ascii="宋体" w:hAnsi="宋体" w:eastAsia="宋体" w:cs="宋体"/>
          <w:color w:val="auto"/>
          <w:szCs w:val="24"/>
        </w:rPr>
        <w:t>12.3 重新试验</w:t>
      </w:r>
      <w:bookmarkEnd w:id="55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549"/>
    <w:p>
      <w:pPr>
        <w:ind w:firstLine="480" w:firstLineChars="200"/>
        <w:rPr>
          <w:rFonts w:hint="eastAsia" w:ascii="宋体" w:hAnsi="宋体" w:eastAsia="宋体" w:cs="宋体"/>
          <w:color w:val="auto"/>
          <w:szCs w:val="24"/>
        </w:rPr>
      </w:pPr>
      <w:bookmarkStart w:id="558" w:name="_Toc54862281"/>
      <w:bookmarkStart w:id="559" w:name="_Ref531954811"/>
      <w:bookmarkStart w:id="560" w:name="_Ref531954819"/>
      <w:r>
        <w:rPr>
          <w:rFonts w:hint="eastAsia" w:ascii="宋体" w:hAnsi="宋体" w:eastAsia="宋体" w:cs="宋体"/>
          <w:color w:val="auto"/>
          <w:szCs w:val="24"/>
        </w:rPr>
        <w:t>12.4 未能通过竣工后试验</w:t>
      </w:r>
      <w:bookmarkEnd w:id="558"/>
      <w:bookmarkEnd w:id="559"/>
      <w:bookmarkEnd w:id="560"/>
    </w:p>
    <w:p>
      <w:pPr>
        <w:ind w:firstLine="480" w:firstLineChars="200"/>
        <w:rPr>
          <w:rFonts w:hint="eastAsia" w:ascii="宋体" w:hAnsi="宋体" w:eastAsia="宋体" w:cs="宋体"/>
          <w:color w:val="auto"/>
          <w:szCs w:val="24"/>
        </w:rPr>
      </w:pPr>
      <w:bookmarkStart w:id="561" w:name="_Ref531954829"/>
      <w:r>
        <w:rPr>
          <w:rFonts w:hint="eastAsia" w:ascii="宋体" w:hAnsi="宋体" w:eastAsia="宋体" w:cs="宋体"/>
          <w:color w:val="auto"/>
          <w:szCs w:val="24"/>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6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12.4.3 发包人无故拖延给予承包人进行调查、调整或修补所需的进入工程或区段工程的许可，并造成承包人费用增加的，应承担由此增加的费用并支付承包人合理利润。</w:t>
      </w:r>
    </w:p>
    <w:p>
      <w:pPr>
        <w:ind w:firstLine="482" w:firstLineChars="200"/>
        <w:rPr>
          <w:rFonts w:hint="eastAsia" w:ascii="宋体" w:hAnsi="宋体" w:eastAsia="宋体" w:cs="宋体"/>
          <w:b/>
          <w:bCs/>
          <w:color w:val="auto"/>
          <w:szCs w:val="24"/>
        </w:rPr>
      </w:pPr>
      <w:bookmarkStart w:id="562" w:name="_Toc54862282"/>
      <w:bookmarkStart w:id="563" w:name="_Ref4415801"/>
      <w:r>
        <w:rPr>
          <w:rFonts w:hint="eastAsia" w:ascii="宋体" w:hAnsi="宋体" w:eastAsia="宋体" w:cs="宋体"/>
          <w:b/>
          <w:bCs/>
          <w:color w:val="auto"/>
          <w:szCs w:val="24"/>
        </w:rPr>
        <w:t>第13条 变更与调整</w:t>
      </w:r>
      <w:bookmarkEnd w:id="562"/>
      <w:bookmarkEnd w:id="563"/>
    </w:p>
    <w:p>
      <w:pPr>
        <w:ind w:firstLine="480" w:firstLineChars="200"/>
        <w:rPr>
          <w:rFonts w:hint="eastAsia" w:ascii="宋体" w:hAnsi="宋体" w:eastAsia="宋体" w:cs="宋体"/>
          <w:color w:val="auto"/>
          <w:szCs w:val="24"/>
        </w:rPr>
      </w:pPr>
      <w:bookmarkStart w:id="564" w:name="_Ref532670395"/>
      <w:bookmarkStart w:id="565" w:name="_Ref532677087"/>
      <w:bookmarkStart w:id="566" w:name="_Toc54862283"/>
      <w:bookmarkStart w:id="567" w:name="_Ref532668569"/>
      <w:bookmarkStart w:id="568" w:name="_Ref532670393"/>
      <w:bookmarkStart w:id="569" w:name="_Ref532668573"/>
      <w:bookmarkStart w:id="570" w:name="_Ref532677084"/>
      <w:r>
        <w:rPr>
          <w:rFonts w:hint="eastAsia" w:ascii="宋体" w:hAnsi="宋体" w:eastAsia="宋体" w:cs="宋体"/>
          <w:color w:val="auto"/>
          <w:szCs w:val="24"/>
        </w:rPr>
        <w:t>13.1 发包人变更权</w:t>
      </w:r>
      <w:bookmarkEnd w:id="564"/>
      <w:bookmarkEnd w:id="565"/>
      <w:bookmarkEnd w:id="566"/>
      <w:bookmarkEnd w:id="567"/>
      <w:bookmarkEnd w:id="568"/>
      <w:bookmarkEnd w:id="569"/>
      <w:bookmarkEnd w:id="570"/>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571" w:name="_Ref4534979"/>
      <w:r>
        <w:rPr>
          <w:rFonts w:hint="eastAsia" w:ascii="宋体" w:hAnsi="宋体" w:eastAsia="宋体" w:cs="宋体"/>
          <w:color w:val="auto"/>
          <w:szCs w:val="24"/>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571"/>
      <w:r>
        <w:rPr>
          <w:rFonts w:hint="eastAsia" w:ascii="宋体" w:hAnsi="宋体" w:eastAsia="宋体" w:cs="宋体"/>
          <w:color w:val="auto"/>
          <w:szCs w:val="24"/>
        </w:rPr>
        <w:t>发包人与承包人对某项指示或批准是否构成变更产生争议的，按第20条[争议解决]处理。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ind w:firstLine="480" w:firstLineChars="200"/>
        <w:rPr>
          <w:rFonts w:hint="eastAsia" w:ascii="宋体" w:hAnsi="宋体" w:eastAsia="宋体" w:cs="宋体"/>
          <w:color w:val="auto"/>
          <w:szCs w:val="24"/>
        </w:rPr>
      </w:pPr>
      <w:bookmarkStart w:id="572" w:name="_Ref531955590"/>
      <w:bookmarkStart w:id="573" w:name="_Ref531955587"/>
      <w:bookmarkStart w:id="574" w:name="_Ref4623207"/>
      <w:bookmarkStart w:id="575" w:name="_Toc54862284"/>
      <w:r>
        <w:rPr>
          <w:rFonts w:hint="eastAsia" w:ascii="宋体" w:hAnsi="宋体" w:eastAsia="宋体" w:cs="宋体"/>
          <w:color w:val="auto"/>
          <w:szCs w:val="24"/>
        </w:rPr>
        <w:t>13.2 承</w:t>
      </w:r>
      <w:bookmarkEnd w:id="572"/>
      <w:bookmarkEnd w:id="573"/>
      <w:r>
        <w:rPr>
          <w:rFonts w:hint="eastAsia" w:ascii="宋体" w:hAnsi="宋体" w:eastAsia="宋体" w:cs="宋体"/>
          <w:color w:val="auto"/>
          <w:szCs w:val="24"/>
        </w:rPr>
        <w:t>包人的合理化建议</w:t>
      </w:r>
      <w:bookmarkEnd w:id="574"/>
      <w:bookmarkEnd w:id="57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13.2.1 承包人提出合理化建议的，应向工程师提交合理化建议说明，说明建议的内容、理由以及实施该建议对合同价格和工期的影响。</w:t>
      </w:r>
    </w:p>
    <w:p>
      <w:pPr>
        <w:ind w:firstLine="480" w:firstLineChars="200"/>
        <w:rPr>
          <w:rFonts w:hint="eastAsia" w:ascii="宋体" w:hAnsi="宋体" w:eastAsia="宋体" w:cs="宋体"/>
          <w:color w:val="auto"/>
          <w:szCs w:val="24"/>
        </w:rPr>
      </w:pPr>
      <w:bookmarkStart w:id="576" w:name="_Ref4681686"/>
      <w:r>
        <w:rPr>
          <w:rFonts w:hint="eastAsia" w:ascii="宋体" w:hAnsi="宋体" w:eastAsia="宋体" w:cs="宋体"/>
          <w:color w:val="auto"/>
          <w:szCs w:val="24"/>
        </w:rPr>
        <w:t>13.2.2 除专用合同条件另有约定外，</w:t>
      </w:r>
      <w:bookmarkStart w:id="577" w:name="_Hlk4682273"/>
      <w:r>
        <w:rPr>
          <w:rFonts w:hint="eastAsia" w:ascii="宋体" w:hAnsi="宋体" w:eastAsia="宋体" w:cs="宋体"/>
          <w:color w:val="auto"/>
          <w:szCs w:val="24"/>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576"/>
      <w:r>
        <w:rPr>
          <w:rFonts w:hint="eastAsia" w:ascii="宋体" w:hAnsi="宋体" w:eastAsia="宋体" w:cs="宋体"/>
          <w:color w:val="auto"/>
          <w:szCs w:val="24"/>
        </w:rPr>
        <w:t>。</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13.2.3 合理化建议降低了合同价格、缩短了工期或者提高了工程经济效益的，双方可以按照专用合同条件的约定进行利益分享。</w:t>
      </w:r>
    </w:p>
    <w:bookmarkEnd w:id="577"/>
    <w:p>
      <w:pPr>
        <w:ind w:firstLine="480" w:firstLineChars="200"/>
        <w:rPr>
          <w:rFonts w:hint="eastAsia" w:ascii="宋体" w:hAnsi="宋体" w:eastAsia="宋体" w:cs="宋体"/>
          <w:color w:val="auto"/>
          <w:szCs w:val="24"/>
        </w:rPr>
      </w:pPr>
      <w:bookmarkStart w:id="578" w:name="_Ref532673541"/>
      <w:bookmarkStart w:id="579" w:name="_Ref532669302"/>
      <w:bookmarkStart w:id="580" w:name="_Ref532669305"/>
      <w:bookmarkStart w:id="581" w:name="_Toc54862285"/>
      <w:bookmarkStart w:id="582" w:name="_Ref532673538"/>
      <w:bookmarkStart w:id="583" w:name="_Ref532671484"/>
      <w:bookmarkStart w:id="584" w:name="_Ref532671480"/>
      <w:r>
        <w:rPr>
          <w:rFonts w:hint="eastAsia" w:ascii="宋体" w:hAnsi="宋体" w:eastAsia="宋体" w:cs="宋体"/>
          <w:color w:val="auto"/>
          <w:szCs w:val="24"/>
        </w:rPr>
        <w:t>13.3 变更程序</w:t>
      </w:r>
      <w:bookmarkEnd w:id="578"/>
      <w:bookmarkEnd w:id="579"/>
      <w:bookmarkEnd w:id="580"/>
      <w:bookmarkEnd w:id="581"/>
      <w:bookmarkEnd w:id="582"/>
      <w:bookmarkEnd w:id="583"/>
      <w:bookmarkEnd w:id="584"/>
    </w:p>
    <w:p>
      <w:pPr>
        <w:ind w:firstLine="480" w:firstLineChars="200"/>
        <w:rPr>
          <w:rFonts w:hint="eastAsia" w:ascii="宋体" w:hAnsi="宋体" w:eastAsia="宋体" w:cs="宋体"/>
          <w:color w:val="auto"/>
          <w:szCs w:val="24"/>
        </w:rPr>
      </w:pPr>
      <w:bookmarkStart w:id="585" w:name="_Ref4534600"/>
      <w:r>
        <w:rPr>
          <w:rFonts w:hint="eastAsia" w:ascii="宋体" w:hAnsi="宋体" w:eastAsia="宋体" w:cs="宋体"/>
          <w:color w:val="auto"/>
          <w:szCs w:val="24"/>
        </w:rPr>
        <w:t>13.3.1 发包人提出变更</w:t>
      </w:r>
      <w:bookmarkEnd w:id="58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发包人提出变更的，应通过工程师向承包人发出书面形式的变更指示，变更指示应说明计划变更的工程范围和变更的内容。</w:t>
      </w:r>
    </w:p>
    <w:p>
      <w:pPr>
        <w:ind w:firstLine="480" w:firstLineChars="200"/>
        <w:rPr>
          <w:rFonts w:hint="eastAsia" w:ascii="宋体" w:hAnsi="宋体" w:eastAsia="宋体" w:cs="宋体"/>
          <w:color w:val="auto"/>
          <w:szCs w:val="24"/>
        </w:rPr>
      </w:pPr>
      <w:bookmarkStart w:id="586" w:name="_Ref4534617"/>
      <w:r>
        <w:rPr>
          <w:rFonts w:hint="eastAsia" w:ascii="宋体" w:hAnsi="宋体" w:eastAsia="宋体" w:cs="宋体"/>
          <w:color w:val="auto"/>
          <w:szCs w:val="24"/>
        </w:rPr>
        <w:t>13.3.2 变更执行</w:t>
      </w:r>
      <w:bookmarkEnd w:id="58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ind w:firstLine="480" w:firstLineChars="200"/>
        <w:rPr>
          <w:rFonts w:hint="eastAsia" w:ascii="宋体" w:hAnsi="宋体" w:eastAsia="宋体" w:cs="宋体"/>
          <w:color w:val="auto"/>
          <w:szCs w:val="24"/>
        </w:rPr>
      </w:pPr>
      <w:bookmarkStart w:id="587" w:name="_Ref3835481"/>
      <w:r>
        <w:rPr>
          <w:rFonts w:hint="eastAsia" w:ascii="宋体" w:hAnsi="宋体" w:eastAsia="宋体" w:cs="宋体"/>
          <w:color w:val="auto"/>
          <w:szCs w:val="24"/>
        </w:rPr>
        <w:t>13.3.3 变更估价</w:t>
      </w:r>
      <w:bookmarkEnd w:id="58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13.3.3.1 变更估价原则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除专用合同条件另有约定外，变更估价按照本款约定处理：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合同中未包含价格清单，合同价格应按照所执行的变更工程的成本加利润调整；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合同中包含价格清单，合同价格按照如下规则调整：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价格清单中有适用于变更工程项目的，应采用该项目的费率和价格；</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价格清单中没有适用但有类似于变更工程项目的，可在合理范围内参照类似项目的费率或价格；</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价格清单中没有适用也没有类似于变更工程项目的，该工程项目应按成本加利润原则调整适用新的费率或价格。</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13.3.3.2 变更估价程序</w:t>
      </w:r>
    </w:p>
    <w:p>
      <w:pPr>
        <w:ind w:firstLine="480" w:firstLineChars="200"/>
        <w:rPr>
          <w:rFonts w:hint="eastAsia" w:ascii="宋体" w:hAnsi="宋体" w:eastAsia="宋体" w:cs="宋体"/>
          <w:color w:val="auto"/>
          <w:szCs w:val="24"/>
        </w:rPr>
      </w:pPr>
      <w:bookmarkStart w:id="588" w:name="_Ref531955605"/>
      <w:bookmarkStart w:id="589" w:name="_Ref531955607"/>
      <w:bookmarkStart w:id="590" w:name="_Toc296346651"/>
      <w:bookmarkStart w:id="591" w:name="_Toc296503150"/>
      <w:bookmarkStart w:id="592" w:name="_Toc337558844"/>
      <w:r>
        <w:rPr>
          <w:rFonts w:hint="eastAsia" w:ascii="宋体" w:hAnsi="宋体" w:eastAsia="宋体" w:cs="宋体"/>
          <w:color w:val="auto"/>
          <w:szCs w:val="24"/>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因变更引起的价格调整应计入最近一期的进度款中支付。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13.3.4 变更引起的工期调整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因变更引起工期变化的，合同当事人均可要求调整合同工期，由合同当事人按照第3.6款[商定或确定]并参考工程所在地的工期定额标准确定增减工期天数。</w:t>
      </w:r>
    </w:p>
    <w:p>
      <w:pPr>
        <w:ind w:firstLine="480" w:firstLineChars="200"/>
        <w:rPr>
          <w:rFonts w:hint="eastAsia" w:ascii="宋体" w:hAnsi="宋体" w:eastAsia="宋体" w:cs="宋体"/>
          <w:color w:val="auto"/>
          <w:szCs w:val="24"/>
        </w:rPr>
      </w:pPr>
      <w:bookmarkStart w:id="593" w:name="_Ref4431237"/>
      <w:bookmarkStart w:id="594" w:name="_Toc54862286"/>
      <w:r>
        <w:rPr>
          <w:rFonts w:hint="eastAsia" w:ascii="宋体" w:hAnsi="宋体" w:eastAsia="宋体" w:cs="宋体"/>
          <w:color w:val="auto"/>
          <w:szCs w:val="24"/>
        </w:rPr>
        <w:t>13.4 暂估价</w:t>
      </w:r>
      <w:bookmarkEnd w:id="593"/>
      <w:bookmarkEnd w:id="594"/>
    </w:p>
    <w:p>
      <w:pPr>
        <w:ind w:firstLine="480" w:firstLineChars="200"/>
        <w:rPr>
          <w:rFonts w:hint="eastAsia" w:ascii="宋体" w:hAnsi="宋体" w:eastAsia="宋体" w:cs="宋体"/>
          <w:color w:val="auto"/>
          <w:szCs w:val="24"/>
        </w:rPr>
      </w:pPr>
      <w:bookmarkStart w:id="595" w:name="_Ref4616729"/>
      <w:r>
        <w:rPr>
          <w:rFonts w:hint="eastAsia" w:ascii="宋体" w:hAnsi="宋体" w:eastAsia="宋体" w:cs="宋体"/>
          <w:color w:val="auto"/>
          <w:szCs w:val="24"/>
        </w:rPr>
        <w:t>13.4.1 依法必须招标的暂估价项目</w:t>
      </w:r>
      <w:bookmarkEnd w:id="59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对于依法必须招标的暂估价项目，专用合同条件约定由承包人作为招标人的，招标文件、评标方案、评标结果应报送发包人批准。与组织招标工作有关的费用应当被认为已经包括在承包人的签约合同价中。</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专用合同条件约定由发包人和承包人共同作为招标人的，与组织招标工作有关的费用在专用合同条件中约定。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具体的招标程序以及发包人和承包人权利义务关系可在专用合同条件中约定。暂估价项目的中标金额与价格清单中所列暂估价的金额差以及相应的税金等其他费用应列入合同价格。</w:t>
      </w:r>
    </w:p>
    <w:p>
      <w:pPr>
        <w:ind w:firstLine="480" w:firstLineChars="200"/>
        <w:rPr>
          <w:rFonts w:hint="eastAsia" w:ascii="宋体" w:hAnsi="宋体" w:eastAsia="宋体" w:cs="宋体"/>
          <w:color w:val="auto"/>
          <w:szCs w:val="24"/>
        </w:rPr>
      </w:pPr>
      <w:bookmarkStart w:id="596" w:name="_Ref4682312"/>
      <w:r>
        <w:rPr>
          <w:rFonts w:hint="eastAsia" w:ascii="宋体" w:hAnsi="宋体" w:eastAsia="宋体" w:cs="宋体"/>
          <w:color w:val="auto"/>
          <w:szCs w:val="24"/>
        </w:rPr>
        <w:t>13.4.2 不属于依法必须招标的暂估价项目</w:t>
      </w:r>
      <w:bookmarkEnd w:id="59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ind w:firstLine="480" w:firstLineChars="200"/>
        <w:rPr>
          <w:rFonts w:hint="eastAsia" w:ascii="宋体" w:hAnsi="宋体" w:eastAsia="宋体" w:cs="宋体"/>
          <w:color w:val="auto"/>
          <w:szCs w:val="24"/>
        </w:rPr>
      </w:pPr>
      <w:bookmarkStart w:id="597" w:name="_Toc54862287"/>
      <w:bookmarkStart w:id="598" w:name="_Ref4431250"/>
      <w:r>
        <w:rPr>
          <w:rFonts w:hint="eastAsia" w:ascii="宋体" w:hAnsi="宋体" w:eastAsia="宋体" w:cs="宋体"/>
          <w:color w:val="auto"/>
          <w:szCs w:val="24"/>
        </w:rPr>
        <w:t>13.5 暂列金额</w:t>
      </w:r>
      <w:bookmarkEnd w:id="597"/>
      <w:bookmarkEnd w:id="598"/>
      <w:r>
        <w:rPr>
          <w:rFonts w:hint="eastAsia" w:ascii="宋体" w:hAnsi="宋体" w:eastAsia="宋体" w:cs="宋体"/>
          <w:color w:val="auto"/>
          <w:szCs w:val="24"/>
        </w:rPr>
        <w:t xml:space="preserve"> </w:t>
      </w:r>
      <w:bookmarkEnd w:id="588"/>
      <w:bookmarkEnd w:id="589"/>
    </w:p>
    <w:bookmarkEnd w:id="590"/>
    <w:bookmarkEnd w:id="591"/>
    <w:bookmarkEnd w:id="592"/>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对于每笔暂列金额，发包人可以指示用于下列支付：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发包人根据第13.1款[发包人变更权]指示变更，决定对合同价格和付款计划表（如有）进行调整的、由承包人实施的工作（包括要提供的工程设备、材料和服务）；</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承包人购买的工程设备、材料、工作或服务，应支付包括承包人已付（或应付）的实际金额以及相应的管理费等费用和利润（管理费和利润应以实际金额为基数根据合同约定的费率（如有）或百分比计算）。</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每份包含暂列金额的文件还应包括用以证明暂列金额的所有有效的发票、凭证和账户或收据。</w:t>
      </w:r>
    </w:p>
    <w:p>
      <w:pPr>
        <w:ind w:firstLine="480" w:firstLineChars="200"/>
        <w:rPr>
          <w:rFonts w:hint="eastAsia" w:ascii="宋体" w:hAnsi="宋体" w:eastAsia="宋体" w:cs="宋体"/>
          <w:color w:val="auto"/>
          <w:szCs w:val="24"/>
        </w:rPr>
      </w:pPr>
      <w:bookmarkStart w:id="599" w:name="_Toc296346653"/>
      <w:bookmarkStart w:id="600" w:name="_Toc337558845"/>
      <w:bookmarkStart w:id="601" w:name="_Toc296503152"/>
      <w:bookmarkStart w:id="602" w:name="_Ref4431438"/>
      <w:bookmarkStart w:id="603" w:name="_Toc54862288"/>
      <w:r>
        <w:rPr>
          <w:rFonts w:hint="eastAsia" w:ascii="宋体" w:hAnsi="宋体" w:eastAsia="宋体" w:cs="宋体"/>
          <w:color w:val="auto"/>
          <w:szCs w:val="24"/>
        </w:rPr>
        <w:t>13.6 计日工</w:t>
      </w:r>
      <w:bookmarkEnd w:id="599"/>
      <w:bookmarkEnd w:id="600"/>
      <w:bookmarkEnd w:id="601"/>
      <w:bookmarkEnd w:id="602"/>
      <w:bookmarkEnd w:id="60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13.6.2 采用计日工计价的任何一项工作，承包人应在该项工作实施过程中，每天提交以下报表和有关凭证报送工程师审查：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工作名称、内容和数量；</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投入该工作的所有人员的姓名、专业、工种、级别和耗用工时；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投入该工作的材料类别和数量；</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投入该工作的施工设备型号、台数和耗用台时；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其他有关资料和凭证。</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计日工由承包人汇总后，列入最近一期进度付款申请单，由工程师审查并经发包人批准后列入进度付款。</w:t>
      </w:r>
    </w:p>
    <w:p>
      <w:pPr>
        <w:ind w:firstLine="480" w:firstLineChars="200"/>
        <w:rPr>
          <w:rFonts w:hint="eastAsia" w:ascii="宋体" w:hAnsi="宋体" w:eastAsia="宋体" w:cs="宋体"/>
          <w:color w:val="auto"/>
          <w:szCs w:val="24"/>
        </w:rPr>
      </w:pPr>
      <w:bookmarkStart w:id="604" w:name="_Toc54862289"/>
      <w:bookmarkStart w:id="605" w:name="_Ref4617318"/>
      <w:bookmarkStart w:id="606" w:name="_Ref4617331"/>
      <w:r>
        <w:rPr>
          <w:rFonts w:hint="eastAsia" w:ascii="宋体" w:hAnsi="宋体" w:eastAsia="宋体" w:cs="宋体"/>
          <w:color w:val="auto"/>
          <w:szCs w:val="24"/>
        </w:rPr>
        <w:t>13.7 法律变化引起的调整</w:t>
      </w:r>
      <w:bookmarkEnd w:id="604"/>
      <w:bookmarkEnd w:id="605"/>
      <w:bookmarkEnd w:id="60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13.7.2 因法律变化引起的合同价格和工期调整，合同当事人无法达成一致的，由工程师按第3.6款[商定或确定]的约定处理。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13.7.3 因承包人原因造成工期延误，在工期延误期间出现法律变化的，由此增加的费用和（或）延误的工期由承包人承担。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13.7.4 因法律变化而需要对工程的实施进行任何调整的，承包人应迅速通知发包人，或者发包人应迅速通知承包人，并附上详细的辅助资料。发包人接到通知后，应根据第13.3款[变更程序]发出变更指示。</w:t>
      </w:r>
    </w:p>
    <w:p>
      <w:pPr>
        <w:ind w:firstLine="480" w:firstLineChars="200"/>
        <w:rPr>
          <w:rFonts w:hint="eastAsia" w:ascii="宋体" w:hAnsi="宋体" w:eastAsia="宋体" w:cs="宋体"/>
          <w:color w:val="auto"/>
          <w:szCs w:val="24"/>
        </w:rPr>
      </w:pPr>
      <w:bookmarkStart w:id="607" w:name="_Ref18977613"/>
      <w:bookmarkStart w:id="608" w:name="_Ref531955627"/>
      <w:bookmarkStart w:id="609" w:name="_Toc54862290"/>
      <w:bookmarkStart w:id="610" w:name="_Ref531955630"/>
      <w:r>
        <w:rPr>
          <w:rFonts w:hint="eastAsia" w:ascii="宋体" w:hAnsi="宋体" w:eastAsia="宋体" w:cs="宋体"/>
          <w:color w:val="auto"/>
          <w:szCs w:val="24"/>
        </w:rPr>
        <w:t>13.8 市场价格波动引起的调整</w:t>
      </w:r>
      <w:bookmarkEnd w:id="607"/>
      <w:bookmarkEnd w:id="608"/>
      <w:bookmarkEnd w:id="609"/>
      <w:bookmarkEnd w:id="610"/>
    </w:p>
    <w:p>
      <w:pPr>
        <w:ind w:firstLine="480" w:firstLineChars="200"/>
        <w:rPr>
          <w:rFonts w:hint="eastAsia" w:ascii="宋体" w:hAnsi="宋体" w:eastAsia="宋体" w:cs="宋体"/>
          <w:color w:val="auto"/>
          <w:szCs w:val="24"/>
        </w:rPr>
      </w:pPr>
      <w:bookmarkStart w:id="611" w:name="_Ref4709841"/>
      <w:r>
        <w:rPr>
          <w:rFonts w:hint="eastAsia" w:ascii="宋体" w:hAnsi="宋体" w:eastAsia="宋体" w:cs="宋体"/>
          <w:color w:val="auto"/>
          <w:szCs w:val="24"/>
        </w:rPr>
        <w:t>13.8.1 主要工程材料、设备、人工价格与招标时基期价相比，波动幅度超过合同约定幅度的，双方按照合同约定的价格调整方式调整。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13.8.2 发包人与承包人在专用合同条件中约定采用《价格指数权重表》的，适用本项约定。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13.8.2.1 双方当事人可以将部分主要工程材料、工程设备、人工价格及其他双方认为应当根据市场价格调整的费用列入附件6[价格指数权重表]，并根据以下公式计算差额并调整合同价格：</w:t>
      </w:r>
    </w:p>
    <w:bookmarkEnd w:id="611"/>
    <w:p>
      <w:pPr>
        <w:ind w:firstLine="480" w:firstLineChars="200"/>
        <w:rPr>
          <w:rFonts w:hint="eastAsia" w:ascii="宋体" w:hAnsi="宋体" w:eastAsia="宋体" w:cs="宋体"/>
          <w:color w:val="auto"/>
          <w:szCs w:val="24"/>
        </w:rPr>
      </w:pPr>
      <w:bookmarkStart w:id="612" w:name="_Ref4616996"/>
      <w:r>
        <w:rPr>
          <w:rFonts w:hint="eastAsia" w:ascii="宋体" w:hAnsi="宋体" w:eastAsia="宋体" w:cs="宋体"/>
          <w:color w:val="auto"/>
          <w:szCs w:val="24"/>
        </w:rPr>
        <w:t>（1） 价格调整公式</w:t>
      </w:r>
      <w:bookmarkEnd w:id="61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drawing>
          <wp:inline distT="0" distB="0" distL="114300" distR="114300">
            <wp:extent cx="4777740" cy="678815"/>
            <wp:effectExtent l="0" t="0" r="3810" b="698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9"/>
                    <a:stretch>
                      <a:fillRect/>
                    </a:stretch>
                  </pic:blipFill>
                  <pic:spPr>
                    <a:xfrm>
                      <a:off x="0" y="0"/>
                      <a:ext cx="4777740" cy="678815"/>
                    </a:xfrm>
                    <a:prstGeom prst="rect">
                      <a:avLst/>
                    </a:prstGeom>
                    <a:noFill/>
                    <a:ln>
                      <a:noFill/>
                    </a:ln>
                  </pic:spPr>
                </pic:pic>
              </a:graphicData>
            </a:graphic>
          </wp:inline>
        </w:drawing>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公式中：△P---需调整的价格差额；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A ---定值权重（即不调部分的权重）； </w:t>
      </w:r>
    </w:p>
    <w:p>
      <w:pPr>
        <w:ind w:firstLine="480" w:firstLineChars="200"/>
        <w:rPr>
          <w:rFonts w:hint="eastAsia" w:ascii="宋体" w:hAnsi="宋体" w:eastAsia="宋体" w:cs="宋体"/>
          <w:color w:val="auto"/>
          <w:szCs w:val="24"/>
        </w:rPr>
      </w:pPr>
      <w:bookmarkStart w:id="613" w:name="_Hlk24103184"/>
      <w:r>
        <w:rPr>
          <w:rFonts w:hint="eastAsia" w:ascii="宋体" w:hAnsi="宋体" w:eastAsia="宋体" w:cs="宋体"/>
          <w:color w:val="auto"/>
          <w:szCs w:val="24"/>
        </w:rPr>
        <w:t>B1</w:t>
      </w:r>
      <w:bookmarkEnd w:id="613"/>
      <w:r>
        <w:rPr>
          <w:rFonts w:hint="eastAsia" w:ascii="宋体" w:hAnsi="宋体" w:eastAsia="宋体" w:cs="宋体"/>
          <w:color w:val="auto"/>
          <w:szCs w:val="24"/>
        </w:rPr>
        <w:t>；</w:t>
      </w:r>
      <w:bookmarkStart w:id="614" w:name="_Hlk24103205"/>
      <w:r>
        <w:rPr>
          <w:rFonts w:hint="eastAsia" w:ascii="宋体" w:hAnsi="宋体" w:eastAsia="宋体" w:cs="宋体"/>
          <w:color w:val="auto"/>
          <w:szCs w:val="24"/>
        </w:rPr>
        <w:t>B2</w:t>
      </w:r>
      <w:bookmarkEnd w:id="614"/>
      <w:r>
        <w:rPr>
          <w:rFonts w:hint="eastAsia" w:ascii="宋体" w:hAnsi="宋体" w:eastAsia="宋体" w:cs="宋体"/>
          <w:color w:val="auto"/>
          <w:szCs w:val="24"/>
        </w:rPr>
        <w:t>；</w:t>
      </w:r>
      <w:bookmarkStart w:id="615" w:name="_Hlk24103220"/>
      <w:r>
        <w:rPr>
          <w:rFonts w:hint="eastAsia" w:ascii="宋体" w:hAnsi="宋体" w:eastAsia="宋体" w:cs="宋体"/>
          <w:color w:val="auto"/>
          <w:szCs w:val="24"/>
        </w:rPr>
        <w:t>B3</w:t>
      </w:r>
      <w:bookmarkEnd w:id="615"/>
      <w:r>
        <w:rPr>
          <w:rFonts w:hint="eastAsia" w:ascii="宋体" w:hAnsi="宋体" w:eastAsia="宋体" w:cs="宋体"/>
          <w:color w:val="auto"/>
          <w:szCs w:val="24"/>
        </w:rPr>
        <w:t>；……</w:t>
      </w:r>
      <w:bookmarkStart w:id="616" w:name="_Hlk24103245"/>
      <w:r>
        <w:rPr>
          <w:rFonts w:hint="eastAsia" w:ascii="宋体" w:hAnsi="宋体" w:eastAsia="宋体" w:cs="宋体"/>
          <w:color w:val="auto"/>
          <w:szCs w:val="24"/>
        </w:rPr>
        <w:t>Bn</w:t>
      </w:r>
      <w:bookmarkEnd w:id="616"/>
      <w:r>
        <w:rPr>
          <w:rFonts w:hint="eastAsia" w:ascii="宋体" w:hAnsi="宋体" w:eastAsia="宋体" w:cs="宋体"/>
          <w:color w:val="auto"/>
          <w:szCs w:val="24"/>
        </w:rPr>
        <w:t>---各可调因子的变值权重（即可调部分的权重）为各可调因子在投标函投标总报价中所占的比例，且A+B1+B2+B3+……+Bn=1；</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Ft1；Ft2；Ft3；……Ftn---各可调因子的当期价格指数，指付款证书相关周期最后一天的前42天的各可调因子的价格指数；</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F01；F02；F03；……F0n---各可调因子的基本价格指数，指基准日期的各可调因子的价格指数。</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暂时确定调整差额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在计算调整差额时得不到当期价格指数的，可暂用上一次价格指数计算，并在以后的付款中再按实际价格指数进行调整。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权重的调整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按第13.1款[发包人变更权]约定的变更导致原定合同中的权重不合理的，由工程师与承包人和发包人协商后进行调整。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承包人原因工期延误后的价格调整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发包人引起的工期延误后的价格调整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13.8.2.2 未列入</w:t>
      </w:r>
      <w:bookmarkStart w:id="617" w:name="_Hlk24494865"/>
      <w:r>
        <w:rPr>
          <w:rFonts w:hint="eastAsia" w:ascii="宋体" w:hAnsi="宋体" w:eastAsia="宋体" w:cs="宋体"/>
          <w:color w:val="auto"/>
          <w:szCs w:val="24"/>
        </w:rPr>
        <w:t>《价格指数权重表》</w:t>
      </w:r>
      <w:bookmarkEnd w:id="617"/>
      <w:r>
        <w:rPr>
          <w:rFonts w:hint="eastAsia" w:ascii="宋体" w:hAnsi="宋体" w:eastAsia="宋体" w:cs="宋体"/>
          <w:color w:val="auto"/>
          <w:szCs w:val="24"/>
        </w:rPr>
        <w:t>的费用不因市场变化而调整。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13.8.3 双方约定采用其他方式调整合同价款的，以专用合同条件约定为准。</w:t>
      </w:r>
    </w:p>
    <w:p>
      <w:pPr>
        <w:ind w:firstLine="482" w:firstLineChars="200"/>
        <w:rPr>
          <w:rFonts w:hint="eastAsia" w:ascii="宋体" w:hAnsi="宋体" w:eastAsia="宋体" w:cs="宋体"/>
          <w:b/>
          <w:bCs/>
          <w:color w:val="auto"/>
          <w:szCs w:val="24"/>
        </w:rPr>
      </w:pPr>
      <w:bookmarkStart w:id="618" w:name="_Ref531955885"/>
      <w:bookmarkStart w:id="619" w:name="_Toc54862291"/>
      <w:bookmarkStart w:id="620" w:name="_Ref531955880"/>
      <w:r>
        <w:rPr>
          <w:rFonts w:hint="eastAsia" w:ascii="宋体" w:hAnsi="宋体" w:eastAsia="宋体" w:cs="宋体"/>
          <w:b/>
          <w:bCs/>
          <w:color w:val="auto"/>
          <w:szCs w:val="24"/>
        </w:rPr>
        <w:t>第14条 合同价格与支付</w:t>
      </w:r>
      <w:bookmarkEnd w:id="618"/>
      <w:bookmarkEnd w:id="619"/>
      <w:bookmarkEnd w:id="620"/>
    </w:p>
    <w:p>
      <w:pPr>
        <w:ind w:firstLine="480" w:firstLineChars="200"/>
        <w:rPr>
          <w:rFonts w:hint="eastAsia" w:ascii="宋体" w:hAnsi="宋体" w:eastAsia="宋体" w:cs="宋体"/>
          <w:color w:val="auto"/>
          <w:szCs w:val="24"/>
        </w:rPr>
      </w:pPr>
      <w:bookmarkStart w:id="621" w:name="_Ref4431531"/>
      <w:bookmarkStart w:id="622" w:name="_Toc54862292"/>
      <w:bookmarkStart w:id="623" w:name="_Ref4431521"/>
      <w:r>
        <w:rPr>
          <w:rFonts w:hint="eastAsia" w:ascii="宋体" w:hAnsi="宋体" w:eastAsia="宋体" w:cs="宋体"/>
          <w:color w:val="auto"/>
          <w:szCs w:val="24"/>
        </w:rPr>
        <w:t>14.1 合同价格形式</w:t>
      </w:r>
      <w:bookmarkEnd w:id="621"/>
      <w:bookmarkEnd w:id="622"/>
      <w:bookmarkEnd w:id="62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14.1.1 除专用合同条件中另有约定外，本合同为总价合同，除根据第13条[变更与调整]，以及合同中其它相关增减金额的约定进行调整外，合同价格不做调整。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14.1.2 除专用合同条件另有约定外：</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工程款的支付应以合同协议书约定的签约合同价格为基础，按照合同约定进行调整；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承包人应支付根据法律规定或合同约定应由其支付的各项税费，除第13.7款[法律变化引起的调整]约定外，合同价格不应因任何这些税费进行调整；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14.1.3 合同约定工程的某部分按照实际完成的工程量进行支付的，应按照专用合同条件的约定进行计量和估价，并据此调整合同价格。</w:t>
      </w:r>
    </w:p>
    <w:p>
      <w:pPr>
        <w:ind w:firstLine="480" w:firstLineChars="200"/>
        <w:rPr>
          <w:rFonts w:hint="eastAsia" w:ascii="宋体" w:hAnsi="宋体" w:eastAsia="宋体" w:cs="宋体"/>
          <w:color w:val="auto"/>
          <w:szCs w:val="24"/>
        </w:rPr>
      </w:pPr>
      <w:bookmarkStart w:id="624" w:name="_Ref531956884"/>
      <w:bookmarkStart w:id="625" w:name="_Toc54862293"/>
      <w:bookmarkStart w:id="626" w:name="_Ref531956881"/>
      <w:r>
        <w:rPr>
          <w:rFonts w:hint="eastAsia" w:ascii="宋体" w:hAnsi="宋体" w:eastAsia="宋体" w:cs="宋体"/>
          <w:color w:val="auto"/>
          <w:szCs w:val="24"/>
        </w:rPr>
        <w:t>14.2 预付款</w:t>
      </w:r>
      <w:bookmarkEnd w:id="624"/>
      <w:bookmarkEnd w:id="625"/>
      <w:bookmarkEnd w:id="62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14.2.1 预付款支付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预付款的额度和支付按照专用合同条件约定执行。预付款应当专用于承包人为合同工程的设计和工程实施购置材料、工程设备、施工设备、修建临时设施以及组织施工队伍进场等合同工作。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除专用合同条件另有约定外，预付款在进度付款中同比例扣回。在颁发工程接收证书前，提前解除合同的，尚未扣完的预付款应与合同价款一并结算。</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发包人逾期支付预付款超过7天的，承包人有权向发包人发出要求预付的催告通知，发包人收到通知后7天内仍未支付的，承包人有权暂停施工，并按第15.1.1项[发包人违约的情形]执行。</w:t>
      </w:r>
    </w:p>
    <w:p>
      <w:pPr>
        <w:ind w:firstLine="480" w:firstLineChars="200"/>
        <w:rPr>
          <w:rFonts w:hint="eastAsia" w:ascii="宋体" w:hAnsi="宋体" w:eastAsia="宋体" w:cs="宋体"/>
          <w:color w:val="auto"/>
          <w:szCs w:val="24"/>
        </w:rPr>
      </w:pPr>
      <w:bookmarkStart w:id="627" w:name="_Ref531956907"/>
      <w:bookmarkStart w:id="628" w:name="_Ref4797624"/>
      <w:bookmarkStart w:id="629" w:name="_Hlk54429963"/>
      <w:r>
        <w:rPr>
          <w:rFonts w:hint="eastAsia" w:ascii="宋体" w:hAnsi="宋体" w:eastAsia="宋体" w:cs="宋体"/>
          <w:color w:val="auto"/>
          <w:szCs w:val="24"/>
        </w:rPr>
        <w:t>14.2.2 预付款</w:t>
      </w:r>
      <w:bookmarkEnd w:id="627"/>
      <w:r>
        <w:rPr>
          <w:rFonts w:hint="eastAsia" w:ascii="宋体" w:hAnsi="宋体" w:eastAsia="宋体" w:cs="宋体"/>
          <w:color w:val="auto"/>
          <w:szCs w:val="24"/>
        </w:rPr>
        <w:t>担保</w:t>
      </w:r>
      <w:bookmarkEnd w:id="628"/>
    </w:p>
    <w:bookmarkEnd w:id="629"/>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发包人在工程款中逐期扣回预付款后，预付款担保额度应相应减少，但剩余的预付款担保金额不得低于未被扣回的预付款金额。</w:t>
      </w:r>
    </w:p>
    <w:p>
      <w:pPr>
        <w:ind w:firstLine="480" w:firstLineChars="200"/>
        <w:rPr>
          <w:rFonts w:hint="eastAsia" w:ascii="宋体" w:hAnsi="宋体" w:eastAsia="宋体" w:cs="宋体"/>
          <w:color w:val="auto"/>
          <w:szCs w:val="24"/>
        </w:rPr>
      </w:pPr>
      <w:bookmarkStart w:id="630" w:name="_Toc4784194"/>
      <w:bookmarkEnd w:id="630"/>
      <w:bookmarkStart w:id="631" w:name="_Toc4784195"/>
      <w:bookmarkEnd w:id="631"/>
      <w:bookmarkStart w:id="632" w:name="_Toc4784193"/>
      <w:bookmarkEnd w:id="632"/>
      <w:bookmarkStart w:id="633" w:name="_Toc54862294"/>
      <w:bookmarkStart w:id="634" w:name="_Ref4623398"/>
      <w:bookmarkStart w:id="635" w:name="_Ref531956963"/>
      <w:bookmarkStart w:id="636" w:name="_Ref531956967"/>
      <w:r>
        <w:rPr>
          <w:rFonts w:hint="eastAsia" w:ascii="宋体" w:hAnsi="宋体" w:eastAsia="宋体" w:cs="宋体"/>
          <w:color w:val="auto"/>
          <w:szCs w:val="24"/>
        </w:rPr>
        <w:t>14.3 工程进度款</w:t>
      </w:r>
      <w:bookmarkEnd w:id="633"/>
      <w:bookmarkEnd w:id="634"/>
      <w:bookmarkEnd w:id="635"/>
      <w:bookmarkEnd w:id="636"/>
    </w:p>
    <w:p>
      <w:pPr>
        <w:ind w:firstLine="480" w:firstLineChars="200"/>
        <w:rPr>
          <w:rFonts w:hint="eastAsia" w:ascii="宋体" w:hAnsi="宋体" w:eastAsia="宋体" w:cs="宋体"/>
          <w:color w:val="auto"/>
          <w:szCs w:val="24"/>
        </w:rPr>
      </w:pPr>
      <w:bookmarkStart w:id="637" w:name="_Ref531956987"/>
      <w:bookmarkStart w:id="638" w:name="_Ref532679934"/>
      <w:r>
        <w:rPr>
          <w:rFonts w:hint="eastAsia" w:ascii="宋体" w:hAnsi="宋体" w:eastAsia="宋体" w:cs="宋体"/>
          <w:color w:val="auto"/>
          <w:szCs w:val="24"/>
        </w:rPr>
        <w:t>14.3.1 工程进度付款申请</w:t>
      </w:r>
      <w:bookmarkEnd w:id="637"/>
      <w:bookmarkEnd w:id="63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（1）人工费的申请</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（2）除专用合同条件另有约定外，承包人应在每月月末向工程师提交进度付款申请单，该进度付款申请单应包括下列内容：</w:t>
      </w:r>
    </w:p>
    <w:p>
      <w:pPr>
        <w:ind w:firstLine="480" w:firstLineChars="200"/>
        <w:rPr>
          <w:rFonts w:hint="eastAsia" w:ascii="宋体" w:hAnsi="宋体" w:eastAsia="宋体" w:cs="宋体"/>
          <w:color w:val="auto"/>
          <w:szCs w:val="24"/>
        </w:rPr>
      </w:pPr>
      <w:bookmarkStart w:id="639" w:name="_Ref24496054"/>
      <w:r>
        <w:rPr>
          <w:rFonts w:hint="eastAsia" w:ascii="宋体" w:hAnsi="宋体" w:eastAsia="宋体" w:cs="宋体"/>
          <w:color w:val="auto"/>
          <w:szCs w:val="24"/>
        </w:rPr>
        <w:t>1） 截至本次付款周期内已完成工作对应的金额；</w:t>
      </w:r>
      <w:bookmarkEnd w:id="63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扣除依据本款第（1）目约定中已扣除的人工费金额；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根据第13条[变更与调整]应增加和扣减的变更金额；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根据第14.2款[预付款]约定应支付的预付款和扣减的返还预付款；</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根据第14.6.2项[质量保证金的预留]约定应预留的质量保证金金额；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根据第19条[索赔]应增加和扣减的索赔金额；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对已签发的进度款支付证书中出现错误的修正，应在本次进度付款中支付或扣除的金额；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 根据合同约定应增加和扣减的其他金额。</w:t>
      </w:r>
    </w:p>
    <w:p>
      <w:pPr>
        <w:ind w:firstLine="480" w:firstLineChars="200"/>
        <w:rPr>
          <w:rFonts w:hint="eastAsia" w:ascii="宋体" w:hAnsi="宋体" w:eastAsia="宋体" w:cs="宋体"/>
          <w:color w:val="auto"/>
          <w:szCs w:val="24"/>
        </w:rPr>
      </w:pPr>
      <w:bookmarkStart w:id="640" w:name="_Ref531957608"/>
      <w:r>
        <w:rPr>
          <w:rFonts w:hint="eastAsia" w:ascii="宋体" w:hAnsi="宋体" w:eastAsia="宋体" w:cs="宋体"/>
          <w:color w:val="auto"/>
          <w:szCs w:val="24"/>
        </w:rPr>
        <w:t>14.3.2 进度付款审核和支付</w:t>
      </w:r>
      <w:bookmarkEnd w:id="64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发包人签发进度款支付证书，不表明发包人已同意、批准或接受了承包人完成的相应部分的工作。</w:t>
      </w:r>
    </w:p>
    <w:p>
      <w:pPr>
        <w:ind w:firstLine="480" w:firstLineChars="200"/>
        <w:rPr>
          <w:rFonts w:hint="eastAsia" w:ascii="宋体" w:hAnsi="宋体" w:eastAsia="宋体" w:cs="宋体"/>
          <w:color w:val="auto"/>
          <w:szCs w:val="24"/>
        </w:rPr>
      </w:pPr>
      <w:bookmarkStart w:id="641" w:name="_Ref531957023"/>
      <w:r>
        <w:rPr>
          <w:rFonts w:hint="eastAsia" w:ascii="宋体" w:hAnsi="宋体" w:eastAsia="宋体" w:cs="宋体"/>
          <w:color w:val="auto"/>
          <w:szCs w:val="24"/>
        </w:rPr>
        <w:t>14.3.3 进度付款的修正</w:t>
      </w:r>
      <w:bookmarkEnd w:id="64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在对已签发的进度款支付证书进行阶段汇总和复核中发现错误、遗漏或重复的，发包人和承包人均有权提出修正申请。经发包人和承包人同意的修正，应在下期进度付款中支付或扣除。</w:t>
      </w:r>
    </w:p>
    <w:p>
      <w:pPr>
        <w:ind w:firstLine="480" w:firstLineChars="200"/>
        <w:rPr>
          <w:rFonts w:hint="eastAsia" w:ascii="宋体" w:hAnsi="宋体" w:eastAsia="宋体" w:cs="宋体"/>
          <w:color w:val="auto"/>
          <w:szCs w:val="24"/>
        </w:rPr>
      </w:pPr>
      <w:bookmarkStart w:id="642" w:name="_Ref4538578"/>
      <w:bookmarkStart w:id="643" w:name="_Toc54862295"/>
      <w:bookmarkStart w:id="644" w:name="_Ref536647814"/>
      <w:bookmarkStart w:id="645" w:name="_Ref536647822"/>
      <w:r>
        <w:rPr>
          <w:rFonts w:hint="eastAsia" w:ascii="宋体" w:hAnsi="宋体" w:eastAsia="宋体" w:cs="宋体"/>
          <w:color w:val="auto"/>
          <w:szCs w:val="24"/>
        </w:rPr>
        <w:t>14.4 付款计划表</w:t>
      </w:r>
      <w:bookmarkEnd w:id="642"/>
      <w:bookmarkEnd w:id="643"/>
    </w:p>
    <w:p>
      <w:pPr>
        <w:ind w:firstLine="480" w:firstLineChars="200"/>
        <w:rPr>
          <w:rFonts w:hint="eastAsia" w:ascii="宋体" w:hAnsi="宋体" w:eastAsia="宋体" w:cs="宋体"/>
          <w:color w:val="auto"/>
          <w:szCs w:val="24"/>
        </w:rPr>
      </w:pPr>
      <w:bookmarkStart w:id="646" w:name="_Ref4570974"/>
      <w:r>
        <w:rPr>
          <w:rFonts w:hint="eastAsia" w:ascii="宋体" w:hAnsi="宋体" w:eastAsia="宋体" w:cs="宋体"/>
          <w:color w:val="auto"/>
          <w:szCs w:val="24"/>
        </w:rPr>
        <w:t>14.4.1 付款计划表的编制要求</w:t>
      </w:r>
      <w:bookmarkEnd w:id="64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除专用合同条件另有约定外，付款计划表按如下要求编制：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付款计划表中所列的每期付款金额，应为第14.3.1项[工程进度付款申请]每期进度款的估算金额；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实际进度与项目进度计划不一致的，合同当事人可按照第3.6款[商定或确定]修改付款计划表；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不采用付款计划表的，承包人应向工程师提交按季度编制的支付估算付款计划表，用于支付参考。</w:t>
      </w:r>
    </w:p>
    <w:p>
      <w:pPr>
        <w:ind w:firstLine="480" w:firstLineChars="200"/>
        <w:rPr>
          <w:rFonts w:hint="eastAsia" w:ascii="宋体" w:hAnsi="宋体" w:eastAsia="宋体" w:cs="宋体"/>
          <w:color w:val="auto"/>
          <w:szCs w:val="24"/>
        </w:rPr>
      </w:pPr>
      <w:bookmarkStart w:id="647" w:name="_Ref4571011"/>
      <w:r>
        <w:rPr>
          <w:rFonts w:hint="eastAsia" w:ascii="宋体" w:hAnsi="宋体" w:eastAsia="宋体" w:cs="宋体"/>
          <w:color w:val="auto"/>
          <w:szCs w:val="24"/>
        </w:rPr>
        <w:t>14.4.2 付款计划表的编制与审批</w:t>
      </w:r>
      <w:bookmarkEnd w:id="64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工程师应在收到付款计划表后7天内完成审核并报送发包人。发包人应在收到经工程师审核的付款计划表后7天内完成审批，经发包人批准的付款计划表为有约束力的付款计划表。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发包人逾期未完成付款计划表审批的，也未及时要求承包人进行修正和提供补充资料的，则承包人提交的付款计划表视为已经获得发包人批准。</w:t>
      </w:r>
    </w:p>
    <w:p>
      <w:pPr>
        <w:ind w:firstLine="480" w:firstLineChars="200"/>
        <w:rPr>
          <w:rFonts w:hint="eastAsia" w:ascii="宋体" w:hAnsi="宋体" w:eastAsia="宋体" w:cs="宋体"/>
          <w:color w:val="auto"/>
          <w:szCs w:val="24"/>
        </w:rPr>
      </w:pPr>
      <w:bookmarkStart w:id="648" w:name="_Ref4538634"/>
      <w:bookmarkStart w:id="649" w:name="_Toc54862296"/>
      <w:r>
        <w:rPr>
          <w:rFonts w:hint="eastAsia" w:ascii="宋体" w:hAnsi="宋体" w:eastAsia="宋体" w:cs="宋体"/>
          <w:color w:val="auto"/>
          <w:szCs w:val="24"/>
        </w:rPr>
        <w:t>14.5 竣工结算</w:t>
      </w:r>
      <w:bookmarkEnd w:id="648"/>
      <w:bookmarkEnd w:id="649"/>
    </w:p>
    <w:p>
      <w:pPr>
        <w:ind w:firstLine="480" w:firstLineChars="200"/>
        <w:rPr>
          <w:rFonts w:hint="eastAsia" w:ascii="宋体" w:hAnsi="宋体" w:eastAsia="宋体" w:cs="宋体"/>
          <w:color w:val="auto"/>
          <w:szCs w:val="24"/>
        </w:rPr>
      </w:pPr>
      <w:bookmarkStart w:id="650" w:name="_Ref4571361"/>
      <w:r>
        <w:rPr>
          <w:rFonts w:hint="eastAsia" w:ascii="宋体" w:hAnsi="宋体" w:eastAsia="宋体" w:cs="宋体"/>
          <w:color w:val="auto"/>
          <w:szCs w:val="24"/>
        </w:rPr>
        <w:t>14.5.1 竣工结算申请</w:t>
      </w:r>
      <w:bookmarkEnd w:id="65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除专用合同条件另有约定外，竣工结算申请单应包括以下内容：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竣工结算合同价格；</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发包人已支付承包人的款项；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发包人应支付承包人的合同价款。</w:t>
      </w:r>
    </w:p>
    <w:p>
      <w:pPr>
        <w:ind w:firstLine="480" w:firstLineChars="200"/>
        <w:rPr>
          <w:rFonts w:hint="eastAsia" w:ascii="宋体" w:hAnsi="宋体" w:eastAsia="宋体" w:cs="宋体"/>
          <w:color w:val="auto"/>
          <w:szCs w:val="24"/>
        </w:rPr>
      </w:pPr>
      <w:bookmarkStart w:id="651" w:name="_Ref4571384"/>
      <w:r>
        <w:rPr>
          <w:rFonts w:hint="eastAsia" w:ascii="宋体" w:hAnsi="宋体" w:eastAsia="宋体" w:cs="宋体"/>
          <w:color w:val="auto"/>
          <w:szCs w:val="24"/>
        </w:rPr>
        <w:t>14.5.2 竣工结算审核</w:t>
      </w:r>
      <w:bookmarkEnd w:id="65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ind w:firstLine="480" w:firstLineChars="200"/>
        <w:rPr>
          <w:rFonts w:hint="eastAsia" w:ascii="宋体" w:hAnsi="宋体" w:eastAsia="宋体" w:cs="宋体"/>
          <w:color w:val="auto"/>
          <w:szCs w:val="24"/>
        </w:rPr>
      </w:pPr>
      <w:bookmarkStart w:id="652" w:name="_Ref4618006"/>
      <w:r>
        <w:rPr>
          <w:rFonts w:hint="eastAsia" w:ascii="宋体" w:hAnsi="宋体" w:eastAsia="宋体" w:cs="宋体"/>
          <w:color w:val="auto"/>
          <w:szCs w:val="24"/>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65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ind w:firstLine="480" w:firstLineChars="200"/>
        <w:rPr>
          <w:rFonts w:hint="eastAsia" w:ascii="宋体" w:hAnsi="宋体" w:eastAsia="宋体" w:cs="宋体"/>
          <w:color w:val="auto"/>
          <w:szCs w:val="24"/>
        </w:rPr>
      </w:pPr>
      <w:bookmarkStart w:id="653" w:name="_Ref15484305"/>
      <w:r>
        <w:rPr>
          <w:rFonts w:hint="eastAsia" w:ascii="宋体" w:hAnsi="宋体" w:eastAsia="宋体" w:cs="宋体"/>
          <w:color w:val="auto"/>
          <w:szCs w:val="24"/>
        </w:rPr>
        <w:t>14.5.3 扫尾工作清单</w:t>
      </w:r>
      <w:bookmarkEnd w:id="65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经双方协商，部分工作在工程竣工验收后进行的，承包人应当编制扫尾工作清单，扫尾工作清单中应当列明承包人应当完成的扫尾工作的内容及完成时间。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承包人完成扫尾工作清单中的内容应取得的费用包含在第14.5.1项[竣工结算申请]及第14.5.2项[竣工结算审核]中一并结算。</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扫尾工作的缺陷责任期按第11条[缺陷责任与保修]处理。承包人未能按照扫尾工作清单约定的完成时间完成扫尾工作的，视为承包人原因导致的工程质量缺陷按照第11.3款[缺陷调查]处理。</w:t>
      </w:r>
    </w:p>
    <w:p>
      <w:pPr>
        <w:ind w:firstLine="480" w:firstLineChars="200"/>
        <w:rPr>
          <w:rFonts w:hint="eastAsia" w:ascii="宋体" w:hAnsi="宋体" w:eastAsia="宋体" w:cs="宋体"/>
          <w:color w:val="auto"/>
          <w:szCs w:val="24"/>
        </w:rPr>
      </w:pPr>
      <w:bookmarkStart w:id="654" w:name="_Ref4571100"/>
      <w:bookmarkStart w:id="655" w:name="_Ref4571127"/>
      <w:bookmarkStart w:id="656" w:name="_Ref15395020"/>
      <w:bookmarkStart w:id="657" w:name="_Ref4617582"/>
      <w:bookmarkStart w:id="658" w:name="_Toc54862297"/>
      <w:bookmarkStart w:id="659" w:name="_Ref4617592"/>
      <w:bookmarkStart w:id="660" w:name="_Ref4582115"/>
      <w:bookmarkStart w:id="661" w:name="_Hlk15394931"/>
      <w:r>
        <w:rPr>
          <w:rFonts w:hint="eastAsia" w:ascii="宋体" w:hAnsi="宋体" w:eastAsia="宋体" w:cs="宋体"/>
          <w:color w:val="auto"/>
          <w:szCs w:val="24"/>
        </w:rPr>
        <w:t>14.6 质量保证金</w:t>
      </w:r>
      <w:bookmarkEnd w:id="644"/>
      <w:bookmarkEnd w:id="645"/>
      <w:bookmarkEnd w:id="654"/>
      <w:bookmarkEnd w:id="655"/>
      <w:bookmarkEnd w:id="656"/>
      <w:bookmarkEnd w:id="657"/>
      <w:bookmarkEnd w:id="658"/>
      <w:bookmarkEnd w:id="659"/>
      <w:bookmarkEnd w:id="660"/>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经合同当事人协商一致提供质量保证金的，应在专用合同条件中予以明确。在工程项目竣工前，承包人已经提供履约担保的，发包人不得同时要求承包人提供质量保证金。</w:t>
      </w:r>
    </w:p>
    <w:bookmarkEnd w:id="661"/>
    <w:p>
      <w:pPr>
        <w:ind w:firstLine="480" w:firstLineChars="200"/>
        <w:rPr>
          <w:rFonts w:hint="eastAsia" w:ascii="宋体" w:hAnsi="宋体" w:eastAsia="宋体" w:cs="宋体"/>
          <w:color w:val="auto"/>
          <w:szCs w:val="24"/>
        </w:rPr>
      </w:pPr>
      <w:bookmarkStart w:id="662" w:name="_Ref531955069"/>
      <w:bookmarkStart w:id="663" w:name="_Ref531957153"/>
      <w:r>
        <w:rPr>
          <w:rFonts w:hint="eastAsia" w:ascii="宋体" w:hAnsi="宋体" w:eastAsia="宋体" w:cs="宋体"/>
          <w:color w:val="auto"/>
          <w:szCs w:val="24"/>
        </w:rPr>
        <w:t>14.6.1 承包人提供质量保证金的方式</w:t>
      </w:r>
      <w:bookmarkEnd w:id="66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承包人提供质量保证金有以下三种方式：</w:t>
      </w:r>
    </w:p>
    <w:p>
      <w:pPr>
        <w:ind w:firstLine="480" w:firstLineChars="200"/>
        <w:rPr>
          <w:rFonts w:hint="eastAsia" w:ascii="宋体" w:hAnsi="宋体" w:eastAsia="宋体" w:cs="宋体"/>
          <w:color w:val="auto"/>
          <w:szCs w:val="24"/>
        </w:rPr>
      </w:pPr>
      <w:bookmarkStart w:id="664" w:name="_Ref531955096"/>
      <w:r>
        <w:rPr>
          <w:rFonts w:hint="eastAsia" w:ascii="宋体" w:hAnsi="宋体" w:eastAsia="宋体" w:cs="宋体"/>
          <w:color w:val="auto"/>
          <w:szCs w:val="24"/>
        </w:rPr>
        <w:t>（1） 提交工程质量保证担保；</w:t>
      </w:r>
      <w:bookmarkEnd w:id="664"/>
    </w:p>
    <w:p>
      <w:pPr>
        <w:ind w:firstLine="480" w:firstLineChars="200"/>
        <w:rPr>
          <w:rFonts w:hint="eastAsia" w:ascii="宋体" w:hAnsi="宋体" w:eastAsia="宋体" w:cs="宋体"/>
          <w:color w:val="auto"/>
          <w:szCs w:val="24"/>
        </w:rPr>
      </w:pPr>
      <w:bookmarkStart w:id="665" w:name="_Ref531955107"/>
      <w:r>
        <w:rPr>
          <w:rFonts w:hint="eastAsia" w:ascii="宋体" w:hAnsi="宋体" w:eastAsia="宋体" w:cs="宋体"/>
          <w:color w:val="auto"/>
          <w:szCs w:val="24"/>
        </w:rPr>
        <w:t>（2） 预留相应比例的工程款；</w:t>
      </w:r>
      <w:bookmarkEnd w:id="665"/>
    </w:p>
    <w:p>
      <w:pPr>
        <w:ind w:firstLine="480" w:firstLineChars="200"/>
        <w:rPr>
          <w:rFonts w:hint="eastAsia" w:ascii="宋体" w:hAnsi="宋体" w:eastAsia="宋体" w:cs="宋体"/>
          <w:color w:val="auto"/>
          <w:szCs w:val="24"/>
        </w:rPr>
      </w:pPr>
      <w:bookmarkStart w:id="666" w:name="_Ref531955117"/>
      <w:r>
        <w:rPr>
          <w:rFonts w:hint="eastAsia" w:ascii="宋体" w:hAnsi="宋体" w:eastAsia="宋体" w:cs="宋体"/>
          <w:color w:val="auto"/>
          <w:szCs w:val="24"/>
        </w:rPr>
        <w:t>（3） 双方约定的其他方式。</w:t>
      </w:r>
      <w:bookmarkEnd w:id="66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ind w:firstLine="480" w:firstLineChars="200"/>
        <w:rPr>
          <w:rFonts w:hint="eastAsia" w:ascii="宋体" w:hAnsi="宋体" w:eastAsia="宋体" w:cs="宋体"/>
          <w:color w:val="auto"/>
          <w:szCs w:val="24"/>
        </w:rPr>
      </w:pPr>
      <w:bookmarkStart w:id="667" w:name="_Ref15419738"/>
      <w:bookmarkStart w:id="668" w:name="_Ref18931667"/>
      <w:r>
        <w:rPr>
          <w:rFonts w:hint="eastAsia" w:ascii="宋体" w:hAnsi="宋体" w:eastAsia="宋体" w:cs="宋体"/>
          <w:color w:val="auto"/>
          <w:szCs w:val="24"/>
        </w:rPr>
        <w:t>14.6.2 质量保证金的预留</w:t>
      </w:r>
      <w:bookmarkEnd w:id="667"/>
      <w:bookmarkEnd w:id="66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双方约定采用预留相应比例的工程款方式提供质量保证金的，质量保证金的预留有以下三种方式：</w:t>
      </w:r>
    </w:p>
    <w:p>
      <w:pPr>
        <w:ind w:firstLine="480" w:firstLineChars="200"/>
        <w:rPr>
          <w:rFonts w:hint="eastAsia" w:ascii="宋体" w:hAnsi="宋体" w:eastAsia="宋体" w:cs="宋体"/>
          <w:color w:val="auto"/>
          <w:szCs w:val="24"/>
        </w:rPr>
      </w:pPr>
      <w:bookmarkStart w:id="669" w:name="_Hlk18840714"/>
      <w:bookmarkStart w:id="670" w:name="_Ref531955143"/>
      <w:r>
        <w:rPr>
          <w:rFonts w:hint="eastAsia" w:ascii="宋体" w:hAnsi="宋体" w:eastAsia="宋体" w:cs="宋体"/>
          <w:color w:val="auto"/>
          <w:szCs w:val="24"/>
        </w:rPr>
        <w:t>（1） 按专用合同条件的约定在支付工程进度款时逐次预留，直至预留的质量保证金总额达到专用合同条件约定的金额或比例为止</w:t>
      </w:r>
      <w:bookmarkEnd w:id="669"/>
      <w:r>
        <w:rPr>
          <w:rFonts w:hint="eastAsia" w:ascii="宋体" w:hAnsi="宋体" w:eastAsia="宋体" w:cs="宋体"/>
          <w:color w:val="auto"/>
          <w:szCs w:val="24"/>
        </w:rPr>
        <w:t>。在此情形下，质量保证金的计算基数不包括预付款的支付、扣回以及价格调整的金额；</w:t>
      </w:r>
      <w:bookmarkEnd w:id="670"/>
    </w:p>
    <w:p>
      <w:pPr>
        <w:ind w:firstLine="480" w:firstLineChars="200"/>
        <w:rPr>
          <w:rFonts w:hint="eastAsia" w:ascii="宋体" w:hAnsi="宋体" w:eastAsia="宋体" w:cs="宋体"/>
          <w:color w:val="auto"/>
          <w:szCs w:val="24"/>
        </w:rPr>
      </w:pPr>
      <w:bookmarkStart w:id="671" w:name="_Ref531955151"/>
      <w:r>
        <w:rPr>
          <w:rFonts w:hint="eastAsia" w:ascii="宋体" w:hAnsi="宋体" w:eastAsia="宋体" w:cs="宋体"/>
          <w:color w:val="auto"/>
          <w:szCs w:val="24"/>
        </w:rPr>
        <w:t>（2） 工程竣工结算时一次性预留质量保证金；</w:t>
      </w:r>
      <w:bookmarkEnd w:id="671"/>
    </w:p>
    <w:p>
      <w:pPr>
        <w:ind w:firstLine="480" w:firstLineChars="200"/>
        <w:rPr>
          <w:rFonts w:hint="eastAsia" w:ascii="宋体" w:hAnsi="宋体" w:eastAsia="宋体" w:cs="宋体"/>
          <w:color w:val="auto"/>
          <w:szCs w:val="24"/>
        </w:rPr>
      </w:pPr>
      <w:bookmarkStart w:id="672" w:name="_Ref531955161"/>
      <w:r>
        <w:rPr>
          <w:rFonts w:hint="eastAsia" w:ascii="宋体" w:hAnsi="宋体" w:eastAsia="宋体" w:cs="宋体"/>
          <w:color w:val="auto"/>
          <w:szCs w:val="24"/>
        </w:rPr>
        <w:t>（3） 双方约定的其他预留方式。</w:t>
      </w:r>
      <w:bookmarkEnd w:id="67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ind w:firstLine="480" w:firstLineChars="200"/>
        <w:rPr>
          <w:rFonts w:hint="eastAsia" w:ascii="宋体" w:hAnsi="宋体" w:eastAsia="宋体" w:cs="宋体"/>
          <w:color w:val="auto"/>
          <w:szCs w:val="24"/>
        </w:rPr>
      </w:pPr>
      <w:bookmarkStart w:id="673" w:name="_Ref532690096"/>
      <w:bookmarkStart w:id="674" w:name="_Ref4571243"/>
      <w:r>
        <w:rPr>
          <w:rFonts w:hint="eastAsia" w:ascii="宋体" w:hAnsi="宋体" w:eastAsia="宋体" w:cs="宋体"/>
          <w:color w:val="auto"/>
          <w:szCs w:val="24"/>
        </w:rPr>
        <w:t>14.6.3 质量保证金的</w:t>
      </w:r>
      <w:bookmarkEnd w:id="673"/>
      <w:r>
        <w:rPr>
          <w:rFonts w:hint="eastAsia" w:ascii="宋体" w:hAnsi="宋体" w:eastAsia="宋体" w:cs="宋体"/>
          <w:color w:val="auto"/>
          <w:szCs w:val="24"/>
        </w:rPr>
        <w:t>返还</w:t>
      </w:r>
      <w:bookmarkEnd w:id="67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缺陷责任期内，承包人认真履行合同约定的责任，缺陷责任期满，发包人根据第11.6款[缺陷责任期终止证书]向承包人颁发缺陷责任期终止证书后，承包人可向发包人申请返还质量保证金。</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发包人和承包人对质量保证金预留、返还以及工程维修质量、费用有争议的，按本合同第20条[争议解决]约定的争议和纠纷解决程序处理。</w:t>
      </w:r>
    </w:p>
    <w:bookmarkEnd w:id="663"/>
    <w:p>
      <w:pPr>
        <w:ind w:firstLine="480" w:firstLineChars="200"/>
        <w:rPr>
          <w:rFonts w:hint="eastAsia" w:ascii="宋体" w:hAnsi="宋体" w:eastAsia="宋体" w:cs="宋体"/>
          <w:color w:val="auto"/>
          <w:szCs w:val="24"/>
        </w:rPr>
      </w:pPr>
      <w:bookmarkStart w:id="675" w:name="_Ref531957339"/>
      <w:bookmarkStart w:id="676" w:name="_Ref531957341"/>
      <w:bookmarkStart w:id="677" w:name="_Toc54862298"/>
      <w:r>
        <w:rPr>
          <w:rFonts w:hint="eastAsia" w:ascii="宋体" w:hAnsi="宋体" w:eastAsia="宋体" w:cs="宋体"/>
          <w:color w:val="auto"/>
          <w:szCs w:val="24"/>
        </w:rPr>
        <w:t>14.7 最终结清</w:t>
      </w:r>
      <w:bookmarkEnd w:id="675"/>
      <w:bookmarkEnd w:id="676"/>
      <w:bookmarkEnd w:id="677"/>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678" w:name="_Ref531957350"/>
      <w:r>
        <w:rPr>
          <w:rFonts w:hint="eastAsia" w:ascii="宋体" w:hAnsi="宋体" w:eastAsia="宋体" w:cs="宋体"/>
          <w:color w:val="auto"/>
          <w:szCs w:val="24"/>
        </w:rPr>
        <w:t>14.7.1 最终结清申请</w:t>
      </w:r>
      <w:bookmarkEnd w:id="678"/>
      <w:r>
        <w:rPr>
          <w:rFonts w:hint="eastAsia" w:ascii="宋体" w:hAnsi="宋体" w:eastAsia="宋体" w:cs="宋体"/>
          <w:color w:val="auto"/>
          <w:szCs w:val="24"/>
        </w:rPr>
        <w:t>单</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除专用合同条件另有约定外，承包人应在缺陷责任期终止证书颁发后7天内，按专用合同条件约定的份数向发包人提交最终结清申请单，并提供相关证明材料。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除专用合同条件另有约定外，最终结清申请单应列明质量保证金、应扣除的质量保证金、缺陷责任期内发生的增减费用。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发包人对最终结清申请单内容有异议的，有权要求承包人进行修正和提供补充资料，承包人应向发包人提交修正后的最终结清申请单。</w:t>
      </w:r>
    </w:p>
    <w:p>
      <w:pPr>
        <w:ind w:firstLine="480" w:firstLineChars="200"/>
        <w:rPr>
          <w:rFonts w:hint="eastAsia" w:ascii="宋体" w:hAnsi="宋体" w:eastAsia="宋体" w:cs="宋体"/>
          <w:color w:val="auto"/>
          <w:szCs w:val="24"/>
        </w:rPr>
      </w:pPr>
      <w:bookmarkStart w:id="679" w:name="_Ref531957369"/>
      <w:bookmarkStart w:id="680" w:name="_Ref4624099"/>
      <w:r>
        <w:rPr>
          <w:rFonts w:hint="eastAsia" w:ascii="宋体" w:hAnsi="宋体" w:eastAsia="宋体" w:cs="宋体"/>
          <w:color w:val="auto"/>
          <w:szCs w:val="24"/>
        </w:rPr>
        <w:t>14.7.2 最终结清证书</w:t>
      </w:r>
      <w:bookmarkEnd w:id="679"/>
      <w:r>
        <w:rPr>
          <w:rFonts w:hint="eastAsia" w:ascii="宋体" w:hAnsi="宋体" w:eastAsia="宋体" w:cs="宋体"/>
          <w:color w:val="auto"/>
          <w:szCs w:val="24"/>
        </w:rPr>
        <w:t>和支付</w:t>
      </w:r>
      <w:bookmarkEnd w:id="68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除专用合同条件另有约定外，发包人应在颁发最终结清证书后7天内完成支付。发包人逾期支付的，按照贷款市场报价利率（LPR）支付利息；逾期支付超过56天的，按照贷款市场报价利率（LPR）的两倍支付利息。</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承包人对发包人颁发的最终结清证书有异议的，按第20条[争议解决]的约定办理。</w:t>
      </w:r>
    </w:p>
    <w:p>
      <w:pPr>
        <w:ind w:firstLine="482" w:firstLineChars="200"/>
        <w:rPr>
          <w:rFonts w:hint="eastAsia" w:ascii="宋体" w:hAnsi="宋体" w:eastAsia="宋体" w:cs="宋体"/>
          <w:b/>
          <w:bCs/>
          <w:color w:val="auto"/>
          <w:szCs w:val="24"/>
        </w:rPr>
      </w:pPr>
      <w:bookmarkStart w:id="681" w:name="_Ref11920407"/>
      <w:bookmarkStart w:id="682" w:name="_Ref11920396"/>
      <w:bookmarkStart w:id="683" w:name="_Ref11874957"/>
      <w:bookmarkStart w:id="684" w:name="_Toc54862299"/>
      <w:r>
        <w:rPr>
          <w:rFonts w:hint="eastAsia" w:ascii="宋体" w:hAnsi="宋体" w:eastAsia="宋体" w:cs="宋体"/>
          <w:b/>
          <w:bCs/>
          <w:color w:val="auto"/>
          <w:szCs w:val="24"/>
        </w:rPr>
        <w:t>第15条 违约</w:t>
      </w:r>
      <w:bookmarkEnd w:id="539"/>
      <w:bookmarkEnd w:id="543"/>
      <w:bookmarkEnd w:id="544"/>
      <w:bookmarkEnd w:id="681"/>
      <w:bookmarkEnd w:id="682"/>
      <w:bookmarkEnd w:id="683"/>
      <w:bookmarkEnd w:id="684"/>
    </w:p>
    <w:p>
      <w:pPr>
        <w:ind w:firstLine="480" w:firstLineChars="200"/>
        <w:rPr>
          <w:rFonts w:hint="eastAsia" w:ascii="宋体" w:hAnsi="宋体" w:eastAsia="宋体" w:cs="宋体"/>
          <w:color w:val="auto"/>
          <w:szCs w:val="24"/>
        </w:rPr>
      </w:pPr>
      <w:bookmarkStart w:id="685" w:name="_Ref4534384"/>
      <w:bookmarkStart w:id="686" w:name="_Ref4534399"/>
      <w:bookmarkStart w:id="687" w:name="_Ref4534376"/>
      <w:bookmarkStart w:id="688" w:name="_Toc54862300"/>
      <w:bookmarkStart w:id="689" w:name="_Ref4534411"/>
      <w:r>
        <w:rPr>
          <w:rFonts w:hint="eastAsia" w:ascii="宋体" w:hAnsi="宋体" w:eastAsia="宋体" w:cs="宋体"/>
          <w:color w:val="auto"/>
          <w:szCs w:val="24"/>
        </w:rPr>
        <w:t>15.1 发包人违约</w:t>
      </w:r>
      <w:bookmarkEnd w:id="685"/>
      <w:bookmarkEnd w:id="686"/>
      <w:bookmarkEnd w:id="687"/>
      <w:bookmarkEnd w:id="688"/>
      <w:bookmarkEnd w:id="689"/>
    </w:p>
    <w:p>
      <w:pPr>
        <w:ind w:firstLine="480" w:firstLineChars="200"/>
        <w:rPr>
          <w:rFonts w:hint="eastAsia" w:ascii="宋体" w:hAnsi="宋体" w:eastAsia="宋体" w:cs="宋体"/>
          <w:color w:val="auto"/>
          <w:szCs w:val="24"/>
        </w:rPr>
      </w:pPr>
      <w:bookmarkStart w:id="690" w:name="_Ref3841087"/>
      <w:r>
        <w:rPr>
          <w:rFonts w:hint="eastAsia" w:ascii="宋体" w:hAnsi="宋体" w:eastAsia="宋体" w:cs="宋体"/>
          <w:color w:val="auto"/>
          <w:szCs w:val="24"/>
        </w:rPr>
        <w:t>15.1.1 发包人违约的情形</w:t>
      </w:r>
      <w:bookmarkEnd w:id="69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除专用合同条件另有约定外，在合同履行过程中发生的下列情形，属于发包人违约：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（1） 因发包人原因导致开始工作日期延误的；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因发包人原因未能按合同约定支付合同价款的；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发包人违反第13.1.1项约定，自行实施被取消的工作或转由他人实施的；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因发包人违反合同约定造成工程暂停施工的；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工程师无正当理由没有在约定期限内发出复工指示，导致承包人无法复工的；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发包人明确表示或者以其行为表明不履行合同主要义务的；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发包人未能按照合同约定履行其他义务的。</w:t>
      </w:r>
    </w:p>
    <w:p>
      <w:pPr>
        <w:ind w:firstLine="480" w:firstLineChars="200"/>
        <w:rPr>
          <w:rFonts w:hint="eastAsia" w:ascii="宋体" w:hAnsi="宋体" w:eastAsia="宋体" w:cs="宋体"/>
          <w:color w:val="auto"/>
          <w:szCs w:val="24"/>
        </w:rPr>
      </w:pPr>
      <w:bookmarkStart w:id="691" w:name="_Ref4535692"/>
      <w:r>
        <w:rPr>
          <w:rFonts w:hint="eastAsia" w:ascii="宋体" w:hAnsi="宋体" w:eastAsia="宋体" w:cs="宋体"/>
          <w:color w:val="auto"/>
          <w:szCs w:val="24"/>
        </w:rPr>
        <w:t>15.1.2 通知改正</w:t>
      </w:r>
      <w:bookmarkEnd w:id="691"/>
    </w:p>
    <w:p>
      <w:pPr>
        <w:ind w:firstLine="480" w:firstLineChars="200"/>
        <w:rPr>
          <w:rFonts w:hint="eastAsia" w:ascii="宋体" w:hAnsi="宋体" w:eastAsia="宋体" w:cs="宋体"/>
          <w:color w:val="auto"/>
          <w:szCs w:val="24"/>
        </w:rPr>
      </w:pPr>
      <w:bookmarkStart w:id="692" w:name="_Hlk16248297"/>
      <w:r>
        <w:rPr>
          <w:rFonts w:hint="eastAsia" w:ascii="宋体" w:hAnsi="宋体" w:eastAsia="宋体" w:cs="宋体"/>
          <w:color w:val="auto"/>
          <w:szCs w:val="24"/>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692"/>
    </w:p>
    <w:p>
      <w:pPr>
        <w:ind w:firstLine="480" w:firstLineChars="200"/>
        <w:rPr>
          <w:rFonts w:hint="eastAsia" w:ascii="宋体" w:hAnsi="宋体" w:eastAsia="宋体" w:cs="宋体"/>
          <w:color w:val="auto"/>
          <w:szCs w:val="24"/>
        </w:rPr>
      </w:pPr>
      <w:bookmarkStart w:id="693" w:name="_Ref3841132"/>
      <w:r>
        <w:rPr>
          <w:rFonts w:hint="eastAsia" w:ascii="宋体" w:hAnsi="宋体" w:eastAsia="宋体" w:cs="宋体"/>
          <w:color w:val="auto"/>
          <w:szCs w:val="24"/>
        </w:rPr>
        <w:t>15.1.3 发包人违约的责任</w:t>
      </w:r>
      <w:bookmarkEnd w:id="693"/>
    </w:p>
    <w:p>
      <w:pPr>
        <w:ind w:firstLine="480" w:firstLineChars="200"/>
        <w:rPr>
          <w:rFonts w:hint="eastAsia" w:ascii="宋体" w:hAnsi="宋体" w:eastAsia="宋体" w:cs="宋体"/>
          <w:color w:val="auto"/>
          <w:szCs w:val="24"/>
        </w:rPr>
      </w:pPr>
      <w:bookmarkStart w:id="694" w:name="_Hlk16247984"/>
      <w:r>
        <w:rPr>
          <w:rFonts w:hint="eastAsia" w:ascii="宋体" w:hAnsi="宋体" w:eastAsia="宋体" w:cs="宋体"/>
          <w:color w:val="auto"/>
          <w:szCs w:val="24"/>
        </w:rPr>
        <w:t>发包人应承担因其违约给承包人增加的费用和（或）延误的工期，并支付承包人合理的利润。此外，合同当事人可在专用合同条件中另行约定发包人违约责任的承担方式和计算方法。</w:t>
      </w:r>
      <w:bookmarkEnd w:id="694"/>
    </w:p>
    <w:p>
      <w:pPr>
        <w:ind w:firstLine="480" w:firstLineChars="200"/>
        <w:rPr>
          <w:rFonts w:hint="eastAsia" w:ascii="宋体" w:hAnsi="宋体" w:eastAsia="宋体" w:cs="宋体"/>
          <w:color w:val="auto"/>
          <w:szCs w:val="24"/>
        </w:rPr>
      </w:pPr>
      <w:bookmarkStart w:id="695" w:name="_Ref11958660"/>
      <w:bookmarkStart w:id="696" w:name="_Toc54862301"/>
      <w:bookmarkStart w:id="697" w:name="_Ref11958663"/>
      <w:r>
        <w:rPr>
          <w:rFonts w:hint="eastAsia" w:ascii="宋体" w:hAnsi="宋体" w:eastAsia="宋体" w:cs="宋体"/>
          <w:color w:val="auto"/>
          <w:szCs w:val="24"/>
        </w:rPr>
        <w:t>15.2 承包人违约</w:t>
      </w:r>
      <w:bookmarkEnd w:id="695"/>
      <w:bookmarkEnd w:id="696"/>
      <w:bookmarkEnd w:id="697"/>
    </w:p>
    <w:p>
      <w:pPr>
        <w:ind w:firstLine="480" w:firstLineChars="200"/>
        <w:rPr>
          <w:rFonts w:hint="eastAsia" w:ascii="宋体" w:hAnsi="宋体" w:eastAsia="宋体" w:cs="宋体"/>
          <w:color w:val="auto"/>
          <w:szCs w:val="24"/>
        </w:rPr>
      </w:pPr>
      <w:bookmarkStart w:id="698" w:name="_Ref3841153"/>
      <w:r>
        <w:rPr>
          <w:rFonts w:hint="eastAsia" w:ascii="宋体" w:hAnsi="宋体" w:eastAsia="宋体" w:cs="宋体"/>
          <w:color w:val="auto"/>
          <w:szCs w:val="24"/>
        </w:rPr>
        <w:t>15.2.1 承包人违约的情形</w:t>
      </w:r>
      <w:bookmarkEnd w:id="69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除专用合同条件另有约定外，在履行合同过程中发生的下列情况之一的，属于承包人违约：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承包人的原因导致的承包人文件、实施和竣工的工程不符合法律法规、工程质量验收标准以及合同约定；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承包人违反合同约定进行转包或违法分包的；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承包人违反约定采购和使用不合格材料或工程设备；</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因承包人原因导致工程质量不符合合同要求的；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承包人未经工程师批准，擅自将已按合同约定进入施工现场的施工设备、临时设施或材料撤离施工现场；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承包人未能按项目进度计划及时完成合同约定的工作，造成工期延误；</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由于承包人原因未能通过竣工试验或竣工后试验的；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 承包人在缺陷责任期及保修期内，未能在合理期限对工程缺陷进行修复，或拒绝按发包人指示进行修复的；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 承包人明确表示或者以其行为表明不履行合同主要义务的；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 承包人未能按照合同约定履行其他义务的。</w:t>
      </w:r>
    </w:p>
    <w:p>
      <w:pPr>
        <w:ind w:firstLine="480" w:firstLineChars="200"/>
        <w:rPr>
          <w:rFonts w:hint="eastAsia" w:ascii="宋体" w:hAnsi="宋体" w:eastAsia="宋体" w:cs="宋体"/>
          <w:color w:val="auto"/>
          <w:szCs w:val="24"/>
        </w:rPr>
      </w:pPr>
      <w:bookmarkStart w:id="699" w:name="_Ref531958512"/>
      <w:r>
        <w:rPr>
          <w:rFonts w:hint="eastAsia" w:ascii="宋体" w:hAnsi="宋体" w:eastAsia="宋体" w:cs="宋体"/>
          <w:color w:val="auto"/>
          <w:szCs w:val="24"/>
        </w:rPr>
        <w:t>15.2.2 通知改正</w:t>
      </w:r>
      <w:bookmarkEnd w:id="69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承包人发生除第15.2.1项第(7)目、第(9)目约定以外的其他违约情况时，工程师可在专用合同条件约定的合理期限内向承包人发出整改通知，要求其在指定的期限内改正。</w:t>
      </w:r>
    </w:p>
    <w:p>
      <w:pPr>
        <w:ind w:firstLine="480" w:firstLineChars="200"/>
        <w:rPr>
          <w:rFonts w:hint="eastAsia" w:ascii="宋体" w:hAnsi="宋体" w:eastAsia="宋体" w:cs="宋体"/>
          <w:color w:val="auto"/>
          <w:szCs w:val="24"/>
        </w:rPr>
      </w:pPr>
      <w:bookmarkStart w:id="700" w:name="_Ref3841166"/>
      <w:r>
        <w:rPr>
          <w:rFonts w:hint="eastAsia" w:ascii="宋体" w:hAnsi="宋体" w:eastAsia="宋体" w:cs="宋体"/>
          <w:color w:val="auto"/>
          <w:szCs w:val="24"/>
        </w:rPr>
        <w:t>15.2.3 承包人违约的责任</w:t>
      </w:r>
      <w:bookmarkEnd w:id="70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承包人应承担因其违约行为而增加的费用和（或）延误的工期。此外，合同当事人可在专用合同条件中另行约定承包人违约责任的承担方式和计算方法。</w:t>
      </w:r>
    </w:p>
    <w:p>
      <w:pPr>
        <w:ind w:firstLine="480" w:firstLineChars="200"/>
        <w:rPr>
          <w:rFonts w:hint="eastAsia" w:ascii="宋体" w:hAnsi="宋体" w:eastAsia="宋体" w:cs="宋体"/>
          <w:color w:val="auto"/>
          <w:szCs w:val="24"/>
        </w:rPr>
      </w:pPr>
      <w:bookmarkStart w:id="701" w:name="_Toc54862302"/>
      <w:r>
        <w:rPr>
          <w:rFonts w:hint="eastAsia" w:ascii="宋体" w:hAnsi="宋体" w:eastAsia="宋体" w:cs="宋体"/>
          <w:color w:val="auto"/>
          <w:szCs w:val="24"/>
        </w:rPr>
        <w:t>15.3 第三人造成的违约</w:t>
      </w:r>
      <w:bookmarkEnd w:id="70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在履行合同过程中，一方当事人因第三人的原因造成违约的，应当向对方当事人承担违约责任。一方当事人和第三人之间的纠纷，依照法律规定或者按照约定解决。</w:t>
      </w:r>
    </w:p>
    <w:p>
      <w:pPr>
        <w:ind w:firstLine="482" w:firstLineChars="200"/>
        <w:rPr>
          <w:rFonts w:hint="eastAsia" w:ascii="宋体" w:hAnsi="宋体" w:eastAsia="宋体" w:cs="宋体"/>
          <w:b/>
          <w:bCs/>
          <w:color w:val="auto"/>
          <w:szCs w:val="24"/>
        </w:rPr>
      </w:pPr>
      <w:bookmarkStart w:id="702" w:name="_Toc54862303"/>
      <w:bookmarkStart w:id="703" w:name="_Ref4510572"/>
      <w:bookmarkStart w:id="704" w:name="_Ref3840457"/>
      <w:bookmarkStart w:id="705" w:name="_Ref532142069"/>
      <w:r>
        <w:rPr>
          <w:rFonts w:hint="eastAsia" w:ascii="宋体" w:hAnsi="宋体" w:eastAsia="宋体" w:cs="宋体"/>
          <w:b/>
          <w:bCs/>
          <w:color w:val="auto"/>
          <w:szCs w:val="24"/>
        </w:rPr>
        <w:t>第16条 合同解除</w:t>
      </w:r>
      <w:bookmarkEnd w:id="702"/>
      <w:bookmarkEnd w:id="703"/>
    </w:p>
    <w:p>
      <w:pPr>
        <w:ind w:firstLine="480" w:firstLineChars="200"/>
        <w:rPr>
          <w:rFonts w:hint="eastAsia" w:ascii="宋体" w:hAnsi="宋体" w:eastAsia="宋体" w:cs="宋体"/>
          <w:color w:val="auto"/>
          <w:szCs w:val="24"/>
        </w:rPr>
      </w:pPr>
      <w:bookmarkStart w:id="706" w:name="_Toc54862304"/>
      <w:bookmarkStart w:id="707" w:name="_Ref531958499"/>
      <w:bookmarkStart w:id="708" w:name="_Ref531958502"/>
      <w:r>
        <w:rPr>
          <w:rFonts w:hint="eastAsia" w:ascii="宋体" w:hAnsi="宋体" w:eastAsia="宋体" w:cs="宋体"/>
          <w:color w:val="auto"/>
          <w:szCs w:val="24"/>
        </w:rPr>
        <w:t>16.1 由发包人解除合同</w:t>
      </w:r>
      <w:bookmarkEnd w:id="706"/>
      <w:bookmarkEnd w:id="707"/>
      <w:bookmarkEnd w:id="708"/>
    </w:p>
    <w:p>
      <w:pPr>
        <w:ind w:firstLine="480" w:firstLineChars="200"/>
        <w:rPr>
          <w:rFonts w:hint="eastAsia" w:ascii="宋体" w:hAnsi="宋体" w:eastAsia="宋体" w:cs="宋体"/>
          <w:color w:val="auto"/>
          <w:szCs w:val="24"/>
        </w:rPr>
      </w:pPr>
      <w:bookmarkStart w:id="709" w:name="_Ref4535422"/>
      <w:r>
        <w:rPr>
          <w:rFonts w:hint="eastAsia" w:ascii="宋体" w:hAnsi="宋体" w:eastAsia="宋体" w:cs="宋体"/>
          <w:color w:val="auto"/>
          <w:szCs w:val="24"/>
        </w:rPr>
        <w:t>16.1.1 因承包人违约解除合同</w:t>
      </w:r>
      <w:bookmarkEnd w:id="70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ind w:firstLine="480" w:firstLineChars="200"/>
        <w:rPr>
          <w:rFonts w:hint="eastAsia" w:ascii="宋体" w:hAnsi="宋体" w:eastAsia="宋体" w:cs="宋体"/>
          <w:color w:val="auto"/>
          <w:szCs w:val="24"/>
        </w:rPr>
      </w:pPr>
      <w:bookmarkStart w:id="710" w:name="_Ref531958536"/>
      <w:r>
        <w:rPr>
          <w:rFonts w:hint="eastAsia" w:ascii="宋体" w:hAnsi="宋体" w:eastAsia="宋体" w:cs="宋体"/>
          <w:color w:val="auto"/>
          <w:szCs w:val="24"/>
        </w:rPr>
        <w:t>（1） 承包人未能遵守第4.2款</w:t>
      </w:r>
      <w:bookmarkStart w:id="711" w:name="_Hlk18839947"/>
      <w:r>
        <w:rPr>
          <w:rFonts w:hint="eastAsia" w:ascii="宋体" w:hAnsi="宋体" w:eastAsia="宋体" w:cs="宋体"/>
          <w:color w:val="auto"/>
          <w:szCs w:val="24"/>
        </w:rPr>
        <w:t>[履约担保]</w:t>
      </w:r>
      <w:bookmarkEnd w:id="711"/>
      <w:r>
        <w:rPr>
          <w:rFonts w:hint="eastAsia" w:ascii="宋体" w:hAnsi="宋体" w:eastAsia="宋体" w:cs="宋体"/>
          <w:color w:val="auto"/>
          <w:szCs w:val="24"/>
        </w:rPr>
        <w:t>的约定；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承包人未能遵守第4.5款[分包]有关分包和转包的约定；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承包人实际进度明显落后于进度计划，并且未按发包人的指令采取措施并修正进度计划；</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工程质量有严重缺陷，承包人无正当理由使修复开始日期拖延达28天以上；</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承包人明确表示或以自己的行为表明不履行合同、或经发包人以书面形式通知其履约后仍未能依约履行合同、或以不适当的方式履行合同；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未能通过的竣工试验、未能通过的竣工后试验，使工程的任何部分和（或）整个工程丧失了主要使用功能、生产功能；</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 因承包人的原因暂停工作超过56天且暂停影响到整个工程，或因承包人的原因暂停工作超过182天；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 承包人未能遵守第8.2款[竣工日期]规定，延误超过182天；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（10） 工程师根据第15.2.2项[通知改正]发出整改通知后，承包人在指定的合理期限内仍不纠正违约行为并致使合同目的不能实现的。</w:t>
      </w:r>
    </w:p>
    <w:bookmarkEnd w:id="710"/>
    <w:p>
      <w:pPr>
        <w:ind w:firstLine="480" w:firstLineChars="200"/>
        <w:rPr>
          <w:rFonts w:hint="eastAsia" w:ascii="宋体" w:hAnsi="宋体" w:eastAsia="宋体" w:cs="宋体"/>
          <w:color w:val="auto"/>
          <w:szCs w:val="24"/>
        </w:rPr>
      </w:pPr>
      <w:bookmarkStart w:id="712" w:name="_Ref3841839"/>
      <w:bookmarkStart w:id="713" w:name="_Ref4624315"/>
      <w:r>
        <w:rPr>
          <w:rFonts w:hint="eastAsia" w:ascii="宋体" w:hAnsi="宋体" w:eastAsia="宋体" w:cs="宋体"/>
          <w:color w:val="auto"/>
          <w:szCs w:val="24"/>
        </w:rPr>
        <w:t>16.1.2 因承包人违约解除合同后</w:t>
      </w:r>
      <w:bookmarkEnd w:id="712"/>
      <w:r>
        <w:rPr>
          <w:rFonts w:hint="eastAsia" w:ascii="宋体" w:hAnsi="宋体" w:eastAsia="宋体" w:cs="宋体"/>
          <w:color w:val="auto"/>
          <w:szCs w:val="24"/>
        </w:rPr>
        <w:t>承包人的义务</w:t>
      </w:r>
      <w:bookmarkEnd w:id="71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合同解除后，承包人应按以下约定执行：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除了为保护生命、财产或工程安全、清理和必须执行的工作外，停止执行所有被通知解除的工作，并将相关人员撤离现场；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经发包人批准，承包人应将与被解除合同相关的和正在执行的分包合同及相关的责任和义务转让至发包人和（或）发包人指定方的名下，包括永久性工程及工程物资，以及相关工作；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移交已完成的永久性工程及负责已运抵现场的工程物资。在移交前，妥善做好己完工程和已运抵现场的工程物资的保管、维护和保养；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将发包人提供的所有信息及承包人为本工程编制的设计文件、技术资料及其它文件移交给发包人。在承包人留有的资料文件中，销毁与发包人提供的所有信息相关的数据及资料的备份；</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移交相应实施阶段已经付款的并已完成的和尚待完成的设计文件、图纸、资料、操作维修手册、施工组织设计、质检资料、竣工资料等；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16.1.3 因承包人违约解除合同后的估价、付款和结算</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因承包人原因导致合同解除的，则合同当事人应在合同解除后28天内完成估价、付款和清算，并按以下约定执行：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合同解除后，按第3.6款[商定或确定]商定或确定承包人实际完成工作对应的合同价款，以及承包人已提供的材料、工程设备、施工设备和临时工程等的价值；</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合同解除后，承包人应支付的违约金；</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合同解除后，因解除合同给发包人造成的损失；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合同解除后，承包人应按照发包人的指示完成现场的清理和撤离；</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发包人和承包人应在合同解除后进行清算，出具最终结清付款证书，结清全部款项。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因承包人违约解除合同的，发包人有权暂停对承包人的付款，查清各项付款和已扣款项，发包人和承包人未能就合同解除后的清算和款项支付达成一致的，按照第20条[争议解决]的约定处理。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16.1.4 因承包人违约解除合同的合同权益转让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ind w:firstLine="480" w:firstLineChars="200"/>
        <w:rPr>
          <w:rFonts w:hint="eastAsia" w:ascii="宋体" w:hAnsi="宋体" w:eastAsia="宋体" w:cs="宋体"/>
          <w:color w:val="auto"/>
          <w:szCs w:val="24"/>
        </w:rPr>
      </w:pPr>
      <w:bookmarkStart w:id="714" w:name="_Ref531958554"/>
      <w:bookmarkStart w:id="715" w:name="_Ref531958549"/>
      <w:bookmarkStart w:id="716" w:name="_Toc54862305"/>
      <w:r>
        <w:rPr>
          <w:rFonts w:hint="eastAsia" w:ascii="宋体" w:hAnsi="宋体" w:eastAsia="宋体" w:cs="宋体"/>
          <w:color w:val="auto"/>
          <w:szCs w:val="24"/>
        </w:rPr>
        <w:t>16.2 由承包人解除合同</w:t>
      </w:r>
      <w:bookmarkEnd w:id="714"/>
      <w:bookmarkEnd w:id="715"/>
      <w:bookmarkEnd w:id="716"/>
    </w:p>
    <w:p>
      <w:pPr>
        <w:ind w:firstLine="480" w:firstLineChars="200"/>
        <w:rPr>
          <w:rFonts w:hint="eastAsia" w:ascii="宋体" w:hAnsi="宋体" w:eastAsia="宋体" w:cs="宋体"/>
          <w:color w:val="auto"/>
          <w:szCs w:val="24"/>
        </w:rPr>
      </w:pPr>
      <w:bookmarkStart w:id="717" w:name="_Ref3841758"/>
      <w:r>
        <w:rPr>
          <w:rFonts w:hint="eastAsia" w:ascii="宋体" w:hAnsi="宋体" w:eastAsia="宋体" w:cs="宋体"/>
          <w:color w:val="auto"/>
          <w:szCs w:val="24"/>
        </w:rPr>
        <w:t>16.2.1 因发包人违约解除合同</w:t>
      </w:r>
      <w:bookmarkEnd w:id="71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承包人就发包人未能遵守第2.5.2项关于发包人的资金安排发出通知后42天内，仍未收到合理的证明；</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 xml:space="preserve">（2） 在第14条规定的付款时间到期后42天内，承包人仍未收到应付款项；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发包人实质上未能根据合同约定履行其义务，构成根本性违约；</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发承包双方订立本合同协议书后的84天内，承包人未收到根据第8.1款[开始工作]的开始工作通知；</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发包人未能遵守第2.5.3项的约定提交支付担保；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发包人未能执行第15.1.2项[通知改正]的约定，致使合同目的不能实现的；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 因发包人的原因暂停工作超过56天且暂停影响到整个工程，或因发包人的原因暂停工作超过182天的；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（9） 因发包人原因造成开始工作日期迟于承包人收到中标通知书（或在无中标通知书的情况下，订立本合同之日）后第84天的。</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ind w:firstLine="480" w:firstLineChars="200"/>
        <w:rPr>
          <w:rFonts w:hint="eastAsia" w:ascii="宋体" w:hAnsi="宋体" w:eastAsia="宋体" w:cs="宋体"/>
          <w:color w:val="auto"/>
          <w:szCs w:val="24"/>
        </w:rPr>
      </w:pPr>
      <w:bookmarkStart w:id="718" w:name="_Ref3842018"/>
      <w:bookmarkStart w:id="719" w:name="_Ref4624336"/>
      <w:r>
        <w:rPr>
          <w:rFonts w:hint="eastAsia" w:ascii="宋体" w:hAnsi="宋体" w:eastAsia="宋体" w:cs="宋体"/>
          <w:color w:val="auto"/>
          <w:szCs w:val="24"/>
        </w:rPr>
        <w:t>16.2.2 因发包人违约解除合同后</w:t>
      </w:r>
      <w:bookmarkEnd w:id="718"/>
      <w:r>
        <w:rPr>
          <w:rFonts w:hint="eastAsia" w:ascii="宋体" w:hAnsi="宋体" w:eastAsia="宋体" w:cs="宋体"/>
          <w:color w:val="auto"/>
          <w:szCs w:val="24"/>
        </w:rPr>
        <w:t>承包人的义务</w:t>
      </w:r>
      <w:bookmarkEnd w:id="71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合同解除后，承包人应按以下约定执行：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除为保护生命、财产、工程安全的工作外，停止所有进一步的工作；承包人因执行该保护工作而产生费用的，由发包人承担；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向发包人移交承包人已获得支付的承包人文件、生产设备、材料和其他工作；</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从现场运走除为了安全需要以外的所有属于承包人的其他货物，并撤离现场。</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16.2.3 因发包人违约解除合同后的付款</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承包人按照本款约定解除合同的，发包人应在解除合同后28天内支付下列款项，并退还履约担保：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合同解除前所完成工作的价款；</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承包人为工程施工订购并已付款的材料、工程设备和其他物品的价款；发包人付款后，该材料、工程设备和其他物品归发包人所有；</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承包人为完成工程所发生的，而发包人未支付的金额；</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承包人撤离施工现场以及遣散承包人人员的款项；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按照合同约定在合同解除前应支付的违约金；</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按照合同约定应当支付给承包人的其他款项；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按照合同约定应返还的质量保证金；</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（8） 因解除合同给承包人造成的损失。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承包人应妥善做好已完工程和与工程有关的已购材料、工程设备的保护和移交工作，并将施工设备和人员撤出施工现场，发包人应为承包人撤出提供必要条件。</w:t>
      </w:r>
    </w:p>
    <w:p>
      <w:pPr>
        <w:ind w:firstLine="480" w:firstLineChars="200"/>
        <w:rPr>
          <w:rFonts w:hint="eastAsia" w:ascii="宋体" w:hAnsi="宋体" w:eastAsia="宋体" w:cs="宋体"/>
          <w:color w:val="auto"/>
          <w:szCs w:val="24"/>
        </w:rPr>
      </w:pPr>
      <w:bookmarkStart w:id="720" w:name="_Ref3841966"/>
      <w:bookmarkStart w:id="721" w:name="_Toc54862306"/>
      <w:r>
        <w:rPr>
          <w:rFonts w:hint="eastAsia" w:ascii="宋体" w:hAnsi="宋体" w:eastAsia="宋体" w:cs="宋体"/>
          <w:color w:val="auto"/>
          <w:szCs w:val="24"/>
        </w:rPr>
        <w:t>16.3 合同解除后的事项</w:t>
      </w:r>
      <w:bookmarkEnd w:id="720"/>
      <w:bookmarkEnd w:id="72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16.3.1 结算约定依然有效</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合同解除后，由发包人或由承包人解除合同的结算及结算后的付款约定仍然有效，直至解除合同的结算工作结清。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16.3.2 解除合同的争议</w:t>
      </w:r>
    </w:p>
    <w:p>
      <w:pPr>
        <w:ind w:firstLine="480" w:firstLineChars="200"/>
        <w:rPr>
          <w:rFonts w:hint="eastAsia" w:ascii="宋体" w:hAnsi="宋体" w:eastAsia="宋体" w:cs="宋体"/>
          <w:color w:val="auto"/>
          <w:szCs w:val="24"/>
        </w:rPr>
      </w:pPr>
      <w:bookmarkStart w:id="722" w:name="_Hlk18988355"/>
      <w:r>
        <w:rPr>
          <w:rFonts w:hint="eastAsia" w:ascii="宋体" w:hAnsi="宋体" w:eastAsia="宋体" w:cs="宋体"/>
          <w:color w:val="auto"/>
          <w:szCs w:val="24"/>
        </w:rPr>
        <w:t>双方对解除合同或解除合同后的结算有争议的，按照第20条[争议解决]的约定处理。</w:t>
      </w:r>
      <w:bookmarkEnd w:id="722"/>
    </w:p>
    <w:p>
      <w:pPr>
        <w:ind w:firstLine="482" w:firstLineChars="200"/>
        <w:rPr>
          <w:rFonts w:hint="eastAsia" w:ascii="宋体" w:hAnsi="宋体" w:eastAsia="宋体" w:cs="宋体"/>
          <w:b/>
          <w:bCs/>
          <w:color w:val="auto"/>
          <w:szCs w:val="24"/>
        </w:rPr>
      </w:pPr>
      <w:bookmarkStart w:id="723" w:name="_Ref3840974"/>
      <w:bookmarkStart w:id="724" w:name="_Toc54862307"/>
      <w:bookmarkStart w:id="725" w:name="_Ref3840605"/>
      <w:r>
        <w:rPr>
          <w:rFonts w:hint="eastAsia" w:ascii="宋体" w:hAnsi="宋体" w:eastAsia="宋体" w:cs="宋体"/>
          <w:b/>
          <w:bCs/>
          <w:color w:val="auto"/>
          <w:szCs w:val="24"/>
        </w:rPr>
        <w:t>第17条 不可抗力</w:t>
      </w:r>
      <w:bookmarkEnd w:id="723"/>
      <w:bookmarkEnd w:id="724"/>
    </w:p>
    <w:p>
      <w:pPr>
        <w:ind w:firstLine="480" w:firstLineChars="200"/>
        <w:rPr>
          <w:rFonts w:hint="eastAsia" w:ascii="宋体" w:hAnsi="宋体" w:eastAsia="宋体" w:cs="宋体"/>
          <w:color w:val="auto"/>
          <w:szCs w:val="24"/>
        </w:rPr>
      </w:pPr>
      <w:bookmarkStart w:id="726" w:name="_Ref531958161"/>
      <w:bookmarkStart w:id="727" w:name="_Ref531958158"/>
      <w:bookmarkStart w:id="728" w:name="_Toc54862308"/>
      <w:r>
        <w:rPr>
          <w:rFonts w:hint="eastAsia" w:ascii="宋体" w:hAnsi="宋体" w:eastAsia="宋体" w:cs="宋体"/>
          <w:color w:val="auto"/>
          <w:szCs w:val="24"/>
        </w:rPr>
        <w:t>17.1 不可抗力的</w:t>
      </w:r>
      <w:bookmarkEnd w:id="726"/>
      <w:bookmarkEnd w:id="727"/>
      <w:r>
        <w:rPr>
          <w:rFonts w:hint="eastAsia" w:ascii="宋体" w:hAnsi="宋体" w:eastAsia="宋体" w:cs="宋体"/>
          <w:color w:val="auto"/>
          <w:szCs w:val="24"/>
        </w:rPr>
        <w:t>定义</w:t>
      </w:r>
      <w:bookmarkEnd w:id="72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ind w:firstLine="480" w:firstLineChars="200"/>
        <w:rPr>
          <w:rFonts w:hint="eastAsia" w:ascii="宋体" w:hAnsi="宋体" w:eastAsia="宋体" w:cs="宋体"/>
          <w:color w:val="auto"/>
          <w:szCs w:val="24"/>
        </w:rPr>
      </w:pPr>
      <w:bookmarkStart w:id="729" w:name="_Toc54862309"/>
      <w:r>
        <w:rPr>
          <w:rFonts w:hint="eastAsia" w:ascii="宋体" w:hAnsi="宋体" w:eastAsia="宋体" w:cs="宋体"/>
          <w:color w:val="auto"/>
          <w:szCs w:val="24"/>
        </w:rPr>
        <w:t>17.2 不可抗力的通知</w:t>
      </w:r>
      <w:bookmarkEnd w:id="729"/>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合同一方当事人觉察或发现不可抗力事件发生，使其履行合同义务受到阻碍时，有义务立即通知合同另一方当事人和工程师，书面说明不可抗力和受阻碍的详细情况，并提供必要的证明。</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不可抗力持续发生的，合同一方当事人应每隔28天向合同另一方当事人和工程师提交中间报告，说明不可抗力和履行合同受阻的情况，并于不可抗力事件结束后28天内提交最终报告及有关资料。</w:t>
      </w:r>
    </w:p>
    <w:p>
      <w:pPr>
        <w:ind w:firstLine="480" w:firstLineChars="200"/>
        <w:rPr>
          <w:rFonts w:hint="eastAsia" w:ascii="宋体" w:hAnsi="宋体" w:eastAsia="宋体" w:cs="宋体"/>
          <w:color w:val="auto"/>
          <w:szCs w:val="24"/>
        </w:rPr>
      </w:pPr>
      <w:bookmarkStart w:id="730" w:name="_Toc54862310"/>
      <w:r>
        <w:rPr>
          <w:rFonts w:hint="eastAsia" w:ascii="宋体" w:hAnsi="宋体" w:eastAsia="宋体" w:cs="宋体"/>
          <w:color w:val="auto"/>
          <w:szCs w:val="24"/>
        </w:rPr>
        <w:t>17.3 将损失减至最小的义务</w:t>
      </w:r>
      <w:bookmarkEnd w:id="73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ind w:firstLine="480" w:firstLineChars="200"/>
        <w:rPr>
          <w:rFonts w:hint="eastAsia" w:ascii="宋体" w:hAnsi="宋体" w:eastAsia="宋体" w:cs="宋体"/>
          <w:color w:val="auto"/>
          <w:szCs w:val="24"/>
        </w:rPr>
      </w:pPr>
      <w:bookmarkStart w:id="731" w:name="_Ref531958172"/>
      <w:bookmarkStart w:id="732" w:name="_Ref531958170"/>
      <w:bookmarkStart w:id="733" w:name="_Ref3840916"/>
      <w:bookmarkStart w:id="734" w:name="_Toc54862311"/>
      <w:r>
        <w:rPr>
          <w:rFonts w:hint="eastAsia" w:ascii="宋体" w:hAnsi="宋体" w:eastAsia="宋体" w:cs="宋体"/>
          <w:color w:val="auto"/>
          <w:szCs w:val="24"/>
        </w:rPr>
        <w:t>17.4 不可抗力后果</w:t>
      </w:r>
      <w:bookmarkEnd w:id="731"/>
      <w:bookmarkEnd w:id="732"/>
      <w:r>
        <w:rPr>
          <w:rFonts w:hint="eastAsia" w:ascii="宋体" w:hAnsi="宋体" w:eastAsia="宋体" w:cs="宋体"/>
          <w:color w:val="auto"/>
          <w:szCs w:val="24"/>
        </w:rPr>
        <w:t>的承担</w:t>
      </w:r>
      <w:bookmarkEnd w:id="733"/>
      <w:bookmarkEnd w:id="734"/>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不可抗力导致的人员伤亡、财产损失、费用增加和（或）工期延误等后果，由合同当事人按以下原则承担：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永久工程，包括已运至施工现场的材料和工程设备的损害，以及因工程损害造成的第三人人员伤亡和财产损失由发包人承担；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承包人提供的施工设备的损坏由承包人承担；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发包人和承包人各自承担其人员伤亡及其他财产损失；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因不可抗力影响承包人履行合同约定的义务，已经引起或将引起工期延误的，应当顺延工期，由此导致承包人停工的费用损失由发包人和承包人合理分担，</w:t>
      </w:r>
      <w:bookmarkStart w:id="735" w:name="_Hlk51507024"/>
      <w:r>
        <w:rPr>
          <w:rFonts w:hint="eastAsia" w:ascii="宋体" w:hAnsi="宋体" w:eastAsia="宋体" w:cs="宋体"/>
          <w:color w:val="auto"/>
          <w:szCs w:val="24"/>
        </w:rPr>
        <w:t>停工期间必须支付的现场必要的工人工资</w:t>
      </w:r>
      <w:bookmarkEnd w:id="735"/>
      <w:r>
        <w:rPr>
          <w:rFonts w:hint="eastAsia" w:ascii="宋体" w:hAnsi="宋体" w:eastAsia="宋体" w:cs="宋体"/>
          <w:color w:val="auto"/>
          <w:szCs w:val="24"/>
        </w:rPr>
        <w:t>由发包人承担；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因不可抗力引起或将引起工期延误，发包人指示赶工的，由此增加的赶工费用由发包人承担；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承包人在停工期间按照工程师或发包人要求照管、清理和修复工程的费用由发包人承担。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不可抗力引起的后果及造成的损失由合同当事人按照法律规定及合同约定各自承担。不可抗力发生前已完成的工程应当按照合同约定进行支付。</w:t>
      </w:r>
    </w:p>
    <w:p>
      <w:pPr>
        <w:ind w:firstLine="480" w:firstLineChars="200"/>
        <w:rPr>
          <w:rFonts w:hint="eastAsia" w:ascii="宋体" w:hAnsi="宋体" w:eastAsia="宋体" w:cs="宋体"/>
          <w:color w:val="auto"/>
          <w:szCs w:val="24"/>
        </w:rPr>
      </w:pPr>
      <w:bookmarkStart w:id="736" w:name="_Toc54862312"/>
      <w:r>
        <w:rPr>
          <w:rFonts w:hint="eastAsia" w:ascii="宋体" w:hAnsi="宋体" w:eastAsia="宋体" w:cs="宋体"/>
          <w:color w:val="auto"/>
          <w:szCs w:val="24"/>
        </w:rPr>
        <w:t>17.5 不可抗力影响分包人</w:t>
      </w:r>
      <w:bookmarkEnd w:id="736"/>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分包人根据分包合同的约定，有权获得更多或者更广的不可抗力而免除某些义务时，承包人不得以分包合同中不可抗力约定向发包人抗辩免除其义务。</w:t>
      </w:r>
    </w:p>
    <w:p>
      <w:pPr>
        <w:ind w:firstLine="480" w:firstLineChars="200"/>
        <w:rPr>
          <w:rFonts w:hint="eastAsia" w:ascii="宋体" w:hAnsi="宋体" w:eastAsia="宋体" w:cs="宋体"/>
          <w:color w:val="auto"/>
          <w:szCs w:val="24"/>
        </w:rPr>
      </w:pPr>
      <w:bookmarkStart w:id="737" w:name="_Ref531958184"/>
      <w:bookmarkStart w:id="738" w:name="_Ref531958181"/>
      <w:bookmarkStart w:id="739" w:name="_Toc54862313"/>
      <w:bookmarkStart w:id="740" w:name="_Ref3840892"/>
      <w:bookmarkStart w:id="741" w:name="_Ref4538024"/>
      <w:r>
        <w:rPr>
          <w:rFonts w:hint="eastAsia" w:ascii="宋体" w:hAnsi="宋体" w:eastAsia="宋体" w:cs="宋体"/>
          <w:color w:val="auto"/>
          <w:szCs w:val="24"/>
        </w:rPr>
        <w:t>17.6 因不可抗力解除</w:t>
      </w:r>
      <w:bookmarkEnd w:id="737"/>
      <w:bookmarkEnd w:id="738"/>
      <w:r>
        <w:rPr>
          <w:rFonts w:hint="eastAsia" w:ascii="宋体" w:hAnsi="宋体" w:eastAsia="宋体" w:cs="宋体"/>
          <w:color w:val="auto"/>
          <w:szCs w:val="24"/>
        </w:rPr>
        <w:t>合同</w:t>
      </w:r>
      <w:bookmarkEnd w:id="739"/>
      <w:bookmarkEnd w:id="740"/>
      <w:bookmarkEnd w:id="741"/>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合同解除前承包人已完成工作的价款；</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发包人指示承包人退货或解除订货合同而产生的费用，或因不能退货或解除合同而产生的损失；</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（4） 承包人撤离施工现场以及遣散承包人人员的费用；</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按照合同约定在合同解除前应支付给承包人的其他款项；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（6） 扣减承包人按照合同约定应向发包人支付的款项；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（7） 双方商定或确定的其他款项。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除专用合同条件另有约定外，合同解除后，发包人应当在商定或确定上述款项后28天内完成上述款项的支付。</w:t>
      </w:r>
    </w:p>
    <w:p>
      <w:pPr>
        <w:ind w:firstLine="482" w:firstLineChars="200"/>
        <w:rPr>
          <w:rFonts w:hint="eastAsia" w:ascii="宋体" w:hAnsi="宋体" w:eastAsia="宋体" w:cs="宋体"/>
          <w:b/>
          <w:bCs/>
          <w:color w:val="auto"/>
          <w:szCs w:val="24"/>
        </w:rPr>
      </w:pPr>
      <w:bookmarkStart w:id="742" w:name="_Ref11848274"/>
      <w:bookmarkStart w:id="743" w:name="_Ref11848264"/>
      <w:bookmarkStart w:id="744" w:name="_Toc54862314"/>
      <w:r>
        <w:rPr>
          <w:rFonts w:hint="eastAsia" w:ascii="宋体" w:hAnsi="宋体" w:eastAsia="宋体" w:cs="宋体"/>
          <w:b/>
          <w:bCs/>
          <w:color w:val="auto"/>
          <w:szCs w:val="24"/>
        </w:rPr>
        <w:t>第18条 保险</w:t>
      </w:r>
      <w:bookmarkEnd w:id="725"/>
      <w:bookmarkEnd w:id="742"/>
      <w:bookmarkEnd w:id="743"/>
      <w:bookmarkEnd w:id="744"/>
      <w:r>
        <w:rPr>
          <w:rFonts w:hint="eastAsia" w:ascii="宋体" w:hAnsi="宋体" w:eastAsia="宋体" w:cs="宋体"/>
          <w:b/>
          <w:bCs/>
          <w:color w:val="auto"/>
          <w:szCs w:val="24"/>
        </w:rPr>
        <w:t xml:space="preserve"> </w:t>
      </w:r>
    </w:p>
    <w:p>
      <w:pPr>
        <w:ind w:firstLine="480" w:firstLineChars="200"/>
        <w:rPr>
          <w:rFonts w:hint="eastAsia" w:ascii="宋体" w:hAnsi="宋体" w:eastAsia="宋体" w:cs="宋体"/>
          <w:color w:val="auto"/>
          <w:szCs w:val="24"/>
        </w:rPr>
      </w:pPr>
      <w:bookmarkStart w:id="745" w:name="_Toc54862315"/>
      <w:bookmarkStart w:id="746" w:name="_Ref3840730"/>
      <w:bookmarkStart w:id="747" w:name="_Ref3840734"/>
      <w:bookmarkStart w:id="748" w:name="_Ref531957911"/>
      <w:bookmarkStart w:id="749" w:name="_Ref531957914"/>
      <w:bookmarkStart w:id="750" w:name="_Toc351203616"/>
      <w:r>
        <w:rPr>
          <w:rFonts w:hint="eastAsia" w:ascii="宋体" w:hAnsi="宋体" w:eastAsia="宋体" w:cs="宋体"/>
          <w:color w:val="auto"/>
          <w:szCs w:val="24"/>
        </w:rPr>
        <w:t>18.1 设计和工程保险</w:t>
      </w:r>
      <w:bookmarkEnd w:id="745"/>
      <w:bookmarkEnd w:id="746"/>
      <w:bookmarkEnd w:id="747"/>
    </w:p>
    <w:bookmarkEnd w:id="748"/>
    <w:bookmarkEnd w:id="749"/>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18.1.2 双方应按照专用合同条件的约定投保第三者责任险，并在缺陷责任期终止证书颁发前维持其持续有效。第三者责任险最低投保额应在专用合同条件内约定。</w:t>
      </w:r>
    </w:p>
    <w:p>
      <w:pPr>
        <w:ind w:firstLine="480" w:firstLineChars="200"/>
        <w:rPr>
          <w:rFonts w:hint="eastAsia" w:ascii="宋体" w:hAnsi="宋体" w:eastAsia="宋体" w:cs="宋体"/>
          <w:color w:val="auto"/>
          <w:szCs w:val="24"/>
        </w:rPr>
      </w:pPr>
      <w:bookmarkStart w:id="751" w:name="_Toc54862316"/>
      <w:bookmarkStart w:id="752" w:name="_Ref3840683"/>
      <w:r>
        <w:rPr>
          <w:rFonts w:hint="eastAsia" w:ascii="宋体" w:hAnsi="宋体" w:eastAsia="宋体" w:cs="宋体"/>
          <w:color w:val="auto"/>
          <w:szCs w:val="24"/>
        </w:rPr>
        <w:t>18.2 工伤和意外伤害保险</w:t>
      </w:r>
      <w:bookmarkEnd w:id="751"/>
      <w:bookmarkEnd w:id="75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18.2.1 发包人应依照法律规定为其在施工现场的雇用人员办理工伤保险，缴纳工伤保险费；并要求工程师及由发包人为履行合同聘请的第三方在施工现场的雇用人员依法办理工伤保险。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18.2.2 承包人应依照法律规定为其履行合同雇用的全部人员办理工伤保险，缴纳工伤保险费，并要求分包人及由承包人为履行合同聘请的第三方雇用的全部人员依法办理工伤保险。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18.2.3 发包人和承包人可以为其施工现场的全部人员办理意外伤害保险并支付保险费，包括其员工及为履行合同聘请的第三方的人员，具体事项由合同当事人在专用合同条件约定。</w:t>
      </w:r>
    </w:p>
    <w:p>
      <w:pPr>
        <w:ind w:firstLine="480" w:firstLineChars="200"/>
        <w:rPr>
          <w:rFonts w:hint="eastAsia" w:ascii="宋体" w:hAnsi="宋体" w:eastAsia="宋体" w:cs="宋体"/>
          <w:color w:val="auto"/>
          <w:szCs w:val="24"/>
        </w:rPr>
      </w:pPr>
      <w:bookmarkStart w:id="753" w:name="_Ref3840782"/>
      <w:bookmarkStart w:id="754" w:name="_Toc54862317"/>
      <w:r>
        <w:rPr>
          <w:rFonts w:hint="eastAsia" w:ascii="宋体" w:hAnsi="宋体" w:eastAsia="宋体" w:cs="宋体"/>
          <w:color w:val="auto"/>
          <w:szCs w:val="24"/>
        </w:rPr>
        <w:t>18.3 货物保险</w:t>
      </w:r>
      <w:bookmarkEnd w:id="753"/>
      <w:bookmarkEnd w:id="75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承包人应按照专用合同条件的约定为运抵现场的施工设备、材料、工程设备和临时工程等办理财产保险，保险期限自上述货物运抵现场至其不再为工程所需要为止。</w:t>
      </w:r>
    </w:p>
    <w:p>
      <w:pPr>
        <w:ind w:firstLine="480" w:firstLineChars="200"/>
        <w:rPr>
          <w:rFonts w:hint="eastAsia" w:ascii="宋体" w:hAnsi="宋体" w:eastAsia="宋体" w:cs="宋体"/>
          <w:color w:val="auto"/>
          <w:szCs w:val="24"/>
        </w:rPr>
      </w:pPr>
      <w:bookmarkStart w:id="755" w:name="_Ref4692231"/>
      <w:bookmarkStart w:id="756" w:name="_Ref4692238"/>
      <w:bookmarkStart w:id="757" w:name="_Toc54862318"/>
      <w:r>
        <w:rPr>
          <w:rFonts w:hint="eastAsia" w:ascii="宋体" w:hAnsi="宋体" w:eastAsia="宋体" w:cs="宋体"/>
          <w:color w:val="auto"/>
          <w:szCs w:val="24"/>
        </w:rPr>
        <w:t>18.4 其他保险</w:t>
      </w:r>
      <w:bookmarkEnd w:id="755"/>
      <w:bookmarkEnd w:id="756"/>
      <w:bookmarkEnd w:id="75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50"/>
      <w:r>
        <w:rPr>
          <w:rFonts w:hint="eastAsia" w:ascii="宋体" w:hAnsi="宋体" w:eastAsia="宋体" w:cs="宋体"/>
          <w:color w:val="auto"/>
          <w:szCs w:val="24"/>
        </w:rPr>
        <w:t>保费用包含在合同价格中，但在合同执行过程中，新颁布适用的法律法规规定由承包人投保的强制保险，应根据本合同</w:t>
      </w:r>
      <w:bookmarkStart w:id="758" w:name="_Toc351203617"/>
      <w:bookmarkStart w:id="759" w:name="_Toc337558832"/>
      <w:bookmarkStart w:id="760" w:name="_Toc296503126"/>
      <w:bookmarkStart w:id="761" w:name="_Toc296346627"/>
      <w:r>
        <w:rPr>
          <w:rFonts w:hint="eastAsia" w:ascii="宋体" w:hAnsi="宋体" w:eastAsia="宋体" w:cs="宋体"/>
          <w:color w:val="auto"/>
          <w:szCs w:val="24"/>
        </w:rPr>
        <w:t>第13条[变更与调整]的约定增加合同价款。</w:t>
      </w:r>
    </w:p>
    <w:p>
      <w:pPr>
        <w:ind w:firstLine="480" w:firstLineChars="200"/>
        <w:rPr>
          <w:rFonts w:hint="eastAsia" w:ascii="宋体" w:hAnsi="宋体" w:eastAsia="宋体" w:cs="宋体"/>
          <w:color w:val="auto"/>
          <w:szCs w:val="24"/>
        </w:rPr>
      </w:pPr>
      <w:bookmarkStart w:id="762" w:name="_Toc54862319"/>
      <w:bookmarkStart w:id="763" w:name="_Ref3840659"/>
      <w:r>
        <w:rPr>
          <w:rFonts w:hint="eastAsia" w:ascii="宋体" w:hAnsi="宋体" w:eastAsia="宋体" w:cs="宋体"/>
          <w:color w:val="auto"/>
          <w:szCs w:val="24"/>
        </w:rPr>
        <w:t>18.5 对各项保险的一般要求</w:t>
      </w:r>
      <w:bookmarkEnd w:id="762"/>
      <w:bookmarkEnd w:id="76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18.5.1 持续保险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合同当事人应与保险人保持联系，使保险人能够随时了</w:t>
      </w:r>
      <w:bookmarkEnd w:id="758"/>
      <w:r>
        <w:rPr>
          <w:rFonts w:hint="eastAsia" w:ascii="宋体" w:hAnsi="宋体" w:eastAsia="宋体" w:cs="宋体"/>
          <w:color w:val="auto"/>
          <w:szCs w:val="24"/>
        </w:rPr>
        <w:t>解</w:t>
      </w:r>
      <w:bookmarkEnd w:id="759"/>
      <w:bookmarkEnd w:id="760"/>
      <w:bookmarkEnd w:id="761"/>
      <w:r>
        <w:rPr>
          <w:rFonts w:hint="eastAsia" w:ascii="宋体" w:hAnsi="宋体" w:eastAsia="宋体" w:cs="宋体"/>
          <w:color w:val="auto"/>
          <w:szCs w:val="24"/>
        </w:rPr>
        <w:t>工程实施中的变动，并确保按保险合同条款要求持续保险。</w:t>
      </w:r>
    </w:p>
    <w:p>
      <w:pPr>
        <w:ind w:firstLine="480" w:firstLineChars="200"/>
        <w:rPr>
          <w:rFonts w:hint="eastAsia" w:ascii="宋体" w:hAnsi="宋体" w:eastAsia="宋体" w:cs="宋体"/>
          <w:color w:val="auto"/>
          <w:szCs w:val="24"/>
        </w:rPr>
      </w:pPr>
      <w:bookmarkStart w:id="764" w:name="_Ref4777650"/>
      <w:r>
        <w:rPr>
          <w:rFonts w:hint="eastAsia" w:ascii="宋体" w:hAnsi="宋体" w:eastAsia="宋体" w:cs="宋体"/>
          <w:color w:val="auto"/>
          <w:szCs w:val="24"/>
        </w:rPr>
        <w:t>18.5.2 保险凭证</w:t>
      </w:r>
      <w:bookmarkEnd w:id="76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合同当事人应及时向另一方当事人提交其已投保的各项保险的凭证和保险单复印件，保险单必须与专用合同条件约定的条件保持一致。</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18.5.3 未按约定投保的补救</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负有投保义务的一方当事人未按合同约定办理保险，或未能使保险持续有效的，则另一方当事人可代为办理，所需费用由负有投保义务的一方当事人承担。</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负有投保</w:t>
      </w:r>
      <w:bookmarkStart w:id="765" w:name="_Toc351203619"/>
      <w:bookmarkStart w:id="766" w:name="_Toc337558834"/>
      <w:r>
        <w:rPr>
          <w:rFonts w:hint="eastAsia" w:ascii="宋体" w:hAnsi="宋体" w:eastAsia="宋体" w:cs="宋体"/>
          <w:color w:val="auto"/>
          <w:szCs w:val="24"/>
        </w:rPr>
        <w:t>义务的一方当事人未</w:t>
      </w:r>
      <w:bookmarkEnd w:id="765"/>
      <w:r>
        <w:rPr>
          <w:rFonts w:hint="eastAsia" w:ascii="宋体" w:hAnsi="宋体" w:eastAsia="宋体" w:cs="宋体"/>
          <w:color w:val="auto"/>
          <w:szCs w:val="24"/>
        </w:rPr>
        <w:t>按</w:t>
      </w:r>
      <w:bookmarkEnd w:id="766"/>
      <w:r>
        <w:rPr>
          <w:rFonts w:hint="eastAsia" w:ascii="宋体" w:hAnsi="宋体" w:eastAsia="宋体" w:cs="宋体"/>
          <w:color w:val="auto"/>
          <w:szCs w:val="24"/>
        </w:rPr>
        <w:t>合同约定办理某项保险，导致受益人未能得到足额赔偿的，由负有投保义务的一方当事人负责按照原应从该项保险得到的保险金数额进行补足。</w:t>
      </w:r>
    </w:p>
    <w:p>
      <w:pPr>
        <w:ind w:firstLine="480" w:firstLineChars="200"/>
        <w:rPr>
          <w:rFonts w:hint="eastAsia" w:ascii="宋体" w:hAnsi="宋体" w:eastAsia="宋体" w:cs="宋体"/>
          <w:color w:val="auto"/>
          <w:szCs w:val="24"/>
        </w:rPr>
      </w:pPr>
      <w:bookmarkStart w:id="767" w:name="_Ref4692685"/>
      <w:r>
        <w:rPr>
          <w:rFonts w:hint="eastAsia" w:ascii="宋体" w:hAnsi="宋体" w:eastAsia="宋体" w:cs="宋体"/>
          <w:color w:val="auto"/>
          <w:szCs w:val="24"/>
        </w:rPr>
        <w:t>18.5.4 通知义务</w:t>
      </w:r>
      <w:bookmarkEnd w:id="76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除专用合同条件另有约定外，任何一方当事人变更除工伤保险之外的保险合同时，应事先征得另一方当事人同意，并通知工程师。</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保险事故发生时，投保人应按照保险合同规定的条件和期限及时向保险人报告。发包人和承包人应当在知道保险事故发生后及时通知对方。</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双方按本条规定投保不减少双方在合同下的其他义务。</w:t>
      </w:r>
    </w:p>
    <w:p>
      <w:pPr>
        <w:ind w:firstLine="482" w:firstLineChars="200"/>
        <w:rPr>
          <w:rFonts w:hint="eastAsia" w:ascii="宋体" w:hAnsi="宋体" w:eastAsia="宋体" w:cs="宋体"/>
          <w:b/>
          <w:bCs/>
          <w:color w:val="auto"/>
          <w:szCs w:val="24"/>
        </w:rPr>
      </w:pPr>
      <w:bookmarkStart w:id="768" w:name="_Toc54862320"/>
      <w:bookmarkStart w:id="769" w:name="_Ref11874997"/>
      <w:r>
        <w:rPr>
          <w:rFonts w:hint="eastAsia" w:ascii="宋体" w:hAnsi="宋体" w:eastAsia="宋体" w:cs="宋体"/>
          <w:b/>
          <w:bCs/>
          <w:color w:val="auto"/>
          <w:szCs w:val="24"/>
        </w:rPr>
        <w:t>第19条 索赔</w:t>
      </w:r>
      <w:bookmarkEnd w:id="704"/>
      <w:bookmarkEnd w:id="705"/>
      <w:bookmarkEnd w:id="768"/>
      <w:bookmarkEnd w:id="769"/>
      <w:r>
        <w:rPr>
          <w:rFonts w:hint="eastAsia" w:ascii="宋体" w:hAnsi="宋体" w:eastAsia="宋体" w:cs="宋体"/>
          <w:b/>
          <w:bCs/>
          <w:color w:val="auto"/>
          <w:szCs w:val="24"/>
        </w:rPr>
        <w:t xml:space="preserve"> </w:t>
      </w:r>
    </w:p>
    <w:p>
      <w:pPr>
        <w:ind w:firstLine="480" w:firstLineChars="200"/>
        <w:rPr>
          <w:rFonts w:hint="eastAsia" w:ascii="宋体" w:hAnsi="宋体" w:eastAsia="宋体" w:cs="宋体"/>
          <w:color w:val="auto"/>
          <w:szCs w:val="24"/>
        </w:rPr>
      </w:pPr>
      <w:bookmarkStart w:id="770" w:name="_Ref4798173"/>
      <w:bookmarkStart w:id="771" w:name="_Ref4798164"/>
      <w:bookmarkStart w:id="772" w:name="_Toc54862321"/>
      <w:r>
        <w:rPr>
          <w:rFonts w:hint="eastAsia" w:ascii="宋体" w:hAnsi="宋体" w:eastAsia="宋体" w:cs="宋体"/>
          <w:color w:val="auto"/>
          <w:szCs w:val="24"/>
        </w:rPr>
        <w:t>19.1 索赔</w:t>
      </w:r>
      <w:bookmarkEnd w:id="770"/>
      <w:bookmarkEnd w:id="771"/>
      <w:r>
        <w:rPr>
          <w:rFonts w:hint="eastAsia" w:ascii="宋体" w:hAnsi="宋体" w:eastAsia="宋体" w:cs="宋体"/>
          <w:color w:val="auto"/>
          <w:szCs w:val="24"/>
        </w:rPr>
        <w:t>的提出</w:t>
      </w:r>
      <w:bookmarkEnd w:id="772"/>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根据合同约定，任意一方认为有权得到追加/减少付款、延长缺陷责任期和（或）延长工期的，应按以下程序向对方提出索赔：</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索赔方应在发出索赔意向通知书后28天内，向对方正式递交索赔报告；索赔报告应详细说明索赔理由以及要求追加的付款金额、延长缺陷责任期和（或）延长的工期，并附必要的记录和证明材料；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索赔事件具有持续影响的，索赔方应每月递交延续索赔通知，说明持续影响的实际情况和记录，列出累计的追加付款金额、延长缺陷责任期和（或）工期延长天数；</w:t>
      </w:r>
    </w:p>
    <w:p>
      <w:pPr>
        <w:ind w:firstLine="480" w:firstLineChars="200"/>
        <w:rPr>
          <w:rFonts w:hint="eastAsia" w:ascii="宋体" w:hAnsi="宋体" w:eastAsia="宋体" w:cs="宋体"/>
          <w:color w:val="auto"/>
          <w:szCs w:val="24"/>
        </w:rPr>
      </w:pPr>
      <w:bookmarkStart w:id="773" w:name="_Ref4796178"/>
      <w:r>
        <w:rPr>
          <w:rFonts w:hint="eastAsia" w:ascii="宋体" w:hAnsi="宋体" w:eastAsia="宋体" w:cs="宋体"/>
          <w:color w:val="auto"/>
          <w:szCs w:val="24"/>
        </w:rPr>
        <w:t>（4） 在索赔事件影响结束后28天内，索赔方应向对方递交最终索赔报告，说明最终要求索赔的追加付款金额、延长缺陷责任期和（或）延长的工期，并附必要的记录和证明材料。</w:t>
      </w:r>
      <w:bookmarkEnd w:id="773"/>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（5） 承包人作为索赔方时，其索赔意向通知书、索赔报告及相关索赔文件应向工程师提出；发包人作为索赔方时，其索赔意向通知书、索赔报告及相关索赔文件可自行向承包人提出或由工程师向承包人提出。</w:t>
      </w:r>
    </w:p>
    <w:p>
      <w:pPr>
        <w:ind w:firstLine="480" w:firstLineChars="200"/>
        <w:rPr>
          <w:rFonts w:hint="eastAsia" w:ascii="宋体" w:hAnsi="宋体" w:eastAsia="宋体" w:cs="宋体"/>
          <w:color w:val="auto"/>
          <w:szCs w:val="24"/>
        </w:rPr>
      </w:pPr>
      <w:bookmarkStart w:id="774" w:name="_Toc54862322"/>
      <w:bookmarkStart w:id="775" w:name="_Ref4796254"/>
      <w:bookmarkStart w:id="776" w:name="_Ref4796262"/>
      <w:r>
        <w:rPr>
          <w:rFonts w:hint="eastAsia" w:ascii="宋体" w:hAnsi="宋体" w:eastAsia="宋体" w:cs="宋体"/>
          <w:color w:val="auto"/>
          <w:szCs w:val="24"/>
        </w:rPr>
        <w:t>19.2 承包人索赔的处理程序</w:t>
      </w:r>
      <w:bookmarkEnd w:id="774"/>
      <w:bookmarkEnd w:id="775"/>
      <w:bookmarkEnd w:id="776"/>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工程师收到承包人提交的索赔报告后，应及时审查索赔报告的内容、查验承包人的记录和证明材料，必要时工程师可要求承包人提交全部原始记录副本。</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承包人接受索赔处理结果的，发包人应在作出索赔处理结果答复后28天内完成支付。承包人不接受索赔处理结果的，按照第20条[争议解决]约定处理。</w:t>
      </w:r>
    </w:p>
    <w:p>
      <w:pPr>
        <w:ind w:firstLine="480" w:firstLineChars="200"/>
        <w:rPr>
          <w:rFonts w:hint="eastAsia" w:ascii="宋体" w:hAnsi="宋体" w:eastAsia="宋体" w:cs="宋体"/>
          <w:color w:val="auto"/>
          <w:szCs w:val="24"/>
        </w:rPr>
      </w:pPr>
      <w:bookmarkStart w:id="777" w:name="_Toc54862323"/>
      <w:r>
        <w:rPr>
          <w:rFonts w:hint="eastAsia" w:ascii="宋体" w:hAnsi="宋体" w:eastAsia="宋体" w:cs="宋体"/>
          <w:color w:val="auto"/>
          <w:szCs w:val="24"/>
        </w:rPr>
        <w:t>19.3 发包人索赔的处理程序</w:t>
      </w:r>
      <w:bookmarkEnd w:id="777"/>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承包人收到发包人提交的索赔报告后，应及时审查索赔报告的内容、查验发包人证明材料；</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承包人应在收到上述索赔报告或有关索赔的进一步证明材料后42天内，将索赔处理结果答复发包人。承包人在收到索赔通知书或有关索赔的进一步证明材料后的42天内不予答复的，视为认可索赔。</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（3） 发包人接受索赔处理结果的，发包人可从应支付给承包人的合同价款中扣除赔付的金额或延长缺陷责任期；发包人不接受索赔处理结果的，按第20条[争议解决]约定处理。</w:t>
      </w:r>
    </w:p>
    <w:p>
      <w:pPr>
        <w:ind w:firstLine="480" w:firstLineChars="200"/>
        <w:rPr>
          <w:rFonts w:hint="eastAsia" w:ascii="宋体" w:hAnsi="宋体" w:eastAsia="宋体" w:cs="宋体"/>
          <w:color w:val="auto"/>
          <w:szCs w:val="24"/>
        </w:rPr>
      </w:pPr>
      <w:bookmarkStart w:id="778" w:name="_Toc54862324"/>
      <w:r>
        <w:rPr>
          <w:rFonts w:hint="eastAsia" w:ascii="宋体" w:hAnsi="宋体" w:eastAsia="宋体" w:cs="宋体"/>
          <w:color w:val="auto"/>
          <w:szCs w:val="24"/>
        </w:rPr>
        <w:t>19.4 提出索赔的期限</w:t>
      </w:r>
      <w:bookmarkEnd w:id="778"/>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承包人按第14.5款[竣工结算</w:t>
      </w:r>
      <w:bookmarkStart w:id="779" w:name="_Ref3826629"/>
      <w:bookmarkStart w:id="780" w:name="_Ref3826634"/>
      <w:r>
        <w:rPr>
          <w:rFonts w:hint="eastAsia" w:ascii="宋体" w:hAnsi="宋体" w:eastAsia="宋体" w:cs="宋体"/>
          <w:color w:val="auto"/>
          <w:szCs w:val="24"/>
        </w:rPr>
        <w:t>]约定接收竣工付款证书后，应被认为已无权再提出在合同工程接收证书颁发前所发生的任何索赔。</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承包人按第14.7款[最终结清]提交的最终结清申请单中，只限于提出工程接收证书颁发后发生的索赔。提出索赔的期限均自接受最终结清证书时终止。</w:t>
      </w:r>
      <w:bookmarkEnd w:id="779"/>
      <w:bookmarkEnd w:id="780"/>
    </w:p>
    <w:p>
      <w:pPr>
        <w:ind w:firstLine="482" w:firstLineChars="200"/>
        <w:rPr>
          <w:rFonts w:hint="eastAsia" w:ascii="宋体" w:hAnsi="宋体" w:eastAsia="宋体" w:cs="宋体"/>
          <w:color w:val="auto"/>
          <w:szCs w:val="24"/>
        </w:rPr>
      </w:pPr>
      <w:bookmarkStart w:id="781" w:name="_Ref532197861"/>
      <w:bookmarkStart w:id="782" w:name="_Toc54862325"/>
      <w:bookmarkStart w:id="783" w:name="_Ref532142075"/>
      <w:r>
        <w:rPr>
          <w:rFonts w:hint="eastAsia" w:ascii="宋体" w:hAnsi="宋体" w:eastAsia="宋体" w:cs="宋体"/>
          <w:b/>
          <w:bCs/>
          <w:color w:val="auto"/>
          <w:szCs w:val="24"/>
        </w:rPr>
        <w:t>第20条 争议解决</w:t>
      </w:r>
      <w:bookmarkEnd w:id="781"/>
      <w:bookmarkEnd w:id="782"/>
      <w:bookmarkEnd w:id="783"/>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bookmarkStart w:id="784" w:name="_Ref415507198"/>
      <w:bookmarkStart w:id="785" w:name="_Toc54862326"/>
      <w:r>
        <w:rPr>
          <w:rFonts w:hint="eastAsia" w:ascii="宋体" w:hAnsi="宋体" w:eastAsia="宋体" w:cs="宋体"/>
          <w:color w:val="auto"/>
          <w:szCs w:val="24"/>
        </w:rPr>
        <w:t>20.1 和解</w:t>
      </w:r>
      <w:bookmarkEnd w:id="784"/>
      <w:bookmarkEnd w:id="78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合同当事人可以就争议自行和解，自行和解达成协议的经双方签字并盖章后作为合同补充文件，双方均应遵照执行。</w:t>
      </w:r>
    </w:p>
    <w:p>
      <w:pPr>
        <w:ind w:firstLine="480" w:firstLineChars="200"/>
        <w:rPr>
          <w:rFonts w:hint="eastAsia" w:ascii="宋体" w:hAnsi="宋体" w:eastAsia="宋体" w:cs="宋体"/>
          <w:color w:val="auto"/>
          <w:szCs w:val="24"/>
        </w:rPr>
      </w:pPr>
      <w:bookmarkStart w:id="786" w:name="_Toc54862327"/>
      <w:r>
        <w:rPr>
          <w:rFonts w:hint="eastAsia" w:ascii="宋体" w:hAnsi="宋体" w:eastAsia="宋体" w:cs="宋体"/>
          <w:color w:val="auto"/>
          <w:szCs w:val="24"/>
        </w:rPr>
        <w:t>20.2 调解</w:t>
      </w:r>
      <w:bookmarkEnd w:id="786"/>
      <w:r>
        <w:rPr>
          <w:rFonts w:hint="eastAsia" w:ascii="宋体" w:hAnsi="宋体" w:eastAsia="宋体" w:cs="宋体"/>
          <w:color w:val="auto"/>
          <w:szCs w:val="24"/>
        </w:rPr>
        <w:t xml:space="preserve"> </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合同当事人可以就争议请求建设行政主管部门、行业协会或其他第三方进行调解，调解达成协议的，经双方签字盖章后作为合同补充文件，双方均应遵照执行。</w:t>
      </w:r>
    </w:p>
    <w:p>
      <w:pPr>
        <w:ind w:firstLine="480" w:firstLineChars="200"/>
        <w:rPr>
          <w:rFonts w:hint="eastAsia" w:ascii="宋体" w:hAnsi="宋体" w:eastAsia="宋体" w:cs="宋体"/>
          <w:color w:val="auto"/>
          <w:szCs w:val="24"/>
        </w:rPr>
      </w:pPr>
      <w:bookmarkStart w:id="787" w:name="_Ref532221527"/>
      <w:bookmarkStart w:id="788" w:name="_Ref532221532"/>
      <w:bookmarkStart w:id="789" w:name="_Toc54862328"/>
      <w:r>
        <w:rPr>
          <w:rFonts w:hint="eastAsia" w:ascii="宋体" w:hAnsi="宋体" w:eastAsia="宋体" w:cs="宋体"/>
          <w:color w:val="auto"/>
          <w:szCs w:val="24"/>
        </w:rPr>
        <w:t>20.3 争议评审</w:t>
      </w:r>
      <w:bookmarkEnd w:id="787"/>
      <w:bookmarkEnd w:id="788"/>
      <w:bookmarkEnd w:id="789"/>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合同当事人在专用合同条件中约定采取争议评审方式及评审规则解决争议的，按下列约定执行：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20.3.1 争议评审小组的确定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除专用合同条件另有约定外，争议评审员报酬由发包人和承包人各承担一半。</w:t>
      </w:r>
    </w:p>
    <w:p>
      <w:pPr>
        <w:ind w:firstLine="480" w:firstLineChars="200"/>
        <w:rPr>
          <w:rFonts w:hint="eastAsia" w:ascii="宋体" w:hAnsi="宋体" w:eastAsia="宋体" w:cs="宋体"/>
          <w:color w:val="auto"/>
          <w:szCs w:val="24"/>
        </w:rPr>
      </w:pPr>
      <w:bookmarkStart w:id="790" w:name="_Ref532287270"/>
      <w:r>
        <w:rPr>
          <w:rFonts w:hint="eastAsia" w:ascii="宋体" w:hAnsi="宋体" w:eastAsia="宋体" w:cs="宋体"/>
          <w:color w:val="auto"/>
          <w:szCs w:val="24"/>
        </w:rPr>
        <w:t>20.3.2 争议的避免</w:t>
      </w:r>
      <w:bookmarkEnd w:id="790"/>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合同当事人协商一致，可以共同书面请求争议评审小组，就合同履行过程中可能出现争议的情况提供协助或进行非正式讨论，争议评审小组应给出公正的意见或建议。</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此类协助或非正式讨论可在任何会议、施工现场视察或其他场合进行，并且除专用合同条件另有约定外，发包人和承包人均应出席。</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争议评审小组在此类非正式讨论上给出的任何意见或建议，无论是口头还是书面的，对发包人和承包人不具有约束力，争议评审小组在之后的争议评审程序或决定中也不受此类意见或建议的约束。</w:t>
      </w:r>
    </w:p>
    <w:p>
      <w:pPr>
        <w:ind w:firstLine="480" w:firstLineChars="200"/>
        <w:rPr>
          <w:rFonts w:hint="eastAsia" w:ascii="宋体" w:hAnsi="宋体" w:eastAsia="宋体" w:cs="宋体"/>
          <w:color w:val="auto"/>
          <w:szCs w:val="24"/>
        </w:rPr>
      </w:pPr>
      <w:bookmarkStart w:id="791" w:name="_Ref4695594"/>
      <w:r>
        <w:rPr>
          <w:rFonts w:hint="eastAsia" w:ascii="宋体" w:hAnsi="宋体" w:eastAsia="宋体" w:cs="宋体"/>
          <w:color w:val="auto"/>
          <w:szCs w:val="24"/>
        </w:rPr>
        <w:t>20.3.3 争议评审小组的决定</w:t>
      </w:r>
      <w:bookmarkEnd w:id="791"/>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20.3.4 争议评审小组决定的效力</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争议评审小组作出的书面决定经合同当事人签字确认后，对双方具有约束力，双方应遵照执行。</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任何一方当事人不接受争议评审小组决定或不履行争议评审小组决定的，双方可选择采用其他争议解决方式。</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任何一方当事人不接受争议评审小组的决定，并不影响暂时执行争议评审小组的决定，直到在后续的采用其他争议解决方式中对争议评审小组的决定进行了改变。</w:t>
      </w:r>
    </w:p>
    <w:p>
      <w:pPr>
        <w:ind w:firstLine="480" w:firstLineChars="200"/>
        <w:rPr>
          <w:rFonts w:hint="eastAsia" w:ascii="宋体" w:hAnsi="宋体" w:eastAsia="宋体" w:cs="宋体"/>
          <w:color w:val="auto"/>
          <w:szCs w:val="24"/>
        </w:rPr>
      </w:pPr>
      <w:bookmarkStart w:id="792" w:name="_Ref532221752"/>
      <w:bookmarkStart w:id="793" w:name="_Ref532221748"/>
      <w:bookmarkStart w:id="794" w:name="_Toc54862329"/>
      <w:r>
        <w:rPr>
          <w:rFonts w:hint="eastAsia" w:ascii="宋体" w:hAnsi="宋体" w:eastAsia="宋体" w:cs="宋体"/>
          <w:color w:val="auto"/>
          <w:szCs w:val="24"/>
        </w:rPr>
        <w:t>20.4 仲裁或诉讼</w:t>
      </w:r>
      <w:bookmarkEnd w:id="792"/>
      <w:bookmarkEnd w:id="793"/>
      <w:bookmarkEnd w:id="794"/>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因合同及合同有关事项产生的争议，合同当事人可以在专用合同条件中约定以下一种方式解决争议：</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（1） 向约定的仲裁委员会申请仲裁；</w:t>
      </w:r>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（2） 向有管辖权的人民法院起诉。</w:t>
      </w:r>
    </w:p>
    <w:p>
      <w:pPr>
        <w:ind w:firstLine="480" w:firstLineChars="200"/>
        <w:rPr>
          <w:rFonts w:hint="eastAsia" w:ascii="宋体" w:hAnsi="宋体" w:eastAsia="宋体" w:cs="宋体"/>
          <w:color w:val="auto"/>
          <w:szCs w:val="24"/>
        </w:rPr>
      </w:pPr>
      <w:bookmarkStart w:id="795" w:name="_Toc54862330"/>
      <w:r>
        <w:rPr>
          <w:rFonts w:hint="eastAsia" w:ascii="宋体" w:hAnsi="宋体" w:eastAsia="宋体" w:cs="宋体"/>
          <w:color w:val="auto"/>
          <w:szCs w:val="24"/>
        </w:rPr>
        <w:t>20.5 争议解决条款效力</w:t>
      </w:r>
      <w:bookmarkEnd w:id="795"/>
    </w:p>
    <w:p>
      <w:pPr>
        <w:ind w:firstLine="480" w:firstLineChars="200"/>
        <w:rPr>
          <w:rFonts w:hint="eastAsia" w:ascii="宋体" w:hAnsi="宋体" w:eastAsia="宋体" w:cs="宋体"/>
          <w:color w:val="auto"/>
          <w:szCs w:val="24"/>
        </w:rPr>
      </w:pPr>
      <w:r>
        <w:rPr>
          <w:rFonts w:hint="eastAsia" w:ascii="宋体" w:hAnsi="宋体" w:eastAsia="宋体" w:cs="宋体"/>
          <w:color w:val="auto"/>
          <w:szCs w:val="24"/>
        </w:rPr>
        <w:t>合同有关争议解决的条款独立存在，合同的不生效、无效、被撤销或者终止的，不影响合同中有关争议解决条款的效力。</w:t>
      </w:r>
    </w:p>
    <w:p>
      <w:pPr>
        <w:rPr>
          <w:rFonts w:hint="eastAsia" w:ascii="宋体" w:hAnsi="宋体" w:eastAsia="宋体" w:cs="宋体"/>
          <w:color w:val="auto"/>
          <w:szCs w:val="24"/>
        </w:rPr>
      </w:pPr>
    </w:p>
    <w:p>
      <w:pPr>
        <w:rPr>
          <w:rFonts w:hint="eastAsia" w:ascii="宋体" w:hAnsi="宋体" w:eastAsia="宋体" w:cs="宋体"/>
          <w:color w:val="auto"/>
        </w:rPr>
      </w:pPr>
      <w:bookmarkStart w:id="796" w:name="_Toc55983948"/>
      <w:bookmarkStart w:id="797" w:name="_Toc4531"/>
      <w:bookmarkStart w:id="798" w:name="_Toc30279"/>
      <w:r>
        <w:rPr>
          <w:rFonts w:hint="eastAsia" w:ascii="宋体" w:hAnsi="宋体" w:eastAsia="宋体" w:cs="宋体"/>
          <w:color w:val="auto"/>
        </w:rPr>
        <w:br w:type="page"/>
      </w:r>
    </w:p>
    <w:p>
      <w:pPr>
        <w:pStyle w:val="7"/>
        <w:jc w:val="center"/>
        <w:rPr>
          <w:rFonts w:hint="eastAsia" w:ascii="宋体" w:hAnsi="宋体" w:eastAsia="宋体" w:cs="宋体"/>
          <w:color w:val="auto"/>
        </w:rPr>
      </w:pPr>
      <w:r>
        <w:rPr>
          <w:rFonts w:hint="eastAsia" w:ascii="宋体" w:hAnsi="宋体" w:eastAsia="宋体" w:cs="宋体"/>
          <w:color w:val="auto"/>
        </w:rPr>
        <w:t xml:space="preserve">第三部分 </w:t>
      </w:r>
      <w:bookmarkEnd w:id="87"/>
      <w:bookmarkEnd w:id="88"/>
      <w:bookmarkEnd w:id="89"/>
      <w:bookmarkEnd w:id="796"/>
      <w:r>
        <w:rPr>
          <w:rFonts w:hint="eastAsia" w:ascii="宋体" w:hAnsi="宋体" w:eastAsia="宋体" w:cs="宋体"/>
          <w:color w:val="auto"/>
        </w:rPr>
        <w:t>专用合同条件</w:t>
      </w:r>
      <w:bookmarkEnd w:id="797"/>
      <w:bookmarkEnd w:id="798"/>
    </w:p>
    <w:p>
      <w:pPr>
        <w:pageBreakBefore w:val="0"/>
        <w:kinsoku/>
        <w:overflowPunct/>
        <w:bidi w:val="0"/>
        <w:spacing w:line="360" w:lineRule="auto"/>
        <w:textAlignment w:val="auto"/>
        <w:rPr>
          <w:rFonts w:hint="eastAsia" w:ascii="宋体" w:hAnsi="宋体" w:eastAsia="宋体" w:cs="宋体"/>
          <w:b/>
          <w:bCs/>
          <w:color w:val="auto"/>
          <w:sz w:val="24"/>
          <w:szCs w:val="24"/>
        </w:rPr>
      </w:pPr>
      <w:bookmarkStart w:id="799" w:name="_Toc54862332"/>
      <w:r>
        <w:rPr>
          <w:rFonts w:hint="eastAsia" w:ascii="宋体" w:hAnsi="宋体" w:eastAsia="宋体" w:cs="宋体"/>
          <w:b/>
          <w:bCs/>
          <w:color w:val="auto"/>
          <w:sz w:val="24"/>
          <w:szCs w:val="24"/>
        </w:rPr>
        <w:t>第1条 一般约定</w:t>
      </w:r>
      <w:bookmarkEnd w:id="799"/>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 词语定义和解释</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合同</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1.1.1.10 其他合同文件：</w:t>
      </w:r>
      <w:r>
        <w:rPr>
          <w:rFonts w:hint="eastAsia" w:ascii="宋体" w:hAnsi="宋体" w:eastAsia="宋体" w:cs="宋体"/>
          <w:color w:val="auto"/>
          <w:sz w:val="24"/>
          <w:szCs w:val="24"/>
          <w:u w:val="single"/>
        </w:rPr>
        <w:t>财政审核中心审定的施工图预算价格、投标阶段工程清单、图纸、双方有关本工程的洽商、变更等书面文件以及其他构成合同组成部分的文件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1.1.3.5 单位/区段工程的范围：</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1.1.3.9 作为施工场所组成部分的其他场所包括：</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1.1.3.10 永久占地包括：</w:t>
      </w:r>
      <w:r>
        <w:rPr>
          <w:rFonts w:hint="eastAsia" w:ascii="宋体" w:hAnsi="宋体" w:eastAsia="宋体" w:cs="宋体"/>
          <w:color w:val="auto"/>
          <w:sz w:val="24"/>
          <w:szCs w:val="24"/>
          <w:u w:val="single"/>
        </w:rPr>
        <w:t xml:space="preserve">       /          。</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1.1.3.11 临时占地包括：</w:t>
      </w:r>
      <w:r>
        <w:rPr>
          <w:rFonts w:hint="eastAsia" w:ascii="宋体" w:hAnsi="宋体" w:eastAsia="宋体" w:cs="宋体"/>
          <w:color w:val="auto"/>
          <w:sz w:val="24"/>
          <w:szCs w:val="24"/>
          <w:u w:val="single"/>
        </w:rPr>
        <w:t xml:space="preserve">       /         。</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语言文字</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本合同除使用汉语外，还使用</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语言。</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 法律</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color w:val="auto"/>
          <w:sz w:val="24"/>
          <w:szCs w:val="24"/>
          <w:u w:val="single"/>
        </w:rPr>
        <w:t>《中华人民共和国民法典》、《中华人民共和国招标投标法实施条例》、《建设工程质量管理条例》】《湛江市房屋建筑工程和市政基础设施工程竣工验收及备案管理实施意见》等建设工程施工及验收规范。</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适用于本合同的标准、规范（名称）包括：</w:t>
      </w:r>
      <w:r>
        <w:rPr>
          <w:rFonts w:hint="eastAsia" w:ascii="宋体" w:hAnsi="宋体" w:eastAsia="宋体" w:cs="宋体"/>
          <w:color w:val="auto"/>
          <w:sz w:val="24"/>
          <w:szCs w:val="24"/>
          <w:u w:val="single"/>
        </w:rPr>
        <w:t>国家、行业、广东省和湛江市的有关规范、规程和标准。</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发包人提供的国外标准、规范的名称：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；发包人提供的国外标准、规范的份数：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；发包人提供的国外标准、规范的时间：</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 没有成文规范、标准规定的约定：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1.4.4 发包人对于工程的技术标准、功能要求：</w:t>
      </w:r>
      <w:r>
        <w:rPr>
          <w:rFonts w:hint="eastAsia" w:ascii="宋体" w:hAnsi="宋体" w:eastAsia="宋体" w:cs="宋体"/>
          <w:color w:val="auto"/>
          <w:sz w:val="24"/>
          <w:szCs w:val="24"/>
          <w:u w:val="single"/>
        </w:rPr>
        <w:t xml:space="preserve">按照设计图纸的施工质量要求、规范要求进行施工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（1）中标通知书；</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（2）投标报价书； </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（6）图纸；</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pPr>
        <w:pageBreakBefore w:val="0"/>
        <w:kinsoku/>
        <w:overflowPunct/>
        <w:autoSpaceDE w:val="0"/>
        <w:autoSpaceDN w:val="0"/>
        <w:bidi w:val="0"/>
        <w:adjustRightIn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（9）双方有关本合同的补充、变更等书面协议或文件（含经双方盖章确认的工程洽商记录、会议纪要、工程变更、现场签证等修正文件）；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文件的提供和照管</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 发包人文件的提供</w:t>
      </w:r>
    </w:p>
    <w:p>
      <w:pPr>
        <w:pageBreakBefore w:val="0"/>
        <w:kinsoku/>
        <w:overflowPunct/>
        <w:bidi w:val="0"/>
        <w:spacing w:line="360" w:lineRule="auto"/>
        <w:ind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发包人文件的提供期限、名称、数量和形式：</w:t>
      </w:r>
      <w:r>
        <w:rPr>
          <w:rFonts w:hint="eastAsia" w:ascii="宋体" w:hAnsi="宋体" w:eastAsia="宋体" w:cs="宋体"/>
          <w:color w:val="auto"/>
          <w:sz w:val="24"/>
          <w:szCs w:val="24"/>
          <w:u w:val="single"/>
        </w:rPr>
        <w:t>合同签订后10天内,提供前期工作相关文件、发包人要求等书面资料2套。</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 承包人文件的提供</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承包人文件的内容、提供期限、名称、数量和形式：</w:t>
      </w:r>
    </w:p>
    <w:tbl>
      <w:tblPr>
        <w:tblStyle w:val="49"/>
        <w:tblW w:w="9947" w:type="dxa"/>
        <w:jc w:val="center"/>
        <w:tblLayout w:type="fixed"/>
        <w:tblCellMar>
          <w:top w:w="0" w:type="dxa"/>
          <w:left w:w="108" w:type="dxa"/>
          <w:bottom w:w="0" w:type="dxa"/>
          <w:right w:w="108" w:type="dxa"/>
        </w:tblCellMar>
      </w:tblPr>
      <w:tblGrid>
        <w:gridCol w:w="665"/>
        <w:gridCol w:w="2275"/>
        <w:gridCol w:w="2654"/>
        <w:gridCol w:w="1500"/>
        <w:gridCol w:w="2853"/>
      </w:tblGrid>
      <w:tr>
        <w:tblPrEx>
          <w:tblCellMar>
            <w:top w:w="0" w:type="dxa"/>
            <w:left w:w="108" w:type="dxa"/>
            <w:bottom w:w="0" w:type="dxa"/>
            <w:right w:w="108" w:type="dxa"/>
          </w:tblCellMar>
        </w:tblPrEx>
        <w:trPr>
          <w:trHeight w:val="77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资料及文件名称</w:t>
            </w:r>
          </w:p>
        </w:tc>
        <w:tc>
          <w:tcPr>
            <w:tcW w:w="2654"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提交日期</w:t>
            </w:r>
          </w:p>
        </w:tc>
        <w:tc>
          <w:tcPr>
            <w:tcW w:w="150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份数</w:t>
            </w:r>
          </w:p>
        </w:tc>
        <w:tc>
          <w:tcPr>
            <w:tcW w:w="2853"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CellMar>
            <w:top w:w="0" w:type="dxa"/>
            <w:left w:w="108" w:type="dxa"/>
            <w:bottom w:w="0" w:type="dxa"/>
            <w:right w:w="108" w:type="dxa"/>
          </w:tblCellMar>
        </w:tblPrEx>
        <w:trPr>
          <w:trHeight w:val="2251"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施工图设计成果文件（包括主要材料设备清单、技术规范等文件）</w:t>
            </w:r>
          </w:p>
        </w:tc>
        <w:tc>
          <w:tcPr>
            <w:tcW w:w="2654"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按发包人要求</w:t>
            </w:r>
          </w:p>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及工程需要</w:t>
            </w:r>
          </w:p>
        </w:tc>
        <w:tc>
          <w:tcPr>
            <w:tcW w:w="150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5份以上（含5份）</w:t>
            </w:r>
          </w:p>
        </w:tc>
        <w:tc>
          <w:tcPr>
            <w:tcW w:w="2853"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可根据发包人要求及施工需要分批提供，还应提供可编辑的CAD电子版（如发包人要求份数，承包人应无条件配合）</w:t>
            </w:r>
          </w:p>
        </w:tc>
      </w:tr>
      <w:tr>
        <w:tblPrEx>
          <w:tblCellMar>
            <w:top w:w="0" w:type="dxa"/>
            <w:left w:w="108" w:type="dxa"/>
            <w:bottom w:w="0" w:type="dxa"/>
            <w:right w:w="108" w:type="dxa"/>
          </w:tblCellMar>
        </w:tblPrEx>
        <w:trPr>
          <w:trHeight w:val="115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施工图设计文件（经图审并修改后的正稿）</w:t>
            </w:r>
          </w:p>
        </w:tc>
        <w:tc>
          <w:tcPr>
            <w:tcW w:w="2654"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在图纸审查发现问题后 个日历天内完成补充及修改</w:t>
            </w:r>
          </w:p>
        </w:tc>
        <w:tc>
          <w:tcPr>
            <w:tcW w:w="150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满足图审</w:t>
            </w:r>
          </w:p>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送审的需求</w:t>
            </w:r>
          </w:p>
        </w:tc>
        <w:tc>
          <w:tcPr>
            <w:tcW w:w="2853"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纸质版和可编辑的CAD电子版</w:t>
            </w:r>
          </w:p>
        </w:tc>
      </w:tr>
      <w:tr>
        <w:tblPrEx>
          <w:tblCellMar>
            <w:top w:w="0" w:type="dxa"/>
            <w:left w:w="108" w:type="dxa"/>
            <w:bottom w:w="0" w:type="dxa"/>
            <w:right w:w="108" w:type="dxa"/>
          </w:tblCellMar>
        </w:tblPrEx>
        <w:trPr>
          <w:trHeight w:val="9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变更设计</w:t>
            </w:r>
          </w:p>
        </w:tc>
        <w:tc>
          <w:tcPr>
            <w:tcW w:w="2654"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按发包人要求</w:t>
            </w:r>
          </w:p>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及工程需要</w:t>
            </w:r>
          </w:p>
        </w:tc>
        <w:tc>
          <w:tcPr>
            <w:tcW w:w="150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5份</w:t>
            </w:r>
          </w:p>
        </w:tc>
        <w:tc>
          <w:tcPr>
            <w:tcW w:w="2853"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纸质版和可编辑的CAD电子版</w:t>
            </w:r>
          </w:p>
        </w:tc>
      </w:tr>
      <w:tr>
        <w:tblPrEx>
          <w:tblCellMar>
            <w:top w:w="0" w:type="dxa"/>
            <w:left w:w="108" w:type="dxa"/>
            <w:bottom w:w="0" w:type="dxa"/>
            <w:right w:w="108" w:type="dxa"/>
          </w:tblCellMar>
        </w:tblPrEx>
        <w:trPr>
          <w:trHeight w:val="26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其他设计文件</w:t>
            </w:r>
          </w:p>
        </w:tc>
        <w:tc>
          <w:tcPr>
            <w:tcW w:w="2654"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按发包人要求</w:t>
            </w:r>
          </w:p>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及工程需要</w:t>
            </w:r>
          </w:p>
        </w:tc>
        <w:tc>
          <w:tcPr>
            <w:tcW w:w="150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按发包人</w:t>
            </w:r>
          </w:p>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要求提交</w:t>
            </w:r>
          </w:p>
        </w:tc>
        <w:tc>
          <w:tcPr>
            <w:tcW w:w="2853"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含电子版</w:t>
            </w:r>
          </w:p>
        </w:tc>
      </w:tr>
      <w:tr>
        <w:tblPrEx>
          <w:tblCellMar>
            <w:top w:w="0" w:type="dxa"/>
            <w:left w:w="108" w:type="dxa"/>
            <w:bottom w:w="0" w:type="dxa"/>
            <w:right w:w="108" w:type="dxa"/>
          </w:tblCellMar>
        </w:tblPrEx>
        <w:trPr>
          <w:trHeight w:val="231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75"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办理施工许可报建承包人有关所需的资格证件、施工组织设计，施工技术措施及各项资源需要量的计划等</w:t>
            </w:r>
          </w:p>
        </w:tc>
        <w:tc>
          <w:tcPr>
            <w:tcW w:w="2654"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按发包人要求</w:t>
            </w:r>
          </w:p>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及工程需要</w:t>
            </w:r>
          </w:p>
        </w:tc>
        <w:tc>
          <w:tcPr>
            <w:tcW w:w="1500"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w:t>
            </w:r>
          </w:p>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报建需要</w:t>
            </w:r>
          </w:p>
        </w:tc>
        <w:tc>
          <w:tcPr>
            <w:tcW w:w="2853" w:type="dxa"/>
            <w:tcBorders>
              <w:top w:val="single" w:color="auto" w:sz="4" w:space="0"/>
              <w:left w:val="nil"/>
              <w:bottom w:val="single" w:color="auto" w:sz="4" w:space="0"/>
              <w:right w:val="single" w:color="auto" w:sz="4" w:space="0"/>
            </w:tcBorders>
            <w:vAlign w:val="center"/>
          </w:tcPr>
          <w:p>
            <w:pPr>
              <w:pageBreakBefore w:val="0"/>
              <w:kinsoku/>
              <w:overflowPunct/>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含电子版</w:t>
            </w:r>
          </w:p>
        </w:tc>
      </w:tr>
    </w:tbl>
    <w:p>
      <w:pPr>
        <w:pageBreakBefore w:val="0"/>
        <w:kinsoku/>
        <w:overflowPunct/>
        <w:bidi w:val="0"/>
        <w:spacing w:line="360" w:lineRule="auto"/>
        <w:ind w:firstLine="600"/>
        <w:textAlignment w:val="auto"/>
        <w:rPr>
          <w:rFonts w:hint="eastAsia" w:ascii="宋体" w:hAnsi="宋体" w:eastAsia="宋体" w:cs="宋体"/>
          <w:color w:val="auto"/>
          <w:sz w:val="24"/>
          <w:szCs w:val="24"/>
        </w:rPr>
      </w:pP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1.6.4 文件的照管</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关于现场文件准备的约定：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 发包人指定的送达方式（包括电子传输方式）：</w:t>
      </w:r>
      <w:r>
        <w:rPr>
          <w:rFonts w:hint="eastAsia" w:ascii="宋体" w:hAnsi="宋体" w:eastAsia="宋体" w:cs="宋体"/>
          <w:color w:val="auto"/>
          <w:sz w:val="24"/>
          <w:szCs w:val="24"/>
          <w:u w:val="single"/>
        </w:rPr>
        <w:t>承包人专人送达</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发包人的送达地址：</w:t>
      </w:r>
      <w:r>
        <w:rPr>
          <w:rFonts w:hint="eastAsia" w:ascii="宋体" w:hAnsi="宋体" w:eastAsia="宋体" w:cs="宋体"/>
          <w:color w:val="auto"/>
          <w:sz w:val="24"/>
          <w:szCs w:val="24"/>
          <w:u w:val="single"/>
        </w:rPr>
        <w:t xml:space="preserve">  发包人指定联系人：    电话：      电子邮箱：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承包人指定的送达方式（包括电子传输方式）：</w:t>
      </w:r>
      <w:r>
        <w:rPr>
          <w:rFonts w:hint="eastAsia" w:ascii="宋体" w:hAnsi="宋体" w:eastAsia="宋体" w:cs="宋体"/>
          <w:color w:val="auto"/>
          <w:sz w:val="24"/>
          <w:szCs w:val="24"/>
          <w:u w:val="single"/>
        </w:rPr>
        <w:t>发包人专人送达</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承包人的送达地址：</w:t>
      </w:r>
      <w:r>
        <w:rPr>
          <w:rFonts w:hint="eastAsia" w:ascii="宋体" w:hAnsi="宋体" w:eastAsia="宋体" w:cs="宋体"/>
          <w:color w:val="auto"/>
          <w:sz w:val="24"/>
          <w:szCs w:val="24"/>
          <w:u w:val="single"/>
        </w:rPr>
        <w:t xml:space="preserve">  承包人指定联系人：    电话：      电子邮箱：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 知识产权</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1.10.1 由发包人（或以发包人名义）编制的《发包人要求》和其他文件的著作权归属：</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1.10.2 由承包人（或以承包人名义）为实施工程所编制的文件、承包人完成的设计工作成果和建造完成的建筑物的知识产权归属：</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1.10.4 承包人在投标文件中采用的专利、专有技术、技术秘密的使用费的承担方式</w:t>
      </w:r>
      <w:r>
        <w:rPr>
          <w:rFonts w:hint="eastAsia" w:ascii="宋体" w:hAnsi="宋体" w:eastAsia="宋体" w:cs="宋体"/>
          <w:color w:val="auto"/>
          <w:sz w:val="24"/>
          <w:szCs w:val="24"/>
          <w:u w:val="single"/>
        </w:rPr>
        <w:t xml:space="preserve">承包人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 保密</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双方订立的商业保密协议（名称）：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，作为本合同附件。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双方订立的技术保密协议（名称）：</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，作为本合同附件。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 责任限制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承包人对发包人赔偿责任的最高限额为</w:t>
      </w:r>
      <w:r>
        <w:rPr>
          <w:rFonts w:hint="eastAsia" w:ascii="宋体" w:hAnsi="宋体" w:eastAsia="宋体" w:cs="宋体"/>
          <w:color w:val="auto"/>
          <w:sz w:val="24"/>
          <w:szCs w:val="24"/>
          <w:u w:val="single"/>
        </w:rPr>
        <w:t xml:space="preserve">  合同签约价的 5 %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 建筑信息模型技术的应用</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关于建筑信息模型技术的开发、使用、存储、传输、交付及费用约定如下：</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textAlignment w:val="auto"/>
        <w:rPr>
          <w:rFonts w:hint="eastAsia" w:ascii="宋体" w:hAnsi="宋体" w:eastAsia="宋体" w:cs="宋体"/>
          <w:b/>
          <w:bCs/>
          <w:color w:val="auto"/>
          <w:sz w:val="24"/>
          <w:szCs w:val="24"/>
        </w:rPr>
      </w:pPr>
      <w:bookmarkStart w:id="800" w:name="_Toc54862333"/>
      <w:r>
        <w:rPr>
          <w:rFonts w:hint="eastAsia" w:ascii="宋体" w:hAnsi="宋体" w:eastAsia="宋体" w:cs="宋体"/>
          <w:b/>
          <w:bCs/>
          <w:color w:val="auto"/>
          <w:sz w:val="24"/>
          <w:szCs w:val="24"/>
        </w:rPr>
        <w:t>第2条 发包人</w:t>
      </w:r>
      <w:bookmarkEnd w:id="800"/>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提供施工现场和工作条件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提供施工现场</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关于发包人提供施工现场的范围和期限：</w:t>
      </w:r>
      <w:r>
        <w:rPr>
          <w:rFonts w:hint="eastAsia" w:ascii="宋体" w:hAnsi="宋体" w:eastAsia="宋体" w:cs="宋体"/>
          <w:color w:val="auto"/>
          <w:sz w:val="24"/>
          <w:szCs w:val="24"/>
          <w:u w:val="single"/>
        </w:rPr>
        <w:t>合同签订后5个工作日内移交</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2.2.2 提供工作条件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关于发包人应负责提供的工作条件包括：</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w:t>
      </w:r>
      <w:r>
        <w:rPr>
          <w:rFonts w:hint="eastAsia" w:ascii="宋体" w:hAnsi="宋体" w:eastAsia="宋体" w:cs="宋体"/>
          <w:color w:val="auto"/>
          <w:sz w:val="24"/>
          <w:szCs w:val="24"/>
          <w:u w:val="single"/>
        </w:rPr>
        <w:t>在开工前 7 天,发包人将具备施工条件的施工场地交付承包人；</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②</w:t>
      </w:r>
      <w:r>
        <w:rPr>
          <w:rFonts w:hint="eastAsia" w:ascii="宋体" w:hAnsi="宋体" w:eastAsia="宋体" w:cs="宋体"/>
          <w:color w:val="auto"/>
          <w:sz w:val="24"/>
          <w:szCs w:val="24"/>
          <w:u w:val="single"/>
        </w:rPr>
        <w:t>开工前 7 天内，发包人按批准后的施工方案要求协助承包人开通临水临电，由承包人办理相关手续和承担相关费用，从施工进场之日起，由承包人自行承担水电等相关费用；</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③</w:t>
      </w:r>
      <w:r>
        <w:rPr>
          <w:rFonts w:hint="eastAsia" w:ascii="宋体" w:hAnsi="宋体" w:eastAsia="宋体" w:cs="宋体"/>
          <w:color w:val="auto"/>
          <w:sz w:val="24"/>
          <w:szCs w:val="24"/>
          <w:u w:val="single"/>
        </w:rPr>
        <w:t>合同签订后10天内，发包人提供有关审批、核准或备案手续资料给承包人；</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④</w:t>
      </w:r>
      <w:r>
        <w:rPr>
          <w:rFonts w:hint="eastAsia" w:ascii="宋体" w:hAnsi="宋体" w:eastAsia="宋体" w:cs="宋体"/>
          <w:color w:val="auto"/>
          <w:sz w:val="24"/>
          <w:szCs w:val="24"/>
          <w:u w:val="single"/>
        </w:rPr>
        <w:t>开工前14天内，承包人协助发包人办理施工许可及其他施工所需申请批准手续（证明承包人自身资质的证件除外）；</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⑤</w:t>
      </w:r>
      <w:r>
        <w:rPr>
          <w:rFonts w:hint="eastAsia" w:ascii="宋体" w:hAnsi="宋体" w:eastAsia="宋体" w:cs="宋体"/>
          <w:color w:val="auto"/>
          <w:sz w:val="24"/>
          <w:szCs w:val="24"/>
          <w:u w:val="single"/>
        </w:rPr>
        <w:t>报建批准后 7 天内，发包人组织有关单位办理图纸会审和设计交底；</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⑥</w:t>
      </w:r>
      <w:r>
        <w:rPr>
          <w:rFonts w:hint="eastAsia" w:ascii="宋体" w:hAnsi="宋体" w:eastAsia="宋体" w:cs="宋体"/>
          <w:color w:val="auto"/>
          <w:sz w:val="24"/>
          <w:szCs w:val="24"/>
          <w:u w:val="single"/>
        </w:rPr>
        <w:t>由发包人和承包人双方按实际协商确定发包人应做的其他工作。</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 提供基础资料</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关于发包人应提供的基础资料的范围和期限：</w:t>
      </w:r>
      <w:r>
        <w:rPr>
          <w:rFonts w:hint="eastAsia" w:ascii="宋体" w:hAnsi="宋体" w:eastAsia="宋体" w:cs="宋体"/>
          <w:color w:val="auto"/>
          <w:sz w:val="24"/>
          <w:szCs w:val="24"/>
          <w:u w:val="single"/>
        </w:rPr>
        <w:t>合同签订后，发包人需协助承包人取得施工现场及工程实施所必需区域内的供水、排水、供电、供气、供热、通信、等地上、地下管线和设施资料，相邻建筑物、构筑物和地下工程等有关基础资料清单及范围。</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 支付合同价款</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发包人提供资金来源证明及资金安排的期限要求：</w:t>
      </w:r>
      <w:r>
        <w:rPr>
          <w:rFonts w:hint="eastAsia" w:ascii="宋体" w:hAnsi="宋体" w:eastAsia="宋体" w:cs="宋体"/>
          <w:color w:val="auto"/>
          <w:sz w:val="24"/>
          <w:szCs w:val="24"/>
          <w:u w:val="single"/>
        </w:rPr>
        <w:t>收到承包人提供资金来源证明的书面通知后28天内</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2.5.3 发包人提供支付担保的形式、期限、金额（或比例）</w:t>
      </w:r>
      <w:r>
        <w:rPr>
          <w:rFonts w:hint="eastAsia" w:ascii="宋体" w:hAnsi="宋体" w:eastAsia="宋体" w:cs="宋体"/>
          <w:color w:val="auto"/>
          <w:sz w:val="24"/>
          <w:szCs w:val="24"/>
          <w:u w:val="single"/>
        </w:rPr>
        <w:t>中标合同金额的10%；可采用银行保函、工程保险、工程担保、现金担保等方式。</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 其他义务</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发包人应履行的其他义务：</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textAlignment w:val="auto"/>
        <w:rPr>
          <w:rFonts w:hint="eastAsia" w:ascii="宋体" w:hAnsi="宋体" w:eastAsia="宋体" w:cs="宋体"/>
          <w:b/>
          <w:bCs/>
          <w:color w:val="auto"/>
          <w:sz w:val="24"/>
          <w:szCs w:val="24"/>
        </w:rPr>
      </w:pPr>
      <w:bookmarkStart w:id="801" w:name="_Toc54862334"/>
      <w:r>
        <w:rPr>
          <w:rFonts w:hint="eastAsia" w:ascii="宋体" w:hAnsi="宋体" w:eastAsia="宋体" w:cs="宋体"/>
          <w:b/>
          <w:bCs/>
          <w:color w:val="auto"/>
          <w:sz w:val="24"/>
          <w:szCs w:val="24"/>
        </w:rPr>
        <w:t>第3条 发包人的管理</w:t>
      </w:r>
      <w:bookmarkEnd w:id="801"/>
    </w:p>
    <w:p>
      <w:pPr>
        <w:pageBreakBefore w:val="0"/>
        <w:kinsoku/>
        <w:overflowPunct/>
        <w:bidi w:val="0"/>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 发包人代表</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发包人代表的姓名：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发包人代表的身份证号：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发包人代表的职务：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发包人代表的联系电话：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发包人代表的通信地址：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发包人对发包人代表的授权范围如下：</w:t>
      </w:r>
      <w:r>
        <w:rPr>
          <w:rFonts w:hint="eastAsia" w:ascii="宋体" w:hAnsi="宋体" w:eastAsia="宋体" w:cs="宋体"/>
          <w:color w:val="auto"/>
          <w:sz w:val="24"/>
          <w:szCs w:val="24"/>
          <w:u w:val="single"/>
        </w:rPr>
        <w:t>①督促承包人按照工程总承包合同完成；②协调各有关单位工作；③工程进度与工程量的确认；④督促并控制工程进度、质量、投资等内容；</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发包人代表的职责：</w:t>
      </w:r>
      <w:r>
        <w:rPr>
          <w:rFonts w:hint="eastAsia" w:ascii="宋体" w:hAnsi="宋体" w:eastAsia="宋体" w:cs="宋体"/>
          <w:color w:val="auto"/>
          <w:sz w:val="24"/>
          <w:szCs w:val="24"/>
          <w:u w:val="single"/>
        </w:rPr>
        <w:t>监督工程总承包合同实施；协调各有关单位工作；工程进度与工程量的确认；督促并控制工程进度、质量、投资等内容。</w:t>
      </w:r>
    </w:p>
    <w:p>
      <w:pPr>
        <w:pageBreakBefore w:val="0"/>
        <w:kinsoku/>
        <w:overflowPunct/>
        <w:bidi w:val="0"/>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 发包人人员</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发包人人员姓名：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发包人人员职务：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发包人人员职责：</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 工程师</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 工程师名称：</w:t>
      </w:r>
      <w:r>
        <w:rPr>
          <w:rFonts w:hint="eastAsia" w:ascii="宋体" w:hAnsi="宋体" w:eastAsia="宋体" w:cs="宋体"/>
          <w:color w:val="auto"/>
          <w:sz w:val="24"/>
          <w:szCs w:val="24"/>
          <w:u w:val="single"/>
        </w:rPr>
        <w:t xml:space="preserve">            （监理人名称）       </w:t>
      </w:r>
      <w:r>
        <w:rPr>
          <w:rFonts w:hint="eastAsia" w:ascii="宋体" w:hAnsi="宋体" w:eastAsia="宋体" w:cs="宋体"/>
          <w:color w:val="auto"/>
          <w:sz w:val="24"/>
          <w:szCs w:val="24"/>
        </w:rPr>
        <w:t>；工程师监督管理范围、内容：</w:t>
      </w:r>
      <w:r>
        <w:rPr>
          <w:rFonts w:hint="eastAsia" w:ascii="宋体" w:hAnsi="宋体" w:eastAsia="宋体" w:cs="宋体"/>
          <w:color w:val="auto"/>
          <w:sz w:val="24"/>
          <w:szCs w:val="24"/>
          <w:u w:val="single"/>
        </w:rPr>
        <w:t xml:space="preserve">按照发包人与监理人签订的合同条款约定 </w:t>
      </w:r>
      <w:r>
        <w:rPr>
          <w:rFonts w:hint="eastAsia" w:ascii="宋体" w:hAnsi="宋体" w:eastAsia="宋体" w:cs="宋体"/>
          <w:color w:val="auto"/>
          <w:sz w:val="24"/>
          <w:szCs w:val="24"/>
        </w:rPr>
        <w:t>；工程师权限：</w:t>
      </w:r>
      <w:r>
        <w:rPr>
          <w:rFonts w:hint="eastAsia" w:ascii="宋体" w:hAnsi="宋体" w:eastAsia="宋体" w:cs="宋体"/>
          <w:color w:val="auto"/>
          <w:sz w:val="24"/>
          <w:szCs w:val="24"/>
          <w:u w:val="single"/>
        </w:rPr>
        <w:t xml:space="preserve"> 按照发包人与监理人签订的合同条款约定 </w:t>
      </w:r>
      <w:r>
        <w:rPr>
          <w:rFonts w:hint="eastAsia" w:ascii="宋体" w:hAnsi="宋体" w:eastAsia="宋体" w:cs="宋体"/>
          <w:color w:val="auto"/>
          <w:sz w:val="24"/>
          <w:szCs w:val="24"/>
        </w:rPr>
        <w:t>。</w:t>
      </w:r>
    </w:p>
    <w:p>
      <w:pPr>
        <w:pageBreakBefore w:val="0"/>
        <w:kinsoku/>
        <w:overflowPunct/>
        <w:bidi w:val="0"/>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 商定或确定</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3.6.2 关于商定时间限制的具体约定：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3.6.3 关于商定或确定效力的具体约定：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；关于对工程师的确定提出异议的具体约定：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 会议</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3.7.1 关于召开会议的具体约定：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3.7.2 关于保存和提供会议纪要的具体约定：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textAlignment w:val="auto"/>
        <w:rPr>
          <w:rFonts w:hint="eastAsia" w:ascii="宋体" w:hAnsi="宋体" w:eastAsia="宋体" w:cs="宋体"/>
          <w:b/>
          <w:bCs/>
          <w:color w:val="auto"/>
          <w:sz w:val="24"/>
          <w:szCs w:val="24"/>
        </w:rPr>
      </w:pPr>
      <w:bookmarkStart w:id="802" w:name="_Toc54862335"/>
      <w:r>
        <w:rPr>
          <w:rFonts w:hint="eastAsia" w:ascii="宋体" w:hAnsi="宋体" w:eastAsia="宋体" w:cs="宋体"/>
          <w:b/>
          <w:bCs/>
          <w:color w:val="auto"/>
          <w:sz w:val="24"/>
          <w:szCs w:val="24"/>
        </w:rPr>
        <w:t>第4条 承包人</w:t>
      </w:r>
      <w:bookmarkEnd w:id="802"/>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 承包人的一般义务</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承包人应履行的其他义务：</w:t>
      </w:r>
      <w:r>
        <w:rPr>
          <w:rFonts w:hint="eastAsia" w:ascii="宋体" w:hAnsi="宋体" w:eastAsia="宋体" w:cs="宋体"/>
          <w:color w:val="auto"/>
          <w:sz w:val="24"/>
          <w:szCs w:val="24"/>
          <w:u w:val="single"/>
        </w:rPr>
        <w:t>对设计、施工作业和施工方法，以及工程的完备性负责，承包人文件中出现的错误、遗留、含糊、不一致、不适当或其他缺陷，即使发包人做出了同意或批准，承包人仍需进行整改，并承担相应费用。</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协助发包人布置工程施工现场。</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承包人应与其雇用人员签订劳动或雇用合同按时发放工资，不许无故拖欠或克扣所雇用人员工资。否则，发包人将有权采取必要措施进行处理。</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承包人有义务配合发包人完成上级主管部门和其他政府部门、社会团体对本工程的检查。</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u w:val="single"/>
        </w:rPr>
        <w:t>在承包人进场后，负责工程施工场地安全和文明施工管理，承担有关安全保卫义务，要求符合当地有关安全生产、文明施工的相关规定。</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u w:val="single"/>
        </w:rPr>
        <w:t>承包人须按发包人批准的施工组织设计进行施工现场布置、放置材料机械及其他设施，及时将施工垃圾、余泥运出场外，达到省、市文明施工工地标准，保证施工场地清洁符合环境卫生管理有关规定。承包人为工程项目的道路货物运输的源头单位，遵守并依法保障货运源头超限超载治理的有关规定，若由此引发相关处罚和费用，由承包人自行承担。</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（6）</w:t>
      </w:r>
      <w:r>
        <w:rPr>
          <w:rFonts w:hint="eastAsia" w:ascii="宋体" w:hAnsi="宋体" w:eastAsia="宋体" w:cs="宋体"/>
          <w:color w:val="auto"/>
          <w:sz w:val="24"/>
          <w:szCs w:val="24"/>
          <w:u w:val="single"/>
        </w:rPr>
        <w:t>交工前清理现场要求：工程完工验收后10天内，承包人应对施工场地进行清理。</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（7）</w:t>
      </w:r>
      <w:r>
        <w:rPr>
          <w:rFonts w:hint="eastAsia" w:ascii="宋体" w:hAnsi="宋体" w:eastAsia="宋体" w:cs="宋体"/>
          <w:color w:val="auto"/>
          <w:sz w:val="24"/>
          <w:szCs w:val="24"/>
          <w:u w:val="single"/>
        </w:rPr>
        <w:t>对于承包人所雇用的工人出现的伤亡事故或损失，应由承包人自行负责，对于这类伤亡或损失，发包人不负责任，不负担涉及这类伤亡或损失的索赔、诉讼、损害赔偿及其它费用。</w:t>
      </w:r>
      <w:bookmarkStart w:id="803" w:name="_Toc519583858"/>
      <w:bookmarkStart w:id="804" w:name="_Toc535252420"/>
    </w:p>
    <w:bookmarkEnd w:id="803"/>
    <w:bookmarkEnd w:id="804"/>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（8）</w:t>
      </w:r>
      <w:r>
        <w:rPr>
          <w:rFonts w:hint="eastAsia" w:ascii="宋体" w:hAnsi="宋体" w:eastAsia="宋体" w:cs="宋体"/>
          <w:color w:val="auto"/>
          <w:sz w:val="24"/>
          <w:szCs w:val="24"/>
          <w:u w:val="single"/>
        </w:rPr>
        <w:t>承包人应当按照国家及广东省、湛江市的有关规定和本合同的有关约定加强参与本合同工程建设人员（包括农民工）的管理。</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承包人应当按时足额支付本合同工程建设人员（包括农民工）工资，根据劳动或雇用合同约定的工人工资标准等内容，按照依法签订的集体合同或劳动合同约定的日期按月支付工资，并不得低于当地最低工资标准。</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2）</w:t>
      </w:r>
      <w:r>
        <w:rPr>
          <w:rFonts w:hint="eastAsia" w:ascii="宋体" w:hAnsi="宋体" w:eastAsia="宋体" w:cs="宋体"/>
          <w:color w:val="auto"/>
          <w:sz w:val="24"/>
          <w:szCs w:val="24"/>
          <w:u w:val="single"/>
        </w:rPr>
        <w:t>承包人支付工人工资应编制工资支付表，如实记录支付表，支付时间、支付对象、支付数额等工资支付情况，并保存备查。</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color w:val="auto"/>
          <w:sz w:val="24"/>
          <w:szCs w:val="24"/>
          <w:u w:val="single"/>
        </w:rPr>
        <w:t>承包人对其专业分包或劳务分包单位工资支付进行监督，督促其依法支付工人工资。</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w:t>
      </w:r>
      <w:r>
        <w:rPr>
          <w:rFonts w:hint="eastAsia" w:ascii="宋体" w:hAnsi="宋体" w:eastAsia="宋体" w:cs="宋体"/>
          <w:color w:val="auto"/>
          <w:sz w:val="24"/>
          <w:szCs w:val="24"/>
          <w:u w:val="single"/>
        </w:rPr>
        <w:t>承包人应按上述要求及国家、地方有关规定按时支付工人工资，否则，视为违约，并按相应条款承担违约责任。</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w:t>
      </w:r>
      <w:r>
        <w:rPr>
          <w:rFonts w:hint="eastAsia" w:ascii="宋体" w:hAnsi="宋体" w:eastAsia="宋体" w:cs="宋体"/>
          <w:color w:val="auto"/>
          <w:sz w:val="24"/>
          <w:szCs w:val="24"/>
          <w:u w:val="single"/>
        </w:rPr>
        <w:t>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将上报省、市主管部门，建议给予不良记录处分，并有权终止与承包人的合同。如属恶意煽动并造成社会不良影响的，发包人将提请司法部门追究其法律责任。</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6）</w:t>
      </w:r>
      <w:r>
        <w:rPr>
          <w:rFonts w:hint="eastAsia" w:ascii="宋体" w:hAnsi="宋体" w:eastAsia="宋体" w:cs="宋体"/>
          <w:color w:val="auto"/>
          <w:sz w:val="24"/>
          <w:szCs w:val="24"/>
          <w:u w:val="single"/>
        </w:rPr>
        <w:t>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7）</w:t>
      </w:r>
      <w:r>
        <w:rPr>
          <w:rFonts w:hint="eastAsia" w:ascii="宋体" w:hAnsi="宋体" w:eastAsia="宋体" w:cs="宋体"/>
          <w:color w:val="auto"/>
          <w:sz w:val="24"/>
          <w:szCs w:val="24"/>
          <w:u w:val="single"/>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8）</w:t>
      </w:r>
      <w:r>
        <w:rPr>
          <w:rFonts w:hint="eastAsia" w:ascii="宋体" w:hAnsi="宋体" w:eastAsia="宋体" w:cs="宋体"/>
          <w:color w:val="auto"/>
          <w:sz w:val="24"/>
          <w:szCs w:val="24"/>
          <w:u w:val="single"/>
        </w:rPr>
        <w:t>成立处理劳资纠纷的协调机构：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 履约担保</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承包人是否提供履约担保：</w:t>
      </w:r>
      <w:r>
        <w:rPr>
          <w:rFonts w:hint="eastAsia" w:ascii="宋体" w:hAnsi="宋体" w:eastAsia="宋体" w:cs="宋体"/>
          <w:color w:val="auto"/>
          <w:sz w:val="24"/>
          <w:szCs w:val="24"/>
          <w:u w:val="single"/>
        </w:rPr>
        <w:t xml:space="preserve">     是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履约担保的方式、金额及期限:</w:t>
      </w:r>
      <w:r>
        <w:rPr>
          <w:rFonts w:hint="eastAsia" w:ascii="宋体" w:hAnsi="宋体" w:eastAsia="宋体" w:cs="宋体"/>
          <w:color w:val="auto"/>
          <w:sz w:val="24"/>
          <w:szCs w:val="24"/>
          <w:u w:val="single"/>
        </w:rPr>
        <w:t xml:space="preserve">   可采用担保函或现金形式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履约担保金额：</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①若采用现金转账的方式必须是投标人基本账户的开户银行支付的履约保证金是中标合同金额的5%；</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②若为担保函方式（银行保函或湛江市国有控股融资担保公司出具的有效担保函）支付的履约保证金是中标合同金额的5%。</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 工程总承包项目经理</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4.3.1 工程总承包项目经理姓名：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执业资格或职称类型：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执业资格证或职称证号码：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承包人未提交劳动合同，以及没有为工程总承包项目经理缴纳社会保险证明的违约责任：</w:t>
      </w:r>
      <w:r>
        <w:rPr>
          <w:rFonts w:hint="eastAsia" w:ascii="宋体" w:hAnsi="宋体" w:eastAsia="宋体" w:cs="宋体"/>
          <w:color w:val="auto"/>
          <w:sz w:val="24"/>
          <w:szCs w:val="24"/>
          <w:u w:val="single"/>
        </w:rPr>
        <w:t>处以20000元罚款，责令限期提交劳动合同并补缴社会保险。</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本条补充以下项目经理应履行的其他职责内容：</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1）贯彻执行国家有关法律、法规、方针、政策和强制性标准，执行工程总承包企业的管理制度，严格履行工程总承包合同。</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（2）代表承包人组织实施工程项目管理，对实现合同规定的项目目标负责。</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（3）组织编制项目管理实施规划。对项目实施全过程进行策划、组织、协调和控制。</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（4）对进入现场的生产要素进行优化配置和动态管理。</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（5）建立质量管理体系和安全管理体系并组织实施。</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（6）完成合同规定应达到的项目安全目标、质量目标、进度目标等任务。</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（7）在授权范围内负责与发包人、监理人、分包人及其他各协作单位的协调，解决项目中出现的问题。</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（8）进行现场文明施工管理,发现和处理突发事件。</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（9）参与工程完工验收,准备结算资料和分析总结。</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（10）负责组织处理项目的管理收尾和合同收尾工作。</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（11）协助企业进行项目的检查，鉴定和评奖申报。</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12）按发包人认可的施工组织设计（施工方案）和工程师依据合同发出的指令组织施工。在情况紧急且无法与工程师联系时，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4.3.2 工程总承包项目经理每月在现场的时间要求：</w:t>
      </w:r>
      <w:r>
        <w:rPr>
          <w:rFonts w:hint="eastAsia" w:ascii="宋体" w:hAnsi="宋体" w:eastAsia="宋体" w:cs="宋体"/>
          <w:color w:val="auto"/>
          <w:sz w:val="24"/>
          <w:szCs w:val="24"/>
          <w:u w:val="single"/>
        </w:rPr>
        <w:t>每月到位率必须不少于22天，工作日内每天不少于7小时。</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工程总承包项目经理未经批准擅自离开施工现场的违约责任：</w:t>
      </w:r>
      <w:r>
        <w:rPr>
          <w:rFonts w:hint="eastAsia" w:ascii="宋体" w:hAnsi="宋体" w:eastAsia="宋体" w:cs="宋体"/>
          <w:color w:val="auto"/>
          <w:sz w:val="24"/>
          <w:szCs w:val="24"/>
          <w:u w:val="single"/>
        </w:rPr>
        <w:t>项目经理如不能达到承诺的到位率，在当月的工程进度款中按5000 元/天扣罚。</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4.3.3 承包人对工程总承包项目经理的授权范围:</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4.3.4 承包人擅自更换工程总承包项目经理的违约责任：</w:t>
      </w:r>
      <w:r>
        <w:rPr>
          <w:rFonts w:hint="eastAsia" w:ascii="宋体" w:hAnsi="宋体" w:eastAsia="宋体" w:cs="宋体"/>
          <w:color w:val="auto"/>
          <w:sz w:val="24"/>
          <w:szCs w:val="24"/>
          <w:u w:val="single"/>
        </w:rPr>
        <w:t>承包人擅自更换投标书中的项目负责人，将承担每人次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万元的违约金（仅刑拘、身亡可免责，或发包人要求更换的可免责）。发包人有权暂停支付工程款，甚至终止施工合同，并保留索赔的权利</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 xml:space="preserve"> </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4.3.5 承包人无正当理由拒绝更换工程总承包项目经理的违约责任:</w:t>
      </w:r>
      <w:r>
        <w:rPr>
          <w:rFonts w:hint="eastAsia" w:ascii="宋体" w:hAnsi="宋体" w:eastAsia="宋体" w:cs="宋体"/>
          <w:color w:val="auto"/>
          <w:sz w:val="24"/>
          <w:szCs w:val="24"/>
          <w:u w:val="single"/>
        </w:rPr>
        <w:t>承包人更换项目经理，应事先征得发包人同意，否则，将承担每人次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万元的违约金。或承包人提出更换项目负责人申请且获发包人批准后更换的，承包人仍需支付每人次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万元的违约金，当发包人或监理认为项目经理不能使工程按合同要求顺利开展、工作能力、工作水平不足，或工作质量差等不称职岗位工作时，有权要求承包人更换项目经理，承包人拒绝更换项目经理或不在发包人或监理要求时限更换项目经理时，承包人将承担每人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万元的违约金</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发包人有权暂停支付工程款，甚至终止施工合同，并保留索赔的权利 。</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 承包人人员</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4.4.1 人员安排</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承包人提交项目管理机构及施工现场人员安排的报告的期限：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签订合同后7天内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承包人提交关键人员信息及注册执业资格等证明其具备担任关键人员能力的相关文件的期限：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签订合同后7天内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4.4.2 关键人员更换</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承包人擅自更换关键人员的违约责任：</w:t>
      </w:r>
      <w:r>
        <w:rPr>
          <w:rFonts w:hint="eastAsia" w:ascii="宋体" w:hAnsi="宋体" w:eastAsia="宋体" w:cs="宋体"/>
          <w:color w:val="auto"/>
          <w:sz w:val="24"/>
          <w:szCs w:val="24"/>
          <w:u w:val="single"/>
          <w:lang w:val="en-US" w:eastAsia="zh-CN"/>
        </w:rPr>
        <w:t>承包人擅自更换所承诺的技术负责人，将承担每人次2万元的违约金（仅刑拘、身亡可免责，或发包人要求更换的可免责）；擅自更换专业施工管理人员，将承担每人次1万元的违约金（仅刑拘、身亡可免责，或发包人要求更换的可免责）；发包人有权暂停支付工程款，并保留索赔的权利 。</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承包人无正当理由拒绝撤换关键人员的违约责任：</w:t>
      </w:r>
      <w:r>
        <w:rPr>
          <w:rFonts w:hint="eastAsia" w:ascii="宋体" w:hAnsi="宋体" w:eastAsia="宋体" w:cs="宋体"/>
          <w:color w:val="auto"/>
          <w:sz w:val="24"/>
          <w:szCs w:val="24"/>
          <w:u w:val="single"/>
          <w:lang w:val="en-US" w:eastAsia="zh-CN"/>
        </w:rPr>
        <w:t>当发包人或监理认为主要施工管理人员（包含项目技术负责人、关键岗位施工员及安全员）等主要施工管理员不能使工程按合同要求顺利开展、工作能力、工作水平不足，或工作质量差等不称职岗位工作时，有权要求承包人更换项目技术负责人、关键岗位施工员及安全员等主要施工管理员，承包人拒绝更换项目技术负责人、关键岗位施工员及安全员等主要施工管理员或不在发包人或监理要求时限更换时，承包人将承担每人次5万元的违约金，发包人有权暂停支付工程款，甚至终止施工合同，并保留索赔的权利 。</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4.4.3 现场管理关键人员在岗要求</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承包人现场管理关键人员离开施工现场的批准要求：</w:t>
      </w:r>
      <w:r>
        <w:rPr>
          <w:rFonts w:hint="eastAsia" w:ascii="宋体" w:hAnsi="宋体" w:eastAsia="宋体" w:cs="宋体"/>
          <w:color w:val="auto"/>
          <w:sz w:val="24"/>
          <w:szCs w:val="24"/>
          <w:u w:val="single"/>
        </w:rPr>
        <w:t>关键人员</w:t>
      </w:r>
      <w:r>
        <w:rPr>
          <w:rFonts w:hint="eastAsia" w:ascii="宋体" w:hAnsi="宋体" w:eastAsia="宋体" w:cs="宋体"/>
          <w:color w:val="auto"/>
          <w:sz w:val="24"/>
          <w:szCs w:val="24"/>
          <w:u w:val="single"/>
          <w:lang w:val="en-US" w:eastAsia="zh-CN"/>
        </w:rPr>
        <w:t>离开工地（湛江地区）两天以内须报监理人及发包人现场代表同意，两天以上还须报发包人负责人同意。否则，将承担每人次每天2000元的违约金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承包人现场管理关键人员擅自离开施工现场的违约责任：</w:t>
      </w:r>
      <w:r>
        <w:rPr>
          <w:rFonts w:hint="eastAsia" w:ascii="宋体" w:hAnsi="宋体" w:eastAsia="宋体" w:cs="宋体"/>
          <w:color w:val="auto"/>
          <w:sz w:val="24"/>
          <w:szCs w:val="24"/>
          <w:u w:val="single"/>
          <w:lang w:val="en-US" w:eastAsia="zh-CN"/>
        </w:rPr>
        <w:t>离开工地两天以内须报监理人及发包人现场代表同意，两天以上还须报发包人负责人同意。否则，将承担每人次每天2000元的违约金 。</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增加以下内容：</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拟派本工程的主要人员（指项目负责人、技术负责人、关键岗位施工员、安全员）驻施工现场时间必须由发包人现场代表进行考勤。关键岗位施工员、安全员施工期间每月到场签到时间不能少于22天，每少签到一天支付违约金1000元/人。</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（二）承包人新委派的项目负责人、技术负责人及安全员在职称、职业资格、工作经验等方面均不得低于原来所承诺的人员。承包人更换人员所须承担的违约金在变更当月进度款中扣除。</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项目经理未经申请擅自离开施工现场的，或累计3次不参加项目部例会的，发包人有权单方面终止合同，终止合同前已承包人投入的一切费用，发包人不予补偿，由此引起的损失由承包人负责，并没收承包人的履约保证金。</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 分包</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4.5.1 一般约定</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禁止分包的工程包括：</w:t>
      </w:r>
      <w:r>
        <w:rPr>
          <w:rFonts w:hint="eastAsia" w:ascii="宋体" w:hAnsi="宋体" w:eastAsia="宋体" w:cs="宋体"/>
          <w:color w:val="auto"/>
          <w:sz w:val="24"/>
          <w:szCs w:val="24"/>
          <w:u w:val="single"/>
          <w:lang w:val="en-US" w:eastAsia="zh-CN"/>
        </w:rPr>
        <w:t>建筑外立面、</w:t>
      </w:r>
      <w:r>
        <w:rPr>
          <w:rFonts w:hint="eastAsia" w:ascii="宋体" w:hAnsi="宋体" w:eastAsia="宋体" w:cs="宋体"/>
          <w:color w:val="auto"/>
          <w:sz w:val="24"/>
          <w:szCs w:val="24"/>
          <w:u w:val="single"/>
        </w:rPr>
        <w:t>路基、路面、软基处理、排水管及排水渠等构筑物</w:t>
      </w:r>
      <w:r>
        <w:rPr>
          <w:rFonts w:hint="eastAsia" w:ascii="宋体" w:hAnsi="宋体" w:eastAsia="宋体" w:cs="宋体"/>
          <w:color w:val="auto"/>
          <w:sz w:val="24"/>
          <w:szCs w:val="24"/>
          <w:u w:val="single"/>
          <w:lang w:val="en-US" w:eastAsia="zh-CN"/>
        </w:rPr>
        <w:t>主体工程</w:t>
      </w:r>
      <w:r>
        <w:rPr>
          <w:rFonts w:hint="eastAsia" w:ascii="宋体" w:hAnsi="宋体" w:eastAsia="宋体" w:cs="宋体"/>
          <w:color w:val="auto"/>
          <w:sz w:val="24"/>
          <w:szCs w:val="24"/>
          <w:u w:val="single"/>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4.5.2 分包的确定</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允许分包的工程包括：</w:t>
      </w:r>
      <w:r>
        <w:rPr>
          <w:rFonts w:hint="eastAsia" w:ascii="宋体" w:hAnsi="宋体" w:eastAsia="宋体" w:cs="宋体"/>
          <w:color w:val="auto"/>
          <w:sz w:val="24"/>
          <w:szCs w:val="24"/>
          <w:u w:val="single"/>
          <w:lang w:val="en-US" w:eastAsia="zh-CN"/>
        </w:rPr>
        <w:t xml:space="preserve">   / 。   </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其他关于分包的约定：</w:t>
      </w:r>
      <w:r>
        <w:rPr>
          <w:rFonts w:hint="eastAsia" w:ascii="宋体" w:hAnsi="宋体" w:eastAsia="宋体" w:cs="宋体"/>
          <w:color w:val="auto"/>
          <w:sz w:val="24"/>
          <w:szCs w:val="24"/>
          <w:u w:val="single"/>
          <w:lang w:val="en-US" w:eastAsia="zh-CN"/>
        </w:rPr>
        <w:t>承包人可依法将部分工程分包给具有相应分包资质的分包人,但必须经发包人同意。所有分包计划须在发包人向承包人发出中标通知并签订合同30天内提交发包人审核。承包人必须在分包合同签订7天前，将分包范围、工作内容、分包人资质、营业执照、关键岗位人员资格、合同报送发包人、监理人审查，经监理人及发包人核准后方可签订分包合同，同时在合同签订后3天内向监理人及发包人备案。</w:t>
      </w:r>
    </w:p>
    <w:p>
      <w:pPr>
        <w:pageBreakBefore w:val="0"/>
        <w:kinsoku/>
        <w:overflowPunct/>
        <w:bidi w:val="0"/>
        <w:spacing w:line="36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val="en-US" w:eastAsia="zh-CN"/>
        </w:rPr>
        <w:t>未经发包人书面核准同意，承包人的分包行为视为严重违约，发包人有权勒令承包人及时纠正，如承包人拒绝及时纠正，发包人有权按照经审批的项目投资总概算中的该分包工程概算金额的10%对承包人予以处罚。对于分包工程，分包人不能按照监理人或发包人要求的工期、质量、安全及各项指令进行实施，经监理人或发包人连续两次整改通知仍不能达到要求时，发包人有权对分包工程进行单独分包，所造成的损失由承包人承担</w:t>
      </w:r>
      <w:r>
        <w:rPr>
          <w:rFonts w:hint="eastAsia" w:ascii="宋体" w:hAnsi="宋体" w:eastAsia="宋体" w:cs="宋体"/>
          <w:color w:val="auto"/>
          <w:sz w:val="24"/>
          <w:szCs w:val="24"/>
          <w:u w:val="single"/>
        </w:rPr>
        <w:t xml:space="preserve">  。</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4.5.5 分包合同价款支付</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 联合体</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增加以下内容：</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（一）联合体协议经发包人确认后作为合同附件。在履行合同过程中，未经发包人同意，不得修改联合体协议，任何未经发包人同意的修改均无法律效力。</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联合体牵头人负责项目设计、施工总协调工作及工程涉及的其它协调工作，包括为完成本项目的所有工程(含发包人后续另外发包的工程及检测等服务)实施直至竣工验收所需的项目管理和配合移交场地及辅助设施、相关资料等服务。</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 承包人现场查勘</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4.7.1 双方当事人对现场查勘的责任承担的约定：</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 不可预见的困难</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bookmarkStart w:id="805" w:name="_Toc54862336"/>
      <w:r>
        <w:rPr>
          <w:rFonts w:hint="eastAsia" w:ascii="宋体" w:hAnsi="宋体" w:eastAsia="宋体" w:cs="宋体"/>
          <w:b/>
          <w:bCs/>
          <w:color w:val="auto"/>
          <w:sz w:val="24"/>
          <w:szCs w:val="24"/>
          <w:lang w:val="en-US" w:eastAsia="zh-CN"/>
        </w:rPr>
        <w:t>增加以下内容：</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除合同另有约定外，承包人应视为已取得工程有关风险、意外事件和其他情况的全部必要资料，并预见工程所有困难和费用。承包人遇到不可预见的困难和费用时，合同价格不予调整。</w:t>
      </w:r>
    </w:p>
    <w:p>
      <w:pPr>
        <w:pageBreakBefore w:val="0"/>
        <w:kinsoku/>
        <w:overflowPunct/>
        <w:bidi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第5条 设计</w:t>
      </w:r>
      <w:bookmarkEnd w:id="805"/>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承包人的设计义务</w:t>
      </w:r>
    </w:p>
    <w:p>
      <w:pPr>
        <w:pageBreakBefore w:val="0"/>
        <w:kinsoku/>
        <w:overflowPunct/>
        <w:bidi w:val="0"/>
        <w:spacing w:line="360" w:lineRule="auto"/>
        <w:textAlignment w:val="auto"/>
        <w:rPr>
          <w:rFonts w:hint="eastAsia" w:ascii="宋体" w:hAnsi="宋体" w:eastAsia="宋体" w:cs="宋体"/>
          <w:b/>
          <w:bCs/>
          <w:color w:val="auto"/>
          <w:sz w:val="24"/>
          <w:szCs w:val="24"/>
          <w:lang w:val="en-US" w:eastAsia="zh-CN"/>
        </w:rPr>
      </w:pPr>
      <w:bookmarkStart w:id="806" w:name="_Toc54862337"/>
      <w:r>
        <w:rPr>
          <w:rFonts w:hint="eastAsia" w:ascii="宋体" w:hAnsi="宋体" w:eastAsia="宋体" w:cs="宋体"/>
          <w:b/>
          <w:bCs/>
          <w:color w:val="auto"/>
          <w:sz w:val="24"/>
          <w:szCs w:val="24"/>
          <w:lang w:val="en-US" w:eastAsia="zh-CN"/>
        </w:rPr>
        <w:t>增加以下内容：</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（一）承包人的责任</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（1）承包人应按国家技术规范、标准、规程及发包人提出的设计要求，进行工程设计，按合同规定的进度要求提交质量合格的设计资料，并对其负责。</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（2）设计合理使用年限为 50 年。</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包人按合同规定时限交付设计资料及文件后，须按规定参加有关的设计审查，并根据审查结论负责对设计的内容做必要调整补充，并负责向发包人及施工人员进行设计交底、处理有关设计问题和参加竣工验收。</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（4）承包人应保护发包人的知识产权，不得向第三人泄露、转让发包人提交的产品图纸等技术经济资料。如发生以上情况并给发包人造成经济损失，发包人有权向承包人索赔。</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（二）承包人的义务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（1）承包人的设计文件应符合中国有关法律、行政法规和相关的工程设计技术规范、规定及标准，同时列出本项目设计涉及到的详细的设计规范、规定及标准。</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（2）设计必须体现政府和发包人的意图，针对本项目特点编制详细的工作大纲，保证按期、按质、按量完成双方商定的各项工作内容，并对设计质量负责。</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（3）发包人因特殊专业另行委托他人设计，承包人须积极配合。</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（4）承包人应对发包人提供的文件、资料进行认真研究，对本项目的特点和不确定因素进行认真考虑，并提出合理建议和评价,对影响设计稳定的重大问题要进行多方案比较选择。</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（5）设计应尽可能减少施工难度，为施工创造方便合理的施工条件；应尽量减少施工对城市交通、市民生活以及水利、通航的干扰，并尽可能减少对施工期的影响。</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对涉及建筑安全或对投资影响重大的有关数据，在发包人提出要求时，承包人必须提供设计输入条件、基础数据、计算原理和方法以及计算成果，方便发包人在必要时用其他计算程序进行验算。承包人有解释的义务，不得以专利和知识产权为借口拒绝配合。</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（7）未经发包人书面同意，承包人不得对已批准的设计作重大修改、增减或删除。</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在设计及施工过程中，承包人应充分尊重和理解发包人、代表发包人的设计咨询公司对设计提出的书面意见与要求，如无充分的否定理由应尽快予以处理和实施。对合同没有约定的部分和没有描述的部分，双方应另行协商。</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（9）在设计各阶段，承包人应根据发包人或政府主管部门的意见，及时修改、完善设计，负责完成由于设计失误未获政府主管部门批准而出现的反复修改的工作。</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承包人应积极主动进行与项目有关的内、外协调工作，积极配合与规划、市政、交通、人防、环保、卫生等一切相关部门和单位的协调，并负责向有关部门办理设计文件报建和审批工作，保证设计文件通过各主管部门的审查。</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（11）承包人承诺在交付项目的部分或全部设计文件后，如有更好的新工艺、新技术、新材料、新设备等适用于本项目，将及时向发包人推荐并提供科学的评估和来源证明，并不得违反第十四条的约定。</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（12）承包人承诺及时提供工程的各主要建筑材料和设备的生产厂商及价格等资料，供发包人选择时参考。</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（13）承包人承诺配合发包人进行施工招标和设备、材料采购招标工作，负责编写招标文件的技术部分（含技术和质量标准、项目材料清单等），并配合发包人进行合同技术条款的谈判工作。</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（14）承包人对所提供工程预算中的工程量清单的完整性和准确性负责。</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（15）承包人根据合同的规定对本项目的设计进度、设计质量、施工服务等工作的完整性、连贯性和可靠性负责。</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（16）承包人不得留置设计文件。</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（17）承包人履行投标承诺的义务。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（18）承包人在履行合同过程中造成其自身人员或第三人人身伤亡、财产损失的，由承包人负责处理并承担全部责任，与发包人无关。</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（19）其他依据合同和法律规定应由承包人履行的义务。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三）承包人的随附义务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（1）参与设计的技术协调会，做好设计交底工作。</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（2）各施工阶段开始前，按承包人的设计分工，参与图纸会审，解答有关设计问题。</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现场服务：按发包人要求指派承包人员常驻本项目工地，按承包人分工责任分别组织进行，配合发包人进行现场巡查，直至工程竣工验收合格止。当建设过程中对设计文件有疑问，承包人在接到通知后，应及时派出专业工程师解决。属于一般设计问题，若无特殊情况，应在1天内解决。属于重大设计问题，可在5天内书面提出解决意见。对设计图纸与现场不符之处，应及时提出解决办法。</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（4）提供设备、材料订货清单，同时原则上须向发包人公正推荐三家以上供应商及提供相关资料，所提供的供应商和相关资料不能带有倾向性和排它性。</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（5）对设备、材料订货有关性能、参数、规格的技术确认，以及协助参与对己订设备、材料的验收工作。</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（6）协助制订设备系统的调试计划和参与设备试车调试。</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（7）参与工程竣工验收，参与编写工程总结。</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（8）项目负责人或施工过程派驻设计代表应参加发包人召开的协调会、调度会。</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根据工程进展情况和需要，对一些特殊工程，承包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本合同生效之日起至工程竣工验收合格后满两年止为设计服务期限。工程投入使用后，若发现工程设计未能满足本合同的要求，承包人必须继续提供服务，直至满足要求为止。上述的延期服务，发包人不额外支付费用。</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（四）后续服务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除履行本合同通用条款中的后续服务，还应负责以下工作：参加工程设备、材料采购招标技术规范书的编制、评标、合同技术谈判及技术配合工作；参与本工程有关的调研和收集资料工作；参加工地例会；参加设计联络会；配合设计审查。</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对设计代表的数量和资质条件要求：常驻施工现场的设计代表应不少于1名，设计代表应由负责本设计项目的各专业分项负责人担任。根据项目需求发包人有权要求增派设计代表人员，不另行支付费用。承包人员留驻现场的办公用房及其他满足本项目设计工作需要的办公、交通、通讯、生活等设施费用全部由承包人自行解决。</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（3）其中由于不可预见因素造成的设计变更和发包人要求的设计方案调整，不另行支付费用。</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（五）限额设计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工程项目投资必须按照政府主管部门确定的投资额度和要求严格控制。发包人据此制定投资分解目标，实行限额设计。在保证设计质量的前提下，承包人应按投资限额进行设计，严格控制施工图设计的变更，确保工程预算不突破限额目标。</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（2）承包人应遵循功能适用、标准合理、经济合理的原则开展设计，在投资限额目标的基础上结合项目设计内容进一步分解投资，明确投资控制主要指标，在编制设计预算时逐步细化落实。</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包人在限额设计范围内应充分运用性价比分析、多方案（不少于2个）技术经济比较等技术手段，对设计方案进行优化。在所有方案比较的过程中，必须进行相应深度的投资比较，确保方案的可比性，并提供相应的工程数量表、主要材料表、主要设备清单等，在确保工程质量的前提下，降低工程投资。</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（4）承包人有关设计的任何修改、变动或由于修改设计所引起的工艺、技术、材料、设备的变更，如引起投资限额的突破均须经过发包人审批同意。</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（六）设计优化和技术经济分析论证</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（1）设计方案必须进行技术经济分析。通过对设计方案、工艺、设备等进行全面的评价，在满足功能要求的前提下，采用技术经济优化、可以有效控制工程投资的方案。</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保证方案的可实施和可操作性前提下，设计中凡能进行定量分析的设计内容，应通过计算，用数据说明其技术经济的合理性。同时向发包人提供各阶段技术经济分析资料，以力求各阶段设计成果能充分体现设计优化的原则。</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包人必须对设计方案进行多方案比较和优化，比较方案应具有可比性。方案比较必须通过技术经济分析，完成单位或单项工程的估算编制，确保设计深度能够满足编制工程预算的需要。对于超投资限额的，应在保证设计质量的前提下自行修改，如确实需要增加的，必须报发包人审查，取得发包人书面同意后，方可修正。</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并未经发包人审批，不得随意突破限额。</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（七）预算</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（1）承包人必须在方施工图审查时提交相应深度的投资预算，对投资限额目标作进一步的细化，并按设计深度提供相应的主要工程材料数量表、设备清单、数量及询价资料，预算计算书、编制说明书。</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（2）设计预算的起算指标分析应提供依据，起算数据应经有关部门或人员确认，确认后不得随意修改。没有定额的指标必须进行指标分析，针对本工程的特点合理确定。</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包人应对预算的准确性负责，认真分析可能影响造价的各种因素（如自然条件、生产工艺和施工条件等），准确选用现行的定额、费用和价格等各项编制依据，使预算能够完整地反映设计内容，合理地反映施工条件，准确地确定工程造价。</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（4）设计预算编制的单位、单项工程，分部、分项工程的划分原则必须统一，编码必须一致，便于投资分析和验工计价时的检索，编制单元及章节划分应符合投资控制的需要。</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发包人有权聘请有资质的单位审查承包人造价文件的客观性、准确性。如果工程预算超出限定的概算，承包人必须对设计文件进行修改，并承诺该修改不改变有关设计和规划的原则、内容与要求，不改变原方案设计的构思，不降低使用功能与设计质量标准。发包人对此修改不支付任何附加设计费用。     </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（八）设计变更</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程建设过程中因各种原因发生的设计变更，承包人应以书面或图纸进行设计变更并盖印和签字确认，还须按发包人制定的有关设计变更管理办法进行规范，明确设计变更的原因、种类、责任认定和增减费用说明。所有设计变更均需报发包人进行盖印和签字确认。</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（2）承包人应承诺能够根据工程需要修改设计，对所承担项目设计的完整性负责，且修改设计完成时限应满足工程建设需要并符合本合同要求。</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（3）因发包人原因造成设计变更产生的设计费超10%的，按超出部分计算设计费用。</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（九）设计质量的组织保证与人员管理制度</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（1）承包人应根据设计任务建立项目组，从组织上保证投入的人力、物力能满足设计开展的需要，保证不同设计时段、阶段设计工作的连续性和外部条件接口衔接的连贯性。</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（2）在设计高峰或发包人认为有必要时，承包人必须集中承包人员确保设计进度，凡因承包人员不到位而影响设计工作的，发包人有权根据实际情况扣减设计费，直至解除合同。</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（3）本合同有效期内，承包人在明确分工各负其责的基础上，承包人承诺为本项目指定的设计负责人为     具备   资格。</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（4）承包人承诺为本项目指定的各专业设计负责人为        高级职称或        资格。</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（5）承包人承诺为本项目指定的驻场设计代表常驻现场，具有房屋建筑专业中级及以上技术职称资格。承包人保证驻场设计代表能够全权代表承包人，并向发包人出具相应的授权文件。</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（6）该驻场设计代表必须到场向发包人现场代表签到，到场签到时间不能少于22天/月。到场签到时间每少一天罚款1000元，每缺席例会一次罚款5000元，并在下阶段费用中扣除。</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（7）承包人承诺应发包人要求，委派承担本项目设计的各分项设计负责人提供专业齐全的配套服务。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（8）项目设计总负责人，各专业设计负责人，驻场设计代表的经验、能力和健康状况应能够胜任所承担任务的设计、组织、计划、协调工作。</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承包人须报送项目设计总负责人，各专业设计负责人，其他参与设计工作的人员姓名、年龄、学历、专业、职称、职务、相关经历和主要技术成果以及在本项目中负责的设计任务等资料（设计合同签订时作为必须附件）。</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（10）承包人须报送驻场设计代表的姓名、年龄、学历、专业、职称、职务、相关经历和主要技术成果以及其驻场授权工作范围、驻场时间安排等资料（设计合同签订时作为必须附件）。</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承包人必须保证参与本项目承包人员的稳定性。承包人如需更换项目设计总负责人、各项目专业设计负责人、驻场设计代表，应提前7天以书面形式通知发包人并征得发包人同意后方可撤换。同时发包人认为项目设计总负责人、各项目专业设计负责人、驻场设计代表不称职时，承包人应当在收到发包人的书面通知后5天内更换，更换人员的资历不得低于本合同相应条款对各类承包人员资历规定的要求，且更换人员须先经过发包人确认。承包人对发包人要求更换人员有权提出异议，提出异议后发包人仍然要求更换，则承包人应无条件进行更换，否则视为该人员从发包人发出更换通知的时间开始缺岗。</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承包人承诺驻场设计代表，若非发包人要求需离开驻地3天以内需知会发包人，3天以上需经发包人批准。总请假天数每月不得超过6天，在其请假离开的时间段内应书面委托其他驻场设计代表全权代表其行使相应职权。</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（13）承包人必须加强承包人员职业操守的教育，本项目承包人员需共同遵守承包人员职业道德守则，并严格遵守以下规定：</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①严防重产值、轻质量倾向，确保公众人身及财产安全；</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②禁止向发包人及施工单位推销材料、设备，或以倾向性、排他性设计变相推销；</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③禁止与材料、设备供应商串通，设计中选用价高质次的材料、设备；</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④禁止与材料、设备供应商串通，在材料、设备的监造或调试过程中对不合格材料、设备产品进行包庇或以次充好，提高产品验收级别；</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⑤禁止与施工单位串通，对不合格材料、设备、产品、工程进行包庇及验收；</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⑥禁止与施工单位串通，对材料用量、工程量进行虚假签认；</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⑦禁止与施工单位串通，不合理提高施工难度及增加材料用量，以增大施工费用，获取不正当收益。</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凡违背（1）-（13）条各项规定者，一经查实，发包人有权向有关部门反映情况，追究承包人及有关责任人相关责任，要求赔偿实际损失，并将上述违反职业道德的行为通过新闻媒体公诸于众，情节严重者移交司法机关追究法律责任。</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（十）设计质量控制</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所完成的各阶段设计成果，必须经发包人审核确认后方可进行下一步工作。但发包人的审核确认并不免除承包人自身的设计责任，承包人对于设计中的失误仍应承担本合同中约定的违约责任，并赔偿发包人由此遭受的实际损失。</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（2）承包人必须保证设计成果不构成本项目申报各级工程奖项的障碍。</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发包人要求承包人在设计过程中考虑工程实施时的实际可操作性。承包人必须保证设计成果不会在供电、给排水、煤气、设备安装等方面相互矛盾；不会在申报用电、用水、用气和通信配套等方面违反规划和违反安全规范、规定的要求。承包人应对方案的实施工序提出相应的技术要求，特别是关键工序，应明确提出工艺要求、质量控制要求。超越目前国内施工单位平均技术水平的建筑方案、施工方法，承包人应提出合理理由和可行的实施方案，报发包人同意后方可采用，否则，发包人有权要求承包人修改设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（4）设备国产化应当做到选型设计而不是科研开发设计，原则上要求所采用的设备和系统技术是成熟的，对于新技术、新成果的运用承包人必须有把握，并有相应的工程实践和实际应用经验供参考。</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承包人应加强设计标准化工作，组织采用统一的模数、参数和标准构配件，推广标准设计的运用，针对本工程的特点提出标准化设计建议，如标准平面、标准断面、标准设备选用等，将承包人积累的经验加以总结，提高设计水平和工作效率。</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如果承包人交付的文件或图纸不符合本合同的约定和要求，发包人有权拒收，承包人应在收到发包人通知后5天内免费将所有符合规定的设计文件交付给发包人，且文件交付时间仍应符合约定的时间，否则承担相关违约责任。</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（7）承包人应重视处理好投资、设计费和设计质量之间的关系，充分重视发挥承包人员在保证项目质量、投资控制方面的积极性，使设计费与设计工作量匹配，尽量避免各系统、专业在设计取费上的不均衡。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（8）设计费与工程投资脱钩，在设计合理的范围内，确保承包人员愿意通过精心设计展示自己的才能。</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（十一）进度计划</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承包人编制的设计进度计划应确定项目总进度目标与详细的分进度目标。承包人根据合同约定及工期总体策划的要求编制各阶段设计进度计划和各专业的出图计划，各阶段中间检查内容、时间、次数和提交哪些设计文件、图纸，经发包人审查、平衡后执行。承包人应根据设计实际进展变化，及时编制设计调整计划，以使设计进度在受控状态下进行，同时便于发包人及时调整相应计划。</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（2）设计进度计划应体现事前、事中和事后进度控制，应有工作流程、进度控制措施、组织措施、技术措施等内容，必须考虑工程招标、设备采购、物料准备等因素，提供满足上述工作所需要的有关设计文件。</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（十二）进度控制的要求和办法</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（1）发包人按进度计划检查设计完成情况，检查内容包括设计进展、设计质量、限额设计落实情况、设计成果提交情况等，发现问题，有权督促承包人采取组织、经济及技术措施予以纠正。</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（2）承包人严格按照进度计划开展和组织设计工作，接受发包人根据合同和进度计划进行的各种设计跟踪、工作检查和协调要求。</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包人根据设计开展情况编制月工作汇报和下月进度计划，提供有关设计信息，协助发包人掌握设计工作的整体进展情况。承包人每周按要求向发包人报告进展情况。发包人有权要求修改、调整进度计划并要求承包人执行。</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（4）对于承包人书面反映的重大技术问题和重大原则问题，发包人应在10日内予以确认或反馈意见，需要发包人协调的，由发包人组织协调。</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（十三）关键点控制</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（1）发包人对关键点的设计工作重点检查，根据设计进展的实际情况提出相应的意见、要求，发现偏离，及时要求承包人调整人员、调整计划和调整工作部署。</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对关键点的关注而提出的要求、措施或决策，不因此承担承包人应负的责任，如由此而影响设计工作的正常进行，承包人应提出解决问题的方法，属发包人决策不合理的，承包人有责任告之发包人，发生合同外费用的，需事前提交发包人确认。</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（3）承包人应当根据设计行为制定设计工作整体的进度网络图，确定其中的关键点，加强过程控制确保关键点设计按进度计划完成，使整个设计工作处于受控的状态。</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（4）承包人应根据发包人要求的进度制定工作计划、组织保证措施，确保投入的人力、物力能满足设计工作的需要，确保关键点的设计工作按计划完成。</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（5）无论何种原因影响关键点设计进度的，承包人都必须对发包人关于消除影响、保证进度的措施、指令，采取一切相应的组织措施、技术措施予以执行，并接受发包人的检查。</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（十四）设计为用户服务，为工程服务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（1）除发包人已批准的设计文件组成清单内容外，发包人有权要求承包人补充完成工程实际所需要的相关增加设计图纸。</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（2）设计要考虑工程实施的需要，在计划、工期上要根据工程总体策划考虑设备采购、施工组织所需要的时间，提前交付设计文件。</w:t>
      </w:r>
    </w:p>
    <w:p>
      <w:pPr>
        <w:pageBreakBefore w:val="0"/>
        <w:kinsoku/>
        <w:overflowPunct/>
        <w:bidi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第6条 材料、工程设备</w:t>
      </w:r>
      <w:bookmarkEnd w:id="806"/>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bookmarkStart w:id="807" w:name="_Toc54862338"/>
      <w:r>
        <w:rPr>
          <w:rFonts w:hint="eastAsia" w:ascii="宋体" w:hAnsi="宋体" w:eastAsia="宋体" w:cs="宋体"/>
          <w:color w:val="auto"/>
          <w:sz w:val="24"/>
          <w:szCs w:val="24"/>
          <w:lang w:val="en-US" w:eastAsia="zh-CN"/>
        </w:rPr>
        <w:t>6.2 材料和工程设备</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6.2.1 发包人提供的材料和工程设备：</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 承包人提供的材料和工程设备</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材料和工程设备的类别、估算数量：</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（1）除专用合同条款另有约定外，承包人提供的材料和工程设备均由承包人负责采购、运输和保管。承包人应对其采购的材料和工程设备负责。</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（2）根据湛江市人民政府《关于贯彻实施广东省促进散装水泥发展和应用规定的通知》湛府函[2011]329 号文的规定，本工程必须使用散装水泥和预拌混凝土、预拌砂浆、新型墙体材料。本工程禁止使用自拌混凝土、禁止使用实心红砖。</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（3）承包人不得向违规的商品混凝土、商品砂浆及新型墙体材料供应商(违规供应商名单，以湛江市住房和城乡建设局通报的名单为准)采购商品混凝土、商品砂浆及新型墙体材料。</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（4）主要工程材料由承包人提前10 天提供材料样品，经发包人、监理单位、设计单位确认样品后，由承包人按要求购买。发包人在承包人提交符合要求的材料样品后14 天内，组织设计、监理单位确认材料样品。</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本工程的所有材料和设备必须为国家合格产品且符合设计图纸的要求，且承包人不得使用国家明文禁止、淘汰的产品，不得使用来历不明的材料。所有主要工程材料和设备必须具备生产许可证、产品合格证书和说明书。</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（6）材料和设备应提前进场，材料和设备进场前承包人应将进场材料和设备的供货人及品种、规格、数量和供货时间等有关资料提交监理工程师和发包人代表确认，到货前至少提前24 小时，以书面形式通知发包人和监理工程师，由发包人代表及监理工程师共同验货并书面确认材料和设备是否合格(符合相关要求和标准)，必要时进行抽样送检。材料和设备经书面确认合格后方能进场、投入使用；经书面确认不合格的，全部材料和设备一律退场，相关责任及所造成的损失由承包人承担。</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（7）若材料和设备未经发包人代表和监理工程师书面确认而承包人擅自进场使用，一经发现，每次承包人必须向发包人交纳壹拾万元违约金，并由发包人代表及监理工程师对进场的材料和设备进行检验。</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①若材料和设备符合要求，继续使用；</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②若材料和设备不符合要求并已投入使用的，承包人须按照监理工程师的指令立即停止使用该批材料，并拆除、修复或重新采购，由此增加的费用和延误的工期由承包人承担；</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若材料和设备不符合要求且未使用的，承包人须按照监理工程师的指令将其运出施工场地，经监理工程师确认退场完成后，方能按要求重新采购符合要求的材料和设备，由此增加的费用和延误的工期由承包人承担。</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禁止使用不合格的材料和工程设备。监理人有权拒绝承包人提供的不合格材料或工程设备，并要求承包人立即进行更换。监理人应在更换后再次进行检查和检验，由此增加的费用和（或）工期延误由承包人承担。</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监理人发现承包人使用了不合格的材料和工程设备，应即时发出指示要求承包人立即改正，并禁止在工程中继续使用不合格的材料和工程设备。</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竣工后试验的生产性材料的类别或（和）清单：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6.2.3 材料和工程设备的保管</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发包人供应的材料和工程设备的保管费用的承担：</w:t>
      </w:r>
      <w:r>
        <w:rPr>
          <w:rFonts w:hint="eastAsia" w:ascii="宋体" w:hAnsi="宋体" w:eastAsia="宋体" w:cs="宋体"/>
          <w:color w:val="auto"/>
          <w:sz w:val="24"/>
          <w:szCs w:val="24"/>
          <w:u w:val="single"/>
          <w:lang w:val="en-US" w:eastAsia="zh-CN"/>
        </w:rPr>
        <w:t xml:space="preserve"> 由承包人承担  </w:t>
      </w:r>
      <w:r>
        <w:rPr>
          <w:rFonts w:hint="eastAsia" w:ascii="宋体" w:hAnsi="宋体" w:eastAsia="宋体" w:cs="宋体"/>
          <w:color w:val="auto"/>
          <w:sz w:val="24"/>
          <w:szCs w:val="24"/>
          <w:lang w:val="en-US" w:eastAsia="zh-CN"/>
        </w:rPr>
        <w:t>。</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承包人提交保管、维护方案的时间：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发包人提供的库房、堆场、设施和设备：</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样品</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6.3.1 样品的报送与封存</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需要承包人报送样品的材料或工程设备，样品种类、名称、规格、数量：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zh-TW" w:eastAsia="zh-CN"/>
        </w:rPr>
        <w:t>承包人提供的材料和设备要求合格以上产品且产品的价格接近清单和合同的材料、设备，供发包人参考选择</w:t>
      </w:r>
      <w:r>
        <w:rPr>
          <w:rFonts w:hint="eastAsia" w:ascii="宋体" w:hAnsi="宋体" w:eastAsia="宋体" w:cs="宋体"/>
          <w:color w:val="auto"/>
          <w:sz w:val="24"/>
          <w:szCs w:val="24"/>
          <w:u w:val="single"/>
          <w:lang w:val="en-US" w:eastAsia="zh-CN"/>
        </w:rPr>
        <w:t>.若承包人未能在规定时间内按要求向发包人提供材料样品，因而导致材料不能按时采购而影响工期，由承包人负责，工期不予顺延  。</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质量检查</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 工程质量要求</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工程质量的特殊标准或要求：</w:t>
      </w:r>
      <w:r>
        <w:rPr>
          <w:rFonts w:hint="eastAsia" w:ascii="宋体" w:hAnsi="宋体" w:eastAsia="宋体" w:cs="宋体"/>
          <w:color w:val="auto"/>
          <w:sz w:val="24"/>
          <w:szCs w:val="24"/>
          <w:u w:val="single"/>
          <w:lang w:val="en-US" w:eastAsia="zh-CN"/>
        </w:rPr>
        <w:t>工程质量验收按法律规定和合同约定的验收标准执行。承包人每阶段提交设计成果的质量标准：按国家、省、市有关规定和技术要求的深度和质量。</w:t>
      </w:r>
    </w:p>
    <w:p>
      <w:pPr>
        <w:pageBreakBefore w:val="0"/>
        <w:kinsoku/>
        <w:overflowPunct/>
        <w:bidi w:val="0"/>
        <w:spacing w:line="360" w:lineRule="auto"/>
        <w:ind w:firstLine="6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增加以下内容：</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承包人应当完善质量管理制度，建立质量控制流程，进行全面质量管理（TQC），以最新版的 GB/T19000《质量管理与质量保证》为标准，建立并保持一个健全的工程质量保证体系，并遵守该工程的相关质量管理办法。为此，承包人必须做到但不限于： </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1）建立完整的质量保证体系，委派专人负责工程质量管理，项目部、施工段设有专职质检人员，班组设质检员，于本合同签订后 5 天内将上述人员报总监理工程师备查。 </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人提交总监理工程师批准的施工组织设计或者施工方案必须附有完备的工程质量保证措施，包括：工程质量预控措施，工序质量控制点，工程的标准工艺流程图和技术，组织措施，重点分部（项）工程的施工方法，材料、构件、支座、制品试件取样及试验的方法或方案，成品保护的措施和方法，质量报表和质量事故的报告制度，等等。 </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3）单项工程开工前，承包人必须对员工进行技术交底，组织学习有关规程、规范和工艺要求，在施工中必须按规程和工艺进行操作。 </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单项工程和重要部位都必须遵循先试验后铺开施工的程序，开工前承包人应完成施工组织设计和必要的施工准备，报送总监理工程师审查批准后方可进行试验性施工，完工后由总监理工程师检验，符合要求后才能铺开施工或者批量生产。 </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5）执行材料试验制度和设备检验制度。配备足够的试验及检测仪器、仪表，并及时校正，保证其应有的精度。要加强质量自检，检测频率要符合规范要求。</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6.4.2 质量检查</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除通用合同条件已列明的质量检查的地点外，发包人有权进行质量检查的其他地点：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6.4.3 隐蔽工程检查</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关于隐蔽工程和中间验收的特别约定：</w:t>
      </w:r>
      <w:r>
        <w:rPr>
          <w:rFonts w:hint="eastAsia" w:ascii="宋体" w:hAnsi="宋体" w:eastAsia="宋体" w:cs="宋体"/>
          <w:color w:val="auto"/>
          <w:sz w:val="24"/>
          <w:szCs w:val="24"/>
          <w:u w:val="single"/>
          <w:lang w:val="en-US" w:eastAsia="zh-CN"/>
        </w:rPr>
        <w:t>监理工程师验收签字</w:t>
      </w:r>
      <w:r>
        <w:rPr>
          <w:rFonts w:hint="eastAsia" w:ascii="宋体" w:hAnsi="宋体" w:eastAsia="宋体" w:cs="宋体"/>
          <w:color w:val="auto"/>
          <w:sz w:val="24"/>
          <w:szCs w:val="24"/>
          <w:lang w:val="en-US" w:eastAsia="zh-CN"/>
        </w:rPr>
        <w:t>。</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 由承包人试验和检验</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6.5.1 试验设备与试验人员</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试验的内容、时间和地点：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overflowPunct/>
        <w:bidi w:val="0"/>
        <w:spacing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试验所需要的试验设备、取样装置、试验场所和试验条件：</w:t>
      </w:r>
      <w:r>
        <w:rPr>
          <w:rFonts w:hint="eastAsia" w:ascii="宋体" w:hAnsi="宋体" w:eastAsia="宋体" w:cs="宋体"/>
          <w:color w:val="auto"/>
          <w:sz w:val="24"/>
          <w:szCs w:val="24"/>
          <w:u w:val="single"/>
          <w:lang w:val="en-US" w:eastAsia="zh-CN"/>
        </w:rPr>
        <w:t xml:space="preserve"> 根据施工需要由承包人委托在市住建局备案的第三方检测公司  </w:t>
      </w:r>
      <w:r>
        <w:rPr>
          <w:rFonts w:hint="eastAsia" w:ascii="宋体" w:hAnsi="宋体" w:eastAsia="宋体" w:cs="宋体"/>
          <w:color w:val="auto"/>
          <w:sz w:val="24"/>
          <w:szCs w:val="24"/>
          <w:lang w:val="en-US" w:eastAsia="zh-CN"/>
        </w:rPr>
        <w:t>。</w:t>
      </w:r>
    </w:p>
    <w:p>
      <w:pPr>
        <w:pageBreakBefore w:val="0"/>
        <w:kinsoku/>
        <w:overflowPunct/>
        <w:bidi w:val="0"/>
        <w:spacing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试验和检验费用的计价原则：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第7条 施工</w:t>
      </w:r>
      <w:bookmarkEnd w:id="807"/>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bookmarkStart w:id="808" w:name="_Toc54862339"/>
      <w:r>
        <w:rPr>
          <w:rFonts w:hint="eastAsia" w:ascii="宋体" w:hAnsi="宋体" w:eastAsia="宋体" w:cs="宋体"/>
          <w:color w:val="auto"/>
          <w:sz w:val="24"/>
          <w:szCs w:val="24"/>
        </w:rPr>
        <w:t>7.1 交通运输</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7.1.1 出入现场的权利</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 xml:space="preserve"> 承包人自行解决，发包人协助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7.1.2 场外交通</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关于场外交通的特别约定：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 xml:space="preserve">符合当地交规要求，达到三通一平的要求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7.1.3 场内交通</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关于场内交通的特别约定：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 xml:space="preserve">按通用条款执行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关于场内交通与场外交通边界的约定：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按通用条款执行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7.1.4 超大件和超重件的运输</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 xml:space="preserve"> 承包人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承担。</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施工设备和临时设施</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7.2.1 承包人提供的施工设备和临时设施</w:t>
      </w:r>
    </w:p>
    <w:p>
      <w:pPr>
        <w:pageBreakBefore w:val="0"/>
        <w:kinsoku/>
        <w:wordWrap/>
        <w:overflowPunct/>
        <w:topLinePunct w:val="0"/>
        <w:bidi w:val="0"/>
        <w:spacing w:after="0" w:after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临时设施的费用和临时占地手续和费用承担的特别约定：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7.2.2 发包人提供的施工设备和临时设施</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发包人提供的施工设备或临时设施范围：</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承包人自行解决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 现场合作</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关于现场合作费用的特别约定：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测量放线</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7.4.1 关于测量放线的特别约定的技术规范：</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 xml:space="preserve">按通用条款执行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。施工控制网资料的告知期限：</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下达开工令前 5 个工作日内，承包人在收到监理人提供的以上资料后应及时申报复测方案并组织复测。承包人向监理人报送施工控制网的时间约定：下达开工令前 5 个工作日内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 现场劳动用工</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7.5.2 合同当事人对建筑工人工资清偿事宜和违约责任的约定：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lang w:val="en-US"/>
        </w:rPr>
        <w:t>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7.5.3 承包人应当按照相关法律法规的要求，进行劳动用工管理和建筑工人工资支付。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（1）发包人应在签订合同之后向承包人提供工程预付款。</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■发包人：项目建设所需资金必须确保落实到位，并及时拨付给承包人，不得要求承包人垫资建设。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■承包人：承包人必须与农民工签订劳动合同，工资支付及工程建设项目必须实行农民工实名制管理、农民工工资专用账户管理，并按时（不超一个月）足额通过农民工工资专用账户发放农民工工资。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■监理人：认真监督发包人资金落实情况、按时拨付工程款和农民工工资等情况，监督承包人开设农民工工资专用账户和采用实名制管理，并按时（不超一个月）足额通过农民工工资专用账户发放农 民工工资等情况，确保不出现拖欠农民工工资的现象。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2）承包人在签订施工合同后提供工人工资保证金担保，担保方式由承包人以现金缴存、金融机构保函、保证保险形式提交工程款支付。工人工资保证金的金额为建安费的1%。中标单位对农民工实名制管理、签劳务合同。承包人在签订施工合同后 30 日历天内设农民工工资专用账户。本工程工人工资费用为建安费 20%，承包人向发包人申请拨付工程预付款和工程进度款的同时，应单独列明工人工资款项（申请资金的 20%），发包人依承包人的申请，将工程款中的工资款项（人工费）单独按时足额拨付到承包人的工资专户，承包人通过该工资专户按月足额向工人支付工人工资。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（3）承包人应保证每期所获进度款优先安排民工工资的发放，否则，发包人有权在下一期支付给承包人的款项中扣除工程进度款的 20%作为民工工资，必要时直接支付给民工个人。人工费用拨付周期不得超过 1 个月。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（4）承包人须根据劳动合同约定的民工工资标准等内容，按照依法签订的集体合同或劳动合同约定的日期按月支付工资，并不得低于当地最低工资标准。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（5）承包人支付民工工资应编制工资支付表，如实记录工资支付表，支付时间、支付对象、支付数额等工资支付情况，并保存备查，发包人保留随时对承包人的民工工资支付情况进行审查的权利。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（6）承包人应对其专业分包或劳务分包单位工资支付情况进行监督，督促其依法支付民工工资。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rPr>
        <w:t>（7）承包人应按上述要求及国家、地方有关规定按时支付民工工资.如果承包人或其分包人拖欠、克扣本工程劳动者工资，造成发包人承担连带责任垫付工人工资，则发包人有权在工程款中扣除并保留进一步向承包人索偿的权利。</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 安全文明施工</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7.6.1 安全生产要求</w:t>
      </w:r>
    </w:p>
    <w:p>
      <w:pPr>
        <w:pageBreakBefore w:val="0"/>
        <w:kinsoku/>
        <w:wordWrap/>
        <w:overflowPunct/>
        <w:topLinePunct w:val="0"/>
        <w:bidi w:val="0"/>
        <w:spacing w:after="0" w:afterLines="0" w:line="360" w:lineRule="auto"/>
        <w:ind w:left="142" w:leftChars="59"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合同当事人对安全施工的要求：</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按通用条款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7.6.3 文明施工</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合同当事人对文明施工的要求：</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按通用条款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7.9 临时性公用设施</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关于临时性公用设施的特别约定：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按通用条款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7.10 现场安保</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承包人现场安保义务的特别约定：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按通用条款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第8条 工期和进度</w:t>
      </w:r>
      <w:bookmarkEnd w:id="808"/>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bookmarkStart w:id="809" w:name="_Toc54862340"/>
      <w:r>
        <w:rPr>
          <w:rFonts w:hint="eastAsia" w:ascii="宋体" w:hAnsi="宋体" w:eastAsia="宋体" w:cs="宋体"/>
          <w:color w:val="auto"/>
          <w:sz w:val="24"/>
          <w:szCs w:val="24"/>
        </w:rPr>
        <w:t>8.1 开始工作</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4"/>
          <w:szCs w:val="24"/>
        </w:rPr>
        <w:t>8.1.1 开始准备工作：</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合同生效后，以发包人（或管理人）同意由监理人发出的开工令为准，并给承包人必要的准备时间，不少于 7 个日历天。监理人在发出开始工作通知前应获得发包人同意。工期自开始工作通知中载明的开始工作日期起计算  </w:t>
      </w:r>
      <w:r>
        <w:rPr>
          <w:rFonts w:hint="eastAsia" w:ascii="宋体" w:hAnsi="宋体" w:eastAsia="宋体" w:cs="宋体"/>
          <w:b/>
          <w:bCs/>
          <w:color w:val="auto"/>
          <w:sz w:val="24"/>
          <w:szCs w:val="24"/>
          <w:u w:val="none"/>
          <w:lang w:val="en-US" w:eastAsia="zh-CN"/>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总承包工期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180 </w:t>
      </w:r>
      <w:r>
        <w:rPr>
          <w:rFonts w:hint="eastAsia" w:ascii="宋体" w:hAnsi="宋体" w:eastAsia="宋体" w:cs="宋体"/>
          <w:color w:val="auto"/>
          <w:sz w:val="24"/>
          <w:szCs w:val="24"/>
        </w:rPr>
        <w:t>日历天。其中:承包人应在总承包合同签订</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rPr>
        <w:t>日历天内完成施工图设计，并提交全套施工图设计文件</w:t>
      </w:r>
      <w:r>
        <w:rPr>
          <w:rFonts w:hint="eastAsia" w:ascii="宋体" w:hAnsi="宋体" w:eastAsia="宋体" w:cs="宋体"/>
          <w:color w:val="auto"/>
          <w:sz w:val="24"/>
          <w:szCs w:val="24"/>
          <w:lang w:val="en-US" w:eastAsia="zh-CN"/>
        </w:rPr>
        <w:t>和预算</w:t>
      </w:r>
      <w:r>
        <w:rPr>
          <w:rFonts w:hint="eastAsia" w:ascii="宋体" w:hAnsi="宋体" w:eastAsia="宋体" w:cs="宋体"/>
          <w:color w:val="auto"/>
          <w:sz w:val="24"/>
          <w:szCs w:val="24"/>
        </w:rPr>
        <w:t>报审。施工工期：合计</w:t>
      </w:r>
      <w:r>
        <w:rPr>
          <w:rFonts w:hint="eastAsia" w:ascii="宋体" w:hAnsi="宋体" w:eastAsia="宋体" w:cs="宋体"/>
          <w:color w:val="auto"/>
          <w:sz w:val="24"/>
          <w:szCs w:val="24"/>
          <w:u w:val="single"/>
          <w:lang w:val="en-US" w:eastAsia="zh-CN"/>
        </w:rPr>
        <w:t>180</w:t>
      </w:r>
      <w:r>
        <w:rPr>
          <w:rFonts w:hint="eastAsia" w:ascii="宋体" w:hAnsi="宋体" w:eastAsia="宋体" w:cs="宋体"/>
          <w:color w:val="auto"/>
          <w:sz w:val="24"/>
          <w:szCs w:val="24"/>
        </w:rPr>
        <w:t>日历天内完成竣工验收,开工日期由监理工程师发出的开工令中指定的日期算起，以工程竣工验收通过、承包人送交建设工程竣工验收报告的日期作为实际竣工日</w:t>
      </w:r>
      <w:r>
        <w:rPr>
          <w:rFonts w:hint="eastAsia" w:ascii="宋体" w:hAnsi="宋体" w:eastAsia="宋体" w:cs="宋体"/>
          <w:color w:val="auto"/>
          <w:sz w:val="24"/>
          <w:szCs w:val="24"/>
          <w:lang w:eastAsia="zh-CN"/>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8.1.2 发包人可在计划开始工作之日起84日后发出开始工作通知的特殊情形：</w:t>
      </w:r>
      <w:r>
        <w:rPr>
          <w:rFonts w:hint="eastAsia" w:ascii="宋体" w:hAnsi="宋体" w:eastAsia="宋体" w:cs="宋体"/>
          <w:b/>
          <w:bCs/>
          <w:color w:val="auto"/>
          <w:sz w:val="24"/>
          <w:szCs w:val="24"/>
          <w:u w:val="single"/>
          <w:lang w:val="en-US" w:eastAsia="zh-CN"/>
        </w:rPr>
        <w:t>在施工过程中，发包人若因自身原因延误工期或暂停施工，则相应顺延工期，发包人不另行增加支付承包人任何费用</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 竣工日期</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竣工日期的约定：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完成施工内容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项目实施计划</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8.3.1 项目实施计划的内容</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项目实施计划的内容：</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应列出各个子项目的实施计划安排、计划实施工程的程序、关键性时间节点、关键单项工程和（或）关键分部分项工程施工进度计划、建设进度计划目标、保障措施等。若工程实际进度与进度计划不符，发包人可要求承包人以实现如期完工为前提合理安排建设进度计划并修改建设进度计划</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包括但不限于： </w:t>
      </w:r>
    </w:p>
    <w:p>
      <w:pPr>
        <w:pageBreakBefore w:val="0"/>
        <w:kinsoku/>
        <w:wordWrap/>
        <w:overflowPunct/>
        <w:topLinePunct w:val="0"/>
        <w:bidi w:val="0"/>
        <w:spacing w:after="0" w:afterLines="0" w:line="360" w:lineRule="auto"/>
        <w:ind w:firstLine="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(1)各分部分项工程的完整的施工方案； </w:t>
      </w:r>
    </w:p>
    <w:p>
      <w:pPr>
        <w:pageBreakBefore w:val="0"/>
        <w:kinsoku/>
        <w:wordWrap/>
        <w:overflowPunct/>
        <w:topLinePunct w:val="0"/>
        <w:bidi w:val="0"/>
        <w:spacing w:after="0" w:afterLines="0" w:line="360" w:lineRule="auto"/>
        <w:ind w:firstLine="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(2)对各专业分包单位的组织、协调及配合服务的管理方案，包括在施工项目部管理人员架构中设置针对各专业分包对口专业管理人员且明确其职责；</w:t>
      </w:r>
    </w:p>
    <w:p>
      <w:pPr>
        <w:pageBreakBefore w:val="0"/>
        <w:kinsoku/>
        <w:wordWrap/>
        <w:overflowPunct/>
        <w:topLinePunct w:val="0"/>
        <w:bidi w:val="0"/>
        <w:spacing w:after="0" w:afterLines="0" w:line="360" w:lineRule="auto"/>
        <w:ind w:firstLine="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(3)施工资源投入计划，包括：机械、试验设备进场计划、工程材料和物料进场计划、施工人员进场计划等； </w:t>
      </w:r>
    </w:p>
    <w:p>
      <w:pPr>
        <w:pageBreakBefore w:val="0"/>
        <w:kinsoku/>
        <w:wordWrap/>
        <w:overflowPunct/>
        <w:topLinePunct w:val="0"/>
        <w:bidi w:val="0"/>
        <w:spacing w:after="0" w:afterLines="0" w:line="360" w:lineRule="auto"/>
        <w:ind w:firstLine="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(4)施工现场平面布置图及施工道路平面图； </w:t>
      </w:r>
    </w:p>
    <w:p>
      <w:pPr>
        <w:pageBreakBefore w:val="0"/>
        <w:kinsoku/>
        <w:wordWrap/>
        <w:overflowPunct/>
        <w:topLinePunct w:val="0"/>
        <w:bidi w:val="0"/>
        <w:spacing w:after="0" w:afterLines="0" w:line="360" w:lineRule="auto"/>
        <w:ind w:firstLine="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(5)季节性施工措施； </w:t>
      </w:r>
    </w:p>
    <w:p>
      <w:pPr>
        <w:pageBreakBefore w:val="0"/>
        <w:kinsoku/>
        <w:wordWrap/>
        <w:overflowPunct/>
        <w:topLinePunct w:val="0"/>
        <w:bidi w:val="0"/>
        <w:spacing w:after="0" w:afterLines="0" w:line="360" w:lineRule="auto"/>
        <w:ind w:firstLine="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(6)地下管线及其他地下设施的加固措施； </w:t>
      </w:r>
    </w:p>
    <w:p>
      <w:pPr>
        <w:pageBreakBefore w:val="0"/>
        <w:kinsoku/>
        <w:wordWrap/>
        <w:overflowPunct/>
        <w:topLinePunct w:val="0"/>
        <w:bidi w:val="0"/>
        <w:spacing w:after="0" w:afterLines="0" w:line="360" w:lineRule="auto"/>
        <w:ind w:firstLine="6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(7)保证工期、质量的措施； </w:t>
      </w:r>
    </w:p>
    <w:p>
      <w:pPr>
        <w:pStyle w:val="5"/>
        <w:pageBreakBefore w:val="0"/>
        <w:kinsoku/>
        <w:overflowPunct/>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(8)编制安全事故处理应急预案（配务值班车辆、专责人员等），编制安全生产、文明施工措施及减少扰民降低环境污染和噪音的措施；妥善处理与相邻施工地作业现场关系的措施。</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8.3.2 项目实施计划的提交和修改</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项目实施计划的提交及修改期限：</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在本合同签订后三十日内，承包人应根据项目实际情况及投标文件中相关内容向发包人提交详细的项目实施计划（一式两份）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 项目进度计划</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8.4.1 </w:t>
      </w:r>
      <w:r>
        <w:rPr>
          <w:rFonts w:hint="eastAsia" w:ascii="宋体" w:hAnsi="宋体" w:eastAsia="宋体" w:cs="宋体"/>
          <w:color w:val="auto"/>
          <w:sz w:val="24"/>
          <w:szCs w:val="24"/>
          <w:highlight w:val="none"/>
        </w:rPr>
        <w:t>发包人和监理人</w:t>
      </w:r>
      <w:r>
        <w:rPr>
          <w:rFonts w:hint="eastAsia" w:ascii="宋体" w:hAnsi="宋体" w:eastAsia="宋体" w:cs="宋体"/>
          <w:color w:val="auto"/>
          <w:sz w:val="24"/>
          <w:szCs w:val="24"/>
        </w:rPr>
        <w:t>在收到进度计划后确认或提出修改意见的期限：</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应在5天内予以确认或提出修改意见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8.4.2 进度计划的具体要求</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8.4.2.1 项目进度计划</w:t>
      </w:r>
    </w:p>
    <w:p>
      <w:pPr>
        <w:pageBreakBefore w:val="0"/>
        <w:kinsoku/>
        <w:wordWrap/>
        <w:overflowPunct/>
        <w:topLinePunct w:val="0"/>
        <w:bidi w:val="0"/>
        <w:spacing w:after="0" w:afterLines="0"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（1）项目进度计划。承包人编制的项目进度计划，其中施工期限须符合合同协议书的约定。经发包人批准后实施。发包人的批准并不能解除承包人的合同责任。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（2）自费赶上项目进度计划。承包人原因使工程实际进度明显落后于项目进度计划时，承包人有义务、发包人也有权利要求承包人自费采取措施，赶上项目进度计划。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（3）发包人的赶工要求。合同实施过程中发包人书面提出加快设计、施工、竣工试验的赶工要求，承包人须按要求及时提交赶工方案交发包人审查，论证赶工合理性及成本增加情况。</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8.4.2.2 设计进度计划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设计进度计划。承包人根据批准的项目进度计划和约定的设计审查阶段及发包人组织的设计阶段审查会议的时间安排，编制设计进度计划。设计进度计划经发包人认可后执行。发包人的认可并不能解除承包人的合同责任，因政府相关设计审查部门的批准时间比本合同的设计进度计划中约定的时间延长，工期不顺延。承包人应根据本项目实际情况和发包人的要求，在收到中标通知书后 3 天内向发包人提供本项目全专业工程设计详细计划表。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（2）设计开工日期。承包人在收到发包人提供的项目基础资料、现场障碍资料作为设计开工日期。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设计开工日期延误。因发包人未能按约定提供设计基础资料、现场障碍资料等相关资料，造成设计开工日期延误的，设计开工日期和工程竣工日期相应顺延；因承包人原因造成设计开工日期延误的，由承包人自费赶上。具体按《设计进度计划时间表》执行，该《设计进度计划时间表》作为本合同附件。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8.4.2.3 设计阶段审查日期的延误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因承包人原因，未能按照约定的设计审查阶段及其审查会议的时间安排提交相关阶段的设计文件、或提交的相关设计文件不符合相关审核阶段的设计深度时，造成设计审查会议延误的，由承包人自费采取措施并赶上。造成竣工日期延误，并给发包人造成经济损失的，由承包人承担。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（2）政府相关设计审查部门批准时间比合同约定时间延长的，工期相应顺延，费用不增加。</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承包人提交项目进度计划的份数和时间：</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在本合同签订后十日内，承包人应根据项目实际情况及投标文件中相关内容向发包人提交详细的建设进度计划（一式两份）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8.4.3 进度计划的修订</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承包人提交修订项目进度计划申请报告的期限：</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3个日历天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发包人批复修订项目进度计划申请报告的期限：</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5个日历天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承包人答复发包人提出修订合同计划的期限：</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3个日历天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 进度报告</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进度报告的具体要求：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 工期延误</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8.7.2 因承包人原因导致工期延误</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因承包人原因每延迟一天竣工，承包人应向发包人支付人民币5000元/日历天赔偿费（非因承包人或不可抗力原因造成的工期延误除外）</w:t>
      </w:r>
      <w:r>
        <w:rPr>
          <w:rFonts w:hint="eastAsia" w:ascii="宋体" w:hAnsi="宋体" w:eastAsia="宋体" w:cs="宋体"/>
          <w:color w:val="auto"/>
          <w:sz w:val="24"/>
          <w:szCs w:val="24"/>
          <w:lang w:eastAsia="zh-CN"/>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8.7.3 行政审批迟延</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行政审批报送的职责分工：</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承包人负责报送，发包人提供必要的协助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8.7.4 异常恶劣的气候条件</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双方约定视为异常恶劣的气候条件的情形：</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经有关部门鉴定本地发生的五级以上地震，正面吹袭湛江市的十级以上台风和龙卷风及项目所在地（县、市）区出现降雨量大于200mm/d特大暴雨，雷击引起的火灾，并执行国家有关规定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 工期提前</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8.8.2 承包人提前竣工的奖励：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overflowPunct/>
        <w:bidi w:val="0"/>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第9条 竣工试验</w:t>
      </w:r>
      <w:bookmarkEnd w:id="809"/>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bookmarkStart w:id="810" w:name="_Toc54862351"/>
      <w:r>
        <w:rPr>
          <w:rFonts w:hint="eastAsia" w:ascii="宋体" w:hAnsi="宋体" w:eastAsia="宋体" w:cs="宋体"/>
          <w:color w:val="auto"/>
          <w:sz w:val="24"/>
          <w:szCs w:val="24"/>
        </w:rPr>
        <w:t>9.1 竣工试验的义务</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9.1.3 竣工试验的阶段、内容和顺序：</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按发包人和监理人要求及国家、地方相关规定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竣工试验的操作要求：</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按发包人和监理人要求及国家、地方相关规定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383"/>
        <w:pageBreakBefore w:val="0"/>
        <w:kinsoku/>
        <w:overflowPunct/>
        <w:bidi w:val="0"/>
        <w:spacing w:after="0" w:afterLines="0" w:line="360" w:lineRule="auto"/>
        <w:textAlignment w:val="auto"/>
        <w:rPr>
          <w:rFonts w:hint="eastAsia" w:ascii="宋体" w:hAnsi="宋体" w:eastAsia="宋体" w:cs="宋体"/>
          <w:b w:val="0"/>
          <w:bCs/>
          <w:color w:val="auto"/>
          <w:sz w:val="24"/>
          <w:szCs w:val="24"/>
        </w:rPr>
      </w:pPr>
      <w:bookmarkStart w:id="811" w:name="_Toc4784272"/>
      <w:bookmarkEnd w:id="811"/>
      <w:bookmarkStart w:id="812" w:name="_Toc4784273"/>
      <w:bookmarkEnd w:id="812"/>
      <w:bookmarkStart w:id="813" w:name="_Toc54862341"/>
      <w:r>
        <w:rPr>
          <w:rFonts w:hint="eastAsia" w:ascii="宋体" w:hAnsi="宋体" w:eastAsia="宋体" w:cs="宋体"/>
          <w:b w:val="0"/>
          <w:bCs/>
          <w:color w:val="auto"/>
          <w:sz w:val="24"/>
          <w:szCs w:val="24"/>
        </w:rPr>
        <w:t>第10条 验收和工程接收</w:t>
      </w:r>
      <w:bookmarkEnd w:id="813"/>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竣工验收</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10.1.2 关于竣工验收程序的约定：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kern w:val="0"/>
          <w:sz w:val="24"/>
          <w:szCs w:val="24"/>
          <w:highlight w:val="none"/>
          <w:u w:val="single"/>
        </w:rPr>
        <w:t>按合同通用条款13.2.2约定执行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bookmarkStart w:id="814" w:name="_Hlk46406260"/>
      <w:r>
        <w:rPr>
          <w:rFonts w:hint="eastAsia" w:ascii="宋体" w:hAnsi="宋体" w:eastAsia="宋体" w:cs="宋体"/>
          <w:color w:val="auto"/>
          <w:sz w:val="24"/>
          <w:szCs w:val="24"/>
        </w:rPr>
        <w:t>发包人不按照合同约定组织竣工验收、颁发工程接受证书的违约金的计算方式：</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bookmarkEnd w:id="814"/>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工程的接收</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10.3.1工程接收的先后顺序、时间安排和其他要求：</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kern w:val="0"/>
          <w:sz w:val="24"/>
          <w:szCs w:val="24"/>
          <w:highlight w:val="none"/>
          <w:u w:val="single"/>
        </w:rPr>
        <w:t>验收合格后30天内承包人向发包人移交工程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10.3.2 接受工程时承包人需提交竣工验收资料的类别、内容、份数和提交时间：</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kern w:val="0"/>
          <w:sz w:val="24"/>
          <w:szCs w:val="24"/>
          <w:highlight w:val="none"/>
          <w:u w:val="single"/>
        </w:rPr>
        <w:t>承包人应在竣工验收 20 天后，向发包人提供竣工资料一式5份，声像资料一式 5 份</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10.3.3 发包人逾期接收工程的违约责任：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10.3.4 承包人无正当理由不移交工程的违约责任：</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承包人应承担工程照管、成品保护、保管等与工程有关的各项费用，并移交每延长一天承包人需向发包人支付5000元违约金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 接收证书</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10.4.1 工程接收证书颁发时间：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 竣工退场</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10.5.1 竣工退场的相关约定：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kern w:val="0"/>
          <w:sz w:val="24"/>
          <w:szCs w:val="24"/>
          <w:highlight w:val="none"/>
          <w:u w:val="single"/>
        </w:rPr>
        <w:t>承包人完成竣工退场的期限：工程竣工验收后，除经监理工程师同意需在缺陷责任期内继续工作的人员、使用的施工设备和临时设施外，其余的人员、施工设备和临时设备、临时设施等均应按监理工程师要求撤离施工场地或拆除</w:t>
      </w:r>
      <w:r>
        <w:rPr>
          <w:rFonts w:hint="eastAsia" w:ascii="宋体" w:hAnsi="宋体" w:eastAsia="宋体" w:cs="宋体"/>
          <w:b/>
          <w:bCs/>
          <w:color w:val="auto"/>
          <w:kern w:val="0"/>
          <w:sz w:val="24"/>
          <w:szCs w:val="24"/>
          <w:highlight w:val="none"/>
          <w:u w:val="single"/>
          <w:lang w:eastAsia="zh-CN"/>
        </w:rPr>
        <w:t>。</w:t>
      </w:r>
      <w:r>
        <w:rPr>
          <w:rFonts w:hint="eastAsia" w:ascii="宋体" w:hAnsi="宋体" w:eastAsia="宋体" w:cs="宋体"/>
          <w:b/>
          <w:bCs/>
          <w:color w:val="auto"/>
          <w:kern w:val="0"/>
          <w:sz w:val="24"/>
          <w:szCs w:val="24"/>
          <w:highlight w:val="none"/>
          <w:u w:val="single"/>
        </w:rPr>
        <w:t>承包人必须在工程竣工验收合格后30 天内或发包人规定的时间内（发包人将提前通知承包人），无条件清退所有施工场地以及施工现场的清洁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10.5.3人员撤离</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工程师同意需在缺陷责任期内继续工作和使用的人员、施工设备和临时工程的内容：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383"/>
        <w:pageBreakBefore w:val="0"/>
        <w:kinsoku/>
        <w:overflowPunct/>
        <w:bidi w:val="0"/>
        <w:spacing w:after="0" w:afterLines="0" w:line="360" w:lineRule="auto"/>
        <w:textAlignment w:val="auto"/>
        <w:rPr>
          <w:rFonts w:hint="eastAsia" w:ascii="宋体" w:hAnsi="宋体" w:eastAsia="宋体" w:cs="宋体"/>
          <w:b w:val="0"/>
          <w:bCs/>
          <w:color w:val="auto"/>
          <w:sz w:val="24"/>
          <w:szCs w:val="24"/>
        </w:rPr>
      </w:pPr>
      <w:bookmarkStart w:id="815" w:name="_Toc54862342"/>
      <w:r>
        <w:rPr>
          <w:rFonts w:hint="eastAsia" w:ascii="宋体" w:hAnsi="宋体" w:eastAsia="宋体" w:cs="宋体"/>
          <w:b w:val="0"/>
          <w:bCs/>
          <w:color w:val="auto"/>
          <w:sz w:val="24"/>
          <w:szCs w:val="24"/>
        </w:rPr>
        <w:t>第11条 缺陷责任与保修</w:t>
      </w:r>
      <w:bookmarkEnd w:id="815"/>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 缺陷责任期</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缺陷责任期的期限：</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自竣工验收合格之日起满二年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 缺陷调查</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11.3.4 修复通知</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承包人收到保修通知并到达工程现场的合理时间：</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本工程的保修期按照国家现行建筑工程保修有关规定的保修期限实行。保修期自竣工验收合格之日起计，在保修期内承包人需承担因施工质量问题而造成的返修，其费用由承包人负责。在工程保修期内，承包人在接到发包人提出要求返修的通知24小时内应派人根据发包人要求，按有关规范、标准进行返修，若非承包人原因造成返修的，返修费用由发包人承担。若在规定时间内承包人违约，不派员按发包人要求进行返修的，发包人可自行派人维修。若承包人经过两次返修仍不能解决同一质量问题，发包人可自行派人维修。若因承包人施工质量原因造成返修的，发包人自行派人维修，返修费用由工程保修金中扣出，若返修费用超出保修金时，发包人将按有关程序向承包人追讨。发包人因承包人违约而委托他人对工程进行的维修不解除承包人对本工程的保修责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 缺陷责任期终止证书</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承包人应于缺陷责任期届满后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天内向发包人发出缺陷责任期届满通知，发包人应在收到缺陷责任期满通知后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天内核实承包人是否履行缺陷修复义务，承包人未能履行缺陷修复义务的，发包人有权扣除相应金额的维修费用。发包人应在收到缺陷责任期届满通知后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天内，向承包人颁发缺陷责任期终止证书。</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 保修责任</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bookmarkStart w:id="816" w:name="_Toc54862343"/>
      <w:r>
        <w:rPr>
          <w:rFonts w:hint="eastAsia" w:ascii="宋体" w:hAnsi="宋体" w:eastAsia="宋体" w:cs="宋体"/>
          <w:color w:val="auto"/>
          <w:sz w:val="24"/>
          <w:szCs w:val="24"/>
        </w:rPr>
        <w:t>工程质量保修范围、期限和责任为：</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基础设施工程、房屋建筑的地基基础工程和主体结构工程，为设计文件规定的该工程的合理使用年限；</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屋面防水工程、有防水要求的卫生间、房间和外墙面的防渗漏，为5年；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供热与供冷系统，为2个采暖期、供冷期；</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电气管线、给排水管道、设备安装和装修工程，为2年。建设工程的保修期，自竣工验收合格之日起计算。其他项目的保修期限由发包方与承包方约定。 具体责任按国家和广东省、湛江市的规定执行，和按附件《工程质量保修书》约定。</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第12条 竣工后试验</w:t>
      </w:r>
      <w:bookmarkEnd w:id="816"/>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本合同工程是否包含竣工后试验：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竣工后试验的程序</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383"/>
        <w:pageBreakBefore w:val="0"/>
        <w:kinsoku/>
        <w:overflowPunct/>
        <w:bidi w:val="0"/>
        <w:spacing w:after="0" w:afterLines="0" w:line="360" w:lineRule="auto"/>
        <w:textAlignment w:val="auto"/>
        <w:rPr>
          <w:rFonts w:hint="eastAsia" w:ascii="宋体" w:hAnsi="宋体" w:eastAsia="宋体" w:cs="宋体"/>
          <w:b w:val="0"/>
          <w:bCs/>
          <w:color w:val="auto"/>
          <w:sz w:val="24"/>
          <w:szCs w:val="24"/>
        </w:rPr>
      </w:pPr>
      <w:bookmarkStart w:id="817" w:name="_Toc54862344"/>
      <w:r>
        <w:rPr>
          <w:rFonts w:hint="eastAsia" w:ascii="宋体" w:hAnsi="宋体" w:eastAsia="宋体" w:cs="宋体"/>
          <w:b w:val="0"/>
          <w:bCs/>
          <w:color w:val="auto"/>
          <w:sz w:val="24"/>
          <w:szCs w:val="24"/>
        </w:rPr>
        <w:t>第13条 变更与调整</w:t>
      </w:r>
      <w:bookmarkEnd w:id="817"/>
    </w:p>
    <w:p>
      <w:pPr>
        <w:pStyle w:val="383"/>
        <w:pageBreakBefore w:val="0"/>
        <w:kinsoku/>
        <w:overflowPunct/>
        <w:bidi w:val="0"/>
        <w:spacing w:after="0" w:afterLines="0" w:line="360" w:lineRule="auto"/>
        <w:ind w:firstLine="480" w:firstLineChars="200"/>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增加以下内容：</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13.1.3</w:t>
      </w:r>
      <w:r>
        <w:rPr>
          <w:rFonts w:hint="eastAsia" w:ascii="宋体" w:hAnsi="宋体" w:eastAsia="宋体" w:cs="宋体"/>
          <w:color w:val="auto"/>
          <w:sz w:val="24"/>
          <w:szCs w:val="24"/>
        </w:rPr>
        <w:t>变更的范围</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关于变更的范围的约定：对本合同的工作内容和施工界面进行适当合理的调整（包括增加或减少部分工程）的权利：承包人必须服从发包人对工作内容和施工界面的调整。</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如实施过程中发现设计上有错误或严重不合理，承包人应以书面形式通知发包人和总监理工程师，经总监理工程师审查并报发包人同意后，由发包人与设计单位商定修改或变更设计方案进行实施。</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变更应由总监理工程师、发包人共同发出变更指令，没有总监理工程师、发包人共同发出的指令，承包人不得进行上述变更。</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因技术、水文、地质等原因确需进行重大设计变更的，由项目设计单位填写设计变更单，并经监理单位签署意见后，由发包人审查核准。</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按施工图纸实施使得工程量少于施工合同工程量清单相应数量的，则该项工程量减少不需要任何指令。</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所有涉及工期的变更均应获得发包人正式批准才能生效。</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变更程序：所有现场签证必须按符合湛江经济技术开发区建设工程签证变更管理实施意见的规定执行才能生效。</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在履行合同过程中，经发包人同意，监理人可按通用条款约定的变更程序向承包人作出有关发包人要求改变的变更指示，承包人应遵照执行。未经发包人书面同意，监理人不能向承包人作出有关要求改变的变更指示。没有监理人的变更指示，承包人不得擅自变更。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变更的情形包括但不限于：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（1）增加或减少合同中任何工作，或追加额外的工作；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（2）取消合同中任何工作，但转由他人实施的工作除外；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（3）改变合同中任何工作的质量标准或其他特性；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（4）改变工程的基线、标高、位置和尺寸；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（5）改变工程的时间安排或实施顺序。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（6）其他引起变更的情形。 </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涉及设计变更的，应由设计人提供变更后的图纸和说明。如变更超过原设计标准或批准的建设规模时，发包人应及时办理规划、设计变更等审批手续。</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 承包人的合理化建议</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13.2.2 工程师应在收到承包人提交的合理化建议后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日内审查完毕并报送发包人，发现其中存在技术上的缺陷，应通知承包人修改。发包人应在收到工程师报送的合理化建议后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日内审批完毕。合理化建议经发包人批准的，工程师应及时发出变更指示，由此引起的合同价格调整按照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第13.3.3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执行。发包人不同意变更的，工程师应书面通知承包人</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13.2.3 承包人提出的合理化变更建议的利益分享约定：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 变更程序</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13.3.3 变更估价</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13.3.3.1 变更估价原则</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关于变更估价原则的约定：</w:t>
      </w:r>
      <w:r>
        <w:rPr>
          <w:rFonts w:hint="eastAsia" w:ascii="宋体" w:hAnsi="宋体" w:eastAsia="宋体" w:cs="宋体"/>
          <w:b/>
          <w:bCs/>
          <w:color w:val="auto"/>
          <w:sz w:val="24"/>
          <w:szCs w:val="24"/>
          <w:highlight w:val="none"/>
          <w:u w:val="single"/>
        </w:rPr>
        <w:t>发包人有权调整部分工程建设内容，发生设计变更由设计单位提供设计变更图纸或说明，承包人按照发包人批准的设计变更文件施工。除特殊情况经发包人批准外，凡涉及调整预算（合同价款）的工程变更和现场签证，必须经发包人、监理单位和承包人确认办妥手续后（设计变更和现场签证所需附上的图纸须由设计单位确认），承包人方能施工，增加预算应及时送监理人、发包人委托的造价咨询单位、发包人初审，必要时送开发区财政局部门审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 暂估价</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13.4.1 依法必须招标的暂估价项目</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承包人可以参与投标的暂估价项目范围：</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按合同通用条款</w:t>
      </w:r>
      <w:r>
        <w:rPr>
          <w:rFonts w:hint="eastAsia" w:ascii="宋体" w:hAnsi="宋体" w:eastAsia="宋体" w:cs="宋体"/>
          <w:b/>
          <w:bCs/>
          <w:color w:val="auto"/>
          <w:sz w:val="24"/>
          <w:szCs w:val="24"/>
          <w:highlight w:val="none"/>
          <w:u w:val="single"/>
          <w:lang w:val="en-US" w:eastAsia="zh-CN"/>
        </w:rPr>
        <w:t>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承包人不得参与投标的暂估价项目范围：</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按合同通用条款</w:t>
      </w:r>
      <w:r>
        <w:rPr>
          <w:rFonts w:hint="eastAsia" w:ascii="宋体" w:hAnsi="宋体" w:eastAsia="宋体" w:cs="宋体"/>
          <w:b/>
          <w:bCs/>
          <w:color w:val="auto"/>
          <w:sz w:val="24"/>
          <w:szCs w:val="24"/>
          <w:highlight w:val="none"/>
          <w:u w:val="single"/>
          <w:lang w:val="en-US" w:eastAsia="zh-CN"/>
        </w:rPr>
        <w:t>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招投标程序及其他约定：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13.4.2 不属于依法必须招标的暂估价项目</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不属于依法必须招标的暂估价项目的协商及估价的约定：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按合同通用条款</w:t>
      </w:r>
      <w:r>
        <w:rPr>
          <w:rFonts w:hint="eastAsia" w:ascii="宋体" w:hAnsi="宋体" w:eastAsia="宋体" w:cs="宋体"/>
          <w:b/>
          <w:bCs/>
          <w:color w:val="auto"/>
          <w:sz w:val="24"/>
          <w:szCs w:val="24"/>
          <w:highlight w:val="none"/>
          <w:u w:val="single"/>
          <w:lang w:val="en-US" w:eastAsia="zh-CN"/>
        </w:rPr>
        <w:t>执行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 暂列金额</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其他关于暂列金额使用的约定：</w:t>
      </w:r>
      <w:r>
        <w:rPr>
          <w:rFonts w:hint="eastAsia" w:ascii="宋体" w:hAnsi="宋体" w:eastAsia="宋体" w:cs="宋体"/>
          <w:b/>
          <w:bCs/>
          <w:color w:val="auto"/>
          <w:sz w:val="24"/>
          <w:szCs w:val="24"/>
          <w:highlight w:val="none"/>
          <w:u w:val="single"/>
        </w:rPr>
        <w:t xml:space="preserve">暂列金额应按照发包人的要求使用 ，办理程序必须按符合湛江经济技术开发区建设工程签证变更管理实施意见的规定执行批准才能使用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 市场价格波动引起的调整</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增加以下内容：</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rPr>
        <w:t>采用造价信息进行价格调整</w:t>
      </w:r>
      <w:r>
        <w:rPr>
          <w:rFonts w:hint="eastAsia" w:ascii="宋体" w:hAnsi="宋体" w:eastAsia="宋体" w:cs="宋体"/>
          <w:color w:val="auto"/>
          <w:sz w:val="24"/>
          <w:szCs w:val="24"/>
          <w:highlight w:val="none"/>
        </w:rPr>
        <w:t>。</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关于基准价格的约定：</w:t>
      </w:r>
      <w:r>
        <w:rPr>
          <w:rFonts w:hint="eastAsia" w:ascii="宋体" w:hAnsi="宋体" w:eastAsia="宋体" w:cs="宋体"/>
          <w:b/>
          <w:bCs/>
          <w:color w:val="auto"/>
          <w:sz w:val="24"/>
          <w:szCs w:val="24"/>
          <w:highlight w:val="none"/>
          <w:u w:val="single"/>
        </w:rPr>
        <w:t>基准期价格是区财政部门审定预算所采用的《湛江建设工程造价信息》材料参考价对应月份的价格</w:t>
      </w:r>
      <w:r>
        <w:rPr>
          <w:rFonts w:hint="eastAsia" w:ascii="宋体" w:hAnsi="宋体" w:eastAsia="宋体" w:cs="宋体"/>
          <w:b/>
          <w:bCs/>
          <w:color w:val="auto"/>
          <w:sz w:val="24"/>
          <w:szCs w:val="24"/>
          <w:highlight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①承包人在已标价工程量清单或预算书中载明的材料单价低于基准价格的：专用合同条款合同履行期间材料单价涨幅以基准价格为基础超过 5 %时，或材料单价跌幅以已标价工程量清单或预算书中载明材料单价为基础超过 -5 %时，其超过部分据实调整</w:t>
      </w:r>
      <w:r>
        <w:rPr>
          <w:rFonts w:hint="eastAsia" w:ascii="宋体" w:hAnsi="宋体" w:eastAsia="宋体" w:cs="宋体"/>
          <w:b w:val="0"/>
          <w:bCs/>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②承包人在已标价工程量清单或预算书中载明的材料单价高于基准价格的：专用合同条款合同履行期间材料单价跌幅以基准价格为基础超过 5 %时，材料单价涨幅以已标价工程量清单或预算书中载明材料单价为基础超过 5 %时，其超过部分据实调整</w:t>
      </w:r>
      <w:r>
        <w:rPr>
          <w:rFonts w:hint="eastAsia" w:ascii="宋体" w:hAnsi="宋体" w:eastAsia="宋体" w:cs="宋体"/>
          <w:b w:val="0"/>
          <w:bCs/>
          <w:color w:val="auto"/>
          <w:sz w:val="24"/>
          <w:szCs w:val="24"/>
          <w:highlight w:val="none"/>
          <w:u w:val="none"/>
        </w:rPr>
        <w:t>。</w:t>
      </w:r>
    </w:p>
    <w:p>
      <w:pPr>
        <w:pageBreakBefore w:val="0"/>
        <w:kinsoku/>
        <w:wordWrap/>
        <w:overflowPunct/>
        <w:topLinePunct w:val="0"/>
        <w:bidi w:val="0"/>
        <w:snapToGrid w:val="0"/>
        <w:spacing w:after="0"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highlight w:val="none"/>
          <w:u w:val="single"/>
        </w:rPr>
        <w:t>③承包人在已标价工程量清单或预算书中载明的材料单价等于基准单价的：专用合同条款合同履行期间材料单价涨跌幅以基准单价为基础超过± 5 %时，其超过部分据实调整</w:t>
      </w:r>
      <w:r>
        <w:rPr>
          <w:rFonts w:hint="eastAsia" w:ascii="宋体" w:hAnsi="宋体" w:eastAsia="宋体" w:cs="宋体"/>
          <w:b w:val="0"/>
          <w:bCs/>
          <w:color w:val="auto"/>
          <w:sz w:val="24"/>
          <w:szCs w:val="24"/>
          <w:highlight w:val="none"/>
          <w:u w:val="none"/>
        </w:rPr>
        <w:t>。</w:t>
      </w:r>
    </w:p>
    <w:p>
      <w:pPr>
        <w:pageBreakBefore w:val="0"/>
        <w:widowControl/>
        <w:numPr>
          <w:ilvl w:val="0"/>
          <w:numId w:val="0"/>
        </w:numPr>
        <w:tabs>
          <w:tab w:val="left" w:pos="851"/>
        </w:tabs>
        <w:kinsoku/>
        <w:overflowPunct/>
        <w:bidi w:val="0"/>
        <w:adjustRightInd w:val="0"/>
        <w:snapToGrid w:val="0"/>
        <w:spacing w:after="0" w:afterLines="0" w:line="360" w:lineRule="auto"/>
        <w:jc w:val="both"/>
        <w:textAlignment w:val="auto"/>
        <w:outlineLvl w:val="2"/>
        <w:rPr>
          <w:rFonts w:hint="eastAsia" w:ascii="宋体" w:hAnsi="宋体" w:eastAsia="宋体" w:cs="宋体"/>
          <w:b w:val="0"/>
          <w:bCs/>
          <w:color w:val="auto"/>
          <w:kern w:val="2"/>
          <w:sz w:val="24"/>
          <w:szCs w:val="24"/>
          <w:lang w:val="en-US" w:eastAsia="zh-CN" w:bidi="ar-SA"/>
        </w:rPr>
      </w:pPr>
      <w:bookmarkStart w:id="818" w:name="_Toc54862346"/>
      <w:r>
        <w:rPr>
          <w:rFonts w:hint="eastAsia" w:ascii="宋体" w:hAnsi="宋体" w:eastAsia="宋体" w:cs="宋体"/>
          <w:b w:val="0"/>
          <w:bCs/>
          <w:color w:val="auto"/>
          <w:kern w:val="2"/>
          <w:sz w:val="24"/>
          <w:szCs w:val="24"/>
          <w:lang w:val="en-US" w:eastAsia="zh-CN" w:bidi="ar-SA"/>
        </w:rPr>
        <w:t>14.1 合同价格形式</w:t>
      </w:r>
    </w:p>
    <w:p>
      <w:pPr>
        <w:pageBreakBefore w:val="0"/>
        <w:numPr>
          <w:ilvl w:val="0"/>
          <w:numId w:val="0"/>
        </w:numPr>
        <w:tabs>
          <w:tab w:val="left" w:pos="851"/>
        </w:tabs>
        <w:kinsoku/>
        <w:overflowPunct/>
        <w:bidi w:val="0"/>
        <w:adjustRightInd w:val="0"/>
        <w:snapToGrid w:val="0"/>
        <w:spacing w:after="0" w:afterLines="0" w:line="360" w:lineRule="auto"/>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14.1.1 合同价格形式：固定单价合同。</w:t>
      </w:r>
    </w:p>
    <w:p>
      <w:pPr>
        <w:pageBreakBefore w:val="0"/>
        <w:widowControl/>
        <w:kinsoku/>
        <w:wordWrap/>
        <w:overflowPunct/>
        <w:topLinePunct w:val="0"/>
        <w:bidi w:val="0"/>
        <w:adjustRightInd w:val="0"/>
        <w:snapToGrid w:val="0"/>
        <w:spacing w:after="0" w:afterLines="0"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单价合同</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综合单价包含的风险范围：工程量按实际施工发生计算。承包人在投标报价时，已根据发包人在招标前提供的施工图纸、工程量清单，并结合企业自身实际情况以及招标前的施工现场情况与周围环境条件、工程地质条件等因素和风险进行综合报价。除实际施工图纸与招标图纸、地质资料与实际地质情况发生变化；工程量清单出现漏项、错项；实际施工现场情况与周围环境条件出现与招标前不同等因素；以及国家法律、法规、规章和政策发生变化等因素及风险可进行调整其综合单价外，其他因素及风险均由投标人进行综合考虑，结算时综合单价按中标价中相应清单综合单价固定不变。</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风险费用的计算方法：①人工（含机具台班中的人工）风险幅度为零，实行动态工资调整，具体调整办法按湛江市工程造价管理部门的规定；</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②主要材料（包括机具费里的油、电、天然气等燃料）、工程设备价格的风险幅度为±5%以内；超过±5%外进行增减调整；</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③施工机具使用费除人工、燃料外的费用不作调整；</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④管理费和利润的风险由投标人全部承担。</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风险范围以外合同价格的调整方法：按</w:t>
      </w:r>
      <w:r>
        <w:rPr>
          <w:rFonts w:hint="eastAsia" w:ascii="宋体" w:hAnsi="宋体" w:eastAsia="宋体" w:cs="宋体"/>
          <w:color w:val="auto"/>
          <w:kern w:val="0"/>
          <w:sz w:val="24"/>
          <w:szCs w:val="24"/>
          <w:lang w:val="en-US" w:eastAsia="zh-CN"/>
        </w:rPr>
        <w:t>13.3.3</w:t>
      </w:r>
      <w:r>
        <w:rPr>
          <w:rFonts w:hint="eastAsia" w:ascii="宋体" w:hAnsi="宋体" w:eastAsia="宋体" w:cs="宋体"/>
          <w:color w:val="auto"/>
          <w:kern w:val="0"/>
          <w:sz w:val="24"/>
          <w:szCs w:val="24"/>
        </w:rPr>
        <w:t>和 1</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条款约定执行。</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增加以下内容：</w:t>
      </w:r>
      <w:r>
        <w:rPr>
          <w:rFonts w:hint="eastAsia" w:ascii="宋体" w:hAnsi="宋体" w:eastAsia="宋体" w:cs="宋体"/>
          <w:color w:val="auto"/>
          <w:kern w:val="0"/>
          <w:sz w:val="24"/>
          <w:szCs w:val="24"/>
          <w:highlight w:val="none"/>
        </w:rPr>
        <w:t xml:space="preserve"> </w:t>
      </w:r>
    </w:p>
    <w:p>
      <w:pPr>
        <w:keepNext/>
        <w:keepLines/>
        <w:pageBreakBefore w:val="0"/>
        <w:kinsoku/>
        <w:wordWrap w:val="0"/>
        <w:overflowPunct/>
        <w:topLinePunct/>
        <w:bidi w:val="0"/>
        <w:adjustRightInd w:val="0"/>
        <w:snapToGrid w:val="0"/>
        <w:spacing w:after="120" w:afterLines="50" w:line="360" w:lineRule="auto"/>
        <w:ind w:firstLine="480" w:firstLineChars="200"/>
        <w:jc w:val="both"/>
        <w:textAlignment w:val="auto"/>
        <w:outlineLvl w:val="0"/>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最终结算总价不得超过财政部门审批的控制价。</w:t>
      </w:r>
    </w:p>
    <w:p>
      <w:pPr>
        <w:pageBreakBefore w:val="0"/>
        <w:widowControl/>
        <w:kinsoku/>
        <w:wordWrap/>
        <w:overflowPunct/>
        <w:topLinePunct w:val="0"/>
        <w:bidi w:val="0"/>
        <w:adjustRightInd w:val="0"/>
        <w:snapToGrid w:val="0"/>
        <w:spacing w:after="120" w:afterLines="50" w:line="360" w:lineRule="auto"/>
        <w:ind w:left="0" w:leftChars="0" w:firstLine="0" w:firstLineChars="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14.2 预付款</w:t>
      </w:r>
    </w:p>
    <w:p>
      <w:pPr>
        <w:pageBreakBefore w:val="0"/>
        <w:widowControl/>
        <w:kinsoku/>
        <w:wordWrap/>
        <w:overflowPunct/>
        <w:topLinePunct w:val="0"/>
        <w:bidi w:val="0"/>
        <w:adjustRightInd w:val="0"/>
        <w:snapToGrid w:val="0"/>
        <w:spacing w:after="120" w:afterLines="50" w:line="360" w:lineRule="auto"/>
        <w:ind w:left="0" w:leftChars="0" w:firstLine="0" w:firstLineChars="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14.2.1 预付款支付</w:t>
      </w:r>
    </w:p>
    <w:p>
      <w:pPr>
        <w:pageBreakBefore w:val="0"/>
        <w:widowControl/>
        <w:kinsoku/>
        <w:wordWrap/>
        <w:overflowPunct/>
        <w:topLinePunct w:val="0"/>
        <w:bidi w:val="0"/>
        <w:adjustRightInd w:val="0"/>
        <w:snapToGrid w:val="0"/>
        <w:spacing w:after="120" w:afterLines="50" w:line="360" w:lineRule="auto"/>
        <w:ind w:left="0" w:leftChars="0"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合同生效、中标人提交履约担保后及施工人员、机械、设备进场后7天内向发包人申请支付本工程的预付款，预付款按合同价的30%拨付，其中按预付款的25 %打入工人工资专户，按预付款的50%打入三方监管账户 (根据现场进度及施工方投入提取)，剩余25%打入收款单位基本户。在预付款支付前承包人需向发包人开具预付款等额的银行保函、发票等要件。</w:t>
      </w:r>
    </w:p>
    <w:p>
      <w:pPr>
        <w:pageBreakBefore w:val="0"/>
        <w:widowControl/>
        <w:kinsoku/>
        <w:wordWrap/>
        <w:overflowPunct/>
        <w:topLinePunct w:val="0"/>
        <w:bidi w:val="0"/>
        <w:adjustRightInd w:val="0"/>
        <w:snapToGrid w:val="0"/>
        <w:spacing w:after="120" w:afterLines="50" w:line="360" w:lineRule="auto"/>
        <w:ind w:left="0" w:leftChars="0" w:firstLine="0" w:firstLineChars="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预付款自进度完成30%开始回扣，至进度完成80%时扣完；预付款抵扣完后发包人退还承包人预付款保函。</w:t>
      </w:r>
    </w:p>
    <w:p>
      <w:pPr>
        <w:pageBreakBefore w:val="0"/>
        <w:widowControl/>
        <w:kinsoku/>
        <w:wordWrap/>
        <w:overflowPunct/>
        <w:topLinePunct w:val="0"/>
        <w:bidi w:val="0"/>
        <w:adjustRightInd w:val="0"/>
        <w:snapToGrid w:val="0"/>
        <w:spacing w:after="120" w:afterLines="50" w:line="360" w:lineRule="auto"/>
        <w:ind w:left="0" w:leftChars="0" w:firstLine="0" w:firstLineChars="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14.2.2 预付款担保</w:t>
      </w:r>
    </w:p>
    <w:p>
      <w:pPr>
        <w:pageBreakBefore w:val="0"/>
        <w:widowControl/>
        <w:kinsoku/>
        <w:wordWrap/>
        <w:overflowPunct/>
        <w:topLinePunct w:val="0"/>
        <w:bidi w:val="0"/>
        <w:adjustRightInd w:val="0"/>
        <w:snapToGrid w:val="0"/>
        <w:spacing w:after="120" w:afterLines="50" w:line="360" w:lineRule="auto"/>
        <w:ind w:left="0" w:leftChars="0" w:firstLine="0" w:firstLineChars="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承包人提交预付款担保的期限：在预付款支付前7天承包人需向发包人开具预付款等额的银行保函及发票等要件。</w:t>
      </w:r>
    </w:p>
    <w:p>
      <w:pPr>
        <w:pageBreakBefore w:val="0"/>
        <w:widowControl/>
        <w:kinsoku/>
        <w:wordWrap/>
        <w:overflowPunct/>
        <w:topLinePunct w:val="0"/>
        <w:bidi w:val="0"/>
        <w:adjustRightInd w:val="0"/>
        <w:snapToGrid w:val="0"/>
        <w:spacing w:after="120" w:afterLines="50" w:line="360" w:lineRule="auto"/>
        <w:ind w:left="0" w:leftChars="0" w:firstLine="0" w:firstLineChars="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预付款担保的形式为：采用银行保函。</w:t>
      </w:r>
    </w:p>
    <w:p>
      <w:pPr>
        <w:pageBreakBefore w:val="0"/>
        <w:widowControl/>
        <w:kinsoku/>
        <w:wordWrap/>
        <w:overflowPunct/>
        <w:topLinePunct w:val="0"/>
        <w:bidi w:val="0"/>
        <w:adjustRightInd w:val="0"/>
        <w:snapToGrid w:val="0"/>
        <w:spacing w:after="120" w:afterLines="50" w:line="360" w:lineRule="auto"/>
        <w:ind w:left="0" w:leftChars="0" w:firstLine="0" w:firstLineChars="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14.2.2 预付款担保</w:t>
      </w:r>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承包人提交预付款担保的期限：在预付款支付前7天承包人需向发包人开具预付款等额的银行保函及发票等要件。</w:t>
      </w:r>
    </w:p>
    <w:p>
      <w:pPr>
        <w:pageBreakBefore w:val="0"/>
        <w:widowControl/>
        <w:numPr>
          <w:ilvl w:val="0"/>
          <w:numId w:val="0"/>
        </w:numPr>
        <w:tabs>
          <w:tab w:val="left" w:pos="851"/>
        </w:tabs>
        <w:kinsoku/>
        <w:overflowPunct/>
        <w:bidi w:val="0"/>
        <w:adjustRightInd w:val="0"/>
        <w:snapToGrid w:val="0"/>
        <w:spacing w:after="0" w:afterLines="0" w:line="360" w:lineRule="auto"/>
        <w:jc w:val="both"/>
        <w:textAlignment w:val="auto"/>
        <w:outlineLvl w:val="2"/>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预付款担保的形式为：采用银行保函。</w:t>
      </w:r>
    </w:p>
    <w:p>
      <w:pPr>
        <w:pageBreakBefore w:val="0"/>
        <w:widowControl/>
        <w:numPr>
          <w:ilvl w:val="0"/>
          <w:numId w:val="0"/>
        </w:numPr>
        <w:tabs>
          <w:tab w:val="left" w:pos="851"/>
        </w:tabs>
        <w:kinsoku/>
        <w:overflowPunct/>
        <w:bidi w:val="0"/>
        <w:adjustRightInd w:val="0"/>
        <w:snapToGrid w:val="0"/>
        <w:spacing w:after="0" w:afterLines="0" w:line="360" w:lineRule="auto"/>
        <w:jc w:val="both"/>
        <w:textAlignment w:val="auto"/>
        <w:outlineLvl w:val="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14.3 工程进度款</w:t>
      </w:r>
    </w:p>
    <w:p>
      <w:pPr>
        <w:pageBreakBefore w:val="0"/>
        <w:numPr>
          <w:ilvl w:val="0"/>
          <w:numId w:val="0"/>
        </w:numPr>
        <w:tabs>
          <w:tab w:val="left" w:pos="851"/>
        </w:tabs>
        <w:kinsoku/>
        <w:overflowPunct/>
        <w:bidi w:val="0"/>
        <w:adjustRightInd w:val="0"/>
        <w:snapToGrid w:val="0"/>
        <w:spacing w:after="0" w:afterLines="0" w:line="360" w:lineRule="auto"/>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14.3.1 工程进度付款申请</w:t>
      </w:r>
    </w:p>
    <w:p>
      <w:pPr>
        <w:pageBreakBefore w:val="0"/>
        <w:widowControl/>
        <w:kinsoku/>
        <w:wordWrap/>
        <w:overflowPunct/>
        <w:topLinePunct w:val="0"/>
        <w:bidi w:val="0"/>
        <w:adjustRightInd w:val="0"/>
        <w:snapToGrid w:val="0"/>
        <w:spacing w:after="120" w:afterLines="50" w:line="360" w:lineRule="auto"/>
        <w:ind w:left="0" w:leftChars="0"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关于付款周期的约定：进度款按月完成进度的90%支付，承包人进入施工阶段后，承包人应在每月25日前向工程监理和发包人申报上月20日至当月19日实际完成合同工程量，监理工程师7天内审核完成并交给发包人，发包人接到进度款申报表进行审核后，按核定质量达到合格要求的已完工程进度的90%报区财政局和管委会领导批准后支付该月工程进度款。</w:t>
      </w:r>
    </w:p>
    <w:p>
      <w:pPr>
        <w:pageBreakBefore w:val="0"/>
        <w:widowControl/>
        <w:kinsoku/>
        <w:wordWrap/>
        <w:overflowPunct/>
        <w:topLinePunct w:val="0"/>
        <w:bidi w:val="0"/>
        <w:adjustRightInd w:val="0"/>
        <w:snapToGrid w:val="0"/>
        <w:spacing w:after="120" w:afterLines="50" w:line="360" w:lineRule="auto"/>
        <w:ind w:left="0" w:leftChars="0"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关于农民工工资的支付：承包人若在本项目中使用农民工，需按国家的有关规定制订保证民工工资支付的方案及保证措施，以附件形式附在本合同中，并在资金使用计划表中按月单列需支付的民工工资计划，必须每月申请工人工资，并保证发包人不因任何由于承包方在发放民工工资事宜上而受到任何处罚、诉讼和罚款。</w:t>
      </w:r>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14.3.2 进度付款审核和支付</w:t>
      </w:r>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（1）监理人审查并报送发包人的期限：7天 。</w:t>
      </w:r>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发包人完成审批并签发进度款支付证书的期限：发包人应在收到监理人提交的工程进度款的确认材料后10 天内完成审批并向财政部门申请支付工程款。</w:t>
      </w:r>
    </w:p>
    <w:p>
      <w:pPr>
        <w:pageBreakBefore w:val="0"/>
        <w:widowControl/>
        <w:numPr>
          <w:ilvl w:val="0"/>
          <w:numId w:val="11"/>
        </w:numPr>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发包人支付进度款的期限：发包人在合同约定的支付期限内向财政部门提交请款申请即视为按时支付。</w:t>
      </w:r>
    </w:p>
    <w:p>
      <w:pPr>
        <w:pageBreakBefore w:val="0"/>
        <w:widowControl/>
        <w:kinsoku/>
        <w:wordWrap/>
        <w:overflowPunct/>
        <w:topLinePunct w:val="0"/>
        <w:bidi w:val="0"/>
        <w:adjustRightInd w:val="0"/>
        <w:snapToGrid w:val="0"/>
        <w:spacing w:after="120" w:afterLines="50" w:line="360" w:lineRule="auto"/>
        <w:ind w:left="600" w:leftChars="250" w:firstLine="0" w:firstLineChars="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增加以下内容：</w:t>
      </w:r>
      <w:r>
        <w:rPr>
          <w:rFonts w:hint="eastAsia" w:ascii="宋体" w:hAnsi="宋体" w:eastAsia="宋体" w:cs="宋体"/>
          <w:b w:val="0"/>
          <w:color w:val="auto"/>
          <w:kern w:val="0"/>
          <w:sz w:val="24"/>
          <w:szCs w:val="24"/>
          <w:lang w:val="en-US" w:eastAsia="zh-CN" w:bidi="ar-SA"/>
        </w:rPr>
        <w:br w:type="textWrapping"/>
      </w:r>
      <w:r>
        <w:rPr>
          <w:rFonts w:hint="eastAsia" w:ascii="宋体" w:hAnsi="宋体" w:eastAsia="宋体" w:cs="宋体"/>
          <w:b w:val="0"/>
          <w:color w:val="auto"/>
          <w:kern w:val="0"/>
          <w:sz w:val="24"/>
          <w:szCs w:val="24"/>
          <w:lang w:val="en-US" w:eastAsia="zh-CN" w:bidi="ar-SA"/>
        </w:rPr>
        <w:t>单价合同进度付款申请单提交的约定：</w:t>
      </w:r>
      <w:bookmarkStart w:id="819" w:name="_Toc6568"/>
      <w:bookmarkStart w:id="820" w:name="_Toc1345"/>
      <w:bookmarkStart w:id="821" w:name="_Toc15632"/>
      <w:bookmarkStart w:id="822" w:name="_Toc21586"/>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①承包人应在每月25日前同时向监理工程师和发包人申报上月20日至当月19日已完工的工程进度款，监理单位在收到进度报告7个日历天内审核完毕并交发包人，发包人在接到监理单位进度款审核结果10个日历天内审核完毕，核准支付承包人该月的工程进度款，交监理单位开具支付证书后向财政部门申请支付。承包人申报工程进度款的同时向发包人提供验收合格的工程验收资料。拨付的相关工程款项如未能按期到账，在延期支付45天内，承包人不能停止施工，如有违反，发包人扣除当月进度款的10%。</w:t>
      </w:r>
      <w:bookmarkEnd w:id="819"/>
      <w:bookmarkEnd w:id="820"/>
      <w:bookmarkEnd w:id="821"/>
      <w:bookmarkEnd w:id="822"/>
      <w:r>
        <w:rPr>
          <w:rFonts w:hint="eastAsia" w:ascii="宋体" w:hAnsi="宋体" w:eastAsia="宋体" w:cs="宋体"/>
          <w:b w:val="0"/>
          <w:color w:val="auto"/>
          <w:kern w:val="0"/>
          <w:sz w:val="24"/>
          <w:szCs w:val="24"/>
          <w:lang w:val="en-US" w:eastAsia="zh-CN" w:bidi="ar-SA"/>
        </w:rPr>
        <w:t xml:space="preserve"> </w:t>
      </w:r>
      <w:bookmarkStart w:id="823" w:name="_Toc4710"/>
      <w:bookmarkStart w:id="824" w:name="_Toc2865"/>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②监理单位和发包人按核定的质量达到合格要求的上月20 日至当月19 日已完工程量的90%支付承包人上月工程进度款（尚应抵扣预付款等）。施工过程中，已完成设计变更或现场签证手续增减的工程款，计入当期进度款支付。针对已经湛江经济技术开发区财政部门审定的按90%拨付，未经审核的按50%拨付。</w:t>
      </w:r>
      <w:bookmarkEnd w:id="823"/>
      <w:bookmarkEnd w:id="824"/>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③工程价款（含预付款、单列支付的绿色施工安全防护措施费和施工进度款）累计支付到合同价的90％后暂停，余款待工程竣工验收并结算经湛江经开区财政局审核确认后，一次性支付，支付前中标人需提供结算价3%的等额银行保函作为质量保证金。人工、物价波动引起的价格调整在施工进度款中不予考虑，结算时计列。</w:t>
      </w:r>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④发包人按有关法律、法规向承包人拨付工程款，本工程款必须汇入中标人的工程专用帐户）。</w:t>
      </w:r>
    </w:p>
    <w:p>
      <w:pPr>
        <w:pageBreakBefore w:val="0"/>
        <w:widowControl/>
        <w:kinsoku/>
        <w:wordWrap/>
        <w:overflowPunct/>
        <w:topLinePunct w:val="0"/>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⑤每次支付承包人需向发包人开具同等金额的有效增值税专用发票。</w:t>
      </w:r>
    </w:p>
    <w:p>
      <w:pPr>
        <w:keepNext/>
        <w:keepLines/>
        <w:pageBreakBefore w:val="0"/>
        <w:widowControl/>
        <w:kinsoku/>
        <w:wordWrap w:val="0"/>
        <w:overflowPunct/>
        <w:topLinePunct/>
        <w:autoSpaceDE/>
        <w:autoSpaceDN/>
        <w:bidi w:val="0"/>
        <w:adjustRightInd w:val="0"/>
        <w:snapToGrid w:val="0"/>
        <w:spacing w:after="120" w:afterLines="50" w:line="360" w:lineRule="auto"/>
        <w:ind w:firstLine="0" w:firstLineChars="0"/>
        <w:jc w:val="both"/>
        <w:textAlignment w:val="auto"/>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增加以下内容：</w:t>
      </w:r>
    </w:p>
    <w:p>
      <w:pPr>
        <w:pageBreakBefore w:val="0"/>
        <w:widowControl/>
        <w:numPr>
          <w:ilvl w:val="0"/>
          <w:numId w:val="12"/>
        </w:numPr>
        <w:kinsoku/>
        <w:wordWrap/>
        <w:overflowPunct/>
        <w:topLinePunct w:val="0"/>
        <w:autoSpaceDE/>
        <w:autoSpaceDN/>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计量</w:t>
      </w:r>
    </w:p>
    <w:p>
      <w:pPr>
        <w:keepNext/>
        <w:keepLines/>
        <w:pageBreakBefore w:val="0"/>
        <w:widowControl/>
        <w:numPr>
          <w:ilvl w:val="0"/>
          <w:numId w:val="0"/>
        </w:numPr>
        <w:kinsoku/>
        <w:wordWrap w:val="0"/>
        <w:overflowPunct/>
        <w:topLinePunct/>
        <w:autoSpaceDE/>
        <w:autoSpaceDN/>
        <w:bidi w:val="0"/>
        <w:adjustRightInd w:val="0"/>
        <w:snapToGrid w:val="0"/>
        <w:spacing w:after="120" w:afterLines="50" w:line="360" w:lineRule="auto"/>
        <w:ind w:firstLine="480" w:firstLineChars="200"/>
        <w:jc w:val="both"/>
        <w:textAlignment w:val="auto"/>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（一）计量原则</w:t>
      </w:r>
    </w:p>
    <w:p>
      <w:pPr>
        <w:pageBreakBefore w:val="0"/>
        <w:widowControl/>
        <w:kinsoku/>
        <w:wordWrap/>
        <w:overflowPunct/>
        <w:topLinePunct w:val="0"/>
        <w:autoSpaceDE/>
        <w:autoSpaceDN/>
        <w:bidi w:val="0"/>
        <w:adjustRightInd w:val="0"/>
        <w:snapToGrid w:val="0"/>
        <w:spacing w:after="120" w:afterLines="50" w:line="360" w:lineRule="auto"/>
        <w:ind w:firstLine="340" w:firstLineChars="142"/>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工程量计算规则： </w:t>
      </w:r>
    </w:p>
    <w:p>
      <w:pPr>
        <w:pageBreakBefore w:val="0"/>
        <w:widowControl/>
        <w:kinsoku/>
        <w:wordWrap/>
        <w:overflowPunct/>
        <w:topLinePunct w:val="0"/>
        <w:autoSpaceDE/>
        <w:autoSpaceDN/>
        <w:bidi w:val="0"/>
        <w:adjustRightInd w:val="0"/>
        <w:snapToGrid w:val="0"/>
        <w:spacing w:after="120" w:afterLines="50" w:line="360" w:lineRule="auto"/>
        <w:ind w:firstLine="340" w:firstLineChars="142"/>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 xml:space="preserve"> (1)本工程施工部分采用单价合同，因招标工程量偏差、工程变更引起工程量变化，承包人投报的综合单价固定不变。承包人投报的综合单价即工程结算综合单价。</w:t>
      </w:r>
    </w:p>
    <w:p>
      <w:pPr>
        <w:pageBreakBefore w:val="0"/>
        <w:widowControl/>
        <w:kinsoku/>
        <w:wordWrap/>
        <w:overflowPunct/>
        <w:topLinePunct w:val="0"/>
        <w:autoSpaceDE/>
        <w:autoSpaceDN/>
        <w:bidi w:val="0"/>
        <w:adjustRightInd w:val="0"/>
        <w:snapToGrid w:val="0"/>
        <w:spacing w:after="120" w:afterLines="50" w:line="360" w:lineRule="auto"/>
        <w:ind w:firstLine="340" w:firstLineChars="142"/>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(2)分部分项工程和单价措施项目工程量按承包人实际完成、经验收合格且应予计量的计算。</w:t>
      </w:r>
    </w:p>
    <w:p>
      <w:pPr>
        <w:pageBreakBefore w:val="0"/>
        <w:widowControl/>
        <w:kinsoku/>
        <w:wordWrap/>
        <w:overflowPunct/>
        <w:topLinePunct w:val="0"/>
        <w:autoSpaceDE/>
        <w:autoSpaceDN/>
        <w:bidi w:val="0"/>
        <w:adjustRightInd w:val="0"/>
        <w:snapToGrid w:val="0"/>
        <w:spacing w:after="120" w:afterLines="50" w:line="360" w:lineRule="auto"/>
        <w:ind w:firstLine="340" w:firstLineChars="142"/>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(3)“绿色施工安全防护措施费”结算按《广东省建设工程计价依据》(2018)中相应的规定执行。</w:t>
      </w:r>
    </w:p>
    <w:p>
      <w:pPr>
        <w:pageBreakBefore w:val="0"/>
        <w:widowControl/>
        <w:kinsoku/>
        <w:wordWrap/>
        <w:overflowPunct/>
        <w:topLinePunct w:val="0"/>
        <w:autoSpaceDE/>
        <w:autoSpaceDN/>
        <w:bidi w:val="0"/>
        <w:adjustRightInd w:val="0"/>
        <w:snapToGrid w:val="0"/>
        <w:spacing w:after="120" w:afterLines="50" w:line="360" w:lineRule="auto"/>
        <w:ind w:firstLine="340" w:firstLineChars="142"/>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(4)工程税金(增值税)按一般计税方法计算。</w:t>
      </w:r>
    </w:p>
    <w:p>
      <w:pPr>
        <w:pageBreakBefore w:val="0"/>
        <w:widowControl/>
        <w:kinsoku/>
        <w:wordWrap/>
        <w:overflowPunct/>
        <w:topLinePunct w:val="0"/>
        <w:autoSpaceDE/>
        <w:autoSpaceDN/>
        <w:bidi w:val="0"/>
        <w:adjustRightInd w:val="0"/>
        <w:snapToGrid w:val="0"/>
        <w:spacing w:after="120" w:afterLines="50" w:line="360" w:lineRule="auto"/>
        <w:ind w:firstLine="340" w:firstLineChars="142"/>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以上(1)至(4)项计算，最终结算以开发区财政部门审定为准。</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（二）计量周期</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关于计量周期的约定：工程量的计量按月计算。</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（三）单价合同的计量</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left"/>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1.关于单价合同计量的约定：（1）承包人应于每月25日向监理人和发包人报送上月20日至当月19日实际已完成的工程量报告，并附具进度付款申请单、已完成工程量报表和有关质量验收及检测资料。</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b w:val="0"/>
          <w:color w:val="auto"/>
          <w:kern w:val="0"/>
          <w:sz w:val="24"/>
          <w:szCs w:val="24"/>
          <w:lang w:val="en-US" w:eastAsia="zh-CN" w:bidi="ar-SA"/>
        </w:rPr>
        <w:t>2.监理人应在收到承包人提交的工程量报告后7天内完成对承包人提交的工程量报表的审核并报送发包人，以确定当月实际完成的工程量。监理人按质量达到合格要求核定，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pageBreakBefore w:val="0"/>
        <w:widowControl/>
        <w:numPr>
          <w:ilvl w:val="0"/>
          <w:numId w:val="0"/>
        </w:numPr>
        <w:tabs>
          <w:tab w:val="left" w:pos="851"/>
        </w:tabs>
        <w:kinsoku/>
        <w:overflowPunct/>
        <w:bidi w:val="0"/>
        <w:adjustRightInd w:val="0"/>
        <w:snapToGrid w:val="0"/>
        <w:spacing w:after="0" w:afterLines="0" w:line="360" w:lineRule="auto"/>
        <w:jc w:val="both"/>
        <w:textAlignment w:val="auto"/>
        <w:outlineLvl w:val="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14.5 竣工结算</w:t>
      </w:r>
    </w:p>
    <w:p>
      <w:pPr>
        <w:pageBreakBefore w:val="0"/>
        <w:numPr>
          <w:ilvl w:val="0"/>
          <w:numId w:val="0"/>
        </w:numPr>
        <w:tabs>
          <w:tab w:val="left" w:pos="851"/>
        </w:tabs>
        <w:kinsoku/>
        <w:overflowPunct/>
        <w:bidi w:val="0"/>
        <w:adjustRightInd w:val="0"/>
        <w:snapToGrid w:val="0"/>
        <w:spacing w:after="0" w:afterLines="0" w:line="360" w:lineRule="auto"/>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14.5.1 竣工结算申请</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承包人提交竣工结算申请单的期限：承包人应在工程竣工验收合格后30天内向发包人和监理人提交竣工结算申请单，并提交完整符合财政审核结算资料，竣工结算审核申请单的资料清单一式三份。</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竣工结算申请单应包括的内容：经财政审核确认的竣工结算书、竣工验收证书、施工合同、发包人已支付承包人的款项、应扣留的质量保证金、应扣除违约金及发包人应支付承包人的合同价款申请，有效增值税专用发票。</w:t>
      </w:r>
    </w:p>
    <w:p>
      <w:pPr>
        <w:pageBreakBefore w:val="0"/>
        <w:numPr>
          <w:ilvl w:val="0"/>
          <w:numId w:val="0"/>
        </w:numPr>
        <w:tabs>
          <w:tab w:val="left" w:pos="851"/>
        </w:tabs>
        <w:kinsoku/>
        <w:overflowPunct/>
        <w:bidi w:val="0"/>
        <w:adjustRightInd w:val="0"/>
        <w:snapToGrid w:val="0"/>
        <w:spacing w:after="0" w:afterLines="0" w:line="360" w:lineRule="auto"/>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14.5.2 竣工结算审核</w:t>
      </w:r>
    </w:p>
    <w:p>
      <w:pPr>
        <w:pageBreakBefore w:val="0"/>
        <w:numPr>
          <w:ilvl w:val="0"/>
          <w:numId w:val="0"/>
        </w:numPr>
        <w:tabs>
          <w:tab w:val="left" w:pos="851"/>
        </w:tabs>
        <w:kinsoku/>
        <w:overflowPunct/>
        <w:bidi w:val="0"/>
        <w:adjustRightInd w:val="0"/>
        <w:snapToGrid w:val="0"/>
        <w:spacing w:after="0" w:afterLines="0" w:line="360" w:lineRule="auto"/>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增加以下内容：</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发包人审批竣工付款申请单的期限：监理单位和发包人（或由发包人委托第三方服务单位）在30个日历天内初步审核后向财政部门报送项目竣工结算。</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发包人完成竣工付款的期限：收到竣工付款申请30天内经监理审核后报区财政部门及区管委会领导审批。</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关于竣工付款证书异议部分复核的方式和程序：按开发区财政局审核的方式和程序。</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发包人对工程竣工结算的特殊要求：在工程项目竣工验收符合合同要求后承包人在30个日历天内编报工程结算，监理单位和发包人在30个日历天内初步审核后向湛江经济技术开发区财政部门报送项目竣工结算。超过期限报送的结算资料不构成结算依据（因发包人、监理单位、湛江经济技术开发区财政部门等单位要求限期补充资料的情况除外）； 竣工结算报告和完整的竣工结算资料一并报经湛江开发区财政局审定项目竣工结算后，发包人方能向湛江开发区财政局申请支付承包人工程竣工结算价款。超过约定期限未能报送完备的结算资料，视为承包人放弃本工程余下未付的资金拨付要求，发包人不再执行相关资金的拨付。 </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结算原则：</w:t>
      </w:r>
    </w:p>
    <w:p>
      <w:pPr>
        <w:pageBreakBefore w:val="0"/>
        <w:numPr>
          <w:ilvl w:val="0"/>
          <w:numId w:val="0"/>
        </w:numPr>
        <w:tabs>
          <w:tab w:val="left" w:pos="851"/>
        </w:tabs>
        <w:kinsoku/>
        <w:overflowPunct/>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工程采用固定单价合同。工程量按实际施工发生计算。承包人在投标报价时，必须根据发包人在招标前提供的施工图纸、工程量清单，并结合企业自身实际情况以及招标前的施工现场情况与周围环境条件、工程地质条件等因素和风险进行综合报价。除实际施工图纸与招标图纸、地质资料与实际地质情况发生变化；工程量清单出现漏项、错项；实际施工现场情况与周围环境条件出现与招标前不同等因素而影响其综合单价以及国家法律、法规、规章和政策发生变化；省级或行业建设主管部门发布的人工、机械费调整（承包人对人工费、机械费或人工、机械单价的报价高于发布的除外）；由政府定价或政府指导价管理的原材料价格进行了调整等因素及风险可进行调整其综合单价外，其他因素及风险均由承包人进行综合考虑，不受市场上材料、设备、劳动力和运输价格的波动而改变。结算时综合单价按中标价中相应清单综合单价固定不变。</w:t>
      </w:r>
    </w:p>
    <w:p>
      <w:pPr>
        <w:pageBreakBefore w:val="0"/>
        <w:numPr>
          <w:ilvl w:val="0"/>
          <w:numId w:val="0"/>
        </w:numPr>
        <w:tabs>
          <w:tab w:val="left" w:pos="851"/>
        </w:tabs>
        <w:kinsoku/>
        <w:overflowPunct/>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招标工程的最后结算根据发包人提供工程的设计施工图、施工竣工图纸、相关资料及说明，按《建设工程工程量清单计价规范》（GB50500-2013）以及各专业工程计量规范、《广东省建设工程计价依据》（2018）、《广东省市政工程综合定额（2018）》和《广东省住房和城乡建设厅关于营业税改征增值税后调整广东省建设工程计价依据的通知》（粤建市函[2016]1113号）的规定进行工程结算。</w:t>
      </w:r>
    </w:p>
    <w:p>
      <w:pPr>
        <w:pageBreakBefore w:val="0"/>
        <w:numPr>
          <w:ilvl w:val="0"/>
          <w:numId w:val="0"/>
        </w:numPr>
        <w:tabs>
          <w:tab w:val="left" w:pos="851"/>
        </w:tabs>
        <w:kinsoku/>
        <w:overflowPunct/>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（3）施工图设计完成并经审图机构审查通过，施工图预算经财政审核后，承包人向发包人申请支付工程设计费（含施工图预算编制费）的 50 %；项目施工进度达到70%，承包人向发包人申请支付至工程设计费（含施工图预算编制费）的70%；工程竣工验收合格并备案后，支付至工程设计费（含施工图预算编制费）的 100 %。最终结算价以开发区财政局审核为准，不得超过开发区财政局审定的施工图设计费及施工图预算编制费的控制价。</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计价中人工及材料的风险内容及其范围。</w:t>
      </w:r>
    </w:p>
    <w:p>
      <w:pPr>
        <w:pageBreakBefore w:val="0"/>
        <w:numPr>
          <w:ilvl w:val="0"/>
          <w:numId w:val="0"/>
        </w:numPr>
        <w:tabs>
          <w:tab w:val="left" w:pos="851"/>
        </w:tabs>
        <w:kinsoku/>
        <w:overflowPunct/>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①人工（含机具台班中的人工）风险幅度为零，实行动态工资调整，具体调整办法按湛江市工程造价管理部门的规定；</w:t>
      </w:r>
    </w:p>
    <w:p>
      <w:pPr>
        <w:pageBreakBefore w:val="0"/>
        <w:numPr>
          <w:ilvl w:val="0"/>
          <w:numId w:val="0"/>
        </w:numPr>
        <w:tabs>
          <w:tab w:val="left" w:pos="851"/>
        </w:tabs>
        <w:kinsoku/>
        <w:overflowPunct/>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②主要材料（包括机具费里的油、电、天然气等燃料）、工程设备价格的风险幅度为±5%以内；超过±5%外进行增减调整。</w:t>
      </w:r>
    </w:p>
    <w:p>
      <w:pPr>
        <w:pageBreakBefore w:val="0"/>
        <w:numPr>
          <w:ilvl w:val="0"/>
          <w:numId w:val="0"/>
        </w:numPr>
        <w:tabs>
          <w:tab w:val="left" w:pos="851"/>
        </w:tabs>
        <w:kinsoku/>
        <w:overflowPunct/>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③施工机具使用费除人工、燃料外的费用不作调整；</w:t>
      </w:r>
    </w:p>
    <w:p>
      <w:pPr>
        <w:pageBreakBefore w:val="0"/>
        <w:numPr>
          <w:ilvl w:val="0"/>
          <w:numId w:val="0"/>
        </w:numPr>
        <w:tabs>
          <w:tab w:val="left" w:pos="851"/>
        </w:tabs>
        <w:kinsoku/>
        <w:overflowPunct/>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④管理费和利润的风险由投标人全部承担。</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分部分项工程和单价措施项目工程量按承包人按设计施工图纸实际完成、经验收合格且应予计量的计算。</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有权调整部分工程建设内容，发生设计变更由设计单位提供设计变更的相应图纸或说明，承包人按照监理工程师发出的变更通知的要求施工。除特殊情况经发包人批准外，凡涉及需要调整预算（合同价款）的工程变更，必须经发包人、监理单位、湛江经济技术开发区财政部门、承包人和湛江开发区签证组确认办妥手续后（设计变更需由设计单位确认），承包人方能施工。增加预算应及时送湛江经济技术开发区财政部门审定。</w:t>
      </w:r>
    </w:p>
    <w:p>
      <w:pPr>
        <w:pageBreakBefore w:val="0"/>
        <w:numPr>
          <w:ilvl w:val="0"/>
          <w:numId w:val="13"/>
        </w:numPr>
        <w:tabs>
          <w:tab w:val="left" w:pos="851"/>
        </w:tabs>
        <w:kinsoku/>
        <w:overflowPunct/>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由于发包人原因引起的工程变更（含设计变更、招标工程量清单漏项、项目特征不符等，下同）、现场签证的综合单价按照下列方法确定：</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①若中标价中已有适用的综合单价，按中标价中已有的适用综合单价确定；</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②若中标价中没有适用但有类似的综合单价，采用中标价中类似的综合单价确定；</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③若中标价中没有适用或类似的综合单价，由承包人依据变更工程资料、《建设工程工程量清单计价规范》（GB50500-2013）及各专业工程计量规范、《广东省建设工程计价依据（2018）》（以下简称“本计价依据”），本计价依据包括《广东省房屋建筑与装饰工程综合定额（2018）》、《广东省市政工程综合定额（2018）》、《广东省通用安装工程综合定额（2018）》、《广东省园林绿化工程综合定额（2018）》、《广东省建设工程施工机具台班费用编制规则（2018）》及配套文件等、以及湛江市和广东省住建部门、财政部门和造价管理机构的有关计价规定等计价依据、基准期（即湛江经济技术开发区财政部门审定预算所采用的《湛江建设工程造价信息》材料参考价对应月份）《湛江建设工程造价信息》公布的参考价格和共同签证价提出综合单价，送监理人、发包人初审及湛江经济技术开发区财政部门审定后执行。综合单价须按承包人报价下浮百分比L 进行下浮。</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承包人报价浮动率可按下列公式计算：</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招标工程：承包人报价浮动率L=（1—中标价/招标控制价）×100% </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④新组价综合单价时，人工和材料单价优先采用湛江市造价管理机构公布的基准期定额人工单价和《湛江建设工程造价信息》材料参考价；如出现《湛江建设工程造价信息》缺项的材料及设备，由区财政局、建设、设计、监理、施工单位组成的询价小组以湛江市中心为中心，“由近到远”为原则联合进行市场调研确定。</w:t>
      </w:r>
    </w:p>
    <w:p>
      <w:pPr>
        <w:keepNext w:val="0"/>
        <w:keepLines w:val="0"/>
        <w:pageBreakBefore w:val="0"/>
        <w:widowControl/>
        <w:numPr>
          <w:ilvl w:val="0"/>
          <w:numId w:val="13"/>
        </w:numPr>
        <w:tabs>
          <w:tab w:val="left" w:pos="851"/>
        </w:tabs>
        <w:kinsoku/>
        <w:wordWrap/>
        <w:overflowPunct/>
        <w:topLinePunct w:val="0"/>
        <w:autoSpaceDE/>
        <w:autoSpaceDN/>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人工、物价波动引起的价格调整方法：</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施工期《湛江建设工程造价信息》发布的人工（含施工设备机械台班中的人工）、材料（含施工设备机械台班中的材料）价格相对基准日期价格出现涨落，合同双方根据以下条款的规定对合同价款作相应调整。基准期是湛江经济技术开发区财政部门审定预算所采用的《湛江建设工程造价信息》材料参考价对应月份。  </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本工程中人工（含机械台班中的人工）单价实行零风险的动态调整，人工单价发生涨落的，应按湛江经济技术开发区财政部门审定综合单价所含人工数量标准（无法提供财政部门审定综合单价明细时，按广东省2018年定额人工消耗量）计算的人工数量和施工期与基准日期人工单价对比的价差的乘积计算调整的人工费，列于其他项目费。</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施工期各月和基准日期所在月《湛江建设工程造价信息》均有公布，且名称、品牌、规格和型号等都相同的材料（含机械油料），称为按信息价可调价材料，简称可调价材料。施工期间，本工程可调价材料的价格相对基准期发生上涨或下降，涨落幅度在±5%（含5%）以内的，其价差由承包人承担或收益；涨落幅度超出±5%的，超出±5%部分的价差由发包人承担或收益。可调价材料价格涨落幅度由施工期各月《湛江建设工程造价信息》公布的“湛江市区月度主要建设材料参考价格（月度参考价没有，按季度参考价）”算术平均值对比基准期相应价格计算确定，超过±5%部分的价差按湛江经济技术开发区财政部门审定的综合单价所含材料数量标准（无法提供财政部门审定综合单价明细时，按广东省2018年综合定额消耗量）计算的材料数量与超出±5%部分的单价差的乘积计算，列入其他项目费。</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③发生合同工程工期延误时，上述用于计算价差的施工期人工和可调价材料单价，按施工合同相关条款和相关规定确定“合同履行期用于调整的价格或单价”的方法确定。</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④除按信息价可调价材料外，其他材料设备，均不计算价差。</w:t>
      </w:r>
    </w:p>
    <w:p>
      <w:pPr>
        <w:keepNext w:val="0"/>
        <w:keepLines w:val="0"/>
        <w:pageBreakBefore w:val="0"/>
        <w:widowControl/>
        <w:numPr>
          <w:ilvl w:val="0"/>
          <w:numId w:val="0"/>
        </w:numPr>
        <w:tabs>
          <w:tab w:val="left" w:pos="851"/>
        </w:tabs>
        <w:kinsoku/>
        <w:wordWrap/>
        <w:overflowPunct/>
        <w:topLinePunct w:val="0"/>
        <w:autoSpaceDE/>
        <w:autoSpaceDN/>
        <w:bidi w:val="0"/>
        <w:adjustRightInd w:val="0"/>
        <w:snapToGrid w:val="0"/>
        <w:spacing w:after="0" w:afterLines="0" w:line="360" w:lineRule="auto"/>
        <w:ind w:firstLine="480" w:firstLineChars="20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⑤上述价差不作为计算利润、管理费、措施项目费、其他项目费的基础。</w:t>
      </w:r>
    </w:p>
    <w:p>
      <w:pPr>
        <w:keepNext w:val="0"/>
        <w:keepLines w:val="0"/>
        <w:pageBreakBefore w:val="0"/>
        <w:widowControl/>
        <w:numPr>
          <w:ilvl w:val="0"/>
          <w:numId w:val="13"/>
        </w:numPr>
        <w:tabs>
          <w:tab w:val="left" w:pos="851"/>
        </w:tabs>
        <w:kinsoku/>
        <w:wordWrap/>
        <w:overflowPunct/>
        <w:topLinePunct w:val="0"/>
        <w:autoSpaceDE/>
        <w:autoSpaceDN/>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材料检验试验费包含在合同总价内，预算包干费按承包人投报费率（不得超过招标控制价相应费率）结算，规费按湛江市规定结算。</w:t>
      </w:r>
    </w:p>
    <w:p>
      <w:pPr>
        <w:keepNext w:val="0"/>
        <w:keepLines w:val="0"/>
        <w:pageBreakBefore w:val="0"/>
        <w:widowControl/>
        <w:numPr>
          <w:ilvl w:val="0"/>
          <w:numId w:val="13"/>
        </w:numPr>
        <w:tabs>
          <w:tab w:val="left" w:pos="851"/>
        </w:tabs>
        <w:kinsoku/>
        <w:wordWrap/>
        <w:overflowPunct/>
        <w:topLinePunct w:val="0"/>
        <w:autoSpaceDE/>
        <w:autoSpaceDN/>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工程税金（增值税）按一般计税方法计算。</w:t>
      </w:r>
    </w:p>
    <w:p>
      <w:pPr>
        <w:keepNext w:val="0"/>
        <w:keepLines w:val="0"/>
        <w:pageBreakBefore w:val="0"/>
        <w:widowControl/>
        <w:numPr>
          <w:ilvl w:val="0"/>
          <w:numId w:val="13"/>
        </w:numPr>
        <w:tabs>
          <w:tab w:val="left" w:pos="851"/>
        </w:tabs>
        <w:kinsoku/>
        <w:wordWrap/>
        <w:overflowPunct/>
        <w:topLinePunct w:val="0"/>
        <w:autoSpaceDE/>
        <w:autoSpaceDN/>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招标工程的最后结算根据发包人提供工程的设计施工图、施工图说明、施工竣工图、相关资料及说明，按《建设工程工程量清单计价规范》（GB50500-2013）和《广东省建设工程计价依据（2018）》的规定进行工程结算。</w:t>
      </w:r>
    </w:p>
    <w:p>
      <w:pPr>
        <w:keepNext w:val="0"/>
        <w:keepLines w:val="0"/>
        <w:pageBreakBefore w:val="0"/>
        <w:widowControl/>
        <w:numPr>
          <w:ilvl w:val="0"/>
          <w:numId w:val="13"/>
        </w:numPr>
        <w:tabs>
          <w:tab w:val="left" w:pos="851"/>
        </w:tabs>
        <w:kinsoku/>
        <w:wordWrap/>
        <w:overflowPunct/>
        <w:topLinePunct w:val="0"/>
        <w:autoSpaceDE/>
        <w:autoSpaceDN/>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“绿色施工安全防护措施费”结算时按《广东省建设工程计价依据（2018）》中相应的规定执行。</w:t>
      </w:r>
    </w:p>
    <w:p>
      <w:pPr>
        <w:keepNext w:val="0"/>
        <w:keepLines w:val="0"/>
        <w:pageBreakBefore w:val="0"/>
        <w:widowControl/>
        <w:numPr>
          <w:ilvl w:val="0"/>
          <w:numId w:val="13"/>
        </w:numPr>
        <w:tabs>
          <w:tab w:val="left" w:pos="851"/>
        </w:tabs>
        <w:kinsoku/>
        <w:wordWrap/>
        <w:overflowPunct/>
        <w:topLinePunct w:val="0"/>
        <w:autoSpaceDE/>
        <w:autoSpaceDN/>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本工程最终的结算价以湛江经济技术开发区财政局审核的结算造价为准。</w:t>
      </w:r>
    </w:p>
    <w:p>
      <w:pPr>
        <w:keepNext w:val="0"/>
        <w:keepLines w:val="0"/>
        <w:pageBreakBefore w:val="0"/>
        <w:widowControl/>
        <w:numPr>
          <w:ilvl w:val="0"/>
          <w:numId w:val="13"/>
        </w:numPr>
        <w:tabs>
          <w:tab w:val="left" w:pos="851"/>
        </w:tabs>
        <w:kinsoku/>
        <w:wordWrap/>
        <w:overflowPunct/>
        <w:topLinePunct w:val="0"/>
        <w:autoSpaceDE/>
        <w:autoSpaceDN/>
        <w:bidi w:val="0"/>
        <w:adjustRightInd w:val="0"/>
        <w:snapToGrid w:val="0"/>
        <w:spacing w:after="0" w:afterLines="0" w:line="360" w:lineRule="auto"/>
        <w:ind w:left="60" w:leftChars="0" w:firstLine="420" w:firstLineChars="0"/>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竣工结算其他事项</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项目结算应遵循《广东省住房和城乡建设厅印发〈广东省住房和城乡建设厅关于房屋建筑和市政基础设施工程施工过程结算的若干指导意见〉的通知》（粤建市〔2019〕116 号）的相关规定。</w:t>
      </w:r>
    </w:p>
    <w:p>
      <w:pPr>
        <w:keepNext/>
        <w:keepLines/>
        <w:pageBreakBefore w:val="0"/>
        <w:widowControl/>
        <w:kinsoku/>
        <w:wordWrap w:val="0"/>
        <w:overflowPunct/>
        <w:topLinePunct/>
        <w:autoSpaceDE/>
        <w:autoSpaceDN/>
        <w:bidi w:val="0"/>
        <w:adjustRightInd w:val="0"/>
        <w:snapToGrid w:val="0"/>
        <w:spacing w:after="120" w:afterLines="50" w:line="360" w:lineRule="auto"/>
        <w:ind w:firstLine="0" w:firstLineChars="0"/>
        <w:jc w:val="left"/>
        <w:textAlignment w:val="auto"/>
        <w:outlineLvl w:val="0"/>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增加以下内容：</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一、 分部分项工程验收</w:t>
      </w:r>
    </w:p>
    <w:p>
      <w:pPr>
        <w:pageBreakBefore w:val="0"/>
        <w:widowControl/>
        <w:kinsoku/>
        <w:wordWrap/>
        <w:overflowPunct/>
        <w:topLinePunct w:val="0"/>
        <w:autoSpaceDE/>
        <w:autoSpaceDN/>
        <w:bidi w:val="0"/>
        <w:adjustRightInd w:val="0"/>
        <w:snapToGrid w:val="0"/>
        <w:spacing w:after="120" w:afterLines="50" w:line="360" w:lineRule="auto"/>
        <w:ind w:right="-250" w:rightChars="-104"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（一）监理人不能按时进行验收时，应提前48小时提交书面延期要求。关于延期最长不得超过：24小时。</w:t>
      </w:r>
    </w:p>
    <w:p>
      <w:pPr>
        <w:keepNext/>
        <w:keepLines/>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outlineLvl w:val="0"/>
        <w:rPr>
          <w:rFonts w:hint="eastAsia" w:ascii="宋体" w:hAnsi="宋体" w:eastAsia="宋体" w:cs="宋体"/>
          <w:b w:val="0"/>
          <w:color w:val="auto"/>
          <w:kern w:val="0"/>
          <w:sz w:val="24"/>
          <w:szCs w:val="24"/>
          <w:lang w:val="en-US" w:eastAsia="zh-CN" w:bidi="ar-SA"/>
        </w:rPr>
      </w:pPr>
      <w:bookmarkStart w:id="825" w:name="_Toc18329"/>
      <w:bookmarkStart w:id="826" w:name="_Toc11334"/>
      <w:bookmarkStart w:id="827" w:name="_Toc14059"/>
      <w:bookmarkStart w:id="828" w:name="_Toc16577"/>
      <w:r>
        <w:rPr>
          <w:rFonts w:hint="eastAsia" w:ascii="宋体" w:hAnsi="宋体" w:eastAsia="宋体" w:cs="宋体"/>
          <w:b w:val="0"/>
          <w:color w:val="auto"/>
          <w:kern w:val="0"/>
          <w:sz w:val="24"/>
          <w:szCs w:val="24"/>
          <w:lang w:val="en-US" w:eastAsia="zh-CN" w:bidi="ar-SA"/>
        </w:rPr>
        <w:t>（二）承包人应提前48个小时通知项目发包人、设计、监理等有关部门验收。验收合格后，才能进入下一道工序的施工；验收不合格，承包人需重新修改直至验收合格为止。</w:t>
      </w:r>
      <w:bookmarkEnd w:id="825"/>
      <w:bookmarkEnd w:id="826"/>
      <w:bookmarkEnd w:id="827"/>
      <w:bookmarkEnd w:id="828"/>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（三）工程隐蔽和工序验收承包人应提前48个小时通知发包人、设计、监理等有关部门验收。验收合格后，才能进入下一道工序的施工；验收不合格，承包人需重新修改直至验收合格为止。</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二、竣工验收</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（一）竣工验收程序</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关于竣工验收程序的约定：按合同通用条款13.2.2约定执行。</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承包人应在竣工验收 20 天后，向发包人提供竣工资料一式5份，声像资料一式 5 份。</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发包人不按照本项约定组织竣工验收、颁发工程接收证书的违约金的计算方法：无。</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（二）移交、接收全部与部分工程</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承包人向发包人移交工程的期限：验收合格后30天内承包人向发包人移交工程。</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发包人未按本合同约定接收全部或部分工程的，违约金的计算方法为：发包人无正当理由不接收工程的，发包人自应当接收工程之日起，承担工程照管、成品保护、保管等与工程有关的各项费用。</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承包人未按时移交工程的，违约金的计算方法为：承包人无正当理由不移交工程的，承包人应承担工程照管、成品保护、保管等与工程有关的各项费用。并移交每延长一天承包人需向发包人支付5000元违约金。</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因承包人原因造成工期延误，逾期竣工违约金的计算方法：因承包人原因造成工期延误，无论因质量、验收、速度、材料供应、施工难度、人手不够等任何原因导致工期延长的，发包人将按如下标准处以罚款（因发包人及不可抗力原因造成的工期延误除外）：因承包人原因每延迟一天竣工，承包人应向发包人支付人民币5000 元/日历天违约金。</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延迟竣工的最高违约金限额为审定结算总造价的5%。若承包人在施工过程中，发生中途停工或中途撤场的情况：所产生的一切后果由承包人自行承担，并赔偿造成发包人的全部经济损失。发包人有权向项目所在地的人民法院起诉，并追究承包人一切责任。</w:t>
      </w:r>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outlineLvl w:val="0"/>
        <w:rPr>
          <w:rFonts w:hint="eastAsia" w:ascii="宋体" w:hAnsi="宋体" w:eastAsia="宋体" w:cs="宋体"/>
          <w:b w:val="0"/>
          <w:color w:val="auto"/>
          <w:kern w:val="0"/>
          <w:sz w:val="24"/>
          <w:szCs w:val="24"/>
          <w:lang w:val="en-US" w:eastAsia="zh-CN" w:bidi="ar-SA"/>
        </w:rPr>
      </w:pPr>
      <w:bookmarkStart w:id="829" w:name="_Toc32262"/>
      <w:bookmarkStart w:id="830" w:name="_Toc2098"/>
      <w:bookmarkStart w:id="831" w:name="_Toc13546"/>
      <w:bookmarkStart w:id="832" w:name="_Toc29479"/>
      <w:r>
        <w:rPr>
          <w:rFonts w:hint="eastAsia" w:ascii="宋体" w:hAnsi="宋体" w:eastAsia="宋体" w:cs="宋体"/>
          <w:b w:val="0"/>
          <w:color w:val="auto"/>
          <w:kern w:val="0"/>
          <w:sz w:val="24"/>
          <w:szCs w:val="24"/>
          <w:lang w:val="en-US" w:eastAsia="zh-CN" w:bidi="ar-SA"/>
        </w:rPr>
        <w:t>三、竣工退场</w:t>
      </w:r>
      <w:bookmarkEnd w:id="829"/>
      <w:bookmarkEnd w:id="830"/>
      <w:bookmarkEnd w:id="831"/>
      <w:bookmarkEnd w:id="832"/>
    </w:p>
    <w:p>
      <w:pPr>
        <w:pageBreakBefore w:val="0"/>
        <w:widowControl/>
        <w:kinsoku/>
        <w:wordWrap/>
        <w:overflowPunct/>
        <w:topLinePunct w:val="0"/>
        <w:autoSpaceDE/>
        <w:autoSpaceDN/>
        <w:bidi w:val="0"/>
        <w:adjustRightInd w:val="0"/>
        <w:snapToGrid w:val="0"/>
        <w:spacing w:after="120" w:afterLines="50" w:line="360" w:lineRule="auto"/>
        <w:ind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承包人完成竣工退场的期限：工程竣工验收后，除经监理工程师同意需在缺陷责任期内继续工作的人员、使用的施工设备和临时设施外，其余的人员、施工设备和临时设备、临时设施等均应按监理工程师要求撤离施工场地或拆除。</w:t>
      </w:r>
    </w:p>
    <w:p>
      <w:pPr>
        <w:keepNext/>
        <w:keepLines/>
        <w:pageBreakBefore w:val="0"/>
        <w:widowControl/>
        <w:kinsoku/>
        <w:wordWrap w:val="0"/>
        <w:overflowPunct/>
        <w:topLinePunct/>
        <w:autoSpaceDE/>
        <w:autoSpaceDN/>
        <w:bidi w:val="0"/>
        <w:adjustRightInd w:val="0"/>
        <w:snapToGrid w:val="0"/>
        <w:spacing w:after="120" w:afterLines="50" w:line="360" w:lineRule="auto"/>
        <w:ind w:firstLine="480" w:firstLineChars="200"/>
        <w:jc w:val="both"/>
        <w:textAlignment w:val="auto"/>
        <w:outlineLvl w:val="0"/>
        <w:rPr>
          <w:rFonts w:hint="eastAsia" w:ascii="宋体" w:hAnsi="宋体" w:eastAsia="宋体" w:cs="宋体"/>
          <w:b w:val="0"/>
          <w:color w:val="auto"/>
          <w:kern w:val="44"/>
          <w:sz w:val="24"/>
          <w:szCs w:val="24"/>
          <w:lang w:val="en-US" w:eastAsia="zh-CN" w:bidi="ar-SA"/>
        </w:rPr>
      </w:pPr>
      <w:r>
        <w:rPr>
          <w:rFonts w:hint="eastAsia" w:ascii="宋体" w:hAnsi="宋体" w:eastAsia="宋体" w:cs="宋体"/>
          <w:b w:val="0"/>
          <w:color w:val="auto"/>
          <w:kern w:val="0"/>
          <w:sz w:val="24"/>
          <w:szCs w:val="24"/>
          <w:lang w:val="en-US" w:eastAsia="zh-CN" w:bidi="ar-SA"/>
        </w:rPr>
        <w:t>承包人必须在工程竣工验收合格后30 天内或发包人规定的时间内（发包人将提前通知承包人），无条件清退所有施工场地以及施工现场的清洁。</w:t>
      </w:r>
    </w:p>
    <w:p>
      <w:pPr>
        <w:pageBreakBefore w:val="0"/>
        <w:widowControl/>
        <w:numPr>
          <w:ilvl w:val="0"/>
          <w:numId w:val="0"/>
        </w:numPr>
        <w:tabs>
          <w:tab w:val="left" w:pos="851"/>
        </w:tabs>
        <w:kinsoku/>
        <w:overflowPunct/>
        <w:bidi w:val="0"/>
        <w:adjustRightInd w:val="0"/>
        <w:snapToGrid w:val="0"/>
        <w:spacing w:after="0" w:afterLines="0" w:line="360" w:lineRule="auto"/>
        <w:jc w:val="both"/>
        <w:textAlignment w:val="auto"/>
        <w:outlineLvl w:val="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14.6 质量保证金 </w:t>
      </w:r>
    </w:p>
    <w:p>
      <w:pPr>
        <w:pageBreakBefore w:val="0"/>
        <w:numPr>
          <w:ilvl w:val="0"/>
          <w:numId w:val="0"/>
        </w:numPr>
        <w:tabs>
          <w:tab w:val="left" w:pos="851"/>
        </w:tabs>
        <w:kinsoku/>
        <w:overflowPunct/>
        <w:bidi w:val="0"/>
        <w:adjustRightInd w:val="0"/>
        <w:snapToGrid w:val="0"/>
        <w:spacing w:after="0" w:afterLines="0" w:line="360" w:lineRule="auto"/>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关于是否扣留质量保证金的约定：扣留质量保证金，即按工程结算总造价款的3%的质量保证金 。在工程项目竣工前，承包人按专用合同条款提供履约担保的，发包人在竣工验收合格决算时退还履约担保函，扣留3%的质量保证金。</w:t>
      </w:r>
    </w:p>
    <w:p>
      <w:pPr>
        <w:pageBreakBefore w:val="0"/>
        <w:numPr>
          <w:ilvl w:val="0"/>
          <w:numId w:val="0"/>
        </w:numPr>
        <w:tabs>
          <w:tab w:val="left" w:pos="851"/>
        </w:tabs>
        <w:kinsoku/>
        <w:overflowPunct/>
        <w:bidi w:val="0"/>
        <w:adjustRightInd w:val="0"/>
        <w:snapToGrid w:val="0"/>
        <w:spacing w:after="0" w:afterLines="0" w:line="360" w:lineRule="auto"/>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14.6.1 承包人提供质量保证金的方式</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质量保证金采用以下第（1）种方式：</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（1）质量保证金保函，保证金额为：审定结算价款的3%的工程款； </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（2）审定结算价款的3%的工程款；</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（3）其他方式:                  。</w:t>
      </w:r>
    </w:p>
    <w:p>
      <w:pPr>
        <w:pageBreakBefore w:val="0"/>
        <w:numPr>
          <w:ilvl w:val="0"/>
          <w:numId w:val="0"/>
        </w:numPr>
        <w:tabs>
          <w:tab w:val="left" w:pos="851"/>
        </w:tabs>
        <w:kinsoku/>
        <w:overflowPunct/>
        <w:bidi w:val="0"/>
        <w:adjustRightInd w:val="0"/>
        <w:snapToGrid w:val="0"/>
        <w:spacing w:after="0" w:afterLines="0" w:line="360" w:lineRule="auto"/>
        <w:jc w:val="both"/>
        <w:textAlignment w:val="auto"/>
        <w:outlineLvl w:val="3"/>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14.6.2 质量保证金的预留</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质量保证金的扣留采取以下第（3）种方式：</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（1）在支付工程进度款时逐次扣留，在此情形下，质量保证金的计算基数不包括预付款的支付、扣回以及价格调整的金额；</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（2）工程竣工结算时一次性扣留质量保证金；</w:t>
      </w:r>
    </w:p>
    <w:p>
      <w:pPr>
        <w:pageBreakBefore w:val="0"/>
        <w:widowControl/>
        <w:kinsoku/>
        <w:wordWrap/>
        <w:overflowPunct/>
        <w:topLinePunct w:val="0"/>
        <w:bidi w:val="0"/>
        <w:adjustRightInd w:val="0"/>
        <w:snapToGrid w:val="0"/>
        <w:spacing w:after="0" w:afterLines="0"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3）其他扣留方式:  </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关于质量保证金的补充约定：本招标工程质量保证金采用银行保函形式，保函担保金额为工程结算价的3% 。缺陷责任期内承包人按合同履行了质保义务，发包人在工程缺陷责任期满后30日历天内，将质量保证金保函免息返还承包人。</w:t>
      </w:r>
    </w:p>
    <w:p>
      <w:pPr>
        <w:pageBreakBefore w:val="0"/>
        <w:widowControl/>
        <w:numPr>
          <w:ilvl w:val="0"/>
          <w:numId w:val="0"/>
        </w:numPr>
        <w:tabs>
          <w:tab w:val="left" w:pos="851"/>
        </w:tabs>
        <w:kinsoku/>
        <w:overflowPunct/>
        <w:bidi w:val="0"/>
        <w:adjustRightInd w:val="0"/>
        <w:snapToGrid w:val="0"/>
        <w:spacing w:after="0" w:afterLines="0" w:line="360" w:lineRule="auto"/>
        <w:jc w:val="both"/>
        <w:textAlignment w:val="auto"/>
        <w:outlineLvl w:val="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14.7 最终结清 </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增加以下内容：</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最终结清申请单</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承包人提交最终结清申请单的份数：六份 。</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承包人提交最终结算申请单的期限：结算经财政审核确认后30天内。 </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最终结清证书和支付</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（1）发包人完成最终结清申请单的审批并颁发最终结清证书的期限：/ 。</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（2）发包人完成支付的期限：收到最终结清申请单30天内报区财政部门及区管委会领导审批。</w:t>
      </w:r>
    </w:p>
    <w:p>
      <w:pPr>
        <w:pageBreakBefore w:val="0"/>
        <w:widowControl/>
        <w:kinsoku/>
        <w:wordWrap/>
        <w:overflowPunct/>
        <w:topLinePunct w:val="0"/>
        <w:bidi w:val="0"/>
        <w:adjustRightInd w:val="0"/>
        <w:snapToGrid w:val="0"/>
        <w:spacing w:after="0" w:afterLines="0" w:line="360" w:lineRule="auto"/>
        <w:ind w:firstLine="480" w:firstLineChars="200"/>
        <w:jc w:val="left"/>
        <w:textAlignment w:val="auto"/>
        <w:rPr>
          <w:rFonts w:hint="eastAsia" w:ascii="宋体" w:hAnsi="宋体" w:eastAsia="宋体" w:cs="宋体"/>
          <w:color w:val="auto"/>
          <w:kern w:val="0"/>
          <w:sz w:val="24"/>
          <w:szCs w:val="24"/>
        </w:rPr>
      </w:pPr>
    </w:p>
    <w:p>
      <w:pPr>
        <w:pStyle w:val="383"/>
        <w:pageBreakBefore w:val="0"/>
        <w:kinsoku/>
        <w:overflowPunct/>
        <w:bidi w:val="0"/>
        <w:spacing w:after="0" w:afterLines="0" w:line="360" w:lineRule="auto"/>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第15条 违约</w:t>
      </w:r>
      <w:bookmarkEnd w:id="818"/>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 发包人违约</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15.1.1 发包人违约的情形</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发包人违约的其他情形</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15.1.3 发包人违约的责任</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rPr>
        <w:t>发包人违约责任的承担方式和计算方法：</w:t>
      </w:r>
      <w:r>
        <w:rPr>
          <w:rFonts w:hint="eastAsia" w:ascii="宋体" w:hAnsi="宋体" w:eastAsia="宋体" w:cs="宋体"/>
          <w:color w:val="auto"/>
          <w:kern w:val="0"/>
          <w:sz w:val="24"/>
          <w:szCs w:val="24"/>
          <w:highlight w:val="none"/>
        </w:rPr>
        <w:t>（1）因发包人原因未能在计划开工日期前7天内下达开工通知的违约责任：工期相应顺延，由此增加的</w:t>
      </w:r>
      <w:r>
        <w:rPr>
          <w:rFonts w:hint="eastAsia" w:ascii="宋体" w:hAnsi="宋体" w:eastAsia="宋体" w:cs="宋体"/>
          <w:b w:val="0"/>
          <w:bCs w:val="0"/>
          <w:color w:val="auto"/>
          <w:kern w:val="0"/>
          <w:sz w:val="24"/>
          <w:szCs w:val="24"/>
          <w:highlight w:val="none"/>
          <w:u w:val="none"/>
        </w:rPr>
        <w:t>费用</w:t>
      </w:r>
      <w:r>
        <w:rPr>
          <w:rFonts w:hint="eastAsia" w:ascii="宋体" w:hAnsi="宋体" w:eastAsia="宋体" w:cs="宋体"/>
          <w:color w:val="auto"/>
          <w:kern w:val="0"/>
          <w:sz w:val="24"/>
          <w:szCs w:val="24"/>
          <w:highlight w:val="none"/>
        </w:rPr>
        <w:t>不予补偿。</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b/>
          <w:bCs/>
          <w:color w:val="auto"/>
          <w:kern w:val="0"/>
          <w:sz w:val="24"/>
          <w:szCs w:val="24"/>
          <w:highlight w:val="none"/>
          <w:u w:val="single"/>
        </w:rPr>
        <w:t>加大督促财政办理</w:t>
      </w:r>
      <w:r>
        <w:rPr>
          <w:rFonts w:hint="eastAsia" w:ascii="宋体" w:hAnsi="宋体" w:eastAsia="宋体" w:cs="宋体"/>
          <w:color w:val="auto"/>
          <w:kern w:val="0"/>
          <w:sz w:val="24"/>
          <w:szCs w:val="24"/>
          <w:highlight w:val="none"/>
        </w:rPr>
        <w:t>。</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）发包人提供的材料、工程设备的规格、数量或质量不符合合同约定，或因发包人原因导致交货日期延误或交货地点变更等情况的违约责任：</w:t>
      </w:r>
      <w:r>
        <w:rPr>
          <w:rFonts w:hint="eastAsia" w:ascii="宋体" w:hAnsi="宋体" w:eastAsia="宋体" w:cs="宋体"/>
          <w:b/>
          <w:bCs/>
          <w:color w:val="auto"/>
          <w:kern w:val="0"/>
          <w:sz w:val="24"/>
          <w:szCs w:val="24"/>
          <w:highlight w:val="none"/>
          <w:u w:val="single"/>
        </w:rPr>
        <w:t>工期相应顺延，由此增加的费用不予补偿</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）因发包人违反合同约定造成暂停施工的违约责任：</w:t>
      </w:r>
      <w:r>
        <w:rPr>
          <w:rFonts w:hint="eastAsia" w:ascii="宋体" w:hAnsi="宋体" w:eastAsia="宋体" w:cs="宋体"/>
          <w:b/>
          <w:bCs/>
          <w:color w:val="auto"/>
          <w:kern w:val="0"/>
          <w:sz w:val="24"/>
          <w:szCs w:val="24"/>
          <w:highlight w:val="none"/>
          <w:u w:val="single"/>
        </w:rPr>
        <w:t>工期相应延长，由此增加的费用不予补偿</w:t>
      </w:r>
      <w:r>
        <w:rPr>
          <w:rFonts w:hint="eastAsia" w:ascii="宋体" w:hAnsi="宋体" w:eastAsia="宋体" w:cs="宋体"/>
          <w:color w:val="auto"/>
          <w:kern w:val="0"/>
          <w:sz w:val="24"/>
          <w:szCs w:val="24"/>
          <w:highlight w:val="none"/>
          <w:u w:val="none"/>
        </w:rPr>
        <w:t xml:space="preserve">。 </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）发包人无正当理由没有在约定期限内发出复工指示，导致承包人无法复工的违约责任：</w:t>
      </w:r>
      <w:r>
        <w:rPr>
          <w:rFonts w:hint="eastAsia" w:ascii="宋体" w:hAnsi="宋体" w:eastAsia="宋体" w:cs="宋体"/>
          <w:b/>
          <w:color w:val="auto"/>
          <w:kern w:val="0"/>
          <w:sz w:val="24"/>
          <w:szCs w:val="24"/>
          <w:highlight w:val="none"/>
          <w:u w:val="single"/>
        </w:rPr>
        <w:t>承包人有权要求发包人相应顺延工期</w:t>
      </w:r>
      <w:r>
        <w:rPr>
          <w:rFonts w:hint="eastAsia" w:ascii="宋体" w:hAnsi="宋体" w:eastAsia="宋体" w:cs="宋体"/>
          <w:color w:val="auto"/>
          <w:kern w:val="0"/>
          <w:sz w:val="24"/>
          <w:szCs w:val="24"/>
          <w:highlight w:val="none"/>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 承包人违约</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15.2.1 承包人违约的情形</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承包人违约的其他情形：</w:t>
      </w:r>
      <w:r>
        <w:rPr>
          <w:rFonts w:hint="eastAsia" w:ascii="宋体" w:hAnsi="宋体" w:eastAsia="宋体" w:cs="宋体"/>
          <w:b/>
          <w:bCs/>
          <w:color w:val="auto"/>
          <w:kern w:val="0"/>
          <w:sz w:val="24"/>
          <w:szCs w:val="24"/>
          <w:highlight w:val="none"/>
          <w:u w:val="single"/>
        </w:rPr>
        <w:t>不守信用、弄虚作假等，不按“招标、投标文件”执行</w:t>
      </w:r>
      <w:r>
        <w:rPr>
          <w:rFonts w:hint="eastAsia" w:ascii="宋体" w:hAnsi="宋体" w:eastAsia="宋体" w:cs="宋体"/>
          <w:color w:val="auto"/>
          <w:sz w:val="24"/>
          <w:szCs w:val="24"/>
        </w:rPr>
        <w:t>。</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b/>
          <w:bCs/>
          <w:color w:val="auto"/>
          <w:kern w:val="0"/>
          <w:sz w:val="24"/>
          <w:szCs w:val="24"/>
          <w:highlight w:val="none"/>
          <w:u w:val="single"/>
        </w:rPr>
        <w:t>根据发包人提供工程的施工图、施工图说明、工程量清单、相关资料及说明，按《建设工程工程量清单计价规范》（GB50500-2013）和《广东省建设工程计价依据》（2018）的规定，由承包人包材料、包施工、包质量、包工期、包安全进行承包施工。本工程不允许转包，不允许违法分包，如确需分包的工程，承包人必须与发包人协商并得到发包人的书面同意，分包人必须具备相应的专业工程施工资质，且分包合同必须报发包人备案，承包人对分包人分包工程承担无限连带责任</w:t>
      </w:r>
      <w:r>
        <w:rPr>
          <w:rFonts w:hint="eastAsia" w:ascii="宋体" w:hAnsi="宋体" w:eastAsia="宋体" w:cs="宋体"/>
          <w:color w:val="auto"/>
          <w:kern w:val="0"/>
          <w:sz w:val="24"/>
          <w:szCs w:val="24"/>
          <w:highlight w:val="none"/>
        </w:rPr>
        <w:t>。</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b/>
          <w:bCs/>
          <w:color w:val="auto"/>
          <w:kern w:val="0"/>
          <w:sz w:val="24"/>
          <w:szCs w:val="24"/>
          <w:highlight w:val="none"/>
          <w:u w:val="single"/>
        </w:rPr>
        <w:t>本工程由有实力、有资质、有经验、有信誉、有社会责任感的“五有”施工单位承包。若发包人和监理单位均认定承包人有挂靠行为，或转包行为，或有未经发包人同意的分包行为（无须承包人认可，除非承包人在发包人发出通知后3 天内提出有效举证），发包人有权勒令其停工、驱逐出现场等，由此造成的损失均由承包人承担，同时承包人及被挂靠单位均须向发包人支付违约金壹佰万元，湛江市建设行政主管部门根据相关规定进行处理</w:t>
      </w:r>
      <w:r>
        <w:rPr>
          <w:rFonts w:hint="eastAsia" w:ascii="宋体" w:hAnsi="宋体" w:eastAsia="宋体" w:cs="宋体"/>
          <w:color w:val="auto"/>
          <w:kern w:val="0"/>
          <w:sz w:val="24"/>
          <w:szCs w:val="24"/>
          <w:highlight w:val="none"/>
        </w:rPr>
        <w:t>。</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rPr>
        <w:t>(3)</w:t>
      </w:r>
      <w:r>
        <w:rPr>
          <w:rFonts w:hint="eastAsia" w:ascii="宋体" w:hAnsi="宋体" w:eastAsia="宋体" w:cs="宋体"/>
          <w:b/>
          <w:bCs/>
          <w:color w:val="auto"/>
          <w:kern w:val="0"/>
          <w:sz w:val="24"/>
          <w:szCs w:val="24"/>
          <w:highlight w:val="none"/>
          <w:u w:val="single"/>
        </w:rPr>
        <w:t>承包人如出现拖欠农民工工资现象，发包人经调查属实，有权从工程款中直接代扣支付，并收取</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b/>
          <w:bCs/>
          <w:color w:val="auto"/>
          <w:kern w:val="0"/>
          <w:sz w:val="24"/>
          <w:szCs w:val="24"/>
          <w:highlight w:val="none"/>
          <w:u w:val="single"/>
        </w:rPr>
        <w:t>5</w:t>
      </w:r>
      <w:r>
        <w:rPr>
          <w:rFonts w:hint="eastAsia" w:ascii="宋体" w:hAnsi="宋体" w:eastAsia="宋体" w:cs="宋体"/>
          <w:b/>
          <w:bCs/>
          <w:color w:val="auto"/>
          <w:kern w:val="0"/>
          <w:sz w:val="24"/>
          <w:szCs w:val="24"/>
          <w:highlight w:val="none"/>
          <w:u w:val="single"/>
          <w:lang w:val="en-US" w:eastAsia="zh-CN"/>
        </w:rPr>
        <w:t xml:space="preserve"> </w:t>
      </w:r>
      <w:r>
        <w:rPr>
          <w:rFonts w:hint="eastAsia" w:ascii="宋体" w:hAnsi="宋体" w:eastAsia="宋体" w:cs="宋体"/>
          <w:b/>
          <w:bCs/>
          <w:color w:val="auto"/>
          <w:kern w:val="0"/>
          <w:sz w:val="24"/>
          <w:szCs w:val="24"/>
          <w:highlight w:val="none"/>
          <w:u w:val="single"/>
        </w:rPr>
        <w:t>万元/次的违约金</w:t>
      </w:r>
      <w:r>
        <w:rPr>
          <w:rFonts w:hint="eastAsia" w:ascii="宋体" w:hAnsi="宋体" w:eastAsia="宋体" w:cs="宋体"/>
          <w:b/>
          <w:bCs/>
          <w:color w:val="auto"/>
          <w:kern w:val="0"/>
          <w:sz w:val="24"/>
          <w:szCs w:val="24"/>
          <w:highlight w:val="none"/>
          <w:u w:val="none"/>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15.2.3 承包人违约的责任</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rPr>
        <w:t>承包人违约责任的承担方式和计算方法：</w:t>
      </w:r>
      <w:r>
        <w:rPr>
          <w:rFonts w:hint="eastAsia" w:ascii="宋体" w:hAnsi="宋体" w:eastAsia="宋体" w:cs="宋体"/>
          <w:b/>
          <w:bCs/>
          <w:color w:val="auto"/>
          <w:kern w:val="0"/>
          <w:sz w:val="24"/>
          <w:szCs w:val="24"/>
          <w:highlight w:val="none"/>
          <w:u w:val="single"/>
        </w:rPr>
        <w:t>承担发包人所有损失，并承担相应违约责任</w:t>
      </w:r>
      <w:r>
        <w:rPr>
          <w:rFonts w:hint="eastAsia" w:ascii="宋体" w:hAnsi="宋体" w:eastAsia="宋体" w:cs="宋体"/>
          <w:color w:val="auto"/>
          <w:kern w:val="0"/>
          <w:sz w:val="24"/>
          <w:szCs w:val="24"/>
          <w:highlight w:val="none"/>
        </w:rPr>
        <w:t xml:space="preserve">。 </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u w:val="single"/>
        </w:rPr>
        <w:t>工程保修期内发现重大质量不合格问题（该重大质量问题应界定为达不到质量标准，属质量保修的问题除外），承包人必须在规定的期限返工并达到合同约定的质量等级，对不合格部分按其工程结算造价的 5 %计算向发包人承担支付违约金的责任</w:t>
      </w:r>
      <w:r>
        <w:rPr>
          <w:rFonts w:hint="eastAsia" w:ascii="宋体" w:hAnsi="宋体" w:eastAsia="宋体" w:cs="宋体"/>
          <w:color w:val="auto"/>
          <w:sz w:val="24"/>
          <w:szCs w:val="24"/>
          <w:highlight w:val="none"/>
        </w:rPr>
        <w:t>。</w:t>
      </w:r>
    </w:p>
    <w:p>
      <w:pPr>
        <w:pStyle w:val="5"/>
        <w:keepNext w:val="0"/>
        <w:keepLines w:val="0"/>
        <w:pageBreakBefore w:val="0"/>
        <w:widowControl/>
        <w:kinsoku/>
        <w:overflowPunct/>
        <w:autoSpaceDE/>
        <w:autoSpaceDN/>
        <w:bidi w:val="0"/>
        <w:adjustRightInd w:val="0"/>
        <w:snapToGrid w:val="0"/>
        <w:spacing w:after="0" w:afterLines="0" w:line="360" w:lineRule="auto"/>
        <w:ind w:left="0" w:leftChars="0" w:firstLine="480" w:firstLineChars="200"/>
        <w:jc w:val="both"/>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增加以下内容：</w:t>
      </w:r>
    </w:p>
    <w:p>
      <w:pPr>
        <w:pStyle w:val="5"/>
        <w:keepNext w:val="0"/>
        <w:keepLines w:val="0"/>
        <w:pageBreakBefore w:val="0"/>
        <w:widowControl/>
        <w:kinsoku/>
        <w:overflowPunct/>
        <w:autoSpaceDE/>
        <w:autoSpaceDN/>
        <w:bidi w:val="0"/>
        <w:adjustRightInd w:val="0"/>
        <w:snapToGrid w:val="0"/>
        <w:spacing w:after="0" w:afterLines="0" w:line="360" w:lineRule="auto"/>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（一）设计违约</w:t>
      </w:r>
    </w:p>
    <w:p>
      <w:pPr>
        <w:pStyle w:val="5"/>
        <w:keepNext w:val="0"/>
        <w:keepLines w:val="0"/>
        <w:pageBreakBefore w:val="0"/>
        <w:widowControl/>
        <w:kinsoku/>
        <w:overflowPunct/>
        <w:autoSpaceDE/>
        <w:autoSpaceDN/>
        <w:bidi w:val="0"/>
        <w:adjustRightInd w:val="0"/>
        <w:snapToGrid w:val="0"/>
        <w:spacing w:after="0" w:afterLines="0" w:line="360" w:lineRule="auto"/>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（1）限期采取补救措施。承包人未履行或未按时履行或未按质履行义务时，必须依法采取补救措施在发包人限定的时间内履行义务。</w:t>
      </w:r>
    </w:p>
    <w:p>
      <w:pPr>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解除合同。双方协商一致合同解除。承包人必须在三天内停止全部工作，五天内配合发包人完成现场工作和有关资料的交接，并于完成交接工作当天内离场。承包人应保证所交接工作清晰、所移交资料齐全完整，承包人无特殊原因未在规定期限内完成交接和离场或所交接工作不清晰、所移交资料不完整，引致发包人工期延误和其他方面的损失，发包人将要求承包人赔偿实际损失。</w:t>
      </w:r>
    </w:p>
    <w:p>
      <w:pPr>
        <w:keepNext w:val="0"/>
        <w:keepLines w:val="0"/>
        <w:pageBreakBefore w:val="0"/>
        <w:widowControl/>
        <w:kinsoku/>
        <w:wordWrap/>
        <w:overflowPunct/>
        <w:topLinePunct w:val="0"/>
        <w:autoSpaceDE/>
        <w:autoSpaceDN/>
        <w:bidi w:val="0"/>
        <w:adjustRightInd w:val="0"/>
        <w:snapToGrid w:val="0"/>
        <w:spacing w:after="0" w:afterLines="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解除本合同后，发包人有权与其它承包人签订设计协议，其它承包人可以取代承包人在本合同中的地位，承接承包人的一切权利义务，有权在承包人已经完成设计成果的基础上继续设计，承包人不得有异议，其它承包人不必支付承包人任何报酬。</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（4）当发包人认为承包人无正当理由而不履行或没有充分履行其相关义务，或有双方约定的违约行为，发包人可书面通知承包人，指明其未能履约或违约行为的内容以及发包人要求其承担的违约责任。</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（5）在合同执行期间任何一方未能履约或有违约行为均应承担相应的违约责任。为此，发包人和承包人共同约定如下：</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（6）承包人在投标和履行合同过程中贿赂发包人人员和建设项目有关主管人员的，视为不正当竞争并须承担严重违约责任，构成犯罪的，交司法部门处理。此外，发包人有解除合同的权利。</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承包人无故要求终止或解除合同，需向发包人支付相当于约定的设计费总额的违约金，并承担由此造成的拖延工期的损失。在合同履行期间，发包人要求终止或解除合同，承包人未开始设计工作的，不退还发包人已付的定金；已开始设计工作的，发包人应根据承包人已进行的实际工作量支付相应的设计费。</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承包人转包和私自分包设计任务，一经发现，承包人除须承担严重违约责任2次外，发包人还有权解除合同。同时，发包人将扣除转包、分包部分的全额设计费用，承包人应承担由此造成的工期、技术及其他一切损失。</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承包人的设计质量不符合本合同约定或设计文件出现遗漏或错误，造成一般质量事故或工期延误3天以上5天以内的，承包人除应负责修改或补充设计文件外，还须承担一般违约责任1次；由于设计错误造成工程严重质量事故或工期延误5天以上10天以内的，承包人除负责采取补救措施外，还须承担严重违约责任1次，并免收直接受影响工程部分的设计费。给发包人造成直接损失的，由承包人承担一切实际造成损失的费用，同时发包人保留向建设主管部门反映承包人失职行为的权利。</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承包人承诺主动支持发包人委托的设计咨询单位工作，对设计咨询单位的合理的指令和书面通知，若无正当理由又未提前报告、得到认可，而公开或变相拒不执行，一经发现，承包人须承担一般违约责任1次。同时，承包人还要承担由此造成的一切经济损失。</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（11）承包人由于自身原因造成的逾期交付设计文件或逾期完成发包人委托的其它工作的处理：由于承包人自身原因，延误了设计资料及设计文件交付时间，每延误一天，将按照5000元/天的标准扣减设计费。</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承包人必须按投标文件承诺的团队人员配置为本项目安排人员配备，若未经发包人许可更换项目设计负责人、各专业设计负责人、驻场设计代表；或经发包人书面要求但拒绝更换项目设计负责人、各专业设计负责人、驻场设计，承包人除应限期采取补救措施外，还须承担一般违约责任1次。</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驻场设计代表未经发包人批准，擅自离开驻地1天以上3天以下的限期采取补救措施；擅自离开驻地3天以上5天以下的，承包人承担一般违约责任1次；擅自离开驻地5天以上，承包人承担严重违约责任1次。每月请假累计7天以上10天以内的，承包人承担一般违约责任1次；每月请假累计10天以上的，承包人承担严重违约责任1次。</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承包人提交的设计成果经过有关部门的设计图纸审查发现出现较多或较大疏漏、错误，则承包人除限期完成修改外，还须依照其出现疏漏、错误数量的多少承担不同的违约责任。具体约定为：当一次审查发现图纸中（含所有送审的各专业图纸）违反设计规范强条总数达5处以上10处以下，承包人须限期采取补救措施；当一次审查发现图纸中（含所有送审的各专业图纸）违反设计规范强条总数达到10处以上20处以下，承包人须承担一般违约责任1次；当一次审查发现图纸中（含所有送审的各专业图纸）违反设计规范强条总数达到20处以上30处以下，承包人须承担严重违约责任1次；当一次审查发现图纸中（含所有送审的各专业图纸）违反设计规范强条总数达到30处以上，发包人有权解除合同。</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（15）承包人违反本合同其它条款的约定，或者，履约时与投标承诺不符，每违反一处，均须承担一般违约责任1次。</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（16）一般违约责任1次扣款5000元，严重违约责任1次扣款10000元，以此类推，在当次设计费用中扣除。当违约责任次数累计10次（含10次）及以上的，发包人有权解除合同，承包人承担由此造成的一切经济赔偿。</w:t>
      </w:r>
    </w:p>
    <w:p>
      <w:pPr>
        <w:keepNext w:val="0"/>
        <w:keepLines w:val="0"/>
        <w:pageBreakBefore w:val="0"/>
        <w:widowControl/>
        <w:kinsoku/>
        <w:overflowPunct/>
        <w:autoSpaceDE/>
        <w:autoSpaceDN/>
        <w:bidi w:val="0"/>
        <w:adjustRightInd w:val="0"/>
        <w:snapToGrid w:val="0"/>
        <w:spacing w:after="0" w:afterLines="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承包人派驻本项目施工现场的设计代表不得少于壹人，驻场代表须具有路桥或道路或市政专业中级及以上技术职称资格（自中级技术职称证书的发证时间至2020年1月1日须达到2年及以上）。否则，发包人对该单位处以10000元人民币罚款，承包人必须在三天内更换符合相关资质的驻场设计代表。</w:t>
      </w:r>
    </w:p>
    <w:p>
      <w:pPr>
        <w:pStyle w:val="383"/>
        <w:pageBreakBefore w:val="0"/>
        <w:kinsoku/>
        <w:overflowPunct/>
        <w:bidi w:val="0"/>
        <w:spacing w:after="0" w:afterLines="0" w:line="360" w:lineRule="auto"/>
        <w:textAlignment w:val="auto"/>
        <w:rPr>
          <w:rFonts w:hint="eastAsia" w:ascii="宋体" w:hAnsi="宋体" w:eastAsia="宋体" w:cs="宋体"/>
          <w:b w:val="0"/>
          <w:bCs/>
          <w:color w:val="auto"/>
          <w:sz w:val="24"/>
          <w:szCs w:val="24"/>
        </w:rPr>
      </w:pPr>
      <w:bookmarkStart w:id="833" w:name="_Toc54862347"/>
      <w:r>
        <w:rPr>
          <w:rFonts w:hint="eastAsia" w:ascii="宋体" w:hAnsi="宋体" w:eastAsia="宋体" w:cs="宋体"/>
          <w:b w:val="0"/>
          <w:bCs/>
          <w:color w:val="auto"/>
          <w:sz w:val="24"/>
          <w:szCs w:val="24"/>
        </w:rPr>
        <w:t>第16条 合同解除</w:t>
      </w:r>
      <w:bookmarkEnd w:id="833"/>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 由发包人解除合同</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16.1.1 因承包人违约解除合同</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双方约定可由发包人解除合同的其他事由：</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（1）承包人未能在发包人或者监理机构发出的开工令7 天内开工，经监理工程师催告后的28 天内仍未开工的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（2）按照施工组织设计和合同工程进度计划，实际工程进度未达到计划要求，而且未表明有停工且监理工程师也未发出暂停施工令，但承包人停止施工时间持续达56 天或累计停止施工时间达70 天的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（3）承包人未经监理工程师批准，私自将已按照合同约定进入施工现场的施工设备、临时设施或材料运出施工现场的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（4）承包人拖延完工且能偿付的误期赔偿费已达到合同价款的5%的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（5）承包人转包工程、违法分包或未经许可擅自分包工程的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（6）承包人未按照合同约定或监理工程师的指令，经监理工程师书面指出后仍未按要求整改的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（7）承包人履行合同期间有欺诈行为的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（8）承包人向与本工程有关任何人付给或企图付给任何贿赂、礼品、赏金、回扣或其他贵重物品，以引诱或报偿他人的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（9）承包人在缺陷责任期内或施工期间，发现的施工质量未能进行修复，且又拒绝按照工程师指令再进行修复的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（10）承包人无法继续履行，明确表示或以行为表明不履行合同约定主要义务的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（11）承包人延迟履行合同约定主要义务，经催告后在合理期限内仍未履行的；</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（12）承包人破产或清偿的，但以机构重组或联合为目的的除外</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（13）承包人擅自选用工程材料，不听劝阻又擅自施工的</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（14）承包人被认为是严重违反合同的其他违约行为</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在上述情况下，发包人可自行或委托第三方实施，完成合同工程或其他任何部分。施工现场的所有材料、工程设备和合同工程，均应认为是发包人的财产</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b/>
          <w:bCs/>
          <w:i w:val="0"/>
          <w:iCs w:val="0"/>
          <w:color w:val="auto"/>
          <w:sz w:val="24"/>
          <w:szCs w:val="24"/>
          <w:highlight w:val="none"/>
          <w:u w:val="single"/>
        </w:rPr>
      </w:pPr>
      <w:r>
        <w:rPr>
          <w:rFonts w:hint="eastAsia" w:ascii="宋体" w:hAnsi="宋体" w:eastAsia="宋体" w:cs="宋体"/>
          <w:b/>
          <w:bCs/>
          <w:i w:val="0"/>
          <w:iCs w:val="0"/>
          <w:color w:val="auto"/>
          <w:sz w:val="24"/>
          <w:szCs w:val="24"/>
          <w:highlight w:val="none"/>
          <w:u w:val="single"/>
        </w:rPr>
        <w:t>合同解除后，承包人对其已完的工程质量负责，甲方应扣除应付其审定结算价的总工程款作作为质量保证金，在发包人在竣工验收合格之日起满两年后30 个日历天内将质量保证金返还给承包人（无息）</w:t>
      </w:r>
      <w:r>
        <w:rPr>
          <w:rFonts w:hint="eastAsia" w:ascii="宋体" w:hAnsi="宋体" w:eastAsia="宋体" w:cs="宋体"/>
          <w:b/>
          <w:bCs/>
          <w:i w:val="0"/>
          <w:iCs w:val="0"/>
          <w:color w:val="auto"/>
          <w:sz w:val="24"/>
          <w:szCs w:val="24"/>
          <w:highlight w:val="none"/>
          <w:u w:val="none"/>
        </w:rPr>
        <w:t>。</w:t>
      </w:r>
    </w:p>
    <w:p>
      <w:pPr>
        <w:pageBreakBefore w:val="0"/>
        <w:kinsoku/>
        <w:wordWrap/>
        <w:overflowPunct/>
        <w:topLinePunct w:val="0"/>
        <w:bidi w:val="0"/>
        <w:snapToGrid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sz w:val="24"/>
          <w:szCs w:val="24"/>
          <w:highlight w:val="none"/>
          <w:u w:val="single"/>
        </w:rPr>
        <w:t>合同解除后不影响发包人对承包人的违约行为追究违约金。违约金不足以弥补发包人损失的，发包人可要求承包人赔偿损失，包括但不限于因维权产生的诉讼费、保全费、律师费等</w:t>
      </w:r>
      <w:r>
        <w:rPr>
          <w:rFonts w:hint="eastAsia" w:ascii="宋体" w:hAnsi="宋体" w:eastAsia="宋体" w:cs="宋体"/>
          <w:color w:val="auto"/>
          <w:sz w:val="24"/>
          <w:szCs w:val="24"/>
          <w:highlight w:val="none"/>
        </w:rPr>
        <w:t>。</w:t>
      </w:r>
    </w:p>
    <w:p>
      <w:pPr>
        <w:keepNext w:val="0"/>
        <w:keepLines w:val="0"/>
        <w:pageBreakBefore w:val="0"/>
        <w:widowControl/>
        <w:kinsoku/>
        <w:overflowPunct/>
        <w:autoSpaceDE/>
        <w:autoSpaceDN/>
        <w:bidi w:val="0"/>
        <w:adjustRightInd w:val="0"/>
        <w:snapToGrid w:val="0"/>
        <w:spacing w:after="0" w:afterLines="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增加以下内容：</w:t>
      </w:r>
    </w:p>
    <w:p>
      <w:pPr>
        <w:keepNext w:val="0"/>
        <w:keepLines w:val="0"/>
        <w:pageBreakBefore w:val="0"/>
        <w:widowControl/>
        <w:kinsoku/>
        <w:overflowPunct/>
        <w:autoSpaceDE/>
        <w:autoSpaceDN/>
        <w:bidi w:val="0"/>
        <w:adjustRightInd w:val="0"/>
        <w:snapToGrid w:val="0"/>
        <w:spacing w:after="0" w:afterLines="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接到发包人发出整改通知7天后，承包人仍不纠正违约行为的，发包人有权解除合同并向承包人发出解除合同通知。承包人未收到发包人解除合同通知前,应继续按照合同约定做好现场及材料的保安、卫生、安全、环境工作。承包人收到发包人解除合同通知后7天内，承包人应与发包人完成现场交接手续并撤离现场，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keepNext w:val="0"/>
        <w:keepLines w:val="0"/>
        <w:pageBreakBefore w:val="0"/>
        <w:widowControl/>
        <w:kinsoku/>
        <w:overflowPunct/>
        <w:autoSpaceDE/>
        <w:autoSpaceDN/>
        <w:bidi w:val="0"/>
        <w:adjustRightInd w:val="0"/>
        <w:snapToGrid w:val="0"/>
        <w:spacing w:after="0" w:afterLines="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继续使用承包人在施工现场的材料、设备、临时工程、承包人文件和由承包人或以其名义编制的其他文件的费用承担方式：如发包人愿意继续使用承包人的材料、设备及临时设施和承包人已提供的设计、材料、施工设备、工程设备、临时工程等的,由发包人委托的第三方造价咨询公司对实际价值进行评估后,交由财政部门审查,承包人需无条件接受。如发包人不愿意继续使用上述材料或工程的,由承包人自行承担相关采购费用及损失,如由此给发包人造成损失的,由发包人在工程款或应付款中直接扣除。</w:t>
      </w:r>
    </w:p>
    <w:p>
      <w:pPr>
        <w:keepNext w:val="0"/>
        <w:keepLines w:val="0"/>
        <w:pageBreakBefore w:val="0"/>
        <w:widowControl/>
        <w:kinsoku/>
        <w:overflowPunct/>
        <w:autoSpaceDE/>
        <w:autoSpaceDN/>
        <w:bidi w:val="0"/>
        <w:adjustRightInd w:val="0"/>
        <w:snapToGrid w:val="0"/>
        <w:spacing w:after="0" w:afterLines="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承包人未依约办理交接手续的，每日按10万元计算违约金，如承包人损害或未履行看管义务导致相关材料或工程等损害的，发包人有权在应付款中扣除.双方办理解除手续后，发包人有权暂停对承包人的一切付款，查清各项付款和已扣款金额。</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 由承包人解除合同</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16.2.1 因发包人违约解除合同</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b/>
          <w:bCs/>
          <w:color w:val="auto"/>
          <w:sz w:val="24"/>
          <w:szCs w:val="24"/>
          <w:u w:val="single"/>
          <w:lang w:val="en-US" w:eastAsia="zh-CN"/>
        </w:rPr>
      </w:pPr>
      <w:r>
        <w:rPr>
          <w:rFonts w:hint="eastAsia" w:ascii="宋体" w:hAnsi="宋体" w:eastAsia="宋体" w:cs="宋体"/>
          <w:color w:val="auto"/>
          <w:sz w:val="24"/>
          <w:szCs w:val="24"/>
        </w:rPr>
        <w:t>双方约定可由承包人解除合同的其他事由：</w:t>
      </w:r>
      <w:r>
        <w:rPr>
          <w:rFonts w:hint="eastAsia" w:ascii="宋体" w:hAnsi="宋体" w:eastAsia="宋体" w:cs="宋体"/>
          <w:b/>
          <w:bCs/>
          <w:color w:val="auto"/>
          <w:sz w:val="24"/>
          <w:szCs w:val="24"/>
          <w:u w:val="single"/>
        </w:rPr>
        <w:t>承包人按1</w:t>
      </w:r>
      <w:r>
        <w:rPr>
          <w:rFonts w:hint="eastAsia" w:ascii="宋体" w:hAnsi="宋体" w:eastAsia="宋体" w:cs="宋体"/>
          <w:b/>
          <w:bCs/>
          <w:color w:val="auto"/>
          <w:sz w:val="24"/>
          <w:szCs w:val="24"/>
          <w:u w:val="single"/>
          <w:lang w:val="en-US" w:eastAsia="zh-CN"/>
        </w:rPr>
        <w:t>5</w:t>
      </w:r>
      <w:r>
        <w:rPr>
          <w:rFonts w:hint="eastAsia" w:ascii="宋体" w:hAnsi="宋体" w:eastAsia="宋体" w:cs="宋体"/>
          <w:b/>
          <w:bCs/>
          <w:color w:val="auto"/>
          <w:sz w:val="24"/>
          <w:szCs w:val="24"/>
          <w:u w:val="single"/>
        </w:rPr>
        <w:t>.1.1项〔发包人违约的情形〕约定暂停施工满90天后发包人仍不纠正其违约行为并致使合同目的不能实现的，承包人有权解除合同</w:t>
      </w:r>
      <w:r>
        <w:rPr>
          <w:rFonts w:hint="eastAsia" w:ascii="宋体" w:hAnsi="宋体" w:eastAsia="宋体" w:cs="宋体"/>
          <w:b w:val="0"/>
          <w:bCs w:val="0"/>
          <w:color w:val="auto"/>
          <w:sz w:val="24"/>
          <w:szCs w:val="24"/>
          <w:u w:val="none"/>
          <w:lang w:eastAsia="zh-CN"/>
        </w:rPr>
        <w:t>。</w:t>
      </w:r>
    </w:p>
    <w:p>
      <w:pPr>
        <w:pStyle w:val="383"/>
        <w:pageBreakBefore w:val="0"/>
        <w:kinsoku/>
        <w:overflowPunct/>
        <w:bidi w:val="0"/>
        <w:spacing w:after="0" w:afterLines="0" w:line="360" w:lineRule="auto"/>
        <w:textAlignment w:val="auto"/>
        <w:rPr>
          <w:rFonts w:hint="eastAsia" w:ascii="宋体" w:hAnsi="宋体" w:eastAsia="宋体" w:cs="宋体"/>
          <w:b w:val="0"/>
          <w:bCs/>
          <w:color w:val="auto"/>
          <w:sz w:val="24"/>
          <w:szCs w:val="24"/>
        </w:rPr>
      </w:pPr>
      <w:bookmarkStart w:id="834" w:name="_Toc54862348"/>
      <w:r>
        <w:rPr>
          <w:rFonts w:hint="eastAsia" w:ascii="宋体" w:hAnsi="宋体" w:eastAsia="宋体" w:cs="宋体"/>
          <w:b w:val="0"/>
          <w:bCs/>
          <w:color w:val="auto"/>
          <w:sz w:val="24"/>
          <w:szCs w:val="24"/>
        </w:rPr>
        <w:t>第17条 不可抗力</w:t>
      </w:r>
      <w:bookmarkEnd w:id="834"/>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 不可抗力的定义</w:t>
      </w:r>
    </w:p>
    <w:p>
      <w:pPr>
        <w:pageBreakBefore w:val="0"/>
        <w:kinsoku/>
        <w:wordWrap/>
        <w:overflowPunct/>
        <w:topLinePunct w:val="0"/>
        <w:bidi w:val="0"/>
        <w:snapToGrid w:val="0"/>
        <w:spacing w:line="360" w:lineRule="auto"/>
        <w:ind w:left="22" w:leftChars="9" w:firstLine="460" w:firstLineChars="192"/>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rPr>
        <w:t>除通用合同条件约定的不可抗力事件之外，视为不可抗力的其他情形：</w:t>
      </w:r>
      <w:r>
        <w:rPr>
          <w:rFonts w:hint="eastAsia" w:ascii="宋体" w:hAnsi="宋体" w:eastAsia="宋体" w:cs="宋体"/>
          <w:b/>
          <w:bCs/>
          <w:color w:val="auto"/>
          <w:sz w:val="24"/>
          <w:szCs w:val="24"/>
          <w:highlight w:val="none"/>
          <w:u w:val="single"/>
        </w:rPr>
        <w:t>不可抗力是指经有关部门鉴定的五级以上地震，正面吹袭湛江市的十级以上台风和龙卷风及项目所在地（县、市）区出现降雨量大于200mm/d特大暴雨，雷击引起的火灾，并执行国家有关规定</w:t>
      </w:r>
      <w:r>
        <w:rPr>
          <w:rFonts w:hint="eastAsia" w:ascii="宋体" w:hAnsi="宋体" w:eastAsia="宋体" w:cs="宋体"/>
          <w:color w:val="auto"/>
          <w:sz w:val="24"/>
          <w:szCs w:val="24"/>
          <w:highlight w:val="none"/>
        </w:rPr>
        <w:t>。</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对以上几种形式，应以造成灾害和影响施工为准。其它未提及的不可抗力情形执行本工程施工合同的通用条款，并执行国家有关规定。</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17.6 因不可抗力解除合同</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合同解除后，发包人应当在商定或确定发包人应支付款项后的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60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天内完成款项的支付。</w:t>
      </w:r>
    </w:p>
    <w:p>
      <w:pPr>
        <w:pStyle w:val="383"/>
        <w:pageBreakBefore w:val="0"/>
        <w:kinsoku/>
        <w:overflowPunct/>
        <w:bidi w:val="0"/>
        <w:spacing w:after="0" w:afterLines="0" w:line="360" w:lineRule="auto"/>
        <w:textAlignment w:val="auto"/>
        <w:rPr>
          <w:rFonts w:hint="eastAsia" w:ascii="宋体" w:hAnsi="宋体" w:eastAsia="宋体" w:cs="宋体"/>
          <w:b w:val="0"/>
          <w:bCs/>
          <w:color w:val="auto"/>
          <w:sz w:val="24"/>
          <w:szCs w:val="24"/>
        </w:rPr>
      </w:pPr>
      <w:bookmarkStart w:id="835" w:name="_Toc4784276"/>
      <w:bookmarkEnd w:id="835"/>
      <w:bookmarkStart w:id="836" w:name="_Toc4784277"/>
      <w:bookmarkEnd w:id="836"/>
      <w:bookmarkStart w:id="837" w:name="_Toc54862349"/>
      <w:r>
        <w:rPr>
          <w:rFonts w:hint="eastAsia" w:ascii="宋体" w:hAnsi="宋体" w:eastAsia="宋体" w:cs="宋体"/>
          <w:b w:val="0"/>
          <w:bCs/>
          <w:color w:val="auto"/>
          <w:sz w:val="24"/>
          <w:szCs w:val="24"/>
        </w:rPr>
        <w:t>第18条 保险</w:t>
      </w:r>
      <w:bookmarkEnd w:id="837"/>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 设计和工程保险</w:t>
      </w:r>
    </w:p>
    <w:p>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18.1.1 双方当事人关于设计和工程保险的特别约定：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由承包人购买市政建筑工程保险、施工人员团队意外伤害保险、安装工程一切险、市政建筑工程一切险、市政建筑工程质量险等，相关费用已在报价中综合考虑，发包人不再另行支付该笔费用</w:t>
      </w:r>
      <w:r>
        <w:rPr>
          <w:rFonts w:hint="eastAsia" w:ascii="宋体" w:hAnsi="宋体" w:eastAsia="宋体" w:cs="宋体"/>
          <w:color w:val="auto"/>
          <w:sz w:val="24"/>
          <w:szCs w:val="24"/>
          <w:highlight w:val="none"/>
        </w:rPr>
        <w:t xml:space="preserve">。 </w:t>
      </w:r>
    </w:p>
    <w:p>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18.1.2 双方当事人关于第三方责任险的特别约定：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工程施工期及缺陷责任期内的第三者责任险由承包人投保，投保期限与合同实际履行期限相同；承包人全权负责索赔处理，其保费在合同价内包干使用，其中人身意外险受益人为被保险人</w:t>
      </w:r>
      <w:r>
        <w:rPr>
          <w:rFonts w:hint="eastAsia" w:ascii="宋体" w:hAnsi="宋体" w:eastAsia="宋体" w:cs="宋体"/>
          <w:color w:val="auto"/>
          <w:sz w:val="24"/>
          <w:szCs w:val="24"/>
          <w:highlight w:val="none"/>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 工伤和意外伤害保险</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18.2.3 关于工伤保险和意外伤害保险的特别约定：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 xml:space="preserve">由承包人负责购买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18.3 货物保险</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关于承包人应为其施工设备、材料、工程设备和临时工程等办理财产保险的特别约定：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 xml:space="preserve">由承包人负责购买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18.4 其他保险</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highlight w:val="none"/>
          <w:u w:val="single"/>
        </w:rPr>
        <w:t>其他保险根据国家或省、市政策变化而需购买的保险费用均由承包人承担</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18.5 对各项保险的一般要求</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18.5.2 保险凭证</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保险单的条件：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18.5.4 通知义务</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关于变更保险合同时的通知义务的约定：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383"/>
        <w:pageBreakBefore w:val="0"/>
        <w:kinsoku/>
        <w:overflowPunct/>
        <w:bidi w:val="0"/>
        <w:spacing w:after="0" w:afterLines="0" w:line="360" w:lineRule="auto"/>
        <w:textAlignment w:val="auto"/>
        <w:rPr>
          <w:rFonts w:hint="eastAsia" w:ascii="宋体" w:hAnsi="宋体" w:eastAsia="宋体" w:cs="宋体"/>
          <w:b w:val="0"/>
          <w:bCs/>
          <w:color w:val="auto"/>
          <w:sz w:val="24"/>
          <w:szCs w:val="24"/>
        </w:rPr>
      </w:pPr>
      <w:bookmarkStart w:id="838" w:name="_Toc54862350"/>
      <w:r>
        <w:rPr>
          <w:rFonts w:hint="eastAsia" w:ascii="宋体" w:hAnsi="宋体" w:eastAsia="宋体" w:cs="宋体"/>
          <w:b w:val="0"/>
          <w:bCs/>
          <w:color w:val="auto"/>
          <w:sz w:val="24"/>
          <w:szCs w:val="24"/>
        </w:rPr>
        <w:t>第20条 争议解决</w:t>
      </w:r>
      <w:bookmarkEnd w:id="838"/>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 争议评审</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合同当事人是否同意将工程争议提交争议评审小组决定：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争议评审小组成员的人数：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选定争议避免/评审组的期限：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评审机构：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争议评审员报酬的承担人：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20.3.2 争议的避免</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发包人和承包人是否均出席争议避免的非正式讨论：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20.3.3 争议评审小组的决定</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关于争议评审小组的决定的特别约定：</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20.4 仲裁或诉讼</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种方式解决：</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仲裁委员会申请仲裁；</w:t>
      </w:r>
    </w:p>
    <w:p>
      <w:pPr>
        <w:pageBreakBefore w:val="0"/>
        <w:kinsoku/>
        <w:wordWrap/>
        <w:overflowPunct/>
        <w:topLinePunct w:val="0"/>
        <w:bidi w:val="0"/>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w:t>
      </w:r>
      <w:r>
        <w:rPr>
          <w:rFonts w:hint="eastAsia" w:ascii="宋体" w:hAnsi="宋体" w:eastAsia="宋体" w:cs="宋体"/>
          <w:b/>
          <w:bCs/>
          <w:color w:val="auto"/>
          <w:sz w:val="24"/>
          <w:szCs w:val="24"/>
          <w:u w:val="single"/>
          <w:lang w:val="en-US" w:eastAsia="zh-CN"/>
        </w:rPr>
        <w:t>湛江经济技术开发区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30"/>
          <w:szCs w:val="30"/>
        </w:rPr>
        <w:sectPr>
          <w:headerReference r:id="rId11" w:type="default"/>
          <w:pgSz w:w="11906" w:h="16838"/>
          <w:pgMar w:top="1440" w:right="1080" w:bottom="1440" w:left="1080" w:header="720" w:footer="998" w:gutter="0"/>
          <w:cols w:space="720" w:num="1"/>
          <w:docGrid w:linePitch="326" w:charSpace="0"/>
        </w:sectPr>
      </w:pPr>
    </w:p>
    <w:p>
      <w:pPr>
        <w:pStyle w:val="167"/>
        <w:keepNext w:val="0"/>
        <w:keepLines w:val="0"/>
        <w:pageBreakBefore w:val="0"/>
        <w:widowControl/>
        <w:overflowPunct/>
        <w:bidi w:val="0"/>
        <w:adjustRightInd w:val="0"/>
        <w:snapToGrid w:val="0"/>
        <w:spacing w:before="0" w:after="0" w:afterLines="0"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专用合同条件附件</w:t>
      </w:r>
      <w:bookmarkEnd w:id="810"/>
    </w:p>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附件1：发包人要求</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附件2：发包人供应材料设备一览表</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附件3：工程质量保修书</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附件4：主要建设工程文件目录</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附件5：承包人主要管理人员表</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附件6：价格指数权重表</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附件7：履约担保格式</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附件8：预付款担保格式</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附件9：支付担保格式</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附件10：暂估价一览表</w:t>
      </w:r>
    </w:p>
    <w:p>
      <w:pPr>
        <w:keepLines w:val="0"/>
        <w:pageBreakBefore w:val="0"/>
        <w:widowControl w:val="0"/>
        <w:kinsoku/>
        <w:wordWrap/>
        <w:overflowPunct/>
        <w:topLinePunct w:val="0"/>
        <w:autoSpaceDE/>
        <w:autoSpaceDN/>
        <w:bidi w:val="0"/>
        <w:adjustRightInd/>
        <w:snapToGrid/>
        <w:spacing w:after="0" w:afterLines="0" w:line="480" w:lineRule="auto"/>
        <w:ind w:firstLine="600"/>
        <w:textAlignment w:val="auto"/>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附件11：廉洁合同</w:t>
      </w:r>
    </w:p>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p>
      <w:pPr>
        <w:pageBreakBefore w:val="0"/>
        <w:wordWrap/>
        <w:overflowPunct/>
        <w:topLinePunct w:val="0"/>
        <w:bidi w:val="0"/>
        <w:adjustRightInd/>
        <w:snapToGrid/>
        <w:spacing w:after="0" w:afterLines="0" w:line="30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84"/>
        <w:pageBreakBefore w:val="0"/>
        <w:numPr>
          <w:ilvl w:val="0"/>
          <w:numId w:val="0"/>
        </w:numPr>
        <w:overflowPunct/>
        <w:bidi w:val="0"/>
        <w:spacing w:after="0" w:afterLines="0" w:line="300" w:lineRule="auto"/>
        <w:jc w:val="both"/>
        <w:textAlignment w:val="auto"/>
        <w:rPr>
          <w:rFonts w:hint="eastAsia" w:ascii="宋体" w:hAnsi="宋体" w:eastAsia="宋体" w:cs="宋体"/>
          <w:color w:val="auto"/>
          <w:sz w:val="24"/>
          <w:szCs w:val="24"/>
        </w:rPr>
      </w:pPr>
      <w:bookmarkStart w:id="839" w:name="_Toc54862352"/>
      <w:bookmarkStart w:id="840" w:name="_Hlk38571789"/>
      <w:r>
        <w:rPr>
          <w:rFonts w:hint="eastAsia" w:ascii="宋体" w:hAnsi="宋体" w:eastAsia="宋体" w:cs="宋体"/>
          <w:color w:val="auto"/>
          <w:sz w:val="24"/>
          <w:szCs w:val="24"/>
        </w:rPr>
        <w:t>附件1 《发包人要求》</w:t>
      </w:r>
      <w:bookmarkEnd w:id="839"/>
    </w:p>
    <w:bookmarkEnd w:id="840"/>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《发包人要求》通常包括但不限于以下内容：</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一、功能要求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（一）工程目的。</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（二）工程规模。</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（三）性能保证指标（性能保证表）。</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（四）产能保证指标。</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二、工程范围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（一）概述</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（二）包括的工作</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永久工程的设计、采购、施工范围。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临时工程的设计与施工范围。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竣工验收工作范围。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技术服务工作范围。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培训工作范围。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保修工作范围。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（三）工作界区</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（四）发包人提供的现场条件</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施工用电。</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施工用水。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施工排水。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施工道路。</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（五）发包人提供的技术文件</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除另有批准外，承包人的工作需要遵照发包人的下列技术文件:</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发包人需求任务书。</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发包人已完成的设计文件。</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三、工艺安排或要求（如有）</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四、时间要求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（一）开始工作时间。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（二）设计完成时间。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（三）进度计划。</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（四）竣工时间。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（五）缺陷责任期。</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（六）其他时间要求。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五、技术要求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（一）设计阶段和设计任务。</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（二）设计标准和规范。</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（三）技术标准和要求。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（四）质量标准。</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（五）设计、施工和设备监造、试验（如有）。</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（六）样品。</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（七）发包人提供的其他条件，如发包人或其委托的第三人提供的设计、工艺包、用于试验检验的工器具等，以及据此对承包人提出的予以配套的要求。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六、竣工试验</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（一）第一阶段，如对单车试验等的要求，包括试验前准备。</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（二）第二阶段，如对联动试车、投料试车等的要求，包括人员、设备、材料、燃料、电力、消耗品、工具等必要条件。</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（三）第三阶段，如对性能测试及其他竣工试验的要求，包括产能指标、产品质量标准、运营指标、环保指标等。</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七、竣工验收</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八、竣工后试验（如有）</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九、文件要求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（一）设计文件，及其相关审批、核准、备案要求。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（二）沟通计划。</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（三）风险管理计划。</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（四）竣工文件和工程的其他记录。</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（五）操作和维修手册。</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（六）其他承包人文件。</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十、工程项目管理规定</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（一）质量。</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（二）进度，包括里程碑进度计划（如果有）。</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（三）支付。</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（四）HSE（健康、安全与环境管理体系）。</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（五）沟通。</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（六）变更。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十一、其他要求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（一）对承包人的主要人员资格要求。</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（二）相关审批、核准和备案手续的办理。</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（三）对项目业主人员的操作培训。</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（四）分包。</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（五）设备供应商。</w:t>
      </w:r>
    </w:p>
    <w:p>
      <w:pPr>
        <w:keepNext w:val="0"/>
        <w:keepLines w:val="0"/>
        <w:pageBreakBefore w:val="0"/>
        <w:widowControl w:val="0"/>
        <w:kinsoku/>
        <w:wordWrap/>
        <w:overflowPunct/>
        <w:topLinePunct w:val="0"/>
        <w:autoSpaceDE/>
        <w:autoSpaceDN/>
        <w:bidi w:val="0"/>
        <w:adjustRightInd/>
        <w:snapToGrid/>
        <w:spacing w:after="0" w:afterLines="0" w:line="360" w:lineRule="auto"/>
        <w:ind w:left="60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（六）缺陷责任期的服务要求。</w:t>
      </w:r>
    </w:p>
    <w:p>
      <w:pPr>
        <w:pageBreakBefore w:val="0"/>
        <w:wordWrap/>
        <w:overflowPunct/>
        <w:topLinePunct w:val="0"/>
        <w:bidi w:val="0"/>
        <w:adjustRightInd/>
        <w:snapToGrid/>
        <w:spacing w:after="0" w:afterLines="0" w:line="300" w:lineRule="auto"/>
        <w:ind w:firstLine="0" w:firstLineChars="0"/>
        <w:jc w:val="left"/>
        <w:textAlignment w:val="auto"/>
        <w:rPr>
          <w:rFonts w:hint="eastAsia" w:ascii="宋体" w:hAnsi="宋体" w:eastAsia="宋体" w:cs="宋体"/>
          <w:color w:val="auto"/>
          <w:sz w:val="24"/>
          <w:szCs w:val="24"/>
        </w:rPr>
      </w:pPr>
    </w:p>
    <w:p>
      <w:pPr>
        <w:pageBreakBefore w:val="0"/>
        <w:wordWrap/>
        <w:overflowPunct/>
        <w:topLinePunct w:val="0"/>
        <w:bidi w:val="0"/>
        <w:adjustRightInd/>
        <w:snapToGrid/>
        <w:spacing w:after="0" w:afterLines="0" w:line="300" w:lineRule="auto"/>
        <w:ind w:firstLine="0" w:firstLineChars="0"/>
        <w:jc w:val="left"/>
        <w:textAlignment w:val="auto"/>
        <w:rPr>
          <w:rFonts w:hint="eastAsia" w:ascii="宋体" w:hAnsi="宋体" w:eastAsia="宋体" w:cs="宋体"/>
          <w:color w:val="auto"/>
          <w:sz w:val="24"/>
          <w:szCs w:val="24"/>
        </w:rPr>
      </w:pPr>
    </w:p>
    <w:p>
      <w:pPr>
        <w:rPr>
          <w:rFonts w:hint="eastAsia" w:ascii="宋体" w:hAnsi="宋体" w:eastAsia="宋体" w:cs="宋体"/>
          <w:color w:val="auto"/>
          <w:sz w:val="24"/>
          <w:szCs w:val="24"/>
        </w:rPr>
      </w:pPr>
      <w:bookmarkStart w:id="841" w:name="_Toc54862353"/>
      <w:bookmarkStart w:id="842" w:name="_Toc20171894"/>
      <w:r>
        <w:rPr>
          <w:rFonts w:hint="eastAsia" w:ascii="宋体" w:hAnsi="宋体" w:eastAsia="宋体" w:cs="宋体"/>
          <w:color w:val="auto"/>
          <w:sz w:val="24"/>
          <w:szCs w:val="24"/>
        </w:rPr>
        <w:br w:type="page"/>
      </w:r>
    </w:p>
    <w:p>
      <w:pPr>
        <w:pStyle w:val="384"/>
        <w:pageBreakBefore w:val="0"/>
        <w:numPr>
          <w:ilvl w:val="0"/>
          <w:numId w:val="0"/>
        </w:numPr>
        <w:overflowPunct/>
        <w:bidi w:val="0"/>
        <w:spacing w:after="0" w:afterLines="0" w:line="30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附件2 发包人供应材料设备一览表</w:t>
      </w:r>
      <w:bookmarkEnd w:id="841"/>
      <w:bookmarkEnd w:id="842"/>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65"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材料、设备品种</w:t>
            </w:r>
          </w:p>
        </w:tc>
        <w:tc>
          <w:tcPr>
            <w:tcW w:w="1126"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567"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686"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992"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单价（元）</w:t>
            </w:r>
          </w:p>
        </w:tc>
        <w:tc>
          <w:tcPr>
            <w:tcW w:w="1134"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质量等级</w:t>
            </w:r>
          </w:p>
        </w:tc>
        <w:tc>
          <w:tcPr>
            <w:tcW w:w="1134"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供应时间</w:t>
            </w:r>
          </w:p>
        </w:tc>
        <w:tc>
          <w:tcPr>
            <w:tcW w:w="1134"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送达地点</w:t>
            </w:r>
          </w:p>
        </w:tc>
        <w:tc>
          <w:tcPr>
            <w:tcW w:w="709"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tcBorders>
              <w:top w:val="double" w:color="auto" w:sz="6" w:space="0"/>
              <w:bottom w:val="single" w:color="auto" w:sz="6" w:space="0"/>
            </w:tcBorders>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tcBorders>
              <w:top w:val="nil"/>
            </w:tcBorders>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65"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2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567"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686"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992"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709" w:type="dxa"/>
            <w:noWrap w:val="0"/>
            <w:vAlign w:val="center"/>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bl>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84"/>
        <w:pageBreakBefore w:val="0"/>
        <w:numPr>
          <w:ilvl w:val="0"/>
          <w:numId w:val="0"/>
        </w:numPr>
        <w:overflowPunct/>
        <w:bidi w:val="0"/>
        <w:spacing w:after="0" w:afterLines="0" w:line="300" w:lineRule="auto"/>
        <w:jc w:val="both"/>
        <w:textAlignment w:val="auto"/>
        <w:rPr>
          <w:rFonts w:hint="eastAsia" w:ascii="宋体" w:hAnsi="宋体" w:eastAsia="宋体" w:cs="宋体"/>
          <w:color w:val="auto"/>
          <w:sz w:val="24"/>
          <w:szCs w:val="24"/>
        </w:rPr>
      </w:pPr>
      <w:bookmarkStart w:id="843" w:name="_Toc20171895"/>
      <w:bookmarkStart w:id="844" w:name="_Toc54862354"/>
      <w:r>
        <w:rPr>
          <w:rFonts w:hint="eastAsia" w:ascii="宋体" w:hAnsi="宋体" w:eastAsia="宋体" w:cs="宋体"/>
          <w:color w:val="auto"/>
          <w:sz w:val="24"/>
          <w:szCs w:val="24"/>
        </w:rPr>
        <w:t>附件3 工程质量保修书</w:t>
      </w:r>
      <w:bookmarkEnd w:id="843"/>
      <w:bookmarkEnd w:id="844"/>
    </w:p>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发包人（全称）：</w:t>
      </w:r>
      <w:r>
        <w:rPr>
          <w:rFonts w:hint="eastAsia" w:ascii="宋体" w:hAnsi="宋体" w:eastAsia="宋体" w:cs="宋体"/>
          <w:color w:val="auto"/>
          <w:sz w:val="24"/>
          <w:szCs w:val="24"/>
          <w:u w:val="single"/>
        </w:rPr>
        <w:t xml:space="preserve">                                  </w:t>
      </w:r>
    </w:p>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承包人（全称）：</w:t>
      </w:r>
      <w:r>
        <w:rPr>
          <w:rFonts w:hint="eastAsia" w:ascii="宋体" w:hAnsi="宋体" w:eastAsia="宋体" w:cs="宋体"/>
          <w:color w:val="auto"/>
          <w:sz w:val="24"/>
          <w:szCs w:val="24"/>
          <w:u w:val="single"/>
        </w:rPr>
        <w:t xml:space="preserve">                                  </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发包人和承包人根据《中华人民共和国建筑法》和《建设工程质量管理条例》，经协商一致就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（工程全称）订立工程质量保修书。</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一、工程质量保修范围和内容</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承包人在质量保修期内，按照有关法律规定和合同约定，承担工程质量保修责任。</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二、质量保修期</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根据《建设工程质量管理条例》及有关规定，工程的质量保修期如下：</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1．地基基础工程和主体结构工程为设计文件规定的工程合理使用年限；</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2．屋面防水工程、有防水要求的卫生间、房间和外墙面的防渗为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3．装修工程为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4．电气管线、给排水管道、设备安装工程为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5．供热与供冷系统为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个采暖期、供冷期；</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6．住宅小区内的给排水设施、道路等配套工程为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7．其他项目保修期限约定如下：</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质量保修期自工程竣工验收合格之日起计算。</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三、缺陷责任期</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工程缺陷责任期为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个月，缺陷责任期自工程通过竣工验收之日起计算。单位/区段工程先于全部工程进行验收，单位/区段工程缺陷责任期自单位/区段工程验收合格之日起算。</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缺陷责任期终止后，发包人应返还剩余的质量保证金。</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四、质量保修责任</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1．属于保修范围、内容的项目，承包人应当在接到保修通知之日起7天内派人保修。承包人不在约定期限内派人保修的，发包人可以委托他人修理。</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2．发生紧急事故需抢修的，承包人在接到事故通知后，应当立即到达事故现场抢修。</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4．质量保修完成后，由发包人组织验收。</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五、保修费用</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保修费用由造成质量缺陷的责任方承担。</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六、双方约定的其他工程质量保修事项：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工程质量保修书由发包人、承包人在工程竣工验收前共同签署，作为工程总承包合同附件，其有效期限至保修期满。</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发包人(公章)：               承包人(公章)：          </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地  址：       </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法定代表人(签字)：           法定代表人(签字)：       </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委托代理人(签字)：           委托代理人(签字)：       </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                     电  话：</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传  真：                     传  真：  </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                   开户银行：</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账  号：                     账  号： </w:t>
      </w:r>
    </w:p>
    <w:p>
      <w:pPr>
        <w:pageBreakBefore w:val="0"/>
        <w:wordWrap/>
        <w:overflowPunct/>
        <w:topLinePunct w:val="0"/>
        <w:bidi w:val="0"/>
        <w:spacing w:after="0" w:afterLines="0" w:line="300" w:lineRule="auto"/>
        <w:ind w:firstLine="6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邮政编码：                   邮政编码：   </w:t>
      </w:r>
    </w:p>
    <w:p>
      <w:pPr>
        <w:pageBreakBefore w:val="0"/>
        <w:wordWrap/>
        <w:overflowPunct/>
        <w:topLinePunct w:val="0"/>
        <w:bidi w:val="0"/>
        <w:adjustRightInd/>
        <w:snapToGrid/>
        <w:spacing w:after="0" w:afterLines="0" w:line="30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84"/>
        <w:pageBreakBefore w:val="0"/>
        <w:numPr>
          <w:ilvl w:val="0"/>
          <w:numId w:val="0"/>
        </w:numPr>
        <w:overflowPunct/>
        <w:bidi w:val="0"/>
        <w:spacing w:after="0" w:afterLines="0" w:line="300" w:lineRule="auto"/>
        <w:jc w:val="both"/>
        <w:textAlignment w:val="auto"/>
        <w:rPr>
          <w:rFonts w:hint="eastAsia" w:ascii="宋体" w:hAnsi="宋体" w:eastAsia="宋体" w:cs="宋体"/>
          <w:color w:val="auto"/>
          <w:sz w:val="24"/>
          <w:szCs w:val="24"/>
        </w:rPr>
      </w:pPr>
      <w:bookmarkStart w:id="845" w:name="_Toc20171896"/>
      <w:bookmarkStart w:id="846" w:name="_Toc54862355"/>
      <w:r>
        <w:rPr>
          <w:rFonts w:hint="eastAsia" w:ascii="宋体" w:hAnsi="宋体" w:eastAsia="宋体" w:cs="宋体"/>
          <w:color w:val="auto"/>
          <w:sz w:val="24"/>
          <w:szCs w:val="24"/>
        </w:rPr>
        <w:t>附件4 主要建设工程文件目录</w:t>
      </w:r>
      <w:bookmarkEnd w:id="845"/>
      <w:bookmarkEnd w:id="846"/>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文件名称</w:t>
            </w:r>
          </w:p>
        </w:tc>
        <w:tc>
          <w:tcPr>
            <w:tcW w:w="1276"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套数</w:t>
            </w:r>
          </w:p>
        </w:tc>
        <w:tc>
          <w:tcPr>
            <w:tcW w:w="1450"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费用（元）</w:t>
            </w:r>
          </w:p>
        </w:tc>
        <w:tc>
          <w:tcPr>
            <w:tcW w:w="1243"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w:t>
            </w:r>
          </w:p>
        </w:tc>
        <w:tc>
          <w:tcPr>
            <w:tcW w:w="1450" w:type="dxa"/>
            <w:tcBorders>
              <w:top w:val="single" w:color="auto" w:sz="12" w:space="0"/>
              <w:bottom w:val="double" w:color="auto" w:sz="6" w:space="0"/>
            </w:tcBorders>
            <w:noWrap w:val="0"/>
            <w:vAlign w:val="top"/>
          </w:tcPr>
          <w:p>
            <w:pPr>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移交时间</w:t>
            </w:r>
          </w:p>
        </w:tc>
        <w:tc>
          <w:tcPr>
            <w:tcW w:w="1670" w:type="dxa"/>
            <w:tcBorders>
              <w:top w:val="single" w:color="auto" w:sz="12" w:space="0"/>
              <w:bottom w:val="double" w:color="auto" w:sz="6" w:space="0"/>
            </w:tcBorders>
            <w:noWrap w:val="0"/>
            <w:vAlign w:val="top"/>
          </w:tcPr>
          <w:p>
            <w:pPr>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tcBorders>
              <w:top w:val="nil"/>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76"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243"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5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670" w:type="dxa"/>
            <w:noWrap w:val="0"/>
            <w:vAlign w:val="top"/>
          </w:tcPr>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bl>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sectPr>
          <w:headerReference r:id="rId12" w:type="default"/>
          <w:pgSz w:w="11906" w:h="16838"/>
          <w:pgMar w:top="1440" w:right="1080" w:bottom="1440" w:left="1080" w:header="720" w:footer="998" w:gutter="0"/>
          <w:cols w:space="720" w:num="1"/>
          <w:docGrid w:linePitch="326" w:charSpace="0"/>
        </w:sectPr>
      </w:pPr>
    </w:p>
    <w:p>
      <w:pPr>
        <w:pStyle w:val="384"/>
        <w:pageBreakBefore w:val="0"/>
        <w:numPr>
          <w:ilvl w:val="0"/>
          <w:numId w:val="0"/>
        </w:numPr>
        <w:overflowPunct/>
        <w:bidi w:val="0"/>
        <w:spacing w:after="0" w:afterLines="0" w:line="300" w:lineRule="auto"/>
        <w:jc w:val="both"/>
        <w:textAlignment w:val="auto"/>
        <w:rPr>
          <w:rFonts w:hint="eastAsia" w:ascii="宋体" w:hAnsi="宋体" w:eastAsia="宋体" w:cs="宋体"/>
          <w:color w:val="auto"/>
          <w:sz w:val="24"/>
          <w:szCs w:val="24"/>
        </w:rPr>
      </w:pPr>
      <w:bookmarkStart w:id="847" w:name="_Toc20171897"/>
      <w:bookmarkStart w:id="848" w:name="_Toc54862356"/>
      <w:r>
        <w:rPr>
          <w:rFonts w:hint="eastAsia" w:ascii="宋体" w:hAnsi="宋体" w:eastAsia="宋体" w:cs="宋体"/>
          <w:color w:val="auto"/>
          <w:sz w:val="24"/>
          <w:szCs w:val="24"/>
        </w:rPr>
        <w:t>附件5 承包人主要管理人员表</w:t>
      </w:r>
      <w:bookmarkEnd w:id="847"/>
      <w:bookmarkEnd w:id="848"/>
    </w:p>
    <w:tbl>
      <w:tblPr>
        <w:tblStyle w:val="4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p>
        </w:tc>
        <w:tc>
          <w:tcPr>
            <w:tcW w:w="1418"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134"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134"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3896" w:type="dxa"/>
            <w:tcBorders>
              <w:top w:val="single" w:color="auto" w:sz="12" w:space="0"/>
              <w:bottom w:val="double" w:color="auto" w:sz="6" w:space="0"/>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项目主管</w:t>
            </w:r>
          </w:p>
        </w:tc>
        <w:tc>
          <w:tcPr>
            <w:tcW w:w="1418" w:type="dxa"/>
            <w:tcBorders>
              <w:top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tcBorders>
              <w:top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tcBorders>
              <w:top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tcBorders>
              <w:top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工程总承包</w:t>
            </w:r>
          </w:p>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项目副经理</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设计负责人</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采购负责人</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施工负责人</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造价管理</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质量管理</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计划管理</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安全管理</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环境管理</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pStyle w:val="3"/>
              <w:pageBreakBefore w:val="0"/>
              <w:wordWrap/>
              <w:overflowPunct/>
              <w:topLinePunct w:val="0"/>
              <w:bidi w:val="0"/>
              <w:spacing w:after="0" w:afterLines="0" w:line="30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其他人员</w:t>
            </w: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418" w:type="dxa"/>
            <w:tcBorders>
              <w:bottom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tcBorders>
              <w:bottom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tcBorders>
              <w:bottom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tcBorders>
              <w:bottom w:val="nil"/>
            </w:tcBorders>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418"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1134"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c>
          <w:tcPr>
            <w:tcW w:w="3896" w:type="dxa"/>
            <w:noWrap w:val="0"/>
            <w:vAlign w:val="center"/>
          </w:tcPr>
          <w:p>
            <w:pPr>
              <w:pStyle w:val="3"/>
              <w:pageBreakBefore w:val="0"/>
              <w:wordWrap/>
              <w:overflowPunct/>
              <w:topLinePunct w:val="0"/>
              <w:bidi w:val="0"/>
              <w:spacing w:after="0" w:afterLines="0" w:line="300" w:lineRule="auto"/>
              <w:ind w:firstLine="420"/>
              <w:textAlignment w:val="auto"/>
              <w:rPr>
                <w:rFonts w:hint="eastAsia" w:ascii="宋体" w:hAnsi="宋体" w:eastAsia="宋体" w:cs="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418" w:type="dxa"/>
            <w:tcBorders>
              <w:bottom w:val="single" w:color="auto" w:sz="12"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tcBorders>
              <w:bottom w:val="single" w:color="auto" w:sz="12"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1134" w:type="dxa"/>
            <w:tcBorders>
              <w:bottom w:val="single" w:color="auto" w:sz="12"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c>
          <w:tcPr>
            <w:tcW w:w="3896" w:type="dxa"/>
            <w:tcBorders>
              <w:bottom w:val="single" w:color="auto" w:sz="12" w:space="0"/>
            </w:tcBorders>
            <w:noWrap w:val="0"/>
            <w:vAlign w:val="center"/>
          </w:tcPr>
          <w:p>
            <w:pPr>
              <w:pStyle w:val="3"/>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tc>
      </w:tr>
    </w:tbl>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384"/>
        <w:pageBreakBefore w:val="0"/>
        <w:numPr>
          <w:ilvl w:val="0"/>
          <w:numId w:val="0"/>
        </w:numPr>
        <w:overflowPunct/>
        <w:bidi w:val="0"/>
        <w:spacing w:after="0" w:afterLines="0" w:line="300" w:lineRule="auto"/>
        <w:textAlignment w:val="auto"/>
        <w:rPr>
          <w:rFonts w:hint="eastAsia" w:ascii="宋体" w:hAnsi="宋体" w:eastAsia="宋体" w:cs="宋体"/>
          <w:color w:val="auto"/>
          <w:sz w:val="24"/>
          <w:szCs w:val="24"/>
        </w:rPr>
      </w:pPr>
      <w:bookmarkStart w:id="849" w:name="_Toc54862357"/>
      <w:r>
        <w:rPr>
          <w:rFonts w:hint="eastAsia" w:ascii="宋体" w:hAnsi="宋体" w:eastAsia="宋体" w:cs="宋体"/>
          <w:color w:val="auto"/>
          <w:sz w:val="24"/>
          <w:szCs w:val="24"/>
        </w:rPr>
        <w:t>附件6 价格指数权重表</w:t>
      </w:r>
      <w:bookmarkEnd w:id="849"/>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643"/>
        <w:gridCol w:w="964"/>
        <w:gridCol w:w="1337"/>
        <w:gridCol w:w="1190"/>
        <w:gridCol w:w="1337"/>
        <w:gridCol w:w="1355"/>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2" w:type="dxa"/>
            <w:vMerge w:val="restart"/>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607" w:type="dxa"/>
            <w:gridSpan w:val="2"/>
            <w:vMerge w:val="restart"/>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2527" w:type="dxa"/>
            <w:gridSpan w:val="2"/>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变更权重B</w:t>
            </w:r>
          </w:p>
        </w:tc>
        <w:tc>
          <w:tcPr>
            <w:tcW w:w="2692" w:type="dxa"/>
            <w:gridSpan w:val="2"/>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基本价格指数F0</w:t>
            </w: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12" w:type="dxa"/>
            <w:vMerge w:val="continue"/>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607" w:type="dxa"/>
            <w:gridSpan w:val="2"/>
            <w:vMerge w:val="continue"/>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代号</w:t>
            </w:r>
          </w:p>
        </w:tc>
        <w:tc>
          <w:tcPr>
            <w:tcW w:w="1190"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w:t>
            </w: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代号</w:t>
            </w:r>
          </w:p>
        </w:tc>
        <w:tc>
          <w:tcPr>
            <w:tcW w:w="1355"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指数</w:t>
            </w: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2"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643" w:type="dxa"/>
            <w:vMerge w:val="restart"/>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变</w:t>
            </w:r>
          </w:p>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值</w:t>
            </w:r>
          </w:p>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部</w:t>
            </w:r>
          </w:p>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w:t>
            </w:r>
          </w:p>
        </w:tc>
        <w:tc>
          <w:tcPr>
            <w:tcW w:w="964"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B1</w:t>
            </w:r>
          </w:p>
        </w:tc>
        <w:tc>
          <w:tcPr>
            <w:tcW w:w="1190"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F01</w:t>
            </w:r>
          </w:p>
        </w:tc>
        <w:tc>
          <w:tcPr>
            <w:tcW w:w="1355"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2"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643" w:type="dxa"/>
            <w:vMerge w:val="continue"/>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964"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w:t>
            </w:r>
          </w:p>
        </w:tc>
        <w:tc>
          <w:tcPr>
            <w:tcW w:w="1190"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F02</w:t>
            </w:r>
          </w:p>
        </w:tc>
        <w:tc>
          <w:tcPr>
            <w:tcW w:w="1355"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2"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643" w:type="dxa"/>
            <w:vMerge w:val="continue"/>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964"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B3</w:t>
            </w:r>
          </w:p>
        </w:tc>
        <w:tc>
          <w:tcPr>
            <w:tcW w:w="1190"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F03</w:t>
            </w:r>
          </w:p>
        </w:tc>
        <w:tc>
          <w:tcPr>
            <w:tcW w:w="1355"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2"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643" w:type="dxa"/>
            <w:vMerge w:val="continue"/>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964"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B4</w:t>
            </w:r>
          </w:p>
        </w:tc>
        <w:tc>
          <w:tcPr>
            <w:tcW w:w="1190"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F04</w:t>
            </w:r>
          </w:p>
        </w:tc>
        <w:tc>
          <w:tcPr>
            <w:tcW w:w="1355"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2"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643" w:type="dxa"/>
            <w:vMerge w:val="continue"/>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964"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190"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55"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12"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643" w:type="dxa"/>
            <w:vMerge w:val="continue"/>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964"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190"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55"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519" w:type="dxa"/>
            <w:gridSpan w:val="3"/>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定值部分权重A</w:t>
            </w: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190"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37"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355"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519" w:type="dxa"/>
            <w:gridSpan w:val="3"/>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2527" w:type="dxa"/>
            <w:gridSpan w:val="2"/>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2692" w:type="dxa"/>
            <w:gridSpan w:val="2"/>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c>
          <w:tcPr>
            <w:tcW w:w="1519" w:type="dxa"/>
            <w:noWrap w:val="0"/>
            <w:vAlign w:val="top"/>
          </w:tcPr>
          <w:p>
            <w:pPr>
              <w:pageBreakBefore w:val="0"/>
              <w:wordWrap/>
              <w:overflowPunct/>
              <w:topLinePunct w:val="0"/>
              <w:bidi w:val="0"/>
              <w:spacing w:after="0" w:afterLines="0" w:line="300" w:lineRule="auto"/>
              <w:ind w:firstLine="0" w:firstLineChars="0"/>
              <w:textAlignment w:val="auto"/>
              <w:rPr>
                <w:rFonts w:hint="eastAsia" w:ascii="宋体" w:hAnsi="宋体" w:eastAsia="宋体" w:cs="宋体"/>
                <w:color w:val="auto"/>
                <w:sz w:val="24"/>
                <w:szCs w:val="24"/>
              </w:rPr>
            </w:pPr>
          </w:p>
        </w:tc>
      </w:tr>
    </w:tbl>
    <w:p>
      <w:pPr>
        <w:pageBreakBefore w:val="0"/>
        <w:wordWrap/>
        <w:overflowPunct/>
        <w:topLinePunct w:val="0"/>
        <w:bidi w:val="0"/>
        <w:spacing w:after="0" w:afterLines="0" w:line="300" w:lineRule="auto"/>
        <w:textAlignment w:val="auto"/>
        <w:rPr>
          <w:rFonts w:hint="eastAsia" w:ascii="宋体" w:hAnsi="宋体" w:eastAsia="宋体" w:cs="宋体"/>
          <w:color w:val="auto"/>
          <w:sz w:val="24"/>
          <w:szCs w:val="24"/>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bookmarkStart w:id="850" w:name="_Toc267261701"/>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附</w:t>
      </w:r>
      <w:bookmarkStart w:id="851" w:name="_Toc296891059"/>
      <w:bookmarkStart w:id="852" w:name="_Toc296944570"/>
      <w:bookmarkStart w:id="853" w:name="_Toc296347230"/>
      <w:bookmarkStart w:id="854" w:name="_Toc296891271"/>
      <w:bookmarkStart w:id="855" w:name="_Toc296503231"/>
      <w:bookmarkStart w:id="856" w:name="_Toc296346732"/>
      <w:r>
        <w:rPr>
          <w:rFonts w:hint="eastAsia" w:ascii="宋体" w:hAnsi="宋体" w:eastAsia="宋体" w:cs="宋体"/>
          <w:b/>
          <w:color w:val="auto"/>
          <w:kern w:val="0"/>
          <w:sz w:val="24"/>
          <w:szCs w:val="24"/>
          <w:lang w:val="en-US" w:eastAsia="zh-CN" w:bidi="ar-SA"/>
        </w:rPr>
        <w:t>件7：</w:t>
      </w:r>
    </w:p>
    <w:bookmarkEnd w:id="850"/>
    <w:bookmarkEnd w:id="851"/>
    <w:bookmarkEnd w:id="852"/>
    <w:bookmarkEnd w:id="853"/>
    <w:bookmarkEnd w:id="854"/>
    <w:bookmarkEnd w:id="855"/>
    <w:bookmarkEnd w:id="856"/>
    <w:p>
      <w:pPr>
        <w:keepNext w:val="0"/>
        <w:keepLines w:val="0"/>
        <w:pageBreakBefore w:val="0"/>
        <w:widowControl w:val="0"/>
        <w:kinsoku/>
        <w:wordWrap/>
        <w:overflowPunct/>
        <w:topLinePunct w:val="0"/>
        <w:autoSpaceDE/>
        <w:autoSpaceDN/>
        <w:bidi w:val="0"/>
        <w:adjustRightInd/>
        <w:snapToGrid w:val="0"/>
        <w:spacing w:before="156" w:beforeLines="50" w:after="156" w:afterLines="50" w:line="460" w:lineRule="atLeast"/>
        <w:ind w:firstLine="643" w:firstLineChars="200"/>
        <w:jc w:val="center"/>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履约担保</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rPr>
        <w:t>（发包人名称）：</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鉴于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（发包人名称，以下简称“发包人”）与</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（承包人名称）（以下称“承包人”）于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（工程名称）施工及有关事项协商一致共同签订《建设工程施工合同》。我方愿意无条件地、不可撤销地就承包人履行与你方签订的合同，向你方提供连带责任担保。 </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担保金额人民币（大写）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担保有效期自你方与承包人签订的合同生效之日起至你方签发或应签发工程接收证书之日止。</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在本担保有效期内，因承包人违反合同约定的义务给你方造成经济损失时，我方在收到你方以书面形式提出的在担保金额内的赔偿要求后，在7天内无条件支付。</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你方和承包人按合同约定变更合同时，我方承担本担保规定的义务不变。</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因本保函发生的纠纷，可由双方协商解决，协商不成的，任何一方均可提请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仲裁委员会仲裁。</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 保 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（盖单位章）</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    真：</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left="1899" w:hanging="1519" w:hangingChars="633"/>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日    期：</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widowControl/>
        <w:wordWrap w:val="0"/>
        <w:topLinePunct/>
        <w:adjustRightInd w:val="0"/>
        <w:snapToGrid w:val="0"/>
        <w:spacing w:after="120" w:afterLines="50" w:line="360" w:lineRule="auto"/>
        <w:ind w:firstLine="482" w:firstLineChars="200"/>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br w:type="page"/>
      </w:r>
    </w:p>
    <w:p>
      <w:pPr>
        <w:widowControl/>
        <w:wordWrap w:val="0"/>
        <w:topLinePunct/>
        <w:adjustRightInd w:val="0"/>
        <w:snapToGrid w:val="0"/>
        <w:spacing w:after="120" w:afterLines="50" w:line="440" w:lineRule="exact"/>
        <w:ind w:firstLine="482" w:firstLineChars="200"/>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附</w:t>
      </w:r>
      <w:bookmarkStart w:id="857" w:name="_Toc296891060"/>
      <w:bookmarkStart w:id="858" w:name="_Toc296944571"/>
      <w:bookmarkStart w:id="859" w:name="_Toc296891272"/>
      <w:bookmarkStart w:id="860" w:name="_Toc296503232"/>
      <w:bookmarkStart w:id="861" w:name="_Toc296346733"/>
      <w:bookmarkStart w:id="862" w:name="_Toc267261702"/>
      <w:bookmarkStart w:id="863" w:name="_Toc296347231"/>
      <w:r>
        <w:rPr>
          <w:rFonts w:hint="eastAsia" w:ascii="宋体" w:hAnsi="宋体" w:eastAsia="宋体" w:cs="宋体"/>
          <w:b/>
          <w:color w:val="auto"/>
          <w:kern w:val="0"/>
          <w:sz w:val="24"/>
          <w:szCs w:val="24"/>
          <w:lang w:val="en-US" w:eastAsia="zh-CN" w:bidi="ar-SA"/>
        </w:rPr>
        <w:t>件8 ：</w:t>
      </w:r>
    </w:p>
    <w:bookmarkEnd w:id="857"/>
    <w:bookmarkEnd w:id="858"/>
    <w:bookmarkEnd w:id="859"/>
    <w:bookmarkEnd w:id="860"/>
    <w:bookmarkEnd w:id="861"/>
    <w:bookmarkEnd w:id="862"/>
    <w:bookmarkEnd w:id="863"/>
    <w:p>
      <w:pPr>
        <w:keepNext w:val="0"/>
        <w:keepLines w:val="0"/>
        <w:pageBreakBefore w:val="0"/>
        <w:widowControl w:val="0"/>
        <w:kinsoku/>
        <w:wordWrap/>
        <w:overflowPunct/>
        <w:topLinePunct w:val="0"/>
        <w:autoSpaceDE/>
        <w:autoSpaceDN/>
        <w:bidi w:val="0"/>
        <w:adjustRightInd/>
        <w:snapToGrid w:val="0"/>
        <w:spacing w:before="156" w:beforeLines="50" w:after="156" w:afterLines="50" w:line="460" w:lineRule="atLeast"/>
        <w:ind w:firstLine="643" w:firstLineChars="200"/>
        <w:jc w:val="center"/>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预付款担保</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（发包人名称）：</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（承包人名称）（以下称“承包人”）与</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outlineLvl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bookmarkStart w:id="864" w:name="_Toc22969"/>
      <w:bookmarkStart w:id="865" w:name="_Toc3557"/>
      <w:bookmarkStart w:id="866" w:name="_Toc16793"/>
      <w:bookmarkStart w:id="867" w:name="_Toc18390"/>
      <w:r>
        <w:rPr>
          <w:rFonts w:hint="eastAsia" w:ascii="宋体" w:hAnsi="宋体" w:eastAsia="宋体" w:cs="宋体"/>
          <w:color w:val="auto"/>
          <w:kern w:val="0"/>
          <w:sz w:val="24"/>
          <w:szCs w:val="24"/>
          <w:highlight w:val="none"/>
        </w:rPr>
        <w:t>（发包人名称）（以下简称“发包人”）</w:t>
      </w:r>
      <w:bookmarkEnd w:id="864"/>
      <w:bookmarkEnd w:id="865"/>
      <w:bookmarkEnd w:id="866"/>
      <w:bookmarkEnd w:id="867"/>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日签订的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担保金额人民币（大写）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担保有效期自预付款支付给承包人起生效，至你方签发的进度款支付证书说明已完全扣清止。</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你方和承包人按合同约定变更合同时，我方承担本保函规定的义务不变。</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因本保函发生的纠纷，可由双方协商解决，协商不成的，任何一方均可提请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仲裁委员会仲裁。</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 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担保人：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（盖单位章）</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邮政编码：</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传    真：</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ab/>
      </w:r>
    </w:p>
    <w:p>
      <w:pPr>
        <w:keepNext w:val="0"/>
        <w:keepLines w:val="0"/>
        <w:pageBreakBefore w:val="0"/>
        <w:widowControl w:val="0"/>
        <w:kinsoku/>
        <w:wordWrap/>
        <w:overflowPunct/>
        <w:topLinePunct w:val="0"/>
        <w:autoSpaceDE/>
        <w:autoSpaceDN/>
        <w:bidi w:val="0"/>
        <w:adjustRightInd/>
        <w:snapToGrid w:val="0"/>
        <w:spacing w:after="120" w:afterLines="50" w:line="336"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widowControl/>
        <w:wordWrap w:val="0"/>
        <w:topLinePunct/>
        <w:adjustRightInd w:val="0"/>
        <w:snapToGrid w:val="0"/>
        <w:spacing w:after="120" w:afterLines="50" w:line="44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lang w:val="en-US" w:eastAsia="zh-CN" w:bidi="ar-SA"/>
        </w:rPr>
        <w:t xml:space="preserve">附件9:  </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460" w:lineRule="atLeast"/>
        <w:ind w:firstLine="643" w:firstLineChars="200"/>
        <w:jc w:val="center"/>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支付担保</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（承包人）：</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鉴于你方作为承包人已经与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（发包人名称）（以下称“发包人”）于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日签订了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（工程名称）《建设工程施工合同》（以下称“主合同”），应发包人的申请，我方愿就发包人履行主合同约定的工程款支付义务以保证的方式向你方提供如下担保：</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outlineLvl w:val="0"/>
        <w:rPr>
          <w:rFonts w:hint="eastAsia" w:ascii="宋体" w:hAnsi="宋体" w:eastAsia="宋体" w:cs="宋体"/>
          <w:color w:val="auto"/>
          <w:kern w:val="0"/>
          <w:sz w:val="24"/>
          <w:szCs w:val="24"/>
          <w:highlight w:val="none"/>
        </w:rPr>
      </w:pPr>
      <w:bookmarkStart w:id="868" w:name="_Toc32284"/>
      <w:bookmarkStart w:id="869" w:name="_Toc29936"/>
      <w:bookmarkStart w:id="870" w:name="_Toc32183"/>
      <w:bookmarkStart w:id="871" w:name="_Toc11389"/>
      <w:r>
        <w:rPr>
          <w:rFonts w:hint="eastAsia" w:ascii="宋体" w:hAnsi="宋体" w:eastAsia="宋体" w:cs="宋体"/>
          <w:color w:val="auto"/>
          <w:kern w:val="0"/>
          <w:sz w:val="24"/>
          <w:szCs w:val="24"/>
          <w:highlight w:val="none"/>
        </w:rPr>
        <w:t>一、保证的范围及保证金额</w:t>
      </w:r>
      <w:bookmarkEnd w:id="868"/>
      <w:bookmarkEnd w:id="869"/>
      <w:bookmarkEnd w:id="870"/>
      <w:bookmarkEnd w:id="871"/>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我方的保证范围是主合同约定的工程款。</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本保函所称主合同约定的工程款是指主合同约定的除工程质量保证金以外的合同价款。</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我方保证的金额是主合同约定的工程款的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%，数额最高不超过人民币元（大写：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outlineLvl w:val="0"/>
        <w:rPr>
          <w:rFonts w:hint="eastAsia" w:ascii="宋体" w:hAnsi="宋体" w:eastAsia="宋体" w:cs="宋体"/>
          <w:color w:val="auto"/>
          <w:kern w:val="0"/>
          <w:sz w:val="24"/>
          <w:szCs w:val="24"/>
          <w:highlight w:val="none"/>
        </w:rPr>
      </w:pPr>
      <w:bookmarkStart w:id="872" w:name="_Toc5455"/>
      <w:bookmarkStart w:id="873" w:name="_Toc7225"/>
      <w:bookmarkStart w:id="874" w:name="_Toc22194"/>
      <w:bookmarkStart w:id="875" w:name="_Toc27616"/>
      <w:r>
        <w:rPr>
          <w:rFonts w:hint="eastAsia" w:ascii="宋体" w:hAnsi="宋体" w:eastAsia="宋体" w:cs="宋体"/>
          <w:color w:val="auto"/>
          <w:kern w:val="0"/>
          <w:sz w:val="24"/>
          <w:szCs w:val="24"/>
          <w:highlight w:val="none"/>
        </w:rPr>
        <w:t>二、保证的方式及保证期间</w:t>
      </w:r>
      <w:bookmarkEnd w:id="872"/>
      <w:bookmarkEnd w:id="873"/>
      <w:bookmarkEnd w:id="874"/>
      <w:bookmarkEnd w:id="875"/>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我方保证的方式为：连带责任保证。</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我方保证的期间为：自本合同生效之日起至主合同约定的工程款支付完毕之日后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日内。</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你方与发包人协议变更工程款支付日期的，经我方书面同意后，保证期间按照变更后的支付日期做相应调整。</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outlineLvl w:val="0"/>
        <w:rPr>
          <w:rFonts w:hint="eastAsia" w:ascii="宋体" w:hAnsi="宋体" w:eastAsia="宋体" w:cs="宋体"/>
          <w:color w:val="auto"/>
          <w:kern w:val="0"/>
          <w:sz w:val="24"/>
          <w:szCs w:val="24"/>
          <w:highlight w:val="none"/>
        </w:rPr>
      </w:pPr>
      <w:bookmarkStart w:id="876" w:name="_Toc8974"/>
      <w:bookmarkStart w:id="877" w:name="_Toc8695"/>
      <w:bookmarkStart w:id="878" w:name="_Toc19458"/>
      <w:bookmarkStart w:id="879" w:name="_Toc12583"/>
      <w:r>
        <w:rPr>
          <w:rFonts w:hint="eastAsia" w:ascii="宋体" w:hAnsi="宋体" w:eastAsia="宋体" w:cs="宋体"/>
          <w:color w:val="auto"/>
          <w:kern w:val="0"/>
          <w:sz w:val="24"/>
          <w:szCs w:val="24"/>
          <w:highlight w:val="none"/>
        </w:rPr>
        <w:t>三、承担保证责任的形式</w:t>
      </w:r>
      <w:bookmarkEnd w:id="876"/>
      <w:bookmarkEnd w:id="877"/>
      <w:bookmarkEnd w:id="878"/>
      <w:bookmarkEnd w:id="879"/>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我方承担保证责任的形式是代为支付。发包人未按主合同约定向你方支付工程款的，由我方在保证金额内代为支付。</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outlineLvl w:val="0"/>
        <w:rPr>
          <w:rFonts w:hint="eastAsia" w:ascii="宋体" w:hAnsi="宋体" w:eastAsia="宋体" w:cs="宋体"/>
          <w:color w:val="auto"/>
          <w:kern w:val="0"/>
          <w:sz w:val="24"/>
          <w:szCs w:val="24"/>
          <w:highlight w:val="none"/>
        </w:rPr>
      </w:pPr>
      <w:bookmarkStart w:id="880" w:name="_Toc12746"/>
      <w:bookmarkStart w:id="881" w:name="_Toc20255"/>
      <w:bookmarkStart w:id="882" w:name="_Toc7803"/>
      <w:bookmarkStart w:id="883" w:name="_Toc4526"/>
      <w:r>
        <w:rPr>
          <w:rFonts w:hint="eastAsia" w:ascii="宋体" w:hAnsi="宋体" w:eastAsia="宋体" w:cs="宋体"/>
          <w:color w:val="auto"/>
          <w:kern w:val="0"/>
          <w:sz w:val="24"/>
          <w:szCs w:val="24"/>
          <w:highlight w:val="none"/>
        </w:rPr>
        <w:t>四、代偿的安排</w:t>
      </w:r>
      <w:bookmarkEnd w:id="880"/>
      <w:bookmarkEnd w:id="881"/>
      <w:bookmarkEnd w:id="882"/>
      <w:bookmarkEnd w:id="883"/>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你方要求我方承担保证责任的，应向我方发出书面索赔通知及发包人未支付主合同约定工程款的证明材料。索赔通知应写明要求索赔的金额，支付款项应到达的账号。</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我方收到你方的书面索赔通知及相应的证明材料后７天内无条件支付。</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outlineLvl w:val="0"/>
        <w:rPr>
          <w:rFonts w:hint="eastAsia" w:ascii="宋体" w:hAnsi="宋体" w:eastAsia="宋体" w:cs="宋体"/>
          <w:color w:val="auto"/>
          <w:kern w:val="0"/>
          <w:sz w:val="24"/>
          <w:szCs w:val="24"/>
          <w:highlight w:val="none"/>
        </w:rPr>
      </w:pPr>
      <w:bookmarkStart w:id="884" w:name="_Toc8205"/>
      <w:bookmarkStart w:id="885" w:name="_Toc4482"/>
      <w:bookmarkStart w:id="886" w:name="_Toc7436"/>
      <w:bookmarkStart w:id="887" w:name="_Toc4684"/>
      <w:bookmarkStart w:id="888" w:name="_Toc8746"/>
      <w:r>
        <w:rPr>
          <w:rFonts w:hint="eastAsia" w:ascii="宋体" w:hAnsi="宋体" w:eastAsia="宋体" w:cs="宋体"/>
          <w:color w:val="auto"/>
          <w:kern w:val="0"/>
          <w:sz w:val="24"/>
          <w:szCs w:val="24"/>
          <w:highlight w:val="none"/>
        </w:rPr>
        <w:t>五、保证责任的解除</w:t>
      </w:r>
      <w:bookmarkEnd w:id="884"/>
      <w:bookmarkEnd w:id="885"/>
      <w:bookmarkEnd w:id="886"/>
      <w:bookmarkEnd w:id="887"/>
      <w:bookmarkEnd w:id="888"/>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在本保函承诺的保证期间内，你方未书面向我方主张保证责任的，自保证期间届满次日起，我方保证责任解除。</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发包人按主合同约定履行了工程款的全部支付义务的，自本保函承诺的保证期间届满次日起，我方保证责任解除。</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我方按照本保函向你方履行保证责任所支付金额达到本保函保证金额时，自我方向你方支付（支付款项从我方账户划出）之日起，保证责任即解除。</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按照法律法规的规定或出现应解除我方保证责任的其他情形的，我方在本保函项下的保证责任亦解除。</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 我方解除保证责任后，你方应自我方保证责任解除之日起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个工作日内，将本保函原件返还我方。</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outlineLvl w:val="0"/>
        <w:rPr>
          <w:rFonts w:hint="eastAsia" w:ascii="宋体" w:hAnsi="宋体" w:eastAsia="宋体" w:cs="宋体"/>
          <w:color w:val="auto"/>
          <w:kern w:val="0"/>
          <w:sz w:val="24"/>
          <w:szCs w:val="24"/>
          <w:highlight w:val="none"/>
        </w:rPr>
      </w:pPr>
      <w:bookmarkStart w:id="889" w:name="_Toc18792"/>
      <w:bookmarkStart w:id="890" w:name="_Toc10594"/>
      <w:bookmarkStart w:id="891" w:name="_Toc21047"/>
      <w:bookmarkStart w:id="892" w:name="_Toc22087"/>
      <w:r>
        <w:rPr>
          <w:rFonts w:hint="eastAsia" w:ascii="宋体" w:hAnsi="宋体" w:eastAsia="宋体" w:cs="宋体"/>
          <w:color w:val="auto"/>
          <w:kern w:val="0"/>
          <w:sz w:val="24"/>
          <w:szCs w:val="24"/>
          <w:highlight w:val="none"/>
        </w:rPr>
        <w:t>六、免责条款</w:t>
      </w:r>
      <w:bookmarkEnd w:id="889"/>
      <w:bookmarkEnd w:id="890"/>
      <w:bookmarkEnd w:id="891"/>
      <w:bookmarkEnd w:id="892"/>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因你方违约致使发包人不能履行义务的，我方不承担保证责任。</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依照法律法规的规定或你方与发包人的另行约定，免除发包人部分或全部义务的，我方亦免除其相应的保证责任。</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 因不可抗力造成发包人不能履行义务的，我方不承担保证责任。</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outlineLvl w:val="0"/>
        <w:rPr>
          <w:rFonts w:hint="eastAsia" w:ascii="宋体" w:hAnsi="宋体" w:eastAsia="宋体" w:cs="宋体"/>
          <w:color w:val="auto"/>
          <w:kern w:val="0"/>
          <w:sz w:val="24"/>
          <w:szCs w:val="24"/>
          <w:highlight w:val="none"/>
        </w:rPr>
      </w:pPr>
      <w:bookmarkStart w:id="893" w:name="_Toc5139"/>
      <w:bookmarkStart w:id="894" w:name="_Toc16446"/>
      <w:bookmarkStart w:id="895" w:name="_Toc26537"/>
      <w:bookmarkStart w:id="896" w:name="_Toc14391"/>
      <w:r>
        <w:rPr>
          <w:rFonts w:hint="eastAsia" w:ascii="宋体" w:hAnsi="宋体" w:eastAsia="宋体" w:cs="宋体"/>
          <w:color w:val="auto"/>
          <w:kern w:val="0"/>
          <w:sz w:val="24"/>
          <w:szCs w:val="24"/>
          <w:highlight w:val="none"/>
        </w:rPr>
        <w:t>七、争议解决</w:t>
      </w:r>
      <w:bookmarkEnd w:id="893"/>
      <w:bookmarkEnd w:id="894"/>
      <w:bookmarkEnd w:id="895"/>
      <w:bookmarkEnd w:id="896"/>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因本保函或本保函相关事项发生的纠纷，可由双方协商解决，协商不成的，按下列第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种方式解决：</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仲裁委员会申请仲裁；</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人民法院起诉。</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outlineLvl w:val="0"/>
        <w:rPr>
          <w:rFonts w:hint="eastAsia" w:ascii="宋体" w:hAnsi="宋体" w:eastAsia="宋体" w:cs="宋体"/>
          <w:color w:val="auto"/>
          <w:kern w:val="0"/>
          <w:sz w:val="24"/>
          <w:szCs w:val="24"/>
          <w:highlight w:val="none"/>
        </w:rPr>
      </w:pPr>
      <w:bookmarkStart w:id="897" w:name="_Toc28071"/>
      <w:bookmarkStart w:id="898" w:name="_Toc20263"/>
      <w:bookmarkStart w:id="899" w:name="_Toc6102"/>
      <w:bookmarkStart w:id="900" w:name="_Toc19385"/>
      <w:r>
        <w:rPr>
          <w:rFonts w:hint="eastAsia" w:ascii="宋体" w:hAnsi="宋体" w:eastAsia="宋体" w:cs="宋体"/>
          <w:color w:val="auto"/>
          <w:kern w:val="0"/>
          <w:sz w:val="24"/>
          <w:szCs w:val="24"/>
          <w:highlight w:val="none"/>
        </w:rPr>
        <w:t>八、保函的生效</w:t>
      </w:r>
      <w:bookmarkEnd w:id="897"/>
      <w:bookmarkEnd w:id="898"/>
      <w:bookmarkEnd w:id="899"/>
      <w:bookmarkEnd w:id="900"/>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本保函自我方法定代表人（或其授权代理人）签字并加盖公章之日起生效。</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right="600"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right="60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担保人：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（盖章）</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right="120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    真：</w:t>
      </w:r>
      <w:r>
        <w:rPr>
          <w:rFonts w:hint="eastAsia" w:ascii="宋体" w:hAnsi="宋体" w:eastAsia="宋体" w:cs="宋体"/>
          <w:color w:val="auto"/>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right="150" w:firstLine="480" w:firstLineChars="200"/>
        <w:jc w:val="left"/>
        <w:textAlignment w:val="auto"/>
        <w:rPr>
          <w:rFonts w:hint="eastAsia" w:ascii="宋体" w:hAnsi="宋体" w:eastAsia="宋体" w:cs="宋体"/>
          <w:color w:val="auto"/>
          <w:kern w:val="0"/>
          <w:sz w:val="24"/>
          <w:szCs w:val="24"/>
          <w:highlight w:val="none"/>
          <w:u w:val="single"/>
        </w:rPr>
      </w:pPr>
    </w:p>
    <w:p>
      <w:pPr>
        <w:keepNext w:val="0"/>
        <w:keepLines w:val="0"/>
        <w:pageBreakBefore w:val="0"/>
        <w:widowControl w:val="0"/>
        <w:kinsoku/>
        <w:wordWrap/>
        <w:overflowPunct/>
        <w:topLinePunct w:val="0"/>
        <w:autoSpaceDE/>
        <w:autoSpaceDN/>
        <w:bidi w:val="0"/>
        <w:adjustRightInd/>
        <w:snapToGrid w:val="0"/>
        <w:spacing w:after="120" w:afterLines="50" w:line="460" w:lineRule="atLeast"/>
        <w:ind w:right="150" w:firstLine="480" w:firstLineChars="200"/>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pPr>
        <w:widowControl/>
        <w:wordWrap w:val="0"/>
        <w:topLinePunct/>
        <w:adjustRightInd w:val="0"/>
        <w:snapToGrid w:val="0"/>
        <w:spacing w:before="156" w:beforeLines="50" w:after="156" w:afterLines="50" w:line="440" w:lineRule="exact"/>
        <w:ind w:firstLine="480" w:firstLineChars="200"/>
        <w:jc w:val="center"/>
        <w:outlineLvl w:val="0"/>
        <w:rPr>
          <w:rFonts w:hint="eastAsia" w:ascii="宋体" w:hAnsi="宋体" w:eastAsia="宋体" w:cs="宋体"/>
          <w:color w:val="auto"/>
          <w:kern w:val="0"/>
          <w:sz w:val="24"/>
          <w:szCs w:val="24"/>
          <w:highlight w:val="none"/>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center"/>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center"/>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附件10 材料暂估价表</w:t>
      </w:r>
    </w:p>
    <w:tbl>
      <w:tblPr>
        <w:tblStyle w:val="49"/>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3" w:hRule="atLeast"/>
          <w:jc w:val="center"/>
        </w:trPr>
        <w:tc>
          <w:tcPr>
            <w:tcW w:w="993" w:type="dxa"/>
            <w:tcBorders>
              <w:top w:val="single" w:color="auto" w:sz="12" w:space="0"/>
              <w:bottom w:val="double" w:color="auto" w:sz="6" w:space="0"/>
            </w:tcBorders>
            <w:noWrap w:val="0"/>
            <w:vAlign w:val="top"/>
          </w:tcPr>
          <w:p>
            <w:pPr>
              <w:bidi w:val="0"/>
              <w:rPr>
                <w:rFonts w:hint="eastAsia" w:ascii="宋体" w:hAnsi="宋体" w:eastAsia="宋体" w:cs="宋体"/>
                <w:color w:val="auto"/>
                <w:lang w:val="en-US" w:eastAsia="zh-CN"/>
              </w:rPr>
            </w:pPr>
            <w:bookmarkStart w:id="901" w:name="_Toc31391"/>
            <w:bookmarkStart w:id="902" w:name="_Toc19218"/>
            <w:bookmarkStart w:id="903" w:name="_Toc20185"/>
            <w:bookmarkStart w:id="904" w:name="_Toc31655"/>
            <w:r>
              <w:rPr>
                <w:rFonts w:hint="eastAsia" w:ascii="宋体" w:hAnsi="宋体" w:eastAsia="宋体" w:cs="宋体"/>
                <w:color w:val="auto"/>
                <w:lang w:val="en-US" w:eastAsia="zh-CN"/>
              </w:rPr>
              <w:t>序号</w:t>
            </w:r>
          </w:p>
        </w:tc>
        <w:tc>
          <w:tcPr>
            <w:tcW w:w="1984" w:type="dxa"/>
            <w:tcBorders>
              <w:top w:val="single" w:color="auto" w:sz="12" w:space="0"/>
              <w:bottom w:val="double" w:color="auto" w:sz="6" w:space="0"/>
            </w:tcBorders>
            <w:noWrap w:val="0"/>
            <w:vAlign w:val="top"/>
          </w:tcPr>
          <w:p>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名称</w:t>
            </w:r>
          </w:p>
        </w:tc>
        <w:tc>
          <w:tcPr>
            <w:tcW w:w="851" w:type="dxa"/>
            <w:tcBorders>
              <w:top w:val="single" w:color="auto" w:sz="12" w:space="0"/>
              <w:bottom w:val="double" w:color="auto" w:sz="6" w:space="0"/>
            </w:tcBorders>
            <w:noWrap w:val="0"/>
            <w:vAlign w:val="top"/>
          </w:tcPr>
          <w:p>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单位</w:t>
            </w:r>
          </w:p>
        </w:tc>
        <w:tc>
          <w:tcPr>
            <w:tcW w:w="774" w:type="dxa"/>
            <w:tcBorders>
              <w:top w:val="single" w:color="auto" w:sz="12" w:space="0"/>
              <w:bottom w:val="double" w:color="auto" w:sz="6" w:space="0"/>
            </w:tcBorders>
            <w:noWrap w:val="0"/>
            <w:vAlign w:val="top"/>
          </w:tcPr>
          <w:p>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数量</w:t>
            </w:r>
          </w:p>
        </w:tc>
        <w:tc>
          <w:tcPr>
            <w:tcW w:w="1352" w:type="dxa"/>
            <w:tcBorders>
              <w:top w:val="single" w:color="auto" w:sz="12" w:space="0"/>
              <w:bottom w:val="double" w:color="auto" w:sz="6" w:space="0"/>
            </w:tcBorders>
            <w:noWrap w:val="0"/>
            <w:vAlign w:val="top"/>
          </w:tcPr>
          <w:p>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单价（元）</w:t>
            </w:r>
          </w:p>
        </w:tc>
        <w:tc>
          <w:tcPr>
            <w:tcW w:w="1418" w:type="dxa"/>
            <w:tcBorders>
              <w:top w:val="single" w:color="auto" w:sz="12" w:space="0"/>
              <w:bottom w:val="double" w:color="auto" w:sz="6" w:space="0"/>
            </w:tcBorders>
            <w:noWrap w:val="0"/>
            <w:vAlign w:val="top"/>
          </w:tcPr>
          <w:p>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合价（元）</w:t>
            </w:r>
          </w:p>
        </w:tc>
        <w:tc>
          <w:tcPr>
            <w:tcW w:w="1701" w:type="dxa"/>
            <w:tcBorders>
              <w:top w:val="single" w:color="auto" w:sz="12" w:space="0"/>
              <w:bottom w:val="double" w:color="auto" w:sz="6" w:space="0"/>
            </w:tcBorders>
            <w:noWrap w:val="0"/>
            <w:vAlign w:val="top"/>
          </w:tcPr>
          <w:p>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tcBorders>
              <w:top w:val="double" w:color="auto" w:sz="6" w:space="0"/>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tcBorders>
              <w:top w:val="double" w:color="auto" w:sz="6" w:space="0"/>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tcBorders>
              <w:top w:val="double" w:color="auto" w:sz="6" w:space="0"/>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tcBorders>
              <w:top w:val="double" w:color="auto" w:sz="6" w:space="0"/>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tcBorders>
              <w:top w:val="double" w:color="auto" w:sz="6" w:space="0"/>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tcBorders>
              <w:top w:val="double" w:color="auto" w:sz="6" w:space="0"/>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tcBorders>
              <w:top w:val="nil"/>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tcBorders>
              <w:top w:val="nil"/>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tcBorders>
              <w:top w:val="nil"/>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tcBorders>
              <w:top w:val="nil"/>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tcBorders>
              <w:top w:val="nil"/>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tcBorders>
              <w:top w:val="nil"/>
            </w:tcBorders>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98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85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774"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352"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418"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c>
          <w:tcPr>
            <w:tcW w:w="1701" w:type="dxa"/>
            <w:noWrap w:val="0"/>
            <w:vAlign w:val="top"/>
          </w:tcPr>
          <w:p>
            <w:pPr>
              <w:keepNext/>
              <w:wordWrap w:val="0"/>
              <w:topLinePunct/>
              <w:adjustRightInd w:val="0"/>
              <w:snapToGrid w:val="0"/>
              <w:spacing w:after="120" w:afterLines="50" w:line="440" w:lineRule="exact"/>
              <w:ind w:left="63" w:right="63" w:firstLine="480" w:firstLineChars="200"/>
              <w:jc w:val="both"/>
              <w:rPr>
                <w:rFonts w:hint="eastAsia" w:ascii="宋体" w:hAnsi="宋体" w:eastAsia="宋体" w:cs="宋体"/>
                <w:color w:val="auto"/>
                <w:sz w:val="24"/>
                <w:szCs w:val="24"/>
                <w:highlight w:val="none"/>
                <w:lang w:val="en-US" w:eastAsia="zh-CN" w:bidi="ar-SA"/>
              </w:rPr>
            </w:pPr>
          </w:p>
        </w:tc>
      </w:tr>
    </w:tbl>
    <w:p>
      <w:pPr>
        <w:pStyle w:val="5"/>
        <w:spacing w:line="360" w:lineRule="auto"/>
        <w:jc w:val="center"/>
        <w:rPr>
          <w:rFonts w:hint="eastAsia" w:ascii="宋体" w:hAnsi="宋体" w:eastAsia="宋体" w:cs="宋体"/>
          <w:color w:val="auto"/>
          <w:sz w:val="24"/>
          <w:szCs w:val="24"/>
          <w:highlight w:val="none"/>
        </w:rPr>
      </w:pPr>
    </w:p>
    <w:p>
      <w:pPr>
        <w:pStyle w:val="5"/>
        <w:spacing w:line="360" w:lineRule="auto"/>
        <w:jc w:val="center"/>
        <w:rPr>
          <w:rFonts w:hint="eastAsia" w:ascii="宋体" w:hAnsi="宋体" w:eastAsia="宋体" w:cs="宋体"/>
          <w:color w:val="auto"/>
          <w:sz w:val="24"/>
          <w:szCs w:val="24"/>
          <w:highlight w:val="none"/>
        </w:rPr>
      </w:pPr>
    </w:p>
    <w:p>
      <w:pPr>
        <w:pStyle w:val="5"/>
        <w:spacing w:line="360" w:lineRule="auto"/>
        <w:jc w:val="center"/>
        <w:rPr>
          <w:rFonts w:hint="eastAsia" w:ascii="宋体" w:hAnsi="宋体" w:eastAsia="宋体" w:cs="宋体"/>
          <w:color w:val="auto"/>
          <w:sz w:val="24"/>
          <w:szCs w:val="24"/>
          <w:highlight w:val="none"/>
        </w:rPr>
      </w:pPr>
    </w:p>
    <w:p>
      <w:pPr>
        <w:pStyle w:val="5"/>
        <w:spacing w:line="360" w:lineRule="auto"/>
        <w:jc w:val="cente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rPr>
      </w:pPr>
    </w:p>
    <w:p>
      <w:pPr>
        <w:keepNext w:val="0"/>
        <w:keepLines w:val="0"/>
        <w:pageBreakBefore w:val="0"/>
        <w:widowControl/>
        <w:kinsoku/>
        <w:wordWrap w:val="0"/>
        <w:overflowPunct/>
        <w:topLinePunct/>
        <w:autoSpaceDE/>
        <w:autoSpaceDN/>
        <w:bidi w:val="0"/>
        <w:adjustRightInd w:val="0"/>
        <w:snapToGrid w:val="0"/>
        <w:spacing w:before="156" w:beforeLines="50" w:after="156" w:afterLines="50" w:line="440" w:lineRule="exact"/>
        <w:ind w:firstLine="0" w:firstLineChars="0"/>
        <w:jc w:val="both"/>
        <w:textAlignment w:val="auto"/>
        <w:outlineLvl w:val="0"/>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附件11</w:t>
      </w:r>
    </w:p>
    <w:p>
      <w:pPr>
        <w:pStyle w:val="5"/>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廉 政 合 同</w:t>
      </w:r>
      <w:bookmarkEnd w:id="901"/>
      <w:bookmarkEnd w:id="902"/>
      <w:bookmarkEnd w:id="903"/>
      <w:bookmarkEnd w:id="904"/>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发包人:（全称）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承包人:（全称） </w:t>
      </w:r>
    </w:p>
    <w:p>
      <w:pPr>
        <w:keepNext w:val="0"/>
        <w:keepLines w:val="0"/>
        <w:pageBreakBefore w:val="0"/>
        <w:kinsoku/>
        <w:wordWrap/>
        <w:overflowPunct/>
        <w:topLinePunct w:val="0"/>
        <w:autoSpaceDE/>
        <w:autoSpaceDN/>
        <w:bidi w:val="0"/>
        <w:adjustRightInd/>
        <w:snapToGrid w:val="0"/>
        <w:spacing w:line="4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根据国家、省有关廉政建设的规定，为做好合同工程的廉政建设，保证工程质量与施工安全，提高建设资金的有效使用和投资效益，合同双方当事人就加强合同工程的廉政建设，订立本合同。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双方权利和义务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  严格遵守国家、省有关法律法规的规定。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严格执行合同工程一切合同文件，自觉按合同办事。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  合同双方当事人的业务活动应坚持公平、公开、公正和诚信的原则（法律认定的商业秘密和合同文件另有规定除外），不得损害国家和集体利益，不得违反工程建设管理规章制度。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  建立健全廉政制度，开展廉政教育，设立廉政告示牌，公布举报电话，监督并认真查处违法违纪行为。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  发现对方在业务活动中有违反廉政建设规定的行为，应及时给予提醒和纠正。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发现对方严重违反合同的行为，有向其上级部门举报、建议给予处理并要求告知处理结果的权利。没有上级部门的，可按本合同第二部分《通用条款》第87条规定处理。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发包人义务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  发包人及其工作人员不得索取或接受承包人的礼金、有价证券和贵重物品，不得在承包人报销任何应由发包人或其工作人员个人支付的费用。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  发包人及其工作人员不得参加承包人安排的宴请（工作餐除外）和娱乐活动，不得接受承包人提供的通讯、交通工具和高档办公用品等物品。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发包人及其工作人员不得要求或者接受承包人为其住房装修、婚丧嫁娶活动、配偶子女工作安排以及出国出境、旅游等提供方便。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  发包人及其工作人员不得以任何理由向承包人推荐分包人、推销材料和工程设备，不得要求承包人购买合同以外的材料和工程设备。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  发包人及其工作人员要秉公办事，不准营私舞弊，不准利用职权私自为合同工程安排施工队伍，也不得从事与合同工程有关的各种有偿中介活动。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2.6  发包人及其工作人员（含其配偶、子女）不得从事与合同工程有关的材料和工程设备供应、工程分包、劳务等经济活动。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承包人义务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承包人不得以任何理由向发包人及其工作人员行贿或馈赠礼金、有价证券、贵重礼品。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承包人不得以任何名义为发包人及其工作人员报销应由发包人或其工作人员个人支付的任何费用。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  承包人不得以任何理由安排发包人及其工作人员参加宴请（工作餐除外）及娱乐活动。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承包人不得为发包人和个人购置或提供通讯、交通工具和高档办公用品等物品。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3.5  承包人不得为发包人及其工作人员的住房装修、婚丧嫁娶活动、配偶子女工作安排以及出国出境、旅游等提供方便。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违约责任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发包人及其工作人员违反本合同第 1条和第 2条规定，应按照廉政建设的有关规定给予处分；涉嫌犯罪的，移交司法机关追究刑事责任；给承包人造成损失的，应予赔偿。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4.2  承包人及其工作人员违反本合同第1条和第3条规定，应按照廉政建设的有关规定给予处分；情节严重的，给予承包人 1～3年内不得进入工程建设市场的处罚；涉嫌犯罪的， 移交司法机关追究刑事责任；给发包人造成损失的，应予赔偿；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双方约定 </w:t>
      </w:r>
    </w:p>
    <w:p>
      <w:pPr>
        <w:keepNext w:val="0"/>
        <w:keepLines w:val="0"/>
        <w:pageBreakBefore w:val="0"/>
        <w:kinsoku/>
        <w:wordWrap/>
        <w:overflowPunct/>
        <w:topLinePunct w:val="0"/>
        <w:autoSpaceDE/>
        <w:autoSpaceDN/>
        <w:bidi w:val="0"/>
        <w:adjustRightInd/>
        <w:snapToGrid w:val="0"/>
        <w:spacing w:line="4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本合同由合同双方当事人或其上级部门负责监督执行，并由合同双方当事人或其上级部门相互约请对本合同执行情况进行检查。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合同法律效力 </w:t>
      </w:r>
    </w:p>
    <w:p>
      <w:pPr>
        <w:keepNext w:val="0"/>
        <w:keepLines w:val="0"/>
        <w:pageBreakBefore w:val="0"/>
        <w:kinsoku/>
        <w:wordWrap/>
        <w:overflowPunct/>
        <w:topLinePunct w:val="0"/>
        <w:autoSpaceDE/>
        <w:autoSpaceDN/>
        <w:bidi w:val="0"/>
        <w:adjustRightInd/>
        <w:snapToGrid w:val="0"/>
        <w:spacing w:line="4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本合同作为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项目施工合同的附件，与施工合同具有同等的法律效力。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合同生效 </w:t>
      </w:r>
    </w:p>
    <w:p>
      <w:pPr>
        <w:keepNext w:val="0"/>
        <w:keepLines w:val="0"/>
        <w:pageBreakBefore w:val="0"/>
        <w:kinsoku/>
        <w:wordWrap/>
        <w:overflowPunct/>
        <w:topLinePunct w:val="0"/>
        <w:autoSpaceDE/>
        <w:autoSpaceDN/>
        <w:bidi w:val="0"/>
        <w:adjustRightInd/>
        <w:snapToGrid w:val="0"/>
        <w:spacing w:line="4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本合同自合同双方当事人签署之日起生效，至合同工程竣工验收合格之日后失效。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合同份数 </w:t>
      </w:r>
    </w:p>
    <w:p>
      <w:pPr>
        <w:keepNext w:val="0"/>
        <w:keepLines w:val="0"/>
        <w:pageBreakBefore w:val="0"/>
        <w:kinsoku/>
        <w:wordWrap/>
        <w:overflowPunct/>
        <w:topLinePunct w:val="0"/>
        <w:autoSpaceDE/>
        <w:autoSpaceDN/>
        <w:bidi w:val="0"/>
        <w:adjustRightInd/>
        <w:snapToGrid w:val="0"/>
        <w:spacing w:line="46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本合同作为施工合同的附件，合同总份数与双方各执份数与施工合同相同。有上级部门的，合同双方当事人应各送交其上级部门一份。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发包人：（公章）                  承包人：（公章）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法定代表人：（签字或盖章）        法定代表人：（签字或盖章）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联系电话： </w:t>
      </w:r>
    </w:p>
    <w:p>
      <w:pPr>
        <w:keepNext w:val="0"/>
        <w:keepLines w:val="0"/>
        <w:pageBreakBefore w:val="0"/>
        <w:kinsoku/>
        <w:wordWrap/>
        <w:overflowPunct/>
        <w:topLinePunct w:val="0"/>
        <w:autoSpaceDE/>
        <w:autoSpaceDN/>
        <w:bidi w:val="0"/>
        <w:adjustRightInd/>
        <w:snapToGrid w:val="0"/>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2022年  月   日                   2022年   月   日</w:t>
      </w:r>
    </w:p>
    <w:p>
      <w:pPr>
        <w:pageBreakBefore w:val="0"/>
        <w:wordWrap/>
        <w:overflowPunct/>
        <w:topLinePunct w:val="0"/>
        <w:bidi w:val="0"/>
        <w:adjustRightInd/>
        <w:snapToGrid/>
        <w:spacing w:after="0" w:afterLines="0" w:line="300" w:lineRule="auto"/>
        <w:ind w:firstLine="0" w:firstLineChars="0"/>
        <w:jc w:val="left"/>
        <w:textAlignment w:val="auto"/>
        <w:rPr>
          <w:rFonts w:hint="eastAsia" w:ascii="宋体" w:hAnsi="宋体" w:eastAsia="宋体" w:cs="宋体"/>
          <w:color w:val="auto"/>
        </w:rPr>
      </w:pPr>
    </w:p>
    <w:p>
      <w:pPr>
        <w:rPr>
          <w:rFonts w:hint="eastAsia" w:ascii="宋体" w:hAnsi="宋体" w:eastAsia="宋体" w:cs="宋体"/>
          <w:color w:val="auto"/>
        </w:rPr>
      </w:pPr>
    </w:p>
    <w:p>
      <w:pPr>
        <w:pStyle w:val="5"/>
        <w:rPr>
          <w:rFonts w:hint="eastAsia" w:ascii="宋体" w:hAnsi="宋体" w:eastAsia="宋体" w:cs="宋体"/>
          <w:color w:val="auto"/>
        </w:rPr>
      </w:pPr>
    </w:p>
    <w:p>
      <w:pPr>
        <w:rPr>
          <w:rFonts w:hint="eastAsia" w:ascii="宋体" w:hAnsi="宋体" w:eastAsia="宋体" w:cs="宋体"/>
          <w:color w:val="auto"/>
        </w:rPr>
      </w:pPr>
    </w:p>
    <w:p>
      <w:pPr>
        <w:pStyle w:val="5"/>
        <w:rPr>
          <w:rFonts w:hint="eastAsia" w:ascii="宋体" w:hAnsi="宋体" w:eastAsia="宋体" w:cs="宋体"/>
          <w:color w:val="auto"/>
        </w:rPr>
      </w:pPr>
    </w:p>
    <w:p>
      <w:pPr>
        <w:rPr>
          <w:rFonts w:hint="eastAsia" w:ascii="宋体" w:hAnsi="宋体" w:eastAsia="宋体" w:cs="宋体"/>
          <w:color w:val="auto"/>
        </w:rPr>
      </w:pPr>
    </w:p>
    <w:p>
      <w:pPr>
        <w:pStyle w:val="5"/>
        <w:rPr>
          <w:rFonts w:hint="eastAsia" w:ascii="宋体" w:hAnsi="宋体" w:eastAsia="宋体" w:cs="宋体"/>
          <w:color w:val="auto"/>
        </w:rPr>
      </w:pPr>
    </w:p>
    <w:p>
      <w:pPr>
        <w:pStyle w:val="3"/>
        <w:spacing w:before="12"/>
        <w:jc w:val="both"/>
        <w:rPr>
          <w:rFonts w:hint="eastAsia" w:ascii="宋体" w:hAnsi="宋体" w:eastAsia="宋体" w:cs="宋体"/>
          <w:b/>
          <w:color w:val="auto"/>
          <w:sz w:val="17"/>
        </w:rPr>
      </w:pPr>
    </w:p>
    <w:p>
      <w:pPr>
        <w:rPr>
          <w:rFonts w:hint="eastAsia" w:ascii="宋体" w:hAnsi="宋体" w:eastAsia="宋体" w:cs="宋体"/>
          <w:color w:val="auto"/>
        </w:rPr>
      </w:pPr>
      <w:r>
        <w:rPr>
          <w:rFonts w:hint="eastAsia" w:ascii="宋体" w:hAnsi="宋体" w:eastAsia="宋体" w:cs="宋体"/>
          <w:color w:val="auto"/>
        </w:rPr>
        <w:br w:type="page"/>
      </w:r>
    </w:p>
    <w:p>
      <w:pPr>
        <w:pStyle w:val="5"/>
        <w:rPr>
          <w:rFonts w:hint="eastAsia" w:ascii="宋体" w:hAnsi="宋体" w:eastAsia="宋体" w:cs="宋体"/>
          <w:color w:val="auto"/>
        </w:rPr>
      </w:pPr>
      <w:bookmarkStart w:id="905" w:name="_Toc26134"/>
      <w:r>
        <w:rPr>
          <w:rFonts w:hint="eastAsia" w:ascii="宋体" w:hAnsi="宋体" w:eastAsia="宋体" w:cs="宋体"/>
          <w:color w:val="auto"/>
        </w:rPr>
        <w:t xml:space="preserve">第五章  </w:t>
      </w:r>
      <w:bookmarkEnd w:id="65"/>
      <w:bookmarkEnd w:id="66"/>
      <w:bookmarkEnd w:id="67"/>
      <w:r>
        <w:rPr>
          <w:rFonts w:hint="eastAsia" w:ascii="宋体" w:hAnsi="宋体" w:eastAsia="宋体" w:cs="宋体"/>
          <w:color w:val="auto"/>
        </w:rPr>
        <w:t>发包人提供的资料和条件</w:t>
      </w:r>
      <w:bookmarkEnd w:id="905"/>
    </w:p>
    <w:p>
      <w:pPr>
        <w:pStyle w:val="5"/>
        <w:rPr>
          <w:rFonts w:hint="eastAsia" w:ascii="宋体" w:hAnsi="宋体" w:eastAsia="宋体" w:cs="宋体"/>
          <w:color w:val="auto"/>
        </w:rPr>
      </w:pPr>
    </w:p>
    <w:p>
      <w:pPr>
        <w:spacing w:line="460" w:lineRule="exact"/>
        <w:ind w:firstLine="482" w:firstLineChars="200"/>
        <w:rPr>
          <w:rFonts w:hint="eastAsia" w:ascii="宋体" w:hAnsi="宋体" w:eastAsia="宋体" w:cs="宋体"/>
          <w:b/>
          <w:color w:val="auto"/>
        </w:rPr>
      </w:pPr>
    </w:p>
    <w:p>
      <w:pPr>
        <w:jc w:val="center"/>
        <w:rPr>
          <w:rFonts w:hint="eastAsia" w:ascii="宋体" w:hAnsi="宋体" w:eastAsia="宋体" w:cs="宋体"/>
          <w:b/>
          <w:color w:val="auto"/>
        </w:rPr>
      </w:pPr>
      <w:r>
        <w:rPr>
          <w:rFonts w:hint="eastAsia" w:ascii="宋体" w:hAnsi="宋体" w:eastAsia="宋体" w:cs="宋体"/>
          <w:b/>
          <w:color w:val="auto"/>
        </w:rPr>
        <w:t>附：相关批复文件</w:t>
      </w:r>
    </w:p>
    <w:p>
      <w:pPr>
        <w:rPr>
          <w:rFonts w:hint="eastAsia" w:ascii="宋体" w:hAnsi="宋体" w:eastAsia="宋体" w:cs="宋体"/>
          <w:b/>
          <w:color w:val="auto"/>
        </w:rPr>
      </w:pPr>
      <w:r>
        <w:rPr>
          <w:rFonts w:hint="eastAsia" w:ascii="宋体" w:hAnsi="宋体" w:eastAsia="宋体" w:cs="宋体"/>
          <w:b/>
          <w:color w:val="auto"/>
        </w:rPr>
        <w:br w:type="page"/>
      </w:r>
    </w:p>
    <w:p>
      <w:pPr>
        <w:pStyle w:val="5"/>
        <w:rPr>
          <w:rFonts w:hint="eastAsia" w:ascii="宋体" w:hAnsi="宋体" w:eastAsia="宋体" w:cs="宋体"/>
          <w:color w:val="auto"/>
        </w:rPr>
      </w:pPr>
      <w:bookmarkStart w:id="906" w:name="_Toc10385"/>
      <w:bookmarkStart w:id="907" w:name="_Toc72504996"/>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p>
    <w:p>
      <w:pPr>
        <w:pStyle w:val="5"/>
        <w:rPr>
          <w:rFonts w:hint="eastAsia" w:ascii="宋体" w:hAnsi="宋体" w:eastAsia="宋体" w:cs="宋体"/>
          <w:color w:val="auto"/>
        </w:rPr>
      </w:pPr>
      <w:r>
        <w:rPr>
          <w:rFonts w:hint="eastAsia" w:ascii="宋体" w:hAnsi="宋体" w:eastAsia="宋体" w:cs="宋体"/>
          <w:color w:val="auto"/>
        </w:rPr>
        <w:t>第六章  投标文件格式</w:t>
      </w:r>
      <w:bookmarkEnd w:id="906"/>
      <w:bookmarkEnd w:id="907"/>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pStyle w:val="3"/>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附件一：商务文件正本封面                                             </w:t>
      </w:r>
    </w:p>
    <w:p>
      <w:pPr>
        <w:pStyle w:val="3"/>
        <w:spacing w:before="9"/>
        <w:jc w:val="both"/>
        <w:rPr>
          <w:rFonts w:hint="eastAsia" w:ascii="宋体" w:hAnsi="宋体" w:eastAsia="宋体" w:cs="宋体"/>
          <w:b/>
          <w:color w:val="auto"/>
          <w:sz w:val="25"/>
        </w:rPr>
      </w:pP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湛江经开区老旧小区改造项目</w:t>
      </w: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（一期一标）EPC</w:t>
      </w: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0"/>
        </w:rPr>
      </w:pPr>
    </w:p>
    <w:p>
      <w:pPr>
        <w:pStyle w:val="4"/>
        <w:rPr>
          <w:rFonts w:hint="eastAsia" w:ascii="宋体" w:hAnsi="宋体" w:eastAsia="宋体" w:cs="宋体"/>
          <w:color w:val="auto"/>
        </w:rPr>
      </w:pPr>
    </w:p>
    <w:p>
      <w:pPr>
        <w:pStyle w:val="3"/>
        <w:jc w:val="both"/>
        <w:rPr>
          <w:rFonts w:hint="eastAsia" w:ascii="宋体" w:hAnsi="宋体" w:eastAsia="宋体" w:cs="宋体"/>
          <w:color w:val="auto"/>
          <w:sz w:val="28"/>
        </w:rPr>
      </w:pPr>
    </w:p>
    <w:p>
      <w:pPr>
        <w:pStyle w:val="4"/>
        <w:rPr>
          <w:rFonts w:hint="eastAsia" w:ascii="宋体" w:hAnsi="宋体" w:eastAsia="宋体" w:cs="宋体"/>
          <w:color w:val="auto"/>
        </w:rPr>
      </w:pP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tabs>
          <w:tab w:val="left" w:pos="880"/>
          <w:tab w:val="left" w:pos="1761"/>
          <w:tab w:val="left" w:pos="2639"/>
        </w:tabs>
        <w:spacing w:before="37"/>
        <w:ind w:right="582"/>
        <w:jc w:val="center"/>
        <w:rPr>
          <w:rFonts w:hint="eastAsia" w:ascii="宋体" w:hAnsi="宋体" w:eastAsia="宋体" w:cs="宋体"/>
          <w:color w:val="auto"/>
          <w:sz w:val="52"/>
          <w:szCs w:val="52"/>
        </w:rPr>
      </w:pPr>
      <w:r>
        <w:rPr>
          <w:rFonts w:hint="eastAsia" w:ascii="宋体" w:hAnsi="宋体" w:eastAsia="宋体" w:cs="宋体"/>
          <w:b/>
          <w:color w:val="auto"/>
          <w:sz w:val="52"/>
          <w:szCs w:val="52"/>
        </w:rPr>
        <w:t>商务文件</w:t>
      </w:r>
    </w:p>
    <w:p>
      <w:pPr>
        <w:tabs>
          <w:tab w:val="left" w:pos="880"/>
          <w:tab w:val="left" w:pos="1761"/>
          <w:tab w:val="left" w:pos="2639"/>
        </w:tabs>
        <w:spacing w:before="37"/>
        <w:ind w:right="582"/>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正本</w:t>
      </w: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pStyle w:val="4"/>
        <w:rPr>
          <w:rFonts w:hint="eastAsia" w:ascii="宋体" w:hAnsi="宋体" w:eastAsia="宋体" w:cs="宋体"/>
          <w:color w:val="auto"/>
        </w:rPr>
      </w:pPr>
    </w:p>
    <w:p>
      <w:pPr>
        <w:pStyle w:val="3"/>
        <w:jc w:val="both"/>
        <w:rPr>
          <w:rFonts w:hint="eastAsia" w:ascii="宋体" w:hAnsi="宋体" w:eastAsia="宋体" w:cs="宋体"/>
          <w:color w:val="auto"/>
          <w:sz w:val="28"/>
        </w:rPr>
      </w:pPr>
    </w:p>
    <w:p>
      <w:pPr>
        <w:pStyle w:val="4"/>
        <w:rPr>
          <w:rFonts w:hint="eastAsia" w:ascii="宋体" w:hAnsi="宋体" w:eastAsia="宋体" w:cs="宋体"/>
          <w:color w:val="auto"/>
        </w:rPr>
      </w:pP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pStyle w:val="11"/>
        <w:tabs>
          <w:tab w:val="left" w:pos="6148"/>
        </w:tabs>
        <w:spacing w:before="235" w:line="480" w:lineRule="auto"/>
        <w:ind w:right="580"/>
        <w:rPr>
          <w:rFonts w:hint="eastAsia" w:ascii="宋体" w:hAnsi="宋体" w:eastAsia="宋体" w:cs="宋体"/>
          <w:color w:val="auto"/>
        </w:rPr>
      </w:pPr>
      <w:r>
        <w:rPr>
          <w:rFonts w:hint="eastAsia" w:ascii="宋体" w:hAnsi="宋体" w:eastAsia="宋体" w:cs="宋体"/>
          <w:color w:val="auto"/>
        </w:rPr>
        <w:t>投标人名称（独立体或联合体各方）：</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（加盖公章）</w:t>
      </w:r>
    </w:p>
    <w:p>
      <w:pPr>
        <w:pStyle w:val="11"/>
        <w:tabs>
          <w:tab w:val="left" w:pos="3918"/>
        </w:tabs>
        <w:spacing w:before="71" w:line="480" w:lineRule="auto"/>
        <w:ind w:right="582"/>
        <w:rPr>
          <w:rFonts w:hint="eastAsia" w:ascii="宋体" w:hAnsi="宋体" w:eastAsia="宋体" w:cs="宋体"/>
          <w:color w:val="auto"/>
        </w:rPr>
      </w:pPr>
      <w:r>
        <w:rPr>
          <w:rFonts w:hint="eastAsia" w:ascii="宋体" w:hAnsi="宋体" w:eastAsia="宋体" w:cs="宋体"/>
          <w:color w:val="auto"/>
        </w:rPr>
        <w:t>法定代表人（独立体或联合体主办方）：</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（亲笔签字）</w:t>
      </w:r>
    </w:p>
    <w:p>
      <w:pPr>
        <w:pStyle w:val="11"/>
        <w:tabs>
          <w:tab w:val="left" w:pos="1118"/>
          <w:tab w:val="left" w:pos="2519"/>
          <w:tab w:val="left" w:pos="4058"/>
        </w:tabs>
        <w:spacing w:before="62" w:line="480" w:lineRule="auto"/>
        <w:ind w:right="585"/>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日</w:t>
      </w:r>
    </w:p>
    <w:p>
      <w:pPr>
        <w:rPr>
          <w:rFonts w:hint="eastAsia" w:ascii="宋体" w:hAnsi="宋体" w:eastAsia="宋体" w:cs="宋体"/>
          <w:color w:val="auto"/>
        </w:rPr>
      </w:pPr>
      <w:r>
        <w:rPr>
          <w:rFonts w:hint="eastAsia" w:ascii="宋体" w:hAnsi="宋体" w:eastAsia="宋体" w:cs="宋体"/>
          <w:color w:val="auto"/>
        </w:rPr>
        <w:br w:type="page"/>
      </w:r>
    </w:p>
    <w:p>
      <w:pPr>
        <w:rPr>
          <w:rFonts w:hint="eastAsia" w:ascii="宋体" w:hAnsi="宋体" w:eastAsia="宋体" w:cs="宋体"/>
          <w:color w:val="auto"/>
        </w:rPr>
      </w:pPr>
      <w:r>
        <w:rPr>
          <w:rFonts w:hint="eastAsia" w:ascii="宋体" w:hAnsi="宋体" w:eastAsia="宋体" w:cs="宋体"/>
          <w:b/>
          <w:bCs/>
          <w:color w:val="auto"/>
          <w:sz w:val="28"/>
          <w:szCs w:val="28"/>
          <w:lang w:val="en-US" w:eastAsia="zh-CN"/>
        </w:rPr>
        <w:t xml:space="preserve">附件二：商务文件副本封面 </w:t>
      </w:r>
    </w:p>
    <w:p>
      <w:pPr>
        <w:pStyle w:val="3"/>
        <w:spacing w:before="9"/>
        <w:jc w:val="both"/>
        <w:rPr>
          <w:rFonts w:hint="eastAsia" w:ascii="宋体" w:hAnsi="宋体" w:eastAsia="宋体" w:cs="宋体"/>
          <w:b/>
          <w:color w:val="auto"/>
          <w:sz w:val="25"/>
        </w:rPr>
      </w:pP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湛江经开区老旧小区改造项目</w:t>
      </w: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（一期一标）EPC</w:t>
      </w: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8"/>
        </w:rPr>
      </w:pPr>
    </w:p>
    <w:p>
      <w:pPr>
        <w:pStyle w:val="4"/>
        <w:rPr>
          <w:rFonts w:hint="eastAsia" w:ascii="宋体" w:hAnsi="宋体" w:eastAsia="宋体" w:cs="宋体"/>
          <w:color w:val="auto"/>
        </w:rPr>
      </w:pP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tabs>
          <w:tab w:val="left" w:pos="880"/>
          <w:tab w:val="left" w:pos="1761"/>
          <w:tab w:val="left" w:pos="2639"/>
        </w:tabs>
        <w:spacing w:before="37"/>
        <w:ind w:right="582"/>
        <w:jc w:val="center"/>
        <w:rPr>
          <w:rFonts w:hint="eastAsia" w:ascii="宋体" w:hAnsi="宋体" w:eastAsia="宋体" w:cs="宋体"/>
          <w:color w:val="auto"/>
          <w:sz w:val="52"/>
          <w:szCs w:val="52"/>
        </w:rPr>
      </w:pPr>
      <w:r>
        <w:rPr>
          <w:rFonts w:hint="eastAsia" w:ascii="宋体" w:hAnsi="宋体" w:eastAsia="宋体" w:cs="宋体"/>
          <w:b/>
          <w:color w:val="auto"/>
          <w:sz w:val="52"/>
          <w:szCs w:val="52"/>
        </w:rPr>
        <w:t>商务文件</w:t>
      </w:r>
    </w:p>
    <w:p>
      <w:pPr>
        <w:tabs>
          <w:tab w:val="left" w:pos="880"/>
          <w:tab w:val="left" w:pos="1761"/>
          <w:tab w:val="left" w:pos="2639"/>
        </w:tabs>
        <w:spacing w:before="37"/>
        <w:ind w:right="582"/>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en-US" w:eastAsia="zh-CN"/>
        </w:rPr>
        <w:t>副本</w:t>
      </w: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pStyle w:val="4"/>
        <w:rPr>
          <w:rFonts w:hint="eastAsia" w:ascii="宋体" w:hAnsi="宋体" w:eastAsia="宋体" w:cs="宋体"/>
          <w:color w:val="auto"/>
        </w:rPr>
      </w:pPr>
    </w:p>
    <w:p>
      <w:pPr>
        <w:pStyle w:val="4"/>
        <w:rPr>
          <w:rFonts w:hint="eastAsia" w:ascii="宋体" w:hAnsi="宋体" w:eastAsia="宋体" w:cs="宋体"/>
          <w:color w:val="auto"/>
        </w:rPr>
      </w:pP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pStyle w:val="11"/>
        <w:tabs>
          <w:tab w:val="left" w:pos="6148"/>
        </w:tabs>
        <w:spacing w:before="235" w:line="480" w:lineRule="auto"/>
        <w:ind w:right="580"/>
        <w:rPr>
          <w:rFonts w:hint="eastAsia" w:ascii="宋体" w:hAnsi="宋体" w:eastAsia="宋体" w:cs="宋体"/>
          <w:color w:val="auto"/>
        </w:rPr>
      </w:pPr>
      <w:r>
        <w:rPr>
          <w:rFonts w:hint="eastAsia" w:ascii="宋体" w:hAnsi="宋体" w:eastAsia="宋体" w:cs="宋体"/>
          <w:color w:val="auto"/>
        </w:rPr>
        <w:t>投标人名称（独立体或联合体各方）：</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（加盖公章）</w:t>
      </w:r>
    </w:p>
    <w:p>
      <w:pPr>
        <w:pStyle w:val="11"/>
        <w:tabs>
          <w:tab w:val="left" w:pos="3918"/>
        </w:tabs>
        <w:spacing w:before="71" w:line="480" w:lineRule="auto"/>
        <w:ind w:right="582"/>
        <w:rPr>
          <w:rFonts w:hint="eastAsia" w:ascii="宋体" w:hAnsi="宋体" w:eastAsia="宋体" w:cs="宋体"/>
          <w:color w:val="auto"/>
        </w:rPr>
      </w:pPr>
      <w:r>
        <w:rPr>
          <w:rFonts w:hint="eastAsia" w:ascii="宋体" w:hAnsi="宋体" w:eastAsia="宋体" w:cs="宋体"/>
          <w:color w:val="auto"/>
        </w:rPr>
        <w:t>法定代表人（独立体或联合体主办方）：</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（亲笔签字）</w:t>
      </w:r>
    </w:p>
    <w:p>
      <w:pPr>
        <w:pStyle w:val="11"/>
        <w:tabs>
          <w:tab w:val="left" w:pos="1118"/>
          <w:tab w:val="left" w:pos="2519"/>
          <w:tab w:val="left" w:pos="4058"/>
        </w:tabs>
        <w:spacing w:before="62" w:line="480" w:lineRule="auto"/>
        <w:ind w:right="585"/>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rPr>
        <w:t>日</w:t>
      </w:r>
    </w:p>
    <w:p>
      <w:pPr>
        <w:rPr>
          <w:rFonts w:hint="eastAsia" w:ascii="宋体" w:hAnsi="宋体" w:eastAsia="宋体" w:cs="宋体"/>
          <w:color w:val="auto"/>
        </w:rPr>
      </w:pPr>
      <w:r>
        <w:rPr>
          <w:rFonts w:hint="eastAsia" w:ascii="宋体" w:hAnsi="宋体" w:eastAsia="宋体" w:cs="宋体"/>
          <w:color w:val="auto"/>
        </w:rPr>
        <w:br w:type="page"/>
      </w:r>
    </w:p>
    <w:p>
      <w:pPr>
        <w:pStyle w:val="3"/>
        <w:jc w:val="both"/>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 xml:space="preserve">附件三：技术文件正本封面 </w:t>
      </w:r>
    </w:p>
    <w:p>
      <w:pPr>
        <w:pStyle w:val="3"/>
        <w:jc w:val="right"/>
        <w:rPr>
          <w:rFonts w:hint="eastAsia" w:ascii="宋体" w:hAnsi="宋体" w:eastAsia="宋体" w:cs="宋体"/>
          <w:b/>
          <w:bCs/>
          <w:color w:val="auto"/>
          <w:sz w:val="28"/>
          <w:szCs w:val="28"/>
        </w:rPr>
      </w:pPr>
    </w:p>
    <w:p>
      <w:pPr>
        <w:pStyle w:val="3"/>
        <w:jc w:val="both"/>
        <w:rPr>
          <w:rFonts w:hint="eastAsia" w:ascii="宋体" w:hAnsi="宋体" w:eastAsia="宋体" w:cs="宋体"/>
          <w:b/>
          <w:bCs/>
          <w:color w:val="auto"/>
          <w:sz w:val="20"/>
        </w:rPr>
      </w:pPr>
    </w:p>
    <w:p>
      <w:pPr>
        <w:pStyle w:val="3"/>
        <w:spacing w:before="9"/>
        <w:jc w:val="both"/>
        <w:rPr>
          <w:rFonts w:hint="eastAsia" w:ascii="宋体" w:hAnsi="宋体" w:eastAsia="宋体" w:cs="宋体"/>
          <w:b/>
          <w:bCs/>
          <w:color w:val="auto"/>
          <w:sz w:val="25"/>
        </w:rPr>
      </w:pP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湛江经开区老旧小区改造项目</w:t>
      </w: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（一期一标）EPC</w:t>
      </w: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tabs>
          <w:tab w:val="left" w:pos="880"/>
          <w:tab w:val="left" w:pos="1761"/>
          <w:tab w:val="left" w:pos="2639"/>
        </w:tabs>
        <w:spacing w:before="37"/>
        <w:ind w:right="582"/>
        <w:jc w:val="center"/>
        <w:rPr>
          <w:rFonts w:hint="eastAsia" w:ascii="宋体" w:hAnsi="宋体" w:eastAsia="宋体" w:cs="宋体"/>
          <w:color w:val="auto"/>
          <w:sz w:val="52"/>
          <w:szCs w:val="52"/>
        </w:rPr>
      </w:pPr>
      <w:r>
        <w:rPr>
          <w:rFonts w:hint="eastAsia" w:ascii="宋体" w:hAnsi="宋体" w:eastAsia="宋体" w:cs="宋体"/>
          <w:b/>
          <w:color w:val="auto"/>
          <w:sz w:val="52"/>
          <w:szCs w:val="52"/>
        </w:rPr>
        <w:t>技术文件</w:t>
      </w:r>
    </w:p>
    <w:p>
      <w:pPr>
        <w:tabs>
          <w:tab w:val="left" w:pos="880"/>
          <w:tab w:val="left" w:pos="1761"/>
          <w:tab w:val="left" w:pos="2639"/>
        </w:tabs>
        <w:spacing w:before="37"/>
        <w:ind w:right="582"/>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en-US" w:eastAsia="zh-CN"/>
        </w:rPr>
        <w:t>正本</w:t>
      </w:r>
    </w:p>
    <w:p>
      <w:pPr>
        <w:pStyle w:val="11"/>
        <w:tabs>
          <w:tab w:val="left" w:pos="1118"/>
          <w:tab w:val="left" w:pos="2519"/>
          <w:tab w:val="left" w:pos="4058"/>
        </w:tabs>
        <w:spacing w:before="62" w:line="480" w:lineRule="auto"/>
        <w:ind w:right="585"/>
        <w:jc w:val="both"/>
        <w:rPr>
          <w:rFonts w:hint="eastAsia" w:ascii="宋体" w:hAnsi="宋体" w:eastAsia="宋体" w:cs="宋体"/>
          <w:color w:val="auto"/>
          <w:sz w:val="32"/>
          <w:szCs w:val="32"/>
        </w:rPr>
      </w:pPr>
    </w:p>
    <w:p>
      <w:pPr>
        <w:rPr>
          <w:rFonts w:hint="eastAsia" w:ascii="宋体" w:hAnsi="宋体" w:eastAsia="宋体" w:cs="宋体"/>
          <w:color w:val="auto"/>
          <w:sz w:val="32"/>
          <w:szCs w:val="32"/>
        </w:rPr>
      </w:pPr>
    </w:p>
    <w:p>
      <w:pPr>
        <w:pStyle w:val="5"/>
        <w:rPr>
          <w:rFonts w:hint="eastAsia" w:ascii="宋体" w:hAnsi="宋体" w:eastAsia="宋体" w:cs="宋体"/>
          <w:color w:val="auto"/>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ab/>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ab/>
      </w:r>
      <w:r>
        <w:rPr>
          <w:rFonts w:hint="eastAsia" w:ascii="宋体" w:hAnsi="宋体" w:eastAsia="宋体" w:cs="宋体"/>
          <w:color w:val="auto"/>
          <w:sz w:val="32"/>
          <w:szCs w:val="32"/>
        </w:rPr>
        <w:t>月</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日</w:t>
      </w:r>
    </w:p>
    <w:p>
      <w:pPr>
        <w:rPr>
          <w:rFonts w:hint="eastAsia" w:ascii="宋体" w:hAnsi="宋体" w:eastAsia="宋体" w:cs="宋体"/>
          <w:color w:val="auto"/>
          <w:sz w:val="32"/>
          <w:szCs w:val="24"/>
          <w:lang w:val="zh-CN" w:bidi="zh-CN"/>
        </w:rPr>
      </w:pPr>
      <w:r>
        <w:rPr>
          <w:rFonts w:hint="eastAsia" w:ascii="宋体" w:hAnsi="宋体" w:eastAsia="宋体" w:cs="宋体"/>
          <w:color w:val="auto"/>
          <w:sz w:val="32"/>
          <w:szCs w:val="24"/>
          <w:lang w:val="zh-CN" w:bidi="zh-CN"/>
        </w:rPr>
        <w:br w:type="page"/>
      </w:r>
    </w:p>
    <w:p>
      <w:pPr>
        <w:pStyle w:val="3"/>
        <w:jc w:val="both"/>
        <w:rPr>
          <w:rFonts w:hint="eastAsia" w:ascii="宋体" w:hAnsi="宋体" w:eastAsia="宋体" w:cs="宋体"/>
          <w:b/>
          <w:bCs/>
          <w:color w:val="auto"/>
          <w:sz w:val="32"/>
          <w:szCs w:val="22"/>
          <w:lang w:eastAsia="zh-CN"/>
        </w:rPr>
      </w:pPr>
      <w:r>
        <w:rPr>
          <w:rFonts w:hint="eastAsia" w:ascii="宋体" w:hAnsi="宋体" w:eastAsia="宋体" w:cs="宋体"/>
          <w:b/>
          <w:bCs/>
          <w:color w:val="auto"/>
          <w:sz w:val="28"/>
          <w:szCs w:val="28"/>
          <w:lang w:val="en-US" w:eastAsia="zh-CN"/>
        </w:rPr>
        <w:t>附件</w:t>
      </w:r>
      <w:r>
        <w:rPr>
          <w:rFonts w:hint="eastAsia" w:cs="宋体"/>
          <w:b/>
          <w:bCs/>
          <w:color w:val="auto"/>
          <w:sz w:val="28"/>
          <w:szCs w:val="28"/>
          <w:lang w:val="en-US" w:eastAsia="zh-CN"/>
        </w:rPr>
        <w:t>四</w:t>
      </w:r>
      <w:r>
        <w:rPr>
          <w:rFonts w:hint="eastAsia" w:ascii="宋体" w:hAnsi="宋体" w:eastAsia="宋体" w:cs="宋体"/>
          <w:b/>
          <w:bCs/>
          <w:color w:val="auto"/>
          <w:sz w:val="28"/>
          <w:szCs w:val="28"/>
          <w:lang w:val="en-US" w:eastAsia="zh-CN"/>
        </w:rPr>
        <w:t xml:space="preserve">：技术文件副本封面 </w:t>
      </w:r>
    </w:p>
    <w:p>
      <w:pPr>
        <w:pStyle w:val="3"/>
        <w:jc w:val="right"/>
        <w:rPr>
          <w:rFonts w:hint="eastAsia" w:ascii="宋体" w:hAnsi="宋体" w:eastAsia="宋体" w:cs="宋体"/>
          <w:b/>
          <w:bCs/>
          <w:color w:val="auto"/>
          <w:sz w:val="28"/>
          <w:szCs w:val="28"/>
        </w:rPr>
      </w:pPr>
    </w:p>
    <w:p>
      <w:pPr>
        <w:pStyle w:val="3"/>
        <w:jc w:val="both"/>
        <w:rPr>
          <w:rFonts w:hint="eastAsia" w:ascii="宋体" w:hAnsi="宋体" w:eastAsia="宋体" w:cs="宋体"/>
          <w:b/>
          <w:bCs/>
          <w:color w:val="auto"/>
          <w:sz w:val="20"/>
        </w:rPr>
      </w:pPr>
    </w:p>
    <w:p>
      <w:pPr>
        <w:pStyle w:val="3"/>
        <w:spacing w:before="9"/>
        <w:jc w:val="both"/>
        <w:rPr>
          <w:rFonts w:hint="eastAsia" w:ascii="宋体" w:hAnsi="宋体" w:eastAsia="宋体" w:cs="宋体"/>
          <w:b/>
          <w:bCs/>
          <w:color w:val="auto"/>
          <w:sz w:val="25"/>
        </w:rPr>
      </w:pP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湛江经开区老旧小区改造项目</w:t>
      </w: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（一期一标）EPC</w:t>
      </w: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0"/>
        </w:rPr>
      </w:pPr>
    </w:p>
    <w:p>
      <w:pPr>
        <w:tabs>
          <w:tab w:val="left" w:pos="880"/>
          <w:tab w:val="left" w:pos="1761"/>
          <w:tab w:val="left" w:pos="2639"/>
        </w:tabs>
        <w:spacing w:before="37"/>
        <w:ind w:right="582"/>
        <w:jc w:val="both"/>
        <w:rPr>
          <w:rFonts w:hint="eastAsia" w:ascii="宋体" w:hAnsi="宋体" w:eastAsia="宋体" w:cs="宋体"/>
          <w:b/>
          <w:color w:val="auto"/>
          <w:sz w:val="52"/>
          <w:szCs w:val="52"/>
        </w:rPr>
      </w:pPr>
    </w:p>
    <w:p>
      <w:pPr>
        <w:tabs>
          <w:tab w:val="left" w:pos="880"/>
          <w:tab w:val="left" w:pos="1761"/>
          <w:tab w:val="left" w:pos="2639"/>
        </w:tabs>
        <w:spacing w:before="37"/>
        <w:ind w:right="582"/>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技术文件</w:t>
      </w:r>
    </w:p>
    <w:p>
      <w:pPr>
        <w:tabs>
          <w:tab w:val="left" w:pos="880"/>
          <w:tab w:val="left" w:pos="1761"/>
          <w:tab w:val="left" w:pos="2639"/>
        </w:tabs>
        <w:spacing w:before="37"/>
        <w:ind w:right="582"/>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en-US" w:eastAsia="zh-CN"/>
        </w:rPr>
        <w:t>副本</w:t>
      </w: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rPr>
          <w:rFonts w:hint="eastAsia" w:ascii="宋体" w:hAnsi="宋体" w:eastAsia="宋体" w:cs="宋体"/>
          <w:color w:val="auto"/>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ab/>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ab/>
      </w:r>
      <w:r>
        <w:rPr>
          <w:rFonts w:hint="eastAsia" w:ascii="宋体" w:hAnsi="宋体" w:eastAsia="宋体" w:cs="宋体"/>
          <w:color w:val="auto"/>
          <w:sz w:val="32"/>
          <w:szCs w:val="32"/>
        </w:rPr>
        <w:t>月</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日</w:t>
      </w:r>
    </w:p>
    <w:p>
      <w:pPr>
        <w:pStyle w:val="2"/>
        <w:ind w:firstLine="240"/>
        <w:rPr>
          <w:rFonts w:hint="eastAsia" w:ascii="宋体" w:hAnsi="宋体" w:eastAsia="宋体" w:cs="宋体"/>
          <w:color w:val="auto"/>
          <w:sz w:val="32"/>
          <w:szCs w:val="24"/>
          <w:lang w:val="zh-CN" w:bidi="zh-CN"/>
        </w:rPr>
        <w:sectPr>
          <w:headerReference r:id="rId13" w:type="default"/>
          <w:footerReference r:id="rId14" w:type="default"/>
          <w:pgSz w:w="11910" w:h="16840"/>
          <w:pgMar w:top="1417" w:right="1417" w:bottom="1417" w:left="1417" w:header="0" w:footer="1205" w:gutter="0"/>
          <w:pgNumType w:fmt="decimal"/>
          <w:cols w:space="720" w:num="1"/>
        </w:sectPr>
      </w:pPr>
    </w:p>
    <w:p>
      <w:pPr>
        <w:pStyle w:val="3"/>
        <w:jc w:val="both"/>
        <w:rPr>
          <w:rFonts w:hint="eastAsia" w:ascii="宋体" w:hAnsi="宋体" w:eastAsia="宋体" w:cs="宋体"/>
          <w:b/>
          <w:bCs/>
          <w:color w:val="auto"/>
          <w:sz w:val="32"/>
          <w:szCs w:val="22"/>
          <w:lang w:eastAsia="zh-CN"/>
        </w:rPr>
      </w:pPr>
      <w:r>
        <w:rPr>
          <w:rFonts w:hint="eastAsia" w:ascii="宋体" w:hAnsi="宋体" w:eastAsia="宋体" w:cs="宋体"/>
          <w:b/>
          <w:bCs/>
          <w:color w:val="auto"/>
          <w:sz w:val="28"/>
          <w:szCs w:val="28"/>
          <w:lang w:val="en-US" w:eastAsia="zh-CN"/>
        </w:rPr>
        <w:t>附件</w:t>
      </w:r>
      <w:r>
        <w:rPr>
          <w:rFonts w:hint="eastAsia" w:cs="宋体"/>
          <w:b/>
          <w:bCs/>
          <w:color w:val="auto"/>
          <w:sz w:val="28"/>
          <w:szCs w:val="28"/>
          <w:lang w:val="en-US" w:eastAsia="zh-CN"/>
        </w:rPr>
        <w:t>五</w:t>
      </w:r>
      <w:r>
        <w:rPr>
          <w:rFonts w:hint="eastAsia" w:ascii="宋体" w:hAnsi="宋体" w:eastAsia="宋体" w:cs="宋体"/>
          <w:b/>
          <w:bCs/>
          <w:color w:val="auto"/>
          <w:sz w:val="28"/>
          <w:szCs w:val="28"/>
          <w:lang w:val="en-US" w:eastAsia="zh-CN"/>
        </w:rPr>
        <w:t>：技术文件</w:t>
      </w:r>
      <w:r>
        <w:rPr>
          <w:rFonts w:hint="eastAsia" w:cs="宋体"/>
          <w:b/>
          <w:bCs/>
          <w:color w:val="auto"/>
          <w:sz w:val="28"/>
          <w:szCs w:val="28"/>
          <w:lang w:val="en-US" w:eastAsia="zh-CN"/>
        </w:rPr>
        <w:t>封套（正本）</w:t>
      </w:r>
      <w:r>
        <w:rPr>
          <w:rFonts w:hint="eastAsia" w:ascii="宋体" w:hAnsi="宋体" w:eastAsia="宋体" w:cs="宋体"/>
          <w:b/>
          <w:bCs/>
          <w:color w:val="auto"/>
          <w:sz w:val="28"/>
          <w:szCs w:val="28"/>
          <w:lang w:val="en-US" w:eastAsia="zh-CN"/>
        </w:rPr>
        <w:t xml:space="preserve"> </w:t>
      </w:r>
    </w:p>
    <w:p>
      <w:pPr>
        <w:pStyle w:val="3"/>
        <w:jc w:val="right"/>
        <w:rPr>
          <w:rFonts w:hint="eastAsia" w:ascii="宋体" w:hAnsi="宋体" w:eastAsia="宋体" w:cs="宋体"/>
          <w:b/>
          <w:bCs/>
          <w:color w:val="auto"/>
          <w:sz w:val="28"/>
          <w:szCs w:val="28"/>
        </w:rPr>
      </w:pPr>
    </w:p>
    <w:p>
      <w:pPr>
        <w:pStyle w:val="3"/>
        <w:jc w:val="both"/>
        <w:rPr>
          <w:rFonts w:hint="eastAsia" w:ascii="宋体" w:hAnsi="宋体" w:eastAsia="宋体" w:cs="宋体"/>
          <w:b/>
          <w:bCs/>
          <w:color w:val="auto"/>
          <w:sz w:val="20"/>
        </w:rPr>
      </w:pPr>
    </w:p>
    <w:p>
      <w:pPr>
        <w:pStyle w:val="3"/>
        <w:spacing w:before="9"/>
        <w:jc w:val="both"/>
        <w:rPr>
          <w:rFonts w:hint="eastAsia" w:ascii="宋体" w:hAnsi="宋体" w:eastAsia="宋体" w:cs="宋体"/>
          <w:b/>
          <w:bCs/>
          <w:color w:val="auto"/>
          <w:sz w:val="25"/>
        </w:rPr>
      </w:pP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湛江经开区老旧小区改造项目</w:t>
      </w: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（一期一标）EPC</w:t>
      </w: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0"/>
        </w:rPr>
      </w:pPr>
    </w:p>
    <w:p>
      <w:pPr>
        <w:tabs>
          <w:tab w:val="left" w:pos="880"/>
          <w:tab w:val="left" w:pos="1761"/>
          <w:tab w:val="left" w:pos="2639"/>
        </w:tabs>
        <w:spacing w:before="37"/>
        <w:ind w:right="582"/>
        <w:jc w:val="center"/>
        <w:rPr>
          <w:rFonts w:hint="eastAsia" w:ascii="宋体" w:hAnsi="宋体" w:eastAsia="宋体" w:cs="宋体"/>
          <w:b/>
          <w:color w:val="auto"/>
          <w:sz w:val="52"/>
          <w:szCs w:val="52"/>
        </w:rPr>
      </w:pPr>
    </w:p>
    <w:p>
      <w:pPr>
        <w:tabs>
          <w:tab w:val="left" w:pos="880"/>
          <w:tab w:val="left" w:pos="1761"/>
          <w:tab w:val="left" w:pos="2639"/>
        </w:tabs>
        <w:spacing w:before="37"/>
        <w:ind w:right="582"/>
        <w:jc w:val="center"/>
        <w:rPr>
          <w:rFonts w:hint="eastAsia" w:ascii="宋体" w:hAnsi="宋体" w:eastAsia="宋体" w:cs="宋体"/>
          <w:b/>
          <w:color w:val="auto"/>
          <w:sz w:val="52"/>
          <w:szCs w:val="52"/>
        </w:rPr>
      </w:pPr>
    </w:p>
    <w:p>
      <w:pPr>
        <w:tabs>
          <w:tab w:val="left" w:pos="880"/>
          <w:tab w:val="left" w:pos="1761"/>
          <w:tab w:val="left" w:pos="2639"/>
        </w:tabs>
        <w:spacing w:before="37"/>
        <w:ind w:right="582"/>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技术文件</w:t>
      </w: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rPr>
          <w:rFonts w:hint="eastAsia" w:ascii="宋体" w:hAnsi="宋体" w:eastAsia="宋体" w:cs="宋体"/>
          <w:color w:val="auto"/>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r>
        <w:rPr>
          <w:rFonts w:hint="eastAsia" w:ascii="宋体" w:hAnsi="宋体" w:eastAsia="宋体" w:cs="宋体"/>
          <w:color w:val="auto"/>
          <w:sz w:val="32"/>
          <w:szCs w:val="32"/>
        </w:rPr>
        <w:t>日期：</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ab/>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u w:val="single"/>
        </w:rPr>
        <w:tab/>
      </w:r>
      <w:r>
        <w:rPr>
          <w:rFonts w:hint="eastAsia" w:ascii="宋体" w:hAnsi="宋体" w:eastAsia="宋体" w:cs="宋体"/>
          <w:color w:val="auto"/>
          <w:sz w:val="32"/>
          <w:szCs w:val="32"/>
        </w:rPr>
        <w:t>月</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日</w:t>
      </w:r>
    </w:p>
    <w:p>
      <w:pPr>
        <w:rPr>
          <w:rFonts w:hint="eastAsia" w:ascii="宋体" w:hAnsi="宋体" w:eastAsia="宋体" w:cs="宋体"/>
          <w:color w:val="auto"/>
          <w:sz w:val="32"/>
          <w:szCs w:val="32"/>
        </w:rPr>
      </w:pPr>
    </w:p>
    <w:p>
      <w:pPr>
        <w:pStyle w:val="2"/>
        <w:rPr>
          <w:rFonts w:hint="eastAsia" w:ascii="宋体" w:hAnsi="宋体" w:eastAsia="宋体" w:cs="宋体"/>
          <w:color w:val="auto"/>
          <w:sz w:val="32"/>
          <w:szCs w:val="32"/>
        </w:rPr>
      </w:pPr>
    </w:p>
    <w:p>
      <w:pPr>
        <w:pStyle w:val="3"/>
        <w:jc w:val="both"/>
        <w:rPr>
          <w:rFonts w:hint="eastAsia" w:ascii="宋体" w:hAnsi="宋体" w:eastAsia="宋体" w:cs="宋体"/>
          <w:b/>
          <w:bCs/>
          <w:color w:val="auto"/>
          <w:sz w:val="32"/>
          <w:szCs w:val="22"/>
          <w:lang w:eastAsia="zh-CN"/>
        </w:rPr>
      </w:pPr>
      <w:r>
        <w:rPr>
          <w:rFonts w:hint="eastAsia" w:ascii="宋体" w:hAnsi="宋体" w:eastAsia="宋体" w:cs="宋体"/>
          <w:b/>
          <w:bCs/>
          <w:color w:val="auto"/>
          <w:sz w:val="28"/>
          <w:szCs w:val="28"/>
          <w:lang w:val="en-US" w:eastAsia="zh-CN"/>
        </w:rPr>
        <w:t>附件</w:t>
      </w:r>
      <w:r>
        <w:rPr>
          <w:rFonts w:hint="eastAsia" w:cs="宋体"/>
          <w:b/>
          <w:bCs/>
          <w:color w:val="auto"/>
          <w:sz w:val="28"/>
          <w:szCs w:val="28"/>
          <w:lang w:val="en-US" w:eastAsia="zh-CN"/>
        </w:rPr>
        <w:t>六</w:t>
      </w:r>
      <w:r>
        <w:rPr>
          <w:rFonts w:hint="eastAsia" w:ascii="宋体" w:hAnsi="宋体" w:eastAsia="宋体" w:cs="宋体"/>
          <w:b/>
          <w:bCs/>
          <w:color w:val="auto"/>
          <w:sz w:val="28"/>
          <w:szCs w:val="28"/>
          <w:lang w:val="en-US" w:eastAsia="zh-CN"/>
        </w:rPr>
        <w:t>：技术文件</w:t>
      </w:r>
      <w:r>
        <w:rPr>
          <w:rFonts w:hint="eastAsia" w:cs="宋体"/>
          <w:b/>
          <w:bCs/>
          <w:color w:val="auto"/>
          <w:sz w:val="28"/>
          <w:szCs w:val="28"/>
          <w:lang w:val="en-US" w:eastAsia="zh-CN"/>
        </w:rPr>
        <w:t>封套（副本）</w:t>
      </w:r>
      <w:r>
        <w:rPr>
          <w:rFonts w:hint="eastAsia" w:ascii="宋体" w:hAnsi="宋体" w:eastAsia="宋体" w:cs="宋体"/>
          <w:b/>
          <w:bCs/>
          <w:color w:val="auto"/>
          <w:sz w:val="28"/>
          <w:szCs w:val="28"/>
          <w:lang w:val="en-US" w:eastAsia="zh-CN"/>
        </w:rPr>
        <w:t xml:space="preserve"> </w:t>
      </w:r>
    </w:p>
    <w:p>
      <w:pPr>
        <w:pStyle w:val="3"/>
        <w:jc w:val="right"/>
        <w:rPr>
          <w:rFonts w:hint="eastAsia" w:ascii="宋体" w:hAnsi="宋体" w:eastAsia="宋体" w:cs="宋体"/>
          <w:b/>
          <w:bCs/>
          <w:color w:val="auto"/>
          <w:sz w:val="28"/>
          <w:szCs w:val="28"/>
        </w:rPr>
      </w:pPr>
    </w:p>
    <w:p>
      <w:pPr>
        <w:pStyle w:val="3"/>
        <w:jc w:val="both"/>
        <w:rPr>
          <w:rFonts w:hint="eastAsia" w:ascii="宋体" w:hAnsi="宋体" w:eastAsia="宋体" w:cs="宋体"/>
          <w:b/>
          <w:bCs/>
          <w:color w:val="auto"/>
          <w:sz w:val="20"/>
        </w:rPr>
      </w:pPr>
    </w:p>
    <w:p>
      <w:pPr>
        <w:pStyle w:val="3"/>
        <w:spacing w:before="9"/>
        <w:jc w:val="both"/>
        <w:rPr>
          <w:rFonts w:hint="eastAsia" w:ascii="宋体" w:hAnsi="宋体" w:eastAsia="宋体" w:cs="宋体"/>
          <w:b/>
          <w:bCs/>
          <w:color w:val="auto"/>
          <w:sz w:val="25"/>
        </w:rPr>
      </w:pP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湛江经开区老旧小区改造项目</w:t>
      </w:r>
    </w:p>
    <w:p>
      <w:pPr>
        <w:pStyle w:val="3"/>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（一期一标）EPC</w:t>
      </w:r>
    </w:p>
    <w:p>
      <w:pPr>
        <w:pStyle w:val="3"/>
        <w:jc w:val="both"/>
        <w:rPr>
          <w:rFonts w:hint="eastAsia" w:ascii="宋体" w:hAnsi="宋体" w:eastAsia="宋体" w:cs="宋体"/>
          <w:color w:val="auto"/>
          <w:sz w:val="20"/>
        </w:rPr>
      </w:pPr>
    </w:p>
    <w:p>
      <w:pPr>
        <w:pStyle w:val="3"/>
        <w:jc w:val="both"/>
        <w:rPr>
          <w:rFonts w:hint="eastAsia" w:ascii="宋体" w:hAnsi="宋体" w:eastAsia="宋体" w:cs="宋体"/>
          <w:color w:val="auto"/>
          <w:sz w:val="20"/>
        </w:rPr>
      </w:pPr>
    </w:p>
    <w:p>
      <w:pPr>
        <w:tabs>
          <w:tab w:val="left" w:pos="880"/>
          <w:tab w:val="left" w:pos="1761"/>
          <w:tab w:val="left" w:pos="2639"/>
        </w:tabs>
        <w:spacing w:before="37"/>
        <w:ind w:right="582"/>
        <w:jc w:val="center"/>
        <w:rPr>
          <w:rFonts w:hint="eastAsia" w:ascii="宋体" w:hAnsi="宋体" w:eastAsia="宋体" w:cs="宋体"/>
          <w:b/>
          <w:color w:val="auto"/>
          <w:sz w:val="52"/>
          <w:szCs w:val="52"/>
        </w:rPr>
      </w:pPr>
    </w:p>
    <w:p>
      <w:pPr>
        <w:tabs>
          <w:tab w:val="left" w:pos="880"/>
          <w:tab w:val="left" w:pos="1761"/>
          <w:tab w:val="left" w:pos="2639"/>
        </w:tabs>
        <w:spacing w:before="37"/>
        <w:ind w:right="582"/>
        <w:jc w:val="center"/>
        <w:rPr>
          <w:rFonts w:hint="eastAsia" w:ascii="宋体" w:hAnsi="宋体" w:eastAsia="宋体" w:cs="宋体"/>
          <w:b/>
          <w:color w:val="auto"/>
          <w:sz w:val="52"/>
          <w:szCs w:val="52"/>
        </w:rPr>
      </w:pPr>
    </w:p>
    <w:p>
      <w:pPr>
        <w:tabs>
          <w:tab w:val="left" w:pos="880"/>
          <w:tab w:val="left" w:pos="1761"/>
          <w:tab w:val="left" w:pos="2639"/>
        </w:tabs>
        <w:spacing w:before="37"/>
        <w:ind w:right="582"/>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技术文件</w:t>
      </w:r>
    </w:p>
    <w:p>
      <w:pPr>
        <w:pStyle w:val="3"/>
        <w:jc w:val="both"/>
        <w:rPr>
          <w:rFonts w:hint="eastAsia" w:ascii="宋体" w:hAnsi="宋体" w:eastAsia="宋体" w:cs="宋体"/>
          <w:color w:val="auto"/>
          <w:sz w:val="28"/>
        </w:rPr>
      </w:pPr>
    </w:p>
    <w:p>
      <w:pPr>
        <w:pStyle w:val="3"/>
        <w:jc w:val="both"/>
        <w:rPr>
          <w:rFonts w:hint="eastAsia" w:ascii="宋体" w:hAnsi="宋体" w:eastAsia="宋体" w:cs="宋体"/>
          <w:color w:val="auto"/>
          <w:sz w:val="28"/>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rPr>
          <w:rFonts w:hint="eastAsia" w:ascii="宋体" w:hAnsi="宋体" w:eastAsia="宋体" w:cs="宋体"/>
          <w:color w:val="auto"/>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pStyle w:val="11"/>
        <w:tabs>
          <w:tab w:val="left" w:pos="1118"/>
          <w:tab w:val="left" w:pos="2519"/>
          <w:tab w:val="left" w:pos="4058"/>
        </w:tabs>
        <w:spacing w:before="62" w:line="480" w:lineRule="auto"/>
        <w:ind w:right="585"/>
        <w:jc w:val="center"/>
        <w:rPr>
          <w:rFonts w:hint="eastAsia" w:ascii="宋体" w:hAnsi="宋体" w:eastAsia="宋体" w:cs="宋体"/>
          <w:color w:val="auto"/>
          <w:sz w:val="32"/>
          <w:szCs w:val="32"/>
        </w:rPr>
      </w:pPr>
    </w:p>
    <w:p>
      <w:pPr>
        <w:pStyle w:val="2"/>
        <w:rPr>
          <w:rFonts w:hint="eastAsia" w:ascii="宋体" w:hAnsi="宋体" w:eastAsia="宋体" w:cs="宋体"/>
          <w:b/>
          <w:bCs/>
          <w:color w:val="auto"/>
          <w:sz w:val="32"/>
          <w:szCs w:val="32"/>
        </w:rPr>
      </w:pPr>
      <w:r>
        <w:rPr>
          <w:rFonts w:hint="eastAsia" w:ascii="宋体" w:hAnsi="宋体" w:eastAsia="宋体" w:cs="宋体"/>
          <w:b/>
          <w:bCs/>
          <w:color w:val="auto"/>
          <w:sz w:val="32"/>
          <w:szCs w:val="32"/>
        </w:rPr>
        <w:t>日期：</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rPr>
        <w:tab/>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rPr>
        <w:tab/>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pPr>
        <w:pStyle w:val="3"/>
        <w:spacing w:before="1"/>
        <w:jc w:val="both"/>
        <w:rPr>
          <w:rFonts w:hint="eastAsia" w:ascii="宋体" w:hAnsi="宋体" w:eastAsia="宋体" w:cs="宋体"/>
          <w:color w:val="auto"/>
          <w:sz w:val="11"/>
        </w:rPr>
      </w:pPr>
    </w:p>
    <w:p>
      <w:pPr>
        <w:jc w:val="center"/>
        <w:rPr>
          <w:rFonts w:hint="eastAsia" w:ascii="宋体" w:hAnsi="宋体" w:eastAsia="宋体" w:cs="宋体"/>
          <w:b/>
          <w:color w:val="auto"/>
          <w:sz w:val="48"/>
          <w:szCs w:val="48"/>
        </w:rPr>
      </w:pPr>
    </w:p>
    <w:p>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w:t>
      </w:r>
      <w:r>
        <w:rPr>
          <w:rFonts w:hint="eastAsia" w:ascii="宋体" w:hAnsi="宋体" w:eastAsia="宋体" w:cs="宋体"/>
          <w:b/>
          <w:color w:val="auto"/>
          <w:sz w:val="48"/>
          <w:szCs w:val="48"/>
        </w:rPr>
        <w:tab/>
      </w:r>
      <w:r>
        <w:rPr>
          <w:rFonts w:hint="eastAsia" w:ascii="宋体" w:hAnsi="宋体" w:eastAsia="宋体" w:cs="宋体"/>
          <w:b/>
          <w:color w:val="auto"/>
          <w:sz w:val="48"/>
          <w:szCs w:val="48"/>
        </w:rPr>
        <w:t>录</w:t>
      </w:r>
    </w:p>
    <w:p>
      <w:pPr>
        <w:spacing w:line="480" w:lineRule="auto"/>
        <w:rPr>
          <w:rFonts w:hint="eastAsia" w:ascii="宋体" w:hAnsi="宋体" w:eastAsia="宋体" w:cs="宋体"/>
          <w:b/>
          <w:bCs/>
          <w:color w:val="auto"/>
          <w:sz w:val="28"/>
          <w:szCs w:val="28"/>
        </w:rPr>
      </w:pP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一、投标函及投标函附录</w:t>
      </w: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二、法定代表人身份证明或授权委托书</w:t>
      </w: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三、联合体协议书</w:t>
      </w: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四、投标保证金承诺书</w:t>
      </w: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五、资格审查资料</w:t>
      </w:r>
    </w:p>
    <w:p>
      <w:pPr>
        <w:spacing w:line="48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六、其他资料</w:t>
      </w:r>
    </w:p>
    <w:p>
      <w:pPr>
        <w:spacing w:line="267" w:lineRule="exact"/>
        <w:rPr>
          <w:rFonts w:hint="eastAsia" w:ascii="宋体" w:hAnsi="宋体" w:eastAsia="宋体" w:cs="宋体"/>
          <w:color w:val="auto"/>
          <w:sz w:val="28"/>
          <w:szCs w:val="28"/>
        </w:rPr>
      </w:pPr>
    </w:p>
    <w:p>
      <w:pPr>
        <w:pStyle w:val="2"/>
        <w:ind w:firstLine="210"/>
        <w:rPr>
          <w:rFonts w:hint="eastAsia" w:ascii="宋体" w:hAnsi="宋体" w:eastAsia="宋体" w:cs="宋体"/>
          <w:color w:val="auto"/>
          <w:sz w:val="28"/>
          <w:szCs w:val="28"/>
        </w:rPr>
      </w:pPr>
    </w:p>
    <w:p>
      <w:pPr>
        <w:pStyle w:val="2"/>
        <w:ind w:firstLine="0" w:firstLineChars="0"/>
        <w:rPr>
          <w:rFonts w:hint="eastAsia" w:ascii="宋体" w:hAnsi="宋体" w:eastAsia="宋体" w:cs="宋体"/>
          <w:b/>
          <w:bCs/>
          <w:color w:val="auto"/>
          <w:sz w:val="28"/>
          <w:szCs w:val="28"/>
        </w:rPr>
        <w:sectPr>
          <w:pgSz w:w="11910" w:h="16840"/>
          <w:pgMar w:top="1417" w:right="1417" w:bottom="1417" w:left="1417" w:header="0" w:footer="1205" w:gutter="0"/>
          <w:pgNumType w:fmt="decimal"/>
          <w:cols w:space="720" w:num="1"/>
        </w:sectPr>
      </w:pPr>
      <w:r>
        <w:rPr>
          <w:rFonts w:hint="eastAsia" w:ascii="宋体" w:hAnsi="宋体" w:eastAsia="宋体" w:cs="宋体"/>
          <w:b/>
          <w:bCs/>
          <w:color w:val="auto"/>
          <w:sz w:val="28"/>
          <w:szCs w:val="28"/>
        </w:rPr>
        <w:t>注：以上目录需要做索引页码。</w:t>
      </w: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一、投标函及投标函附录</w:t>
      </w:r>
    </w:p>
    <w:p>
      <w:pPr>
        <w:pStyle w:val="11"/>
        <w:spacing w:before="242"/>
        <w:ind w:right="752"/>
        <w:jc w:val="center"/>
        <w:rPr>
          <w:rFonts w:hint="eastAsia" w:ascii="宋体" w:hAnsi="宋体" w:eastAsia="宋体" w:cs="宋体"/>
          <w:color w:val="auto"/>
        </w:rPr>
      </w:pPr>
      <w:r>
        <w:rPr>
          <w:rFonts w:hint="eastAsia" w:ascii="宋体" w:hAnsi="宋体" w:eastAsia="宋体" w:cs="宋体"/>
          <w:color w:val="auto"/>
        </w:rPr>
        <w:t>（一）投标函</w:t>
      </w:r>
    </w:p>
    <w:p>
      <w:pPr>
        <w:rPr>
          <w:rFonts w:hint="eastAsia" w:ascii="宋体" w:hAnsi="宋体" w:eastAsia="宋体" w:cs="宋体"/>
          <w:color w:val="auto"/>
        </w:rPr>
      </w:pPr>
      <w:r>
        <w:rPr>
          <w:rFonts w:hint="eastAsia" w:ascii="宋体" w:hAnsi="宋体" w:eastAsia="宋体" w:cs="宋体"/>
          <w:color w:val="auto"/>
        </w:rPr>
        <w:t>（招标人名称）：</w:t>
      </w:r>
    </w:p>
    <w:p>
      <w:pPr>
        <w:ind w:firstLine="480" w:firstLineChars="200"/>
        <w:rPr>
          <w:rFonts w:hint="eastAsia" w:ascii="宋体" w:hAnsi="宋体" w:eastAsia="宋体" w:cs="宋体"/>
          <w:color w:val="auto"/>
        </w:rPr>
      </w:pPr>
      <w:r>
        <w:rPr>
          <w:rFonts w:hint="eastAsia" w:ascii="宋体" w:hAnsi="宋体" w:eastAsia="宋体" w:cs="宋体"/>
          <w:color w:val="auto"/>
        </w:rPr>
        <w:t>1．我方已仔细研究了</w:t>
      </w:r>
      <w:r>
        <w:rPr>
          <w:rFonts w:hint="eastAsia" w:ascii="宋体" w:hAnsi="宋体" w:eastAsia="宋体" w:cs="宋体"/>
          <w:color w:val="auto"/>
          <w:u w:val="single"/>
        </w:rPr>
        <w:t>（项目名称）</w:t>
      </w:r>
      <w:r>
        <w:rPr>
          <w:rFonts w:hint="eastAsia" w:ascii="宋体" w:hAnsi="宋体" w:eastAsia="宋体" w:cs="宋体"/>
          <w:color w:val="auto"/>
        </w:rPr>
        <w:t>招标文件的全部内容，愿意以投标总报价</w:t>
      </w:r>
      <w:r>
        <w:rPr>
          <w:rFonts w:hint="eastAsia" w:ascii="宋体" w:hAnsi="宋体" w:eastAsia="宋体" w:cs="宋体"/>
          <w:color w:val="auto"/>
          <w:u w:val="single"/>
        </w:rPr>
        <w:t xml:space="preserve">     </w:t>
      </w:r>
      <w:r>
        <w:rPr>
          <w:rFonts w:hint="eastAsia" w:ascii="宋体" w:hAnsi="宋体" w:eastAsia="宋体" w:cs="宋体"/>
          <w:color w:val="auto"/>
        </w:rPr>
        <w:t>元，其中工程费用为</w:t>
      </w:r>
      <w:r>
        <w:rPr>
          <w:rFonts w:hint="eastAsia" w:ascii="宋体" w:hAnsi="宋体" w:eastAsia="宋体" w:cs="宋体"/>
          <w:color w:val="auto"/>
          <w:u w:val="single"/>
        </w:rPr>
        <w:t xml:space="preserve">      </w:t>
      </w:r>
      <w:r>
        <w:rPr>
          <w:rFonts w:hint="eastAsia" w:ascii="宋体" w:hAnsi="宋体" w:eastAsia="宋体" w:cs="宋体"/>
          <w:color w:val="auto"/>
        </w:rPr>
        <w:t>元，施工图设计费为</w:t>
      </w:r>
      <w:r>
        <w:rPr>
          <w:rFonts w:hint="eastAsia" w:ascii="宋体" w:hAnsi="宋体" w:eastAsia="宋体" w:cs="宋体"/>
          <w:color w:val="auto"/>
          <w:u w:val="single"/>
        </w:rPr>
        <w:t xml:space="preserve">     </w:t>
      </w:r>
      <w:r>
        <w:rPr>
          <w:rFonts w:hint="eastAsia" w:ascii="宋体" w:hAnsi="宋体" w:eastAsia="宋体" w:cs="宋体"/>
          <w:color w:val="auto"/>
        </w:rPr>
        <w:t>元 （保留小数点后两位），下浮率</w:t>
      </w:r>
      <w:r>
        <w:rPr>
          <w:rFonts w:hint="eastAsia" w:ascii="宋体" w:hAnsi="宋体" w:eastAsia="宋体" w:cs="宋体"/>
          <w:color w:val="auto"/>
          <w:u w:val="single"/>
        </w:rPr>
        <w:t xml:space="preserve">   </w:t>
      </w:r>
      <w:r>
        <w:rPr>
          <w:rFonts w:hint="eastAsia" w:ascii="宋体" w:hAnsi="宋体" w:eastAsia="宋体" w:cs="宋体"/>
          <w:color w:val="auto"/>
        </w:rPr>
        <w:t>%</w:t>
      </w:r>
      <w:r>
        <w:rPr>
          <w:rFonts w:hint="eastAsia" w:ascii="宋体" w:hAnsi="宋体" w:eastAsia="宋体" w:cs="宋体"/>
          <w:color w:val="auto"/>
          <w:szCs w:val="24"/>
        </w:rPr>
        <w:t>（以百分比为单位，精确到小数点后2位）</w:t>
      </w:r>
      <w:r>
        <w:rPr>
          <w:rFonts w:hint="eastAsia" w:ascii="宋体" w:hAnsi="宋体" w:eastAsia="宋体" w:cs="宋体"/>
          <w:color w:val="auto"/>
        </w:rPr>
        <w:t>，按合同约定进行设计、实施和施工、竣工承包工程，修补工程中的任何缺陷，实现工程目的。</w:t>
      </w:r>
    </w:p>
    <w:p>
      <w:pPr>
        <w:ind w:firstLine="480" w:firstLineChars="200"/>
        <w:rPr>
          <w:rFonts w:hint="eastAsia" w:ascii="宋体" w:hAnsi="宋体" w:eastAsia="宋体" w:cs="宋体"/>
          <w:color w:val="auto"/>
        </w:rPr>
      </w:pPr>
      <w:r>
        <w:rPr>
          <w:rFonts w:hint="eastAsia" w:ascii="宋体" w:hAnsi="宋体" w:eastAsia="宋体" w:cs="宋体"/>
          <w:color w:val="auto"/>
        </w:rPr>
        <w:t>2．我方承诺在招标文件规定的投标有效期内不修改、撤销投标文件。</w:t>
      </w:r>
    </w:p>
    <w:p>
      <w:pPr>
        <w:ind w:firstLine="480" w:firstLineChars="200"/>
        <w:rPr>
          <w:rFonts w:hint="eastAsia" w:ascii="宋体" w:hAnsi="宋体" w:eastAsia="宋体" w:cs="宋体"/>
          <w:color w:val="auto"/>
        </w:rPr>
      </w:pPr>
      <w:r>
        <w:rPr>
          <w:rFonts w:hint="eastAsia" w:ascii="宋体" w:hAnsi="宋体" w:eastAsia="宋体" w:cs="宋体"/>
          <w:color w:val="auto"/>
        </w:rPr>
        <w:t>3．随同本投标函提交投标保证金一份，金额为人民币（大写</w:t>
      </w:r>
      <w:r>
        <w:rPr>
          <w:rFonts w:hint="eastAsia" w:ascii="宋体" w:hAnsi="宋体" w:eastAsia="宋体" w:cs="宋体"/>
          <w:color w:val="auto"/>
          <w:u w:val="single"/>
        </w:rPr>
        <w:t xml:space="preserve">     </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pPr>
        <w:ind w:firstLine="480" w:firstLineChars="200"/>
        <w:rPr>
          <w:rFonts w:hint="eastAsia" w:ascii="宋体" w:hAnsi="宋体" w:eastAsia="宋体" w:cs="宋体"/>
          <w:color w:val="auto"/>
        </w:rPr>
      </w:pPr>
      <w:r>
        <w:rPr>
          <w:rFonts w:hint="eastAsia" w:ascii="宋体" w:hAnsi="宋体" w:eastAsia="宋体" w:cs="宋体"/>
          <w:color w:val="auto"/>
        </w:rPr>
        <w:t>4．如我方中标：</w:t>
      </w:r>
    </w:p>
    <w:p>
      <w:pPr>
        <w:ind w:firstLine="820" w:firstLineChars="342"/>
        <w:rPr>
          <w:rFonts w:hint="eastAsia" w:ascii="宋体" w:hAnsi="宋体" w:eastAsia="宋体" w:cs="宋体"/>
          <w:color w:val="auto"/>
        </w:rPr>
      </w:pPr>
      <w:r>
        <w:rPr>
          <w:rFonts w:hint="eastAsia" w:ascii="宋体" w:hAnsi="宋体" w:eastAsia="宋体" w:cs="宋体"/>
          <w:color w:val="auto"/>
        </w:rPr>
        <w:t>（1）我方承诺在收到中标通知书后，在中标通知书规定的期限内与你方签订合同。</w:t>
      </w:r>
    </w:p>
    <w:p>
      <w:pPr>
        <w:ind w:firstLine="820" w:firstLineChars="342"/>
        <w:rPr>
          <w:rFonts w:hint="eastAsia" w:ascii="宋体" w:hAnsi="宋体" w:eastAsia="宋体" w:cs="宋体"/>
          <w:color w:val="auto"/>
        </w:rPr>
      </w:pPr>
      <w:r>
        <w:rPr>
          <w:rFonts w:hint="eastAsia" w:ascii="宋体" w:hAnsi="宋体" w:eastAsia="宋体" w:cs="宋体"/>
          <w:color w:val="auto"/>
        </w:rPr>
        <w:t>（2）随同本投标函递交的投标函附录属于合同文件的组成部分。</w:t>
      </w:r>
    </w:p>
    <w:p>
      <w:pPr>
        <w:ind w:firstLine="820" w:firstLineChars="342"/>
        <w:rPr>
          <w:rFonts w:hint="eastAsia" w:ascii="宋体" w:hAnsi="宋体" w:eastAsia="宋体" w:cs="宋体"/>
          <w:color w:val="auto"/>
        </w:rPr>
      </w:pPr>
      <w:r>
        <w:rPr>
          <w:rFonts w:hint="eastAsia" w:ascii="宋体" w:hAnsi="宋体" w:eastAsia="宋体" w:cs="宋体"/>
          <w:color w:val="auto"/>
        </w:rPr>
        <w:t>（3）我方承诺按照招标文件规定向你方递交履约担保。</w:t>
      </w:r>
    </w:p>
    <w:p>
      <w:pPr>
        <w:ind w:firstLine="820" w:firstLineChars="342"/>
        <w:rPr>
          <w:rFonts w:hint="eastAsia" w:ascii="宋体" w:hAnsi="宋体" w:eastAsia="宋体" w:cs="宋体"/>
          <w:color w:val="auto"/>
        </w:rPr>
      </w:pPr>
      <w:r>
        <w:rPr>
          <w:rFonts w:hint="eastAsia" w:ascii="宋体" w:hAnsi="宋体" w:eastAsia="宋体" w:cs="宋体"/>
          <w:color w:val="auto"/>
        </w:rPr>
        <w:t>（4）我方承诺在合同约定的期限内完成并移交全部合同工程。</w:t>
      </w:r>
    </w:p>
    <w:p>
      <w:pPr>
        <w:ind w:firstLine="480" w:firstLineChars="200"/>
        <w:rPr>
          <w:rFonts w:hint="eastAsia" w:ascii="宋体" w:hAnsi="宋体" w:eastAsia="宋体" w:cs="宋体"/>
          <w:color w:val="auto"/>
        </w:rPr>
      </w:pPr>
      <w:r>
        <w:rPr>
          <w:rFonts w:hint="eastAsia" w:ascii="宋体" w:hAnsi="宋体" w:eastAsia="宋体" w:cs="宋体"/>
          <w:color w:val="auto"/>
        </w:rPr>
        <w:t>5．我方在此声明，所递交的投标文件及有关资料内容完整、真实和准确。</w:t>
      </w:r>
    </w:p>
    <w:p>
      <w:pPr>
        <w:ind w:firstLine="480" w:firstLineChars="200"/>
        <w:rPr>
          <w:rFonts w:hint="eastAsia" w:ascii="宋体" w:hAnsi="宋体" w:eastAsia="宋体" w:cs="宋体"/>
          <w:color w:val="auto"/>
        </w:rPr>
      </w:pPr>
      <w:r>
        <w:rPr>
          <w:rFonts w:hint="eastAsia" w:ascii="宋体" w:hAnsi="宋体" w:eastAsia="宋体" w:cs="宋体"/>
          <w:color w:val="auto"/>
        </w:rPr>
        <w:t>6．（其他补充说明）。</w:t>
      </w:r>
    </w:p>
    <w:p>
      <w:pPr>
        <w:spacing w:line="440" w:lineRule="exact"/>
        <w:ind w:firstLine="4200" w:firstLineChars="1750"/>
        <w:rPr>
          <w:rFonts w:hint="eastAsia" w:ascii="宋体" w:hAnsi="宋体" w:eastAsia="宋体" w:cs="宋体"/>
          <w:color w:val="auto"/>
        </w:rPr>
      </w:pPr>
    </w:p>
    <w:p>
      <w:pPr>
        <w:spacing w:line="440" w:lineRule="exact"/>
        <w:ind w:firstLine="4200" w:firstLineChars="1750"/>
        <w:rPr>
          <w:rFonts w:hint="eastAsia" w:ascii="宋体" w:hAnsi="宋体" w:eastAsia="宋体" w:cs="宋体"/>
          <w:color w:val="auto"/>
        </w:rPr>
      </w:pPr>
    </w:p>
    <w:p>
      <w:pPr>
        <w:spacing w:line="440" w:lineRule="exact"/>
        <w:ind w:firstLine="4200" w:firstLineChars="1750"/>
        <w:rPr>
          <w:rFonts w:hint="eastAsia" w:ascii="宋体" w:hAnsi="宋体" w:eastAsia="宋体" w:cs="宋体"/>
          <w:color w:val="auto"/>
        </w:rPr>
      </w:pPr>
      <w:r>
        <w:rPr>
          <w:rFonts w:hint="eastAsia" w:ascii="宋体" w:hAnsi="宋体" w:eastAsia="宋体" w:cs="宋体"/>
          <w:color w:val="auto"/>
        </w:rPr>
        <w:t>投标人：（盖单位章）</w:t>
      </w:r>
    </w:p>
    <w:p>
      <w:pPr>
        <w:spacing w:line="440" w:lineRule="exact"/>
        <w:ind w:firstLine="4200" w:firstLineChars="1750"/>
        <w:rPr>
          <w:rFonts w:hint="eastAsia" w:ascii="宋体" w:hAnsi="宋体" w:eastAsia="宋体" w:cs="宋体"/>
          <w:color w:val="auto"/>
        </w:rPr>
      </w:pPr>
      <w:r>
        <w:rPr>
          <w:rFonts w:hint="eastAsia" w:ascii="宋体" w:hAnsi="宋体" w:eastAsia="宋体" w:cs="宋体"/>
          <w:color w:val="auto"/>
        </w:rPr>
        <w:t>法定代表人或其委托代理人：（签字）</w:t>
      </w:r>
    </w:p>
    <w:p>
      <w:pPr>
        <w:spacing w:line="440" w:lineRule="exact"/>
        <w:ind w:firstLine="4200" w:firstLineChars="1750"/>
        <w:rPr>
          <w:rFonts w:hint="eastAsia" w:ascii="宋体" w:hAnsi="宋体" w:eastAsia="宋体" w:cs="宋体"/>
          <w:color w:val="auto"/>
        </w:rPr>
      </w:pPr>
      <w:r>
        <w:rPr>
          <w:rFonts w:hint="eastAsia" w:ascii="宋体" w:hAnsi="宋体" w:eastAsia="宋体" w:cs="宋体"/>
          <w:color w:val="auto"/>
        </w:rPr>
        <w:t>地址：</w:t>
      </w:r>
    </w:p>
    <w:p>
      <w:pPr>
        <w:spacing w:line="440" w:lineRule="exact"/>
        <w:ind w:firstLine="4200" w:firstLineChars="1750"/>
        <w:rPr>
          <w:rFonts w:hint="eastAsia" w:ascii="宋体" w:hAnsi="宋体" w:eastAsia="宋体" w:cs="宋体"/>
          <w:color w:val="auto"/>
        </w:rPr>
      </w:pPr>
      <w:r>
        <w:rPr>
          <w:rFonts w:hint="eastAsia" w:ascii="宋体" w:hAnsi="宋体" w:eastAsia="宋体" w:cs="宋体"/>
          <w:color w:val="auto"/>
        </w:rPr>
        <w:t>电话：</w:t>
      </w:r>
    </w:p>
    <w:p>
      <w:pPr>
        <w:spacing w:line="440" w:lineRule="exact"/>
        <w:ind w:firstLine="4200" w:firstLineChars="1750"/>
        <w:rPr>
          <w:rFonts w:hint="eastAsia" w:ascii="宋体" w:hAnsi="宋体" w:eastAsia="宋体" w:cs="宋体"/>
          <w:color w:val="auto"/>
        </w:rPr>
      </w:pPr>
      <w:r>
        <w:rPr>
          <w:rFonts w:hint="eastAsia" w:ascii="宋体" w:hAnsi="宋体" w:eastAsia="宋体" w:cs="宋体"/>
          <w:color w:val="auto"/>
        </w:rPr>
        <w:t>日期：     年  月   日</w:t>
      </w:r>
    </w:p>
    <w:p>
      <w:pPr>
        <w:rPr>
          <w:rFonts w:hint="eastAsia" w:ascii="宋体" w:hAnsi="宋体" w:eastAsia="宋体" w:cs="宋体"/>
          <w:color w:val="auto"/>
          <w:sz w:val="21"/>
        </w:rPr>
        <w:sectPr>
          <w:pgSz w:w="11910" w:h="16840"/>
          <w:pgMar w:top="1440" w:right="1080" w:bottom="1440" w:left="1080" w:header="0" w:footer="1205" w:gutter="0"/>
          <w:pgNumType w:fmt="decimal"/>
          <w:cols w:space="720" w:num="1"/>
        </w:sectPr>
      </w:pPr>
    </w:p>
    <w:p>
      <w:pPr>
        <w:pStyle w:val="11"/>
        <w:ind w:right="756"/>
        <w:jc w:val="center"/>
        <w:rPr>
          <w:rFonts w:hint="eastAsia" w:ascii="宋体" w:hAnsi="宋体" w:eastAsia="宋体" w:cs="宋体"/>
          <w:color w:val="auto"/>
        </w:rPr>
      </w:pPr>
      <w:r>
        <w:rPr>
          <w:rFonts w:hint="eastAsia" w:ascii="宋体" w:hAnsi="宋体" w:eastAsia="宋体" w:cs="宋体"/>
          <w:color w:val="auto"/>
        </w:rPr>
        <w:t>（二）投标函附录</w:t>
      </w:r>
    </w:p>
    <w:tbl>
      <w:tblPr>
        <w:tblStyle w:val="49"/>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07"/>
        <w:gridCol w:w="534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20"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序号</w:t>
            </w:r>
          </w:p>
        </w:tc>
        <w:tc>
          <w:tcPr>
            <w:tcW w:w="1807"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条款名称</w:t>
            </w:r>
          </w:p>
        </w:tc>
        <w:tc>
          <w:tcPr>
            <w:tcW w:w="5349"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约定内容</w:t>
            </w:r>
          </w:p>
        </w:tc>
        <w:tc>
          <w:tcPr>
            <w:tcW w:w="982" w:type="dxa"/>
            <w:vAlign w:val="center"/>
          </w:tcPr>
          <w:p>
            <w:pPr>
              <w:jc w:val="center"/>
              <w:rPr>
                <w:rFonts w:hint="eastAsia" w:ascii="宋体" w:hAnsi="宋体" w:eastAsia="宋体" w:cs="宋体"/>
                <w:b/>
                <w:bCs/>
                <w:color w:val="auto"/>
              </w:rPr>
            </w:pPr>
            <w:r>
              <w:rPr>
                <w:rFonts w:hint="eastAsia" w:ascii="宋体" w:hAnsi="宋体" w:eastAsia="宋体" w:cs="宋体"/>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20" w:type="dxa"/>
            <w:vAlign w:val="center"/>
          </w:tcPr>
          <w:p>
            <w:pPr>
              <w:jc w:val="center"/>
              <w:rPr>
                <w:rFonts w:hint="eastAsia" w:ascii="宋体" w:hAnsi="宋体" w:eastAsia="宋体" w:cs="宋体"/>
                <w:color w:val="auto"/>
              </w:rPr>
            </w:pPr>
            <w:r>
              <w:rPr>
                <w:rFonts w:hint="eastAsia" w:ascii="宋体" w:hAnsi="宋体" w:eastAsia="宋体" w:cs="宋体"/>
                <w:color w:val="auto"/>
              </w:rPr>
              <w:t>1</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施工负责人</w:t>
            </w:r>
          </w:p>
        </w:tc>
        <w:tc>
          <w:tcPr>
            <w:tcW w:w="5349" w:type="dxa"/>
            <w:vAlign w:val="center"/>
          </w:tcPr>
          <w:p>
            <w:pPr>
              <w:rPr>
                <w:rFonts w:hint="eastAsia" w:ascii="宋体" w:hAnsi="宋体" w:eastAsia="宋体" w:cs="宋体"/>
                <w:color w:val="auto"/>
              </w:rPr>
            </w:pPr>
            <w:r>
              <w:rPr>
                <w:rFonts w:hint="eastAsia" w:ascii="宋体" w:hAnsi="宋体" w:eastAsia="宋体" w:cs="宋体"/>
                <w:color w:val="auto"/>
              </w:rPr>
              <w:t>姓名：</w:t>
            </w:r>
          </w:p>
          <w:p>
            <w:pPr>
              <w:rPr>
                <w:rFonts w:hint="eastAsia" w:ascii="宋体" w:hAnsi="宋体" w:eastAsia="宋体" w:cs="宋体"/>
                <w:color w:val="auto"/>
              </w:rPr>
            </w:pPr>
            <w:r>
              <w:rPr>
                <w:rFonts w:hint="eastAsia" w:ascii="宋体" w:hAnsi="宋体" w:eastAsia="宋体" w:cs="宋体"/>
                <w:color w:val="auto"/>
              </w:rPr>
              <w:t>注册建造师级别：</w:t>
            </w:r>
          </w:p>
        </w:tc>
        <w:tc>
          <w:tcPr>
            <w:tcW w:w="982" w:type="dxa"/>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20" w:type="dxa"/>
            <w:vAlign w:val="center"/>
          </w:tcPr>
          <w:p>
            <w:pPr>
              <w:jc w:val="center"/>
              <w:rPr>
                <w:rFonts w:hint="eastAsia" w:ascii="宋体" w:hAnsi="宋体" w:eastAsia="宋体" w:cs="宋体"/>
                <w:color w:val="auto"/>
              </w:rPr>
            </w:pPr>
            <w:r>
              <w:rPr>
                <w:rFonts w:hint="eastAsia" w:ascii="宋体" w:hAnsi="宋体" w:eastAsia="宋体" w:cs="宋体"/>
                <w:color w:val="auto"/>
              </w:rPr>
              <w:t>2</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设计负责人</w:t>
            </w:r>
          </w:p>
        </w:tc>
        <w:tc>
          <w:tcPr>
            <w:tcW w:w="5349" w:type="dxa"/>
            <w:vAlign w:val="center"/>
          </w:tcPr>
          <w:p>
            <w:pPr>
              <w:rPr>
                <w:rFonts w:hint="eastAsia" w:ascii="宋体" w:hAnsi="宋体" w:eastAsia="宋体" w:cs="宋体"/>
                <w:color w:val="auto"/>
              </w:rPr>
            </w:pPr>
            <w:r>
              <w:rPr>
                <w:rFonts w:hint="eastAsia" w:ascii="宋体" w:hAnsi="宋体" w:eastAsia="宋体" w:cs="宋体"/>
                <w:color w:val="auto"/>
              </w:rPr>
              <w:t>姓名：</w:t>
            </w:r>
          </w:p>
          <w:p>
            <w:pPr>
              <w:rPr>
                <w:rFonts w:hint="eastAsia" w:ascii="宋体" w:hAnsi="宋体" w:eastAsia="宋体" w:cs="宋体"/>
                <w:color w:val="auto"/>
              </w:rPr>
            </w:pPr>
            <w:r>
              <w:rPr>
                <w:rFonts w:hint="eastAsia" w:ascii="宋体" w:hAnsi="宋体" w:eastAsia="宋体" w:cs="宋体"/>
                <w:color w:val="auto"/>
              </w:rPr>
              <w:t>注册建筑师级别：</w:t>
            </w:r>
          </w:p>
        </w:tc>
        <w:tc>
          <w:tcPr>
            <w:tcW w:w="982" w:type="dxa"/>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20" w:type="dxa"/>
            <w:vAlign w:val="center"/>
          </w:tcPr>
          <w:p>
            <w:pPr>
              <w:jc w:val="center"/>
              <w:rPr>
                <w:rFonts w:hint="eastAsia" w:ascii="宋体" w:hAnsi="宋体" w:eastAsia="宋体" w:cs="宋体"/>
                <w:color w:val="auto"/>
              </w:rPr>
            </w:pPr>
            <w:r>
              <w:rPr>
                <w:rFonts w:hint="eastAsia" w:ascii="宋体" w:hAnsi="宋体" w:eastAsia="宋体" w:cs="宋体"/>
                <w:color w:val="auto"/>
              </w:rPr>
              <w:t>3</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专职安全员</w:t>
            </w:r>
          </w:p>
        </w:tc>
        <w:tc>
          <w:tcPr>
            <w:tcW w:w="5349" w:type="dxa"/>
            <w:vAlign w:val="center"/>
          </w:tcPr>
          <w:p>
            <w:pPr>
              <w:rPr>
                <w:rFonts w:hint="eastAsia" w:ascii="宋体" w:hAnsi="宋体" w:eastAsia="宋体" w:cs="宋体"/>
                <w:color w:val="auto"/>
              </w:rPr>
            </w:pPr>
            <w:r>
              <w:rPr>
                <w:rFonts w:hint="eastAsia" w:ascii="宋体" w:hAnsi="宋体" w:eastAsia="宋体" w:cs="宋体"/>
                <w:color w:val="auto"/>
              </w:rPr>
              <w:t>姓名：</w:t>
            </w:r>
          </w:p>
          <w:p>
            <w:pPr>
              <w:rPr>
                <w:rFonts w:hint="eastAsia" w:ascii="宋体" w:hAnsi="宋体" w:eastAsia="宋体" w:cs="宋体"/>
                <w:color w:val="auto"/>
              </w:rPr>
            </w:pPr>
            <w:r>
              <w:rPr>
                <w:rFonts w:hint="eastAsia" w:ascii="宋体" w:hAnsi="宋体" w:eastAsia="宋体" w:cs="宋体"/>
                <w:color w:val="auto"/>
              </w:rPr>
              <w:t>证书编号（资格）：</w:t>
            </w:r>
          </w:p>
        </w:tc>
        <w:tc>
          <w:tcPr>
            <w:tcW w:w="982" w:type="dxa"/>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0" w:type="dxa"/>
            <w:vAlign w:val="center"/>
          </w:tcPr>
          <w:p>
            <w:pPr>
              <w:jc w:val="center"/>
              <w:rPr>
                <w:rFonts w:hint="eastAsia" w:ascii="宋体" w:hAnsi="宋体" w:eastAsia="宋体" w:cs="宋体"/>
                <w:color w:val="auto"/>
              </w:rPr>
            </w:pPr>
            <w:r>
              <w:rPr>
                <w:rFonts w:hint="eastAsia" w:ascii="宋体" w:hAnsi="宋体" w:eastAsia="宋体" w:cs="宋体"/>
                <w:color w:val="auto"/>
              </w:rPr>
              <w:t>4</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工期</w:t>
            </w:r>
          </w:p>
        </w:tc>
        <w:tc>
          <w:tcPr>
            <w:tcW w:w="5349" w:type="dxa"/>
            <w:vAlign w:val="center"/>
          </w:tcPr>
          <w:p>
            <w:pPr>
              <w:rPr>
                <w:rFonts w:hint="eastAsia" w:ascii="宋体" w:hAnsi="宋体" w:eastAsia="宋体" w:cs="宋体"/>
                <w:color w:val="auto"/>
              </w:rPr>
            </w:pPr>
          </w:p>
        </w:tc>
        <w:tc>
          <w:tcPr>
            <w:tcW w:w="982" w:type="dxa"/>
            <w:vAlign w:val="center"/>
          </w:tcPr>
          <w:p>
            <w:pPr>
              <w:ind w:firstLine="820" w:firstLineChars="342"/>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0" w:type="dxa"/>
            <w:vAlign w:val="center"/>
          </w:tcPr>
          <w:p>
            <w:pPr>
              <w:jc w:val="center"/>
              <w:rPr>
                <w:rFonts w:hint="eastAsia" w:ascii="宋体" w:hAnsi="宋体" w:eastAsia="宋体" w:cs="宋体"/>
                <w:color w:val="auto"/>
              </w:rPr>
            </w:pPr>
            <w:r>
              <w:rPr>
                <w:rFonts w:hint="eastAsia" w:ascii="宋体" w:hAnsi="宋体" w:eastAsia="宋体" w:cs="宋体"/>
                <w:color w:val="auto"/>
              </w:rPr>
              <w:t>5</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设计质量目标</w:t>
            </w:r>
          </w:p>
        </w:tc>
        <w:tc>
          <w:tcPr>
            <w:tcW w:w="5349" w:type="dxa"/>
            <w:vAlign w:val="center"/>
          </w:tcPr>
          <w:p>
            <w:pPr>
              <w:rPr>
                <w:rFonts w:hint="eastAsia" w:ascii="宋体" w:hAnsi="宋体" w:eastAsia="宋体" w:cs="宋体"/>
                <w:color w:val="auto"/>
              </w:rPr>
            </w:pPr>
          </w:p>
        </w:tc>
        <w:tc>
          <w:tcPr>
            <w:tcW w:w="982" w:type="dxa"/>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0" w:type="dxa"/>
            <w:vAlign w:val="center"/>
          </w:tcPr>
          <w:p>
            <w:pPr>
              <w:jc w:val="center"/>
              <w:rPr>
                <w:rFonts w:hint="eastAsia" w:ascii="宋体" w:hAnsi="宋体" w:eastAsia="宋体" w:cs="宋体"/>
                <w:color w:val="auto"/>
              </w:rPr>
            </w:pPr>
            <w:r>
              <w:rPr>
                <w:rFonts w:hint="eastAsia" w:ascii="宋体" w:hAnsi="宋体" w:eastAsia="宋体" w:cs="宋体"/>
                <w:color w:val="auto"/>
              </w:rPr>
              <w:t>6</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施工质量目标</w:t>
            </w:r>
          </w:p>
        </w:tc>
        <w:tc>
          <w:tcPr>
            <w:tcW w:w="5349" w:type="dxa"/>
            <w:vAlign w:val="center"/>
          </w:tcPr>
          <w:p>
            <w:pPr>
              <w:rPr>
                <w:rFonts w:hint="eastAsia" w:ascii="宋体" w:hAnsi="宋体" w:eastAsia="宋体" w:cs="宋体"/>
                <w:color w:val="auto"/>
              </w:rPr>
            </w:pPr>
          </w:p>
        </w:tc>
        <w:tc>
          <w:tcPr>
            <w:tcW w:w="982" w:type="dxa"/>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0" w:type="dxa"/>
            <w:vMerge w:val="restart"/>
            <w:vAlign w:val="center"/>
          </w:tcPr>
          <w:p>
            <w:pPr>
              <w:jc w:val="center"/>
              <w:rPr>
                <w:rFonts w:hint="eastAsia" w:ascii="宋体" w:hAnsi="宋体" w:eastAsia="宋体" w:cs="宋体"/>
                <w:color w:val="auto"/>
              </w:rPr>
            </w:pPr>
            <w:r>
              <w:rPr>
                <w:rFonts w:hint="eastAsia" w:ascii="宋体" w:hAnsi="宋体" w:eastAsia="宋体" w:cs="宋体"/>
                <w:color w:val="auto"/>
              </w:rPr>
              <w:t>7</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投标总报价</w:t>
            </w:r>
          </w:p>
        </w:tc>
        <w:tc>
          <w:tcPr>
            <w:tcW w:w="5349" w:type="dxa"/>
            <w:vAlign w:val="center"/>
          </w:tcPr>
          <w:p>
            <w:pPr>
              <w:rPr>
                <w:rFonts w:hint="eastAsia" w:ascii="宋体" w:hAnsi="宋体" w:eastAsia="宋体" w:cs="宋体"/>
                <w:color w:val="auto"/>
              </w:rPr>
            </w:pPr>
          </w:p>
        </w:tc>
        <w:tc>
          <w:tcPr>
            <w:tcW w:w="982" w:type="dxa"/>
            <w:vAlign w:val="center"/>
          </w:tcPr>
          <w:p>
            <w:pPr>
              <w:ind w:firstLine="820" w:firstLineChars="342"/>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0" w:type="dxa"/>
            <w:vMerge w:val="continue"/>
            <w:vAlign w:val="center"/>
          </w:tcPr>
          <w:p>
            <w:pPr>
              <w:jc w:val="center"/>
              <w:rPr>
                <w:rFonts w:hint="eastAsia" w:ascii="宋体" w:hAnsi="宋体" w:eastAsia="宋体" w:cs="宋体"/>
                <w:color w:val="auto"/>
              </w:rPr>
            </w:pP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下浮率</w:t>
            </w:r>
          </w:p>
        </w:tc>
        <w:tc>
          <w:tcPr>
            <w:tcW w:w="5349" w:type="dxa"/>
            <w:vAlign w:val="center"/>
          </w:tcPr>
          <w:p>
            <w:pPr>
              <w:ind w:firstLine="1320" w:firstLineChars="550"/>
              <w:rPr>
                <w:rFonts w:hint="eastAsia" w:ascii="宋体" w:hAnsi="宋体" w:eastAsia="宋体" w:cs="宋体"/>
                <w:color w:val="auto"/>
              </w:rPr>
            </w:pPr>
            <w:r>
              <w:rPr>
                <w:rFonts w:hint="eastAsia" w:ascii="宋体" w:hAnsi="宋体" w:eastAsia="宋体" w:cs="宋体"/>
                <w:color w:val="auto"/>
              </w:rPr>
              <w:t>%</w:t>
            </w:r>
          </w:p>
        </w:tc>
        <w:tc>
          <w:tcPr>
            <w:tcW w:w="982" w:type="dxa"/>
            <w:vAlign w:val="center"/>
          </w:tcPr>
          <w:p>
            <w:pPr>
              <w:ind w:firstLine="820" w:firstLineChars="342"/>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0" w:type="dxa"/>
            <w:vAlign w:val="center"/>
          </w:tcPr>
          <w:p>
            <w:pPr>
              <w:jc w:val="center"/>
              <w:rPr>
                <w:rFonts w:hint="eastAsia" w:ascii="宋体" w:hAnsi="宋体" w:eastAsia="宋体" w:cs="宋体"/>
                <w:color w:val="auto"/>
              </w:rPr>
            </w:pPr>
            <w:r>
              <w:rPr>
                <w:rFonts w:hint="eastAsia" w:ascii="宋体" w:hAnsi="宋体" w:eastAsia="宋体" w:cs="宋体"/>
                <w:color w:val="auto"/>
              </w:rPr>
              <w:t>8</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投标保证金</w:t>
            </w:r>
          </w:p>
        </w:tc>
        <w:tc>
          <w:tcPr>
            <w:tcW w:w="5349" w:type="dxa"/>
            <w:vAlign w:val="center"/>
          </w:tcPr>
          <w:p>
            <w:pPr>
              <w:rPr>
                <w:rFonts w:hint="eastAsia" w:ascii="宋体" w:hAnsi="宋体" w:eastAsia="宋体" w:cs="宋体"/>
                <w:color w:val="auto"/>
              </w:rPr>
            </w:pPr>
          </w:p>
        </w:tc>
        <w:tc>
          <w:tcPr>
            <w:tcW w:w="982" w:type="dxa"/>
            <w:vAlign w:val="center"/>
          </w:tcPr>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20" w:type="dxa"/>
            <w:vAlign w:val="center"/>
          </w:tcPr>
          <w:p>
            <w:pPr>
              <w:jc w:val="center"/>
              <w:rPr>
                <w:rFonts w:hint="eastAsia" w:ascii="宋体" w:hAnsi="宋体" w:eastAsia="宋体" w:cs="宋体"/>
                <w:color w:val="auto"/>
              </w:rPr>
            </w:pPr>
            <w:r>
              <w:rPr>
                <w:rFonts w:hint="eastAsia" w:ascii="宋体" w:hAnsi="宋体" w:eastAsia="宋体" w:cs="宋体"/>
                <w:color w:val="auto"/>
              </w:rPr>
              <w:t>9</w:t>
            </w:r>
          </w:p>
        </w:tc>
        <w:tc>
          <w:tcPr>
            <w:tcW w:w="1807" w:type="dxa"/>
            <w:vAlign w:val="center"/>
          </w:tcPr>
          <w:p>
            <w:pPr>
              <w:jc w:val="center"/>
              <w:rPr>
                <w:rFonts w:hint="eastAsia" w:ascii="宋体" w:hAnsi="宋体" w:eastAsia="宋体" w:cs="宋体"/>
                <w:color w:val="auto"/>
              </w:rPr>
            </w:pPr>
            <w:r>
              <w:rPr>
                <w:rFonts w:hint="eastAsia" w:ascii="宋体" w:hAnsi="宋体" w:eastAsia="宋体" w:cs="宋体"/>
                <w:color w:val="auto"/>
              </w:rPr>
              <w:t>投标有效期</w:t>
            </w:r>
          </w:p>
        </w:tc>
        <w:tc>
          <w:tcPr>
            <w:tcW w:w="5349" w:type="dxa"/>
            <w:vAlign w:val="center"/>
          </w:tcPr>
          <w:p>
            <w:pPr>
              <w:jc w:val="center"/>
              <w:rPr>
                <w:rFonts w:hint="eastAsia" w:ascii="宋体" w:hAnsi="宋体" w:eastAsia="宋体" w:cs="宋体"/>
                <w:color w:val="auto"/>
              </w:rPr>
            </w:pPr>
            <w:r>
              <w:rPr>
                <w:rFonts w:hint="eastAsia" w:ascii="宋体" w:hAnsi="宋体" w:eastAsia="宋体" w:cs="宋体"/>
                <w:color w:val="auto"/>
              </w:rPr>
              <w:t>90日历天</w:t>
            </w:r>
          </w:p>
        </w:tc>
        <w:tc>
          <w:tcPr>
            <w:tcW w:w="982" w:type="dxa"/>
            <w:vAlign w:val="center"/>
          </w:tcPr>
          <w:p>
            <w:pPr>
              <w:rPr>
                <w:rFonts w:hint="eastAsia" w:ascii="宋体" w:hAnsi="宋体" w:eastAsia="宋体" w:cs="宋体"/>
                <w:color w:val="auto"/>
              </w:rPr>
            </w:pPr>
          </w:p>
        </w:tc>
      </w:tr>
    </w:tbl>
    <w:p>
      <w:pPr>
        <w:rPr>
          <w:rFonts w:hint="eastAsia" w:ascii="宋体" w:hAnsi="宋体" w:eastAsia="宋体" w:cs="宋体"/>
          <w:color w:val="auto"/>
        </w:rPr>
      </w:pPr>
    </w:p>
    <w:p>
      <w:pPr>
        <w:pStyle w:val="3"/>
        <w:jc w:val="both"/>
        <w:rPr>
          <w:rFonts w:hint="eastAsia" w:ascii="宋体" w:hAnsi="宋体" w:eastAsia="宋体" w:cs="宋体"/>
          <w:color w:val="auto"/>
          <w:sz w:val="20"/>
        </w:rPr>
      </w:pPr>
    </w:p>
    <w:p>
      <w:pPr>
        <w:pStyle w:val="3"/>
        <w:spacing w:before="10"/>
        <w:jc w:val="both"/>
        <w:rPr>
          <w:rFonts w:hint="eastAsia" w:ascii="宋体" w:hAnsi="宋体" w:eastAsia="宋体" w:cs="宋体"/>
          <w:color w:val="auto"/>
          <w:sz w:val="15"/>
        </w:rPr>
      </w:pPr>
    </w:p>
    <w:p>
      <w:pPr>
        <w:rPr>
          <w:rFonts w:hint="eastAsia" w:ascii="宋体" w:hAnsi="宋体" w:eastAsia="宋体" w:cs="宋体"/>
          <w:color w:val="auto"/>
          <w:sz w:val="20"/>
        </w:rPr>
        <w:sectPr>
          <w:pgSz w:w="11910" w:h="16840"/>
          <w:pgMar w:top="1417" w:right="1417" w:bottom="1417" w:left="1417" w:header="0" w:footer="1205" w:gutter="0"/>
          <w:pgNumType w:fmt="decimal"/>
          <w:cols w:space="720" w:num="1"/>
        </w:sectPr>
      </w:pPr>
    </w:p>
    <w:p>
      <w:pPr>
        <w:pStyle w:val="3"/>
        <w:spacing w:before="4"/>
        <w:jc w:val="both"/>
        <w:rPr>
          <w:rFonts w:hint="eastAsia" w:ascii="宋体" w:hAnsi="宋体" w:eastAsia="宋体" w:cs="宋体"/>
          <w:color w:val="auto"/>
          <w:sz w:val="19"/>
        </w:r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二、法定代表人身份证明或授权委托书</w:t>
      </w:r>
    </w:p>
    <w:p>
      <w:pPr>
        <w:spacing w:before="360" w:beforeLines="15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（一）法定代表人身份证明</w:t>
      </w:r>
    </w:p>
    <w:p>
      <w:pPr>
        <w:tabs>
          <w:tab w:val="left" w:pos="5010"/>
        </w:tabs>
        <w:spacing w:before="281"/>
        <w:ind w:left="760"/>
        <w:rPr>
          <w:rFonts w:hint="eastAsia" w:ascii="宋体" w:hAnsi="宋体" w:eastAsia="宋体" w:cs="宋体"/>
          <w:color w:val="auto"/>
          <w:szCs w:val="24"/>
        </w:rPr>
      </w:pPr>
      <w:r>
        <w:rPr>
          <w:rFonts w:hint="eastAsia" w:ascii="宋体" w:hAnsi="宋体" w:eastAsia="宋体" w:cs="宋体"/>
          <w:color w:val="auto"/>
          <w:szCs w:val="24"/>
        </w:rPr>
        <w:t>投标</w:t>
      </w:r>
      <w:r>
        <w:rPr>
          <w:rFonts w:hint="eastAsia" w:ascii="宋体" w:hAnsi="宋体" w:eastAsia="宋体" w:cs="宋体"/>
          <w:color w:val="auto"/>
          <w:spacing w:val="-3"/>
          <w:szCs w:val="24"/>
        </w:rPr>
        <w:t>人</w:t>
      </w:r>
      <w:r>
        <w:rPr>
          <w:rFonts w:hint="eastAsia" w:ascii="宋体" w:hAnsi="宋体" w:eastAsia="宋体" w:cs="宋体"/>
          <w:color w:val="auto"/>
          <w:szCs w:val="24"/>
        </w:rPr>
        <w:t>名</w:t>
      </w:r>
      <w:r>
        <w:rPr>
          <w:rFonts w:hint="eastAsia" w:ascii="宋体" w:hAnsi="宋体" w:eastAsia="宋体" w:cs="宋体"/>
          <w:color w:val="auto"/>
          <w:spacing w:val="-3"/>
          <w:szCs w:val="24"/>
        </w:rPr>
        <w:t>称</w:t>
      </w:r>
      <w:r>
        <w:rPr>
          <w:rFonts w:hint="eastAsia" w:ascii="宋体" w:hAnsi="宋体" w:eastAsia="宋体" w:cs="宋体"/>
          <w:color w:val="auto"/>
          <w:szCs w:val="24"/>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p>
    <w:p>
      <w:pPr>
        <w:tabs>
          <w:tab w:val="left" w:pos="5113"/>
        </w:tabs>
        <w:spacing w:before="170"/>
        <w:ind w:left="760"/>
        <w:rPr>
          <w:rFonts w:hint="eastAsia" w:ascii="宋体" w:hAnsi="宋体" w:eastAsia="宋体" w:cs="宋体"/>
          <w:color w:val="auto"/>
          <w:szCs w:val="24"/>
        </w:rPr>
      </w:pPr>
      <w:r>
        <w:rPr>
          <w:rFonts w:hint="eastAsia" w:ascii="宋体" w:hAnsi="宋体" w:eastAsia="宋体" w:cs="宋体"/>
          <w:color w:val="auto"/>
          <w:szCs w:val="24"/>
        </w:rPr>
        <w:t>单位</w:t>
      </w:r>
      <w:r>
        <w:rPr>
          <w:rFonts w:hint="eastAsia" w:ascii="宋体" w:hAnsi="宋体" w:eastAsia="宋体" w:cs="宋体"/>
          <w:color w:val="auto"/>
          <w:spacing w:val="-3"/>
          <w:szCs w:val="24"/>
        </w:rPr>
        <w:t>性</w:t>
      </w:r>
      <w:r>
        <w:rPr>
          <w:rFonts w:hint="eastAsia" w:ascii="宋体" w:hAnsi="宋体" w:eastAsia="宋体" w:cs="宋体"/>
          <w:color w:val="auto"/>
          <w:szCs w:val="24"/>
        </w:rPr>
        <w:t>质</w:t>
      </w:r>
      <w:r>
        <w:rPr>
          <w:rFonts w:hint="eastAsia" w:ascii="宋体" w:hAnsi="宋体" w:eastAsia="宋体" w:cs="宋体"/>
          <w:color w:val="auto"/>
          <w:spacing w:val="-3"/>
          <w:szCs w:val="24"/>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p>
    <w:p>
      <w:pPr>
        <w:tabs>
          <w:tab w:val="left" w:pos="5113"/>
        </w:tabs>
        <w:spacing w:before="173"/>
        <w:ind w:left="760"/>
        <w:rPr>
          <w:rFonts w:hint="eastAsia" w:ascii="宋体" w:hAnsi="宋体" w:eastAsia="宋体" w:cs="宋体"/>
          <w:color w:val="auto"/>
          <w:szCs w:val="24"/>
        </w:rPr>
      </w:pPr>
      <w:r>
        <w:rPr>
          <w:rFonts w:hint="eastAsia" w:ascii="宋体" w:hAnsi="宋体" w:eastAsia="宋体" w:cs="宋体"/>
          <w:color w:val="auto"/>
          <w:szCs w:val="24"/>
        </w:rPr>
        <w:t>地址</w:t>
      </w:r>
      <w:r>
        <w:rPr>
          <w:rFonts w:hint="eastAsia" w:ascii="宋体" w:hAnsi="宋体" w:eastAsia="宋体" w:cs="宋体"/>
          <w:color w:val="auto"/>
          <w:spacing w:val="-3"/>
          <w:szCs w:val="24"/>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p>
    <w:p>
      <w:pPr>
        <w:tabs>
          <w:tab w:val="left" w:pos="2756"/>
          <w:tab w:val="left" w:pos="3699"/>
          <w:tab w:val="left" w:pos="4645"/>
        </w:tabs>
        <w:spacing w:before="170"/>
        <w:ind w:left="760"/>
        <w:rPr>
          <w:rFonts w:hint="eastAsia" w:ascii="宋体" w:hAnsi="宋体" w:eastAsia="宋体" w:cs="宋体"/>
          <w:color w:val="auto"/>
          <w:szCs w:val="24"/>
        </w:rPr>
      </w:pPr>
      <w:r>
        <w:rPr>
          <w:rFonts w:hint="eastAsia" w:ascii="宋体" w:hAnsi="宋体" w:eastAsia="宋体" w:cs="宋体"/>
          <w:color w:val="auto"/>
          <w:szCs w:val="24"/>
        </w:rPr>
        <w:t>成立</w:t>
      </w:r>
      <w:r>
        <w:rPr>
          <w:rFonts w:hint="eastAsia" w:ascii="宋体" w:hAnsi="宋体" w:eastAsia="宋体" w:cs="宋体"/>
          <w:color w:val="auto"/>
          <w:spacing w:val="-3"/>
          <w:szCs w:val="24"/>
        </w:rPr>
        <w:t>时</w:t>
      </w:r>
      <w:r>
        <w:rPr>
          <w:rFonts w:hint="eastAsia" w:ascii="宋体" w:hAnsi="宋体" w:eastAsia="宋体" w:cs="宋体"/>
          <w:color w:val="auto"/>
          <w:szCs w:val="24"/>
        </w:rPr>
        <w:t>间</w:t>
      </w:r>
      <w:r>
        <w:rPr>
          <w:rFonts w:hint="eastAsia" w:ascii="宋体" w:hAnsi="宋体" w:eastAsia="宋体" w:cs="宋体"/>
          <w:color w:val="auto"/>
          <w:spacing w:val="-3"/>
          <w:szCs w:val="24"/>
        </w:rPr>
        <w:t>：</w:t>
      </w:r>
      <w:r>
        <w:rPr>
          <w:rFonts w:hint="eastAsia" w:ascii="宋体" w:hAnsi="宋体" w:eastAsia="宋体" w:cs="宋体"/>
          <w:color w:val="auto"/>
          <w:spacing w:val="-3"/>
          <w:szCs w:val="24"/>
          <w:u w:val="single"/>
        </w:rPr>
        <w:t xml:space="preserve"> </w:t>
      </w:r>
      <w:r>
        <w:rPr>
          <w:rFonts w:hint="eastAsia" w:ascii="宋体" w:hAnsi="宋体" w:eastAsia="宋体" w:cs="宋体"/>
          <w:color w:val="auto"/>
          <w:spacing w:val="-3"/>
          <w:szCs w:val="24"/>
          <w:u w:val="single"/>
        </w:rPr>
        <w:tab/>
      </w:r>
      <w:r>
        <w:rPr>
          <w:rFonts w:hint="eastAsia" w:ascii="宋体" w:hAnsi="宋体" w:eastAsia="宋体" w:cs="宋体"/>
          <w:color w:val="auto"/>
          <w:szCs w:val="24"/>
        </w:rPr>
        <w:t>年</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日</w:t>
      </w:r>
    </w:p>
    <w:p>
      <w:pPr>
        <w:tabs>
          <w:tab w:val="left" w:pos="5113"/>
        </w:tabs>
        <w:spacing w:before="170"/>
        <w:ind w:left="760"/>
        <w:rPr>
          <w:rFonts w:hint="eastAsia" w:ascii="宋体" w:hAnsi="宋体" w:eastAsia="宋体" w:cs="宋体"/>
          <w:color w:val="auto"/>
          <w:szCs w:val="24"/>
        </w:rPr>
      </w:pPr>
      <w:r>
        <w:rPr>
          <w:rFonts w:hint="eastAsia" w:ascii="宋体" w:hAnsi="宋体" w:eastAsia="宋体" w:cs="宋体"/>
          <w:color w:val="auto"/>
          <w:szCs w:val="24"/>
        </w:rPr>
        <w:t>经营</w:t>
      </w:r>
      <w:r>
        <w:rPr>
          <w:rFonts w:hint="eastAsia" w:ascii="宋体" w:hAnsi="宋体" w:eastAsia="宋体" w:cs="宋体"/>
          <w:color w:val="auto"/>
          <w:spacing w:val="-3"/>
          <w:szCs w:val="24"/>
        </w:rPr>
        <w:t>期</w:t>
      </w:r>
      <w:r>
        <w:rPr>
          <w:rFonts w:hint="eastAsia" w:ascii="宋体" w:hAnsi="宋体" w:eastAsia="宋体" w:cs="宋体"/>
          <w:color w:val="auto"/>
          <w:szCs w:val="24"/>
        </w:rPr>
        <w:t>限</w:t>
      </w:r>
      <w:r>
        <w:rPr>
          <w:rFonts w:hint="eastAsia" w:ascii="宋体" w:hAnsi="宋体" w:eastAsia="宋体" w:cs="宋体"/>
          <w:color w:val="auto"/>
          <w:spacing w:val="-3"/>
          <w:szCs w:val="24"/>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p>
    <w:p>
      <w:pPr>
        <w:tabs>
          <w:tab w:val="left" w:pos="2278"/>
          <w:tab w:val="left" w:pos="3958"/>
          <w:tab w:val="left" w:pos="5485"/>
          <w:tab w:val="left" w:pos="7004"/>
        </w:tabs>
        <w:spacing w:before="173"/>
        <w:ind w:left="760"/>
        <w:rPr>
          <w:rFonts w:hint="eastAsia" w:ascii="宋体" w:hAnsi="宋体" w:eastAsia="宋体" w:cs="宋体"/>
          <w:color w:val="auto"/>
          <w:szCs w:val="24"/>
        </w:rPr>
      </w:pPr>
      <w:r>
        <w:rPr>
          <w:rFonts w:hint="eastAsia" w:ascii="宋体" w:hAnsi="宋体" w:eastAsia="宋体" w:cs="宋体"/>
          <w:color w:val="auto"/>
          <w:szCs w:val="24"/>
        </w:rPr>
        <w:t>姓名</w:t>
      </w:r>
      <w:r>
        <w:rPr>
          <w:rFonts w:hint="eastAsia" w:ascii="宋体" w:hAnsi="宋体" w:eastAsia="宋体" w:cs="宋体"/>
          <w:color w:val="auto"/>
          <w:spacing w:val="-3"/>
          <w:szCs w:val="24"/>
        </w:rPr>
        <w:t>：</w:t>
      </w:r>
      <w:r>
        <w:rPr>
          <w:rFonts w:hint="eastAsia" w:ascii="宋体" w:hAnsi="宋体" w:eastAsia="宋体" w:cs="宋体"/>
          <w:color w:val="auto"/>
          <w:spacing w:val="-3"/>
          <w:szCs w:val="24"/>
          <w:u w:val="single"/>
        </w:rPr>
        <w:t xml:space="preserve"> </w:t>
      </w:r>
      <w:r>
        <w:rPr>
          <w:rFonts w:hint="eastAsia" w:ascii="宋体" w:hAnsi="宋体" w:eastAsia="宋体" w:cs="宋体"/>
          <w:color w:val="auto"/>
          <w:spacing w:val="-3"/>
          <w:szCs w:val="24"/>
          <w:u w:val="single"/>
        </w:rPr>
        <w:tab/>
      </w:r>
      <w:r>
        <w:rPr>
          <w:rFonts w:hint="eastAsia" w:ascii="宋体" w:hAnsi="宋体" w:eastAsia="宋体" w:cs="宋体"/>
          <w:color w:val="auto"/>
          <w:szCs w:val="24"/>
        </w:rPr>
        <w:t>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职务</w:t>
      </w:r>
      <w:r>
        <w:rPr>
          <w:rFonts w:hint="eastAsia" w:ascii="宋体" w:hAnsi="宋体" w:eastAsia="宋体" w:cs="宋体"/>
          <w:color w:val="auto"/>
          <w:spacing w:val="-3"/>
          <w:szCs w:val="24"/>
        </w:rPr>
        <w:t>：</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p>
    <w:p>
      <w:pPr>
        <w:tabs>
          <w:tab w:val="left" w:pos="4064"/>
        </w:tabs>
        <w:spacing w:before="169"/>
        <w:ind w:left="760"/>
        <w:rPr>
          <w:rFonts w:hint="eastAsia" w:ascii="宋体" w:hAnsi="宋体" w:eastAsia="宋体" w:cs="宋体"/>
          <w:color w:val="auto"/>
          <w:szCs w:val="24"/>
        </w:rPr>
      </w:pPr>
      <w:r>
        <w:rPr>
          <w:rFonts w:hint="eastAsia" w:ascii="宋体" w:hAnsi="宋体" w:eastAsia="宋体" w:cs="宋体"/>
          <w:color w:val="auto"/>
          <w:szCs w:val="24"/>
        </w:rPr>
        <w:t>系</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（投标人名称</w:t>
      </w:r>
      <w:r>
        <w:rPr>
          <w:rFonts w:hint="eastAsia" w:ascii="宋体" w:hAnsi="宋体" w:eastAsia="宋体" w:cs="宋体"/>
          <w:color w:val="auto"/>
          <w:spacing w:val="-3"/>
          <w:szCs w:val="24"/>
        </w:rPr>
        <w:t>）</w:t>
      </w:r>
      <w:r>
        <w:rPr>
          <w:rFonts w:hint="eastAsia" w:ascii="宋体" w:hAnsi="宋体" w:eastAsia="宋体" w:cs="宋体"/>
          <w:color w:val="auto"/>
          <w:szCs w:val="24"/>
        </w:rPr>
        <w:t>的法定代表人。</w:t>
      </w:r>
    </w:p>
    <w:p>
      <w:pPr>
        <w:spacing w:before="171"/>
        <w:ind w:left="760"/>
        <w:rPr>
          <w:rFonts w:hint="eastAsia" w:ascii="宋体" w:hAnsi="宋体" w:eastAsia="宋体" w:cs="宋体"/>
          <w:color w:val="auto"/>
          <w:szCs w:val="24"/>
        </w:rPr>
      </w:pPr>
      <w:r>
        <w:rPr>
          <w:rFonts w:hint="eastAsia" w:ascii="宋体" w:hAnsi="宋体" w:eastAsia="宋体" w:cs="宋体"/>
          <w:color w:val="auto"/>
          <w:szCs w:val="24"/>
        </w:rPr>
        <w:t>特此证明。</w:t>
      </w:r>
    </w:p>
    <w:p>
      <w:pPr>
        <w:pStyle w:val="3"/>
        <w:spacing w:before="9" w:line="360" w:lineRule="auto"/>
        <w:jc w:val="both"/>
        <w:rPr>
          <w:rFonts w:hint="eastAsia" w:ascii="宋体" w:hAnsi="宋体" w:eastAsia="宋体" w:cs="宋体"/>
          <w:color w:val="auto"/>
          <w:szCs w:val="24"/>
        </w:rPr>
      </w:pPr>
    </w:p>
    <w:p>
      <w:pPr>
        <w:pStyle w:val="3"/>
        <w:spacing w:before="10" w:line="360" w:lineRule="auto"/>
        <w:jc w:val="both"/>
        <w:rPr>
          <w:rFonts w:hint="eastAsia" w:ascii="宋体" w:hAnsi="宋体" w:eastAsia="宋体" w:cs="宋体"/>
          <w:color w:val="auto"/>
          <w:szCs w:val="24"/>
        </w:rPr>
      </w:pPr>
    </w:p>
    <w:p>
      <w:pPr>
        <w:tabs>
          <w:tab w:val="left" w:pos="6114"/>
        </w:tabs>
        <w:ind w:left="3491"/>
        <w:rPr>
          <w:rFonts w:hint="eastAsia" w:ascii="宋体" w:hAnsi="宋体" w:eastAsia="宋体" w:cs="宋体"/>
          <w:color w:val="auto"/>
          <w:szCs w:val="24"/>
        </w:rPr>
      </w:pPr>
      <w:r>
        <w:rPr>
          <w:rFonts w:hint="eastAsia" w:ascii="宋体" w:hAnsi="宋体" w:eastAsia="宋体" w:cs="宋体"/>
          <w:color w:val="auto"/>
          <w:szCs w:val="24"/>
        </w:rPr>
        <w:t>投标人：</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w:t>
      </w:r>
      <w:r>
        <w:rPr>
          <w:rFonts w:hint="eastAsia" w:ascii="宋体" w:hAnsi="宋体" w:eastAsia="宋体" w:cs="宋体"/>
          <w:color w:val="auto"/>
          <w:spacing w:val="-3"/>
          <w:szCs w:val="24"/>
        </w:rPr>
        <w:t>盖</w:t>
      </w:r>
      <w:r>
        <w:rPr>
          <w:rFonts w:hint="eastAsia" w:ascii="宋体" w:hAnsi="宋体" w:eastAsia="宋体" w:cs="宋体"/>
          <w:color w:val="auto"/>
          <w:szCs w:val="24"/>
        </w:rPr>
        <w:t>单</w:t>
      </w:r>
      <w:r>
        <w:rPr>
          <w:rFonts w:hint="eastAsia" w:ascii="宋体" w:hAnsi="宋体" w:eastAsia="宋体" w:cs="宋体"/>
          <w:color w:val="auto"/>
          <w:spacing w:val="-3"/>
          <w:szCs w:val="24"/>
        </w:rPr>
        <w:t>位</w:t>
      </w:r>
      <w:r>
        <w:rPr>
          <w:rFonts w:hint="eastAsia" w:ascii="宋体" w:hAnsi="宋体" w:eastAsia="宋体" w:cs="宋体"/>
          <w:color w:val="auto"/>
          <w:szCs w:val="24"/>
        </w:rPr>
        <w:t>章）</w:t>
      </w:r>
    </w:p>
    <w:p>
      <w:pPr>
        <w:tabs>
          <w:tab w:val="left" w:pos="5065"/>
          <w:tab w:val="left" w:pos="5905"/>
          <w:tab w:val="left" w:pos="6478"/>
        </w:tabs>
        <w:spacing w:before="170"/>
        <w:ind w:firstLine="3600" w:firstLineChars="1500"/>
        <w:rPr>
          <w:rFonts w:hint="eastAsia" w:ascii="宋体" w:hAnsi="宋体" w:eastAsia="宋体" w:cs="宋体"/>
          <w:color w:val="auto"/>
          <w:szCs w:val="24"/>
        </w:rPr>
      </w:pPr>
      <w:r>
        <w:rPr>
          <w:rFonts w:hint="eastAsia" w:ascii="宋体" w:hAnsi="宋体" w:eastAsia="宋体" w:cs="宋体"/>
          <w:color w:val="auto"/>
          <w:szCs w:val="24"/>
        </w:rPr>
        <w:t>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年</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日</w:t>
      </w:r>
    </w:p>
    <w:p>
      <w:pPr>
        <w:spacing w:before="72"/>
        <w:ind w:right="919"/>
        <w:rPr>
          <w:rFonts w:hint="eastAsia" w:ascii="宋体" w:hAnsi="宋体" w:eastAsia="宋体" w:cs="宋体"/>
          <w:b/>
          <w:bCs/>
          <w:color w:val="auto"/>
          <w:sz w:val="21"/>
        </w:rPr>
      </w:pPr>
    </w:p>
    <w:p>
      <w:pPr>
        <w:rPr>
          <w:rFonts w:hint="eastAsia" w:ascii="宋体" w:hAnsi="宋体" w:eastAsia="宋体" w:cs="宋体"/>
          <w:b/>
          <w:bCs/>
          <w:color w:val="auto"/>
        </w:rPr>
      </w:pPr>
    </w:p>
    <w:p>
      <w:pPr>
        <w:rPr>
          <w:rFonts w:hint="eastAsia" w:ascii="宋体" w:hAnsi="宋体" w:eastAsia="宋体" w:cs="宋体"/>
          <w:b/>
          <w:bCs/>
          <w:color w:val="auto"/>
        </w:rPr>
      </w:pPr>
    </w:p>
    <w:p>
      <w:pPr>
        <w:rPr>
          <w:rFonts w:hint="eastAsia" w:ascii="宋体" w:hAnsi="宋体" w:eastAsia="宋体" w:cs="宋体"/>
          <w:color w:val="auto"/>
        </w:rPr>
      </w:pPr>
      <w:r>
        <w:rPr>
          <w:rFonts w:hint="eastAsia" w:ascii="宋体" w:hAnsi="宋体" w:eastAsia="宋体" w:cs="宋体"/>
          <w:b/>
          <w:bCs/>
          <w:color w:val="auto"/>
        </w:rPr>
        <w:t>注：</w:t>
      </w:r>
      <w:r>
        <w:rPr>
          <w:rFonts w:hint="eastAsia" w:ascii="宋体" w:hAnsi="宋体" w:eastAsia="宋体" w:cs="宋体"/>
          <w:color w:val="auto"/>
        </w:rPr>
        <w:t>1.法定代表人证明书后须附法定代表人身份证正反面的复印件；</w:t>
      </w:r>
    </w:p>
    <w:p>
      <w:pPr>
        <w:ind w:firstLine="480" w:firstLineChars="200"/>
        <w:rPr>
          <w:rFonts w:hint="eastAsia" w:ascii="宋体" w:hAnsi="宋体" w:eastAsia="宋体" w:cs="宋体"/>
          <w:color w:val="auto"/>
        </w:rPr>
      </w:pPr>
      <w:r>
        <w:rPr>
          <w:rFonts w:hint="eastAsia" w:ascii="宋体" w:hAnsi="宋体" w:eastAsia="宋体" w:cs="宋体"/>
          <w:color w:val="auto"/>
        </w:rPr>
        <w:t>2.以联合体形式投标的，由联合体主办方提供。</w:t>
      </w:r>
    </w:p>
    <w:p>
      <w:pPr>
        <w:pStyle w:val="2"/>
        <w:ind w:firstLine="240"/>
        <w:rPr>
          <w:rFonts w:hint="eastAsia" w:ascii="宋体" w:hAnsi="宋体" w:eastAsia="宋体" w:cs="宋体"/>
          <w:color w:val="auto"/>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（二）授权委托书</w:t>
      </w:r>
    </w:p>
    <w:p>
      <w:pPr>
        <w:ind w:firstLine="480" w:firstLineChars="200"/>
        <w:rPr>
          <w:rFonts w:hint="eastAsia" w:ascii="宋体" w:hAnsi="宋体" w:eastAsia="宋体" w:cs="宋体"/>
          <w:color w:val="auto"/>
        </w:rPr>
      </w:pPr>
    </w:p>
    <w:p>
      <w:pPr>
        <w:ind w:firstLine="480" w:firstLineChars="200"/>
        <w:rPr>
          <w:rFonts w:hint="eastAsia" w:ascii="宋体" w:hAnsi="宋体" w:eastAsia="宋体" w:cs="宋体"/>
          <w:color w:val="auto"/>
        </w:rPr>
      </w:pPr>
      <w:r>
        <w:rPr>
          <w:rFonts w:hint="eastAsia" w:ascii="宋体" w:hAnsi="宋体" w:eastAsia="宋体" w:cs="宋体"/>
          <w:color w:val="auto"/>
        </w:rPr>
        <w:t>本人</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（姓名）</w:t>
      </w:r>
      <w:r>
        <w:rPr>
          <w:rFonts w:hint="eastAsia" w:ascii="宋体" w:hAnsi="宋体" w:eastAsia="宋体" w:cs="宋体"/>
          <w:color w:val="auto"/>
        </w:rPr>
        <w:t>系</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（投标人名称）</w:t>
      </w:r>
      <w:r>
        <w:rPr>
          <w:rFonts w:hint="eastAsia" w:ascii="宋体" w:hAnsi="宋体" w:eastAsia="宋体" w:cs="宋体"/>
          <w:color w:val="auto"/>
        </w:rPr>
        <w:t>的法定代表人，现委托</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（姓名）</w:t>
      </w:r>
      <w:r>
        <w:rPr>
          <w:rFonts w:hint="eastAsia" w:ascii="宋体" w:hAnsi="宋体" w:eastAsia="宋体" w:cs="宋体"/>
          <w:color w:val="auto"/>
        </w:rPr>
        <w:t>为我方代理人。代理人根据授权，以我方名义澄清、说明、补正、递交、撤回、修改</w:t>
      </w:r>
      <w:r>
        <w:rPr>
          <w:rFonts w:hint="eastAsia" w:ascii="宋体" w:hAnsi="宋体" w:eastAsia="宋体" w:cs="宋体"/>
          <w:color w:val="auto"/>
          <w:u w:val="single"/>
        </w:rPr>
        <w:t xml:space="preserve">     （项目名称）</w:t>
      </w:r>
      <w:r>
        <w:rPr>
          <w:rFonts w:hint="eastAsia" w:ascii="宋体" w:hAnsi="宋体" w:eastAsia="宋体" w:cs="宋体"/>
          <w:color w:val="auto"/>
        </w:rPr>
        <w:t>投标文件和处理有关事宜，其法律后果由我方承担。</w:t>
      </w:r>
    </w:p>
    <w:p>
      <w:pPr>
        <w:rPr>
          <w:rFonts w:hint="eastAsia"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 xml:space="preserve">           </w:t>
      </w:r>
      <w:r>
        <w:rPr>
          <w:rFonts w:hint="eastAsia" w:ascii="宋体" w:hAnsi="宋体" w:eastAsia="宋体" w:cs="宋体"/>
          <w:color w:val="auto"/>
        </w:rPr>
        <w:t>。</w:t>
      </w:r>
    </w:p>
    <w:p>
      <w:pPr>
        <w:ind w:firstLine="480" w:firstLineChars="200"/>
        <w:rPr>
          <w:rFonts w:hint="eastAsia" w:ascii="宋体" w:hAnsi="宋体" w:eastAsia="宋体" w:cs="宋体"/>
          <w:color w:val="auto"/>
        </w:rPr>
      </w:pPr>
      <w:r>
        <w:rPr>
          <w:rFonts w:hint="eastAsia" w:ascii="宋体" w:hAnsi="宋体" w:eastAsia="宋体" w:cs="宋体"/>
          <w:color w:val="auto"/>
        </w:rPr>
        <w:t>代理人无转委托权。</w:t>
      </w:r>
    </w:p>
    <w:p>
      <w:pPr>
        <w:rPr>
          <w:rFonts w:hint="eastAsia" w:ascii="宋体" w:hAnsi="宋体" w:eastAsia="宋体" w:cs="宋体"/>
          <w:color w:val="auto"/>
        </w:rPr>
      </w:pPr>
    </w:p>
    <w:p>
      <w:pPr>
        <w:ind w:left="4560" w:leftChars="1900"/>
        <w:rPr>
          <w:rFonts w:hint="eastAsia" w:ascii="宋体" w:hAnsi="宋体" w:eastAsia="宋体" w:cs="宋体"/>
          <w:color w:val="auto"/>
        </w:rPr>
      </w:pPr>
    </w:p>
    <w:p>
      <w:pPr>
        <w:ind w:left="4560" w:leftChars="1900"/>
        <w:rPr>
          <w:rFonts w:hint="eastAsia" w:ascii="宋体" w:hAnsi="宋体" w:eastAsia="宋体" w:cs="宋体"/>
          <w:color w:val="auto"/>
        </w:rPr>
      </w:pPr>
    </w:p>
    <w:p>
      <w:pPr>
        <w:ind w:left="4560" w:leftChars="1900"/>
        <w:rPr>
          <w:rFonts w:hint="eastAsia" w:ascii="宋体" w:hAnsi="宋体" w:eastAsia="宋体" w:cs="宋体"/>
          <w:color w:val="auto"/>
          <w:u w:val="single"/>
        </w:rPr>
      </w:pPr>
      <w:r>
        <w:rPr>
          <w:rFonts w:hint="eastAsia" w:ascii="宋体" w:hAnsi="宋体" w:eastAsia="宋体" w:cs="宋体"/>
          <w:color w:val="auto"/>
        </w:rPr>
        <w:t>投</w:t>
      </w:r>
      <w:r>
        <w:rPr>
          <w:rFonts w:hint="eastAsia" w:ascii="宋体" w:hAnsi="宋体" w:eastAsia="宋体" w:cs="宋体"/>
          <w:color w:val="auto"/>
        </w:rPr>
        <w:tab/>
      </w:r>
      <w:r>
        <w:rPr>
          <w:rFonts w:hint="eastAsia" w:ascii="宋体" w:hAnsi="宋体" w:eastAsia="宋体" w:cs="宋体"/>
          <w:color w:val="auto"/>
        </w:rPr>
        <w:t>标</w:t>
      </w:r>
      <w:r>
        <w:rPr>
          <w:rFonts w:hint="eastAsia" w:ascii="宋体" w:hAnsi="宋体" w:eastAsia="宋体" w:cs="宋体"/>
          <w:color w:val="auto"/>
        </w:rPr>
        <w:tab/>
      </w:r>
      <w:r>
        <w:rPr>
          <w:rFonts w:hint="eastAsia" w:ascii="宋体" w:hAnsi="宋体" w:eastAsia="宋体" w:cs="宋体"/>
          <w:color w:val="auto"/>
        </w:rPr>
        <w:t>人：</w:t>
      </w:r>
      <w:r>
        <w:rPr>
          <w:rFonts w:hint="eastAsia" w:ascii="宋体" w:hAnsi="宋体" w:eastAsia="宋体" w:cs="宋体"/>
          <w:color w:val="auto"/>
          <w:u w:val="single"/>
        </w:rPr>
        <w:t xml:space="preserve">               （盖单位章）</w:t>
      </w:r>
    </w:p>
    <w:p>
      <w:pPr>
        <w:ind w:left="4560" w:leftChars="1900"/>
        <w:rPr>
          <w:rFonts w:hint="eastAsia" w:ascii="宋体" w:hAnsi="宋体" w:eastAsia="宋体" w:cs="宋体"/>
          <w:color w:val="auto"/>
          <w:u w:val="single"/>
        </w:rPr>
      </w:pPr>
      <w:r>
        <w:rPr>
          <w:rFonts w:hint="eastAsia" w:ascii="宋体" w:hAnsi="宋体" w:eastAsia="宋体" w:cs="宋体"/>
          <w:color w:val="auto"/>
        </w:rPr>
        <w:t>法定代表人：</w:t>
      </w:r>
      <w:r>
        <w:rPr>
          <w:rFonts w:hint="eastAsia" w:ascii="宋体" w:hAnsi="宋体" w:eastAsia="宋体" w:cs="宋体"/>
          <w:color w:val="auto"/>
          <w:u w:val="single"/>
        </w:rPr>
        <w:t xml:space="preserve">               （亲笔签名）</w:t>
      </w:r>
    </w:p>
    <w:p>
      <w:pPr>
        <w:ind w:left="4560" w:leftChars="1900"/>
        <w:rPr>
          <w:rFonts w:hint="eastAsia" w:ascii="宋体" w:hAnsi="宋体" w:eastAsia="宋体" w:cs="宋体"/>
          <w:color w:val="auto"/>
          <w:u w:val="single"/>
        </w:rPr>
      </w:pPr>
      <w:r>
        <w:rPr>
          <w:rFonts w:hint="eastAsia" w:ascii="宋体" w:hAnsi="宋体" w:eastAsia="宋体" w:cs="宋体"/>
          <w:color w:val="auto"/>
        </w:rPr>
        <w:t>身份证号码：</w:t>
      </w:r>
      <w:r>
        <w:rPr>
          <w:rFonts w:hint="eastAsia" w:ascii="宋体" w:hAnsi="宋体" w:eastAsia="宋体" w:cs="宋体"/>
          <w:color w:val="auto"/>
          <w:u w:val="single"/>
        </w:rPr>
        <w:t xml:space="preserve">                         .</w:t>
      </w:r>
    </w:p>
    <w:p>
      <w:pPr>
        <w:ind w:left="4560" w:leftChars="1900"/>
        <w:rPr>
          <w:rFonts w:hint="eastAsia" w:ascii="宋体" w:hAnsi="宋体" w:eastAsia="宋体" w:cs="宋体"/>
          <w:color w:val="auto"/>
          <w:u w:val="single"/>
        </w:rPr>
      </w:pPr>
      <w:r>
        <w:rPr>
          <w:rFonts w:hint="eastAsia" w:ascii="宋体" w:hAnsi="宋体" w:eastAsia="宋体" w:cs="宋体"/>
          <w:color w:val="auto"/>
        </w:rPr>
        <w:t>委托代理人：</w:t>
      </w:r>
      <w:r>
        <w:rPr>
          <w:rFonts w:hint="eastAsia" w:ascii="宋体" w:hAnsi="宋体" w:eastAsia="宋体" w:cs="宋体"/>
          <w:color w:val="auto"/>
          <w:u w:val="single"/>
        </w:rPr>
        <w:t xml:space="preserve">               （亲笔签名）</w:t>
      </w:r>
    </w:p>
    <w:p>
      <w:pPr>
        <w:ind w:left="4560" w:leftChars="1900"/>
        <w:rPr>
          <w:rFonts w:hint="eastAsia" w:ascii="宋体" w:hAnsi="宋体" w:eastAsia="宋体" w:cs="宋体"/>
          <w:color w:val="auto"/>
        </w:rPr>
      </w:pPr>
      <w:r>
        <w:rPr>
          <w:rFonts w:hint="eastAsia" w:ascii="宋体" w:hAnsi="宋体" w:eastAsia="宋体" w:cs="宋体"/>
          <w:color w:val="auto"/>
        </w:rPr>
        <w:t>日</w:t>
      </w:r>
      <w:r>
        <w:rPr>
          <w:rFonts w:hint="eastAsia" w:ascii="宋体" w:hAnsi="宋体" w:eastAsia="宋体" w:cs="宋体"/>
          <w:color w:val="auto"/>
        </w:rPr>
        <w:tab/>
      </w:r>
      <w:r>
        <w:rPr>
          <w:rFonts w:hint="eastAsia" w:ascii="宋体" w:hAnsi="宋体" w:eastAsia="宋体" w:cs="宋体"/>
          <w:color w:val="auto"/>
        </w:rPr>
        <w:t xml:space="preserve">期：    年   月 </w:t>
      </w:r>
      <w:r>
        <w:rPr>
          <w:rFonts w:hint="eastAsia" w:ascii="宋体" w:hAnsi="宋体" w:eastAsia="宋体" w:cs="宋体"/>
          <w:color w:val="auto"/>
        </w:rPr>
        <w:tab/>
      </w:r>
      <w:r>
        <w:rPr>
          <w:rFonts w:hint="eastAsia" w:ascii="宋体" w:hAnsi="宋体" w:eastAsia="宋体" w:cs="宋体"/>
          <w:color w:val="auto"/>
        </w:rPr>
        <w:t>日</w:t>
      </w:r>
    </w:p>
    <w:p>
      <w:pPr>
        <w:rPr>
          <w:rFonts w:hint="eastAsia" w:ascii="宋体" w:hAnsi="宋体" w:eastAsia="宋体" w:cs="宋体"/>
          <w:color w:val="auto"/>
        </w:rPr>
      </w:pPr>
      <w:r>
        <w:rPr>
          <w:rFonts w:hint="eastAsia" w:ascii="宋体" w:hAnsi="宋体" w:eastAsia="宋体" w:cs="宋体"/>
          <w:b/>
          <w:bCs/>
          <w:color w:val="auto"/>
        </w:rPr>
        <mc:AlternateContent>
          <mc:Choice Requires="wpg">
            <w:drawing>
              <wp:anchor distT="0" distB="0" distL="114300" distR="114300" simplePos="0" relativeHeight="251662336" behindDoc="1" locked="0" layoutInCell="1" allowOverlap="1">
                <wp:simplePos x="0" y="0"/>
                <wp:positionH relativeFrom="page">
                  <wp:posOffset>2116455</wp:posOffset>
                </wp:positionH>
                <wp:positionV relativeFrom="paragraph">
                  <wp:posOffset>182245</wp:posOffset>
                </wp:positionV>
                <wp:extent cx="3327400" cy="1699895"/>
                <wp:effectExtent l="0" t="0" r="0" b="0"/>
                <wp:wrapTopAndBottom/>
                <wp:docPr id="15" name="组合 14"/>
                <wp:cNvGraphicFramePr/>
                <a:graphic xmlns:a="http://schemas.openxmlformats.org/drawingml/2006/main">
                  <a:graphicData uri="http://schemas.microsoft.com/office/word/2010/wordprocessingGroup">
                    <wpg:wgp>
                      <wpg:cNvGrpSpPr/>
                      <wpg:grpSpPr>
                        <a:xfrm>
                          <a:off x="0" y="0"/>
                          <a:ext cx="3327400" cy="1699895"/>
                          <a:chOff x="33" y="2"/>
                          <a:chExt cx="52" cy="26772"/>
                        </a:xfrm>
                      </wpg:grpSpPr>
                      <pic:pic xmlns:pic="http://schemas.openxmlformats.org/drawingml/2006/picture">
                        <pic:nvPicPr>
                          <pic:cNvPr id="17" name="图片 15"/>
                          <pic:cNvPicPr>
                            <a:picLocks noChangeAspect="1"/>
                          </pic:cNvPicPr>
                        </pic:nvPicPr>
                        <pic:blipFill>
                          <a:blip r:embed="rId20"/>
                          <a:stretch>
                            <a:fillRect/>
                          </a:stretch>
                        </pic:blipFill>
                        <pic:spPr>
                          <a:xfrm>
                            <a:off x="33" y="2"/>
                            <a:ext cx="0" cy="0"/>
                          </a:xfrm>
                          <a:prstGeom prst="rect">
                            <a:avLst/>
                          </a:prstGeom>
                          <a:noFill/>
                          <a:ln>
                            <a:noFill/>
                          </a:ln>
                        </pic:spPr>
                      </pic:pic>
                      <pic:pic xmlns:pic="http://schemas.openxmlformats.org/drawingml/2006/picture">
                        <pic:nvPicPr>
                          <pic:cNvPr id="18" name="图片 16"/>
                          <pic:cNvPicPr>
                            <a:picLocks noChangeAspect="1"/>
                          </pic:cNvPicPr>
                        </pic:nvPicPr>
                        <pic:blipFill>
                          <a:blip r:embed="rId21"/>
                          <a:stretch>
                            <a:fillRect/>
                          </a:stretch>
                        </pic:blipFill>
                        <pic:spPr>
                          <a:xfrm>
                            <a:off x="33" y="2"/>
                            <a:ext cx="52" cy="0"/>
                          </a:xfrm>
                          <a:prstGeom prst="rect">
                            <a:avLst/>
                          </a:prstGeom>
                          <a:noFill/>
                          <a:ln>
                            <a:noFill/>
                          </a:ln>
                        </pic:spPr>
                      </pic:pic>
                      <wps:wsp>
                        <wps:cNvPr id="19" name="矩形 17"/>
                        <wps:cNvSpPr/>
                        <wps:spPr>
                          <a:xfrm>
                            <a:off x="85" y="2"/>
                            <a:ext cx="0" cy="0"/>
                          </a:xfrm>
                          <a:prstGeom prst="rect">
                            <a:avLst/>
                          </a:prstGeom>
                          <a:solidFill>
                            <a:srgbClr val="FFFFFF"/>
                          </a:solidFill>
                          <a:ln>
                            <a:noFill/>
                          </a:ln>
                        </wps:spPr>
                        <wps:bodyPr upright="1"/>
                      </wps:wsp>
                      <pic:pic xmlns:pic="http://schemas.openxmlformats.org/drawingml/2006/picture">
                        <pic:nvPicPr>
                          <pic:cNvPr id="20" name="图片 18"/>
                          <pic:cNvPicPr>
                            <a:picLocks noChangeAspect="1"/>
                          </pic:cNvPicPr>
                        </pic:nvPicPr>
                        <pic:blipFill>
                          <a:blip r:embed="rId22"/>
                          <a:stretch>
                            <a:fillRect/>
                          </a:stretch>
                        </pic:blipFill>
                        <pic:spPr>
                          <a:xfrm>
                            <a:off x="33" y="3"/>
                            <a:ext cx="0" cy="26"/>
                          </a:xfrm>
                          <a:prstGeom prst="rect">
                            <a:avLst/>
                          </a:prstGeom>
                          <a:noFill/>
                          <a:ln>
                            <a:noFill/>
                          </a:ln>
                        </pic:spPr>
                      </pic:pic>
                      <pic:pic xmlns:pic="http://schemas.openxmlformats.org/drawingml/2006/picture">
                        <pic:nvPicPr>
                          <pic:cNvPr id="21" name="图片 19"/>
                          <pic:cNvPicPr>
                            <a:picLocks noChangeAspect="1"/>
                          </pic:cNvPicPr>
                        </pic:nvPicPr>
                        <pic:blipFill>
                          <a:blip r:embed="rId23"/>
                          <a:stretch>
                            <a:fillRect/>
                          </a:stretch>
                        </pic:blipFill>
                        <pic:spPr>
                          <a:xfrm>
                            <a:off x="33" y="2"/>
                            <a:ext cx="52" cy="27"/>
                          </a:xfrm>
                          <a:prstGeom prst="rect">
                            <a:avLst/>
                          </a:prstGeom>
                          <a:noFill/>
                          <a:ln>
                            <a:noFill/>
                          </a:ln>
                        </pic:spPr>
                      </pic:pic>
                      <pic:pic xmlns:pic="http://schemas.openxmlformats.org/drawingml/2006/picture">
                        <pic:nvPicPr>
                          <pic:cNvPr id="22" name="图片 20"/>
                          <pic:cNvPicPr>
                            <a:picLocks noChangeAspect="1"/>
                          </pic:cNvPicPr>
                        </pic:nvPicPr>
                        <pic:blipFill>
                          <a:blip r:embed="rId24"/>
                          <a:stretch>
                            <a:fillRect/>
                          </a:stretch>
                        </pic:blipFill>
                        <pic:spPr>
                          <a:xfrm>
                            <a:off x="85" y="29"/>
                            <a:ext cx="0" cy="0"/>
                          </a:xfrm>
                          <a:prstGeom prst="rect">
                            <a:avLst/>
                          </a:prstGeom>
                          <a:noFill/>
                          <a:ln>
                            <a:noFill/>
                          </a:ln>
                        </pic:spPr>
                      </pic:pic>
                      <wps:wsp>
                        <wps:cNvPr id="23" name="文本框 21"/>
                        <wps:cNvSpPr txBox="1"/>
                        <wps:spPr>
                          <a:xfrm>
                            <a:off x="33" y="2"/>
                            <a:ext cx="52" cy="27"/>
                          </a:xfrm>
                          <a:prstGeom prst="rect">
                            <a:avLst/>
                          </a:prstGeom>
                          <a:noFill/>
                          <a:ln>
                            <a:noFill/>
                          </a:ln>
                        </wps:spPr>
                        <wps:txbx>
                          <w:txbxContent>
                            <w:p>
                              <w:pPr>
                                <w:rPr>
                                  <w:sz w:val="20"/>
                                </w:rPr>
                              </w:pPr>
                            </w:p>
                            <w:p>
                              <w:pPr>
                                <w:rPr>
                                  <w:sz w:val="20"/>
                                </w:rPr>
                              </w:pPr>
                            </w:p>
                            <w:p>
                              <w:pPr>
                                <w:rPr>
                                  <w:sz w:val="20"/>
                                </w:rPr>
                              </w:pPr>
                            </w:p>
                            <w:p>
                              <w:pPr>
                                <w:rPr>
                                  <w:sz w:val="20"/>
                                </w:rPr>
                              </w:pPr>
                            </w:p>
                            <w:p>
                              <w:pPr>
                                <w:rPr>
                                  <w:sz w:val="20"/>
                                </w:rPr>
                              </w:pPr>
                            </w:p>
                            <w:p>
                              <w:pPr>
                                <w:spacing w:before="11"/>
                                <w:rPr>
                                  <w:sz w:val="14"/>
                                </w:rPr>
                              </w:pPr>
                            </w:p>
                            <w:p>
                              <w:pPr>
                                <w:spacing w:before="1"/>
                                <w:ind w:left="533"/>
                                <w:rPr>
                                  <w:sz w:val="21"/>
                                </w:rPr>
                              </w:pPr>
                              <w:r>
                                <w:rPr>
                                  <w:sz w:val="21"/>
                                </w:rPr>
                                <w:t>此处放入委托代理人身份证</w:t>
                              </w:r>
                              <w:r>
                                <w:rPr>
                                  <w:b/>
                                  <w:sz w:val="21"/>
                                </w:rPr>
                                <w:t>正面及背面</w:t>
                              </w:r>
                              <w:r>
                                <w:rPr>
                                  <w:sz w:val="21"/>
                                </w:rPr>
                                <w:t>复印件</w:t>
                              </w:r>
                            </w:p>
                          </w:txbxContent>
                        </wps:txbx>
                        <wps:bodyPr lIns="0" tIns="0" rIns="0" bIns="0" upright="1"/>
                      </wps:wsp>
                    </wpg:wgp>
                  </a:graphicData>
                </a:graphic>
              </wp:anchor>
            </w:drawing>
          </mc:Choice>
          <mc:Fallback>
            <w:pict>
              <v:group id="组合 14" o:spid="_x0000_s1026" o:spt="203" style="position:absolute;left:0pt;margin-left:166.65pt;margin-top:14.35pt;height:133.85pt;width:262pt;mso-position-horizontal-relative:page;mso-wrap-distance-bottom:0pt;mso-wrap-distance-top:0pt;z-index:-251654144;mso-width-relative:page;mso-height-relative:page;" coordorigin="33,2" coordsize="52,26772" o:gfxdata="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">
                <o:lock v:ext="edit" aspectratio="f"/>
                <v:shape id="图片 15" o:spid="_x0000_s1026" o:spt="75" type="#_x0000_t75" style="position:absolute;left:33;top:2;height:0;width:0;" filled="f" o:preferrelative="t" stroked="f" coordsize="21600,21600" o:gfxdata="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fDYvQAA&#10;ANsAAAAPAAAAAAAAAAEAIAAAACIAAABkcnMvZG93bnJldi54bWxQSwECFAAUAAAACACHTuJAMy8F&#10;njsAAAA5AAAAEAAAAAAAAAABACAAAAAMAQAAZHJzL3NoYXBleG1sLnhtbFBLBQYAAAAABgAGAFsB&#10;AAC2AwAAAAA=&#10;">
                  <v:fill on="f" focussize="0,0"/>
                  <v:stroke on="f"/>
                  <v:imagedata r:id="rId20" o:title=""/>
                  <o:lock v:ext="edit" aspectratio="t"/>
                </v:shape>
                <v:shape id="图片 16" o:spid="_x0000_s1026" o:spt="75" type="#_x0000_t75" style="position:absolute;left:33;top:2;height:0;width:52;" filled="f" o:preferrelative="t" stroked="f" coordsize="21600,21600" o:gfxdata="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9NQe8AAAA&#10;2wAAAA8AAAAAAAAAAQAgAAAAIgAAAGRycy9kb3ducmV2LnhtbFBLAQIUABQAAAAIAIdO4kAzLwWe&#10;OwAAADkAAAAQAAAAAAAAAAEAIAAAAAsBAABkcnMvc2hhcGV4bWwueG1sUEsFBgAAAAAGAAYAWwEA&#10;ALUDAAAAAA==&#10;">
                  <v:fill on="f" focussize="0,0"/>
                  <v:stroke on="f"/>
                  <v:imagedata r:id="rId21" o:title=""/>
                  <o:lock v:ext="edit" aspectratio="t"/>
                </v:shape>
                <v:rect id="矩形 17" o:spid="_x0000_s1026" o:spt="1" style="position:absolute;left:85;top:2;height:0;width:0;" fillcolor="#FFFFFF" filled="t" stroked="f" coordsize="21600,21600" o:gfxdata="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hYbS5AAAA2wAA&#10;AA8AAAAAAAAAAQAgAAAAIgAAAGRycy9kb3ducmV2LnhtbFBLAQIUABQAAAAIAIdO4kAzLwWeOwAA&#10;ADkAAAAQAAAAAAAAAAEAIAAAAAgBAABkcnMvc2hhcGV4bWwueG1sUEsFBgAAAAAGAAYAWwEAALID&#10;AAAAAA==&#10;">
                  <v:fill on="t" focussize="0,0"/>
                  <v:stroke on="f"/>
                  <v:imagedata o:title=""/>
                  <o:lock v:ext="edit" aspectratio="f"/>
                </v:rect>
                <v:shape id="图片 18" o:spid="_x0000_s1026" o:spt="75" type="#_x0000_t75" style="position:absolute;left:33;top:3;height:26;width:0;" filled="f" o:preferrelative="t" stroked="f" coordsize="21600,21600" o:gfxdata="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mSQDLsAAADb&#10;AAAADwAAAAAAAAABACAAAAAiAAAAZHJzL2Rvd25yZXYueG1sUEsBAhQAFAAAAAgAh07iQDMvBZ47&#10;AAAAOQAAABAAAAAAAAAAAQAgAAAACgEAAGRycy9zaGFwZXhtbC54bWxQSwUGAAAAAAYABgBbAQAA&#10;tAMAAAAA&#10;">
                  <v:fill on="f" focussize="0,0"/>
                  <v:stroke on="f"/>
                  <v:imagedata r:id="rId22" o:title=""/>
                  <o:lock v:ext="edit" aspectratio="t"/>
                </v:shape>
                <v:shape id="图片 19" o:spid="_x0000_s1026" o:spt="75" type="#_x0000_t75" style="position:absolute;left:33;top:2;height:27;width:52;" filled="f" o:preferrelative="t" stroked="f" coordsize="21600,21600" o:gfxdata="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3DHUvQAA&#10;ANsAAAAPAAAAAAAAAAEAIAAAACIAAABkcnMvZG93bnJldi54bWxQSwECFAAUAAAACACHTuJAMy8F&#10;njsAAAA5AAAAEAAAAAAAAAABACAAAAAMAQAAZHJzL3NoYXBleG1sLnhtbFBLBQYAAAAABgAGAFsB&#10;AAC2AwAAAAA=&#10;">
                  <v:fill on="f" focussize="0,0"/>
                  <v:stroke on="f"/>
                  <v:imagedata r:id="rId23" o:title=""/>
                  <o:lock v:ext="edit" aspectratio="t"/>
                </v:shape>
                <v:shape id="图片 20" o:spid="_x0000_s1026" o:spt="75" type="#_x0000_t75" style="position:absolute;left:85;top:29;height:0;width:0;" filled="f" o:preferrelative="t" stroked="f" coordsize="21600,21600" o:gfxdata="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zqm68AAAA&#10;2wAAAA8AAAAAAAAAAQAgAAAAIgAAAGRycy9kb3ducmV2LnhtbFBLAQIUABQAAAAIAIdO4kAzLwWe&#10;OwAAADkAAAAQAAAAAAAAAAEAIAAAAAsBAABkcnMvc2hhcGV4bWwueG1sUEsFBgAAAAAGAAYAWwEA&#10;ALUDAAAAAA==&#10;">
                  <v:fill on="f" focussize="0,0"/>
                  <v:stroke on="f"/>
                  <v:imagedata r:id="rId24" o:title=""/>
                  <o:lock v:ext="edit" aspectratio="t"/>
                </v:shape>
                <v:shape id="文本框 21" o:spid="_x0000_s1026" o:spt="202" type="#_x0000_t202" style="position:absolute;left:33;top:2;height:27;width:52;"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sz w:val="20"/>
                          </w:rPr>
                        </w:pPr>
                      </w:p>
                      <w:p>
                        <w:pPr>
                          <w:rPr>
                            <w:sz w:val="20"/>
                          </w:rPr>
                        </w:pPr>
                      </w:p>
                      <w:p>
                        <w:pPr>
                          <w:rPr>
                            <w:sz w:val="20"/>
                          </w:rPr>
                        </w:pPr>
                      </w:p>
                      <w:p>
                        <w:pPr>
                          <w:rPr>
                            <w:sz w:val="20"/>
                          </w:rPr>
                        </w:pPr>
                      </w:p>
                      <w:p>
                        <w:pPr>
                          <w:rPr>
                            <w:sz w:val="20"/>
                          </w:rPr>
                        </w:pPr>
                      </w:p>
                      <w:p>
                        <w:pPr>
                          <w:spacing w:before="11"/>
                          <w:rPr>
                            <w:sz w:val="14"/>
                          </w:rPr>
                        </w:pPr>
                      </w:p>
                      <w:p>
                        <w:pPr>
                          <w:spacing w:before="1"/>
                          <w:ind w:left="533"/>
                          <w:rPr>
                            <w:sz w:val="21"/>
                          </w:rPr>
                        </w:pPr>
                        <w:r>
                          <w:rPr>
                            <w:sz w:val="21"/>
                          </w:rPr>
                          <w:t>此处放入委托代理人身份证</w:t>
                        </w:r>
                        <w:r>
                          <w:rPr>
                            <w:b/>
                            <w:sz w:val="21"/>
                          </w:rPr>
                          <w:t>正面及背面</w:t>
                        </w:r>
                        <w:r>
                          <w:rPr>
                            <w:sz w:val="21"/>
                          </w:rPr>
                          <w:t>复印件</w:t>
                        </w:r>
                      </w:p>
                    </w:txbxContent>
                  </v:textbox>
                </v:shape>
                <w10:wrap type="topAndBottom"/>
              </v:group>
            </w:pict>
          </mc:Fallback>
        </mc:AlternateContent>
      </w:r>
      <w:r>
        <w:rPr>
          <w:rFonts w:hint="eastAsia" w:ascii="宋体" w:hAnsi="宋体" w:eastAsia="宋体" w:cs="宋体"/>
          <w:b/>
          <w:bCs/>
          <w:color w:val="auto"/>
        </w:rPr>
        <w:t>注：</w:t>
      </w:r>
      <w:r>
        <w:rPr>
          <w:rFonts w:hint="eastAsia" w:ascii="宋体" w:hAnsi="宋体" w:eastAsia="宋体" w:cs="宋体"/>
          <w:color w:val="auto"/>
        </w:rPr>
        <w:t>1.法定代表人和委托代理人必须在授权书上亲笔签名，不得使用印章、签名章或其他电子制版签名；</w:t>
      </w:r>
    </w:p>
    <w:p>
      <w:pPr>
        <w:rPr>
          <w:rFonts w:hint="eastAsia" w:ascii="宋体" w:hAnsi="宋体" w:eastAsia="宋体" w:cs="宋体"/>
          <w:color w:val="auto"/>
        </w:rPr>
      </w:pPr>
      <w:r>
        <w:rPr>
          <w:rFonts w:hint="eastAsia" w:ascii="宋体" w:hAnsi="宋体" w:eastAsia="宋体" w:cs="宋体"/>
          <w:color w:val="auto"/>
        </w:rPr>
        <w:t>2.授权书后须附被授权的代理人身份证正反面的复印件；</w:t>
      </w:r>
    </w:p>
    <w:p>
      <w:pPr>
        <w:rPr>
          <w:rFonts w:hint="eastAsia" w:ascii="宋体" w:hAnsi="宋体" w:eastAsia="宋体" w:cs="宋体"/>
          <w:color w:val="auto"/>
        </w:rPr>
      </w:pPr>
      <w:r>
        <w:rPr>
          <w:rFonts w:hint="eastAsia" w:ascii="宋体" w:hAnsi="宋体" w:eastAsia="宋体" w:cs="宋体"/>
          <w:color w:val="auto"/>
        </w:rPr>
        <w:t>3.如果由投标人的法定代表人签署投标文件，则不需提交此授权委托书；</w:t>
      </w:r>
    </w:p>
    <w:p>
      <w:pPr>
        <w:rPr>
          <w:rFonts w:hint="eastAsia" w:ascii="宋体" w:hAnsi="宋体" w:eastAsia="宋体" w:cs="宋体"/>
          <w:color w:val="auto"/>
        </w:rPr>
      </w:pPr>
      <w:r>
        <w:rPr>
          <w:rFonts w:hint="eastAsia" w:ascii="宋体" w:hAnsi="宋体" w:eastAsia="宋体" w:cs="宋体"/>
          <w:color w:val="auto"/>
        </w:rPr>
        <w:t>4.以联合体形式投标的，由联合体主办方提供，并由联合体主办方的法定代表人按上述规定签署。</w:t>
      </w:r>
    </w:p>
    <w:p>
      <w:pPr>
        <w:rPr>
          <w:rFonts w:hint="eastAsia" w:ascii="宋体" w:hAnsi="宋体" w:eastAsia="宋体" w:cs="宋体"/>
          <w:color w:val="auto"/>
        </w:rPr>
        <w:sectPr>
          <w:pgSz w:w="11910" w:h="16840"/>
          <w:pgMar w:top="1440" w:right="1080" w:bottom="1440" w:left="1080" w:header="0" w:footer="1205" w:gutter="0"/>
          <w:pgNumType w:fmt="decimal"/>
          <w:cols w:space="720" w:num="1"/>
        </w:sectPr>
      </w:pPr>
    </w:p>
    <w:p>
      <w:pPr>
        <w:pStyle w:val="3"/>
        <w:spacing w:before="4"/>
        <w:jc w:val="both"/>
        <w:rPr>
          <w:rFonts w:hint="eastAsia" w:ascii="宋体" w:hAnsi="宋体" w:eastAsia="宋体" w:cs="宋体"/>
          <w:b/>
          <w:color w:val="auto"/>
          <w:sz w:val="19"/>
        </w:r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三、联合体协议书</w:t>
      </w:r>
    </w:p>
    <w:p>
      <w:pPr>
        <w:jc w:val="center"/>
        <w:rPr>
          <w:rFonts w:hint="eastAsia" w:ascii="宋体" w:hAnsi="宋体" w:eastAsia="宋体" w:cs="宋体"/>
          <w:b/>
          <w:bCs/>
          <w:color w:val="auto"/>
        </w:rPr>
      </w:pPr>
    </w:p>
    <w:p>
      <w:pPr>
        <w:jc w:val="center"/>
        <w:rPr>
          <w:rFonts w:hint="eastAsia" w:ascii="宋体" w:hAnsi="宋体" w:eastAsia="宋体" w:cs="宋体"/>
          <w:b/>
          <w:bCs/>
          <w:color w:val="auto"/>
        </w:rPr>
      </w:pPr>
    </w:p>
    <w:p>
      <w:pPr>
        <w:jc w:val="center"/>
        <w:rPr>
          <w:rFonts w:hint="eastAsia" w:ascii="宋体" w:hAnsi="宋体" w:eastAsia="宋体" w:cs="宋体"/>
          <w:b/>
          <w:bCs/>
          <w:color w:val="auto"/>
        </w:rPr>
      </w:pPr>
      <w:r>
        <w:rPr>
          <w:rFonts w:hint="eastAsia" w:ascii="宋体" w:hAnsi="宋体" w:eastAsia="宋体" w:cs="宋体"/>
          <w:b/>
          <w:bCs/>
          <w:color w:val="auto"/>
        </w:rPr>
        <w:t>同招标公告《联合体协议书》一致。</w:t>
      </w:r>
    </w:p>
    <w:p>
      <w:pPr>
        <w:jc w:val="center"/>
        <w:rPr>
          <w:rFonts w:hint="eastAsia" w:ascii="宋体" w:hAnsi="宋体" w:eastAsia="宋体" w:cs="宋体"/>
          <w:b/>
          <w:bCs/>
          <w:color w:val="auto"/>
        </w:rPr>
      </w:pPr>
      <w:r>
        <w:rPr>
          <w:rFonts w:hint="eastAsia" w:ascii="宋体" w:hAnsi="宋体" w:eastAsia="宋体" w:cs="宋体"/>
          <w:b/>
          <w:bCs/>
          <w:color w:val="auto"/>
        </w:rPr>
        <w:t>注：联合体投标的提供</w:t>
      </w:r>
    </w:p>
    <w:p>
      <w:pPr>
        <w:spacing w:line="348" w:lineRule="auto"/>
        <w:rPr>
          <w:rFonts w:hint="eastAsia" w:ascii="宋体" w:hAnsi="宋体" w:eastAsia="宋体" w:cs="宋体"/>
          <w:color w:val="auto"/>
          <w:sz w:val="21"/>
        </w:rPr>
        <w:sectPr>
          <w:pgSz w:w="11910" w:h="16840"/>
          <w:pgMar w:top="1440" w:right="1080" w:bottom="1440" w:left="1080" w:header="0" w:footer="1205" w:gutter="0"/>
          <w:pgNumType w:fmt="decimal"/>
          <w:cols w:space="720" w:num="1"/>
        </w:sectPr>
      </w:pPr>
    </w:p>
    <w:p>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四、投标保证金承诺书</w:t>
      </w:r>
    </w:p>
    <w:p>
      <w:pPr>
        <w:pStyle w:val="3"/>
        <w:spacing w:before="7"/>
        <w:jc w:val="both"/>
        <w:rPr>
          <w:rFonts w:hint="eastAsia" w:ascii="宋体" w:hAnsi="宋体" w:eastAsia="宋体" w:cs="宋体"/>
          <w:b/>
          <w:color w:val="auto"/>
          <w:sz w:val="27"/>
        </w:rPr>
      </w:pPr>
    </w:p>
    <w:p>
      <w:pPr>
        <w:rPr>
          <w:rFonts w:hint="eastAsia" w:ascii="宋体" w:hAnsi="宋体" w:eastAsia="宋体" w:cs="宋体"/>
          <w:color w:val="auto"/>
          <w:u w:val="single"/>
        </w:rPr>
      </w:pP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rPr>
        <w:t>（招标人名称）：</w:t>
      </w:r>
    </w:p>
    <w:p>
      <w:pPr>
        <w:pStyle w:val="3"/>
        <w:spacing w:line="360" w:lineRule="auto"/>
        <w:jc w:val="both"/>
        <w:rPr>
          <w:rFonts w:hint="eastAsia" w:ascii="宋体" w:hAnsi="宋体" w:eastAsia="宋体" w:cs="宋体"/>
          <w:color w:val="auto"/>
          <w:sz w:val="20"/>
        </w:rPr>
      </w:pPr>
    </w:p>
    <w:p>
      <w:pPr>
        <w:tabs>
          <w:tab w:val="left" w:pos="2288"/>
          <w:tab w:val="left" w:pos="3135"/>
          <w:tab w:val="left" w:pos="3983"/>
          <w:tab w:val="left" w:pos="5996"/>
        </w:tabs>
        <w:spacing w:before="78"/>
        <w:ind w:firstLine="480" w:firstLineChars="200"/>
        <w:rPr>
          <w:rFonts w:hint="eastAsia" w:ascii="宋体" w:hAnsi="宋体" w:eastAsia="宋体" w:cs="宋体"/>
          <w:color w:val="auto"/>
          <w:szCs w:val="24"/>
        </w:rPr>
      </w:pPr>
      <w:r>
        <w:rPr>
          <w:rFonts w:hint="eastAsia" w:ascii="宋体" w:hAnsi="宋体" w:eastAsia="宋体" w:cs="宋体"/>
          <w:color w:val="auto"/>
          <w:szCs w:val="24"/>
        </w:rPr>
        <w:t>我方于</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年</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月</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日参加</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rPr>
        <w:t>（项目名称）的投标，现保证：我</w:t>
      </w:r>
      <w:r>
        <w:rPr>
          <w:rFonts w:hint="eastAsia" w:ascii="宋体" w:hAnsi="宋体" w:eastAsia="宋体" w:cs="宋体"/>
          <w:color w:val="auto"/>
          <w:spacing w:val="-6"/>
          <w:szCs w:val="24"/>
        </w:rPr>
        <w:t>方在规定的投标有效期内撤销或修改投标文件的，或者在收到中标通知书后无正当理由拒签合同或拒交规定履约担保的，投标保证金不予退还。</w:t>
      </w:r>
    </w:p>
    <w:p>
      <w:pPr>
        <w:pStyle w:val="3"/>
        <w:spacing w:line="360" w:lineRule="auto"/>
        <w:jc w:val="both"/>
        <w:rPr>
          <w:rFonts w:hint="eastAsia" w:ascii="宋体" w:hAnsi="宋体" w:eastAsia="宋体" w:cs="宋体"/>
          <w:color w:val="auto"/>
          <w:sz w:val="20"/>
        </w:rPr>
      </w:pPr>
    </w:p>
    <w:p>
      <w:pPr>
        <w:pStyle w:val="3"/>
        <w:spacing w:line="360" w:lineRule="auto"/>
        <w:jc w:val="both"/>
        <w:rPr>
          <w:rFonts w:hint="eastAsia" w:ascii="宋体" w:hAnsi="宋体" w:eastAsia="宋体" w:cs="宋体"/>
          <w:color w:val="auto"/>
          <w:sz w:val="20"/>
        </w:rPr>
      </w:pPr>
    </w:p>
    <w:p>
      <w:pPr>
        <w:pStyle w:val="3"/>
        <w:spacing w:before="9" w:line="360" w:lineRule="auto"/>
        <w:jc w:val="both"/>
        <w:rPr>
          <w:rFonts w:hint="eastAsia" w:ascii="宋体" w:hAnsi="宋体" w:eastAsia="宋体" w:cs="宋体"/>
          <w:color w:val="auto"/>
          <w:sz w:val="17"/>
        </w:rPr>
      </w:pPr>
    </w:p>
    <w:p>
      <w:pPr>
        <w:tabs>
          <w:tab w:val="left" w:pos="3392"/>
          <w:tab w:val="left" w:pos="7066"/>
          <w:tab w:val="left" w:pos="7172"/>
          <w:tab w:val="left" w:pos="8209"/>
        </w:tabs>
        <w:spacing w:before="1"/>
        <w:ind w:left="2761" w:right="1541"/>
        <w:rPr>
          <w:rFonts w:hint="eastAsia" w:ascii="宋体" w:hAnsi="宋体" w:eastAsia="宋体" w:cs="宋体"/>
          <w:color w:val="auto"/>
          <w:szCs w:val="24"/>
        </w:rPr>
      </w:pPr>
      <w:r>
        <w:rPr>
          <w:rFonts w:hint="eastAsia" w:ascii="宋体" w:hAnsi="宋体" w:eastAsia="宋体" w:cs="宋体"/>
          <w:color w:val="auto"/>
          <w:szCs w:val="24"/>
        </w:rPr>
        <w:t>投标人名称：</w:t>
      </w:r>
      <w:r>
        <w:rPr>
          <w:rFonts w:hint="eastAsia" w:ascii="宋体" w:hAnsi="宋体" w:eastAsia="宋体" w:cs="宋体"/>
          <w:color w:val="auto"/>
          <w:szCs w:val="24"/>
          <w:u w:val="single"/>
        </w:rPr>
        <w:t xml:space="preserve">             </w:t>
      </w:r>
      <w:r>
        <w:rPr>
          <w:rFonts w:hint="eastAsia" w:ascii="宋体" w:hAnsi="宋体" w:eastAsia="宋体" w:cs="宋体"/>
          <w:color w:val="auto"/>
          <w:spacing w:val="-3"/>
          <w:szCs w:val="24"/>
        </w:rPr>
        <w:t>（盖</w:t>
      </w:r>
      <w:r>
        <w:rPr>
          <w:rFonts w:hint="eastAsia" w:ascii="宋体" w:hAnsi="宋体" w:eastAsia="宋体" w:cs="宋体"/>
          <w:color w:val="auto"/>
          <w:szCs w:val="24"/>
        </w:rPr>
        <w:t>单位</w:t>
      </w:r>
      <w:r>
        <w:rPr>
          <w:rFonts w:hint="eastAsia" w:ascii="宋体" w:hAnsi="宋体" w:eastAsia="宋体" w:cs="宋体"/>
          <w:color w:val="auto"/>
          <w:spacing w:val="-3"/>
          <w:szCs w:val="24"/>
        </w:rPr>
        <w:t>章</w:t>
      </w:r>
      <w:r>
        <w:rPr>
          <w:rFonts w:hint="eastAsia" w:ascii="宋体" w:hAnsi="宋体" w:eastAsia="宋体" w:cs="宋体"/>
          <w:color w:val="auto"/>
          <w:szCs w:val="24"/>
        </w:rPr>
        <w:t>）</w:t>
      </w:r>
    </w:p>
    <w:p>
      <w:pPr>
        <w:tabs>
          <w:tab w:val="left" w:pos="3392"/>
          <w:tab w:val="left" w:pos="7066"/>
          <w:tab w:val="left" w:pos="7172"/>
          <w:tab w:val="left" w:pos="8209"/>
        </w:tabs>
        <w:spacing w:before="1"/>
        <w:ind w:left="2761" w:right="1541"/>
        <w:rPr>
          <w:rFonts w:hint="eastAsia" w:ascii="宋体" w:hAnsi="宋体" w:eastAsia="宋体" w:cs="宋体"/>
          <w:color w:val="auto"/>
          <w:spacing w:val="-14"/>
          <w:szCs w:val="24"/>
        </w:rPr>
      </w:pPr>
      <w:r>
        <w:rPr>
          <w:rFonts w:hint="eastAsia" w:ascii="宋体" w:hAnsi="宋体" w:eastAsia="宋体" w:cs="宋体"/>
          <w:color w:val="auto"/>
          <w:szCs w:val="24"/>
        </w:rPr>
        <w:t>法定代表人：</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w:t>
      </w:r>
      <w:r>
        <w:rPr>
          <w:rFonts w:hint="eastAsia" w:ascii="宋体" w:hAnsi="宋体" w:eastAsia="宋体" w:cs="宋体"/>
          <w:color w:val="auto"/>
          <w:spacing w:val="-3"/>
          <w:szCs w:val="24"/>
        </w:rPr>
        <w:t>签</w:t>
      </w:r>
      <w:r>
        <w:rPr>
          <w:rFonts w:hint="eastAsia" w:ascii="宋体" w:hAnsi="宋体" w:eastAsia="宋体" w:cs="宋体"/>
          <w:color w:val="auto"/>
          <w:szCs w:val="24"/>
        </w:rPr>
        <w:t>字或</w:t>
      </w:r>
      <w:r>
        <w:rPr>
          <w:rFonts w:hint="eastAsia" w:ascii="宋体" w:hAnsi="宋体" w:eastAsia="宋体" w:cs="宋体"/>
          <w:color w:val="auto"/>
          <w:spacing w:val="-3"/>
          <w:szCs w:val="24"/>
        </w:rPr>
        <w:t>盖</w:t>
      </w:r>
      <w:r>
        <w:rPr>
          <w:rFonts w:hint="eastAsia" w:ascii="宋体" w:hAnsi="宋体" w:eastAsia="宋体" w:cs="宋体"/>
          <w:color w:val="auto"/>
          <w:szCs w:val="24"/>
        </w:rPr>
        <w:t>章</w:t>
      </w:r>
      <w:r>
        <w:rPr>
          <w:rFonts w:hint="eastAsia" w:ascii="宋体" w:hAnsi="宋体" w:eastAsia="宋体" w:cs="宋体"/>
          <w:color w:val="auto"/>
          <w:spacing w:val="-14"/>
          <w:szCs w:val="24"/>
        </w:rPr>
        <w:t>）</w:t>
      </w:r>
    </w:p>
    <w:p>
      <w:pPr>
        <w:tabs>
          <w:tab w:val="left" w:pos="3392"/>
          <w:tab w:val="left" w:pos="7066"/>
          <w:tab w:val="left" w:pos="7172"/>
          <w:tab w:val="left" w:pos="8209"/>
        </w:tabs>
        <w:spacing w:before="1"/>
        <w:ind w:left="2761" w:right="1541"/>
        <w:rPr>
          <w:rFonts w:hint="eastAsia" w:ascii="宋体" w:hAnsi="宋体" w:eastAsia="宋体" w:cs="宋体"/>
          <w:color w:val="auto"/>
          <w:szCs w:val="24"/>
        </w:rPr>
      </w:pPr>
      <w:r>
        <w:rPr>
          <w:rFonts w:hint="eastAsia" w:ascii="宋体" w:hAnsi="宋体" w:eastAsia="宋体" w:cs="宋体"/>
          <w:color w:val="auto"/>
          <w:szCs w:val="24"/>
        </w:rPr>
        <w:t>地</w:t>
      </w:r>
      <w:r>
        <w:rPr>
          <w:rFonts w:hint="eastAsia" w:ascii="宋体" w:hAnsi="宋体" w:eastAsia="宋体" w:cs="宋体"/>
          <w:color w:val="auto"/>
          <w:szCs w:val="24"/>
        </w:rPr>
        <w:tab/>
      </w:r>
      <w:r>
        <w:rPr>
          <w:rFonts w:hint="eastAsia" w:ascii="宋体" w:hAnsi="宋体" w:eastAsia="宋体" w:cs="宋体"/>
          <w:color w:val="auto"/>
          <w:spacing w:val="-1"/>
          <w:szCs w:val="24"/>
        </w:rPr>
        <w:t>址：</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ab/>
      </w:r>
    </w:p>
    <w:p>
      <w:pPr>
        <w:tabs>
          <w:tab w:val="left" w:pos="3392"/>
          <w:tab w:val="left" w:pos="8209"/>
          <w:tab w:val="left" w:pos="8269"/>
        </w:tabs>
        <w:ind w:left="2761" w:right="1813"/>
        <w:rPr>
          <w:rFonts w:hint="eastAsia" w:ascii="宋体" w:hAnsi="宋体" w:eastAsia="宋体" w:cs="宋体"/>
          <w:color w:val="auto"/>
          <w:szCs w:val="24"/>
          <w:u w:val="single"/>
        </w:rPr>
      </w:pPr>
      <w:r>
        <w:rPr>
          <w:rFonts w:hint="eastAsia" w:ascii="宋体" w:hAnsi="宋体" w:eastAsia="宋体" w:cs="宋体"/>
          <w:color w:val="auto"/>
          <w:spacing w:val="-1"/>
          <w:szCs w:val="24"/>
        </w:rPr>
        <w:t>邮政编码</w:t>
      </w:r>
      <w:r>
        <w:rPr>
          <w:rFonts w:hint="eastAsia" w:ascii="宋体" w:hAnsi="宋体" w:eastAsia="宋体" w:cs="宋体"/>
          <w:color w:val="auto"/>
          <w:szCs w:val="24"/>
        </w:rPr>
        <w:t>：</w:t>
      </w:r>
      <w:r>
        <w:rPr>
          <w:rFonts w:hint="eastAsia" w:ascii="宋体" w:hAnsi="宋体" w:eastAsia="宋体" w:cs="宋体"/>
          <w:color w:val="auto"/>
          <w:szCs w:val="24"/>
          <w:u w:val="single"/>
        </w:rPr>
        <w:tab/>
      </w:r>
    </w:p>
    <w:p>
      <w:pPr>
        <w:tabs>
          <w:tab w:val="left" w:pos="3392"/>
          <w:tab w:val="left" w:pos="8209"/>
          <w:tab w:val="left" w:pos="8269"/>
        </w:tabs>
        <w:ind w:left="2761" w:right="1813"/>
        <w:rPr>
          <w:rFonts w:hint="eastAsia" w:ascii="宋体" w:hAnsi="宋体" w:eastAsia="宋体" w:cs="宋体"/>
          <w:color w:val="auto"/>
          <w:szCs w:val="24"/>
        </w:rPr>
      </w:pPr>
      <w:r>
        <w:rPr>
          <w:rFonts w:hint="eastAsia" w:ascii="宋体" w:hAnsi="宋体" w:eastAsia="宋体" w:cs="宋体"/>
          <w:color w:val="auto"/>
          <w:szCs w:val="24"/>
        </w:rPr>
        <w:t>电</w:t>
      </w:r>
      <w:r>
        <w:rPr>
          <w:rFonts w:hint="eastAsia" w:ascii="宋体" w:hAnsi="宋体" w:eastAsia="宋体" w:cs="宋体"/>
          <w:color w:val="auto"/>
          <w:szCs w:val="24"/>
        </w:rPr>
        <w:tab/>
      </w:r>
      <w:r>
        <w:rPr>
          <w:rFonts w:hint="eastAsia" w:ascii="宋体" w:hAnsi="宋体" w:eastAsia="宋体" w:cs="宋体"/>
          <w:color w:val="auto"/>
          <w:spacing w:val="-1"/>
          <w:szCs w:val="24"/>
        </w:rPr>
        <w:t>话：</w:t>
      </w:r>
      <w:r>
        <w:rPr>
          <w:rFonts w:hint="eastAsia" w:ascii="宋体" w:hAnsi="宋体" w:eastAsia="宋体" w:cs="宋体"/>
          <w:color w:val="auto"/>
          <w:szCs w:val="24"/>
          <w:u w:val="single"/>
        </w:rPr>
        <w:t xml:space="preserve"> </w:t>
      </w:r>
      <w:r>
        <w:rPr>
          <w:rFonts w:hint="eastAsia" w:ascii="宋体" w:hAnsi="宋体" w:eastAsia="宋体" w:cs="宋体"/>
          <w:color w:val="auto"/>
          <w:szCs w:val="24"/>
          <w:u w:val="single"/>
        </w:rPr>
        <w:tab/>
      </w:r>
      <w:r>
        <w:rPr>
          <w:rFonts w:hint="eastAsia" w:ascii="宋体" w:hAnsi="宋体" w:eastAsia="宋体" w:cs="宋体"/>
          <w:color w:val="auto"/>
          <w:szCs w:val="24"/>
          <w:u w:val="single"/>
        </w:rPr>
        <w:tab/>
      </w:r>
    </w:p>
    <w:p>
      <w:pPr>
        <w:tabs>
          <w:tab w:val="left" w:pos="3392"/>
          <w:tab w:val="left" w:pos="7066"/>
          <w:tab w:val="left" w:pos="7172"/>
          <w:tab w:val="left" w:pos="8209"/>
        </w:tabs>
        <w:spacing w:before="1"/>
        <w:ind w:left="2761" w:right="1541"/>
        <w:rPr>
          <w:rFonts w:hint="eastAsia" w:ascii="宋体" w:hAnsi="宋体" w:eastAsia="宋体" w:cs="宋体"/>
          <w:color w:val="auto"/>
          <w:szCs w:val="24"/>
        </w:rPr>
      </w:pPr>
      <w:r>
        <w:rPr>
          <w:rFonts w:hint="eastAsia" w:ascii="宋体" w:hAnsi="宋体" w:eastAsia="宋体" w:cs="宋体"/>
          <w:color w:val="auto"/>
          <w:szCs w:val="24"/>
        </w:rPr>
        <w:t>日期：   年   月   日</w:t>
      </w:r>
    </w:p>
    <w:p>
      <w:pPr>
        <w:pStyle w:val="3"/>
        <w:jc w:val="both"/>
        <w:rPr>
          <w:rFonts w:hint="eastAsia" w:ascii="宋体" w:hAnsi="宋体" w:eastAsia="宋体" w:cs="宋体"/>
          <w:color w:val="auto"/>
          <w:sz w:val="20"/>
        </w:rPr>
      </w:pPr>
    </w:p>
    <w:p>
      <w:pPr>
        <w:pStyle w:val="3"/>
        <w:spacing w:before="10"/>
        <w:jc w:val="both"/>
        <w:rPr>
          <w:rFonts w:hint="eastAsia" w:ascii="宋体" w:hAnsi="宋体" w:eastAsia="宋体" w:cs="宋体"/>
          <w:color w:val="auto"/>
          <w:sz w:val="28"/>
        </w:rPr>
      </w:pPr>
    </w:p>
    <w:p>
      <w:pPr>
        <w:pStyle w:val="12"/>
        <w:spacing w:before="66"/>
        <w:ind w:left="601"/>
        <w:rPr>
          <w:rFonts w:hint="eastAsia" w:ascii="宋体" w:hAnsi="宋体" w:eastAsia="宋体" w:cs="宋体"/>
          <w:color w:val="auto"/>
        </w:rPr>
      </w:pPr>
      <w:r>
        <w:rPr>
          <w:rFonts w:hint="eastAsia" w:ascii="宋体" w:hAnsi="宋体" w:eastAsia="宋体" w:cs="宋体"/>
          <w:color w:val="auto"/>
        </w:rPr>
        <w:t>附：投标保证金的银行汇款凭证或银行保函</w:t>
      </w:r>
    </w:p>
    <w:p>
      <w:pPr>
        <w:rPr>
          <w:rFonts w:hint="eastAsia" w:ascii="宋体" w:hAnsi="宋体" w:eastAsia="宋体" w:cs="宋体"/>
          <w:b/>
          <w:color w:val="auto"/>
          <w:sz w:val="21"/>
        </w:rPr>
      </w:pPr>
      <w:r>
        <w:rPr>
          <w:rFonts w:hint="eastAsia" w:ascii="宋体" w:hAnsi="宋体" w:eastAsia="宋体" w:cs="宋体"/>
          <w:b/>
          <w:color w:val="auto"/>
          <w:sz w:val="21"/>
        </w:rPr>
        <w:br w:type="page"/>
      </w:r>
    </w:p>
    <w:p>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五、</w:t>
      </w:r>
      <w:r>
        <w:rPr>
          <w:rFonts w:hint="eastAsia" w:ascii="宋体" w:hAnsi="宋体" w:eastAsia="宋体" w:cs="宋体"/>
          <w:b/>
          <w:bCs/>
          <w:sz w:val="36"/>
          <w:szCs w:val="36"/>
        </w:rPr>
        <w:t>廉洁承诺书</w:t>
      </w:r>
    </w:p>
    <w:p>
      <w:pPr>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2"/>
          <w:szCs w:val="32"/>
        </w:rPr>
      </w:pPr>
      <w:r>
        <w:rPr>
          <w:rFonts w:hint="eastAsia" w:ascii="宋体" w:hAnsi="宋体" w:eastAsia="宋体" w:cs="宋体"/>
          <w:sz w:val="32"/>
          <w:szCs w:val="32"/>
        </w:rPr>
        <w:t>湛江市纪委、湛江市人民检察院、湛江市住房和城乡建设局、湛江经济技术开发区纪委、湛江经济技术开发区检察院、湛江经济技术开发区住房和规划建设局:</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28"/>
          <w:szCs w:val="28"/>
        </w:rPr>
      </w:pPr>
      <w:r>
        <w:rPr>
          <w:rFonts w:hint="eastAsia" w:ascii="宋体" w:hAnsi="宋体" w:eastAsia="宋体" w:cs="宋体"/>
          <w:sz w:val="32"/>
          <w:szCs w:val="32"/>
        </w:rPr>
        <w:t>我司参加</w:t>
      </w:r>
      <w:r>
        <w:rPr>
          <w:rFonts w:hint="eastAsia" w:ascii="宋体" w:hAnsi="宋体" w:eastAsia="宋体" w:cs="宋体"/>
          <w:sz w:val="32"/>
          <w:szCs w:val="32"/>
          <w:u w:val="single"/>
        </w:rPr>
        <w:t>湛江经开区老旧小区改造项目（一期一标）EPC</w:t>
      </w:r>
      <w:r>
        <w:rPr>
          <w:rFonts w:hint="eastAsia" w:ascii="宋体" w:hAnsi="宋体" w:eastAsia="宋体" w:cs="宋体"/>
          <w:sz w:val="32"/>
          <w:szCs w:val="32"/>
        </w:rPr>
        <w:t>工程投标，承诺在投标的全过程中，遵守有关法律法规，廉洁投标。如有违反有关规定，自愿接受按相关规定处理，并在一年内不得进入湛江经济技术开发区有形建筑市场</w:t>
      </w:r>
      <w:r>
        <w:rPr>
          <w:rFonts w:hint="eastAsia" w:ascii="宋体" w:hAnsi="宋体" w:eastAsia="宋体" w:cs="宋体"/>
          <w:sz w:val="28"/>
          <w:szCs w:val="28"/>
        </w:rPr>
        <w:t>。</w:t>
      </w:r>
    </w:p>
    <w:p>
      <w:pPr>
        <w:rPr>
          <w:rFonts w:hint="eastAsia" w:ascii="宋体" w:hAnsi="宋体" w:eastAsia="宋体" w:cs="宋体"/>
          <w:sz w:val="28"/>
          <w:szCs w:val="28"/>
        </w:rPr>
      </w:pPr>
    </w:p>
    <w:p>
      <w:pPr>
        <w:rPr>
          <w:rFonts w:hint="eastAsia" w:ascii="宋体" w:hAnsi="宋体" w:eastAsia="宋体" w:cs="宋体"/>
          <w:sz w:val="28"/>
          <w:szCs w:val="28"/>
        </w:rPr>
      </w:pPr>
    </w:p>
    <w:p>
      <w:pPr>
        <w:ind w:leftChars="1800"/>
        <w:rPr>
          <w:rFonts w:hint="eastAsia" w:ascii="宋体" w:hAnsi="宋体" w:eastAsia="宋体" w:cs="宋体"/>
          <w:sz w:val="32"/>
          <w:szCs w:val="32"/>
        </w:rPr>
      </w:pPr>
      <w:r>
        <w:rPr>
          <w:rFonts w:hint="eastAsia" w:ascii="宋体" w:hAnsi="宋体" w:eastAsia="宋体" w:cs="宋体"/>
          <w:sz w:val="32"/>
          <w:szCs w:val="32"/>
        </w:rPr>
        <w:t>投标人:(盖章)</w:t>
      </w:r>
    </w:p>
    <w:p>
      <w:pPr>
        <w:ind w:leftChars="1800"/>
        <w:rPr>
          <w:rFonts w:hint="eastAsia" w:ascii="宋体" w:hAnsi="宋体" w:eastAsia="宋体" w:cs="宋体"/>
          <w:sz w:val="32"/>
          <w:szCs w:val="32"/>
        </w:rPr>
      </w:pPr>
      <w:r>
        <w:rPr>
          <w:rFonts w:hint="eastAsia" w:ascii="宋体" w:hAnsi="宋体" w:eastAsia="宋体" w:cs="宋体"/>
          <w:sz w:val="32"/>
          <w:szCs w:val="32"/>
        </w:rPr>
        <w:t>法定代表人:(亲笔签名)</w:t>
      </w:r>
    </w:p>
    <w:p>
      <w:pPr>
        <w:ind w:leftChars="1800"/>
        <w:rPr>
          <w:rFonts w:hint="default" w:ascii="宋体" w:hAnsi="宋体" w:eastAsia="宋体" w:cs="宋体"/>
          <w:sz w:val="32"/>
          <w:szCs w:val="32"/>
          <w:lang w:val="en-US" w:eastAsia="zh-CN"/>
        </w:rPr>
      </w:pPr>
      <w:r>
        <w:rPr>
          <w:rFonts w:hint="eastAsia" w:ascii="宋体" w:hAnsi="宋体" w:eastAsia="宋体" w:cs="宋体"/>
          <w:sz w:val="32"/>
          <w:szCs w:val="32"/>
        </w:rPr>
        <w:t>日期:</w:t>
      </w:r>
      <w:r>
        <w:rPr>
          <w:rFonts w:hint="eastAsia" w:ascii="宋体" w:hAnsi="宋体" w:eastAsia="宋体" w:cs="宋体"/>
          <w:sz w:val="32"/>
          <w:szCs w:val="32"/>
          <w:lang w:val="en-US" w:eastAsia="zh-CN"/>
        </w:rPr>
        <w:t xml:space="preserve">    年  月  日</w:t>
      </w:r>
    </w:p>
    <w:p>
      <w:pP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br w:type="page"/>
      </w:r>
    </w:p>
    <w:p>
      <w:pPr>
        <w:jc w:val="center"/>
        <w:rPr>
          <w:rFonts w:hint="eastAsia" w:ascii="宋体" w:hAnsi="宋体" w:eastAsia="宋体" w:cs="宋体"/>
          <w:b/>
          <w:color w:val="auto"/>
          <w:sz w:val="32"/>
          <w:szCs w:val="32"/>
        </w:rPr>
      </w:pPr>
      <w:bookmarkStart w:id="908" w:name="_Hlk11790254"/>
      <w:r>
        <w:rPr>
          <w:rFonts w:hint="eastAsia" w:ascii="宋体" w:hAnsi="宋体" w:eastAsia="宋体" w:cs="宋体"/>
          <w:b/>
          <w:color w:val="auto"/>
          <w:sz w:val="32"/>
          <w:szCs w:val="32"/>
          <w:lang w:eastAsia="zh-CN"/>
        </w:rPr>
        <w:t>六</w:t>
      </w:r>
      <w:r>
        <w:rPr>
          <w:rFonts w:hint="eastAsia" w:ascii="宋体" w:hAnsi="宋体" w:eastAsia="宋体" w:cs="宋体"/>
          <w:b/>
          <w:color w:val="auto"/>
          <w:sz w:val="32"/>
          <w:szCs w:val="32"/>
        </w:rPr>
        <w:t>、资格审查资料</w:t>
      </w:r>
    </w:p>
    <w:p>
      <w:pPr>
        <w:pStyle w:val="9"/>
        <w:spacing w:before="227"/>
        <w:ind w:left="306" w:right="890"/>
        <w:jc w:val="center"/>
        <w:rPr>
          <w:rFonts w:hint="eastAsia" w:ascii="宋体" w:hAnsi="宋体" w:eastAsia="宋体" w:cs="宋体"/>
          <w:color w:val="auto"/>
        </w:rPr>
      </w:pPr>
      <w:r>
        <w:rPr>
          <w:rFonts w:hint="eastAsia" w:ascii="宋体" w:hAnsi="宋体" w:eastAsia="宋体" w:cs="宋体"/>
          <w:color w:val="auto"/>
        </w:rPr>
        <w:t>（一）投标人基本情况表</w:t>
      </w:r>
    </w:p>
    <w:bookmarkEnd w:id="908"/>
    <w:tbl>
      <w:tblPr>
        <w:tblStyle w:val="49"/>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1"/>
        <w:gridCol w:w="841"/>
        <w:gridCol w:w="421"/>
        <w:gridCol w:w="313"/>
        <w:gridCol w:w="1079"/>
        <w:gridCol w:w="491"/>
        <w:gridCol w:w="863"/>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投标人名称</w:t>
            </w:r>
          </w:p>
        </w:tc>
        <w:tc>
          <w:tcPr>
            <w:tcW w:w="6850" w:type="dxa"/>
            <w:gridSpan w:val="9"/>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注册地址</w:t>
            </w:r>
          </w:p>
        </w:tc>
        <w:tc>
          <w:tcPr>
            <w:tcW w:w="3424" w:type="dxa"/>
            <w:gridSpan w:val="5"/>
          </w:tcPr>
          <w:p>
            <w:pPr>
              <w:jc w:val="center"/>
              <w:rPr>
                <w:rFonts w:hint="eastAsia" w:ascii="宋体" w:hAnsi="宋体" w:eastAsia="宋体" w:cs="宋体"/>
                <w:color w:val="auto"/>
                <w:szCs w:val="24"/>
              </w:rPr>
            </w:pPr>
          </w:p>
        </w:tc>
        <w:tc>
          <w:tcPr>
            <w:tcW w:w="1079" w:type="dxa"/>
          </w:tcPr>
          <w:p>
            <w:pPr>
              <w:jc w:val="center"/>
              <w:rPr>
                <w:rFonts w:hint="eastAsia" w:ascii="宋体" w:hAnsi="宋体" w:eastAsia="宋体" w:cs="宋体"/>
                <w:color w:val="auto"/>
                <w:szCs w:val="24"/>
              </w:rPr>
            </w:pPr>
            <w:r>
              <w:rPr>
                <w:rFonts w:hint="eastAsia" w:ascii="宋体" w:hAnsi="宋体" w:eastAsia="宋体" w:cs="宋体"/>
                <w:color w:val="auto"/>
                <w:szCs w:val="24"/>
              </w:rPr>
              <w:t>邮政编码</w:t>
            </w:r>
          </w:p>
        </w:tc>
        <w:tc>
          <w:tcPr>
            <w:tcW w:w="2347" w:type="dxa"/>
            <w:gridSpan w:val="3"/>
          </w:tcPr>
          <w:p>
            <w:pPr>
              <w:jc w:val="cente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vMerge w:val="restart"/>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联系方式</w:t>
            </w:r>
          </w:p>
        </w:tc>
        <w:tc>
          <w:tcPr>
            <w:tcW w:w="898" w:type="dxa"/>
          </w:tcPr>
          <w:p>
            <w:pPr>
              <w:jc w:val="center"/>
              <w:rPr>
                <w:rFonts w:hint="eastAsia" w:ascii="宋体" w:hAnsi="宋体" w:eastAsia="宋体" w:cs="宋体"/>
                <w:color w:val="auto"/>
                <w:szCs w:val="24"/>
              </w:rPr>
            </w:pPr>
            <w:r>
              <w:rPr>
                <w:rFonts w:hint="eastAsia" w:ascii="宋体" w:hAnsi="宋体" w:eastAsia="宋体" w:cs="宋体"/>
                <w:color w:val="auto"/>
                <w:szCs w:val="24"/>
              </w:rPr>
              <w:t>联系人</w:t>
            </w:r>
          </w:p>
        </w:tc>
        <w:tc>
          <w:tcPr>
            <w:tcW w:w="2526" w:type="dxa"/>
            <w:gridSpan w:val="4"/>
          </w:tcPr>
          <w:p>
            <w:pPr>
              <w:jc w:val="center"/>
              <w:rPr>
                <w:rFonts w:hint="eastAsia" w:ascii="宋体" w:hAnsi="宋体" w:eastAsia="宋体" w:cs="宋体"/>
                <w:color w:val="auto"/>
                <w:szCs w:val="24"/>
              </w:rPr>
            </w:pPr>
          </w:p>
        </w:tc>
        <w:tc>
          <w:tcPr>
            <w:tcW w:w="1079" w:type="dxa"/>
          </w:tcPr>
          <w:p>
            <w:pPr>
              <w:jc w:val="center"/>
              <w:rPr>
                <w:rFonts w:hint="eastAsia" w:ascii="宋体" w:hAnsi="宋体" w:eastAsia="宋体" w:cs="宋体"/>
                <w:color w:val="auto"/>
                <w:szCs w:val="24"/>
              </w:rPr>
            </w:pPr>
            <w:r>
              <w:rPr>
                <w:rFonts w:hint="eastAsia" w:ascii="宋体" w:hAnsi="宋体" w:eastAsia="宋体" w:cs="宋体"/>
                <w:color w:val="auto"/>
                <w:szCs w:val="24"/>
              </w:rPr>
              <w:t>电 话</w:t>
            </w:r>
          </w:p>
        </w:tc>
        <w:tc>
          <w:tcPr>
            <w:tcW w:w="2347" w:type="dxa"/>
            <w:gridSpan w:val="3"/>
          </w:tcPr>
          <w:p>
            <w:pPr>
              <w:jc w:val="cente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728" w:type="dxa"/>
            <w:vMerge w:val="continue"/>
            <w:tcBorders>
              <w:top w:val="nil"/>
            </w:tcBorders>
          </w:tcPr>
          <w:p>
            <w:pPr>
              <w:jc w:val="center"/>
              <w:rPr>
                <w:rFonts w:hint="eastAsia" w:ascii="宋体" w:hAnsi="宋体" w:eastAsia="宋体" w:cs="宋体"/>
                <w:color w:val="auto"/>
                <w:szCs w:val="24"/>
              </w:rPr>
            </w:pPr>
          </w:p>
        </w:tc>
        <w:tc>
          <w:tcPr>
            <w:tcW w:w="898" w:type="dxa"/>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传</w:t>
            </w:r>
            <w:r>
              <w:rPr>
                <w:rFonts w:hint="eastAsia" w:ascii="宋体" w:hAnsi="宋体" w:eastAsia="宋体" w:cs="宋体"/>
                <w:color w:val="auto"/>
                <w:szCs w:val="24"/>
              </w:rPr>
              <w:tab/>
            </w:r>
            <w:r>
              <w:rPr>
                <w:rFonts w:hint="eastAsia" w:ascii="宋体" w:hAnsi="宋体" w:eastAsia="宋体" w:cs="宋体"/>
                <w:color w:val="auto"/>
                <w:szCs w:val="24"/>
              </w:rPr>
              <w:t>真</w:t>
            </w:r>
          </w:p>
        </w:tc>
        <w:tc>
          <w:tcPr>
            <w:tcW w:w="2526" w:type="dxa"/>
            <w:gridSpan w:val="4"/>
          </w:tcPr>
          <w:p>
            <w:pPr>
              <w:jc w:val="center"/>
              <w:rPr>
                <w:rFonts w:hint="eastAsia" w:ascii="宋体" w:hAnsi="宋体" w:eastAsia="宋体" w:cs="宋体"/>
                <w:color w:val="auto"/>
                <w:szCs w:val="24"/>
              </w:rPr>
            </w:pPr>
          </w:p>
        </w:tc>
        <w:tc>
          <w:tcPr>
            <w:tcW w:w="1079" w:type="dxa"/>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网 址</w:t>
            </w:r>
          </w:p>
        </w:tc>
        <w:tc>
          <w:tcPr>
            <w:tcW w:w="2347" w:type="dxa"/>
            <w:gridSpan w:val="3"/>
          </w:tcPr>
          <w:p>
            <w:pPr>
              <w:jc w:val="cente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组织结构</w:t>
            </w:r>
          </w:p>
        </w:tc>
        <w:tc>
          <w:tcPr>
            <w:tcW w:w="6850" w:type="dxa"/>
            <w:gridSpan w:val="9"/>
          </w:tcPr>
          <w:p>
            <w:pPr>
              <w:jc w:val="cente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728" w:type="dxa"/>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法定代表人</w:t>
            </w:r>
          </w:p>
        </w:tc>
        <w:tc>
          <w:tcPr>
            <w:tcW w:w="898" w:type="dxa"/>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姓名</w:t>
            </w:r>
          </w:p>
        </w:tc>
        <w:tc>
          <w:tcPr>
            <w:tcW w:w="951" w:type="dxa"/>
          </w:tcPr>
          <w:p>
            <w:pPr>
              <w:jc w:val="center"/>
              <w:rPr>
                <w:rFonts w:hint="eastAsia" w:ascii="宋体" w:hAnsi="宋体" w:eastAsia="宋体" w:cs="宋体"/>
                <w:color w:val="auto"/>
                <w:szCs w:val="24"/>
              </w:rPr>
            </w:pPr>
          </w:p>
        </w:tc>
        <w:tc>
          <w:tcPr>
            <w:tcW w:w="1262" w:type="dxa"/>
            <w:gridSpan w:val="2"/>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技术职称</w:t>
            </w:r>
          </w:p>
        </w:tc>
        <w:tc>
          <w:tcPr>
            <w:tcW w:w="1883" w:type="dxa"/>
            <w:gridSpan w:val="3"/>
          </w:tcPr>
          <w:p>
            <w:pPr>
              <w:jc w:val="center"/>
              <w:rPr>
                <w:rFonts w:hint="eastAsia" w:ascii="宋体" w:hAnsi="宋体" w:eastAsia="宋体" w:cs="宋体"/>
                <w:color w:val="auto"/>
                <w:szCs w:val="24"/>
              </w:rPr>
            </w:pPr>
          </w:p>
        </w:tc>
        <w:tc>
          <w:tcPr>
            <w:tcW w:w="863" w:type="dxa"/>
          </w:tcPr>
          <w:p>
            <w:pPr>
              <w:rPr>
                <w:rFonts w:hint="eastAsia" w:ascii="宋体" w:hAnsi="宋体" w:eastAsia="宋体" w:cs="宋体"/>
                <w:color w:val="auto"/>
                <w:szCs w:val="24"/>
              </w:rPr>
            </w:pPr>
          </w:p>
          <w:p>
            <w:pPr>
              <w:rPr>
                <w:rFonts w:hint="eastAsia" w:ascii="宋体" w:hAnsi="宋体" w:eastAsia="宋体" w:cs="宋体"/>
                <w:color w:val="auto"/>
                <w:szCs w:val="24"/>
              </w:rPr>
            </w:pPr>
            <w:r>
              <w:rPr>
                <w:rFonts w:hint="eastAsia" w:ascii="宋体" w:hAnsi="宋体" w:eastAsia="宋体" w:cs="宋体"/>
                <w:color w:val="auto"/>
                <w:szCs w:val="24"/>
              </w:rPr>
              <w:t>电话</w:t>
            </w:r>
          </w:p>
        </w:tc>
        <w:tc>
          <w:tcPr>
            <w:tcW w:w="993" w:type="dxa"/>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技术负责人</w:t>
            </w:r>
          </w:p>
        </w:tc>
        <w:tc>
          <w:tcPr>
            <w:tcW w:w="898" w:type="dxa"/>
          </w:tcPr>
          <w:p>
            <w:pPr>
              <w:jc w:val="center"/>
              <w:rPr>
                <w:rFonts w:hint="eastAsia" w:ascii="宋体" w:hAnsi="宋体" w:eastAsia="宋体" w:cs="宋体"/>
                <w:color w:val="auto"/>
                <w:szCs w:val="24"/>
              </w:rPr>
            </w:pPr>
            <w:r>
              <w:rPr>
                <w:rFonts w:hint="eastAsia" w:ascii="宋体" w:hAnsi="宋体" w:eastAsia="宋体" w:cs="宋体"/>
                <w:color w:val="auto"/>
                <w:szCs w:val="24"/>
              </w:rPr>
              <w:t>姓名</w:t>
            </w:r>
          </w:p>
        </w:tc>
        <w:tc>
          <w:tcPr>
            <w:tcW w:w="951" w:type="dxa"/>
          </w:tcPr>
          <w:p>
            <w:pPr>
              <w:jc w:val="center"/>
              <w:rPr>
                <w:rFonts w:hint="eastAsia" w:ascii="宋体" w:hAnsi="宋体" w:eastAsia="宋体" w:cs="宋体"/>
                <w:color w:val="auto"/>
                <w:szCs w:val="24"/>
              </w:rPr>
            </w:pPr>
          </w:p>
        </w:tc>
        <w:tc>
          <w:tcPr>
            <w:tcW w:w="1262" w:type="dxa"/>
            <w:gridSpan w:val="2"/>
          </w:tcPr>
          <w:p>
            <w:pPr>
              <w:jc w:val="center"/>
              <w:rPr>
                <w:rFonts w:hint="eastAsia" w:ascii="宋体" w:hAnsi="宋体" w:eastAsia="宋体" w:cs="宋体"/>
                <w:color w:val="auto"/>
                <w:szCs w:val="24"/>
              </w:rPr>
            </w:pPr>
            <w:r>
              <w:rPr>
                <w:rFonts w:hint="eastAsia" w:ascii="宋体" w:hAnsi="宋体" w:eastAsia="宋体" w:cs="宋体"/>
                <w:color w:val="auto"/>
                <w:szCs w:val="24"/>
              </w:rPr>
              <w:t>技术职称</w:t>
            </w:r>
          </w:p>
        </w:tc>
        <w:tc>
          <w:tcPr>
            <w:tcW w:w="1883" w:type="dxa"/>
            <w:gridSpan w:val="3"/>
          </w:tcPr>
          <w:p>
            <w:pPr>
              <w:jc w:val="center"/>
              <w:rPr>
                <w:rFonts w:hint="eastAsia" w:ascii="宋体" w:hAnsi="宋体" w:eastAsia="宋体" w:cs="宋体"/>
                <w:color w:val="auto"/>
                <w:szCs w:val="24"/>
              </w:rPr>
            </w:pPr>
          </w:p>
        </w:tc>
        <w:tc>
          <w:tcPr>
            <w:tcW w:w="863" w:type="dxa"/>
          </w:tcPr>
          <w:p>
            <w:pPr>
              <w:rPr>
                <w:rFonts w:hint="eastAsia" w:ascii="宋体" w:hAnsi="宋体" w:eastAsia="宋体" w:cs="宋体"/>
                <w:color w:val="auto"/>
                <w:szCs w:val="24"/>
              </w:rPr>
            </w:pPr>
            <w:r>
              <w:rPr>
                <w:rFonts w:hint="eastAsia" w:ascii="宋体" w:hAnsi="宋体" w:eastAsia="宋体" w:cs="宋体"/>
                <w:color w:val="auto"/>
                <w:szCs w:val="24"/>
              </w:rPr>
              <w:t>电话</w:t>
            </w:r>
          </w:p>
        </w:tc>
        <w:tc>
          <w:tcPr>
            <w:tcW w:w="993" w:type="dxa"/>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成立时间</w:t>
            </w:r>
          </w:p>
        </w:tc>
        <w:tc>
          <w:tcPr>
            <w:tcW w:w="1849" w:type="dxa"/>
            <w:gridSpan w:val="2"/>
          </w:tcPr>
          <w:p>
            <w:pPr>
              <w:jc w:val="center"/>
              <w:rPr>
                <w:rFonts w:hint="eastAsia" w:ascii="宋体" w:hAnsi="宋体" w:eastAsia="宋体" w:cs="宋体"/>
                <w:color w:val="auto"/>
                <w:szCs w:val="24"/>
              </w:rPr>
            </w:pPr>
          </w:p>
        </w:tc>
        <w:tc>
          <w:tcPr>
            <w:tcW w:w="5001" w:type="dxa"/>
            <w:gridSpan w:val="7"/>
          </w:tcPr>
          <w:p>
            <w:pPr>
              <w:jc w:val="center"/>
              <w:rPr>
                <w:rFonts w:hint="eastAsia" w:ascii="宋体" w:hAnsi="宋体" w:eastAsia="宋体" w:cs="宋体"/>
                <w:color w:val="auto"/>
                <w:szCs w:val="24"/>
              </w:rPr>
            </w:pPr>
            <w:r>
              <w:rPr>
                <w:rFonts w:hint="eastAsia" w:ascii="宋体" w:hAnsi="宋体" w:eastAsia="宋体" w:cs="宋体"/>
                <w:color w:val="auto"/>
                <w:szCs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企业资质等级</w:t>
            </w:r>
          </w:p>
        </w:tc>
        <w:tc>
          <w:tcPr>
            <w:tcW w:w="1849" w:type="dxa"/>
            <w:gridSpan w:val="2"/>
          </w:tcPr>
          <w:p>
            <w:pPr>
              <w:jc w:val="center"/>
              <w:rPr>
                <w:rFonts w:hint="eastAsia" w:ascii="宋体" w:hAnsi="宋体" w:eastAsia="宋体" w:cs="宋体"/>
                <w:color w:val="auto"/>
                <w:szCs w:val="24"/>
              </w:rPr>
            </w:pPr>
          </w:p>
        </w:tc>
        <w:tc>
          <w:tcPr>
            <w:tcW w:w="841" w:type="dxa"/>
            <w:vMerge w:val="restart"/>
          </w:tcPr>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p>
          <w:p>
            <w:pPr>
              <w:jc w:val="center"/>
              <w:rPr>
                <w:rFonts w:hint="eastAsia" w:ascii="宋体" w:hAnsi="宋体" w:eastAsia="宋体" w:cs="宋体"/>
                <w:color w:val="auto"/>
                <w:szCs w:val="24"/>
              </w:rPr>
            </w:pPr>
            <w:r>
              <w:rPr>
                <w:rFonts w:hint="eastAsia" w:ascii="宋体" w:hAnsi="宋体" w:eastAsia="宋体" w:cs="宋体"/>
                <w:color w:val="auto"/>
                <w:szCs w:val="24"/>
              </w:rPr>
              <w:t>其中</w:t>
            </w:r>
          </w:p>
        </w:tc>
        <w:tc>
          <w:tcPr>
            <w:tcW w:w="2304" w:type="dxa"/>
            <w:gridSpan w:val="4"/>
          </w:tcPr>
          <w:p>
            <w:pPr>
              <w:jc w:val="center"/>
              <w:rPr>
                <w:rFonts w:hint="eastAsia" w:ascii="宋体" w:hAnsi="宋体" w:eastAsia="宋体" w:cs="宋体"/>
                <w:color w:val="auto"/>
                <w:szCs w:val="24"/>
              </w:rPr>
            </w:pPr>
            <w:r>
              <w:rPr>
                <w:rFonts w:hint="eastAsia" w:ascii="宋体" w:hAnsi="宋体" w:eastAsia="宋体" w:cs="宋体"/>
                <w:color w:val="auto"/>
                <w:szCs w:val="24"/>
              </w:rPr>
              <w:t>项目经理</w:t>
            </w:r>
          </w:p>
        </w:tc>
        <w:tc>
          <w:tcPr>
            <w:tcW w:w="1856"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营业执照号</w:t>
            </w:r>
          </w:p>
        </w:tc>
        <w:tc>
          <w:tcPr>
            <w:tcW w:w="1849" w:type="dxa"/>
            <w:gridSpan w:val="2"/>
          </w:tcPr>
          <w:p>
            <w:pPr>
              <w:jc w:val="center"/>
              <w:rPr>
                <w:rFonts w:hint="eastAsia" w:ascii="宋体" w:hAnsi="宋体" w:eastAsia="宋体" w:cs="宋体"/>
                <w:color w:val="auto"/>
                <w:szCs w:val="24"/>
              </w:rPr>
            </w:pPr>
          </w:p>
        </w:tc>
        <w:tc>
          <w:tcPr>
            <w:tcW w:w="841" w:type="dxa"/>
            <w:vMerge w:val="continue"/>
            <w:tcBorders>
              <w:top w:val="nil"/>
            </w:tcBorders>
          </w:tcPr>
          <w:p>
            <w:pPr>
              <w:jc w:val="center"/>
              <w:rPr>
                <w:rFonts w:hint="eastAsia" w:ascii="宋体" w:hAnsi="宋体" w:eastAsia="宋体" w:cs="宋体"/>
                <w:color w:val="auto"/>
                <w:szCs w:val="24"/>
              </w:rPr>
            </w:pPr>
          </w:p>
        </w:tc>
        <w:tc>
          <w:tcPr>
            <w:tcW w:w="2304" w:type="dxa"/>
            <w:gridSpan w:val="4"/>
          </w:tcPr>
          <w:p>
            <w:pPr>
              <w:jc w:val="center"/>
              <w:rPr>
                <w:rFonts w:hint="eastAsia" w:ascii="宋体" w:hAnsi="宋体" w:eastAsia="宋体" w:cs="宋体"/>
                <w:color w:val="auto"/>
                <w:szCs w:val="24"/>
              </w:rPr>
            </w:pPr>
            <w:r>
              <w:rPr>
                <w:rFonts w:hint="eastAsia" w:ascii="宋体" w:hAnsi="宋体" w:eastAsia="宋体" w:cs="宋体"/>
                <w:color w:val="auto"/>
                <w:szCs w:val="24"/>
              </w:rPr>
              <w:t>高级职称人员</w:t>
            </w:r>
          </w:p>
        </w:tc>
        <w:tc>
          <w:tcPr>
            <w:tcW w:w="1856"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注册资金</w:t>
            </w:r>
          </w:p>
        </w:tc>
        <w:tc>
          <w:tcPr>
            <w:tcW w:w="1849" w:type="dxa"/>
            <w:gridSpan w:val="2"/>
          </w:tcPr>
          <w:p>
            <w:pPr>
              <w:jc w:val="center"/>
              <w:rPr>
                <w:rFonts w:hint="eastAsia" w:ascii="宋体" w:hAnsi="宋体" w:eastAsia="宋体" w:cs="宋体"/>
                <w:color w:val="auto"/>
                <w:szCs w:val="24"/>
              </w:rPr>
            </w:pPr>
          </w:p>
        </w:tc>
        <w:tc>
          <w:tcPr>
            <w:tcW w:w="841" w:type="dxa"/>
            <w:vMerge w:val="continue"/>
            <w:tcBorders>
              <w:top w:val="nil"/>
            </w:tcBorders>
          </w:tcPr>
          <w:p>
            <w:pPr>
              <w:jc w:val="center"/>
              <w:rPr>
                <w:rFonts w:hint="eastAsia" w:ascii="宋体" w:hAnsi="宋体" w:eastAsia="宋体" w:cs="宋体"/>
                <w:color w:val="auto"/>
                <w:szCs w:val="24"/>
              </w:rPr>
            </w:pPr>
          </w:p>
        </w:tc>
        <w:tc>
          <w:tcPr>
            <w:tcW w:w="2304" w:type="dxa"/>
            <w:gridSpan w:val="4"/>
          </w:tcPr>
          <w:p>
            <w:pPr>
              <w:jc w:val="center"/>
              <w:rPr>
                <w:rFonts w:hint="eastAsia" w:ascii="宋体" w:hAnsi="宋体" w:eastAsia="宋体" w:cs="宋体"/>
                <w:color w:val="auto"/>
                <w:szCs w:val="24"/>
              </w:rPr>
            </w:pPr>
            <w:r>
              <w:rPr>
                <w:rFonts w:hint="eastAsia" w:ascii="宋体" w:hAnsi="宋体" w:eastAsia="宋体" w:cs="宋体"/>
                <w:color w:val="auto"/>
                <w:szCs w:val="24"/>
              </w:rPr>
              <w:t>中级职称人员</w:t>
            </w:r>
          </w:p>
        </w:tc>
        <w:tc>
          <w:tcPr>
            <w:tcW w:w="1856"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开户银行</w:t>
            </w:r>
          </w:p>
        </w:tc>
        <w:tc>
          <w:tcPr>
            <w:tcW w:w="1849" w:type="dxa"/>
            <w:gridSpan w:val="2"/>
          </w:tcPr>
          <w:p>
            <w:pPr>
              <w:jc w:val="center"/>
              <w:rPr>
                <w:rFonts w:hint="eastAsia" w:ascii="宋体" w:hAnsi="宋体" w:eastAsia="宋体" w:cs="宋体"/>
                <w:color w:val="auto"/>
                <w:szCs w:val="24"/>
              </w:rPr>
            </w:pPr>
          </w:p>
        </w:tc>
        <w:tc>
          <w:tcPr>
            <w:tcW w:w="841" w:type="dxa"/>
            <w:vMerge w:val="continue"/>
            <w:tcBorders>
              <w:top w:val="nil"/>
            </w:tcBorders>
          </w:tcPr>
          <w:p>
            <w:pPr>
              <w:jc w:val="center"/>
              <w:rPr>
                <w:rFonts w:hint="eastAsia" w:ascii="宋体" w:hAnsi="宋体" w:eastAsia="宋体" w:cs="宋体"/>
                <w:color w:val="auto"/>
                <w:szCs w:val="24"/>
              </w:rPr>
            </w:pPr>
          </w:p>
        </w:tc>
        <w:tc>
          <w:tcPr>
            <w:tcW w:w="2304" w:type="dxa"/>
            <w:gridSpan w:val="4"/>
          </w:tcPr>
          <w:p>
            <w:pPr>
              <w:jc w:val="center"/>
              <w:rPr>
                <w:rFonts w:hint="eastAsia" w:ascii="宋体" w:hAnsi="宋体" w:eastAsia="宋体" w:cs="宋体"/>
                <w:color w:val="auto"/>
                <w:szCs w:val="24"/>
              </w:rPr>
            </w:pPr>
            <w:r>
              <w:rPr>
                <w:rFonts w:hint="eastAsia" w:ascii="宋体" w:hAnsi="宋体" w:eastAsia="宋体" w:cs="宋体"/>
                <w:color w:val="auto"/>
                <w:szCs w:val="24"/>
              </w:rPr>
              <w:t>初级职称人员</w:t>
            </w:r>
          </w:p>
        </w:tc>
        <w:tc>
          <w:tcPr>
            <w:tcW w:w="1856"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账号</w:t>
            </w:r>
          </w:p>
        </w:tc>
        <w:tc>
          <w:tcPr>
            <w:tcW w:w="1849" w:type="dxa"/>
            <w:gridSpan w:val="2"/>
          </w:tcPr>
          <w:p>
            <w:pPr>
              <w:jc w:val="center"/>
              <w:rPr>
                <w:rFonts w:hint="eastAsia" w:ascii="宋体" w:hAnsi="宋体" w:eastAsia="宋体" w:cs="宋体"/>
                <w:color w:val="auto"/>
                <w:szCs w:val="24"/>
              </w:rPr>
            </w:pPr>
          </w:p>
        </w:tc>
        <w:tc>
          <w:tcPr>
            <w:tcW w:w="841" w:type="dxa"/>
            <w:vMerge w:val="continue"/>
            <w:tcBorders>
              <w:top w:val="nil"/>
            </w:tcBorders>
          </w:tcPr>
          <w:p>
            <w:pPr>
              <w:jc w:val="center"/>
              <w:rPr>
                <w:rFonts w:hint="eastAsia" w:ascii="宋体" w:hAnsi="宋体" w:eastAsia="宋体" w:cs="宋体"/>
                <w:color w:val="auto"/>
                <w:szCs w:val="24"/>
              </w:rPr>
            </w:pPr>
          </w:p>
        </w:tc>
        <w:tc>
          <w:tcPr>
            <w:tcW w:w="2304" w:type="dxa"/>
            <w:gridSpan w:val="4"/>
          </w:tcPr>
          <w:p>
            <w:pPr>
              <w:jc w:val="center"/>
              <w:rPr>
                <w:rFonts w:hint="eastAsia" w:ascii="宋体" w:hAnsi="宋体" w:eastAsia="宋体" w:cs="宋体"/>
                <w:color w:val="auto"/>
                <w:szCs w:val="24"/>
              </w:rPr>
            </w:pPr>
            <w:r>
              <w:rPr>
                <w:rFonts w:hint="eastAsia" w:ascii="宋体" w:hAnsi="宋体" w:eastAsia="宋体" w:cs="宋体"/>
                <w:color w:val="auto"/>
                <w:szCs w:val="24"/>
              </w:rPr>
              <w:t>技工</w:t>
            </w:r>
          </w:p>
        </w:tc>
        <w:tc>
          <w:tcPr>
            <w:tcW w:w="1856"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经营范围</w:t>
            </w:r>
          </w:p>
        </w:tc>
        <w:tc>
          <w:tcPr>
            <w:tcW w:w="6850" w:type="dxa"/>
            <w:gridSpan w:val="9"/>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728" w:type="dxa"/>
          </w:tcPr>
          <w:p>
            <w:pPr>
              <w:jc w:val="center"/>
              <w:rPr>
                <w:rFonts w:hint="eastAsia" w:ascii="宋体" w:hAnsi="宋体" w:eastAsia="宋体" w:cs="宋体"/>
                <w:color w:val="auto"/>
                <w:szCs w:val="24"/>
              </w:rPr>
            </w:pPr>
            <w:r>
              <w:rPr>
                <w:rFonts w:hint="eastAsia" w:ascii="宋体" w:hAnsi="宋体" w:eastAsia="宋体" w:cs="宋体"/>
                <w:color w:val="auto"/>
                <w:szCs w:val="24"/>
              </w:rPr>
              <w:t>备注</w:t>
            </w:r>
          </w:p>
        </w:tc>
        <w:tc>
          <w:tcPr>
            <w:tcW w:w="6850" w:type="dxa"/>
            <w:gridSpan w:val="9"/>
          </w:tcPr>
          <w:p>
            <w:pPr>
              <w:rPr>
                <w:rFonts w:hint="eastAsia" w:ascii="宋体" w:hAnsi="宋体" w:eastAsia="宋体" w:cs="宋体"/>
                <w:color w:val="auto"/>
                <w:szCs w:val="24"/>
              </w:rPr>
            </w:pPr>
          </w:p>
        </w:tc>
      </w:tr>
    </w:tbl>
    <w:p>
      <w:pPr>
        <w:rPr>
          <w:rFonts w:hint="eastAsia" w:ascii="宋体" w:hAnsi="宋体" w:eastAsia="宋体" w:cs="宋体"/>
          <w:color w:val="auto"/>
          <w:sz w:val="22"/>
          <w:szCs w:val="20"/>
        </w:rPr>
      </w:pPr>
      <w:r>
        <w:rPr>
          <w:rFonts w:hint="eastAsia" w:ascii="宋体" w:hAnsi="宋体" w:eastAsia="宋体" w:cs="宋体"/>
          <w:color w:val="auto"/>
          <w:sz w:val="22"/>
          <w:szCs w:val="20"/>
        </w:rPr>
        <w:t>附：1. 本表后附独立体或联合体各方的相关证书复印件（包括但不限于营业执照、资质证书、有效的的安全生产许可证、基本账户许可证等）。</w:t>
      </w:r>
    </w:p>
    <w:p>
      <w:pPr>
        <w:ind w:firstLine="440" w:firstLineChars="200"/>
        <w:rPr>
          <w:rFonts w:hint="eastAsia" w:ascii="宋体" w:hAnsi="宋体" w:eastAsia="宋体" w:cs="宋体"/>
          <w:color w:val="auto"/>
          <w:sz w:val="22"/>
          <w:szCs w:val="20"/>
        </w:rPr>
      </w:pPr>
      <w:r>
        <w:rPr>
          <w:rFonts w:hint="eastAsia" w:ascii="宋体" w:hAnsi="宋体" w:eastAsia="宋体" w:cs="宋体"/>
          <w:color w:val="auto"/>
          <w:sz w:val="22"/>
          <w:szCs w:val="20"/>
        </w:rPr>
        <w:t>2.投标人必须如实填写资产构成情况和关联企业及存在单位负责人为同一人、存在控股、管理关系的情况，如调查核实未如实填写的，按提供虚假材料对待。</w:t>
      </w:r>
    </w:p>
    <w:p>
      <w:pPr>
        <w:ind w:firstLine="440" w:firstLineChars="200"/>
        <w:rPr>
          <w:rFonts w:hint="eastAsia" w:ascii="宋体" w:hAnsi="宋体" w:eastAsia="宋体" w:cs="宋体"/>
          <w:b/>
          <w:bCs/>
          <w:color w:val="auto"/>
          <w:sz w:val="22"/>
          <w:szCs w:val="20"/>
        </w:rPr>
      </w:pPr>
      <w:r>
        <w:rPr>
          <w:rFonts w:hint="eastAsia" w:ascii="宋体" w:hAnsi="宋体" w:eastAsia="宋体" w:cs="宋体"/>
          <w:b/>
          <w:bCs/>
          <w:color w:val="auto"/>
          <w:sz w:val="22"/>
          <w:szCs w:val="20"/>
        </w:rPr>
        <w:t>3.如联合体投标，表格需复制延展填写联合体各方信息。</w:t>
      </w:r>
    </w:p>
    <w:p>
      <w:pPr>
        <w:rPr>
          <w:rFonts w:hint="eastAsia" w:ascii="宋体" w:hAnsi="宋体" w:eastAsia="宋体" w:cs="宋体"/>
          <w:color w:val="auto"/>
        </w:rPr>
      </w:pPr>
      <w:r>
        <w:rPr>
          <w:rFonts w:hint="eastAsia" w:ascii="宋体" w:hAnsi="宋体" w:eastAsia="宋体" w:cs="宋体"/>
          <w:color w:val="auto"/>
          <w:sz w:val="22"/>
          <w:szCs w:val="20"/>
        </w:rPr>
        <w:t xml:space="preserve">    4.无相关人员可填写：</w:t>
      </w:r>
      <w:r>
        <w:rPr>
          <w:rFonts w:hint="eastAsia" w:ascii="宋体" w:hAnsi="宋体" w:eastAsia="宋体" w:cs="宋体"/>
          <w:color w:val="auto"/>
          <w:sz w:val="22"/>
          <w:szCs w:val="20"/>
          <w:u w:val="single"/>
        </w:rPr>
        <w:t xml:space="preserve">     /    。         </w:t>
      </w:r>
      <w:r>
        <w:rPr>
          <w:rFonts w:hint="eastAsia" w:ascii="宋体" w:hAnsi="宋体" w:eastAsia="宋体" w:cs="宋体"/>
          <w:color w:val="auto"/>
          <w:u w:val="single"/>
        </w:rPr>
        <w:t xml:space="preserve"> </w:t>
      </w:r>
    </w:p>
    <w:p>
      <w:pPr>
        <w:pStyle w:val="379"/>
        <w:spacing w:line="360" w:lineRule="auto"/>
        <w:textAlignment w:val="baseline"/>
        <w:rPr>
          <w:rFonts w:hint="eastAsia" w:ascii="宋体" w:hAnsi="宋体" w:eastAsia="宋体" w:cs="宋体"/>
          <w:color w:val="auto"/>
          <w:shd w:val="clear" w:color="auto" w:fill="FFFFFF"/>
        </w:rPr>
      </w:pPr>
    </w:p>
    <w:p>
      <w:pPr>
        <w:rPr>
          <w:rFonts w:hint="eastAsia" w:ascii="宋体" w:hAnsi="宋体" w:eastAsia="宋体" w:cs="宋体"/>
          <w:b/>
          <w:bCs/>
          <w:color w:val="auto"/>
          <w:sz w:val="28"/>
          <w:szCs w:val="22"/>
        </w:rPr>
      </w:pPr>
      <w:r>
        <w:rPr>
          <w:rFonts w:hint="eastAsia" w:ascii="宋体" w:hAnsi="宋体" w:eastAsia="宋体" w:cs="宋体"/>
          <w:b/>
          <w:bCs/>
          <w:color w:val="auto"/>
          <w:sz w:val="28"/>
          <w:szCs w:val="22"/>
        </w:rPr>
        <w:br w:type="page"/>
      </w:r>
    </w:p>
    <w:p>
      <w:pPr>
        <w:jc w:val="center"/>
        <w:rPr>
          <w:rFonts w:hint="eastAsia" w:ascii="宋体" w:hAnsi="宋体" w:eastAsia="宋体" w:cs="宋体"/>
          <w:b/>
          <w:bCs/>
          <w:color w:val="auto"/>
          <w:sz w:val="28"/>
          <w:szCs w:val="22"/>
        </w:rPr>
      </w:pPr>
      <w:r>
        <w:rPr>
          <w:rFonts w:hint="eastAsia" w:ascii="宋体" w:hAnsi="宋体" w:eastAsia="宋体" w:cs="宋体"/>
          <w:b/>
          <w:bCs/>
          <w:color w:val="auto"/>
          <w:sz w:val="28"/>
          <w:szCs w:val="22"/>
        </w:rPr>
        <w:t>（二）</w:t>
      </w:r>
      <w:bookmarkStart w:id="909" w:name="_Hlk11790339"/>
      <w:r>
        <w:rPr>
          <w:rFonts w:hint="eastAsia" w:ascii="宋体" w:hAnsi="宋体" w:eastAsia="宋体" w:cs="宋体"/>
          <w:b/>
          <w:bCs/>
          <w:color w:val="auto"/>
          <w:sz w:val="28"/>
          <w:szCs w:val="22"/>
        </w:rPr>
        <w:t>施工项目负责人简历表</w:t>
      </w:r>
      <w:bookmarkEnd w:id="909"/>
    </w:p>
    <w:tbl>
      <w:tblPr>
        <w:tblStyle w:val="49"/>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374"/>
        <w:gridCol w:w="763"/>
        <w:gridCol w:w="978"/>
        <w:gridCol w:w="1125"/>
        <w:gridCol w:w="746"/>
        <w:gridCol w:w="1333"/>
        <w:gridCol w:w="172"/>
        <w:gridCol w:w="2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254" w:type="dxa"/>
          </w:tcPr>
          <w:p>
            <w:pPr>
              <w:jc w:val="center"/>
              <w:rPr>
                <w:rFonts w:hint="eastAsia" w:ascii="宋体" w:hAnsi="宋体" w:eastAsia="宋体" w:cs="宋体"/>
                <w:color w:val="auto"/>
                <w:szCs w:val="24"/>
              </w:rPr>
            </w:pPr>
            <w:r>
              <w:rPr>
                <w:rFonts w:hint="eastAsia" w:ascii="宋体" w:hAnsi="宋体" w:eastAsia="宋体" w:cs="宋体"/>
                <w:color w:val="auto"/>
                <w:szCs w:val="24"/>
              </w:rPr>
              <w:t>姓 名</w:t>
            </w:r>
          </w:p>
        </w:tc>
        <w:tc>
          <w:tcPr>
            <w:tcW w:w="1137" w:type="dxa"/>
            <w:gridSpan w:val="2"/>
          </w:tcPr>
          <w:p>
            <w:pPr>
              <w:jc w:val="center"/>
              <w:rPr>
                <w:rFonts w:hint="eastAsia" w:ascii="宋体" w:hAnsi="宋体" w:eastAsia="宋体" w:cs="宋体"/>
                <w:color w:val="auto"/>
                <w:szCs w:val="24"/>
              </w:rPr>
            </w:pPr>
          </w:p>
        </w:tc>
        <w:tc>
          <w:tcPr>
            <w:tcW w:w="978" w:type="dxa"/>
          </w:tcPr>
          <w:p>
            <w:pPr>
              <w:jc w:val="center"/>
              <w:rPr>
                <w:rFonts w:hint="eastAsia" w:ascii="宋体" w:hAnsi="宋体" w:eastAsia="宋体" w:cs="宋体"/>
                <w:color w:val="auto"/>
                <w:szCs w:val="24"/>
              </w:rPr>
            </w:pPr>
            <w:r>
              <w:rPr>
                <w:rFonts w:hint="eastAsia" w:ascii="宋体" w:hAnsi="宋体" w:eastAsia="宋体" w:cs="宋体"/>
                <w:color w:val="auto"/>
                <w:szCs w:val="24"/>
              </w:rPr>
              <w:t>年 龄</w:t>
            </w:r>
          </w:p>
        </w:tc>
        <w:tc>
          <w:tcPr>
            <w:tcW w:w="1125" w:type="dxa"/>
          </w:tcPr>
          <w:p>
            <w:pPr>
              <w:jc w:val="center"/>
              <w:rPr>
                <w:rFonts w:hint="eastAsia" w:ascii="宋体" w:hAnsi="宋体" w:eastAsia="宋体" w:cs="宋体"/>
                <w:color w:val="auto"/>
                <w:szCs w:val="24"/>
              </w:rPr>
            </w:pPr>
          </w:p>
        </w:tc>
        <w:tc>
          <w:tcPr>
            <w:tcW w:w="2251" w:type="dxa"/>
            <w:gridSpan w:val="3"/>
          </w:tcPr>
          <w:p>
            <w:pPr>
              <w:jc w:val="center"/>
              <w:rPr>
                <w:rFonts w:hint="eastAsia" w:ascii="宋体" w:hAnsi="宋体" w:eastAsia="宋体" w:cs="宋体"/>
                <w:color w:val="auto"/>
                <w:szCs w:val="24"/>
              </w:rPr>
            </w:pPr>
            <w:r>
              <w:rPr>
                <w:rFonts w:hint="eastAsia" w:ascii="宋体" w:hAnsi="宋体" w:eastAsia="宋体" w:cs="宋体"/>
                <w:color w:val="auto"/>
                <w:szCs w:val="24"/>
              </w:rPr>
              <w:t>学历</w:t>
            </w:r>
          </w:p>
        </w:tc>
        <w:tc>
          <w:tcPr>
            <w:tcW w:w="2252" w:type="dxa"/>
          </w:tcPr>
          <w:p>
            <w:pPr>
              <w:jc w:val="cente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254" w:type="dxa"/>
          </w:tcPr>
          <w:p>
            <w:pPr>
              <w:jc w:val="center"/>
              <w:rPr>
                <w:rFonts w:hint="eastAsia" w:ascii="宋体" w:hAnsi="宋体" w:eastAsia="宋体" w:cs="宋体"/>
                <w:color w:val="auto"/>
                <w:szCs w:val="24"/>
              </w:rPr>
            </w:pPr>
            <w:r>
              <w:rPr>
                <w:rFonts w:hint="eastAsia" w:ascii="宋体" w:hAnsi="宋体" w:eastAsia="宋体" w:cs="宋体"/>
                <w:color w:val="auto"/>
                <w:szCs w:val="24"/>
              </w:rPr>
              <w:t>职</w:t>
            </w:r>
            <w:r>
              <w:rPr>
                <w:rFonts w:hint="eastAsia" w:ascii="宋体" w:hAnsi="宋体" w:eastAsia="宋体" w:cs="宋体"/>
                <w:color w:val="auto"/>
                <w:szCs w:val="24"/>
              </w:rPr>
              <w:tab/>
            </w:r>
            <w:r>
              <w:rPr>
                <w:rFonts w:hint="eastAsia" w:ascii="宋体" w:hAnsi="宋体" w:eastAsia="宋体" w:cs="宋体"/>
                <w:color w:val="auto"/>
                <w:szCs w:val="24"/>
              </w:rPr>
              <w:t>称</w:t>
            </w:r>
          </w:p>
        </w:tc>
        <w:tc>
          <w:tcPr>
            <w:tcW w:w="1137" w:type="dxa"/>
            <w:gridSpan w:val="2"/>
          </w:tcPr>
          <w:p>
            <w:pPr>
              <w:jc w:val="center"/>
              <w:rPr>
                <w:rFonts w:hint="eastAsia" w:ascii="宋体" w:hAnsi="宋体" w:eastAsia="宋体" w:cs="宋体"/>
                <w:color w:val="auto"/>
                <w:szCs w:val="24"/>
              </w:rPr>
            </w:pPr>
          </w:p>
        </w:tc>
        <w:tc>
          <w:tcPr>
            <w:tcW w:w="978" w:type="dxa"/>
          </w:tcPr>
          <w:p>
            <w:pPr>
              <w:jc w:val="center"/>
              <w:rPr>
                <w:rFonts w:hint="eastAsia" w:ascii="宋体" w:hAnsi="宋体" w:eastAsia="宋体" w:cs="宋体"/>
                <w:color w:val="auto"/>
                <w:szCs w:val="24"/>
              </w:rPr>
            </w:pPr>
            <w:r>
              <w:rPr>
                <w:rFonts w:hint="eastAsia" w:ascii="宋体" w:hAnsi="宋体" w:eastAsia="宋体" w:cs="宋体"/>
                <w:color w:val="auto"/>
                <w:szCs w:val="24"/>
              </w:rPr>
              <w:t>职 务</w:t>
            </w:r>
          </w:p>
        </w:tc>
        <w:tc>
          <w:tcPr>
            <w:tcW w:w="1125" w:type="dxa"/>
          </w:tcPr>
          <w:p>
            <w:pPr>
              <w:jc w:val="center"/>
              <w:rPr>
                <w:rFonts w:hint="eastAsia" w:ascii="宋体" w:hAnsi="宋体" w:eastAsia="宋体" w:cs="宋体"/>
                <w:color w:val="auto"/>
                <w:szCs w:val="24"/>
              </w:rPr>
            </w:pPr>
          </w:p>
        </w:tc>
        <w:tc>
          <w:tcPr>
            <w:tcW w:w="2251" w:type="dxa"/>
            <w:gridSpan w:val="3"/>
          </w:tcPr>
          <w:p>
            <w:pPr>
              <w:jc w:val="center"/>
              <w:rPr>
                <w:rFonts w:hint="eastAsia" w:ascii="宋体" w:hAnsi="宋体" w:eastAsia="宋体" w:cs="宋体"/>
                <w:color w:val="auto"/>
                <w:szCs w:val="24"/>
              </w:rPr>
            </w:pPr>
            <w:r>
              <w:rPr>
                <w:rFonts w:hint="eastAsia" w:ascii="宋体" w:hAnsi="宋体" w:eastAsia="宋体" w:cs="宋体"/>
                <w:color w:val="auto"/>
                <w:szCs w:val="24"/>
              </w:rPr>
              <w:t>拟在本合同任职</w:t>
            </w:r>
          </w:p>
        </w:tc>
        <w:tc>
          <w:tcPr>
            <w:tcW w:w="2252" w:type="dxa"/>
          </w:tcPr>
          <w:p>
            <w:pPr>
              <w:jc w:val="cente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254" w:type="dxa"/>
          </w:tcPr>
          <w:p>
            <w:pPr>
              <w:jc w:val="center"/>
              <w:rPr>
                <w:rFonts w:hint="eastAsia" w:ascii="宋体" w:hAnsi="宋体" w:eastAsia="宋体" w:cs="宋体"/>
                <w:color w:val="auto"/>
                <w:szCs w:val="24"/>
              </w:rPr>
            </w:pPr>
            <w:r>
              <w:rPr>
                <w:rFonts w:hint="eastAsia" w:ascii="宋体" w:hAnsi="宋体" w:eastAsia="宋体" w:cs="宋体"/>
                <w:color w:val="auto"/>
                <w:szCs w:val="24"/>
              </w:rPr>
              <w:t>毕业学校</w:t>
            </w:r>
          </w:p>
        </w:tc>
        <w:tc>
          <w:tcPr>
            <w:tcW w:w="7743" w:type="dxa"/>
            <w:gridSpan w:val="8"/>
          </w:tcPr>
          <w:p>
            <w:pPr>
              <w:jc w:val="center"/>
              <w:rPr>
                <w:rFonts w:hint="eastAsia" w:ascii="宋体" w:hAnsi="宋体" w:eastAsia="宋体" w:cs="宋体"/>
                <w:color w:val="auto"/>
                <w:szCs w:val="24"/>
              </w:rPr>
            </w:pPr>
            <w:r>
              <w:rPr>
                <w:rFonts w:hint="eastAsia" w:ascii="宋体" w:hAnsi="宋体" w:eastAsia="宋体" w:cs="宋体"/>
                <w:color w:val="auto"/>
                <w:szCs w:val="24"/>
              </w:rPr>
              <w:t>年毕业于</w:t>
            </w:r>
            <w:r>
              <w:rPr>
                <w:rFonts w:hint="eastAsia" w:ascii="宋体" w:hAnsi="宋体" w:eastAsia="宋体" w:cs="宋体"/>
                <w:color w:val="auto"/>
                <w:szCs w:val="24"/>
              </w:rPr>
              <w:tab/>
            </w:r>
            <w:r>
              <w:rPr>
                <w:rFonts w:hint="eastAsia" w:ascii="宋体" w:hAnsi="宋体" w:eastAsia="宋体" w:cs="宋体"/>
                <w:color w:val="auto"/>
                <w:szCs w:val="24"/>
              </w:rPr>
              <w:t>学校</w:t>
            </w:r>
            <w:r>
              <w:rPr>
                <w:rFonts w:hint="eastAsia" w:ascii="宋体" w:hAnsi="宋体" w:eastAsia="宋体" w:cs="宋体"/>
                <w:color w:val="auto"/>
                <w:szCs w:val="24"/>
              </w:rPr>
              <w:tab/>
            </w:r>
            <w:r>
              <w:rPr>
                <w:rFonts w:hint="eastAsia" w:ascii="宋体" w:hAnsi="宋体" w:eastAsia="宋体" w:cs="宋体"/>
                <w:color w:val="auto"/>
                <w:szCs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997" w:type="dxa"/>
            <w:gridSpan w:val="9"/>
          </w:tcPr>
          <w:p>
            <w:pPr>
              <w:jc w:val="center"/>
              <w:rPr>
                <w:rFonts w:hint="eastAsia" w:ascii="宋体" w:hAnsi="宋体" w:eastAsia="宋体" w:cs="宋体"/>
                <w:color w:val="auto"/>
                <w:szCs w:val="24"/>
              </w:rPr>
            </w:pPr>
            <w:r>
              <w:rPr>
                <w:rFonts w:hint="eastAsia" w:ascii="宋体" w:hAnsi="宋体" w:eastAsia="宋体" w:cs="宋体"/>
                <w:color w:val="auto"/>
                <w:szCs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628" w:type="dxa"/>
            <w:gridSpan w:val="2"/>
          </w:tcPr>
          <w:p>
            <w:pPr>
              <w:jc w:val="center"/>
              <w:rPr>
                <w:rFonts w:hint="eastAsia" w:ascii="宋体" w:hAnsi="宋体" w:eastAsia="宋体" w:cs="宋体"/>
                <w:color w:val="auto"/>
                <w:szCs w:val="24"/>
              </w:rPr>
            </w:pPr>
            <w:r>
              <w:rPr>
                <w:rFonts w:hint="eastAsia" w:ascii="宋体" w:hAnsi="宋体" w:eastAsia="宋体" w:cs="宋体"/>
                <w:color w:val="auto"/>
                <w:szCs w:val="24"/>
              </w:rPr>
              <w:t>时</w:t>
            </w:r>
            <w:r>
              <w:rPr>
                <w:rFonts w:hint="eastAsia" w:ascii="宋体" w:hAnsi="宋体" w:eastAsia="宋体" w:cs="宋体"/>
                <w:color w:val="auto"/>
                <w:szCs w:val="24"/>
              </w:rPr>
              <w:tab/>
            </w:r>
            <w:r>
              <w:rPr>
                <w:rFonts w:hint="eastAsia" w:ascii="宋体" w:hAnsi="宋体" w:eastAsia="宋体" w:cs="宋体"/>
                <w:color w:val="auto"/>
                <w:szCs w:val="24"/>
              </w:rPr>
              <w:t>间</w:t>
            </w:r>
          </w:p>
        </w:tc>
        <w:tc>
          <w:tcPr>
            <w:tcW w:w="3612" w:type="dxa"/>
            <w:gridSpan w:val="4"/>
          </w:tcPr>
          <w:p>
            <w:pPr>
              <w:jc w:val="center"/>
              <w:rPr>
                <w:rFonts w:hint="eastAsia" w:ascii="宋体" w:hAnsi="宋体" w:eastAsia="宋体" w:cs="宋体"/>
                <w:color w:val="auto"/>
                <w:szCs w:val="24"/>
              </w:rPr>
            </w:pPr>
            <w:r>
              <w:rPr>
                <w:rFonts w:hint="eastAsia" w:ascii="宋体" w:hAnsi="宋体" w:eastAsia="宋体" w:cs="宋体"/>
                <w:color w:val="auto"/>
                <w:szCs w:val="24"/>
              </w:rPr>
              <w:t>参加过的类似项目</w:t>
            </w:r>
          </w:p>
        </w:tc>
        <w:tc>
          <w:tcPr>
            <w:tcW w:w="1333" w:type="dxa"/>
          </w:tcPr>
          <w:p>
            <w:pPr>
              <w:jc w:val="center"/>
              <w:rPr>
                <w:rFonts w:hint="eastAsia" w:ascii="宋体" w:hAnsi="宋体" w:eastAsia="宋体" w:cs="宋体"/>
                <w:color w:val="auto"/>
                <w:szCs w:val="24"/>
              </w:rPr>
            </w:pPr>
            <w:r>
              <w:rPr>
                <w:rFonts w:hint="eastAsia" w:ascii="宋体" w:hAnsi="宋体" w:eastAsia="宋体" w:cs="宋体"/>
                <w:color w:val="auto"/>
                <w:szCs w:val="24"/>
              </w:rPr>
              <w:t>担任职务</w:t>
            </w:r>
          </w:p>
        </w:tc>
        <w:tc>
          <w:tcPr>
            <w:tcW w:w="2424" w:type="dxa"/>
            <w:gridSpan w:val="2"/>
          </w:tcPr>
          <w:p>
            <w:pPr>
              <w:jc w:val="center"/>
              <w:rPr>
                <w:rFonts w:hint="eastAsia" w:ascii="宋体" w:hAnsi="宋体" w:eastAsia="宋体" w:cs="宋体"/>
                <w:color w:val="auto"/>
                <w:szCs w:val="24"/>
              </w:rPr>
            </w:pPr>
            <w:r>
              <w:rPr>
                <w:rFonts w:hint="eastAsia" w:ascii="宋体" w:hAnsi="宋体" w:eastAsia="宋体" w:cs="宋体"/>
                <w:color w:val="auto"/>
                <w:szCs w:val="24"/>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628" w:type="dxa"/>
            <w:gridSpan w:val="2"/>
          </w:tcPr>
          <w:p>
            <w:pPr>
              <w:rPr>
                <w:rFonts w:hint="eastAsia" w:ascii="宋体" w:hAnsi="宋体" w:eastAsia="宋体" w:cs="宋体"/>
                <w:color w:val="auto"/>
                <w:szCs w:val="24"/>
              </w:rPr>
            </w:pPr>
          </w:p>
        </w:tc>
        <w:tc>
          <w:tcPr>
            <w:tcW w:w="3612" w:type="dxa"/>
            <w:gridSpan w:val="4"/>
          </w:tcPr>
          <w:p>
            <w:pPr>
              <w:rPr>
                <w:rFonts w:hint="eastAsia" w:ascii="宋体" w:hAnsi="宋体" w:eastAsia="宋体" w:cs="宋体"/>
                <w:color w:val="auto"/>
                <w:szCs w:val="24"/>
              </w:rPr>
            </w:pPr>
          </w:p>
        </w:tc>
        <w:tc>
          <w:tcPr>
            <w:tcW w:w="1333" w:type="dxa"/>
          </w:tcPr>
          <w:p>
            <w:pPr>
              <w:rPr>
                <w:rFonts w:hint="eastAsia" w:ascii="宋体" w:hAnsi="宋体" w:eastAsia="宋体" w:cs="宋体"/>
                <w:color w:val="auto"/>
                <w:szCs w:val="24"/>
              </w:rPr>
            </w:pPr>
          </w:p>
        </w:tc>
        <w:tc>
          <w:tcPr>
            <w:tcW w:w="2424"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628" w:type="dxa"/>
            <w:gridSpan w:val="2"/>
          </w:tcPr>
          <w:p>
            <w:pPr>
              <w:rPr>
                <w:rFonts w:hint="eastAsia" w:ascii="宋体" w:hAnsi="宋体" w:eastAsia="宋体" w:cs="宋体"/>
                <w:color w:val="auto"/>
                <w:szCs w:val="24"/>
              </w:rPr>
            </w:pPr>
          </w:p>
        </w:tc>
        <w:tc>
          <w:tcPr>
            <w:tcW w:w="3612" w:type="dxa"/>
            <w:gridSpan w:val="4"/>
          </w:tcPr>
          <w:p>
            <w:pPr>
              <w:rPr>
                <w:rFonts w:hint="eastAsia" w:ascii="宋体" w:hAnsi="宋体" w:eastAsia="宋体" w:cs="宋体"/>
                <w:color w:val="auto"/>
                <w:szCs w:val="24"/>
              </w:rPr>
            </w:pPr>
          </w:p>
        </w:tc>
        <w:tc>
          <w:tcPr>
            <w:tcW w:w="1333" w:type="dxa"/>
          </w:tcPr>
          <w:p>
            <w:pPr>
              <w:rPr>
                <w:rFonts w:hint="eastAsia" w:ascii="宋体" w:hAnsi="宋体" w:eastAsia="宋体" w:cs="宋体"/>
                <w:color w:val="auto"/>
                <w:szCs w:val="24"/>
              </w:rPr>
            </w:pPr>
          </w:p>
        </w:tc>
        <w:tc>
          <w:tcPr>
            <w:tcW w:w="2424"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1628" w:type="dxa"/>
            <w:gridSpan w:val="2"/>
          </w:tcPr>
          <w:p>
            <w:pPr>
              <w:rPr>
                <w:rFonts w:hint="eastAsia" w:ascii="宋体" w:hAnsi="宋体" w:eastAsia="宋体" w:cs="宋体"/>
                <w:color w:val="auto"/>
                <w:szCs w:val="24"/>
              </w:rPr>
            </w:pPr>
          </w:p>
        </w:tc>
        <w:tc>
          <w:tcPr>
            <w:tcW w:w="3612" w:type="dxa"/>
            <w:gridSpan w:val="4"/>
          </w:tcPr>
          <w:p>
            <w:pPr>
              <w:rPr>
                <w:rFonts w:hint="eastAsia" w:ascii="宋体" w:hAnsi="宋体" w:eastAsia="宋体" w:cs="宋体"/>
                <w:color w:val="auto"/>
                <w:szCs w:val="24"/>
              </w:rPr>
            </w:pPr>
          </w:p>
        </w:tc>
        <w:tc>
          <w:tcPr>
            <w:tcW w:w="1333" w:type="dxa"/>
          </w:tcPr>
          <w:p>
            <w:pPr>
              <w:rPr>
                <w:rFonts w:hint="eastAsia" w:ascii="宋体" w:hAnsi="宋体" w:eastAsia="宋体" w:cs="宋体"/>
                <w:color w:val="auto"/>
                <w:szCs w:val="24"/>
              </w:rPr>
            </w:pPr>
          </w:p>
        </w:tc>
        <w:tc>
          <w:tcPr>
            <w:tcW w:w="2424"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628" w:type="dxa"/>
            <w:gridSpan w:val="2"/>
          </w:tcPr>
          <w:p>
            <w:pPr>
              <w:rPr>
                <w:rFonts w:hint="eastAsia" w:ascii="宋体" w:hAnsi="宋体" w:eastAsia="宋体" w:cs="宋体"/>
                <w:color w:val="auto"/>
                <w:szCs w:val="24"/>
              </w:rPr>
            </w:pPr>
          </w:p>
        </w:tc>
        <w:tc>
          <w:tcPr>
            <w:tcW w:w="3612" w:type="dxa"/>
            <w:gridSpan w:val="4"/>
          </w:tcPr>
          <w:p>
            <w:pPr>
              <w:rPr>
                <w:rFonts w:hint="eastAsia" w:ascii="宋体" w:hAnsi="宋体" w:eastAsia="宋体" w:cs="宋体"/>
                <w:color w:val="auto"/>
                <w:szCs w:val="24"/>
              </w:rPr>
            </w:pPr>
          </w:p>
        </w:tc>
        <w:tc>
          <w:tcPr>
            <w:tcW w:w="1333" w:type="dxa"/>
          </w:tcPr>
          <w:p>
            <w:pPr>
              <w:rPr>
                <w:rFonts w:hint="eastAsia" w:ascii="宋体" w:hAnsi="宋体" w:eastAsia="宋体" w:cs="宋体"/>
                <w:color w:val="auto"/>
                <w:szCs w:val="24"/>
              </w:rPr>
            </w:pPr>
          </w:p>
        </w:tc>
        <w:tc>
          <w:tcPr>
            <w:tcW w:w="2424"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628" w:type="dxa"/>
            <w:gridSpan w:val="2"/>
          </w:tcPr>
          <w:p>
            <w:pPr>
              <w:rPr>
                <w:rFonts w:hint="eastAsia" w:ascii="宋体" w:hAnsi="宋体" w:eastAsia="宋体" w:cs="宋体"/>
                <w:color w:val="auto"/>
                <w:szCs w:val="24"/>
              </w:rPr>
            </w:pPr>
          </w:p>
        </w:tc>
        <w:tc>
          <w:tcPr>
            <w:tcW w:w="3612" w:type="dxa"/>
            <w:gridSpan w:val="4"/>
          </w:tcPr>
          <w:p>
            <w:pPr>
              <w:rPr>
                <w:rFonts w:hint="eastAsia" w:ascii="宋体" w:hAnsi="宋体" w:eastAsia="宋体" w:cs="宋体"/>
                <w:color w:val="auto"/>
                <w:szCs w:val="24"/>
              </w:rPr>
            </w:pPr>
          </w:p>
        </w:tc>
        <w:tc>
          <w:tcPr>
            <w:tcW w:w="1333" w:type="dxa"/>
          </w:tcPr>
          <w:p>
            <w:pPr>
              <w:rPr>
                <w:rFonts w:hint="eastAsia" w:ascii="宋体" w:hAnsi="宋体" w:eastAsia="宋体" w:cs="宋体"/>
                <w:color w:val="auto"/>
                <w:szCs w:val="24"/>
              </w:rPr>
            </w:pPr>
          </w:p>
        </w:tc>
        <w:tc>
          <w:tcPr>
            <w:tcW w:w="2424" w:type="dxa"/>
            <w:gridSpan w:val="2"/>
          </w:tcPr>
          <w:p>
            <w:pPr>
              <w:rPr>
                <w:rFonts w:hint="eastAsia" w:ascii="宋体" w:hAnsi="宋体" w:eastAsia="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628" w:type="dxa"/>
            <w:gridSpan w:val="2"/>
          </w:tcPr>
          <w:p>
            <w:pPr>
              <w:rPr>
                <w:rFonts w:hint="eastAsia" w:ascii="宋体" w:hAnsi="宋体" w:eastAsia="宋体" w:cs="宋体"/>
                <w:color w:val="auto"/>
                <w:szCs w:val="24"/>
              </w:rPr>
            </w:pPr>
          </w:p>
        </w:tc>
        <w:tc>
          <w:tcPr>
            <w:tcW w:w="3612" w:type="dxa"/>
            <w:gridSpan w:val="4"/>
          </w:tcPr>
          <w:p>
            <w:pPr>
              <w:rPr>
                <w:rFonts w:hint="eastAsia" w:ascii="宋体" w:hAnsi="宋体" w:eastAsia="宋体" w:cs="宋体"/>
                <w:color w:val="auto"/>
                <w:szCs w:val="24"/>
              </w:rPr>
            </w:pPr>
          </w:p>
        </w:tc>
        <w:tc>
          <w:tcPr>
            <w:tcW w:w="1333" w:type="dxa"/>
          </w:tcPr>
          <w:p>
            <w:pPr>
              <w:rPr>
                <w:rFonts w:hint="eastAsia" w:ascii="宋体" w:hAnsi="宋体" w:eastAsia="宋体" w:cs="宋体"/>
                <w:color w:val="auto"/>
                <w:szCs w:val="24"/>
              </w:rPr>
            </w:pPr>
          </w:p>
        </w:tc>
        <w:tc>
          <w:tcPr>
            <w:tcW w:w="2424" w:type="dxa"/>
            <w:gridSpan w:val="2"/>
          </w:tcPr>
          <w:p>
            <w:pPr>
              <w:rPr>
                <w:rFonts w:hint="eastAsia" w:ascii="宋体" w:hAnsi="宋体" w:eastAsia="宋体" w:cs="宋体"/>
                <w:color w:val="auto"/>
                <w:szCs w:val="24"/>
              </w:rPr>
            </w:pPr>
          </w:p>
        </w:tc>
      </w:tr>
    </w:tbl>
    <w:p>
      <w:pPr>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b/>
          <w:bCs/>
          <w:color w:val="auto"/>
        </w:rPr>
        <w:t>注明：</w:t>
      </w:r>
      <w:r>
        <w:rPr>
          <w:rFonts w:hint="eastAsia" w:ascii="宋体" w:hAnsi="宋体" w:eastAsia="宋体" w:cs="宋体"/>
          <w:color w:val="auto"/>
        </w:rPr>
        <w:t>本表后应根据资格条件要求提供注册建造师执业资格证书、安全考核合格证安全考核合格证、有效的第二代身份证复印件</w:t>
      </w:r>
      <w:r>
        <w:rPr>
          <w:rFonts w:hint="eastAsia" w:ascii="宋体" w:hAnsi="宋体" w:eastAsia="宋体" w:cs="宋体"/>
          <w:color w:val="auto"/>
          <w:shd w:val="clear" w:color="auto" w:fill="FFFFFF"/>
        </w:rPr>
        <w:t>。</w:t>
      </w: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rPr>
          <w:rFonts w:hint="eastAsia" w:ascii="宋体" w:hAnsi="宋体" w:eastAsia="宋体" w:cs="宋体"/>
          <w:color w:val="auto"/>
          <w:sz w:val="21"/>
        </w:rPr>
      </w:pPr>
    </w:p>
    <w:p>
      <w:pPr>
        <w:jc w:val="center"/>
        <w:rPr>
          <w:rFonts w:hint="eastAsia" w:ascii="宋体" w:hAnsi="宋体" w:eastAsia="宋体" w:cs="宋体"/>
          <w:b/>
          <w:bCs/>
          <w:color w:val="auto"/>
          <w:sz w:val="28"/>
          <w:szCs w:val="22"/>
        </w:rPr>
      </w:pPr>
      <w:r>
        <w:rPr>
          <w:rFonts w:hint="eastAsia" w:ascii="宋体" w:hAnsi="宋体" w:eastAsia="宋体" w:cs="宋体"/>
          <w:b/>
          <w:bCs/>
          <w:color w:val="auto"/>
          <w:sz w:val="28"/>
          <w:szCs w:val="22"/>
        </w:rPr>
        <w:t>（三）设计项目负责人简历表</w:t>
      </w:r>
    </w:p>
    <w:tbl>
      <w:tblPr>
        <w:tblStyle w:val="49"/>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374"/>
        <w:gridCol w:w="763"/>
        <w:gridCol w:w="978"/>
        <w:gridCol w:w="1125"/>
        <w:gridCol w:w="746"/>
        <w:gridCol w:w="1333"/>
        <w:gridCol w:w="172"/>
        <w:gridCol w:w="2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54" w:type="dxa"/>
            <w:vAlign w:val="center"/>
          </w:tcPr>
          <w:p>
            <w:pPr>
              <w:jc w:val="center"/>
              <w:rPr>
                <w:rFonts w:hint="eastAsia" w:ascii="宋体" w:hAnsi="宋体" w:eastAsia="宋体" w:cs="宋体"/>
                <w:color w:val="auto"/>
              </w:rPr>
            </w:pPr>
            <w:r>
              <w:rPr>
                <w:rFonts w:hint="eastAsia" w:ascii="宋体" w:hAnsi="宋体" w:eastAsia="宋体" w:cs="宋体"/>
                <w:color w:val="auto"/>
              </w:rPr>
              <w:t>姓 名</w:t>
            </w:r>
          </w:p>
        </w:tc>
        <w:tc>
          <w:tcPr>
            <w:tcW w:w="1137" w:type="dxa"/>
            <w:gridSpan w:val="2"/>
          </w:tcPr>
          <w:p>
            <w:pPr>
              <w:jc w:val="center"/>
              <w:rPr>
                <w:rFonts w:hint="eastAsia" w:ascii="宋体" w:hAnsi="宋体" w:eastAsia="宋体" w:cs="宋体"/>
                <w:color w:val="auto"/>
              </w:rPr>
            </w:pPr>
          </w:p>
        </w:tc>
        <w:tc>
          <w:tcPr>
            <w:tcW w:w="978" w:type="dxa"/>
          </w:tcPr>
          <w:p>
            <w:pPr>
              <w:jc w:val="center"/>
              <w:rPr>
                <w:rFonts w:hint="eastAsia" w:ascii="宋体" w:hAnsi="宋体" w:eastAsia="宋体" w:cs="宋体"/>
                <w:color w:val="auto"/>
              </w:rPr>
            </w:pPr>
            <w:r>
              <w:rPr>
                <w:rFonts w:hint="eastAsia" w:ascii="宋体" w:hAnsi="宋体" w:eastAsia="宋体" w:cs="宋体"/>
                <w:color w:val="auto"/>
              </w:rPr>
              <w:t>年 龄</w:t>
            </w:r>
          </w:p>
        </w:tc>
        <w:tc>
          <w:tcPr>
            <w:tcW w:w="1125" w:type="dxa"/>
          </w:tcPr>
          <w:p>
            <w:pPr>
              <w:jc w:val="center"/>
              <w:rPr>
                <w:rFonts w:hint="eastAsia" w:ascii="宋体" w:hAnsi="宋体" w:eastAsia="宋体" w:cs="宋体"/>
                <w:color w:val="auto"/>
              </w:rPr>
            </w:pPr>
          </w:p>
        </w:tc>
        <w:tc>
          <w:tcPr>
            <w:tcW w:w="2251" w:type="dxa"/>
            <w:gridSpan w:val="3"/>
          </w:tcPr>
          <w:p>
            <w:pPr>
              <w:jc w:val="center"/>
              <w:rPr>
                <w:rFonts w:hint="eastAsia" w:ascii="宋体" w:hAnsi="宋体" w:eastAsia="宋体" w:cs="宋体"/>
                <w:color w:val="auto"/>
              </w:rPr>
            </w:pPr>
            <w:r>
              <w:rPr>
                <w:rFonts w:hint="eastAsia" w:ascii="宋体" w:hAnsi="宋体" w:eastAsia="宋体" w:cs="宋体"/>
                <w:color w:val="auto"/>
              </w:rPr>
              <w:t>学历</w:t>
            </w:r>
          </w:p>
        </w:tc>
        <w:tc>
          <w:tcPr>
            <w:tcW w:w="2252" w:type="dxa"/>
          </w:tcPr>
          <w:p>
            <w:pPr>
              <w:jc w:val="center"/>
              <w:rPr>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54" w:type="dxa"/>
          </w:tcPr>
          <w:p>
            <w:pPr>
              <w:jc w:val="center"/>
              <w:rPr>
                <w:rFonts w:hint="eastAsia" w:ascii="宋体" w:hAnsi="宋体" w:eastAsia="宋体" w:cs="宋体"/>
                <w:color w:val="auto"/>
              </w:rPr>
            </w:pPr>
            <w:r>
              <w:rPr>
                <w:rFonts w:hint="eastAsia" w:ascii="宋体" w:hAnsi="宋体" w:eastAsia="宋体" w:cs="宋体"/>
                <w:color w:val="auto"/>
              </w:rPr>
              <w:t>职</w:t>
            </w:r>
            <w:r>
              <w:rPr>
                <w:rFonts w:hint="eastAsia" w:ascii="宋体" w:hAnsi="宋体" w:eastAsia="宋体" w:cs="宋体"/>
                <w:color w:val="auto"/>
              </w:rPr>
              <w:tab/>
            </w:r>
            <w:r>
              <w:rPr>
                <w:rFonts w:hint="eastAsia" w:ascii="宋体" w:hAnsi="宋体" w:eastAsia="宋体" w:cs="宋体"/>
                <w:color w:val="auto"/>
              </w:rPr>
              <w:t>称</w:t>
            </w:r>
          </w:p>
        </w:tc>
        <w:tc>
          <w:tcPr>
            <w:tcW w:w="1137" w:type="dxa"/>
            <w:gridSpan w:val="2"/>
          </w:tcPr>
          <w:p>
            <w:pPr>
              <w:jc w:val="center"/>
              <w:rPr>
                <w:rFonts w:hint="eastAsia" w:ascii="宋体" w:hAnsi="宋体" w:eastAsia="宋体" w:cs="宋体"/>
                <w:color w:val="auto"/>
              </w:rPr>
            </w:pPr>
          </w:p>
        </w:tc>
        <w:tc>
          <w:tcPr>
            <w:tcW w:w="978" w:type="dxa"/>
          </w:tcPr>
          <w:p>
            <w:pPr>
              <w:jc w:val="center"/>
              <w:rPr>
                <w:rFonts w:hint="eastAsia" w:ascii="宋体" w:hAnsi="宋体" w:eastAsia="宋体" w:cs="宋体"/>
                <w:color w:val="auto"/>
              </w:rPr>
            </w:pPr>
            <w:r>
              <w:rPr>
                <w:rFonts w:hint="eastAsia" w:ascii="宋体" w:hAnsi="宋体" w:eastAsia="宋体" w:cs="宋体"/>
                <w:color w:val="auto"/>
              </w:rPr>
              <w:t>职 务</w:t>
            </w:r>
          </w:p>
        </w:tc>
        <w:tc>
          <w:tcPr>
            <w:tcW w:w="1125" w:type="dxa"/>
          </w:tcPr>
          <w:p>
            <w:pPr>
              <w:jc w:val="center"/>
              <w:rPr>
                <w:rFonts w:hint="eastAsia" w:ascii="宋体" w:hAnsi="宋体" w:eastAsia="宋体" w:cs="宋体"/>
                <w:color w:val="auto"/>
              </w:rPr>
            </w:pPr>
          </w:p>
        </w:tc>
        <w:tc>
          <w:tcPr>
            <w:tcW w:w="2251" w:type="dxa"/>
            <w:gridSpan w:val="3"/>
          </w:tcPr>
          <w:p>
            <w:pPr>
              <w:jc w:val="center"/>
              <w:rPr>
                <w:rFonts w:hint="eastAsia" w:ascii="宋体" w:hAnsi="宋体" w:eastAsia="宋体" w:cs="宋体"/>
                <w:color w:val="auto"/>
              </w:rPr>
            </w:pPr>
            <w:r>
              <w:rPr>
                <w:rFonts w:hint="eastAsia" w:ascii="宋体" w:hAnsi="宋体" w:eastAsia="宋体" w:cs="宋体"/>
                <w:color w:val="auto"/>
              </w:rPr>
              <w:t>拟在本合同任职</w:t>
            </w:r>
          </w:p>
        </w:tc>
        <w:tc>
          <w:tcPr>
            <w:tcW w:w="2252" w:type="dxa"/>
          </w:tcPr>
          <w:p>
            <w:pPr>
              <w:jc w:val="center"/>
              <w:rPr>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54" w:type="dxa"/>
          </w:tcPr>
          <w:p>
            <w:pPr>
              <w:jc w:val="center"/>
              <w:rPr>
                <w:rFonts w:hint="eastAsia" w:ascii="宋体" w:hAnsi="宋体" w:eastAsia="宋体" w:cs="宋体"/>
                <w:color w:val="auto"/>
              </w:rPr>
            </w:pPr>
            <w:r>
              <w:rPr>
                <w:rFonts w:hint="eastAsia" w:ascii="宋体" w:hAnsi="宋体" w:eastAsia="宋体" w:cs="宋体"/>
                <w:color w:val="auto"/>
              </w:rPr>
              <w:t>毕业学校</w:t>
            </w:r>
          </w:p>
        </w:tc>
        <w:tc>
          <w:tcPr>
            <w:tcW w:w="7743" w:type="dxa"/>
            <w:gridSpan w:val="8"/>
          </w:tcPr>
          <w:p>
            <w:pPr>
              <w:jc w:val="center"/>
              <w:rPr>
                <w:rFonts w:hint="eastAsia" w:ascii="宋体" w:hAnsi="宋体" w:eastAsia="宋体" w:cs="宋体"/>
                <w:color w:val="auto"/>
              </w:rPr>
            </w:pPr>
            <w:r>
              <w:rPr>
                <w:rFonts w:hint="eastAsia" w:ascii="宋体" w:hAnsi="宋体" w:eastAsia="宋体" w:cs="宋体"/>
                <w:color w:val="auto"/>
              </w:rPr>
              <w:t>年毕业于</w:t>
            </w:r>
            <w:r>
              <w:rPr>
                <w:rFonts w:hint="eastAsia" w:ascii="宋体" w:hAnsi="宋体" w:eastAsia="宋体" w:cs="宋体"/>
                <w:color w:val="auto"/>
              </w:rPr>
              <w:tab/>
            </w:r>
            <w:r>
              <w:rPr>
                <w:rFonts w:hint="eastAsia" w:ascii="宋体" w:hAnsi="宋体" w:eastAsia="宋体" w:cs="宋体"/>
                <w:color w:val="auto"/>
              </w:rPr>
              <w:t>学校</w:t>
            </w:r>
            <w:r>
              <w:rPr>
                <w:rFonts w:hint="eastAsia" w:ascii="宋体" w:hAnsi="宋体" w:eastAsia="宋体" w:cs="宋体"/>
                <w:color w:val="auto"/>
              </w:rPr>
              <w:tab/>
            </w:r>
            <w:r>
              <w:rPr>
                <w:rFonts w:hint="eastAsia" w:ascii="宋体" w:hAnsi="宋体" w:eastAsia="宋体" w:cs="宋体"/>
                <w:color w:val="auto"/>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997" w:type="dxa"/>
            <w:gridSpan w:val="9"/>
          </w:tcPr>
          <w:p>
            <w:pPr>
              <w:jc w:val="center"/>
              <w:rPr>
                <w:rFonts w:hint="eastAsia" w:ascii="宋体" w:hAnsi="宋体" w:eastAsia="宋体" w:cs="宋体"/>
                <w:color w:val="auto"/>
              </w:rPr>
            </w:pPr>
            <w:r>
              <w:rPr>
                <w:rFonts w:hint="eastAsia" w:ascii="宋体" w:hAnsi="宋体" w:eastAsia="宋体" w:cs="宋体"/>
                <w:color w:val="auto"/>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628" w:type="dxa"/>
            <w:gridSpan w:val="2"/>
          </w:tcPr>
          <w:p>
            <w:pPr>
              <w:jc w:val="center"/>
              <w:rPr>
                <w:rFonts w:hint="eastAsia" w:ascii="宋体" w:hAnsi="宋体" w:eastAsia="宋体" w:cs="宋体"/>
                <w:color w:val="auto"/>
              </w:rPr>
            </w:pPr>
            <w:r>
              <w:rPr>
                <w:rFonts w:hint="eastAsia" w:ascii="宋体" w:hAnsi="宋体" w:eastAsia="宋体" w:cs="宋体"/>
                <w:color w:val="auto"/>
              </w:rPr>
              <w:t>时</w:t>
            </w:r>
            <w:r>
              <w:rPr>
                <w:rFonts w:hint="eastAsia" w:ascii="宋体" w:hAnsi="宋体" w:eastAsia="宋体" w:cs="宋体"/>
                <w:color w:val="auto"/>
              </w:rPr>
              <w:tab/>
            </w:r>
            <w:r>
              <w:rPr>
                <w:rFonts w:hint="eastAsia" w:ascii="宋体" w:hAnsi="宋体" w:eastAsia="宋体" w:cs="宋体"/>
                <w:color w:val="auto"/>
              </w:rPr>
              <w:t>间</w:t>
            </w:r>
          </w:p>
        </w:tc>
        <w:tc>
          <w:tcPr>
            <w:tcW w:w="3612" w:type="dxa"/>
            <w:gridSpan w:val="4"/>
          </w:tcPr>
          <w:p>
            <w:pPr>
              <w:jc w:val="center"/>
              <w:rPr>
                <w:rFonts w:hint="eastAsia" w:ascii="宋体" w:hAnsi="宋体" w:eastAsia="宋体" w:cs="宋体"/>
                <w:color w:val="auto"/>
              </w:rPr>
            </w:pPr>
            <w:r>
              <w:rPr>
                <w:rFonts w:hint="eastAsia" w:ascii="宋体" w:hAnsi="宋体" w:eastAsia="宋体" w:cs="宋体"/>
                <w:color w:val="auto"/>
              </w:rPr>
              <w:t>参加过的类似项目</w:t>
            </w:r>
          </w:p>
        </w:tc>
        <w:tc>
          <w:tcPr>
            <w:tcW w:w="1333" w:type="dxa"/>
          </w:tcPr>
          <w:p>
            <w:pPr>
              <w:jc w:val="center"/>
              <w:rPr>
                <w:rFonts w:hint="eastAsia" w:ascii="宋体" w:hAnsi="宋体" w:eastAsia="宋体" w:cs="宋体"/>
                <w:color w:val="auto"/>
              </w:rPr>
            </w:pPr>
            <w:r>
              <w:rPr>
                <w:rFonts w:hint="eastAsia" w:ascii="宋体" w:hAnsi="宋体" w:eastAsia="宋体" w:cs="宋体"/>
                <w:color w:val="auto"/>
              </w:rPr>
              <w:t>担任职务</w:t>
            </w:r>
          </w:p>
        </w:tc>
        <w:tc>
          <w:tcPr>
            <w:tcW w:w="2424" w:type="dxa"/>
            <w:gridSpan w:val="2"/>
          </w:tcPr>
          <w:p>
            <w:pPr>
              <w:jc w:val="center"/>
              <w:rPr>
                <w:rFonts w:hint="eastAsia" w:ascii="宋体" w:hAnsi="宋体" w:eastAsia="宋体" w:cs="宋体"/>
                <w:color w:val="auto"/>
              </w:rPr>
            </w:pPr>
            <w:r>
              <w:rPr>
                <w:rFonts w:hint="eastAsia" w:ascii="宋体" w:hAnsi="宋体" w:eastAsia="宋体" w:cs="宋体"/>
                <w:color w:val="auto"/>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28" w:type="dxa"/>
            <w:gridSpan w:val="2"/>
          </w:tcPr>
          <w:p>
            <w:pPr>
              <w:rPr>
                <w:rFonts w:hint="eastAsia" w:ascii="宋体" w:hAnsi="宋体" w:eastAsia="宋体" w:cs="宋体"/>
                <w:color w:val="auto"/>
              </w:rPr>
            </w:pPr>
          </w:p>
        </w:tc>
        <w:tc>
          <w:tcPr>
            <w:tcW w:w="3612" w:type="dxa"/>
            <w:gridSpan w:val="4"/>
          </w:tcPr>
          <w:p>
            <w:pPr>
              <w:rPr>
                <w:rFonts w:hint="eastAsia" w:ascii="宋体" w:hAnsi="宋体" w:eastAsia="宋体" w:cs="宋体"/>
                <w:color w:val="auto"/>
              </w:rPr>
            </w:pPr>
          </w:p>
        </w:tc>
        <w:tc>
          <w:tcPr>
            <w:tcW w:w="1333" w:type="dxa"/>
          </w:tcPr>
          <w:p>
            <w:pPr>
              <w:rPr>
                <w:rFonts w:hint="eastAsia" w:ascii="宋体" w:hAnsi="宋体" w:eastAsia="宋体" w:cs="宋体"/>
                <w:color w:val="auto"/>
              </w:rPr>
            </w:pPr>
          </w:p>
        </w:tc>
        <w:tc>
          <w:tcPr>
            <w:tcW w:w="2424" w:type="dxa"/>
            <w:gridSpan w:val="2"/>
          </w:tcPr>
          <w:p>
            <w:pPr>
              <w:rPr>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28" w:type="dxa"/>
            <w:gridSpan w:val="2"/>
          </w:tcPr>
          <w:p>
            <w:pPr>
              <w:rPr>
                <w:rFonts w:hint="eastAsia" w:ascii="宋体" w:hAnsi="宋体" w:eastAsia="宋体" w:cs="宋体"/>
                <w:color w:val="auto"/>
              </w:rPr>
            </w:pPr>
          </w:p>
        </w:tc>
        <w:tc>
          <w:tcPr>
            <w:tcW w:w="3612" w:type="dxa"/>
            <w:gridSpan w:val="4"/>
          </w:tcPr>
          <w:p>
            <w:pPr>
              <w:rPr>
                <w:rFonts w:hint="eastAsia" w:ascii="宋体" w:hAnsi="宋体" w:eastAsia="宋体" w:cs="宋体"/>
                <w:color w:val="auto"/>
              </w:rPr>
            </w:pPr>
          </w:p>
        </w:tc>
        <w:tc>
          <w:tcPr>
            <w:tcW w:w="1333" w:type="dxa"/>
          </w:tcPr>
          <w:p>
            <w:pPr>
              <w:rPr>
                <w:rFonts w:hint="eastAsia" w:ascii="宋体" w:hAnsi="宋体" w:eastAsia="宋体" w:cs="宋体"/>
                <w:color w:val="auto"/>
              </w:rPr>
            </w:pPr>
          </w:p>
        </w:tc>
        <w:tc>
          <w:tcPr>
            <w:tcW w:w="2424" w:type="dxa"/>
            <w:gridSpan w:val="2"/>
          </w:tcPr>
          <w:p>
            <w:pPr>
              <w:rPr>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628" w:type="dxa"/>
            <w:gridSpan w:val="2"/>
          </w:tcPr>
          <w:p>
            <w:pPr>
              <w:rPr>
                <w:rFonts w:hint="eastAsia" w:ascii="宋体" w:hAnsi="宋体" w:eastAsia="宋体" w:cs="宋体"/>
                <w:color w:val="auto"/>
              </w:rPr>
            </w:pPr>
          </w:p>
        </w:tc>
        <w:tc>
          <w:tcPr>
            <w:tcW w:w="3612" w:type="dxa"/>
            <w:gridSpan w:val="4"/>
          </w:tcPr>
          <w:p>
            <w:pPr>
              <w:rPr>
                <w:rFonts w:hint="eastAsia" w:ascii="宋体" w:hAnsi="宋体" w:eastAsia="宋体" w:cs="宋体"/>
                <w:color w:val="auto"/>
              </w:rPr>
            </w:pPr>
          </w:p>
        </w:tc>
        <w:tc>
          <w:tcPr>
            <w:tcW w:w="1333" w:type="dxa"/>
          </w:tcPr>
          <w:p>
            <w:pPr>
              <w:rPr>
                <w:rFonts w:hint="eastAsia" w:ascii="宋体" w:hAnsi="宋体" w:eastAsia="宋体" w:cs="宋体"/>
                <w:color w:val="auto"/>
              </w:rPr>
            </w:pPr>
          </w:p>
        </w:tc>
        <w:tc>
          <w:tcPr>
            <w:tcW w:w="2424" w:type="dxa"/>
            <w:gridSpan w:val="2"/>
          </w:tcPr>
          <w:p>
            <w:pPr>
              <w:rPr>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28" w:type="dxa"/>
            <w:gridSpan w:val="2"/>
          </w:tcPr>
          <w:p>
            <w:pPr>
              <w:rPr>
                <w:rFonts w:hint="eastAsia" w:ascii="宋体" w:hAnsi="宋体" w:eastAsia="宋体" w:cs="宋体"/>
                <w:color w:val="auto"/>
              </w:rPr>
            </w:pPr>
          </w:p>
        </w:tc>
        <w:tc>
          <w:tcPr>
            <w:tcW w:w="3612" w:type="dxa"/>
            <w:gridSpan w:val="4"/>
          </w:tcPr>
          <w:p>
            <w:pPr>
              <w:rPr>
                <w:rFonts w:hint="eastAsia" w:ascii="宋体" w:hAnsi="宋体" w:eastAsia="宋体" w:cs="宋体"/>
                <w:color w:val="auto"/>
              </w:rPr>
            </w:pPr>
          </w:p>
        </w:tc>
        <w:tc>
          <w:tcPr>
            <w:tcW w:w="1333" w:type="dxa"/>
          </w:tcPr>
          <w:p>
            <w:pPr>
              <w:rPr>
                <w:rFonts w:hint="eastAsia" w:ascii="宋体" w:hAnsi="宋体" w:eastAsia="宋体" w:cs="宋体"/>
                <w:color w:val="auto"/>
              </w:rPr>
            </w:pPr>
          </w:p>
        </w:tc>
        <w:tc>
          <w:tcPr>
            <w:tcW w:w="2424" w:type="dxa"/>
            <w:gridSpan w:val="2"/>
          </w:tcPr>
          <w:p>
            <w:pPr>
              <w:rPr>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28" w:type="dxa"/>
            <w:gridSpan w:val="2"/>
          </w:tcPr>
          <w:p>
            <w:pPr>
              <w:rPr>
                <w:rFonts w:hint="eastAsia" w:ascii="宋体" w:hAnsi="宋体" w:eastAsia="宋体" w:cs="宋体"/>
                <w:color w:val="auto"/>
              </w:rPr>
            </w:pPr>
          </w:p>
        </w:tc>
        <w:tc>
          <w:tcPr>
            <w:tcW w:w="3612" w:type="dxa"/>
            <w:gridSpan w:val="4"/>
          </w:tcPr>
          <w:p>
            <w:pPr>
              <w:rPr>
                <w:rFonts w:hint="eastAsia" w:ascii="宋体" w:hAnsi="宋体" w:eastAsia="宋体" w:cs="宋体"/>
                <w:color w:val="auto"/>
              </w:rPr>
            </w:pPr>
          </w:p>
        </w:tc>
        <w:tc>
          <w:tcPr>
            <w:tcW w:w="1333" w:type="dxa"/>
          </w:tcPr>
          <w:p>
            <w:pPr>
              <w:rPr>
                <w:rFonts w:hint="eastAsia" w:ascii="宋体" w:hAnsi="宋体" w:eastAsia="宋体" w:cs="宋体"/>
                <w:color w:val="auto"/>
              </w:rPr>
            </w:pPr>
          </w:p>
        </w:tc>
        <w:tc>
          <w:tcPr>
            <w:tcW w:w="2424" w:type="dxa"/>
            <w:gridSpan w:val="2"/>
          </w:tcPr>
          <w:p>
            <w:pPr>
              <w:rPr>
                <w:rFonts w:hint="eastAsia" w:ascii="宋体" w:hAnsi="宋体" w:eastAsia="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1628" w:type="dxa"/>
            <w:gridSpan w:val="2"/>
          </w:tcPr>
          <w:p>
            <w:pPr>
              <w:rPr>
                <w:rFonts w:hint="eastAsia" w:ascii="宋体" w:hAnsi="宋体" w:eastAsia="宋体" w:cs="宋体"/>
                <w:color w:val="auto"/>
              </w:rPr>
            </w:pPr>
          </w:p>
        </w:tc>
        <w:tc>
          <w:tcPr>
            <w:tcW w:w="3612" w:type="dxa"/>
            <w:gridSpan w:val="4"/>
          </w:tcPr>
          <w:p>
            <w:pPr>
              <w:rPr>
                <w:rFonts w:hint="eastAsia" w:ascii="宋体" w:hAnsi="宋体" w:eastAsia="宋体" w:cs="宋体"/>
                <w:color w:val="auto"/>
              </w:rPr>
            </w:pPr>
          </w:p>
        </w:tc>
        <w:tc>
          <w:tcPr>
            <w:tcW w:w="1333" w:type="dxa"/>
          </w:tcPr>
          <w:p>
            <w:pPr>
              <w:rPr>
                <w:rFonts w:hint="eastAsia" w:ascii="宋体" w:hAnsi="宋体" w:eastAsia="宋体" w:cs="宋体"/>
                <w:color w:val="auto"/>
              </w:rPr>
            </w:pPr>
          </w:p>
        </w:tc>
        <w:tc>
          <w:tcPr>
            <w:tcW w:w="2424" w:type="dxa"/>
            <w:gridSpan w:val="2"/>
          </w:tcPr>
          <w:p>
            <w:pPr>
              <w:rPr>
                <w:rFonts w:hint="eastAsia" w:ascii="宋体" w:hAnsi="宋体" w:eastAsia="宋体" w:cs="宋体"/>
                <w:color w:val="auto"/>
              </w:rPr>
            </w:pPr>
          </w:p>
        </w:tc>
      </w:tr>
    </w:tbl>
    <w:p>
      <w:pPr>
        <w:pStyle w:val="3"/>
        <w:spacing w:before="7"/>
        <w:jc w:val="both"/>
        <w:rPr>
          <w:rFonts w:hint="eastAsia" w:ascii="宋体" w:hAnsi="宋体" w:eastAsia="宋体" w:cs="宋体"/>
          <w:color w:val="auto"/>
          <w:sz w:val="17"/>
        </w:rPr>
      </w:pPr>
    </w:p>
    <w:p>
      <w:pPr>
        <w:rPr>
          <w:rFonts w:hint="eastAsia" w:ascii="宋体" w:hAnsi="宋体" w:eastAsia="宋体" w:cs="宋体"/>
          <w:color w:val="auto"/>
        </w:rPr>
      </w:pPr>
      <w:r>
        <w:rPr>
          <w:rFonts w:hint="eastAsia" w:ascii="宋体" w:hAnsi="宋体" w:eastAsia="宋体" w:cs="宋体"/>
          <w:b/>
          <w:bCs/>
          <w:color w:val="auto"/>
        </w:rPr>
        <w:t>注明：</w:t>
      </w:r>
      <w:r>
        <w:rPr>
          <w:rFonts w:hint="eastAsia" w:ascii="宋体" w:hAnsi="宋体" w:eastAsia="宋体" w:cs="宋体"/>
          <w:color w:val="auto"/>
        </w:rPr>
        <w:t>本表后应根据资格条件要求提供拟派施工图设计负责人的相关资格证书或职称证书、有效的第二代身份证复印件。</w:t>
      </w:r>
    </w:p>
    <w:p>
      <w:pPr>
        <w:rPr>
          <w:rFonts w:hint="eastAsia" w:ascii="宋体" w:hAnsi="宋体" w:eastAsia="宋体" w:cs="宋体"/>
          <w:color w:val="auto"/>
          <w:sz w:val="21"/>
        </w:rPr>
      </w:pPr>
    </w:p>
    <w:p>
      <w:pPr>
        <w:rPr>
          <w:rFonts w:hint="eastAsia" w:ascii="宋体" w:hAnsi="宋体" w:eastAsia="宋体" w:cs="宋体"/>
          <w:color w:val="auto"/>
        </w:rPr>
      </w:pPr>
      <w:r>
        <w:rPr>
          <w:rFonts w:hint="eastAsia" w:ascii="宋体" w:hAnsi="宋体" w:eastAsia="宋体" w:cs="宋体"/>
          <w:color w:val="auto"/>
        </w:rPr>
        <w:br w:type="page"/>
      </w:r>
    </w:p>
    <w:p>
      <w:pPr>
        <w:pStyle w:val="11"/>
        <w:ind w:right="752"/>
        <w:jc w:val="center"/>
        <w:rPr>
          <w:rFonts w:hint="eastAsia" w:ascii="宋体" w:hAnsi="宋体" w:eastAsia="宋体" w:cs="宋体"/>
          <w:color w:val="auto"/>
          <w:sz w:val="28"/>
          <w:szCs w:val="28"/>
        </w:rPr>
      </w:pPr>
      <w:r>
        <w:rPr>
          <w:rFonts w:hint="eastAsia" w:ascii="宋体" w:hAnsi="宋体" w:cs="宋体"/>
          <w:color w:val="auto"/>
          <w:sz w:val="28"/>
          <w:szCs w:val="28"/>
          <w:lang w:eastAsia="zh-CN"/>
        </w:rPr>
        <w:t>七</w:t>
      </w:r>
      <w:r>
        <w:rPr>
          <w:rFonts w:hint="eastAsia" w:ascii="宋体" w:hAnsi="宋体" w:eastAsia="宋体" w:cs="宋体"/>
          <w:color w:val="auto"/>
          <w:sz w:val="28"/>
          <w:szCs w:val="28"/>
        </w:rPr>
        <w:t>、其他资料</w:t>
      </w:r>
    </w:p>
    <w:p>
      <w:pPr>
        <w:pStyle w:val="3"/>
        <w:jc w:val="both"/>
        <w:rPr>
          <w:rFonts w:hint="eastAsia" w:ascii="宋体" w:hAnsi="宋体" w:eastAsia="宋体" w:cs="宋体"/>
          <w:color w:val="auto"/>
          <w:sz w:val="28"/>
        </w:rPr>
      </w:pPr>
    </w:p>
    <w:p>
      <w:pPr>
        <w:pStyle w:val="100"/>
        <w:tabs>
          <w:tab w:val="left" w:pos="1061"/>
          <w:tab w:val="left" w:pos="9020"/>
        </w:tabs>
        <w:spacing w:before="160"/>
        <w:ind w:left="480" w:leftChars="200" w:firstLine="0" w:firstLineChars="0"/>
        <w:rPr>
          <w:rFonts w:hint="eastAsia" w:ascii="宋体" w:hAnsi="宋体" w:eastAsia="宋体" w:cs="宋体"/>
          <w:color w:val="auto"/>
          <w:sz w:val="28"/>
          <w:szCs w:val="22"/>
        </w:rPr>
      </w:pPr>
      <w:r>
        <w:rPr>
          <w:rFonts w:hint="eastAsia" w:ascii="宋体" w:hAnsi="宋体" w:eastAsia="宋体" w:cs="宋体"/>
          <w:color w:val="auto"/>
          <w:sz w:val="28"/>
          <w:szCs w:val="22"/>
        </w:rPr>
        <w:t>1.根据招标文件的商务及技术评分表，投标人认为应提供的其他资料。</w:t>
      </w:r>
    </w:p>
    <w:p>
      <w:pPr>
        <w:pStyle w:val="2"/>
        <w:ind w:firstLine="240"/>
        <w:rPr>
          <w:rFonts w:hint="eastAsia" w:ascii="宋体" w:hAnsi="宋体" w:eastAsia="宋体" w:cs="宋体"/>
          <w:color w:val="auto"/>
        </w:rPr>
      </w:pPr>
    </w:p>
    <w:sectPr>
      <w:footerReference r:id="rId16" w:type="first"/>
      <w:footerReference r:id="rId15" w:type="default"/>
      <w:pgSz w:w="11907" w:h="16840"/>
      <w:pgMar w:top="1418" w:right="1134" w:bottom="1418" w:left="567" w:header="851" w:footer="992" w:gutter="567"/>
      <w:pgNumType w:fmt="decimal"/>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
    <w:altName w:val="Times New Roman"/>
    <w:panose1 w:val="00000000000000000000"/>
    <w:charset w:val="00"/>
    <w:family w:val="roman"/>
    <w:pitch w:val="default"/>
    <w:sig w:usb0="00000000" w:usb1="00000000" w:usb2="00000000" w:usb3="00000000" w:csb0="00000001" w:csb1="00000000"/>
  </w:font>
  <w:font w:name="Calisto MT">
    <w:altName w:val="Segoe Print"/>
    <w:panose1 w:val="02040603050505030304"/>
    <w:charset w:val="00"/>
    <w:family w:val="roman"/>
    <w:pitch w:val="default"/>
    <w:sig w:usb0="00000000" w:usb1="00000000" w:usb2="00000000" w:usb3="00000000" w:csb0="2000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3175" b="1905"/>
              <wp:wrapNone/>
              <wp:docPr id="8"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kFT5rQAAAAAwEAAA8AAAAAAAAAAQAgAAAAIgAAAGRycy9kb3ducmV2LnhtbFBLAQIU&#10;ABQAAAAIAIdO4kBIw1MK+wEAAAQEAAAOAAAAAAAAAAEAIAAAAB8BAABkcnMvZTJvRG9jLnhtbF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9"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kFT5rQAAAAAwEAAA8AAAAAAAAAAQAgAAAAIgAAAGRycy9kb3ducmV2LnhtbFBLAQIU&#10;ABQAAAAIAIdO4kBPHFjI+wEAAAQEAAAOAAAAAAAAAAEAIAAAAB8BAABkcnMvZTJvRG9jLnhtbF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eastAsia="仿宋_GB2312"/>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153</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53035"/>
              <wp:effectExtent l="0" t="0" r="0" b="0"/>
              <wp:wrapNone/>
              <wp:docPr id="32"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2.05pt;width:9.05pt;mso-position-horizontal:center;mso-position-horizontal-relative:margin;mso-wrap-style:none;z-index:25166540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BU+a0AAAAAMBAAAPAAAAAAAAAAEAIAAAACIAAABkcnMvZG93bnJldi54bWxQSwEC&#10;FAAUAAAACACHTuJA+MO4gvwBAAAFBAAADgAAAAAAAAABACAAAAAfAQAAZHJzL2Uyb0RvYy54bWxQ&#10;SwUGAAAAAAYABgBZAQAAjQUAAAAA&#10;">
              <v:fill on="f" focussize="0,0"/>
              <v:stroke on="f"/>
              <v:imagedata o:title=""/>
              <o:lock v:ext="edit" aspectratio="f"/>
              <v:textbox inset="0mm,0mm,0mm,0mm" style="mso-fit-shape-to-text:t;">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166</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1270" b="1905"/>
              <wp:wrapNone/>
              <wp:docPr id="1" name="文本框 1043"/>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043"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BU+a0AAAAAMBAAAPAAAAAAAAAAEAIAAAACIAAABkcnMv&#10;ZG93bnJldi54bWxQSwECFAAUAAAACACHTuJA0tCvGgsCAAAFBAAADgAAAAAAAAABACAAAAAfAQAA&#10;ZHJzL2Uyb0RvYy54bWxQSwUGAAAAAAYABgBZAQAAnAUAAAAA&#10;">
              <v:fill on="f" focussize="0,0"/>
              <v:stroke on="f"/>
              <v:imagedata o:title=""/>
              <o:lock v:ext="edit" aspectratio="f"/>
              <v:textbox inset="0mm,0mm,0mm,0mm" style="mso-fit-shape-to-text:t;">
                <w:txbxContent>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33A86"/>
    <w:multiLevelType w:val="singleLevel"/>
    <w:tmpl w:val="93733A86"/>
    <w:lvl w:ilvl="0" w:tentative="0">
      <w:start w:val="2"/>
      <w:numFmt w:val="decimal"/>
      <w:suff w:val="nothing"/>
      <w:lvlText w:val="（%1）"/>
      <w:lvlJc w:val="left"/>
    </w:lvl>
  </w:abstractNum>
  <w:abstractNum w:abstractNumId="1">
    <w:nsid w:val="D60FB2D4"/>
    <w:multiLevelType w:val="singleLevel"/>
    <w:tmpl w:val="D60FB2D4"/>
    <w:lvl w:ilvl="0" w:tentative="0">
      <w:start w:val="6"/>
      <w:numFmt w:val="decimal"/>
      <w:suff w:val="space"/>
      <w:lvlText w:val="%1."/>
      <w:lvlJc w:val="left"/>
    </w:lvl>
  </w:abstractNum>
  <w:abstractNum w:abstractNumId="2">
    <w:nsid w:val="D785CD5F"/>
    <w:multiLevelType w:val="singleLevel"/>
    <w:tmpl w:val="D785CD5F"/>
    <w:lvl w:ilvl="0" w:tentative="0">
      <w:start w:val="3"/>
      <w:numFmt w:val="chineseCounting"/>
      <w:suff w:val="nothing"/>
      <w:lvlText w:val="（%1）"/>
      <w:lvlJc w:val="left"/>
      <w:rPr>
        <w:rFonts w:hint="eastAsia"/>
      </w:rPr>
    </w:lvl>
  </w:abstractNum>
  <w:abstractNum w:abstractNumId="3">
    <w:nsid w:val="EB395157"/>
    <w:multiLevelType w:val="singleLevel"/>
    <w:tmpl w:val="EB395157"/>
    <w:lvl w:ilvl="0" w:tentative="0">
      <w:start w:val="1"/>
      <w:numFmt w:val="decimal"/>
      <w:suff w:val="nothing"/>
      <w:lvlText w:val="%1、"/>
      <w:lvlJc w:val="left"/>
    </w:lvl>
  </w:abstractNum>
  <w:abstractNum w:abstractNumId="4">
    <w:nsid w:val="0E295AEA"/>
    <w:multiLevelType w:val="singleLevel"/>
    <w:tmpl w:val="0E295AEA"/>
    <w:lvl w:ilvl="0" w:tentative="0">
      <w:start w:val="5"/>
      <w:numFmt w:val="decimal"/>
      <w:suff w:val="space"/>
      <w:lvlText w:val="%1."/>
      <w:lvlJc w:val="left"/>
    </w:lvl>
  </w:abstractNum>
  <w:abstractNum w:abstractNumId="5">
    <w:nsid w:val="1A9F0D17"/>
    <w:multiLevelType w:val="singleLevel"/>
    <w:tmpl w:val="1A9F0D17"/>
    <w:lvl w:ilvl="0" w:tentative="0">
      <w:start w:val="11"/>
      <w:numFmt w:val="decimal"/>
      <w:lvlText w:val="%1."/>
      <w:lvlJc w:val="left"/>
      <w:pPr>
        <w:tabs>
          <w:tab w:val="left" w:pos="312"/>
        </w:tabs>
      </w:pPr>
    </w:lvl>
  </w:abstractNum>
  <w:abstractNum w:abstractNumId="6">
    <w:nsid w:val="1CAD1468"/>
    <w:multiLevelType w:val="singleLevel"/>
    <w:tmpl w:val="1CAD1468"/>
    <w:lvl w:ilvl="0" w:tentative="0">
      <w:start w:val="1"/>
      <w:numFmt w:val="chineseCounting"/>
      <w:suff w:val="nothing"/>
      <w:lvlText w:val="（%1）"/>
      <w:lvlJc w:val="left"/>
      <w:pPr>
        <w:ind w:left="60" w:firstLine="420"/>
      </w:pPr>
      <w:rPr>
        <w:rFonts w:hint="eastAsia"/>
      </w:rPr>
    </w:lvl>
  </w:abstractNum>
  <w:abstractNum w:abstractNumId="7">
    <w:nsid w:val="259905B5"/>
    <w:multiLevelType w:val="multilevel"/>
    <w:tmpl w:val="259905B5"/>
    <w:lvl w:ilvl="0" w:tentative="0">
      <w:start w:val="1"/>
      <w:numFmt w:val="chineseCountingThousand"/>
      <w:pStyle w:val="361"/>
      <w:suff w:val="space"/>
      <w:lvlText w:val="第%1章"/>
      <w:lvlJc w:val="left"/>
      <w:pPr>
        <w:ind w:left="567" w:hanging="279"/>
      </w:pPr>
      <w:rPr>
        <w:rFonts w:hint="eastAsia" w:ascii="宋体" w:eastAsia="宋体"/>
        <w:b/>
        <w:bCs/>
        <w:i w:val="0"/>
        <w:iCs w:val="0"/>
        <w:spacing w:val="0"/>
        <w:position w:val="0"/>
        <w:sz w:val="44"/>
        <w:szCs w:val="44"/>
      </w:rPr>
    </w:lvl>
    <w:lvl w:ilvl="1" w:tentative="0">
      <w:start w:val="1"/>
      <w:numFmt w:val="decimal"/>
      <w:suff w:val="space"/>
      <w:lvlText w:val="%2."/>
      <w:lvlJc w:val="left"/>
      <w:pPr>
        <w:ind w:left="454" w:hanging="454"/>
      </w:pPr>
      <w:rPr>
        <w:rFonts w:hint="eastAsia" w:ascii="宋体" w:eastAsia="宋体"/>
        <w:b/>
        <w:bCs/>
        <w:i w:val="0"/>
        <w:iCs w:val="0"/>
        <w:sz w:val="32"/>
        <w:szCs w:val="32"/>
      </w:rPr>
    </w:lvl>
    <w:lvl w:ilvl="2" w:tentative="0">
      <w:start w:val="1"/>
      <w:numFmt w:val="decimal"/>
      <w:suff w:val="space"/>
      <w:lvlText w:val="%2.%3"/>
      <w:lvlJc w:val="left"/>
      <w:pPr>
        <w:ind w:left="454" w:hanging="454"/>
      </w:pPr>
      <w:rPr>
        <w:rFonts w:hint="eastAsia" w:ascii="宋体" w:eastAsia="宋体"/>
        <w:b/>
        <w:bCs/>
        <w:i w:val="0"/>
        <w:iCs w:val="0"/>
        <w:sz w:val="28"/>
        <w:szCs w:val="28"/>
      </w:rPr>
    </w:lvl>
    <w:lvl w:ilvl="3" w:tentative="0">
      <w:start w:val="1"/>
      <w:numFmt w:val="decimal"/>
      <w:suff w:val="space"/>
      <w:lvlText w:val="%2.%3.%4"/>
      <w:lvlJc w:val="left"/>
      <w:pPr>
        <w:ind w:left="5388" w:hanging="284"/>
      </w:pPr>
      <w:rPr>
        <w:rFonts w:hint="eastAsia" w:ascii="宋体" w:eastAsia="宋体"/>
        <w:b/>
        <w:bCs/>
        <w:i w:val="0"/>
        <w:iCs w:val="0"/>
        <w:sz w:val="28"/>
        <w:szCs w:val="28"/>
      </w:rPr>
    </w:lvl>
    <w:lvl w:ilvl="4" w:tentative="0">
      <w:start w:val="1"/>
      <w:numFmt w:val="decimal"/>
      <w:isLgl/>
      <w:suff w:val="space"/>
      <w:lvlText w:val="%2.%3.%4.%5"/>
      <w:lvlJc w:val="left"/>
      <w:pPr>
        <w:ind w:left="284" w:hanging="284"/>
      </w:pPr>
      <w:rPr>
        <w:rFonts w:hint="eastAsia" w:ascii="宋体" w:eastAsia="宋体"/>
        <w:b/>
        <w:bCs/>
        <w:i w:val="0"/>
        <w:iCs w:val="0"/>
        <w:strike w:val="0"/>
        <w:dstrike w:val="0"/>
        <w:sz w:val="28"/>
        <w:szCs w:val="28"/>
      </w:rPr>
    </w:lvl>
    <w:lvl w:ilvl="5" w:tentative="0">
      <w:start w:val="1"/>
      <w:numFmt w:val="decimal"/>
      <w:lvlRestart w:val="0"/>
      <w:suff w:val="space"/>
      <w:lvlText w:val="1.1.1.1.1.%6%5"/>
      <w:lvlJc w:val="left"/>
      <w:rPr>
        <w:rFonts w:hint="eastAsia" w:ascii="宋体" w:eastAsia="宋体"/>
        <w:b/>
        <w:bCs/>
        <w:i w:val="0"/>
        <w:iCs w:val="0"/>
        <w:sz w:val="28"/>
        <w:szCs w:val="28"/>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8">
    <w:nsid w:val="2654FA9E"/>
    <w:multiLevelType w:val="singleLevel"/>
    <w:tmpl w:val="2654FA9E"/>
    <w:lvl w:ilvl="0" w:tentative="0">
      <w:start w:val="1"/>
      <w:numFmt w:val="chineseCounting"/>
      <w:suff w:val="nothing"/>
      <w:lvlText w:val="%1、"/>
      <w:lvlJc w:val="left"/>
      <w:rPr>
        <w:rFonts w:hint="eastAsia"/>
      </w:rPr>
    </w:lvl>
  </w:abstractNum>
  <w:abstractNum w:abstractNumId="9">
    <w:nsid w:val="3AA800C6"/>
    <w:multiLevelType w:val="multilevel"/>
    <w:tmpl w:val="3AA800C6"/>
    <w:lvl w:ilvl="0" w:tentative="0">
      <w:start w:val="1"/>
      <w:numFmt w:val="decimal"/>
      <w:pStyle w:val="388"/>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0">
    <w:nsid w:val="62687BB6"/>
    <w:multiLevelType w:val="multilevel"/>
    <w:tmpl w:val="62687BB6"/>
    <w:lvl w:ilvl="0" w:tentative="0">
      <w:start w:val="1"/>
      <w:numFmt w:val="decimal"/>
      <w:pStyle w:val="384"/>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1">
    <w:nsid w:val="6E87019F"/>
    <w:multiLevelType w:val="multilevel"/>
    <w:tmpl w:val="6E87019F"/>
    <w:lvl w:ilvl="0" w:tentative="0">
      <w:start w:val="1"/>
      <w:numFmt w:val="chineseCountingThousand"/>
      <w:pStyle w:val="39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75AC1A74"/>
    <w:multiLevelType w:val="multilevel"/>
    <w:tmpl w:val="75AC1A74"/>
    <w:lvl w:ilvl="0" w:tentative="0">
      <w:start w:val="1"/>
      <w:numFmt w:val="decimal"/>
      <w:lvlText w:val="%1."/>
      <w:lvlJc w:val="left"/>
      <w:pPr>
        <w:tabs>
          <w:tab w:val="left" w:pos="720"/>
        </w:tabs>
        <w:ind w:left="720" w:hanging="720"/>
      </w:pPr>
    </w:lvl>
    <w:lvl w:ilvl="1" w:tentative="0">
      <w:start w:val="1"/>
      <w:numFmt w:val="decimal"/>
      <w:pStyle w:val="343"/>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2"/>
  </w:num>
  <w:num w:numId="2">
    <w:abstractNumId w:val="7"/>
  </w:num>
  <w:num w:numId="3">
    <w:abstractNumId w:val="10"/>
  </w:num>
  <w:num w:numId="4">
    <w:abstractNumId w:val="9"/>
  </w:num>
  <w:num w:numId="5">
    <w:abstractNumId w:val="11"/>
  </w:num>
  <w:num w:numId="6">
    <w:abstractNumId w:val="4"/>
  </w:num>
  <w:num w:numId="7">
    <w:abstractNumId w:val="1"/>
  </w:num>
  <w:num w:numId="8">
    <w:abstractNumId w:val="5"/>
  </w:num>
  <w:num w:numId="9">
    <w:abstractNumId w:val="3"/>
  </w:num>
  <w:num w:numId="10">
    <w:abstractNumId w:val="2"/>
  </w:num>
  <w:num w:numId="11">
    <w:abstractNumId w:val="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hideSpellingError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5MzUyOTFjMjhmYTYzODU1NTNkNDgyMjFkNWQyNzcifQ=="/>
  </w:docVars>
  <w:rsids>
    <w:rsidRoot w:val="00172A27"/>
    <w:rsid w:val="00000DA1"/>
    <w:rsid w:val="00005CCC"/>
    <w:rsid w:val="00010780"/>
    <w:rsid w:val="000123D9"/>
    <w:rsid w:val="00012604"/>
    <w:rsid w:val="0001498D"/>
    <w:rsid w:val="0001723C"/>
    <w:rsid w:val="00025037"/>
    <w:rsid w:val="00034236"/>
    <w:rsid w:val="00051385"/>
    <w:rsid w:val="00057623"/>
    <w:rsid w:val="000668F5"/>
    <w:rsid w:val="00066A73"/>
    <w:rsid w:val="00066F64"/>
    <w:rsid w:val="0007253F"/>
    <w:rsid w:val="00075E21"/>
    <w:rsid w:val="000772C9"/>
    <w:rsid w:val="00077ACB"/>
    <w:rsid w:val="00084A87"/>
    <w:rsid w:val="000870FE"/>
    <w:rsid w:val="00090CB6"/>
    <w:rsid w:val="000925DD"/>
    <w:rsid w:val="00092B11"/>
    <w:rsid w:val="0009450C"/>
    <w:rsid w:val="00094EE7"/>
    <w:rsid w:val="000967F2"/>
    <w:rsid w:val="000A0EC6"/>
    <w:rsid w:val="000A1F83"/>
    <w:rsid w:val="000A3979"/>
    <w:rsid w:val="000A5A14"/>
    <w:rsid w:val="000A732D"/>
    <w:rsid w:val="000B00AC"/>
    <w:rsid w:val="000B2E75"/>
    <w:rsid w:val="000B4D2B"/>
    <w:rsid w:val="000B4FAB"/>
    <w:rsid w:val="000B5DF6"/>
    <w:rsid w:val="000B5FE6"/>
    <w:rsid w:val="000B7C04"/>
    <w:rsid w:val="000C2175"/>
    <w:rsid w:val="000D0A6A"/>
    <w:rsid w:val="000D0FD2"/>
    <w:rsid w:val="000D722C"/>
    <w:rsid w:val="000E1172"/>
    <w:rsid w:val="000E551A"/>
    <w:rsid w:val="000E5E6A"/>
    <w:rsid w:val="000F306F"/>
    <w:rsid w:val="001021A1"/>
    <w:rsid w:val="00106016"/>
    <w:rsid w:val="0011012E"/>
    <w:rsid w:val="00111F73"/>
    <w:rsid w:val="00113BE9"/>
    <w:rsid w:val="00114F16"/>
    <w:rsid w:val="00114F58"/>
    <w:rsid w:val="0012211A"/>
    <w:rsid w:val="00126FFE"/>
    <w:rsid w:val="0012758A"/>
    <w:rsid w:val="00131DF7"/>
    <w:rsid w:val="00134C88"/>
    <w:rsid w:val="00137570"/>
    <w:rsid w:val="001378EE"/>
    <w:rsid w:val="00141966"/>
    <w:rsid w:val="00141C35"/>
    <w:rsid w:val="001430EF"/>
    <w:rsid w:val="0014341A"/>
    <w:rsid w:val="00146B51"/>
    <w:rsid w:val="0015548C"/>
    <w:rsid w:val="00156343"/>
    <w:rsid w:val="001622AA"/>
    <w:rsid w:val="00163269"/>
    <w:rsid w:val="001709F4"/>
    <w:rsid w:val="00170CDE"/>
    <w:rsid w:val="00172A27"/>
    <w:rsid w:val="00175BA7"/>
    <w:rsid w:val="00175D9D"/>
    <w:rsid w:val="001834F5"/>
    <w:rsid w:val="00184961"/>
    <w:rsid w:val="00192FCC"/>
    <w:rsid w:val="00194E4A"/>
    <w:rsid w:val="00196742"/>
    <w:rsid w:val="001969A7"/>
    <w:rsid w:val="00197501"/>
    <w:rsid w:val="001A46C1"/>
    <w:rsid w:val="001A481A"/>
    <w:rsid w:val="001A4C96"/>
    <w:rsid w:val="001A58B1"/>
    <w:rsid w:val="001B592B"/>
    <w:rsid w:val="001B6F4A"/>
    <w:rsid w:val="001C682B"/>
    <w:rsid w:val="001C6C2C"/>
    <w:rsid w:val="001C6D5B"/>
    <w:rsid w:val="001C7A06"/>
    <w:rsid w:val="001D1325"/>
    <w:rsid w:val="001D1AAC"/>
    <w:rsid w:val="001D1FE2"/>
    <w:rsid w:val="001D4CA1"/>
    <w:rsid w:val="001D75C1"/>
    <w:rsid w:val="001E0286"/>
    <w:rsid w:val="001E51D4"/>
    <w:rsid w:val="001E577E"/>
    <w:rsid w:val="001F43CF"/>
    <w:rsid w:val="001F5157"/>
    <w:rsid w:val="001F533A"/>
    <w:rsid w:val="0020072C"/>
    <w:rsid w:val="002010EB"/>
    <w:rsid w:val="00214B08"/>
    <w:rsid w:val="00223239"/>
    <w:rsid w:val="00224934"/>
    <w:rsid w:val="00245179"/>
    <w:rsid w:val="00247825"/>
    <w:rsid w:val="00252C23"/>
    <w:rsid w:val="0025370F"/>
    <w:rsid w:val="002545C0"/>
    <w:rsid w:val="0025480B"/>
    <w:rsid w:val="00255375"/>
    <w:rsid w:val="00262010"/>
    <w:rsid w:val="002621C3"/>
    <w:rsid w:val="00262513"/>
    <w:rsid w:val="00263C80"/>
    <w:rsid w:val="002651BE"/>
    <w:rsid w:val="0026525E"/>
    <w:rsid w:val="0027181D"/>
    <w:rsid w:val="00272D0E"/>
    <w:rsid w:val="0028028E"/>
    <w:rsid w:val="002944FC"/>
    <w:rsid w:val="002A1B22"/>
    <w:rsid w:val="002A4ECE"/>
    <w:rsid w:val="002B5D82"/>
    <w:rsid w:val="002C082D"/>
    <w:rsid w:val="002C1372"/>
    <w:rsid w:val="002C1EAE"/>
    <w:rsid w:val="002C37D6"/>
    <w:rsid w:val="002C600D"/>
    <w:rsid w:val="002C62CD"/>
    <w:rsid w:val="002D0319"/>
    <w:rsid w:val="002D05AD"/>
    <w:rsid w:val="002D0AC4"/>
    <w:rsid w:val="002D0ED9"/>
    <w:rsid w:val="002D6BDE"/>
    <w:rsid w:val="002D71CE"/>
    <w:rsid w:val="002E2360"/>
    <w:rsid w:val="002E7BF7"/>
    <w:rsid w:val="002F172D"/>
    <w:rsid w:val="002F1E2B"/>
    <w:rsid w:val="002F3F0D"/>
    <w:rsid w:val="002F4DD1"/>
    <w:rsid w:val="00306C12"/>
    <w:rsid w:val="00313F3B"/>
    <w:rsid w:val="00315ED3"/>
    <w:rsid w:val="003238AE"/>
    <w:rsid w:val="00331E41"/>
    <w:rsid w:val="00335D7A"/>
    <w:rsid w:val="0033679E"/>
    <w:rsid w:val="003411B4"/>
    <w:rsid w:val="00342C8D"/>
    <w:rsid w:val="00343430"/>
    <w:rsid w:val="00346386"/>
    <w:rsid w:val="003466B2"/>
    <w:rsid w:val="0034791A"/>
    <w:rsid w:val="00351645"/>
    <w:rsid w:val="00351E68"/>
    <w:rsid w:val="0035208F"/>
    <w:rsid w:val="003569B2"/>
    <w:rsid w:val="00356F0A"/>
    <w:rsid w:val="00357917"/>
    <w:rsid w:val="00361C6E"/>
    <w:rsid w:val="00363792"/>
    <w:rsid w:val="00364993"/>
    <w:rsid w:val="00364A53"/>
    <w:rsid w:val="00365DE4"/>
    <w:rsid w:val="003661C9"/>
    <w:rsid w:val="0037028F"/>
    <w:rsid w:val="00372B71"/>
    <w:rsid w:val="00376EA6"/>
    <w:rsid w:val="00383946"/>
    <w:rsid w:val="003862F6"/>
    <w:rsid w:val="0039475B"/>
    <w:rsid w:val="0039592B"/>
    <w:rsid w:val="00396D70"/>
    <w:rsid w:val="00397EB5"/>
    <w:rsid w:val="003A1787"/>
    <w:rsid w:val="003A4AB1"/>
    <w:rsid w:val="003A6540"/>
    <w:rsid w:val="003A6ADF"/>
    <w:rsid w:val="003B5054"/>
    <w:rsid w:val="003B6D1F"/>
    <w:rsid w:val="003C303E"/>
    <w:rsid w:val="003C3BFB"/>
    <w:rsid w:val="003C553F"/>
    <w:rsid w:val="003C588F"/>
    <w:rsid w:val="003C6C0E"/>
    <w:rsid w:val="003C7FFD"/>
    <w:rsid w:val="003D1A8F"/>
    <w:rsid w:val="003D2DFE"/>
    <w:rsid w:val="003D60F1"/>
    <w:rsid w:val="003D7124"/>
    <w:rsid w:val="003D7503"/>
    <w:rsid w:val="003D7AD0"/>
    <w:rsid w:val="003E0579"/>
    <w:rsid w:val="003E0FFD"/>
    <w:rsid w:val="003E3769"/>
    <w:rsid w:val="003E4A1F"/>
    <w:rsid w:val="003F0B5F"/>
    <w:rsid w:val="003F47F2"/>
    <w:rsid w:val="003F49CB"/>
    <w:rsid w:val="003F4D12"/>
    <w:rsid w:val="003F57D3"/>
    <w:rsid w:val="0040540E"/>
    <w:rsid w:val="0040582A"/>
    <w:rsid w:val="004119F8"/>
    <w:rsid w:val="00413002"/>
    <w:rsid w:val="00416900"/>
    <w:rsid w:val="004201BC"/>
    <w:rsid w:val="004204B9"/>
    <w:rsid w:val="004264E2"/>
    <w:rsid w:val="00432E49"/>
    <w:rsid w:val="004349A0"/>
    <w:rsid w:val="00442060"/>
    <w:rsid w:val="004421B4"/>
    <w:rsid w:val="00442296"/>
    <w:rsid w:val="00452ED1"/>
    <w:rsid w:val="00453D52"/>
    <w:rsid w:val="00453F39"/>
    <w:rsid w:val="00453F7E"/>
    <w:rsid w:val="00455D47"/>
    <w:rsid w:val="00464EAE"/>
    <w:rsid w:val="004709EE"/>
    <w:rsid w:val="00474BCE"/>
    <w:rsid w:val="004756C3"/>
    <w:rsid w:val="00481F7F"/>
    <w:rsid w:val="00483EB9"/>
    <w:rsid w:val="004911BC"/>
    <w:rsid w:val="004955A7"/>
    <w:rsid w:val="004958F9"/>
    <w:rsid w:val="00496D73"/>
    <w:rsid w:val="004A0B48"/>
    <w:rsid w:val="004A64A2"/>
    <w:rsid w:val="004B3B85"/>
    <w:rsid w:val="004B62E8"/>
    <w:rsid w:val="004C4D29"/>
    <w:rsid w:val="004C675B"/>
    <w:rsid w:val="004D113F"/>
    <w:rsid w:val="004D4F7C"/>
    <w:rsid w:val="004D5C52"/>
    <w:rsid w:val="004D721C"/>
    <w:rsid w:val="004E1C85"/>
    <w:rsid w:val="004E3610"/>
    <w:rsid w:val="004E7F5C"/>
    <w:rsid w:val="004F1549"/>
    <w:rsid w:val="004F3240"/>
    <w:rsid w:val="004F4DFC"/>
    <w:rsid w:val="004F56BB"/>
    <w:rsid w:val="005031CC"/>
    <w:rsid w:val="00503A59"/>
    <w:rsid w:val="005069EB"/>
    <w:rsid w:val="00510571"/>
    <w:rsid w:val="0051201B"/>
    <w:rsid w:val="0051255D"/>
    <w:rsid w:val="0051280C"/>
    <w:rsid w:val="00512B9F"/>
    <w:rsid w:val="00522D01"/>
    <w:rsid w:val="00522D67"/>
    <w:rsid w:val="00524181"/>
    <w:rsid w:val="00524223"/>
    <w:rsid w:val="00526743"/>
    <w:rsid w:val="00527E2E"/>
    <w:rsid w:val="00540833"/>
    <w:rsid w:val="005422E9"/>
    <w:rsid w:val="005423E2"/>
    <w:rsid w:val="0054441A"/>
    <w:rsid w:val="00545B15"/>
    <w:rsid w:val="00547683"/>
    <w:rsid w:val="00551AEA"/>
    <w:rsid w:val="005560DB"/>
    <w:rsid w:val="00560003"/>
    <w:rsid w:val="0056292B"/>
    <w:rsid w:val="00566B54"/>
    <w:rsid w:val="00570C76"/>
    <w:rsid w:val="005753E7"/>
    <w:rsid w:val="00576D08"/>
    <w:rsid w:val="00576ECD"/>
    <w:rsid w:val="00583CB9"/>
    <w:rsid w:val="00585FC1"/>
    <w:rsid w:val="0059112A"/>
    <w:rsid w:val="00591196"/>
    <w:rsid w:val="00592F78"/>
    <w:rsid w:val="005A1D4A"/>
    <w:rsid w:val="005A3B26"/>
    <w:rsid w:val="005A5E46"/>
    <w:rsid w:val="005B1BF1"/>
    <w:rsid w:val="005B6F61"/>
    <w:rsid w:val="005B7EC9"/>
    <w:rsid w:val="005B7FE4"/>
    <w:rsid w:val="005C2DB4"/>
    <w:rsid w:val="005C5E25"/>
    <w:rsid w:val="005C60B0"/>
    <w:rsid w:val="005C72DB"/>
    <w:rsid w:val="005D2167"/>
    <w:rsid w:val="005D2DE3"/>
    <w:rsid w:val="005D36DD"/>
    <w:rsid w:val="005D64BC"/>
    <w:rsid w:val="005E1786"/>
    <w:rsid w:val="005E17B6"/>
    <w:rsid w:val="005E224C"/>
    <w:rsid w:val="005E2E7F"/>
    <w:rsid w:val="005E2F55"/>
    <w:rsid w:val="005E3598"/>
    <w:rsid w:val="005E5273"/>
    <w:rsid w:val="005E59A2"/>
    <w:rsid w:val="005F55CC"/>
    <w:rsid w:val="005F7748"/>
    <w:rsid w:val="006017E1"/>
    <w:rsid w:val="006069BC"/>
    <w:rsid w:val="0062670F"/>
    <w:rsid w:val="00626C76"/>
    <w:rsid w:val="006278F5"/>
    <w:rsid w:val="00632515"/>
    <w:rsid w:val="00637DD3"/>
    <w:rsid w:val="00642675"/>
    <w:rsid w:val="00643A6A"/>
    <w:rsid w:val="0064495E"/>
    <w:rsid w:val="00644DFB"/>
    <w:rsid w:val="006462A5"/>
    <w:rsid w:val="0065479F"/>
    <w:rsid w:val="00654856"/>
    <w:rsid w:val="006566CF"/>
    <w:rsid w:val="0065729B"/>
    <w:rsid w:val="006643B0"/>
    <w:rsid w:val="00673785"/>
    <w:rsid w:val="00673E2A"/>
    <w:rsid w:val="00675108"/>
    <w:rsid w:val="00677762"/>
    <w:rsid w:val="0068176F"/>
    <w:rsid w:val="006830C3"/>
    <w:rsid w:val="006839A2"/>
    <w:rsid w:val="00683A56"/>
    <w:rsid w:val="006867EB"/>
    <w:rsid w:val="0069659D"/>
    <w:rsid w:val="00697439"/>
    <w:rsid w:val="006A2499"/>
    <w:rsid w:val="006A4FD3"/>
    <w:rsid w:val="006B2A2E"/>
    <w:rsid w:val="006B2BFD"/>
    <w:rsid w:val="006B3E10"/>
    <w:rsid w:val="006B58AF"/>
    <w:rsid w:val="006B7EFB"/>
    <w:rsid w:val="006D19FF"/>
    <w:rsid w:val="006D1C5D"/>
    <w:rsid w:val="006D1D04"/>
    <w:rsid w:val="006D302E"/>
    <w:rsid w:val="006D4C22"/>
    <w:rsid w:val="006D4F84"/>
    <w:rsid w:val="006D507E"/>
    <w:rsid w:val="006E0EED"/>
    <w:rsid w:val="006E2519"/>
    <w:rsid w:val="006E75E1"/>
    <w:rsid w:val="006F2292"/>
    <w:rsid w:val="006F46E4"/>
    <w:rsid w:val="006F4BD8"/>
    <w:rsid w:val="006F4D35"/>
    <w:rsid w:val="006F66A6"/>
    <w:rsid w:val="006F6FE2"/>
    <w:rsid w:val="00700748"/>
    <w:rsid w:val="007038AE"/>
    <w:rsid w:val="007038B2"/>
    <w:rsid w:val="00712A14"/>
    <w:rsid w:val="00715556"/>
    <w:rsid w:val="00716A81"/>
    <w:rsid w:val="0072173E"/>
    <w:rsid w:val="00723EE8"/>
    <w:rsid w:val="007253EB"/>
    <w:rsid w:val="0073474A"/>
    <w:rsid w:val="00736AB4"/>
    <w:rsid w:val="00750A4D"/>
    <w:rsid w:val="00752E48"/>
    <w:rsid w:val="00753070"/>
    <w:rsid w:val="007552BB"/>
    <w:rsid w:val="00755427"/>
    <w:rsid w:val="007623F9"/>
    <w:rsid w:val="00763E50"/>
    <w:rsid w:val="007644E2"/>
    <w:rsid w:val="00770C31"/>
    <w:rsid w:val="00772524"/>
    <w:rsid w:val="00773735"/>
    <w:rsid w:val="00783320"/>
    <w:rsid w:val="007838B2"/>
    <w:rsid w:val="007853A2"/>
    <w:rsid w:val="00792985"/>
    <w:rsid w:val="007932A2"/>
    <w:rsid w:val="00794506"/>
    <w:rsid w:val="00797D29"/>
    <w:rsid w:val="007A38BC"/>
    <w:rsid w:val="007A5A1D"/>
    <w:rsid w:val="007A7E4A"/>
    <w:rsid w:val="007B3D4A"/>
    <w:rsid w:val="007B55D3"/>
    <w:rsid w:val="007B7008"/>
    <w:rsid w:val="007D0AB7"/>
    <w:rsid w:val="007D3618"/>
    <w:rsid w:val="007D4451"/>
    <w:rsid w:val="007D5AC6"/>
    <w:rsid w:val="007E196E"/>
    <w:rsid w:val="007F05AC"/>
    <w:rsid w:val="007F0B21"/>
    <w:rsid w:val="007F1C2F"/>
    <w:rsid w:val="007F5DF8"/>
    <w:rsid w:val="008002A4"/>
    <w:rsid w:val="00806213"/>
    <w:rsid w:val="0080690E"/>
    <w:rsid w:val="008121FB"/>
    <w:rsid w:val="008126B8"/>
    <w:rsid w:val="008156C1"/>
    <w:rsid w:val="00815707"/>
    <w:rsid w:val="008170BB"/>
    <w:rsid w:val="00820CAD"/>
    <w:rsid w:val="008212A3"/>
    <w:rsid w:val="00822760"/>
    <w:rsid w:val="008256D5"/>
    <w:rsid w:val="008279F6"/>
    <w:rsid w:val="00827FB1"/>
    <w:rsid w:val="0083019F"/>
    <w:rsid w:val="00830ED5"/>
    <w:rsid w:val="00840240"/>
    <w:rsid w:val="008542CE"/>
    <w:rsid w:val="00860BD7"/>
    <w:rsid w:val="00862B53"/>
    <w:rsid w:val="00863967"/>
    <w:rsid w:val="00864C73"/>
    <w:rsid w:val="008712CF"/>
    <w:rsid w:val="0087158A"/>
    <w:rsid w:val="0087390D"/>
    <w:rsid w:val="008754A7"/>
    <w:rsid w:val="008775AF"/>
    <w:rsid w:val="0088121D"/>
    <w:rsid w:val="00881DB8"/>
    <w:rsid w:val="00882035"/>
    <w:rsid w:val="008828A3"/>
    <w:rsid w:val="00882A19"/>
    <w:rsid w:val="0088417E"/>
    <w:rsid w:val="0088506E"/>
    <w:rsid w:val="00886941"/>
    <w:rsid w:val="00896C35"/>
    <w:rsid w:val="008A0732"/>
    <w:rsid w:val="008A1E99"/>
    <w:rsid w:val="008A28BA"/>
    <w:rsid w:val="008A3FB0"/>
    <w:rsid w:val="008A4008"/>
    <w:rsid w:val="008B159C"/>
    <w:rsid w:val="008C1316"/>
    <w:rsid w:val="008C137F"/>
    <w:rsid w:val="008C1695"/>
    <w:rsid w:val="008C222E"/>
    <w:rsid w:val="008C446B"/>
    <w:rsid w:val="008D10CF"/>
    <w:rsid w:val="008D41F9"/>
    <w:rsid w:val="008D7EF2"/>
    <w:rsid w:val="008E5008"/>
    <w:rsid w:val="008E56CD"/>
    <w:rsid w:val="008F3A2F"/>
    <w:rsid w:val="008F3C81"/>
    <w:rsid w:val="008F4826"/>
    <w:rsid w:val="00902595"/>
    <w:rsid w:val="0090292F"/>
    <w:rsid w:val="009051EB"/>
    <w:rsid w:val="009104AB"/>
    <w:rsid w:val="00912D66"/>
    <w:rsid w:val="009169B0"/>
    <w:rsid w:val="00921905"/>
    <w:rsid w:val="00925924"/>
    <w:rsid w:val="009262AD"/>
    <w:rsid w:val="00931483"/>
    <w:rsid w:val="00932FB3"/>
    <w:rsid w:val="009338B8"/>
    <w:rsid w:val="009523F1"/>
    <w:rsid w:val="009562FC"/>
    <w:rsid w:val="00956F0F"/>
    <w:rsid w:val="00960B0A"/>
    <w:rsid w:val="00967FC5"/>
    <w:rsid w:val="00970DB6"/>
    <w:rsid w:val="00971AC1"/>
    <w:rsid w:val="00972322"/>
    <w:rsid w:val="009736A5"/>
    <w:rsid w:val="0097375C"/>
    <w:rsid w:val="00974539"/>
    <w:rsid w:val="0097454A"/>
    <w:rsid w:val="00976756"/>
    <w:rsid w:val="009773E9"/>
    <w:rsid w:val="00977E24"/>
    <w:rsid w:val="00987288"/>
    <w:rsid w:val="00992969"/>
    <w:rsid w:val="009A176C"/>
    <w:rsid w:val="009A3DBC"/>
    <w:rsid w:val="009C0A69"/>
    <w:rsid w:val="009C3AF3"/>
    <w:rsid w:val="009C7101"/>
    <w:rsid w:val="009C7E9C"/>
    <w:rsid w:val="009D04CC"/>
    <w:rsid w:val="009D0A0A"/>
    <w:rsid w:val="009D2CDE"/>
    <w:rsid w:val="009D409F"/>
    <w:rsid w:val="009D5434"/>
    <w:rsid w:val="009E4624"/>
    <w:rsid w:val="009F4522"/>
    <w:rsid w:val="009F5913"/>
    <w:rsid w:val="009F720B"/>
    <w:rsid w:val="00A05BF4"/>
    <w:rsid w:val="00A100AA"/>
    <w:rsid w:val="00A20E5A"/>
    <w:rsid w:val="00A2630E"/>
    <w:rsid w:val="00A3457D"/>
    <w:rsid w:val="00A34814"/>
    <w:rsid w:val="00A42068"/>
    <w:rsid w:val="00A42231"/>
    <w:rsid w:val="00A51B54"/>
    <w:rsid w:val="00A56EF8"/>
    <w:rsid w:val="00A57627"/>
    <w:rsid w:val="00A640BC"/>
    <w:rsid w:val="00A70606"/>
    <w:rsid w:val="00A71DBF"/>
    <w:rsid w:val="00A73CF2"/>
    <w:rsid w:val="00A75F8D"/>
    <w:rsid w:val="00A82518"/>
    <w:rsid w:val="00A8510E"/>
    <w:rsid w:val="00A90C61"/>
    <w:rsid w:val="00A921AF"/>
    <w:rsid w:val="00A93345"/>
    <w:rsid w:val="00A96293"/>
    <w:rsid w:val="00AA1084"/>
    <w:rsid w:val="00AA191F"/>
    <w:rsid w:val="00AA2559"/>
    <w:rsid w:val="00AA2B8B"/>
    <w:rsid w:val="00AB037E"/>
    <w:rsid w:val="00AB0CCB"/>
    <w:rsid w:val="00AB59C2"/>
    <w:rsid w:val="00AB74CA"/>
    <w:rsid w:val="00AC4564"/>
    <w:rsid w:val="00AC4706"/>
    <w:rsid w:val="00AC7DE8"/>
    <w:rsid w:val="00AD156A"/>
    <w:rsid w:val="00AD2243"/>
    <w:rsid w:val="00AD2C49"/>
    <w:rsid w:val="00AD4946"/>
    <w:rsid w:val="00AD500E"/>
    <w:rsid w:val="00AD52CD"/>
    <w:rsid w:val="00AD5638"/>
    <w:rsid w:val="00AE1FEA"/>
    <w:rsid w:val="00AE668C"/>
    <w:rsid w:val="00AE6950"/>
    <w:rsid w:val="00AE7B7C"/>
    <w:rsid w:val="00AF35F8"/>
    <w:rsid w:val="00B02434"/>
    <w:rsid w:val="00B106EE"/>
    <w:rsid w:val="00B11888"/>
    <w:rsid w:val="00B13E74"/>
    <w:rsid w:val="00B15889"/>
    <w:rsid w:val="00B22B29"/>
    <w:rsid w:val="00B2301F"/>
    <w:rsid w:val="00B26982"/>
    <w:rsid w:val="00B34BB1"/>
    <w:rsid w:val="00B37CA6"/>
    <w:rsid w:val="00B40D67"/>
    <w:rsid w:val="00B43755"/>
    <w:rsid w:val="00B45AC5"/>
    <w:rsid w:val="00B513B6"/>
    <w:rsid w:val="00B5143A"/>
    <w:rsid w:val="00B51D33"/>
    <w:rsid w:val="00B6054A"/>
    <w:rsid w:val="00B60D1C"/>
    <w:rsid w:val="00B635A1"/>
    <w:rsid w:val="00B6502F"/>
    <w:rsid w:val="00B6687D"/>
    <w:rsid w:val="00B7126F"/>
    <w:rsid w:val="00B77174"/>
    <w:rsid w:val="00B80EF2"/>
    <w:rsid w:val="00B8344C"/>
    <w:rsid w:val="00B8670F"/>
    <w:rsid w:val="00B874FE"/>
    <w:rsid w:val="00B92FEC"/>
    <w:rsid w:val="00B93A58"/>
    <w:rsid w:val="00B9482D"/>
    <w:rsid w:val="00B95455"/>
    <w:rsid w:val="00B960F6"/>
    <w:rsid w:val="00BA41D7"/>
    <w:rsid w:val="00BA5C41"/>
    <w:rsid w:val="00BA6313"/>
    <w:rsid w:val="00BA7127"/>
    <w:rsid w:val="00BA7DBA"/>
    <w:rsid w:val="00BB6F2E"/>
    <w:rsid w:val="00BC431A"/>
    <w:rsid w:val="00BC79C9"/>
    <w:rsid w:val="00BE03CA"/>
    <w:rsid w:val="00BE6285"/>
    <w:rsid w:val="00BF0A2C"/>
    <w:rsid w:val="00C00215"/>
    <w:rsid w:val="00C03A09"/>
    <w:rsid w:val="00C0417E"/>
    <w:rsid w:val="00C103EA"/>
    <w:rsid w:val="00C26ADD"/>
    <w:rsid w:val="00C32EE0"/>
    <w:rsid w:val="00C33417"/>
    <w:rsid w:val="00C334DE"/>
    <w:rsid w:val="00C4060D"/>
    <w:rsid w:val="00C408CB"/>
    <w:rsid w:val="00C42209"/>
    <w:rsid w:val="00C435B5"/>
    <w:rsid w:val="00C439F5"/>
    <w:rsid w:val="00C45E8E"/>
    <w:rsid w:val="00C50C98"/>
    <w:rsid w:val="00C51DE8"/>
    <w:rsid w:val="00C520A6"/>
    <w:rsid w:val="00C5442B"/>
    <w:rsid w:val="00C5461D"/>
    <w:rsid w:val="00C55B7B"/>
    <w:rsid w:val="00C56C16"/>
    <w:rsid w:val="00C57582"/>
    <w:rsid w:val="00C57743"/>
    <w:rsid w:val="00C57908"/>
    <w:rsid w:val="00C60C5F"/>
    <w:rsid w:val="00C60D09"/>
    <w:rsid w:val="00C638AB"/>
    <w:rsid w:val="00C64247"/>
    <w:rsid w:val="00C66282"/>
    <w:rsid w:val="00C66E8A"/>
    <w:rsid w:val="00C71EBD"/>
    <w:rsid w:val="00C7201C"/>
    <w:rsid w:val="00C73E10"/>
    <w:rsid w:val="00C76687"/>
    <w:rsid w:val="00C83C03"/>
    <w:rsid w:val="00C86893"/>
    <w:rsid w:val="00C86E26"/>
    <w:rsid w:val="00C94994"/>
    <w:rsid w:val="00CA20C3"/>
    <w:rsid w:val="00CA27C0"/>
    <w:rsid w:val="00CB29BB"/>
    <w:rsid w:val="00CB5172"/>
    <w:rsid w:val="00CC190B"/>
    <w:rsid w:val="00CC2A06"/>
    <w:rsid w:val="00CE3B40"/>
    <w:rsid w:val="00CE454A"/>
    <w:rsid w:val="00CE7962"/>
    <w:rsid w:val="00CE7E09"/>
    <w:rsid w:val="00CF44AF"/>
    <w:rsid w:val="00D005CE"/>
    <w:rsid w:val="00D100C2"/>
    <w:rsid w:val="00D148D4"/>
    <w:rsid w:val="00D16BFF"/>
    <w:rsid w:val="00D20869"/>
    <w:rsid w:val="00D22852"/>
    <w:rsid w:val="00D30486"/>
    <w:rsid w:val="00D306B4"/>
    <w:rsid w:val="00D359C4"/>
    <w:rsid w:val="00D40348"/>
    <w:rsid w:val="00D444A0"/>
    <w:rsid w:val="00D51437"/>
    <w:rsid w:val="00D55B44"/>
    <w:rsid w:val="00D63582"/>
    <w:rsid w:val="00D65A7E"/>
    <w:rsid w:val="00D66D60"/>
    <w:rsid w:val="00D70B98"/>
    <w:rsid w:val="00D81B72"/>
    <w:rsid w:val="00D81F71"/>
    <w:rsid w:val="00D84A8D"/>
    <w:rsid w:val="00D8513B"/>
    <w:rsid w:val="00D8635D"/>
    <w:rsid w:val="00D87FE9"/>
    <w:rsid w:val="00D922BE"/>
    <w:rsid w:val="00D960D0"/>
    <w:rsid w:val="00D963D7"/>
    <w:rsid w:val="00D96A34"/>
    <w:rsid w:val="00DA3D2A"/>
    <w:rsid w:val="00DB22AE"/>
    <w:rsid w:val="00DB2B96"/>
    <w:rsid w:val="00DC3931"/>
    <w:rsid w:val="00DC4C8B"/>
    <w:rsid w:val="00DC65BD"/>
    <w:rsid w:val="00DC7F08"/>
    <w:rsid w:val="00DC7F5A"/>
    <w:rsid w:val="00DD287B"/>
    <w:rsid w:val="00DD5B19"/>
    <w:rsid w:val="00DE0AD7"/>
    <w:rsid w:val="00DE7188"/>
    <w:rsid w:val="00DF71D7"/>
    <w:rsid w:val="00DF78FB"/>
    <w:rsid w:val="00E0165E"/>
    <w:rsid w:val="00E01C90"/>
    <w:rsid w:val="00E02509"/>
    <w:rsid w:val="00E14F9E"/>
    <w:rsid w:val="00E20AF4"/>
    <w:rsid w:val="00E23F3C"/>
    <w:rsid w:val="00E24E85"/>
    <w:rsid w:val="00E27434"/>
    <w:rsid w:val="00E32C98"/>
    <w:rsid w:val="00E34586"/>
    <w:rsid w:val="00E4052C"/>
    <w:rsid w:val="00E40E13"/>
    <w:rsid w:val="00E41C8E"/>
    <w:rsid w:val="00E423A7"/>
    <w:rsid w:val="00E42814"/>
    <w:rsid w:val="00E43AC4"/>
    <w:rsid w:val="00E47485"/>
    <w:rsid w:val="00E5042E"/>
    <w:rsid w:val="00E534E2"/>
    <w:rsid w:val="00E56962"/>
    <w:rsid w:val="00E606E5"/>
    <w:rsid w:val="00E63D13"/>
    <w:rsid w:val="00E645DE"/>
    <w:rsid w:val="00E70AF2"/>
    <w:rsid w:val="00E72C24"/>
    <w:rsid w:val="00E74426"/>
    <w:rsid w:val="00E7782B"/>
    <w:rsid w:val="00EA09D8"/>
    <w:rsid w:val="00EA2781"/>
    <w:rsid w:val="00EA2A6A"/>
    <w:rsid w:val="00EA465F"/>
    <w:rsid w:val="00EA4E13"/>
    <w:rsid w:val="00EA563C"/>
    <w:rsid w:val="00EA5E16"/>
    <w:rsid w:val="00EA64E7"/>
    <w:rsid w:val="00EA7A97"/>
    <w:rsid w:val="00EB12A0"/>
    <w:rsid w:val="00EB2ED5"/>
    <w:rsid w:val="00EB4D3E"/>
    <w:rsid w:val="00EC0911"/>
    <w:rsid w:val="00EC1E29"/>
    <w:rsid w:val="00EC26BA"/>
    <w:rsid w:val="00ED145B"/>
    <w:rsid w:val="00ED2503"/>
    <w:rsid w:val="00ED51D4"/>
    <w:rsid w:val="00EE159C"/>
    <w:rsid w:val="00EE4A53"/>
    <w:rsid w:val="00EE64FB"/>
    <w:rsid w:val="00EF55BA"/>
    <w:rsid w:val="00EF7A95"/>
    <w:rsid w:val="00F0206E"/>
    <w:rsid w:val="00F04EB1"/>
    <w:rsid w:val="00F073C8"/>
    <w:rsid w:val="00F10C11"/>
    <w:rsid w:val="00F11853"/>
    <w:rsid w:val="00F128E7"/>
    <w:rsid w:val="00F14766"/>
    <w:rsid w:val="00F17245"/>
    <w:rsid w:val="00F239A0"/>
    <w:rsid w:val="00F26DA9"/>
    <w:rsid w:val="00F33676"/>
    <w:rsid w:val="00F3440D"/>
    <w:rsid w:val="00F35D84"/>
    <w:rsid w:val="00F536E7"/>
    <w:rsid w:val="00F56A8A"/>
    <w:rsid w:val="00F61794"/>
    <w:rsid w:val="00F61FB4"/>
    <w:rsid w:val="00F67B74"/>
    <w:rsid w:val="00F7250C"/>
    <w:rsid w:val="00F772E7"/>
    <w:rsid w:val="00F77927"/>
    <w:rsid w:val="00F77F71"/>
    <w:rsid w:val="00F92157"/>
    <w:rsid w:val="00F94FA2"/>
    <w:rsid w:val="00F96B33"/>
    <w:rsid w:val="00FA0495"/>
    <w:rsid w:val="00FA14E3"/>
    <w:rsid w:val="00FA47AC"/>
    <w:rsid w:val="00FA5537"/>
    <w:rsid w:val="00FA5F43"/>
    <w:rsid w:val="00FB07E9"/>
    <w:rsid w:val="00FB1B0B"/>
    <w:rsid w:val="00FB3975"/>
    <w:rsid w:val="00FB600F"/>
    <w:rsid w:val="00FC0AE0"/>
    <w:rsid w:val="00FC1FBA"/>
    <w:rsid w:val="00FD0214"/>
    <w:rsid w:val="00FD3F1F"/>
    <w:rsid w:val="00FD6F5C"/>
    <w:rsid w:val="00FE42B7"/>
    <w:rsid w:val="00FE4849"/>
    <w:rsid w:val="00FE6E6D"/>
    <w:rsid w:val="00FF25D4"/>
    <w:rsid w:val="00FF75A6"/>
    <w:rsid w:val="01001B47"/>
    <w:rsid w:val="013D00BF"/>
    <w:rsid w:val="0151079F"/>
    <w:rsid w:val="015A2945"/>
    <w:rsid w:val="016B73EE"/>
    <w:rsid w:val="017B7436"/>
    <w:rsid w:val="01A06E9D"/>
    <w:rsid w:val="01B2004A"/>
    <w:rsid w:val="02581525"/>
    <w:rsid w:val="02603FE9"/>
    <w:rsid w:val="0266513F"/>
    <w:rsid w:val="028B71D3"/>
    <w:rsid w:val="029D7028"/>
    <w:rsid w:val="02C103E8"/>
    <w:rsid w:val="02E5364E"/>
    <w:rsid w:val="02EB239A"/>
    <w:rsid w:val="03122604"/>
    <w:rsid w:val="0318477F"/>
    <w:rsid w:val="0387331F"/>
    <w:rsid w:val="03985055"/>
    <w:rsid w:val="03BA648F"/>
    <w:rsid w:val="03E86D04"/>
    <w:rsid w:val="04162FC9"/>
    <w:rsid w:val="04513B0F"/>
    <w:rsid w:val="045B70AB"/>
    <w:rsid w:val="046E4FBF"/>
    <w:rsid w:val="04801F45"/>
    <w:rsid w:val="0486201D"/>
    <w:rsid w:val="04A74912"/>
    <w:rsid w:val="04CE7D09"/>
    <w:rsid w:val="04E41E8A"/>
    <w:rsid w:val="04E80E83"/>
    <w:rsid w:val="058B607C"/>
    <w:rsid w:val="05A45750"/>
    <w:rsid w:val="05AA1306"/>
    <w:rsid w:val="05CE50AE"/>
    <w:rsid w:val="0664404B"/>
    <w:rsid w:val="06800851"/>
    <w:rsid w:val="06AB20EA"/>
    <w:rsid w:val="06B617E7"/>
    <w:rsid w:val="06B807E5"/>
    <w:rsid w:val="06B848A7"/>
    <w:rsid w:val="06C5427D"/>
    <w:rsid w:val="06E422BE"/>
    <w:rsid w:val="07021B43"/>
    <w:rsid w:val="070D2EC9"/>
    <w:rsid w:val="071828B5"/>
    <w:rsid w:val="072604D9"/>
    <w:rsid w:val="07382A71"/>
    <w:rsid w:val="078376A4"/>
    <w:rsid w:val="07A56FBB"/>
    <w:rsid w:val="07D4164E"/>
    <w:rsid w:val="07DC0ADD"/>
    <w:rsid w:val="080A3B81"/>
    <w:rsid w:val="0817778D"/>
    <w:rsid w:val="082E61F4"/>
    <w:rsid w:val="085164E3"/>
    <w:rsid w:val="08891426"/>
    <w:rsid w:val="08AA23AF"/>
    <w:rsid w:val="08C81BCB"/>
    <w:rsid w:val="08F1403A"/>
    <w:rsid w:val="09022D5C"/>
    <w:rsid w:val="090E293E"/>
    <w:rsid w:val="091D226E"/>
    <w:rsid w:val="0937097E"/>
    <w:rsid w:val="09DD43D1"/>
    <w:rsid w:val="09E6293A"/>
    <w:rsid w:val="0A045CA0"/>
    <w:rsid w:val="0A1D7F91"/>
    <w:rsid w:val="0A3C4129"/>
    <w:rsid w:val="0A4038E0"/>
    <w:rsid w:val="0A5759D8"/>
    <w:rsid w:val="0B090DAA"/>
    <w:rsid w:val="0B316E81"/>
    <w:rsid w:val="0B3B6273"/>
    <w:rsid w:val="0B714909"/>
    <w:rsid w:val="0BAA50B0"/>
    <w:rsid w:val="0BCE2196"/>
    <w:rsid w:val="0BDC3EB6"/>
    <w:rsid w:val="0C250018"/>
    <w:rsid w:val="0C3B3EE3"/>
    <w:rsid w:val="0C4F5CF9"/>
    <w:rsid w:val="0C594C5D"/>
    <w:rsid w:val="0C607C84"/>
    <w:rsid w:val="0C8F7928"/>
    <w:rsid w:val="0C9E0F8F"/>
    <w:rsid w:val="0CA249C3"/>
    <w:rsid w:val="0CA306ED"/>
    <w:rsid w:val="0CA43CE5"/>
    <w:rsid w:val="0CA74BF2"/>
    <w:rsid w:val="0CBF00B3"/>
    <w:rsid w:val="0D182D20"/>
    <w:rsid w:val="0D9112F8"/>
    <w:rsid w:val="0DBC679B"/>
    <w:rsid w:val="0DFE7723"/>
    <w:rsid w:val="0E043EFD"/>
    <w:rsid w:val="0E123FED"/>
    <w:rsid w:val="0E160648"/>
    <w:rsid w:val="0E4711FC"/>
    <w:rsid w:val="0E474AFF"/>
    <w:rsid w:val="0E6F6F12"/>
    <w:rsid w:val="0EBC3AB8"/>
    <w:rsid w:val="0EE81BF1"/>
    <w:rsid w:val="0F096C50"/>
    <w:rsid w:val="0F4F12BC"/>
    <w:rsid w:val="0F500F3B"/>
    <w:rsid w:val="0F81030D"/>
    <w:rsid w:val="0F891301"/>
    <w:rsid w:val="0FA97B3F"/>
    <w:rsid w:val="0FC60625"/>
    <w:rsid w:val="0FC84B70"/>
    <w:rsid w:val="0FF43E3A"/>
    <w:rsid w:val="0FF96C11"/>
    <w:rsid w:val="1003193A"/>
    <w:rsid w:val="101074E6"/>
    <w:rsid w:val="10127F8E"/>
    <w:rsid w:val="105070FA"/>
    <w:rsid w:val="109504C3"/>
    <w:rsid w:val="10A147BE"/>
    <w:rsid w:val="10A7092A"/>
    <w:rsid w:val="10AD32BB"/>
    <w:rsid w:val="10BD3DB5"/>
    <w:rsid w:val="10CF09D7"/>
    <w:rsid w:val="10D131EC"/>
    <w:rsid w:val="10F941BD"/>
    <w:rsid w:val="111018F7"/>
    <w:rsid w:val="112A22DF"/>
    <w:rsid w:val="112F2D61"/>
    <w:rsid w:val="11605D58"/>
    <w:rsid w:val="1176474C"/>
    <w:rsid w:val="11813E19"/>
    <w:rsid w:val="11AC5665"/>
    <w:rsid w:val="11E42200"/>
    <w:rsid w:val="11E8165F"/>
    <w:rsid w:val="12160761"/>
    <w:rsid w:val="12E623FB"/>
    <w:rsid w:val="12F75CB5"/>
    <w:rsid w:val="12F93E7C"/>
    <w:rsid w:val="13033DD1"/>
    <w:rsid w:val="132863F8"/>
    <w:rsid w:val="13723DD9"/>
    <w:rsid w:val="1384217A"/>
    <w:rsid w:val="13981376"/>
    <w:rsid w:val="13A547C5"/>
    <w:rsid w:val="13AE44D6"/>
    <w:rsid w:val="13BA5299"/>
    <w:rsid w:val="13BF1404"/>
    <w:rsid w:val="13E60B9A"/>
    <w:rsid w:val="13EA56DA"/>
    <w:rsid w:val="14036DAA"/>
    <w:rsid w:val="14207F95"/>
    <w:rsid w:val="14D27D75"/>
    <w:rsid w:val="14D61927"/>
    <w:rsid w:val="14FA1D81"/>
    <w:rsid w:val="151E6FB4"/>
    <w:rsid w:val="153F69A7"/>
    <w:rsid w:val="15C22FDE"/>
    <w:rsid w:val="15E743C3"/>
    <w:rsid w:val="1621385A"/>
    <w:rsid w:val="16343277"/>
    <w:rsid w:val="16637D57"/>
    <w:rsid w:val="1674297A"/>
    <w:rsid w:val="16D56C25"/>
    <w:rsid w:val="1711641B"/>
    <w:rsid w:val="173C4E76"/>
    <w:rsid w:val="17691F7A"/>
    <w:rsid w:val="17996410"/>
    <w:rsid w:val="17B22C3C"/>
    <w:rsid w:val="17C77260"/>
    <w:rsid w:val="17DA212A"/>
    <w:rsid w:val="17EF2A13"/>
    <w:rsid w:val="1801121A"/>
    <w:rsid w:val="181313D5"/>
    <w:rsid w:val="18762884"/>
    <w:rsid w:val="187B791D"/>
    <w:rsid w:val="188744BB"/>
    <w:rsid w:val="18F015AA"/>
    <w:rsid w:val="18F1322A"/>
    <w:rsid w:val="190E2EC5"/>
    <w:rsid w:val="19241D0A"/>
    <w:rsid w:val="192B7139"/>
    <w:rsid w:val="19341C79"/>
    <w:rsid w:val="196842EC"/>
    <w:rsid w:val="19DC500F"/>
    <w:rsid w:val="19E51499"/>
    <w:rsid w:val="19E735DB"/>
    <w:rsid w:val="1A2E2E40"/>
    <w:rsid w:val="1A605254"/>
    <w:rsid w:val="1A927094"/>
    <w:rsid w:val="1AB1466E"/>
    <w:rsid w:val="1B354F4D"/>
    <w:rsid w:val="1B375D24"/>
    <w:rsid w:val="1B6437FD"/>
    <w:rsid w:val="1B6549DB"/>
    <w:rsid w:val="1B8F15C2"/>
    <w:rsid w:val="1BA50EE0"/>
    <w:rsid w:val="1BAC79F4"/>
    <w:rsid w:val="1BD92CCB"/>
    <w:rsid w:val="1BDA4758"/>
    <w:rsid w:val="1BE069CA"/>
    <w:rsid w:val="1BFB1448"/>
    <w:rsid w:val="1C4F6411"/>
    <w:rsid w:val="1C780D06"/>
    <w:rsid w:val="1C7B2D6A"/>
    <w:rsid w:val="1C8C6544"/>
    <w:rsid w:val="1CA41969"/>
    <w:rsid w:val="1D512FF0"/>
    <w:rsid w:val="1D81668A"/>
    <w:rsid w:val="1D9F2A4D"/>
    <w:rsid w:val="1DAD6772"/>
    <w:rsid w:val="1DB16262"/>
    <w:rsid w:val="1DC92571"/>
    <w:rsid w:val="1DEE73B8"/>
    <w:rsid w:val="1E597E64"/>
    <w:rsid w:val="1E711274"/>
    <w:rsid w:val="1E8A43AA"/>
    <w:rsid w:val="1ED16490"/>
    <w:rsid w:val="1EDB5572"/>
    <w:rsid w:val="1EE24260"/>
    <w:rsid w:val="1EEC6156"/>
    <w:rsid w:val="1F163B24"/>
    <w:rsid w:val="1F3C5FFF"/>
    <w:rsid w:val="1F5A5500"/>
    <w:rsid w:val="1F832B7A"/>
    <w:rsid w:val="1F86727A"/>
    <w:rsid w:val="1F8B2AE2"/>
    <w:rsid w:val="1F8C59BA"/>
    <w:rsid w:val="1F955EC5"/>
    <w:rsid w:val="1F9B4659"/>
    <w:rsid w:val="1FD72A90"/>
    <w:rsid w:val="1FD770EC"/>
    <w:rsid w:val="1FFC5E6D"/>
    <w:rsid w:val="200F7A29"/>
    <w:rsid w:val="20491709"/>
    <w:rsid w:val="204973BC"/>
    <w:rsid w:val="20A75C06"/>
    <w:rsid w:val="20AA116E"/>
    <w:rsid w:val="20B975BB"/>
    <w:rsid w:val="2102245F"/>
    <w:rsid w:val="2106094E"/>
    <w:rsid w:val="21147E6C"/>
    <w:rsid w:val="21172969"/>
    <w:rsid w:val="212C6836"/>
    <w:rsid w:val="214515B7"/>
    <w:rsid w:val="21461CA4"/>
    <w:rsid w:val="215C4736"/>
    <w:rsid w:val="217557F8"/>
    <w:rsid w:val="21A35A18"/>
    <w:rsid w:val="221C3EC6"/>
    <w:rsid w:val="224A4B84"/>
    <w:rsid w:val="2265360C"/>
    <w:rsid w:val="226E63D7"/>
    <w:rsid w:val="22914E5F"/>
    <w:rsid w:val="229712CA"/>
    <w:rsid w:val="22FB3A98"/>
    <w:rsid w:val="22FB72CB"/>
    <w:rsid w:val="231076BA"/>
    <w:rsid w:val="23245B42"/>
    <w:rsid w:val="2389535F"/>
    <w:rsid w:val="23962019"/>
    <w:rsid w:val="23A1182B"/>
    <w:rsid w:val="23DC1B5F"/>
    <w:rsid w:val="23DE7C0A"/>
    <w:rsid w:val="243E6160"/>
    <w:rsid w:val="24486369"/>
    <w:rsid w:val="245119CE"/>
    <w:rsid w:val="247343DA"/>
    <w:rsid w:val="24A134D7"/>
    <w:rsid w:val="24B670FC"/>
    <w:rsid w:val="24CE37EF"/>
    <w:rsid w:val="25216B98"/>
    <w:rsid w:val="25340FFB"/>
    <w:rsid w:val="253B4663"/>
    <w:rsid w:val="253D5D19"/>
    <w:rsid w:val="25457DA9"/>
    <w:rsid w:val="25476CA3"/>
    <w:rsid w:val="254F4DAC"/>
    <w:rsid w:val="257D0D58"/>
    <w:rsid w:val="25816ACF"/>
    <w:rsid w:val="25902365"/>
    <w:rsid w:val="259312D8"/>
    <w:rsid w:val="25AE66E1"/>
    <w:rsid w:val="25E20F82"/>
    <w:rsid w:val="25ED1051"/>
    <w:rsid w:val="260157F3"/>
    <w:rsid w:val="262B5200"/>
    <w:rsid w:val="262C7F6E"/>
    <w:rsid w:val="263363C4"/>
    <w:rsid w:val="26665984"/>
    <w:rsid w:val="26820162"/>
    <w:rsid w:val="26A5448A"/>
    <w:rsid w:val="26B80661"/>
    <w:rsid w:val="26E353CF"/>
    <w:rsid w:val="270A4808"/>
    <w:rsid w:val="270F4B1E"/>
    <w:rsid w:val="27614E56"/>
    <w:rsid w:val="278566AE"/>
    <w:rsid w:val="278D5728"/>
    <w:rsid w:val="27960276"/>
    <w:rsid w:val="27A6670B"/>
    <w:rsid w:val="27E0646E"/>
    <w:rsid w:val="28004119"/>
    <w:rsid w:val="28550131"/>
    <w:rsid w:val="28731818"/>
    <w:rsid w:val="287732F1"/>
    <w:rsid w:val="287A4345"/>
    <w:rsid w:val="28833A73"/>
    <w:rsid w:val="28987EDC"/>
    <w:rsid w:val="28EC45F2"/>
    <w:rsid w:val="29327E2E"/>
    <w:rsid w:val="293F63D0"/>
    <w:rsid w:val="296C11FD"/>
    <w:rsid w:val="29886FE8"/>
    <w:rsid w:val="29B42C36"/>
    <w:rsid w:val="29CB379D"/>
    <w:rsid w:val="29DD33ED"/>
    <w:rsid w:val="2A132E42"/>
    <w:rsid w:val="2A1C4137"/>
    <w:rsid w:val="2A4D5475"/>
    <w:rsid w:val="2A644032"/>
    <w:rsid w:val="2A924945"/>
    <w:rsid w:val="2B2E2D75"/>
    <w:rsid w:val="2B305AD9"/>
    <w:rsid w:val="2B3758CC"/>
    <w:rsid w:val="2B3B5A4B"/>
    <w:rsid w:val="2B797E18"/>
    <w:rsid w:val="2BA11D85"/>
    <w:rsid w:val="2BA647AD"/>
    <w:rsid w:val="2BC25ADE"/>
    <w:rsid w:val="2BD45A11"/>
    <w:rsid w:val="2BD94BFC"/>
    <w:rsid w:val="2BF41520"/>
    <w:rsid w:val="2C1B4441"/>
    <w:rsid w:val="2C471B3F"/>
    <w:rsid w:val="2C5A7AC4"/>
    <w:rsid w:val="2C5D75B5"/>
    <w:rsid w:val="2C7F4E3D"/>
    <w:rsid w:val="2C915700"/>
    <w:rsid w:val="2C96263E"/>
    <w:rsid w:val="2C9C16E9"/>
    <w:rsid w:val="2CC948A6"/>
    <w:rsid w:val="2CEE08C1"/>
    <w:rsid w:val="2D392B4E"/>
    <w:rsid w:val="2D447B5D"/>
    <w:rsid w:val="2D5C45C5"/>
    <w:rsid w:val="2D747356"/>
    <w:rsid w:val="2D8F1C15"/>
    <w:rsid w:val="2D9736BB"/>
    <w:rsid w:val="2DCE2518"/>
    <w:rsid w:val="2DE55FC6"/>
    <w:rsid w:val="2DEC7614"/>
    <w:rsid w:val="2E0E0B66"/>
    <w:rsid w:val="2E3045F8"/>
    <w:rsid w:val="2E325833"/>
    <w:rsid w:val="2E7161C7"/>
    <w:rsid w:val="2E9F25C1"/>
    <w:rsid w:val="2EAA249B"/>
    <w:rsid w:val="2EB4686F"/>
    <w:rsid w:val="2EBB6CCA"/>
    <w:rsid w:val="2F21418D"/>
    <w:rsid w:val="2F6A44C2"/>
    <w:rsid w:val="2F917616"/>
    <w:rsid w:val="2FBA4CBF"/>
    <w:rsid w:val="2FE46D20"/>
    <w:rsid w:val="2FF13276"/>
    <w:rsid w:val="30100BB9"/>
    <w:rsid w:val="30103B85"/>
    <w:rsid w:val="303074BA"/>
    <w:rsid w:val="30781792"/>
    <w:rsid w:val="30BF439A"/>
    <w:rsid w:val="30CB21D4"/>
    <w:rsid w:val="30D00355"/>
    <w:rsid w:val="30F12313"/>
    <w:rsid w:val="30F82156"/>
    <w:rsid w:val="30F83092"/>
    <w:rsid w:val="310F7EC2"/>
    <w:rsid w:val="311A660F"/>
    <w:rsid w:val="31400EAF"/>
    <w:rsid w:val="3142155D"/>
    <w:rsid w:val="3181001F"/>
    <w:rsid w:val="318F1FBE"/>
    <w:rsid w:val="31995D09"/>
    <w:rsid w:val="31B163D9"/>
    <w:rsid w:val="31C37287"/>
    <w:rsid w:val="31CB6D1B"/>
    <w:rsid w:val="31E54158"/>
    <w:rsid w:val="31E92AE9"/>
    <w:rsid w:val="31F3211B"/>
    <w:rsid w:val="32241009"/>
    <w:rsid w:val="32895884"/>
    <w:rsid w:val="32A7158A"/>
    <w:rsid w:val="32C46C02"/>
    <w:rsid w:val="32E20FB0"/>
    <w:rsid w:val="332B57F5"/>
    <w:rsid w:val="336A00FC"/>
    <w:rsid w:val="3371108D"/>
    <w:rsid w:val="337D6BE4"/>
    <w:rsid w:val="33B938A7"/>
    <w:rsid w:val="33C57F19"/>
    <w:rsid w:val="33F65428"/>
    <w:rsid w:val="33FA4658"/>
    <w:rsid w:val="33FD5783"/>
    <w:rsid w:val="34015F0C"/>
    <w:rsid w:val="34191BB3"/>
    <w:rsid w:val="341D3ABD"/>
    <w:rsid w:val="345C14D2"/>
    <w:rsid w:val="34751538"/>
    <w:rsid w:val="349374F7"/>
    <w:rsid w:val="349A13A6"/>
    <w:rsid w:val="34AA05D3"/>
    <w:rsid w:val="34AA480D"/>
    <w:rsid w:val="34B117FF"/>
    <w:rsid w:val="34DF2E39"/>
    <w:rsid w:val="34E16803"/>
    <w:rsid w:val="35184A63"/>
    <w:rsid w:val="35303AB8"/>
    <w:rsid w:val="35AC4CB5"/>
    <w:rsid w:val="35BA6482"/>
    <w:rsid w:val="35D76B7A"/>
    <w:rsid w:val="35DF0E6B"/>
    <w:rsid w:val="35E93C67"/>
    <w:rsid w:val="363A6676"/>
    <w:rsid w:val="364D3105"/>
    <w:rsid w:val="367C62F2"/>
    <w:rsid w:val="36CC7811"/>
    <w:rsid w:val="36DE1DCA"/>
    <w:rsid w:val="370311F1"/>
    <w:rsid w:val="3705573F"/>
    <w:rsid w:val="373A29CC"/>
    <w:rsid w:val="37536D24"/>
    <w:rsid w:val="375F6F95"/>
    <w:rsid w:val="3767417F"/>
    <w:rsid w:val="37902B01"/>
    <w:rsid w:val="37996473"/>
    <w:rsid w:val="3831269D"/>
    <w:rsid w:val="38353F60"/>
    <w:rsid w:val="383923F7"/>
    <w:rsid w:val="38524F95"/>
    <w:rsid w:val="38602906"/>
    <w:rsid w:val="38865424"/>
    <w:rsid w:val="388C54AA"/>
    <w:rsid w:val="38A1680F"/>
    <w:rsid w:val="38A324E7"/>
    <w:rsid w:val="38CB5DD7"/>
    <w:rsid w:val="390B5E1D"/>
    <w:rsid w:val="391944D3"/>
    <w:rsid w:val="39292ED0"/>
    <w:rsid w:val="397413AA"/>
    <w:rsid w:val="3978365D"/>
    <w:rsid w:val="3998008B"/>
    <w:rsid w:val="39E02411"/>
    <w:rsid w:val="39E07108"/>
    <w:rsid w:val="39FF1CAB"/>
    <w:rsid w:val="3A161182"/>
    <w:rsid w:val="3A697E6C"/>
    <w:rsid w:val="3A797F96"/>
    <w:rsid w:val="3A7D43E3"/>
    <w:rsid w:val="3AFE1871"/>
    <w:rsid w:val="3B2479CE"/>
    <w:rsid w:val="3B2D1003"/>
    <w:rsid w:val="3B2D17A6"/>
    <w:rsid w:val="3B3C0FAF"/>
    <w:rsid w:val="3B557E4E"/>
    <w:rsid w:val="3B6F3EB2"/>
    <w:rsid w:val="3BC37796"/>
    <w:rsid w:val="3BDD601C"/>
    <w:rsid w:val="3BE76D48"/>
    <w:rsid w:val="3C042703"/>
    <w:rsid w:val="3C0B2B89"/>
    <w:rsid w:val="3C2D6F6D"/>
    <w:rsid w:val="3C312CC6"/>
    <w:rsid w:val="3C34516E"/>
    <w:rsid w:val="3C8A13A1"/>
    <w:rsid w:val="3C945D0C"/>
    <w:rsid w:val="3CAE7C5B"/>
    <w:rsid w:val="3CC505C3"/>
    <w:rsid w:val="3CD31986"/>
    <w:rsid w:val="3CD45818"/>
    <w:rsid w:val="3CD86416"/>
    <w:rsid w:val="3CE25107"/>
    <w:rsid w:val="3CEA435A"/>
    <w:rsid w:val="3D0B6491"/>
    <w:rsid w:val="3D102CFF"/>
    <w:rsid w:val="3D3E53A5"/>
    <w:rsid w:val="3D7309E6"/>
    <w:rsid w:val="3D8555F5"/>
    <w:rsid w:val="3D901A47"/>
    <w:rsid w:val="3DF9609F"/>
    <w:rsid w:val="3E032911"/>
    <w:rsid w:val="3E081F73"/>
    <w:rsid w:val="3E0C23B5"/>
    <w:rsid w:val="3E1B4A65"/>
    <w:rsid w:val="3E4C733C"/>
    <w:rsid w:val="3E604A14"/>
    <w:rsid w:val="3EE372B8"/>
    <w:rsid w:val="3EEE4CAE"/>
    <w:rsid w:val="3F52287D"/>
    <w:rsid w:val="3F5F1C5E"/>
    <w:rsid w:val="3F63505A"/>
    <w:rsid w:val="3F890BA2"/>
    <w:rsid w:val="3F8E5F21"/>
    <w:rsid w:val="3F8F5575"/>
    <w:rsid w:val="3FA47376"/>
    <w:rsid w:val="3FF31BD4"/>
    <w:rsid w:val="3FFF4F41"/>
    <w:rsid w:val="400B4D75"/>
    <w:rsid w:val="406519B3"/>
    <w:rsid w:val="40786313"/>
    <w:rsid w:val="40BC61F4"/>
    <w:rsid w:val="40C148ED"/>
    <w:rsid w:val="40C36D45"/>
    <w:rsid w:val="40D424C8"/>
    <w:rsid w:val="412F541A"/>
    <w:rsid w:val="41917FBB"/>
    <w:rsid w:val="41E05B40"/>
    <w:rsid w:val="41EC520B"/>
    <w:rsid w:val="4208792B"/>
    <w:rsid w:val="42A33472"/>
    <w:rsid w:val="42A653BA"/>
    <w:rsid w:val="42C81DAB"/>
    <w:rsid w:val="42D13D54"/>
    <w:rsid w:val="43050BE5"/>
    <w:rsid w:val="430B16C1"/>
    <w:rsid w:val="431909BB"/>
    <w:rsid w:val="43242BD1"/>
    <w:rsid w:val="433F581D"/>
    <w:rsid w:val="43847352"/>
    <w:rsid w:val="43BE6E00"/>
    <w:rsid w:val="43CF238D"/>
    <w:rsid w:val="44495947"/>
    <w:rsid w:val="447D22DC"/>
    <w:rsid w:val="44834CF6"/>
    <w:rsid w:val="44A43A1E"/>
    <w:rsid w:val="44B629DD"/>
    <w:rsid w:val="44FD7775"/>
    <w:rsid w:val="453273D9"/>
    <w:rsid w:val="455C49FE"/>
    <w:rsid w:val="457364AE"/>
    <w:rsid w:val="457A48DC"/>
    <w:rsid w:val="458C6803"/>
    <w:rsid w:val="45BA27F4"/>
    <w:rsid w:val="45D044D1"/>
    <w:rsid w:val="45EC2F32"/>
    <w:rsid w:val="461F090D"/>
    <w:rsid w:val="464E5D0F"/>
    <w:rsid w:val="465A0EE9"/>
    <w:rsid w:val="465D5203"/>
    <w:rsid w:val="46627589"/>
    <w:rsid w:val="467136A6"/>
    <w:rsid w:val="469519C5"/>
    <w:rsid w:val="46B079B9"/>
    <w:rsid w:val="46F50DDA"/>
    <w:rsid w:val="478654C0"/>
    <w:rsid w:val="478F4DA6"/>
    <w:rsid w:val="47C168AE"/>
    <w:rsid w:val="47D93184"/>
    <w:rsid w:val="47DA3D23"/>
    <w:rsid w:val="47F237D0"/>
    <w:rsid w:val="48327EF8"/>
    <w:rsid w:val="48877A3B"/>
    <w:rsid w:val="48AE321A"/>
    <w:rsid w:val="48DB7029"/>
    <w:rsid w:val="48F40599"/>
    <w:rsid w:val="48F77C20"/>
    <w:rsid w:val="491C63D6"/>
    <w:rsid w:val="49331BA1"/>
    <w:rsid w:val="49441489"/>
    <w:rsid w:val="49770CB0"/>
    <w:rsid w:val="497C5510"/>
    <w:rsid w:val="49DC4757"/>
    <w:rsid w:val="49EF6290"/>
    <w:rsid w:val="4A04235C"/>
    <w:rsid w:val="4A045C29"/>
    <w:rsid w:val="4A6D75C0"/>
    <w:rsid w:val="4A9C2FD5"/>
    <w:rsid w:val="4AA942EE"/>
    <w:rsid w:val="4AD764D1"/>
    <w:rsid w:val="4AE72B77"/>
    <w:rsid w:val="4AEC7C85"/>
    <w:rsid w:val="4AF173EE"/>
    <w:rsid w:val="4B1B45DF"/>
    <w:rsid w:val="4B2E419E"/>
    <w:rsid w:val="4B621FFA"/>
    <w:rsid w:val="4B667BE5"/>
    <w:rsid w:val="4B7F1DB9"/>
    <w:rsid w:val="4B817CDE"/>
    <w:rsid w:val="4BA60C2C"/>
    <w:rsid w:val="4BC11055"/>
    <w:rsid w:val="4BCC0B9B"/>
    <w:rsid w:val="4BD95797"/>
    <w:rsid w:val="4BDC0D07"/>
    <w:rsid w:val="4C0C2A62"/>
    <w:rsid w:val="4C685F0C"/>
    <w:rsid w:val="4C6D6562"/>
    <w:rsid w:val="4CA706AC"/>
    <w:rsid w:val="4CCA2DC7"/>
    <w:rsid w:val="4CE233CF"/>
    <w:rsid w:val="4D0A5610"/>
    <w:rsid w:val="4D135BC6"/>
    <w:rsid w:val="4D291057"/>
    <w:rsid w:val="4D2F24DF"/>
    <w:rsid w:val="4D432860"/>
    <w:rsid w:val="4D6C0F67"/>
    <w:rsid w:val="4D895268"/>
    <w:rsid w:val="4D8F494F"/>
    <w:rsid w:val="4D922EE6"/>
    <w:rsid w:val="4D977B36"/>
    <w:rsid w:val="4DB566ED"/>
    <w:rsid w:val="4DE37CBB"/>
    <w:rsid w:val="4E2C35D6"/>
    <w:rsid w:val="4E9E163B"/>
    <w:rsid w:val="4F0D7969"/>
    <w:rsid w:val="4F5810CC"/>
    <w:rsid w:val="4F9C7C59"/>
    <w:rsid w:val="4FBE044C"/>
    <w:rsid w:val="4FBE2EA5"/>
    <w:rsid w:val="4FE15B70"/>
    <w:rsid w:val="501D31E9"/>
    <w:rsid w:val="502C0416"/>
    <w:rsid w:val="502D2C76"/>
    <w:rsid w:val="50373AF5"/>
    <w:rsid w:val="504A4535"/>
    <w:rsid w:val="506E4351"/>
    <w:rsid w:val="509E46D7"/>
    <w:rsid w:val="50B1385B"/>
    <w:rsid w:val="50C9453A"/>
    <w:rsid w:val="50E111D7"/>
    <w:rsid w:val="50EC3BBD"/>
    <w:rsid w:val="50F826AE"/>
    <w:rsid w:val="51035714"/>
    <w:rsid w:val="510676CA"/>
    <w:rsid w:val="51161B0F"/>
    <w:rsid w:val="51712322"/>
    <w:rsid w:val="519A07DF"/>
    <w:rsid w:val="519F31FB"/>
    <w:rsid w:val="51BC08D4"/>
    <w:rsid w:val="520076CD"/>
    <w:rsid w:val="52007E81"/>
    <w:rsid w:val="5222628C"/>
    <w:rsid w:val="524E23A2"/>
    <w:rsid w:val="52642870"/>
    <w:rsid w:val="527E1EAF"/>
    <w:rsid w:val="528C45CC"/>
    <w:rsid w:val="528D027A"/>
    <w:rsid w:val="52B77F0C"/>
    <w:rsid w:val="52FC2DD4"/>
    <w:rsid w:val="531C5E21"/>
    <w:rsid w:val="534D5D25"/>
    <w:rsid w:val="534E6397"/>
    <w:rsid w:val="53721A99"/>
    <w:rsid w:val="53D34020"/>
    <w:rsid w:val="53F87A3F"/>
    <w:rsid w:val="5410361F"/>
    <w:rsid w:val="54413194"/>
    <w:rsid w:val="54B42FE4"/>
    <w:rsid w:val="54B702A9"/>
    <w:rsid w:val="54D754C1"/>
    <w:rsid w:val="54FE5994"/>
    <w:rsid w:val="55032E10"/>
    <w:rsid w:val="550F7D3E"/>
    <w:rsid w:val="551825A0"/>
    <w:rsid w:val="55254864"/>
    <w:rsid w:val="55322ADD"/>
    <w:rsid w:val="554A0D09"/>
    <w:rsid w:val="556078C8"/>
    <w:rsid w:val="55936768"/>
    <w:rsid w:val="559C32A8"/>
    <w:rsid w:val="55A92894"/>
    <w:rsid w:val="55B32A46"/>
    <w:rsid w:val="563117B1"/>
    <w:rsid w:val="564C6931"/>
    <w:rsid w:val="568217A8"/>
    <w:rsid w:val="56840A29"/>
    <w:rsid w:val="56987AD8"/>
    <w:rsid w:val="56DB4A64"/>
    <w:rsid w:val="57193F87"/>
    <w:rsid w:val="571F7488"/>
    <w:rsid w:val="572C0C64"/>
    <w:rsid w:val="5765719A"/>
    <w:rsid w:val="57850444"/>
    <w:rsid w:val="579F7FE0"/>
    <w:rsid w:val="57A57C9E"/>
    <w:rsid w:val="57AF02DF"/>
    <w:rsid w:val="57E42060"/>
    <w:rsid w:val="5818441F"/>
    <w:rsid w:val="58353A50"/>
    <w:rsid w:val="585A65D3"/>
    <w:rsid w:val="585B499B"/>
    <w:rsid w:val="58856582"/>
    <w:rsid w:val="58893182"/>
    <w:rsid w:val="58951DE3"/>
    <w:rsid w:val="58DB24F3"/>
    <w:rsid w:val="58DB2F18"/>
    <w:rsid w:val="58ED70D4"/>
    <w:rsid w:val="59457435"/>
    <w:rsid w:val="594C7BFA"/>
    <w:rsid w:val="596250CB"/>
    <w:rsid w:val="59C7757C"/>
    <w:rsid w:val="59F5667C"/>
    <w:rsid w:val="59FB6D1C"/>
    <w:rsid w:val="5A4B45FB"/>
    <w:rsid w:val="5A55418D"/>
    <w:rsid w:val="5A703E85"/>
    <w:rsid w:val="5A9C7AB9"/>
    <w:rsid w:val="5AC66718"/>
    <w:rsid w:val="5ADA376B"/>
    <w:rsid w:val="5AE37787"/>
    <w:rsid w:val="5B336682"/>
    <w:rsid w:val="5B372BFB"/>
    <w:rsid w:val="5B7D2E05"/>
    <w:rsid w:val="5B84314C"/>
    <w:rsid w:val="5BAF7819"/>
    <w:rsid w:val="5BE41282"/>
    <w:rsid w:val="5C303BDE"/>
    <w:rsid w:val="5C541595"/>
    <w:rsid w:val="5C6D3D3E"/>
    <w:rsid w:val="5C8D0DB2"/>
    <w:rsid w:val="5CA23BE6"/>
    <w:rsid w:val="5CE80A78"/>
    <w:rsid w:val="5CF442B7"/>
    <w:rsid w:val="5D0A0219"/>
    <w:rsid w:val="5D3B7155"/>
    <w:rsid w:val="5D4E646B"/>
    <w:rsid w:val="5D531C63"/>
    <w:rsid w:val="5DB032A5"/>
    <w:rsid w:val="5E096E10"/>
    <w:rsid w:val="5E18031F"/>
    <w:rsid w:val="5E3424A3"/>
    <w:rsid w:val="5E80356C"/>
    <w:rsid w:val="5E832D41"/>
    <w:rsid w:val="5E840D8F"/>
    <w:rsid w:val="5E95615C"/>
    <w:rsid w:val="5EAA7513"/>
    <w:rsid w:val="5EE72B8A"/>
    <w:rsid w:val="5EEE3582"/>
    <w:rsid w:val="5EF6776F"/>
    <w:rsid w:val="5F08322C"/>
    <w:rsid w:val="5F5244A8"/>
    <w:rsid w:val="5F655F31"/>
    <w:rsid w:val="5F700DD2"/>
    <w:rsid w:val="5F832463"/>
    <w:rsid w:val="5F845BF1"/>
    <w:rsid w:val="5FA26F1A"/>
    <w:rsid w:val="5FC25FEB"/>
    <w:rsid w:val="5FCC6E13"/>
    <w:rsid w:val="6042451C"/>
    <w:rsid w:val="605F5AE4"/>
    <w:rsid w:val="60706718"/>
    <w:rsid w:val="60CB1DE7"/>
    <w:rsid w:val="60E00670"/>
    <w:rsid w:val="61043169"/>
    <w:rsid w:val="61281F3E"/>
    <w:rsid w:val="612C0D28"/>
    <w:rsid w:val="61763B5F"/>
    <w:rsid w:val="619E1C26"/>
    <w:rsid w:val="61B81B90"/>
    <w:rsid w:val="61C312D1"/>
    <w:rsid w:val="61DF188E"/>
    <w:rsid w:val="61F5524E"/>
    <w:rsid w:val="61F5736C"/>
    <w:rsid w:val="62B16607"/>
    <w:rsid w:val="6307259D"/>
    <w:rsid w:val="635121B8"/>
    <w:rsid w:val="639F3A49"/>
    <w:rsid w:val="63A75C2B"/>
    <w:rsid w:val="63B02B1C"/>
    <w:rsid w:val="63D25BB7"/>
    <w:rsid w:val="63F373DA"/>
    <w:rsid w:val="64285358"/>
    <w:rsid w:val="643A21A5"/>
    <w:rsid w:val="643F53CD"/>
    <w:rsid w:val="6456581A"/>
    <w:rsid w:val="645D7C63"/>
    <w:rsid w:val="64713BE0"/>
    <w:rsid w:val="648A5FAB"/>
    <w:rsid w:val="64BF4EAD"/>
    <w:rsid w:val="64D00990"/>
    <w:rsid w:val="64DF000C"/>
    <w:rsid w:val="64ED0E04"/>
    <w:rsid w:val="65024D2A"/>
    <w:rsid w:val="651718C4"/>
    <w:rsid w:val="6525711C"/>
    <w:rsid w:val="653C6E59"/>
    <w:rsid w:val="654C29BB"/>
    <w:rsid w:val="65566374"/>
    <w:rsid w:val="65BC08CD"/>
    <w:rsid w:val="667C640D"/>
    <w:rsid w:val="66874130"/>
    <w:rsid w:val="66C33EDD"/>
    <w:rsid w:val="66C86029"/>
    <w:rsid w:val="67053791"/>
    <w:rsid w:val="672901E4"/>
    <w:rsid w:val="672D3816"/>
    <w:rsid w:val="675B2565"/>
    <w:rsid w:val="676F196F"/>
    <w:rsid w:val="67967D3C"/>
    <w:rsid w:val="67BF03C5"/>
    <w:rsid w:val="67C1301E"/>
    <w:rsid w:val="680859DD"/>
    <w:rsid w:val="68103B9B"/>
    <w:rsid w:val="681125B4"/>
    <w:rsid w:val="68232E85"/>
    <w:rsid w:val="685E3EBD"/>
    <w:rsid w:val="6875366A"/>
    <w:rsid w:val="688C3DBB"/>
    <w:rsid w:val="68AE7353"/>
    <w:rsid w:val="68CE3E66"/>
    <w:rsid w:val="68E7282F"/>
    <w:rsid w:val="68EA037D"/>
    <w:rsid w:val="68EA74FF"/>
    <w:rsid w:val="68EE11E6"/>
    <w:rsid w:val="68F3411A"/>
    <w:rsid w:val="692C5C4D"/>
    <w:rsid w:val="694926E6"/>
    <w:rsid w:val="69822E39"/>
    <w:rsid w:val="69894F6A"/>
    <w:rsid w:val="699E536A"/>
    <w:rsid w:val="69BE12DA"/>
    <w:rsid w:val="69C16AC8"/>
    <w:rsid w:val="69C53915"/>
    <w:rsid w:val="69C958E1"/>
    <w:rsid w:val="6A424692"/>
    <w:rsid w:val="6A521800"/>
    <w:rsid w:val="6A68730E"/>
    <w:rsid w:val="6A86162F"/>
    <w:rsid w:val="6AB278EE"/>
    <w:rsid w:val="6ABD4670"/>
    <w:rsid w:val="6AC76B40"/>
    <w:rsid w:val="6AD873B5"/>
    <w:rsid w:val="6AEC55C4"/>
    <w:rsid w:val="6B0755A6"/>
    <w:rsid w:val="6B38061C"/>
    <w:rsid w:val="6B656414"/>
    <w:rsid w:val="6B6C069F"/>
    <w:rsid w:val="6B70757B"/>
    <w:rsid w:val="6B730171"/>
    <w:rsid w:val="6BC8271E"/>
    <w:rsid w:val="6BEA1297"/>
    <w:rsid w:val="6BFB1FEC"/>
    <w:rsid w:val="6C016092"/>
    <w:rsid w:val="6C022DB1"/>
    <w:rsid w:val="6C11621C"/>
    <w:rsid w:val="6C3513D9"/>
    <w:rsid w:val="6C3911CB"/>
    <w:rsid w:val="6C7D314A"/>
    <w:rsid w:val="6C7D608C"/>
    <w:rsid w:val="6D26714E"/>
    <w:rsid w:val="6D3723B5"/>
    <w:rsid w:val="6D5D1C90"/>
    <w:rsid w:val="6D7E76FF"/>
    <w:rsid w:val="6D815193"/>
    <w:rsid w:val="6DE210EC"/>
    <w:rsid w:val="6DE54460"/>
    <w:rsid w:val="6DEB4C67"/>
    <w:rsid w:val="6DFC64FD"/>
    <w:rsid w:val="6E292877"/>
    <w:rsid w:val="6E46167B"/>
    <w:rsid w:val="6E8458BC"/>
    <w:rsid w:val="6F2844B7"/>
    <w:rsid w:val="6F685621"/>
    <w:rsid w:val="6F843DA5"/>
    <w:rsid w:val="6F911E87"/>
    <w:rsid w:val="6FC22689"/>
    <w:rsid w:val="6FCA7519"/>
    <w:rsid w:val="6FCC5D30"/>
    <w:rsid w:val="700A7516"/>
    <w:rsid w:val="700B7EE1"/>
    <w:rsid w:val="701D74BF"/>
    <w:rsid w:val="702E23C7"/>
    <w:rsid w:val="704822E7"/>
    <w:rsid w:val="705E7583"/>
    <w:rsid w:val="70922ACA"/>
    <w:rsid w:val="709366CE"/>
    <w:rsid w:val="70AC59E2"/>
    <w:rsid w:val="70FA271F"/>
    <w:rsid w:val="70FB493D"/>
    <w:rsid w:val="711315BD"/>
    <w:rsid w:val="716F13A8"/>
    <w:rsid w:val="71A26402"/>
    <w:rsid w:val="71A30AC4"/>
    <w:rsid w:val="71A5490B"/>
    <w:rsid w:val="71B20DD6"/>
    <w:rsid w:val="71C12EBA"/>
    <w:rsid w:val="71C71B99"/>
    <w:rsid w:val="71EA1C52"/>
    <w:rsid w:val="71F66F14"/>
    <w:rsid w:val="71F81256"/>
    <w:rsid w:val="721969BB"/>
    <w:rsid w:val="723F7B8A"/>
    <w:rsid w:val="72653F10"/>
    <w:rsid w:val="72B00A69"/>
    <w:rsid w:val="72C139C6"/>
    <w:rsid w:val="72E53416"/>
    <w:rsid w:val="730250D9"/>
    <w:rsid w:val="731665BB"/>
    <w:rsid w:val="732D3CB9"/>
    <w:rsid w:val="7340123C"/>
    <w:rsid w:val="734D0939"/>
    <w:rsid w:val="73601405"/>
    <w:rsid w:val="73AD5CF9"/>
    <w:rsid w:val="73D65978"/>
    <w:rsid w:val="73EA389E"/>
    <w:rsid w:val="73F807AD"/>
    <w:rsid w:val="74110D01"/>
    <w:rsid w:val="74546797"/>
    <w:rsid w:val="745D14CD"/>
    <w:rsid w:val="746A323A"/>
    <w:rsid w:val="747310AF"/>
    <w:rsid w:val="747D102B"/>
    <w:rsid w:val="74874982"/>
    <w:rsid w:val="74A05B4E"/>
    <w:rsid w:val="74A556E9"/>
    <w:rsid w:val="74AC4202"/>
    <w:rsid w:val="75012721"/>
    <w:rsid w:val="7539776C"/>
    <w:rsid w:val="75496E41"/>
    <w:rsid w:val="7564688B"/>
    <w:rsid w:val="757139A8"/>
    <w:rsid w:val="75907680"/>
    <w:rsid w:val="75CA5026"/>
    <w:rsid w:val="75D02D48"/>
    <w:rsid w:val="761E2EDE"/>
    <w:rsid w:val="76244449"/>
    <w:rsid w:val="76670E73"/>
    <w:rsid w:val="76833C45"/>
    <w:rsid w:val="77092404"/>
    <w:rsid w:val="77324E93"/>
    <w:rsid w:val="77545B3E"/>
    <w:rsid w:val="776963DA"/>
    <w:rsid w:val="77C16211"/>
    <w:rsid w:val="78162870"/>
    <w:rsid w:val="78234D87"/>
    <w:rsid w:val="78331E41"/>
    <w:rsid w:val="78737DE6"/>
    <w:rsid w:val="78C22246"/>
    <w:rsid w:val="78D2278C"/>
    <w:rsid w:val="78D316B1"/>
    <w:rsid w:val="78EA7F04"/>
    <w:rsid w:val="78F17A71"/>
    <w:rsid w:val="7952283F"/>
    <w:rsid w:val="79626B21"/>
    <w:rsid w:val="796926C2"/>
    <w:rsid w:val="79911B42"/>
    <w:rsid w:val="79AB0AB1"/>
    <w:rsid w:val="79B230AB"/>
    <w:rsid w:val="79BE0C60"/>
    <w:rsid w:val="79D81A8C"/>
    <w:rsid w:val="79E3350D"/>
    <w:rsid w:val="7A1645E4"/>
    <w:rsid w:val="7A3B5367"/>
    <w:rsid w:val="7A886B78"/>
    <w:rsid w:val="7ABD4419"/>
    <w:rsid w:val="7AC04563"/>
    <w:rsid w:val="7ADB0570"/>
    <w:rsid w:val="7B2D7201"/>
    <w:rsid w:val="7B851309"/>
    <w:rsid w:val="7BE06E27"/>
    <w:rsid w:val="7C1639D4"/>
    <w:rsid w:val="7C431023"/>
    <w:rsid w:val="7C4D6AEA"/>
    <w:rsid w:val="7C516FE4"/>
    <w:rsid w:val="7C847721"/>
    <w:rsid w:val="7C8F243F"/>
    <w:rsid w:val="7CA83501"/>
    <w:rsid w:val="7CAA24E9"/>
    <w:rsid w:val="7CC410E3"/>
    <w:rsid w:val="7CE5610C"/>
    <w:rsid w:val="7CEA309B"/>
    <w:rsid w:val="7CFF6D05"/>
    <w:rsid w:val="7D0B5E36"/>
    <w:rsid w:val="7D20009E"/>
    <w:rsid w:val="7D2B4C98"/>
    <w:rsid w:val="7D323724"/>
    <w:rsid w:val="7D3B299C"/>
    <w:rsid w:val="7D48764C"/>
    <w:rsid w:val="7D4C697F"/>
    <w:rsid w:val="7D515947"/>
    <w:rsid w:val="7D65232B"/>
    <w:rsid w:val="7D74550A"/>
    <w:rsid w:val="7D94518A"/>
    <w:rsid w:val="7DFB1EBB"/>
    <w:rsid w:val="7E270BF3"/>
    <w:rsid w:val="7E470433"/>
    <w:rsid w:val="7E786310"/>
    <w:rsid w:val="7E8F56B0"/>
    <w:rsid w:val="7E914CEB"/>
    <w:rsid w:val="7E9300B5"/>
    <w:rsid w:val="7EA9365B"/>
    <w:rsid w:val="7EB93573"/>
    <w:rsid w:val="7EC16270"/>
    <w:rsid w:val="7F132988"/>
    <w:rsid w:val="7F375A5D"/>
    <w:rsid w:val="7F4E0378"/>
    <w:rsid w:val="7F58120E"/>
    <w:rsid w:val="7F686745"/>
    <w:rsid w:val="7F6F6AA8"/>
    <w:rsid w:val="7F9D47A6"/>
    <w:rsid w:val="7FAE6C13"/>
    <w:rsid w:val="7FBE6B63"/>
    <w:rsid w:val="7FC06AB1"/>
    <w:rsid w:val="7FDA40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qFormat="1" w:unhideWhenUsed="0" w:uiPriority="99" w:name="index 8"/>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qFormat="1" w:unhideWhenUsed="0"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5">
    <w:name w:val="heading 1"/>
    <w:basedOn w:val="6"/>
    <w:next w:val="1"/>
    <w:link w:val="62"/>
    <w:qFormat/>
    <w:uiPriority w:val="99"/>
    <w:pPr>
      <w:keepNext/>
      <w:jc w:val="center"/>
      <w:outlineLvl w:val="0"/>
    </w:pPr>
    <w:rPr>
      <w:sz w:val="36"/>
      <w:szCs w:val="32"/>
    </w:rPr>
  </w:style>
  <w:style w:type="paragraph" w:styleId="7">
    <w:name w:val="heading 2"/>
    <w:basedOn w:val="1"/>
    <w:next w:val="1"/>
    <w:link w:val="63"/>
    <w:qFormat/>
    <w:uiPriority w:val="99"/>
    <w:pPr>
      <w:keepNext/>
      <w:keepLines/>
      <w:spacing w:before="260" w:after="260" w:line="415" w:lineRule="auto"/>
      <w:jc w:val="left"/>
      <w:outlineLvl w:val="1"/>
    </w:pPr>
    <w:rPr>
      <w:rFonts w:ascii="Arial" w:hAnsi="Arial" w:cs="Arial"/>
      <w:b/>
      <w:bCs/>
      <w:sz w:val="32"/>
      <w:szCs w:val="32"/>
    </w:rPr>
  </w:style>
  <w:style w:type="paragraph" w:styleId="6">
    <w:name w:val="heading 3"/>
    <w:basedOn w:val="1"/>
    <w:next w:val="1"/>
    <w:link w:val="64"/>
    <w:qFormat/>
    <w:uiPriority w:val="99"/>
    <w:pPr>
      <w:spacing w:before="100" w:beforeAutospacing="1" w:after="100" w:afterAutospacing="1"/>
      <w:jc w:val="left"/>
      <w:outlineLvl w:val="2"/>
    </w:pPr>
    <w:rPr>
      <w:rFonts w:ascii="宋体" w:hAnsi="宋体" w:cs="宋体"/>
      <w:b/>
      <w:bCs/>
      <w:kern w:val="0"/>
      <w:sz w:val="27"/>
      <w:szCs w:val="27"/>
    </w:rPr>
  </w:style>
  <w:style w:type="paragraph" w:styleId="8">
    <w:name w:val="heading 4"/>
    <w:basedOn w:val="1"/>
    <w:next w:val="1"/>
    <w:link w:val="65"/>
    <w:qFormat/>
    <w:uiPriority w:val="99"/>
    <w:pPr>
      <w:keepNext/>
      <w:keepLines/>
      <w:spacing w:before="280" w:after="290" w:line="376" w:lineRule="auto"/>
      <w:outlineLvl w:val="3"/>
    </w:pPr>
    <w:rPr>
      <w:rFonts w:ascii="Arial" w:hAnsi="Arial" w:eastAsia="黑体" w:cs="Arial"/>
      <w:b/>
      <w:bCs/>
      <w:sz w:val="28"/>
      <w:szCs w:val="28"/>
    </w:rPr>
  </w:style>
  <w:style w:type="paragraph" w:styleId="9">
    <w:name w:val="heading 5"/>
    <w:basedOn w:val="1"/>
    <w:next w:val="1"/>
    <w:link w:val="66"/>
    <w:qFormat/>
    <w:uiPriority w:val="99"/>
    <w:pPr>
      <w:keepNext/>
      <w:keepLines/>
      <w:spacing w:before="280" w:after="290" w:line="376" w:lineRule="auto"/>
      <w:outlineLvl w:val="4"/>
    </w:pPr>
    <w:rPr>
      <w:b/>
      <w:bCs/>
      <w:sz w:val="28"/>
      <w:szCs w:val="28"/>
    </w:rPr>
  </w:style>
  <w:style w:type="paragraph" w:styleId="10">
    <w:name w:val="heading 6"/>
    <w:basedOn w:val="1"/>
    <w:next w:val="1"/>
    <w:link w:val="67"/>
    <w:qFormat/>
    <w:uiPriority w:val="99"/>
    <w:pPr>
      <w:keepNext/>
      <w:keepLines/>
      <w:spacing w:line="320" w:lineRule="auto"/>
      <w:outlineLvl w:val="5"/>
    </w:pPr>
    <w:rPr>
      <w:rFonts w:ascii="Arial" w:hAnsi="Arial" w:eastAsia="黑体" w:cs="Arial"/>
      <w:b/>
      <w:bCs/>
      <w:szCs w:val="24"/>
    </w:rPr>
  </w:style>
  <w:style w:type="paragraph" w:styleId="11">
    <w:name w:val="heading 7"/>
    <w:basedOn w:val="1"/>
    <w:next w:val="1"/>
    <w:link w:val="68"/>
    <w:qFormat/>
    <w:uiPriority w:val="99"/>
    <w:pPr>
      <w:keepNext/>
      <w:keepLines/>
      <w:spacing w:before="240" w:after="64" w:line="320" w:lineRule="auto"/>
      <w:outlineLvl w:val="6"/>
    </w:pPr>
    <w:rPr>
      <w:b/>
      <w:bCs/>
      <w:szCs w:val="24"/>
    </w:rPr>
  </w:style>
  <w:style w:type="paragraph" w:styleId="12">
    <w:name w:val="heading 8"/>
    <w:basedOn w:val="1"/>
    <w:next w:val="1"/>
    <w:link w:val="69"/>
    <w:qFormat/>
    <w:uiPriority w:val="99"/>
    <w:pPr>
      <w:keepNext/>
      <w:keepLines/>
      <w:spacing w:before="240" w:after="64" w:line="320" w:lineRule="auto"/>
      <w:outlineLvl w:val="7"/>
    </w:pPr>
    <w:rPr>
      <w:rFonts w:ascii="Arial" w:hAnsi="Arial" w:eastAsia="黑体" w:cs="Arial"/>
      <w:szCs w:val="24"/>
    </w:rPr>
  </w:style>
  <w:style w:type="paragraph" w:styleId="13">
    <w:name w:val="heading 9"/>
    <w:basedOn w:val="1"/>
    <w:next w:val="1"/>
    <w:link w:val="70"/>
    <w:qFormat/>
    <w:uiPriority w:val="99"/>
    <w:pPr>
      <w:keepNext/>
      <w:keepLines/>
      <w:spacing w:before="240" w:after="64" w:line="320" w:lineRule="auto"/>
      <w:outlineLvl w:val="8"/>
    </w:pPr>
    <w:rPr>
      <w:rFonts w:ascii="Arial" w:hAnsi="Arial" w:eastAsia="黑体" w:cs="Arial"/>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06"/>
    <w:qFormat/>
    <w:locked/>
    <w:uiPriority w:val="99"/>
    <w:pPr>
      <w:spacing w:after="120" w:line="240" w:lineRule="auto"/>
      <w:ind w:firstLine="420" w:firstLineChars="100"/>
      <w:jc w:val="both"/>
    </w:pPr>
    <w:rPr>
      <w:rFonts w:ascii="Times New Roman" w:hAnsi="Times New Roman" w:cs="Times New Roman"/>
    </w:rPr>
  </w:style>
  <w:style w:type="paragraph" w:styleId="3">
    <w:name w:val="Body Text"/>
    <w:basedOn w:val="1"/>
    <w:next w:val="4"/>
    <w:link w:val="72"/>
    <w:qFormat/>
    <w:uiPriority w:val="99"/>
    <w:pPr>
      <w:spacing w:line="480" w:lineRule="exact"/>
      <w:jc w:val="left"/>
    </w:pPr>
    <w:rPr>
      <w:rFonts w:ascii="宋体" w:hAnsi="宋体" w:cs="宋体"/>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toc 7"/>
    <w:basedOn w:val="1"/>
    <w:next w:val="1"/>
    <w:semiHidden/>
    <w:qFormat/>
    <w:uiPriority w:val="99"/>
    <w:pPr>
      <w:ind w:left="1260"/>
      <w:jc w:val="left"/>
    </w:pPr>
    <w:rPr>
      <w:sz w:val="18"/>
      <w:szCs w:val="18"/>
    </w:rPr>
  </w:style>
  <w:style w:type="paragraph" w:styleId="15">
    <w:name w:val="index 8"/>
    <w:basedOn w:val="1"/>
    <w:next w:val="1"/>
    <w:semiHidden/>
    <w:qFormat/>
    <w:uiPriority w:val="99"/>
    <w:pPr>
      <w:ind w:left="1400" w:leftChars="1400"/>
    </w:pPr>
  </w:style>
  <w:style w:type="paragraph" w:styleId="16">
    <w:name w:val="Normal Indent"/>
    <w:basedOn w:val="1"/>
    <w:qFormat/>
    <w:uiPriority w:val="99"/>
    <w:pPr>
      <w:ind w:firstLine="420" w:firstLineChars="200"/>
    </w:pPr>
  </w:style>
  <w:style w:type="paragraph" w:styleId="17">
    <w:name w:val="caption"/>
    <w:basedOn w:val="1"/>
    <w:next w:val="1"/>
    <w:qFormat/>
    <w:uiPriority w:val="99"/>
    <w:rPr>
      <w:rFonts w:ascii="Cambria" w:hAnsi="Cambria" w:eastAsia="黑体" w:cs="Cambria"/>
      <w:sz w:val="20"/>
      <w:szCs w:val="20"/>
    </w:rPr>
  </w:style>
  <w:style w:type="paragraph" w:styleId="18">
    <w:name w:val="Document Map"/>
    <w:basedOn w:val="1"/>
    <w:link w:val="138"/>
    <w:semiHidden/>
    <w:qFormat/>
    <w:uiPriority w:val="99"/>
    <w:pPr>
      <w:shd w:val="clear" w:color="auto" w:fill="000080"/>
    </w:pPr>
    <w:rPr>
      <w:szCs w:val="24"/>
    </w:rPr>
  </w:style>
  <w:style w:type="paragraph" w:styleId="19">
    <w:name w:val="annotation text"/>
    <w:basedOn w:val="1"/>
    <w:link w:val="71"/>
    <w:semiHidden/>
    <w:qFormat/>
    <w:uiPriority w:val="99"/>
    <w:pPr>
      <w:jc w:val="left"/>
    </w:pPr>
  </w:style>
  <w:style w:type="paragraph" w:styleId="20">
    <w:name w:val="Body Text 3"/>
    <w:basedOn w:val="1"/>
    <w:link w:val="137"/>
    <w:qFormat/>
    <w:uiPriority w:val="99"/>
    <w:rPr>
      <w:rFonts w:ascii="宋体" w:cs="宋体"/>
      <w:szCs w:val="24"/>
    </w:rPr>
  </w:style>
  <w:style w:type="paragraph" w:styleId="21">
    <w:name w:val="Body Text Indent"/>
    <w:basedOn w:val="1"/>
    <w:link w:val="81"/>
    <w:qFormat/>
    <w:uiPriority w:val="99"/>
    <w:pPr>
      <w:spacing w:line="560" w:lineRule="exact"/>
      <w:ind w:firstLine="570"/>
    </w:pPr>
    <w:rPr>
      <w:sz w:val="28"/>
      <w:szCs w:val="28"/>
    </w:rPr>
  </w:style>
  <w:style w:type="paragraph" w:styleId="22">
    <w:name w:val="Block Text"/>
    <w:basedOn w:val="1"/>
    <w:qFormat/>
    <w:locked/>
    <w:uiPriority w:val="99"/>
    <w:pPr>
      <w:tabs>
        <w:tab w:val="left" w:pos="900"/>
      </w:tabs>
      <w:snapToGrid w:val="0"/>
      <w:ind w:left="-180" w:right="-334" w:firstLine="482"/>
    </w:pPr>
    <w:rPr>
      <w:rFonts w:ascii="仿宋_GB2312" w:eastAsia="仿宋_GB2312" w:cs="仿宋_GB2312"/>
      <w:szCs w:val="24"/>
    </w:rPr>
  </w:style>
  <w:style w:type="paragraph" w:styleId="23">
    <w:name w:val="index 4"/>
    <w:basedOn w:val="1"/>
    <w:next w:val="1"/>
    <w:semiHidden/>
    <w:qFormat/>
    <w:uiPriority w:val="99"/>
    <w:pPr>
      <w:ind w:left="600" w:leftChars="600"/>
    </w:pPr>
  </w:style>
  <w:style w:type="paragraph" w:styleId="24">
    <w:name w:val="toc 5"/>
    <w:basedOn w:val="1"/>
    <w:next w:val="1"/>
    <w:semiHidden/>
    <w:qFormat/>
    <w:uiPriority w:val="99"/>
    <w:pPr>
      <w:ind w:left="840"/>
      <w:jc w:val="left"/>
    </w:pPr>
    <w:rPr>
      <w:sz w:val="18"/>
      <w:szCs w:val="18"/>
    </w:rPr>
  </w:style>
  <w:style w:type="paragraph" w:styleId="25">
    <w:name w:val="toc 3"/>
    <w:basedOn w:val="1"/>
    <w:next w:val="1"/>
    <w:semiHidden/>
    <w:qFormat/>
    <w:uiPriority w:val="99"/>
    <w:pPr>
      <w:ind w:left="400" w:leftChars="400"/>
    </w:pPr>
  </w:style>
  <w:style w:type="paragraph" w:styleId="26">
    <w:name w:val="Plain Text"/>
    <w:basedOn w:val="1"/>
    <w:link w:val="73"/>
    <w:qFormat/>
    <w:uiPriority w:val="99"/>
    <w:rPr>
      <w:rFonts w:ascii="宋体" w:cs="宋体"/>
    </w:rPr>
  </w:style>
  <w:style w:type="paragraph" w:styleId="27">
    <w:name w:val="toc 8"/>
    <w:basedOn w:val="1"/>
    <w:next w:val="1"/>
    <w:semiHidden/>
    <w:qFormat/>
    <w:uiPriority w:val="99"/>
    <w:pPr>
      <w:ind w:left="1470"/>
      <w:jc w:val="left"/>
    </w:pPr>
    <w:rPr>
      <w:sz w:val="18"/>
      <w:szCs w:val="18"/>
    </w:rPr>
  </w:style>
  <w:style w:type="paragraph" w:styleId="28">
    <w:name w:val="Date"/>
    <w:basedOn w:val="1"/>
    <w:next w:val="1"/>
    <w:link w:val="74"/>
    <w:qFormat/>
    <w:uiPriority w:val="99"/>
    <w:pPr>
      <w:ind w:left="100" w:leftChars="2500"/>
    </w:pPr>
  </w:style>
  <w:style w:type="paragraph" w:styleId="29">
    <w:name w:val="Body Text Indent 2"/>
    <w:basedOn w:val="1"/>
    <w:link w:val="98"/>
    <w:qFormat/>
    <w:uiPriority w:val="99"/>
    <w:pPr>
      <w:ind w:firstLine="200" w:firstLineChars="200"/>
    </w:pPr>
    <w:rPr>
      <w:sz w:val="28"/>
      <w:szCs w:val="28"/>
    </w:rPr>
  </w:style>
  <w:style w:type="paragraph" w:styleId="30">
    <w:name w:val="Balloon Text"/>
    <w:basedOn w:val="1"/>
    <w:link w:val="75"/>
    <w:semiHidden/>
    <w:qFormat/>
    <w:uiPriority w:val="99"/>
    <w:rPr>
      <w:sz w:val="18"/>
      <w:szCs w:val="18"/>
    </w:rPr>
  </w:style>
  <w:style w:type="paragraph" w:styleId="31">
    <w:name w:val="footer"/>
    <w:basedOn w:val="1"/>
    <w:link w:val="76"/>
    <w:qFormat/>
    <w:uiPriority w:val="99"/>
    <w:pPr>
      <w:tabs>
        <w:tab w:val="center" w:pos="4153"/>
        <w:tab w:val="right" w:pos="8306"/>
      </w:tabs>
      <w:snapToGrid w:val="0"/>
      <w:jc w:val="left"/>
    </w:pPr>
    <w:rPr>
      <w:sz w:val="18"/>
      <w:szCs w:val="18"/>
    </w:rPr>
  </w:style>
  <w:style w:type="paragraph" w:styleId="32">
    <w:name w:val="header"/>
    <w:basedOn w:val="1"/>
    <w:link w:val="77"/>
    <w:qFormat/>
    <w:uiPriority w:val="99"/>
    <w:pPr>
      <w:tabs>
        <w:tab w:val="center" w:pos="4153"/>
        <w:tab w:val="right" w:pos="8306"/>
      </w:tabs>
      <w:snapToGrid w:val="0"/>
      <w:jc w:val="center"/>
    </w:pPr>
    <w:rPr>
      <w:sz w:val="18"/>
      <w:szCs w:val="18"/>
    </w:rPr>
  </w:style>
  <w:style w:type="paragraph" w:styleId="33">
    <w:name w:val="toc 1"/>
    <w:basedOn w:val="1"/>
    <w:next w:val="1"/>
    <w:semiHidden/>
    <w:qFormat/>
    <w:uiPriority w:val="99"/>
  </w:style>
  <w:style w:type="paragraph" w:styleId="34">
    <w:name w:val="toc 4"/>
    <w:basedOn w:val="1"/>
    <w:next w:val="1"/>
    <w:semiHidden/>
    <w:qFormat/>
    <w:uiPriority w:val="99"/>
    <w:pPr>
      <w:ind w:left="630"/>
      <w:jc w:val="left"/>
    </w:pPr>
    <w:rPr>
      <w:sz w:val="18"/>
      <w:szCs w:val="18"/>
    </w:rPr>
  </w:style>
  <w:style w:type="paragraph" w:styleId="35">
    <w:name w:val="Subtitle"/>
    <w:basedOn w:val="1"/>
    <w:next w:val="1"/>
    <w:link w:val="147"/>
    <w:qFormat/>
    <w:uiPriority w:val="99"/>
    <w:pPr>
      <w:spacing w:before="240" w:after="60" w:line="312" w:lineRule="auto"/>
      <w:jc w:val="center"/>
      <w:outlineLvl w:val="1"/>
    </w:pPr>
    <w:rPr>
      <w:rFonts w:ascii="Cambria" w:hAnsi="Cambria" w:cs="Cambria"/>
      <w:b/>
      <w:bCs/>
      <w:kern w:val="28"/>
      <w:sz w:val="32"/>
      <w:szCs w:val="32"/>
    </w:rPr>
  </w:style>
  <w:style w:type="paragraph" w:styleId="36">
    <w:name w:val="footnote text"/>
    <w:basedOn w:val="1"/>
    <w:link w:val="78"/>
    <w:semiHidden/>
    <w:qFormat/>
    <w:uiPriority w:val="99"/>
    <w:pPr>
      <w:adjustRightInd w:val="0"/>
      <w:spacing w:line="312" w:lineRule="atLeast"/>
      <w:jc w:val="left"/>
      <w:textAlignment w:val="baseline"/>
    </w:pPr>
    <w:rPr>
      <w:kern w:val="0"/>
      <w:sz w:val="18"/>
      <w:szCs w:val="18"/>
    </w:rPr>
  </w:style>
  <w:style w:type="paragraph" w:styleId="37">
    <w:name w:val="toc 6"/>
    <w:basedOn w:val="1"/>
    <w:next w:val="1"/>
    <w:semiHidden/>
    <w:qFormat/>
    <w:uiPriority w:val="99"/>
    <w:pPr>
      <w:ind w:left="1050"/>
      <w:jc w:val="left"/>
    </w:pPr>
    <w:rPr>
      <w:sz w:val="18"/>
      <w:szCs w:val="18"/>
    </w:rPr>
  </w:style>
  <w:style w:type="paragraph" w:styleId="38">
    <w:name w:val="Body Text Indent 3"/>
    <w:basedOn w:val="1"/>
    <w:link w:val="136"/>
    <w:qFormat/>
    <w:uiPriority w:val="99"/>
    <w:pPr>
      <w:spacing w:after="120"/>
      <w:ind w:left="420" w:leftChars="200"/>
    </w:pPr>
    <w:rPr>
      <w:sz w:val="16"/>
      <w:szCs w:val="16"/>
    </w:rPr>
  </w:style>
  <w:style w:type="paragraph" w:styleId="39">
    <w:name w:val="toc 2"/>
    <w:basedOn w:val="1"/>
    <w:next w:val="1"/>
    <w:semiHidden/>
    <w:qFormat/>
    <w:uiPriority w:val="99"/>
    <w:pPr>
      <w:ind w:left="200" w:leftChars="200"/>
    </w:pPr>
  </w:style>
  <w:style w:type="paragraph" w:styleId="40">
    <w:name w:val="toc 9"/>
    <w:basedOn w:val="1"/>
    <w:next w:val="1"/>
    <w:semiHidden/>
    <w:qFormat/>
    <w:uiPriority w:val="99"/>
    <w:pPr>
      <w:ind w:left="3360" w:leftChars="1600"/>
    </w:pPr>
  </w:style>
  <w:style w:type="paragraph" w:styleId="41">
    <w:name w:val="Body Text 2"/>
    <w:basedOn w:val="1"/>
    <w:link w:val="146"/>
    <w:qFormat/>
    <w:uiPriority w:val="99"/>
    <w:pPr>
      <w:spacing w:after="120" w:line="480" w:lineRule="auto"/>
    </w:pPr>
  </w:style>
  <w:style w:type="paragraph" w:styleId="42">
    <w:name w:val="Message Header"/>
    <w:basedOn w:val="1"/>
    <w:next w:val="3"/>
    <w:qFormat/>
    <w:locked/>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43">
    <w:name w:val="HTML Preformatted"/>
    <w:basedOn w:val="1"/>
    <w:link w:val="79"/>
    <w:qFormat/>
    <w:uiPriority w:val="99"/>
    <w:rPr>
      <w:rFonts w:ascii="Courier New" w:hAnsi="Courier New" w:cs="Courier New"/>
      <w:sz w:val="20"/>
      <w:szCs w:val="20"/>
    </w:rPr>
  </w:style>
  <w:style w:type="paragraph" w:styleId="44">
    <w:name w:val="Normal (Web)"/>
    <w:basedOn w:val="1"/>
    <w:qFormat/>
    <w:uiPriority w:val="99"/>
    <w:pPr>
      <w:spacing w:before="100" w:beforeAutospacing="1" w:after="100" w:afterAutospacing="1"/>
      <w:jc w:val="left"/>
    </w:pPr>
    <w:rPr>
      <w:kern w:val="0"/>
      <w:szCs w:val="24"/>
    </w:rPr>
  </w:style>
  <w:style w:type="paragraph" w:styleId="45">
    <w:name w:val="index 1"/>
    <w:basedOn w:val="1"/>
    <w:next w:val="1"/>
    <w:semiHidden/>
    <w:qFormat/>
    <w:uiPriority w:val="99"/>
    <w:pPr>
      <w:spacing w:line="220" w:lineRule="exact"/>
      <w:jc w:val="center"/>
    </w:pPr>
    <w:rPr>
      <w:rFonts w:ascii="仿宋_GB2312" w:eastAsia="仿宋_GB2312" w:cs="仿宋_GB2312"/>
    </w:rPr>
  </w:style>
  <w:style w:type="paragraph" w:styleId="46">
    <w:name w:val="Title"/>
    <w:basedOn w:val="1"/>
    <w:link w:val="135"/>
    <w:qFormat/>
    <w:uiPriority w:val="99"/>
    <w:pPr>
      <w:adjustRightInd w:val="0"/>
      <w:spacing w:before="240" w:after="60" w:line="420" w:lineRule="atLeast"/>
      <w:jc w:val="center"/>
      <w:textAlignment w:val="baseline"/>
      <w:outlineLvl w:val="0"/>
    </w:pPr>
    <w:rPr>
      <w:rFonts w:ascii="Arial" w:hAnsi="Arial" w:cs="Arial"/>
      <w:b/>
      <w:bCs/>
      <w:kern w:val="0"/>
      <w:sz w:val="32"/>
      <w:szCs w:val="32"/>
    </w:rPr>
  </w:style>
  <w:style w:type="paragraph" w:styleId="47">
    <w:name w:val="annotation subject"/>
    <w:basedOn w:val="19"/>
    <w:next w:val="19"/>
    <w:link w:val="80"/>
    <w:semiHidden/>
    <w:qFormat/>
    <w:uiPriority w:val="99"/>
    <w:rPr>
      <w:b/>
      <w:bCs/>
    </w:rPr>
  </w:style>
  <w:style w:type="paragraph" w:styleId="48">
    <w:name w:val="Body Text First Indent 2"/>
    <w:basedOn w:val="21"/>
    <w:next w:val="3"/>
    <w:link w:val="82"/>
    <w:qFormat/>
    <w:uiPriority w:val="99"/>
    <w:pPr>
      <w:spacing w:after="120" w:line="240" w:lineRule="auto"/>
      <w:ind w:firstLine="0"/>
    </w:pPr>
    <w:rPr>
      <w:rFonts w:eastAsia="仿宋_GB2312"/>
      <w:sz w:val="32"/>
      <w:szCs w:val="32"/>
    </w:rPr>
  </w:style>
  <w:style w:type="table" w:styleId="50">
    <w:name w:val="Table Grid"/>
    <w:basedOn w:val="4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99"/>
    <w:rPr>
      <w:b/>
      <w:bCs/>
    </w:rPr>
  </w:style>
  <w:style w:type="character" w:styleId="53">
    <w:name w:val="endnote reference"/>
    <w:basedOn w:val="51"/>
    <w:semiHidden/>
    <w:qFormat/>
    <w:locked/>
    <w:uiPriority w:val="99"/>
    <w:rPr>
      <w:vertAlign w:val="superscript"/>
    </w:rPr>
  </w:style>
  <w:style w:type="character" w:styleId="54">
    <w:name w:val="page number"/>
    <w:basedOn w:val="51"/>
    <w:qFormat/>
    <w:uiPriority w:val="99"/>
  </w:style>
  <w:style w:type="character" w:styleId="55">
    <w:name w:val="FollowedHyperlink"/>
    <w:basedOn w:val="51"/>
    <w:qFormat/>
    <w:uiPriority w:val="99"/>
    <w:rPr>
      <w:rFonts w:ascii="Arial" w:hAnsi="Arial" w:eastAsia="黑体" w:cs="Arial"/>
      <w:color w:val="800080"/>
      <w:kern w:val="2"/>
      <w:sz w:val="21"/>
      <w:szCs w:val="21"/>
      <w:u w:val="single"/>
      <w:lang w:val="en-US" w:eastAsia="zh-CN"/>
    </w:rPr>
  </w:style>
  <w:style w:type="character" w:styleId="56">
    <w:name w:val="Emphasis"/>
    <w:basedOn w:val="51"/>
    <w:qFormat/>
    <w:uiPriority w:val="99"/>
    <w:rPr>
      <w:rFonts w:ascii="Times New Roman" w:hAnsi="Times New Roman" w:eastAsia="宋体" w:cs="Times New Roman"/>
      <w:i/>
      <w:iCs/>
    </w:rPr>
  </w:style>
  <w:style w:type="character" w:styleId="57">
    <w:name w:val="HTML Acronym"/>
    <w:basedOn w:val="51"/>
    <w:qFormat/>
    <w:locked/>
    <w:uiPriority w:val="99"/>
  </w:style>
  <w:style w:type="character" w:styleId="58">
    <w:name w:val="Hyperlink"/>
    <w:basedOn w:val="51"/>
    <w:qFormat/>
    <w:uiPriority w:val="99"/>
    <w:rPr>
      <w:color w:val="0000FF"/>
      <w:u w:val="single"/>
    </w:rPr>
  </w:style>
  <w:style w:type="character" w:styleId="59">
    <w:name w:val="annotation reference"/>
    <w:basedOn w:val="51"/>
    <w:semiHidden/>
    <w:qFormat/>
    <w:uiPriority w:val="99"/>
    <w:rPr>
      <w:sz w:val="21"/>
      <w:szCs w:val="21"/>
    </w:rPr>
  </w:style>
  <w:style w:type="paragraph" w:customStyle="1" w:styleId="60">
    <w:name w:val="BodyText"/>
    <w:basedOn w:val="1"/>
    <w:qFormat/>
    <w:uiPriority w:val="0"/>
    <w:pPr>
      <w:jc w:val="center"/>
    </w:pPr>
    <w:rPr>
      <w:rFonts w:eastAsia="黑体"/>
      <w:sz w:val="44"/>
    </w:rPr>
  </w:style>
  <w:style w:type="paragraph" w:customStyle="1" w:styleId="61">
    <w:name w:val="Heading1"/>
    <w:basedOn w:val="1"/>
    <w:next w:val="1"/>
    <w:qFormat/>
    <w:uiPriority w:val="0"/>
    <w:pPr>
      <w:keepNext/>
      <w:keepLines/>
      <w:spacing w:before="340" w:after="330" w:line="578" w:lineRule="auto"/>
      <w:textAlignment w:val="baseline"/>
    </w:pPr>
    <w:rPr>
      <w:b/>
      <w:bCs/>
      <w:kern w:val="44"/>
      <w:sz w:val="44"/>
      <w:szCs w:val="44"/>
    </w:rPr>
  </w:style>
  <w:style w:type="character" w:customStyle="1" w:styleId="62">
    <w:name w:val="标题 1 字符"/>
    <w:basedOn w:val="51"/>
    <w:link w:val="5"/>
    <w:qFormat/>
    <w:locked/>
    <w:uiPriority w:val="99"/>
    <w:rPr>
      <w:rFonts w:ascii="Times New Roman" w:hAnsi="Times New Roman" w:eastAsia="宋体"/>
      <w:b/>
      <w:kern w:val="2"/>
      <w:sz w:val="36"/>
      <w:szCs w:val="24"/>
    </w:rPr>
  </w:style>
  <w:style w:type="character" w:customStyle="1" w:styleId="63">
    <w:name w:val="标题 2 字符"/>
    <w:basedOn w:val="51"/>
    <w:link w:val="7"/>
    <w:qFormat/>
    <w:locked/>
    <w:uiPriority w:val="99"/>
    <w:rPr>
      <w:rFonts w:ascii="Arial" w:hAnsi="Arial" w:eastAsia="宋体" w:cs="Arial"/>
      <w:b/>
      <w:bCs/>
      <w:kern w:val="2"/>
      <w:sz w:val="32"/>
      <w:szCs w:val="32"/>
    </w:rPr>
  </w:style>
  <w:style w:type="character" w:customStyle="1" w:styleId="64">
    <w:name w:val="标题 3 字符"/>
    <w:basedOn w:val="51"/>
    <w:link w:val="6"/>
    <w:qFormat/>
    <w:locked/>
    <w:uiPriority w:val="99"/>
    <w:rPr>
      <w:rFonts w:ascii="宋体" w:eastAsia="宋体" w:cs="宋体"/>
      <w:b/>
      <w:bCs/>
      <w:sz w:val="27"/>
      <w:szCs w:val="27"/>
    </w:rPr>
  </w:style>
  <w:style w:type="character" w:customStyle="1" w:styleId="65">
    <w:name w:val="标题 4 字符"/>
    <w:basedOn w:val="51"/>
    <w:link w:val="8"/>
    <w:qFormat/>
    <w:locked/>
    <w:uiPriority w:val="99"/>
    <w:rPr>
      <w:rFonts w:ascii="Arial" w:hAnsi="Arial" w:eastAsia="黑体" w:cs="Arial"/>
      <w:b/>
      <w:bCs/>
      <w:kern w:val="2"/>
      <w:sz w:val="28"/>
      <w:szCs w:val="28"/>
    </w:rPr>
  </w:style>
  <w:style w:type="character" w:customStyle="1" w:styleId="66">
    <w:name w:val="标题 5 字符"/>
    <w:basedOn w:val="51"/>
    <w:link w:val="9"/>
    <w:qFormat/>
    <w:locked/>
    <w:uiPriority w:val="99"/>
    <w:rPr>
      <w:b/>
      <w:bCs/>
      <w:kern w:val="2"/>
      <w:sz w:val="28"/>
      <w:szCs w:val="28"/>
    </w:rPr>
  </w:style>
  <w:style w:type="character" w:customStyle="1" w:styleId="67">
    <w:name w:val="标题 6 字符"/>
    <w:basedOn w:val="51"/>
    <w:link w:val="10"/>
    <w:qFormat/>
    <w:locked/>
    <w:uiPriority w:val="99"/>
    <w:rPr>
      <w:rFonts w:ascii="Arial" w:hAnsi="Arial" w:eastAsia="黑体" w:cs="Arial"/>
      <w:b/>
      <w:bCs/>
      <w:kern w:val="2"/>
      <w:sz w:val="24"/>
      <w:szCs w:val="24"/>
    </w:rPr>
  </w:style>
  <w:style w:type="character" w:customStyle="1" w:styleId="68">
    <w:name w:val="标题 7 字符"/>
    <w:basedOn w:val="51"/>
    <w:link w:val="11"/>
    <w:qFormat/>
    <w:locked/>
    <w:uiPriority w:val="99"/>
    <w:rPr>
      <w:b/>
      <w:bCs/>
      <w:kern w:val="2"/>
      <w:sz w:val="24"/>
      <w:szCs w:val="24"/>
    </w:rPr>
  </w:style>
  <w:style w:type="character" w:customStyle="1" w:styleId="69">
    <w:name w:val="标题 8 字符"/>
    <w:basedOn w:val="51"/>
    <w:link w:val="12"/>
    <w:qFormat/>
    <w:locked/>
    <w:uiPriority w:val="99"/>
    <w:rPr>
      <w:rFonts w:ascii="Arial" w:hAnsi="Arial" w:eastAsia="黑体" w:cs="Arial"/>
      <w:kern w:val="2"/>
      <w:sz w:val="24"/>
      <w:szCs w:val="24"/>
    </w:rPr>
  </w:style>
  <w:style w:type="character" w:customStyle="1" w:styleId="70">
    <w:name w:val="标题 9 字符"/>
    <w:basedOn w:val="51"/>
    <w:link w:val="13"/>
    <w:qFormat/>
    <w:locked/>
    <w:uiPriority w:val="99"/>
    <w:rPr>
      <w:rFonts w:ascii="Arial" w:hAnsi="Arial" w:eastAsia="黑体" w:cs="Arial"/>
      <w:kern w:val="2"/>
      <w:sz w:val="21"/>
      <w:szCs w:val="21"/>
    </w:rPr>
  </w:style>
  <w:style w:type="character" w:customStyle="1" w:styleId="71">
    <w:name w:val="批注文字 字符"/>
    <w:basedOn w:val="51"/>
    <w:link w:val="19"/>
    <w:qFormat/>
    <w:locked/>
    <w:uiPriority w:val="99"/>
    <w:rPr>
      <w:kern w:val="2"/>
      <w:sz w:val="24"/>
      <w:szCs w:val="24"/>
    </w:rPr>
  </w:style>
  <w:style w:type="character" w:customStyle="1" w:styleId="72">
    <w:name w:val="正文文本 字符"/>
    <w:basedOn w:val="51"/>
    <w:link w:val="3"/>
    <w:qFormat/>
    <w:locked/>
    <w:uiPriority w:val="99"/>
    <w:rPr>
      <w:rFonts w:ascii="宋体" w:eastAsia="宋体" w:cs="宋体"/>
      <w:kern w:val="2"/>
      <w:sz w:val="24"/>
      <w:szCs w:val="24"/>
    </w:rPr>
  </w:style>
  <w:style w:type="character" w:customStyle="1" w:styleId="73">
    <w:name w:val="纯文本 字符"/>
    <w:basedOn w:val="51"/>
    <w:link w:val="26"/>
    <w:qFormat/>
    <w:locked/>
    <w:uiPriority w:val="99"/>
    <w:rPr>
      <w:rFonts w:ascii="宋体" w:cs="宋体"/>
      <w:kern w:val="2"/>
      <w:sz w:val="21"/>
      <w:szCs w:val="21"/>
    </w:rPr>
  </w:style>
  <w:style w:type="character" w:customStyle="1" w:styleId="74">
    <w:name w:val="日期 字符"/>
    <w:basedOn w:val="51"/>
    <w:link w:val="28"/>
    <w:qFormat/>
    <w:locked/>
    <w:uiPriority w:val="99"/>
    <w:rPr>
      <w:kern w:val="2"/>
      <w:sz w:val="24"/>
      <w:szCs w:val="24"/>
    </w:rPr>
  </w:style>
  <w:style w:type="character" w:customStyle="1" w:styleId="75">
    <w:name w:val="批注框文本 字符"/>
    <w:basedOn w:val="51"/>
    <w:link w:val="30"/>
    <w:qFormat/>
    <w:locked/>
    <w:uiPriority w:val="99"/>
    <w:rPr>
      <w:kern w:val="2"/>
      <w:sz w:val="18"/>
      <w:szCs w:val="18"/>
    </w:rPr>
  </w:style>
  <w:style w:type="character" w:customStyle="1" w:styleId="76">
    <w:name w:val="页脚 字符"/>
    <w:basedOn w:val="51"/>
    <w:link w:val="31"/>
    <w:qFormat/>
    <w:locked/>
    <w:uiPriority w:val="99"/>
    <w:rPr>
      <w:kern w:val="2"/>
      <w:sz w:val="18"/>
      <w:szCs w:val="18"/>
    </w:rPr>
  </w:style>
  <w:style w:type="character" w:customStyle="1" w:styleId="77">
    <w:name w:val="页眉 字符"/>
    <w:basedOn w:val="51"/>
    <w:link w:val="32"/>
    <w:qFormat/>
    <w:locked/>
    <w:uiPriority w:val="99"/>
    <w:rPr>
      <w:kern w:val="2"/>
      <w:sz w:val="18"/>
      <w:szCs w:val="18"/>
    </w:rPr>
  </w:style>
  <w:style w:type="character" w:customStyle="1" w:styleId="78">
    <w:name w:val="脚注文本 字符"/>
    <w:basedOn w:val="51"/>
    <w:link w:val="36"/>
    <w:semiHidden/>
    <w:qFormat/>
    <w:locked/>
    <w:uiPriority w:val="99"/>
    <w:rPr>
      <w:sz w:val="18"/>
      <w:szCs w:val="18"/>
    </w:rPr>
  </w:style>
  <w:style w:type="character" w:customStyle="1" w:styleId="79">
    <w:name w:val="HTML 预设格式 字符"/>
    <w:basedOn w:val="51"/>
    <w:link w:val="43"/>
    <w:semiHidden/>
    <w:qFormat/>
    <w:locked/>
    <w:uiPriority w:val="99"/>
    <w:rPr>
      <w:rFonts w:ascii="Courier New" w:hAnsi="Courier New" w:cs="Courier New"/>
      <w:kern w:val="2"/>
    </w:rPr>
  </w:style>
  <w:style w:type="character" w:customStyle="1" w:styleId="80">
    <w:name w:val="批注主题 字符"/>
    <w:basedOn w:val="71"/>
    <w:link w:val="47"/>
    <w:qFormat/>
    <w:locked/>
    <w:uiPriority w:val="99"/>
    <w:rPr>
      <w:kern w:val="2"/>
      <w:sz w:val="24"/>
      <w:szCs w:val="24"/>
    </w:rPr>
  </w:style>
  <w:style w:type="character" w:customStyle="1" w:styleId="81">
    <w:name w:val="正文文本缩进 字符"/>
    <w:basedOn w:val="51"/>
    <w:link w:val="21"/>
    <w:qFormat/>
    <w:locked/>
    <w:uiPriority w:val="99"/>
    <w:rPr>
      <w:kern w:val="2"/>
      <w:sz w:val="24"/>
      <w:szCs w:val="24"/>
    </w:rPr>
  </w:style>
  <w:style w:type="character" w:customStyle="1" w:styleId="82">
    <w:name w:val="正文首行缩进 2 字符"/>
    <w:basedOn w:val="81"/>
    <w:link w:val="48"/>
    <w:semiHidden/>
    <w:qFormat/>
    <w:locked/>
    <w:uiPriority w:val="99"/>
    <w:rPr>
      <w:kern w:val="2"/>
      <w:sz w:val="21"/>
      <w:szCs w:val="21"/>
    </w:rPr>
  </w:style>
  <w:style w:type="character" w:customStyle="1" w:styleId="83">
    <w:name w:val="正文4 Char"/>
    <w:link w:val="84"/>
    <w:qFormat/>
    <w:locked/>
    <w:uiPriority w:val="99"/>
    <w:rPr>
      <w:rFonts w:eastAsia="宋体"/>
      <w:kern w:val="2"/>
      <w:sz w:val="28"/>
      <w:szCs w:val="28"/>
      <w:lang w:val="en-US" w:eastAsia="zh-CN"/>
    </w:rPr>
  </w:style>
  <w:style w:type="paragraph" w:customStyle="1" w:styleId="84">
    <w:name w:val="正文4"/>
    <w:basedOn w:val="1"/>
    <w:link w:val="83"/>
    <w:qFormat/>
    <w:uiPriority w:val="99"/>
    <w:pPr>
      <w:ind w:firstLine="630"/>
    </w:pPr>
    <w:rPr>
      <w:sz w:val="28"/>
      <w:szCs w:val="28"/>
    </w:rPr>
  </w:style>
  <w:style w:type="character" w:customStyle="1" w:styleId="85">
    <w:name w:val="fontstyle61"/>
    <w:qFormat/>
    <w:uiPriority w:val="99"/>
    <w:rPr>
      <w:rFonts w:ascii="Times New Roman" w:hAnsi="Times New Roman" w:cs="Times New Roman"/>
      <w:color w:val="000000"/>
      <w:sz w:val="24"/>
      <w:szCs w:val="24"/>
    </w:rPr>
  </w:style>
  <w:style w:type="character" w:customStyle="1" w:styleId="86">
    <w:name w:val="fontstyle31"/>
    <w:qFormat/>
    <w:uiPriority w:val="99"/>
    <w:rPr>
      <w:rFonts w:ascii="宋体" w:hAnsi="宋体" w:eastAsia="宋体" w:cs="宋体"/>
      <w:color w:val="000000"/>
      <w:sz w:val="72"/>
      <w:szCs w:val="72"/>
    </w:rPr>
  </w:style>
  <w:style w:type="paragraph" w:customStyle="1" w:styleId="87">
    <w:name w:val="_Style 2"/>
    <w:basedOn w:val="1"/>
    <w:qFormat/>
    <w:uiPriority w:val="99"/>
    <w:pPr>
      <w:ind w:left="238" w:firstLine="560"/>
    </w:pPr>
    <w:rPr>
      <w:rFonts w:ascii="宋体" w:hAnsi="宋体" w:cs="宋体"/>
      <w:lang w:val="zh-CN"/>
    </w:rPr>
  </w:style>
  <w:style w:type="paragraph" w:customStyle="1" w:styleId="88">
    <w:name w:val="正文2"/>
    <w:basedOn w:val="1"/>
    <w:qFormat/>
    <w:uiPriority w:val="99"/>
    <w:pPr>
      <w:ind w:firstLine="735"/>
    </w:pPr>
    <w:rPr>
      <w:b/>
      <w:bCs/>
      <w:sz w:val="32"/>
      <w:szCs w:val="32"/>
    </w:rPr>
  </w:style>
  <w:style w:type="paragraph" w:customStyle="1" w:styleId="89">
    <w:name w:val="Char"/>
    <w:basedOn w:val="1"/>
    <w:qFormat/>
    <w:uiPriority w:val="99"/>
    <w:pPr>
      <w:adjustRightInd w:val="0"/>
      <w:snapToGrid w:val="0"/>
      <w:ind w:firstLine="200"/>
      <w:jc w:val="left"/>
    </w:pPr>
  </w:style>
  <w:style w:type="paragraph" w:customStyle="1" w:styleId="90">
    <w:name w:val="正文1"/>
    <w:basedOn w:val="1"/>
    <w:qFormat/>
    <w:uiPriority w:val="99"/>
    <w:pPr>
      <w:jc w:val="center"/>
    </w:pPr>
    <w:rPr>
      <w:b/>
      <w:bCs/>
      <w:sz w:val="44"/>
      <w:szCs w:val="44"/>
    </w:rPr>
  </w:style>
  <w:style w:type="paragraph" w:customStyle="1" w:styleId="91">
    <w:name w:val="正文3"/>
    <w:basedOn w:val="1"/>
    <w:qFormat/>
    <w:uiPriority w:val="99"/>
    <w:pPr>
      <w:ind w:firstLine="735"/>
    </w:pPr>
    <w:rPr>
      <w:b/>
      <w:bCs/>
      <w:sz w:val="30"/>
      <w:szCs w:val="30"/>
    </w:rPr>
  </w:style>
  <w:style w:type="paragraph" w:customStyle="1" w:styleId="92">
    <w:name w:val="Char Char Char Char Char Char1 Char"/>
    <w:basedOn w:val="1"/>
    <w:qFormat/>
    <w:uiPriority w:val="99"/>
    <w:pPr>
      <w:widowControl/>
      <w:spacing w:after="160" w:line="240" w:lineRule="exact"/>
      <w:jc w:val="left"/>
    </w:pPr>
  </w:style>
  <w:style w:type="paragraph" w:customStyle="1" w:styleId="93">
    <w:name w:val="TOC 标题1"/>
    <w:basedOn w:val="5"/>
    <w:next w:val="1"/>
    <w:semiHidden/>
    <w:qFormat/>
    <w:uiPriority w:val="99"/>
    <w:pPr>
      <w:keepLines/>
      <w:widowControl/>
      <w:spacing w:before="480" w:line="276" w:lineRule="auto"/>
      <w:outlineLvl w:val="9"/>
    </w:pPr>
    <w:rPr>
      <w:rFonts w:ascii="Cambria" w:hAnsi="Cambria" w:cs="Cambria"/>
      <w:color w:val="365F91"/>
      <w:sz w:val="28"/>
      <w:szCs w:val="28"/>
    </w:rPr>
  </w:style>
  <w:style w:type="paragraph" w:customStyle="1" w:styleId="94">
    <w:name w:val="修订1"/>
    <w:hidden/>
    <w:qFormat/>
    <w:uiPriority w:val="99"/>
    <w:rPr>
      <w:rFonts w:ascii="Times New Roman" w:hAnsi="Times New Roman" w:eastAsia="宋体" w:cs="Times New Roman"/>
      <w:kern w:val="2"/>
      <w:sz w:val="21"/>
      <w:szCs w:val="21"/>
      <w:lang w:val="en-US" w:eastAsia="zh-CN" w:bidi="ar-SA"/>
    </w:rPr>
  </w:style>
  <w:style w:type="paragraph" w:customStyle="1" w:styleId="95">
    <w:name w:val="Char Char Char Char Char Char1 Char2"/>
    <w:basedOn w:val="1"/>
    <w:qFormat/>
    <w:uiPriority w:val="99"/>
    <w:pPr>
      <w:widowControl/>
      <w:spacing w:after="160" w:line="240" w:lineRule="exact"/>
      <w:jc w:val="left"/>
    </w:pPr>
  </w:style>
  <w:style w:type="character" w:customStyle="1" w:styleId="96">
    <w:name w:val="yongri_newsarticles_title1"/>
    <w:qFormat/>
    <w:uiPriority w:val="99"/>
    <w:rPr>
      <w:rFonts w:ascii="Tahoma" w:hAnsi="Tahoma" w:cs="Tahoma"/>
      <w:b/>
      <w:bCs/>
      <w:sz w:val="32"/>
      <w:szCs w:val="32"/>
    </w:rPr>
  </w:style>
  <w:style w:type="character" w:customStyle="1" w:styleId="97">
    <w:name w:val="正文4 Char Char"/>
    <w:qFormat/>
    <w:uiPriority w:val="99"/>
    <w:rPr>
      <w:rFonts w:eastAsia="宋体"/>
      <w:kern w:val="2"/>
      <w:sz w:val="28"/>
      <w:szCs w:val="28"/>
      <w:lang w:val="en-US" w:eastAsia="zh-CN"/>
    </w:rPr>
  </w:style>
  <w:style w:type="character" w:customStyle="1" w:styleId="98">
    <w:name w:val="正文文本缩进 2 字符"/>
    <w:basedOn w:val="51"/>
    <w:link w:val="29"/>
    <w:qFormat/>
    <w:locked/>
    <w:uiPriority w:val="99"/>
    <w:rPr>
      <w:kern w:val="2"/>
      <w:sz w:val="24"/>
      <w:szCs w:val="24"/>
    </w:rPr>
  </w:style>
  <w:style w:type="paragraph" w:customStyle="1" w:styleId="99">
    <w:name w:val="reader-word-layer reader-word-s1-14"/>
    <w:basedOn w:val="1"/>
    <w:qFormat/>
    <w:uiPriority w:val="99"/>
    <w:pPr>
      <w:widowControl/>
      <w:spacing w:before="100" w:beforeAutospacing="1" w:after="100" w:afterAutospacing="1"/>
      <w:jc w:val="left"/>
    </w:pPr>
    <w:rPr>
      <w:rFonts w:ascii="宋体" w:hAnsi="宋体" w:cs="宋体"/>
      <w:kern w:val="0"/>
      <w:szCs w:val="24"/>
    </w:rPr>
  </w:style>
  <w:style w:type="paragraph" w:styleId="100">
    <w:name w:val="List Paragraph"/>
    <w:basedOn w:val="1"/>
    <w:qFormat/>
    <w:uiPriority w:val="99"/>
    <w:pPr>
      <w:ind w:firstLine="420" w:firstLineChars="200"/>
    </w:pPr>
  </w:style>
  <w:style w:type="paragraph" w:customStyle="1" w:styleId="101">
    <w:name w:val="Char Char Char Char Char Char1 Char1"/>
    <w:basedOn w:val="1"/>
    <w:qFormat/>
    <w:uiPriority w:val="99"/>
    <w:pPr>
      <w:widowControl/>
      <w:spacing w:after="160" w:line="240" w:lineRule="exact"/>
      <w:jc w:val="left"/>
    </w:pPr>
  </w:style>
  <w:style w:type="paragraph" w:customStyle="1" w:styleId="102">
    <w:name w:val="Char Char Char Char"/>
    <w:basedOn w:val="1"/>
    <w:qFormat/>
    <w:uiPriority w:val="99"/>
    <w:pPr>
      <w:tabs>
        <w:tab w:val="left" w:pos="360"/>
      </w:tabs>
      <w:ind w:firstLine="482"/>
    </w:pPr>
    <w:rPr>
      <w:rFonts w:ascii="Tahoma" w:hAnsi="Tahoma" w:eastAsia="黑体" w:cs="Tahoma"/>
      <w:sz w:val="28"/>
      <w:szCs w:val="28"/>
    </w:rPr>
  </w:style>
  <w:style w:type="paragraph" w:customStyle="1" w:styleId="103">
    <w:name w:val="reader-word-layer reader-word-s2-3"/>
    <w:basedOn w:val="1"/>
    <w:qFormat/>
    <w:uiPriority w:val="99"/>
    <w:pPr>
      <w:widowControl/>
      <w:spacing w:before="100" w:beforeAutospacing="1" w:after="100" w:afterAutospacing="1"/>
      <w:jc w:val="left"/>
    </w:pPr>
    <w:rPr>
      <w:rFonts w:ascii="宋体" w:hAnsi="宋体" w:cs="宋体"/>
      <w:kern w:val="0"/>
      <w:szCs w:val="24"/>
    </w:rPr>
  </w:style>
  <w:style w:type="character" w:customStyle="1" w:styleId="104">
    <w:name w:val="标题5 Char Char"/>
    <w:link w:val="105"/>
    <w:qFormat/>
    <w:locked/>
    <w:uiPriority w:val="99"/>
    <w:rPr>
      <w:rFonts w:ascii="Arial" w:hAnsi="Arial" w:cs="Arial"/>
      <w:b/>
      <w:bCs/>
      <w:sz w:val="32"/>
      <w:szCs w:val="32"/>
    </w:rPr>
  </w:style>
  <w:style w:type="paragraph" w:customStyle="1" w:styleId="105">
    <w:name w:val="标题5"/>
    <w:basedOn w:val="6"/>
    <w:link w:val="104"/>
    <w:qFormat/>
    <w:uiPriority w:val="99"/>
    <w:pPr>
      <w:keepNext/>
      <w:keepLines/>
      <w:spacing w:before="260" w:beforeAutospacing="0" w:after="260" w:afterAutospacing="0" w:line="413" w:lineRule="auto"/>
      <w:jc w:val="both"/>
    </w:pPr>
    <w:rPr>
      <w:rFonts w:ascii="Arial" w:hAnsi="Arial" w:cs="Arial"/>
      <w:sz w:val="32"/>
      <w:szCs w:val="32"/>
    </w:rPr>
  </w:style>
  <w:style w:type="character" w:customStyle="1" w:styleId="106">
    <w:name w:val="Quote Char"/>
    <w:qFormat/>
    <w:locked/>
    <w:uiPriority w:val="99"/>
    <w:rPr>
      <w:i/>
      <w:iCs/>
      <w:color w:val="000000"/>
      <w:kern w:val="2"/>
      <w:sz w:val="22"/>
      <w:szCs w:val="22"/>
    </w:rPr>
  </w:style>
  <w:style w:type="character" w:customStyle="1" w:styleId="107">
    <w:name w:val="文档结构图 Char1"/>
    <w:qFormat/>
    <w:uiPriority w:val="99"/>
    <w:rPr>
      <w:rFonts w:ascii="宋体" w:hAnsi="Times New Roman" w:eastAsia="宋体" w:cs="宋体"/>
      <w:kern w:val="2"/>
      <w:sz w:val="18"/>
      <w:szCs w:val="18"/>
    </w:rPr>
  </w:style>
  <w:style w:type="character" w:customStyle="1" w:styleId="108">
    <w:name w:val="textcontents"/>
    <w:qFormat/>
    <w:uiPriority w:val="99"/>
    <w:rPr>
      <w:rFonts w:ascii="Times New Roman" w:hAnsi="Times New Roman" w:eastAsia="宋体" w:cs="Times New Roman"/>
    </w:rPr>
  </w:style>
  <w:style w:type="character" w:customStyle="1" w:styleId="109">
    <w:name w:val="批注文字 Char Char"/>
    <w:qFormat/>
    <w:uiPriority w:val="99"/>
    <w:rPr>
      <w:rFonts w:ascii="宋体" w:hAnsi="Times New Roman" w:eastAsia="宋体" w:cs="宋体"/>
      <w:sz w:val="20"/>
      <w:szCs w:val="20"/>
    </w:rPr>
  </w:style>
  <w:style w:type="character" w:customStyle="1" w:styleId="110">
    <w:name w:val="日期 Char1"/>
    <w:qFormat/>
    <w:uiPriority w:val="99"/>
    <w:rPr>
      <w:rFonts w:ascii="Times New Roman" w:hAnsi="Times New Roman" w:eastAsia="宋体" w:cs="Times New Roman"/>
      <w:kern w:val="2"/>
      <w:sz w:val="22"/>
      <w:szCs w:val="22"/>
    </w:rPr>
  </w:style>
  <w:style w:type="character" w:customStyle="1" w:styleId="111">
    <w:name w:val="不明显参考1"/>
    <w:basedOn w:val="51"/>
    <w:qFormat/>
    <w:uiPriority w:val="99"/>
    <w:rPr>
      <w:rFonts w:ascii="Times New Roman" w:hAnsi="Times New Roman" w:eastAsia="宋体" w:cs="Times New Roman"/>
      <w:smallCaps/>
      <w:color w:val="auto"/>
      <w:u w:val="single"/>
    </w:rPr>
  </w:style>
  <w:style w:type="character" w:customStyle="1" w:styleId="112">
    <w:name w:val="Char Char18"/>
    <w:qFormat/>
    <w:uiPriority w:val="99"/>
    <w:rPr>
      <w:rFonts w:ascii="Calibri" w:hAnsi="Calibri" w:eastAsia="宋体" w:cs="Calibri"/>
      <w:b/>
      <w:bCs/>
      <w:kern w:val="44"/>
      <w:sz w:val="44"/>
      <w:szCs w:val="44"/>
      <w:lang w:val="en-US" w:eastAsia="zh-CN"/>
    </w:rPr>
  </w:style>
  <w:style w:type="character" w:customStyle="1" w:styleId="113">
    <w:name w:val="书籍标题1"/>
    <w:basedOn w:val="51"/>
    <w:qFormat/>
    <w:uiPriority w:val="99"/>
    <w:rPr>
      <w:rFonts w:ascii="Times New Roman" w:hAnsi="Times New Roman" w:eastAsia="宋体" w:cs="Times New Roman"/>
      <w:b/>
      <w:bCs/>
      <w:smallCaps/>
      <w:spacing w:val="5"/>
    </w:rPr>
  </w:style>
  <w:style w:type="character" w:customStyle="1" w:styleId="114">
    <w:name w:val="Intense Quote Char"/>
    <w:qFormat/>
    <w:locked/>
    <w:uiPriority w:val="99"/>
    <w:rPr>
      <w:b/>
      <w:bCs/>
      <w:i/>
      <w:iCs/>
      <w:color w:val="4F81BD"/>
      <w:kern w:val="2"/>
      <w:sz w:val="22"/>
      <w:szCs w:val="22"/>
    </w:rPr>
  </w:style>
  <w:style w:type="character" w:customStyle="1" w:styleId="115">
    <w:name w:val="Char Char7"/>
    <w:qFormat/>
    <w:uiPriority w:val="99"/>
    <w:rPr>
      <w:rFonts w:ascii="宋体" w:hAnsi="Courier New" w:eastAsia="宋体" w:cs="宋体"/>
      <w:kern w:val="2"/>
      <w:sz w:val="21"/>
      <w:szCs w:val="21"/>
    </w:rPr>
  </w:style>
  <w:style w:type="character" w:customStyle="1" w:styleId="116">
    <w:name w:val="不明显强调1"/>
    <w:basedOn w:val="51"/>
    <w:qFormat/>
    <w:uiPriority w:val="99"/>
    <w:rPr>
      <w:rFonts w:ascii="Times New Roman" w:hAnsi="Times New Roman" w:eastAsia="宋体" w:cs="Times New Roman"/>
      <w:i/>
      <w:iCs/>
      <w:color w:val="808080"/>
    </w:rPr>
  </w:style>
  <w:style w:type="character" w:customStyle="1" w:styleId="117">
    <w:name w:val="正文文本 Char1"/>
    <w:qFormat/>
    <w:uiPriority w:val="99"/>
    <w:rPr>
      <w:rFonts w:ascii="Times New Roman" w:hAnsi="Times New Roman" w:eastAsia="宋体" w:cs="Times New Roman"/>
      <w:kern w:val="2"/>
      <w:sz w:val="22"/>
      <w:szCs w:val="22"/>
    </w:rPr>
  </w:style>
  <w:style w:type="character" w:customStyle="1" w:styleId="118">
    <w:name w:val="Char Char3"/>
    <w:qFormat/>
    <w:uiPriority w:val="99"/>
    <w:rPr>
      <w:rFonts w:ascii="Times New Roman" w:hAnsi="Times New Roman" w:eastAsia="宋体" w:cs="Times New Roman"/>
      <w:kern w:val="2"/>
      <w:sz w:val="18"/>
      <w:szCs w:val="18"/>
    </w:rPr>
  </w:style>
  <w:style w:type="character" w:customStyle="1" w:styleId="119">
    <w:name w:val="标题4 Char Char"/>
    <w:link w:val="120"/>
    <w:qFormat/>
    <w:locked/>
    <w:uiPriority w:val="99"/>
    <w:rPr>
      <w:rFonts w:ascii="Arial" w:hAnsi="Arial" w:cs="Arial"/>
      <w:b/>
      <w:bCs/>
      <w:sz w:val="32"/>
      <w:szCs w:val="32"/>
    </w:rPr>
  </w:style>
  <w:style w:type="paragraph" w:customStyle="1" w:styleId="120">
    <w:name w:val="标题4"/>
    <w:basedOn w:val="7"/>
    <w:next w:val="23"/>
    <w:link w:val="119"/>
    <w:qFormat/>
    <w:uiPriority w:val="99"/>
    <w:pPr>
      <w:spacing w:line="413" w:lineRule="auto"/>
    </w:pPr>
    <w:rPr>
      <w:kern w:val="0"/>
    </w:rPr>
  </w:style>
  <w:style w:type="character" w:customStyle="1" w:styleId="121">
    <w:name w:val="font5 Char Char"/>
    <w:link w:val="122"/>
    <w:qFormat/>
    <w:locked/>
    <w:uiPriority w:val="99"/>
    <w:rPr>
      <w:rFonts w:ascii="宋体" w:eastAsia="宋体" w:cs="宋体"/>
      <w:sz w:val="24"/>
      <w:szCs w:val="24"/>
    </w:rPr>
  </w:style>
  <w:style w:type="paragraph" w:customStyle="1" w:styleId="122">
    <w:name w:val="font5"/>
    <w:basedOn w:val="1"/>
    <w:link w:val="121"/>
    <w:qFormat/>
    <w:uiPriority w:val="99"/>
    <w:pPr>
      <w:widowControl/>
      <w:spacing w:before="100" w:beforeAutospacing="1" w:after="100" w:afterAutospacing="1"/>
      <w:jc w:val="left"/>
    </w:pPr>
    <w:rPr>
      <w:rFonts w:ascii="宋体" w:cs="宋体"/>
      <w:kern w:val="0"/>
      <w:szCs w:val="24"/>
    </w:rPr>
  </w:style>
  <w:style w:type="character" w:customStyle="1" w:styleId="123">
    <w:name w:val="Document Map Char"/>
    <w:qFormat/>
    <w:locked/>
    <w:uiPriority w:val="99"/>
    <w:rPr>
      <w:kern w:val="2"/>
      <w:sz w:val="24"/>
      <w:szCs w:val="24"/>
      <w:shd w:val="clear" w:color="auto" w:fill="000080"/>
    </w:rPr>
  </w:style>
  <w:style w:type="character" w:customStyle="1" w:styleId="124">
    <w:name w:val="明显参考1"/>
    <w:basedOn w:val="51"/>
    <w:qFormat/>
    <w:uiPriority w:val="99"/>
    <w:rPr>
      <w:rFonts w:ascii="Times New Roman" w:hAnsi="Times New Roman" w:eastAsia="宋体" w:cs="Times New Roman"/>
      <w:b/>
      <w:bCs/>
      <w:smallCaps/>
      <w:color w:val="auto"/>
      <w:spacing w:val="5"/>
      <w:u w:val="single"/>
    </w:rPr>
  </w:style>
  <w:style w:type="character" w:customStyle="1" w:styleId="125">
    <w:name w:val="Char Char17"/>
    <w:qFormat/>
    <w:uiPriority w:val="99"/>
    <w:rPr>
      <w:rFonts w:ascii="Cambria" w:hAnsi="Cambria" w:eastAsia="宋体" w:cs="Cambria"/>
      <w:b/>
      <w:bCs/>
      <w:kern w:val="2"/>
      <w:sz w:val="32"/>
      <w:szCs w:val="32"/>
      <w:lang w:val="en-US" w:eastAsia="zh-CN"/>
    </w:rPr>
  </w:style>
  <w:style w:type="character" w:customStyle="1" w:styleId="126">
    <w:name w:val="Char Char1"/>
    <w:qFormat/>
    <w:uiPriority w:val="99"/>
    <w:rPr>
      <w:rFonts w:ascii="Times New Roman" w:hAnsi="Times New Roman" w:eastAsia="宋体" w:cs="Times New Roman"/>
      <w:kern w:val="2"/>
      <w:sz w:val="18"/>
      <w:szCs w:val="18"/>
    </w:rPr>
  </w:style>
  <w:style w:type="character" w:customStyle="1" w:styleId="127">
    <w:name w:val="Plain Text Char2"/>
    <w:semiHidden/>
    <w:qFormat/>
    <w:locked/>
    <w:uiPriority w:val="99"/>
    <w:rPr>
      <w:rFonts w:ascii="Courier New" w:hAnsi="Courier New" w:eastAsia="宋体" w:cs="Courier New"/>
      <w:lang w:val="en-US" w:eastAsia="zh-CN"/>
    </w:rPr>
  </w:style>
  <w:style w:type="character" w:customStyle="1" w:styleId="128">
    <w:name w:val="批注框文本 Char1"/>
    <w:qFormat/>
    <w:uiPriority w:val="99"/>
    <w:rPr>
      <w:rFonts w:ascii="Times New Roman" w:hAnsi="Times New Roman" w:eastAsia="宋体" w:cs="Times New Roman"/>
      <w:kern w:val="2"/>
      <w:sz w:val="18"/>
      <w:szCs w:val="18"/>
    </w:rPr>
  </w:style>
  <w:style w:type="character" w:customStyle="1" w:styleId="129">
    <w:name w:val="Char Char6"/>
    <w:qFormat/>
    <w:uiPriority w:val="99"/>
    <w:rPr>
      <w:rFonts w:ascii="Times New Roman" w:hAnsi="Times New Roman" w:eastAsia="宋体" w:cs="Times New Roman"/>
      <w:kern w:val="2"/>
      <w:sz w:val="18"/>
      <w:szCs w:val="18"/>
    </w:rPr>
  </w:style>
  <w:style w:type="character" w:customStyle="1" w:styleId="130">
    <w:name w:val="font161"/>
    <w:qFormat/>
    <w:uiPriority w:val="99"/>
    <w:rPr>
      <w:rFonts w:ascii="Arial" w:hAnsi="Arial" w:eastAsia="黑体" w:cs="Arial"/>
      <w:b/>
      <w:bCs/>
      <w:kern w:val="2"/>
      <w:sz w:val="32"/>
      <w:szCs w:val="32"/>
      <w:lang w:val="en-US" w:eastAsia="zh-CN"/>
    </w:rPr>
  </w:style>
  <w:style w:type="character" w:customStyle="1" w:styleId="131">
    <w:name w:val="明显强调1"/>
    <w:basedOn w:val="51"/>
    <w:qFormat/>
    <w:uiPriority w:val="99"/>
    <w:rPr>
      <w:rFonts w:ascii="Times New Roman" w:hAnsi="Times New Roman" w:eastAsia="宋体" w:cs="Times New Roman"/>
      <w:b/>
      <w:bCs/>
      <w:i/>
      <w:iCs/>
      <w:color w:val="4F81BD"/>
    </w:rPr>
  </w:style>
  <w:style w:type="character" w:customStyle="1" w:styleId="132">
    <w:name w:val="批注主题 Char1"/>
    <w:qFormat/>
    <w:uiPriority w:val="99"/>
    <w:rPr>
      <w:rFonts w:ascii="Times New Roman" w:hAnsi="Times New Roman" w:eastAsia="宋体" w:cs="Times New Roman"/>
      <w:b/>
      <w:bCs/>
      <w:kern w:val="2"/>
      <w:sz w:val="22"/>
      <w:szCs w:val="22"/>
    </w:rPr>
  </w:style>
  <w:style w:type="character" w:customStyle="1" w:styleId="133">
    <w:name w:val="Subtitle Char"/>
    <w:qFormat/>
    <w:locked/>
    <w:uiPriority w:val="99"/>
    <w:rPr>
      <w:rFonts w:ascii="Cambria" w:hAnsi="Cambria" w:cs="Cambria"/>
      <w:b/>
      <w:bCs/>
      <w:kern w:val="28"/>
      <w:sz w:val="32"/>
      <w:szCs w:val="32"/>
    </w:rPr>
  </w:style>
  <w:style w:type="character" w:customStyle="1" w:styleId="134">
    <w:name w:val="纯文本 Char1"/>
    <w:semiHidden/>
    <w:qFormat/>
    <w:uiPriority w:val="99"/>
    <w:rPr>
      <w:rFonts w:ascii="宋体" w:hAnsi="Courier New" w:eastAsia="宋体" w:cs="宋体"/>
      <w:kern w:val="2"/>
      <w:sz w:val="21"/>
      <w:szCs w:val="21"/>
    </w:rPr>
  </w:style>
  <w:style w:type="character" w:customStyle="1" w:styleId="135">
    <w:name w:val="标题 字符"/>
    <w:basedOn w:val="51"/>
    <w:link w:val="46"/>
    <w:qFormat/>
    <w:locked/>
    <w:uiPriority w:val="99"/>
    <w:rPr>
      <w:rFonts w:ascii="Arial" w:hAnsi="Arial" w:cs="Arial"/>
      <w:b/>
      <w:bCs/>
      <w:sz w:val="32"/>
      <w:szCs w:val="32"/>
    </w:rPr>
  </w:style>
  <w:style w:type="character" w:customStyle="1" w:styleId="136">
    <w:name w:val="正文文本缩进 3 字符"/>
    <w:basedOn w:val="51"/>
    <w:link w:val="38"/>
    <w:qFormat/>
    <w:locked/>
    <w:uiPriority w:val="99"/>
    <w:rPr>
      <w:kern w:val="2"/>
      <w:sz w:val="16"/>
      <w:szCs w:val="16"/>
    </w:rPr>
  </w:style>
  <w:style w:type="character" w:customStyle="1" w:styleId="137">
    <w:name w:val="正文文本 3 字符"/>
    <w:basedOn w:val="51"/>
    <w:link w:val="20"/>
    <w:qFormat/>
    <w:locked/>
    <w:uiPriority w:val="99"/>
    <w:rPr>
      <w:rFonts w:ascii="宋体" w:cs="宋体"/>
      <w:kern w:val="2"/>
      <w:sz w:val="24"/>
      <w:szCs w:val="24"/>
    </w:rPr>
  </w:style>
  <w:style w:type="character" w:customStyle="1" w:styleId="138">
    <w:name w:val="文档结构图 字符"/>
    <w:basedOn w:val="51"/>
    <w:link w:val="18"/>
    <w:semiHidden/>
    <w:qFormat/>
    <w:locked/>
    <w:uiPriority w:val="99"/>
    <w:rPr>
      <w:sz w:val="2"/>
      <w:szCs w:val="2"/>
    </w:rPr>
  </w:style>
  <w:style w:type="character" w:customStyle="1" w:styleId="139">
    <w:name w:val="文档结构图 Char2"/>
    <w:basedOn w:val="51"/>
    <w:qFormat/>
    <w:uiPriority w:val="99"/>
    <w:rPr>
      <w:rFonts w:ascii="宋体" w:cs="宋体"/>
      <w:kern w:val="2"/>
      <w:sz w:val="18"/>
      <w:szCs w:val="18"/>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character" w:customStyle="1" w:styleId="141">
    <w:name w:val="正文文本 Char2"/>
    <w:semiHidden/>
    <w:qFormat/>
    <w:uiPriority w:val="99"/>
    <w:rPr>
      <w:rFonts w:ascii="Times New Roman" w:hAnsi="Times New Roman" w:eastAsia="宋体" w:cs="Times New Roman"/>
      <w:kern w:val="2"/>
      <w:sz w:val="24"/>
      <w:szCs w:val="24"/>
    </w:rPr>
  </w:style>
  <w:style w:type="character" w:customStyle="1" w:styleId="142">
    <w:name w:val="批注框文本 Char2"/>
    <w:semiHidden/>
    <w:qFormat/>
    <w:uiPriority w:val="99"/>
    <w:rPr>
      <w:rFonts w:ascii="Times New Roman" w:hAnsi="Times New Roman" w:eastAsia="宋体" w:cs="Times New Roman"/>
      <w:kern w:val="2"/>
      <w:sz w:val="18"/>
      <w:szCs w:val="18"/>
    </w:rPr>
  </w:style>
  <w:style w:type="paragraph" w:customStyle="1" w:styleId="143">
    <w:name w:val="Char Char2 Char"/>
    <w:basedOn w:val="1"/>
    <w:qFormat/>
    <w:uiPriority w:val="99"/>
    <w:rPr>
      <w:kern w:val="0"/>
      <w:sz w:val="20"/>
      <w:szCs w:val="20"/>
    </w:rPr>
  </w:style>
  <w:style w:type="character" w:customStyle="1" w:styleId="144">
    <w:name w:val="批注文字 Char1"/>
    <w:semiHidden/>
    <w:qFormat/>
    <w:uiPriority w:val="99"/>
    <w:rPr>
      <w:rFonts w:ascii="Times New Roman" w:hAnsi="Times New Roman" w:eastAsia="宋体" w:cs="Times New Roman"/>
      <w:kern w:val="2"/>
      <w:sz w:val="24"/>
      <w:szCs w:val="24"/>
    </w:rPr>
  </w:style>
  <w:style w:type="character" w:customStyle="1" w:styleId="145">
    <w:name w:val="批注主题 Char2"/>
    <w:semiHidden/>
    <w:qFormat/>
    <w:uiPriority w:val="99"/>
    <w:rPr>
      <w:rFonts w:ascii="Times New Roman" w:hAnsi="Times New Roman" w:eastAsia="宋体" w:cs="Times New Roman"/>
      <w:b/>
      <w:bCs/>
      <w:kern w:val="2"/>
      <w:sz w:val="24"/>
      <w:szCs w:val="24"/>
    </w:rPr>
  </w:style>
  <w:style w:type="character" w:customStyle="1" w:styleId="146">
    <w:name w:val="正文文本 2 字符"/>
    <w:basedOn w:val="51"/>
    <w:link w:val="41"/>
    <w:qFormat/>
    <w:locked/>
    <w:uiPriority w:val="99"/>
    <w:rPr>
      <w:kern w:val="2"/>
      <w:sz w:val="24"/>
      <w:szCs w:val="24"/>
    </w:rPr>
  </w:style>
  <w:style w:type="character" w:customStyle="1" w:styleId="147">
    <w:name w:val="副标题 字符"/>
    <w:basedOn w:val="51"/>
    <w:link w:val="35"/>
    <w:qFormat/>
    <w:locked/>
    <w:uiPriority w:val="99"/>
    <w:rPr>
      <w:rFonts w:ascii="Cambria" w:hAnsi="Cambria" w:cs="Cambria"/>
      <w:b/>
      <w:bCs/>
      <w:kern w:val="28"/>
      <w:sz w:val="32"/>
      <w:szCs w:val="32"/>
    </w:rPr>
  </w:style>
  <w:style w:type="character" w:customStyle="1" w:styleId="148">
    <w:name w:val="副标题 Char1"/>
    <w:basedOn w:val="51"/>
    <w:qFormat/>
    <w:uiPriority w:val="99"/>
    <w:rPr>
      <w:rFonts w:ascii="Cambria" w:hAnsi="Cambria" w:cs="Cambria"/>
      <w:b/>
      <w:bCs/>
      <w:kern w:val="28"/>
      <w:sz w:val="32"/>
      <w:szCs w:val="32"/>
    </w:rPr>
  </w:style>
  <w:style w:type="character" w:customStyle="1" w:styleId="149">
    <w:name w:val="页眉 Char1"/>
    <w:semiHidden/>
    <w:qFormat/>
    <w:uiPriority w:val="99"/>
    <w:rPr>
      <w:rFonts w:ascii="Times New Roman" w:hAnsi="Times New Roman" w:eastAsia="宋体" w:cs="Times New Roman"/>
      <w:kern w:val="2"/>
      <w:sz w:val="18"/>
      <w:szCs w:val="18"/>
    </w:rPr>
  </w:style>
  <w:style w:type="character" w:customStyle="1" w:styleId="150">
    <w:name w:val="页脚 Char1"/>
    <w:semiHidden/>
    <w:qFormat/>
    <w:uiPriority w:val="99"/>
    <w:rPr>
      <w:rFonts w:ascii="Times New Roman" w:hAnsi="Times New Roman" w:eastAsia="宋体" w:cs="Times New Roman"/>
      <w:kern w:val="2"/>
      <w:sz w:val="18"/>
      <w:szCs w:val="18"/>
    </w:rPr>
  </w:style>
  <w:style w:type="paragraph" w:customStyle="1" w:styleId="151">
    <w:name w:val="修订2"/>
    <w:qFormat/>
    <w:uiPriority w:val="99"/>
    <w:rPr>
      <w:rFonts w:ascii="Times New Roman" w:hAnsi="Times New Roman" w:eastAsia="宋体" w:cs="Times New Roman"/>
      <w:kern w:val="2"/>
      <w:sz w:val="21"/>
      <w:szCs w:val="21"/>
      <w:lang w:val="en-US" w:eastAsia="zh-CN" w:bidi="ar-SA"/>
    </w:rPr>
  </w:style>
  <w:style w:type="paragraph" w:customStyle="1" w:styleId="152">
    <w:name w:val="表格文字"/>
    <w:basedOn w:val="1"/>
    <w:qFormat/>
    <w:uiPriority w:val="99"/>
    <w:pPr>
      <w:adjustRightInd w:val="0"/>
      <w:spacing w:line="420" w:lineRule="atLeast"/>
      <w:jc w:val="left"/>
      <w:textAlignment w:val="baseline"/>
    </w:pPr>
    <w:rPr>
      <w:kern w:val="0"/>
    </w:rPr>
  </w:style>
  <w:style w:type="paragraph" w:customStyle="1" w:styleId="153">
    <w:name w:val="font7"/>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154">
    <w:name w:val="Char Char Char Char Char Char Char Char Char1 Char Char Char Char Char Char Char Char Char Char Char Char Char"/>
    <w:basedOn w:val="5"/>
    <w:qFormat/>
    <w:uiPriority w:val="99"/>
    <w:pPr>
      <w:keepLines/>
      <w:snapToGrid w:val="0"/>
      <w:spacing w:before="240" w:after="240" w:line="348" w:lineRule="auto"/>
    </w:pPr>
    <w:rPr>
      <w:kern w:val="44"/>
      <w:sz w:val="44"/>
      <w:szCs w:val="44"/>
    </w:rPr>
  </w:style>
  <w:style w:type="paragraph" w:customStyle="1" w:styleId="155">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4"/>
    </w:rPr>
  </w:style>
  <w:style w:type="paragraph" w:customStyle="1" w:styleId="156">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57">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pPr>
    <w:rPr>
      <w:rFonts w:ascii="宋体" w:hAnsi="宋体" w:cs="宋体"/>
      <w:kern w:val="0"/>
      <w:sz w:val="18"/>
      <w:szCs w:val="18"/>
    </w:rPr>
  </w:style>
  <w:style w:type="paragraph" w:customStyle="1" w:styleId="158">
    <w:name w:val="样式 标题 1 + 黑体 三号 非加粗 居中 段前: 6 磅 段后: 6 磅 行距: 固定值 20 磅"/>
    <w:basedOn w:val="5"/>
    <w:qFormat/>
    <w:uiPriority w:val="99"/>
    <w:pPr>
      <w:keepLines/>
      <w:spacing w:before="120" w:after="120" w:line="400" w:lineRule="exact"/>
    </w:pPr>
    <w:rPr>
      <w:rFonts w:ascii="黑体" w:hAnsi="黑体" w:eastAsia="黑体" w:cs="黑体"/>
      <w:kern w:val="44"/>
    </w:rPr>
  </w:style>
  <w:style w:type="paragraph" w:customStyle="1" w:styleId="159">
    <w:name w:val="1"/>
    <w:basedOn w:val="1"/>
    <w:next w:val="1"/>
    <w:qFormat/>
    <w:uiPriority w:val="99"/>
  </w:style>
  <w:style w:type="paragraph" w:customStyle="1" w:styleId="160">
    <w:name w:val="Char Char Char Char Char Char Char Char Char Char"/>
    <w:basedOn w:val="1"/>
    <w:qFormat/>
    <w:uiPriority w:val="99"/>
    <w:pPr>
      <w:widowControl/>
      <w:spacing w:after="160" w:line="240" w:lineRule="exact"/>
    </w:pPr>
  </w:style>
  <w:style w:type="paragraph" w:customStyle="1" w:styleId="161">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styleId="162">
    <w:name w:val="Intense Quote"/>
    <w:basedOn w:val="1"/>
    <w:next w:val="1"/>
    <w:link w:val="163"/>
    <w:qFormat/>
    <w:uiPriority w:val="99"/>
    <w:pPr>
      <w:pBdr>
        <w:bottom w:val="single" w:color="4F81BD" w:sz="4" w:space="4"/>
      </w:pBdr>
      <w:spacing w:before="200" w:after="280"/>
      <w:ind w:left="936" w:right="936"/>
    </w:pPr>
    <w:rPr>
      <w:b/>
      <w:bCs/>
      <w:i/>
      <w:iCs/>
      <w:color w:val="4F81BD"/>
      <w:sz w:val="22"/>
      <w:szCs w:val="22"/>
    </w:rPr>
  </w:style>
  <w:style w:type="character" w:customStyle="1" w:styleId="163">
    <w:name w:val="明显引用 字符"/>
    <w:basedOn w:val="51"/>
    <w:link w:val="162"/>
    <w:qFormat/>
    <w:locked/>
    <w:uiPriority w:val="99"/>
    <w:rPr>
      <w:b/>
      <w:bCs/>
      <w:i/>
      <w:iCs/>
      <w:color w:val="4F81BD"/>
      <w:sz w:val="21"/>
      <w:szCs w:val="21"/>
    </w:rPr>
  </w:style>
  <w:style w:type="character" w:customStyle="1" w:styleId="164">
    <w:name w:val="明显引用 Char1"/>
    <w:basedOn w:val="51"/>
    <w:qFormat/>
    <w:uiPriority w:val="99"/>
    <w:rPr>
      <w:b/>
      <w:bCs/>
      <w:i/>
      <w:iCs/>
      <w:color w:val="4F81BD"/>
      <w:kern w:val="2"/>
      <w:sz w:val="24"/>
      <w:szCs w:val="24"/>
    </w:rPr>
  </w:style>
  <w:style w:type="paragraph" w:customStyle="1" w:styleId="165">
    <w:name w:val="表格"/>
    <w:basedOn w:val="1"/>
    <w:qFormat/>
    <w:uiPriority w:val="99"/>
    <w:pPr>
      <w:jc w:val="center"/>
      <w:textAlignment w:val="center"/>
    </w:pPr>
    <w:rPr>
      <w:rFonts w:ascii="华文细黑" w:hAnsi="华文细黑" w:cs="华文细黑"/>
      <w:kern w:val="0"/>
    </w:rPr>
  </w:style>
  <w:style w:type="paragraph" w:customStyle="1" w:styleId="166">
    <w:name w:val="_Style 1"/>
    <w:basedOn w:val="1"/>
    <w:qFormat/>
    <w:uiPriority w:val="99"/>
    <w:pPr>
      <w:ind w:firstLine="420" w:firstLineChars="200"/>
    </w:pPr>
  </w:style>
  <w:style w:type="paragraph" w:customStyle="1" w:styleId="167">
    <w:name w:val="TOC 标题2"/>
    <w:basedOn w:val="5"/>
    <w:next w:val="1"/>
    <w:qFormat/>
    <w:uiPriority w:val="99"/>
    <w:pPr>
      <w:keepLines/>
      <w:widowControl/>
      <w:spacing w:before="480" w:line="276" w:lineRule="auto"/>
      <w:outlineLvl w:val="9"/>
    </w:pPr>
    <w:rPr>
      <w:rFonts w:ascii="Cambria" w:hAnsi="Cambria" w:cs="Cambria"/>
      <w:color w:val="365F91"/>
      <w:sz w:val="28"/>
      <w:szCs w:val="28"/>
    </w:rPr>
  </w:style>
  <w:style w:type="paragraph" w:styleId="168">
    <w:name w:val="Quote"/>
    <w:basedOn w:val="1"/>
    <w:next w:val="1"/>
    <w:link w:val="169"/>
    <w:qFormat/>
    <w:uiPriority w:val="99"/>
    <w:rPr>
      <w:i/>
      <w:iCs/>
      <w:color w:val="000000"/>
      <w:sz w:val="22"/>
      <w:szCs w:val="22"/>
    </w:rPr>
  </w:style>
  <w:style w:type="character" w:customStyle="1" w:styleId="169">
    <w:name w:val="引用 字符"/>
    <w:basedOn w:val="51"/>
    <w:link w:val="168"/>
    <w:qFormat/>
    <w:locked/>
    <w:uiPriority w:val="99"/>
    <w:rPr>
      <w:i/>
      <w:iCs/>
      <w:color w:val="000000"/>
      <w:sz w:val="21"/>
      <w:szCs w:val="21"/>
    </w:rPr>
  </w:style>
  <w:style w:type="character" w:customStyle="1" w:styleId="170">
    <w:name w:val="引用 Char1"/>
    <w:basedOn w:val="51"/>
    <w:qFormat/>
    <w:uiPriority w:val="99"/>
    <w:rPr>
      <w:i/>
      <w:iCs/>
      <w:color w:val="000000"/>
      <w:kern w:val="2"/>
      <w:sz w:val="24"/>
      <w:szCs w:val="24"/>
    </w:rPr>
  </w:style>
  <w:style w:type="paragraph" w:customStyle="1" w:styleId="171">
    <w:name w:val="样式6"/>
    <w:basedOn w:val="1"/>
    <w:qFormat/>
    <w:uiPriority w:val="99"/>
    <w:pPr>
      <w:adjustRightInd w:val="0"/>
      <w:snapToGrid w:val="0"/>
      <w:jc w:val="center"/>
      <w:textAlignment w:val="baseline"/>
    </w:pPr>
    <w:rPr>
      <w:rFonts w:eastAsia="华文细黑"/>
      <w:color w:val="000000"/>
      <w:spacing w:val="100"/>
      <w:kern w:val="0"/>
      <w:sz w:val="28"/>
      <w:szCs w:val="28"/>
    </w:rPr>
  </w:style>
  <w:style w:type="paragraph" w:customStyle="1" w:styleId="172">
    <w:name w:val="样式 标题 2 + Times New Roman 四号 非加粗 段前: 5 磅 段后: 0 磅 行距: 固定值 20..."/>
    <w:basedOn w:val="7"/>
    <w:qFormat/>
    <w:uiPriority w:val="99"/>
    <w:pPr>
      <w:spacing w:before="100" w:after="0" w:line="400" w:lineRule="exact"/>
    </w:pPr>
    <w:rPr>
      <w:rFonts w:ascii="Times New Roman" w:hAnsi="Times New Roman" w:cs="Times New Roman"/>
      <w:b w:val="0"/>
      <w:bCs w:val="0"/>
      <w:sz w:val="28"/>
      <w:szCs w:val="28"/>
    </w:rPr>
  </w:style>
  <w:style w:type="paragraph" w:customStyle="1" w:styleId="173">
    <w:name w:val="xl31"/>
    <w:basedOn w:val="1"/>
    <w:qFormat/>
    <w:uiPriority w:val="99"/>
    <w:pPr>
      <w:widowControl/>
      <w:spacing w:before="100" w:beforeAutospacing="1" w:after="100" w:afterAutospacing="1"/>
      <w:jc w:val="center"/>
    </w:pPr>
    <w:rPr>
      <w:rFonts w:ascii="宋体" w:hAnsi="宋体" w:cs="宋体"/>
      <w:kern w:val="0"/>
      <w:szCs w:val="24"/>
    </w:rPr>
  </w:style>
  <w:style w:type="paragraph" w:customStyle="1" w:styleId="174">
    <w:name w:val="表格2"/>
    <w:basedOn w:val="1"/>
    <w:qFormat/>
    <w:uiPriority w:val="99"/>
    <w:pPr>
      <w:adjustRightInd w:val="0"/>
      <w:spacing w:before="60" w:after="60"/>
      <w:jc w:val="center"/>
    </w:pPr>
    <w:rPr>
      <w:rFonts w:ascii="宋体" w:cs="宋体"/>
      <w:color w:val="000000"/>
      <w:kern w:val="0"/>
      <w:szCs w:val="24"/>
    </w:rPr>
  </w:style>
  <w:style w:type="paragraph" w:customStyle="1" w:styleId="175">
    <w:name w:val="样式 标题 3 + (中文) 黑体 小四 非加粗 段前: 7.8 磅 段后: 0 磅 行距: 固定值 20 磅"/>
    <w:basedOn w:val="6"/>
    <w:qFormat/>
    <w:uiPriority w:val="99"/>
    <w:pPr>
      <w:keepNext/>
      <w:keepLines/>
      <w:spacing w:before="0" w:beforeAutospacing="0" w:after="0" w:afterAutospacing="0" w:line="400" w:lineRule="exact"/>
      <w:jc w:val="both"/>
    </w:pPr>
    <w:rPr>
      <w:rFonts w:ascii="Times New Roman" w:hAnsi="Times New Roman" w:eastAsia="黑体" w:cs="Times New Roman"/>
      <w:b w:val="0"/>
      <w:bCs w:val="0"/>
      <w:kern w:val="2"/>
      <w:sz w:val="24"/>
      <w:szCs w:val="24"/>
    </w:rPr>
  </w:style>
  <w:style w:type="paragraph" w:customStyle="1" w:styleId="176">
    <w:name w:val="标题2"/>
    <w:basedOn w:val="7"/>
    <w:next w:val="1"/>
    <w:qFormat/>
    <w:uiPriority w:val="99"/>
    <w:pPr>
      <w:snapToGrid w:val="0"/>
      <w:spacing w:before="120" w:after="120" w:line="240" w:lineRule="auto"/>
    </w:pPr>
    <w:rPr>
      <w:rFonts w:ascii="Times New Roman" w:hAnsi="Times New Roman" w:cs="Times New Roman"/>
      <w:b w:val="0"/>
      <w:bCs w:val="0"/>
      <w:sz w:val="21"/>
      <w:szCs w:val="21"/>
    </w:rPr>
  </w:style>
  <w:style w:type="paragraph" w:styleId="177">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178">
    <w:name w:val="_Style 6"/>
    <w:basedOn w:val="5"/>
    <w:next w:val="1"/>
    <w:qFormat/>
    <w:uiPriority w:val="99"/>
    <w:pPr>
      <w:keepLines/>
      <w:spacing w:before="340" w:after="330" w:line="578" w:lineRule="auto"/>
      <w:outlineLvl w:val="9"/>
    </w:pPr>
    <w:rPr>
      <w:kern w:val="44"/>
      <w:sz w:val="44"/>
      <w:szCs w:val="44"/>
    </w:rPr>
  </w:style>
  <w:style w:type="paragraph" w:customStyle="1" w:styleId="179">
    <w:name w:val="Char1 Char Char Char"/>
    <w:basedOn w:val="1"/>
    <w:qFormat/>
    <w:uiPriority w:val="99"/>
    <w:pPr>
      <w:adjustRightInd w:val="0"/>
      <w:snapToGrid w:val="0"/>
      <w:spacing w:line="520" w:lineRule="exact"/>
      <w:ind w:firstLine="420"/>
      <w:jc w:val="left"/>
    </w:pPr>
  </w:style>
  <w:style w:type="paragraph" w:customStyle="1" w:styleId="180">
    <w:name w:val="xl47"/>
    <w:basedOn w:val="1"/>
    <w:qFormat/>
    <w:uiPriority w:val="99"/>
    <w:pPr>
      <w:widowControl/>
      <w:spacing w:before="100" w:beforeAutospacing="1" w:after="100" w:afterAutospacing="1"/>
      <w:jc w:val="center"/>
    </w:pPr>
    <w:rPr>
      <w:rFonts w:ascii="宋体" w:hAnsi="宋体" w:cs="宋体"/>
      <w:kern w:val="0"/>
      <w:sz w:val="28"/>
      <w:szCs w:val="28"/>
    </w:rPr>
  </w:style>
  <w:style w:type="paragraph" w:customStyle="1" w:styleId="181">
    <w:name w:val="Char1"/>
    <w:basedOn w:val="1"/>
    <w:qFormat/>
    <w:uiPriority w:val="99"/>
    <w:pPr>
      <w:snapToGrid w:val="0"/>
      <w:ind w:firstLine="200" w:firstLineChars="200"/>
    </w:pPr>
    <w:rPr>
      <w:rFonts w:ascii="Arial" w:hAnsi="Arial" w:eastAsia="黑体" w:cs="Arial"/>
    </w:rPr>
  </w:style>
  <w:style w:type="paragraph" w:customStyle="1" w:styleId="182">
    <w:name w:val="_Style 3"/>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3">
    <w:name w:val="批注文字 Char3"/>
    <w:qFormat/>
    <w:uiPriority w:val="99"/>
    <w:rPr>
      <w:kern w:val="2"/>
      <w:sz w:val="24"/>
      <w:szCs w:val="24"/>
    </w:rPr>
  </w:style>
  <w:style w:type="character" w:customStyle="1" w:styleId="184">
    <w:name w:val="正文文本 (2)_"/>
    <w:link w:val="185"/>
    <w:qFormat/>
    <w:locked/>
    <w:uiPriority w:val="99"/>
    <w:rPr>
      <w:rFonts w:ascii="MingLiU" w:eastAsia="MingLiU" w:cs="MingLiU"/>
      <w:spacing w:val="20"/>
      <w:sz w:val="22"/>
      <w:szCs w:val="22"/>
      <w:shd w:val="clear" w:color="auto" w:fill="FFFFFF"/>
    </w:rPr>
  </w:style>
  <w:style w:type="paragraph" w:customStyle="1" w:styleId="185">
    <w:name w:val="正文文本 (2)1"/>
    <w:basedOn w:val="1"/>
    <w:link w:val="184"/>
    <w:qFormat/>
    <w:uiPriority w:val="99"/>
    <w:pPr>
      <w:shd w:val="clear" w:color="auto" w:fill="FFFFFF"/>
      <w:spacing w:before="300" w:line="439" w:lineRule="exact"/>
      <w:jc w:val="distribute"/>
    </w:pPr>
    <w:rPr>
      <w:rFonts w:ascii="MingLiU" w:eastAsia="MingLiU" w:cs="MingLiU"/>
      <w:spacing w:val="20"/>
      <w:kern w:val="0"/>
      <w:sz w:val="22"/>
      <w:szCs w:val="22"/>
      <w:shd w:val="clear" w:color="auto" w:fill="FFFFFF"/>
    </w:rPr>
  </w:style>
  <w:style w:type="character" w:customStyle="1" w:styleId="186">
    <w:name w:val="正文文本缩进 Char3"/>
    <w:semiHidden/>
    <w:qFormat/>
    <w:uiPriority w:val="99"/>
    <w:rPr>
      <w:kern w:val="2"/>
      <w:sz w:val="24"/>
      <w:szCs w:val="24"/>
    </w:rPr>
  </w:style>
  <w:style w:type="character" w:customStyle="1" w:styleId="187">
    <w:name w:val="Char Char28"/>
    <w:qFormat/>
    <w:uiPriority w:val="99"/>
    <w:rPr>
      <w:rFonts w:ascii="Cambria" w:hAnsi="Cambria" w:cs="Cambria"/>
      <w:b/>
      <w:bCs/>
      <w:kern w:val="2"/>
      <w:sz w:val="24"/>
      <w:szCs w:val="24"/>
    </w:rPr>
  </w:style>
  <w:style w:type="character" w:customStyle="1" w:styleId="188">
    <w:name w:val="Char Char51"/>
    <w:qFormat/>
    <w:uiPriority w:val="99"/>
    <w:rPr>
      <w:rFonts w:ascii="宋体" w:hAnsi="Courier New" w:eastAsia="宋体" w:cs="宋体"/>
      <w:kern w:val="2"/>
      <w:sz w:val="21"/>
      <w:szCs w:val="21"/>
      <w:lang w:val="en-US" w:eastAsia="zh-CN"/>
    </w:rPr>
  </w:style>
  <w:style w:type="character" w:customStyle="1" w:styleId="189">
    <w:name w:val="Char Char22"/>
    <w:qFormat/>
    <w:uiPriority w:val="99"/>
    <w:rPr>
      <w:rFonts w:ascii="Cambria" w:hAnsi="Cambria" w:cs="Cambria"/>
      <w:b/>
      <w:bCs/>
      <w:kern w:val="28"/>
      <w:sz w:val="32"/>
      <w:szCs w:val="32"/>
    </w:rPr>
  </w:style>
  <w:style w:type="character" w:customStyle="1" w:styleId="190">
    <w:name w:val="批注文字 Char"/>
    <w:qFormat/>
    <w:uiPriority w:val="99"/>
    <w:rPr>
      <w:kern w:val="2"/>
      <w:sz w:val="21"/>
      <w:szCs w:val="21"/>
    </w:rPr>
  </w:style>
  <w:style w:type="character" w:customStyle="1" w:styleId="191">
    <w:name w:val="正文文本缩进 2 Char2"/>
    <w:semiHidden/>
    <w:qFormat/>
    <w:uiPriority w:val="99"/>
    <w:rPr>
      <w:kern w:val="2"/>
      <w:sz w:val="24"/>
      <w:szCs w:val="24"/>
    </w:rPr>
  </w:style>
  <w:style w:type="character" w:customStyle="1" w:styleId="192">
    <w:name w:val="Char Char16"/>
    <w:qFormat/>
    <w:uiPriority w:val="99"/>
    <w:rPr>
      <w:kern w:val="2"/>
      <w:sz w:val="18"/>
      <w:szCs w:val="18"/>
    </w:rPr>
  </w:style>
  <w:style w:type="character" w:customStyle="1" w:styleId="193">
    <w:name w:val="正文文本 3 Char1"/>
    <w:qFormat/>
    <w:uiPriority w:val="99"/>
    <w:rPr>
      <w:rFonts w:eastAsia="仿宋_GB2312"/>
      <w:sz w:val="16"/>
      <w:szCs w:val="16"/>
    </w:rPr>
  </w:style>
  <w:style w:type="character" w:customStyle="1" w:styleId="194">
    <w:name w:val="正文首行缩进 Char4"/>
    <w:basedOn w:val="195"/>
    <w:semiHidden/>
    <w:qFormat/>
    <w:uiPriority w:val="99"/>
    <w:rPr>
      <w:rFonts w:ascii="宋体" w:eastAsia="宋体" w:cs="宋体"/>
      <w:kern w:val="2"/>
      <w:sz w:val="24"/>
      <w:szCs w:val="24"/>
    </w:rPr>
  </w:style>
  <w:style w:type="character" w:customStyle="1" w:styleId="195">
    <w:name w:val="Char Char"/>
    <w:qFormat/>
    <w:uiPriority w:val="99"/>
    <w:rPr>
      <w:rFonts w:ascii="宋体" w:eastAsia="宋体" w:cs="宋体"/>
      <w:kern w:val="2"/>
      <w:sz w:val="24"/>
      <w:szCs w:val="24"/>
    </w:rPr>
  </w:style>
  <w:style w:type="character" w:customStyle="1" w:styleId="196">
    <w:name w:val="Char Char11"/>
    <w:qFormat/>
    <w:uiPriority w:val="99"/>
    <w:rPr>
      <w:rFonts w:ascii="宋体" w:cs="宋体"/>
      <w:kern w:val="2"/>
      <w:sz w:val="21"/>
      <w:szCs w:val="21"/>
    </w:rPr>
  </w:style>
  <w:style w:type="character" w:customStyle="1" w:styleId="197">
    <w:name w:val="正文文本缩进 3 Char2"/>
    <w:qFormat/>
    <w:uiPriority w:val="99"/>
    <w:rPr>
      <w:rFonts w:eastAsia="仿宋_GB2312"/>
      <w:sz w:val="16"/>
      <w:szCs w:val="16"/>
    </w:rPr>
  </w:style>
  <w:style w:type="character" w:customStyle="1" w:styleId="198">
    <w:name w:val="纯文本 Char2"/>
    <w:qFormat/>
    <w:uiPriority w:val="99"/>
    <w:rPr>
      <w:rFonts w:ascii="宋体" w:hAnsi="Courier New" w:cs="宋体"/>
      <w:kern w:val="2"/>
      <w:sz w:val="21"/>
      <w:szCs w:val="21"/>
    </w:rPr>
  </w:style>
  <w:style w:type="character" w:customStyle="1" w:styleId="199">
    <w:name w:val="！正文（四号字） Char Char"/>
    <w:qFormat/>
    <w:uiPriority w:val="99"/>
    <w:rPr>
      <w:rFonts w:eastAsia="Times New Roman"/>
      <w:kern w:val="2"/>
      <w:sz w:val="28"/>
      <w:szCs w:val="28"/>
      <w:lang w:val="en-US" w:eastAsia="zh-CN"/>
    </w:rPr>
  </w:style>
  <w:style w:type="character" w:customStyle="1" w:styleId="200">
    <w:name w:val="正文文本 2 Char1"/>
    <w:qFormat/>
    <w:uiPriority w:val="99"/>
    <w:rPr>
      <w:kern w:val="2"/>
      <w:sz w:val="21"/>
      <w:szCs w:val="21"/>
    </w:rPr>
  </w:style>
  <w:style w:type="character" w:customStyle="1" w:styleId="201">
    <w:name w:val="正文文本 2 Char2"/>
    <w:semiHidden/>
    <w:qFormat/>
    <w:uiPriority w:val="99"/>
  </w:style>
  <w:style w:type="character" w:customStyle="1" w:styleId="202">
    <w:name w:val="Body Text First Indent Char1"/>
    <w:qFormat/>
    <w:locked/>
    <w:uiPriority w:val="99"/>
    <w:rPr>
      <w:kern w:val="2"/>
      <w:sz w:val="21"/>
      <w:szCs w:val="21"/>
    </w:rPr>
  </w:style>
  <w:style w:type="character" w:customStyle="1" w:styleId="203">
    <w:name w:val="Char Char29"/>
    <w:qFormat/>
    <w:uiPriority w:val="99"/>
    <w:rPr>
      <w:rFonts w:ascii="Arial" w:hAnsi="Arial" w:cs="Arial"/>
      <w:color w:val="000000"/>
      <w:kern w:val="2"/>
      <w:sz w:val="24"/>
      <w:szCs w:val="24"/>
    </w:rPr>
  </w:style>
  <w:style w:type="character" w:customStyle="1" w:styleId="204">
    <w:name w:val="正文文本 (2) + 间距 0 pt3"/>
    <w:qFormat/>
    <w:uiPriority w:val="99"/>
    <w:rPr>
      <w:rFonts w:ascii="MingLiU" w:eastAsia="MingLiU" w:cs="MingLiU"/>
      <w:spacing w:val="0"/>
      <w:sz w:val="22"/>
      <w:szCs w:val="22"/>
      <w:u w:val="none"/>
    </w:rPr>
  </w:style>
  <w:style w:type="character" w:customStyle="1" w:styleId="205">
    <w:name w:val="书籍标题11"/>
    <w:qFormat/>
    <w:uiPriority w:val="99"/>
    <w:rPr>
      <w:b/>
      <w:bCs/>
      <w:smallCaps/>
      <w:spacing w:val="5"/>
    </w:rPr>
  </w:style>
  <w:style w:type="character" w:customStyle="1" w:styleId="206">
    <w:name w:val="redfilenumber"/>
    <w:qFormat/>
    <w:uiPriority w:val="99"/>
    <w:rPr>
      <w:color w:val="auto"/>
      <w:sz w:val="18"/>
      <w:szCs w:val="18"/>
    </w:rPr>
  </w:style>
  <w:style w:type="character" w:customStyle="1" w:styleId="207">
    <w:name w:val="redfilefwwh"/>
    <w:qFormat/>
    <w:uiPriority w:val="99"/>
    <w:rPr>
      <w:color w:val="auto"/>
      <w:sz w:val="18"/>
      <w:szCs w:val="18"/>
    </w:rPr>
  </w:style>
  <w:style w:type="character" w:customStyle="1" w:styleId="208">
    <w:name w:val="文档结构图 Char3"/>
    <w:semiHidden/>
    <w:qFormat/>
    <w:uiPriority w:val="99"/>
    <w:rPr>
      <w:rFonts w:ascii="宋体" w:cs="宋体"/>
      <w:kern w:val="2"/>
      <w:sz w:val="18"/>
      <w:szCs w:val="18"/>
    </w:rPr>
  </w:style>
  <w:style w:type="character" w:customStyle="1" w:styleId="209">
    <w:name w:val="！正文（四号字） Char"/>
    <w:link w:val="210"/>
    <w:qFormat/>
    <w:locked/>
    <w:uiPriority w:val="99"/>
    <w:rPr>
      <w:kern w:val="2"/>
      <w:sz w:val="24"/>
      <w:szCs w:val="24"/>
      <w:lang w:val="en-US" w:eastAsia="zh-CN"/>
    </w:rPr>
  </w:style>
  <w:style w:type="paragraph" w:customStyle="1" w:styleId="210">
    <w:name w:val="！正文（四号字）"/>
    <w:link w:val="209"/>
    <w:qFormat/>
    <w:uiPriority w:val="99"/>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211">
    <w:name w:val="正文文本缩进 Char1"/>
    <w:qFormat/>
    <w:uiPriority w:val="99"/>
  </w:style>
  <w:style w:type="character" w:customStyle="1" w:styleId="212">
    <w:name w:val="HTML 预设格式 Char1"/>
    <w:qFormat/>
    <w:uiPriority w:val="99"/>
    <w:rPr>
      <w:rFonts w:ascii="Courier New" w:hAnsi="Courier New" w:cs="Courier New"/>
      <w:kern w:val="2"/>
    </w:rPr>
  </w:style>
  <w:style w:type="character" w:customStyle="1" w:styleId="213">
    <w:name w:val="font21"/>
    <w:qFormat/>
    <w:uiPriority w:val="99"/>
    <w:rPr>
      <w:rFonts w:ascii="宋体" w:hAnsi="宋体" w:eastAsia="宋体" w:cs="宋体"/>
      <w:color w:val="000000"/>
      <w:sz w:val="24"/>
      <w:szCs w:val="24"/>
      <w:u w:val="none"/>
    </w:rPr>
  </w:style>
  <w:style w:type="character" w:customStyle="1" w:styleId="214">
    <w:name w:val="cfdate"/>
    <w:qFormat/>
    <w:uiPriority w:val="99"/>
    <w:rPr>
      <w:color w:val="auto"/>
      <w:sz w:val="18"/>
      <w:szCs w:val="18"/>
    </w:rPr>
  </w:style>
  <w:style w:type="character" w:customStyle="1" w:styleId="215">
    <w:name w:val="Char Char111"/>
    <w:qFormat/>
    <w:uiPriority w:val="99"/>
    <w:rPr>
      <w:kern w:val="2"/>
      <w:sz w:val="26"/>
      <w:szCs w:val="26"/>
    </w:rPr>
  </w:style>
  <w:style w:type="character" w:customStyle="1" w:styleId="216">
    <w:name w:val="Char Char15"/>
    <w:qFormat/>
    <w:uiPriority w:val="99"/>
    <w:rPr>
      <w:kern w:val="2"/>
      <w:sz w:val="16"/>
      <w:szCs w:val="16"/>
    </w:rPr>
  </w:style>
  <w:style w:type="character" w:customStyle="1" w:styleId="217">
    <w:name w:val="HTML 预设格式 Char3"/>
    <w:semiHidden/>
    <w:qFormat/>
    <w:uiPriority w:val="99"/>
    <w:rPr>
      <w:rFonts w:ascii="Courier New" w:hAnsi="Courier New" w:cs="Courier New"/>
      <w:kern w:val="2"/>
    </w:rPr>
  </w:style>
  <w:style w:type="character" w:customStyle="1" w:styleId="218">
    <w:name w:val="Footer-Even Char1"/>
    <w:qFormat/>
    <w:locked/>
    <w:uiPriority w:val="99"/>
    <w:rPr>
      <w:rFonts w:eastAsia="仿宋_GB2312"/>
      <w:sz w:val="18"/>
      <w:szCs w:val="18"/>
    </w:rPr>
  </w:style>
  <w:style w:type="character" w:customStyle="1" w:styleId="219">
    <w:name w:val="Char Char33"/>
    <w:qFormat/>
    <w:uiPriority w:val="99"/>
    <w:rPr>
      <w:rFonts w:ascii="宋体" w:eastAsia="宋体" w:cs="宋体"/>
      <w:sz w:val="27"/>
      <w:szCs w:val="27"/>
    </w:rPr>
  </w:style>
  <w:style w:type="character" w:customStyle="1" w:styleId="220">
    <w:name w:val="Char Char26"/>
    <w:qFormat/>
    <w:uiPriority w:val="99"/>
    <w:rPr>
      <w:rFonts w:ascii="Arial" w:hAnsi="Arial" w:eastAsia="黑体" w:cs="Arial"/>
      <w:kern w:val="2"/>
      <w:sz w:val="24"/>
      <w:szCs w:val="24"/>
    </w:rPr>
  </w:style>
  <w:style w:type="character" w:customStyle="1" w:styleId="221">
    <w:name w:val="日期 Char2"/>
    <w:qFormat/>
    <w:uiPriority w:val="99"/>
    <w:rPr>
      <w:rFonts w:eastAsia="仿宋_GB2312"/>
      <w:sz w:val="30"/>
      <w:szCs w:val="30"/>
    </w:rPr>
  </w:style>
  <w:style w:type="character" w:customStyle="1" w:styleId="222">
    <w:name w:val="Char Char9"/>
    <w:qFormat/>
    <w:uiPriority w:val="99"/>
    <w:rPr>
      <w:kern w:val="2"/>
      <w:sz w:val="24"/>
      <w:szCs w:val="24"/>
    </w:rPr>
  </w:style>
  <w:style w:type="character" w:customStyle="1" w:styleId="223">
    <w:name w:val="Char Char71"/>
    <w:qFormat/>
    <w:uiPriority w:val="99"/>
    <w:rPr>
      <w:rFonts w:ascii="宋体" w:hAnsi="Courier New" w:eastAsia="宋体" w:cs="宋体"/>
      <w:kern w:val="2"/>
      <w:sz w:val="21"/>
      <w:szCs w:val="21"/>
    </w:rPr>
  </w:style>
  <w:style w:type="character" w:customStyle="1" w:styleId="224">
    <w:name w:val="批注主题 Char3"/>
    <w:semiHidden/>
    <w:qFormat/>
    <w:uiPriority w:val="99"/>
    <w:rPr>
      <w:b/>
      <w:bCs/>
    </w:rPr>
  </w:style>
  <w:style w:type="character" w:customStyle="1" w:styleId="225">
    <w:name w:val="正文文本 Char"/>
    <w:qFormat/>
    <w:uiPriority w:val="99"/>
    <w:rPr>
      <w:rFonts w:ascii="仿宋_GB2312" w:eastAsia="仿宋_GB2312" w:cs="仿宋_GB2312"/>
      <w:kern w:val="2"/>
      <w:sz w:val="28"/>
      <w:szCs w:val="28"/>
    </w:rPr>
  </w:style>
  <w:style w:type="character" w:customStyle="1" w:styleId="226">
    <w:name w:val="displayarti"/>
    <w:qFormat/>
    <w:uiPriority w:val="99"/>
    <w:rPr>
      <w:color w:val="FFFFFF"/>
      <w:shd w:val="clear" w:color="auto" w:fill="auto"/>
    </w:rPr>
  </w:style>
  <w:style w:type="character" w:customStyle="1" w:styleId="227">
    <w:name w:val="11 Char"/>
    <w:link w:val="228"/>
    <w:qFormat/>
    <w:locked/>
    <w:uiPriority w:val="99"/>
    <w:rPr>
      <w:rFonts w:hAnsi="宋体"/>
      <w:b/>
      <w:bCs/>
      <w:kern w:val="2"/>
      <w:sz w:val="21"/>
      <w:szCs w:val="21"/>
    </w:rPr>
  </w:style>
  <w:style w:type="paragraph" w:customStyle="1" w:styleId="228">
    <w:name w:val="11"/>
    <w:basedOn w:val="21"/>
    <w:link w:val="227"/>
    <w:qFormat/>
    <w:uiPriority w:val="99"/>
    <w:pPr>
      <w:spacing w:after="120" w:line="360" w:lineRule="auto"/>
      <w:ind w:left="420" w:leftChars="200" w:firstLine="0"/>
    </w:pPr>
    <w:rPr>
      <w:rFonts w:hAnsi="宋体"/>
      <w:b/>
      <w:bCs/>
      <w:sz w:val="21"/>
      <w:szCs w:val="21"/>
    </w:rPr>
  </w:style>
  <w:style w:type="character" w:customStyle="1" w:styleId="229">
    <w:name w:val="不明显强调11"/>
    <w:qFormat/>
    <w:uiPriority w:val="99"/>
    <w:rPr>
      <w:i/>
      <w:iCs/>
      <w:color w:val="808080"/>
    </w:rPr>
  </w:style>
  <w:style w:type="character" w:customStyle="1" w:styleId="230">
    <w:name w:val="正文文本缩进 3 Char4"/>
    <w:semiHidden/>
    <w:qFormat/>
    <w:uiPriority w:val="99"/>
    <w:rPr>
      <w:kern w:val="2"/>
      <w:sz w:val="16"/>
      <w:szCs w:val="16"/>
    </w:rPr>
  </w:style>
  <w:style w:type="character" w:customStyle="1" w:styleId="231">
    <w:name w:val="Char Char262"/>
    <w:qFormat/>
    <w:uiPriority w:val="99"/>
    <w:rPr>
      <w:rFonts w:ascii="Arial" w:hAnsi="Arial" w:eastAsia="黑体" w:cs="Arial"/>
      <w:b/>
      <w:bCs/>
      <w:kern w:val="2"/>
      <w:sz w:val="32"/>
      <w:szCs w:val="32"/>
      <w:lang w:val="en-US" w:eastAsia="zh-CN"/>
    </w:rPr>
  </w:style>
  <w:style w:type="character" w:customStyle="1" w:styleId="232">
    <w:name w:val="Char Char31"/>
    <w:qFormat/>
    <w:uiPriority w:val="99"/>
    <w:rPr>
      <w:rFonts w:ascii="宋体" w:eastAsia="宋体" w:cs="宋体"/>
      <w:b/>
      <w:bCs/>
      <w:sz w:val="27"/>
      <w:szCs w:val="27"/>
    </w:rPr>
  </w:style>
  <w:style w:type="character" w:customStyle="1" w:styleId="233">
    <w:name w:val="纯文本 Char"/>
    <w:qFormat/>
    <w:uiPriority w:val="99"/>
    <w:rPr>
      <w:rFonts w:ascii="宋体" w:hAnsi="Courier New" w:eastAsia="宋体" w:cs="宋体"/>
      <w:kern w:val="2"/>
      <w:sz w:val="21"/>
      <w:szCs w:val="21"/>
      <w:lang w:val="en-US" w:eastAsia="zh-CN"/>
    </w:rPr>
  </w:style>
  <w:style w:type="character" w:customStyle="1" w:styleId="234">
    <w:name w:val="日期 Char4"/>
    <w:semiHidden/>
    <w:qFormat/>
    <w:uiPriority w:val="99"/>
    <w:rPr>
      <w:kern w:val="2"/>
      <w:sz w:val="24"/>
      <w:szCs w:val="24"/>
    </w:rPr>
  </w:style>
  <w:style w:type="character" w:customStyle="1" w:styleId="235">
    <w:name w:val="Char Char10"/>
    <w:qFormat/>
    <w:uiPriority w:val="99"/>
    <w:rPr>
      <w:kern w:val="2"/>
      <w:sz w:val="21"/>
      <w:szCs w:val="21"/>
    </w:rPr>
  </w:style>
  <w:style w:type="character" w:customStyle="1" w:styleId="236">
    <w:name w:val="Char Char14"/>
    <w:qFormat/>
    <w:uiPriority w:val="99"/>
    <w:rPr>
      <w:kern w:val="2"/>
      <w:sz w:val="24"/>
      <w:szCs w:val="24"/>
    </w:rPr>
  </w:style>
  <w:style w:type="character" w:customStyle="1" w:styleId="237">
    <w:name w:val="Char Char27"/>
    <w:qFormat/>
    <w:uiPriority w:val="99"/>
    <w:rPr>
      <w:rFonts w:ascii="Calibri" w:hAnsi="Calibri" w:cs="Calibri"/>
      <w:b/>
      <w:bCs/>
      <w:kern w:val="2"/>
      <w:sz w:val="24"/>
      <w:szCs w:val="24"/>
    </w:rPr>
  </w:style>
  <w:style w:type="character" w:customStyle="1" w:styleId="238">
    <w:name w:val="正文文本 3 Char3"/>
    <w:semiHidden/>
    <w:qFormat/>
    <w:uiPriority w:val="99"/>
    <w:rPr>
      <w:kern w:val="2"/>
      <w:sz w:val="16"/>
      <w:szCs w:val="16"/>
    </w:rPr>
  </w:style>
  <w:style w:type="character" w:customStyle="1" w:styleId="239">
    <w:name w:val="Char Char61"/>
    <w:qFormat/>
    <w:uiPriority w:val="99"/>
    <w:rPr>
      <w:rFonts w:ascii="Times New Roman" w:hAnsi="Times New Roman" w:eastAsia="宋体" w:cs="Times New Roman"/>
      <w:kern w:val="2"/>
      <w:sz w:val="18"/>
      <w:szCs w:val="18"/>
    </w:rPr>
  </w:style>
  <w:style w:type="character" w:customStyle="1" w:styleId="240">
    <w:name w:val="正文首行缩进 2 Char3"/>
    <w:basedOn w:val="186"/>
    <w:semiHidden/>
    <w:qFormat/>
    <w:uiPriority w:val="99"/>
    <w:rPr>
      <w:kern w:val="2"/>
      <w:sz w:val="24"/>
      <w:szCs w:val="24"/>
    </w:rPr>
  </w:style>
  <w:style w:type="character" w:customStyle="1" w:styleId="241">
    <w:name w:val="副标题 Char2"/>
    <w:qFormat/>
    <w:uiPriority w:val="99"/>
    <w:rPr>
      <w:rFonts w:ascii="Cambria" w:hAnsi="Cambria" w:cs="Cambria"/>
      <w:b/>
      <w:bCs/>
      <w:kern w:val="28"/>
      <w:sz w:val="32"/>
      <w:szCs w:val="32"/>
    </w:rPr>
  </w:style>
  <w:style w:type="character" w:customStyle="1" w:styleId="242">
    <w:name w:val="Char Char5"/>
    <w:qFormat/>
    <w:uiPriority w:val="99"/>
    <w:rPr>
      <w:rFonts w:ascii="宋体" w:hAnsi="Courier New" w:cs="宋体"/>
      <w:b/>
      <w:bCs/>
      <w:kern w:val="2"/>
      <w:sz w:val="21"/>
      <w:szCs w:val="21"/>
    </w:rPr>
  </w:style>
  <w:style w:type="character" w:customStyle="1" w:styleId="243">
    <w:name w:val="HTML 预设格式 Char2"/>
    <w:semiHidden/>
    <w:qFormat/>
    <w:uiPriority w:val="99"/>
    <w:rPr>
      <w:rFonts w:ascii="Courier New" w:hAnsi="Courier New" w:cs="Courier New"/>
      <w:sz w:val="20"/>
      <w:szCs w:val="20"/>
    </w:rPr>
  </w:style>
  <w:style w:type="character" w:customStyle="1" w:styleId="244">
    <w:name w:val="正文文本 (2) + 10 pt37"/>
    <w:qFormat/>
    <w:uiPriority w:val="99"/>
    <w:rPr>
      <w:rFonts w:ascii="MingLiU" w:eastAsia="MingLiU" w:cs="MingLiU"/>
      <w:spacing w:val="0"/>
      <w:sz w:val="20"/>
      <w:szCs w:val="20"/>
      <w:u w:val="none"/>
    </w:rPr>
  </w:style>
  <w:style w:type="character" w:customStyle="1" w:styleId="245">
    <w:name w:val="Char Char13"/>
    <w:qFormat/>
    <w:uiPriority w:val="99"/>
    <w:rPr>
      <w:b/>
      <w:bCs/>
      <w:kern w:val="2"/>
      <w:sz w:val="21"/>
      <w:szCs w:val="21"/>
    </w:rPr>
  </w:style>
  <w:style w:type="character" w:customStyle="1" w:styleId="246">
    <w:name w:val="标题 2 Char1"/>
    <w:qFormat/>
    <w:uiPriority w:val="99"/>
    <w:rPr>
      <w:rFonts w:ascii="Arial" w:hAnsi="Arial" w:eastAsia="黑体" w:cs="Arial"/>
      <w:b/>
      <w:bCs/>
      <w:kern w:val="2"/>
      <w:sz w:val="32"/>
      <w:szCs w:val="32"/>
    </w:rPr>
  </w:style>
  <w:style w:type="character" w:customStyle="1" w:styleId="247">
    <w:name w:val="font91"/>
    <w:qFormat/>
    <w:uiPriority w:val="99"/>
    <w:rPr>
      <w:rFonts w:ascii="Times New Roman" w:hAnsi="Times New Roman" w:cs="Times New Roman"/>
      <w:color w:val="000000"/>
      <w:sz w:val="22"/>
      <w:szCs w:val="22"/>
      <w:u w:val="none"/>
    </w:rPr>
  </w:style>
  <w:style w:type="character" w:customStyle="1" w:styleId="248">
    <w:name w:val="Char Char19"/>
    <w:qFormat/>
    <w:uiPriority w:val="99"/>
    <w:rPr>
      <w:rFonts w:ascii="宋体" w:eastAsia="宋体" w:cs="宋体"/>
      <w:sz w:val="24"/>
      <w:szCs w:val="24"/>
    </w:rPr>
  </w:style>
  <w:style w:type="character" w:customStyle="1" w:styleId="249">
    <w:name w:val="正文文本缩进 3 Char3"/>
    <w:semiHidden/>
    <w:qFormat/>
    <w:uiPriority w:val="99"/>
    <w:rPr>
      <w:sz w:val="16"/>
      <w:szCs w:val="16"/>
    </w:rPr>
  </w:style>
  <w:style w:type="character" w:customStyle="1" w:styleId="250">
    <w:name w:val="引用 Char"/>
    <w:link w:val="251"/>
    <w:qFormat/>
    <w:locked/>
    <w:uiPriority w:val="99"/>
    <w:rPr>
      <w:i/>
      <w:iCs/>
      <w:color w:val="000000"/>
      <w:kern w:val="2"/>
      <w:sz w:val="22"/>
      <w:szCs w:val="22"/>
    </w:rPr>
  </w:style>
  <w:style w:type="paragraph" w:customStyle="1" w:styleId="251">
    <w:name w:val="引用1"/>
    <w:basedOn w:val="1"/>
    <w:next w:val="1"/>
    <w:link w:val="250"/>
    <w:qFormat/>
    <w:uiPriority w:val="99"/>
    <w:rPr>
      <w:i/>
      <w:iCs/>
      <w:color w:val="000000"/>
      <w:sz w:val="22"/>
      <w:szCs w:val="22"/>
    </w:rPr>
  </w:style>
  <w:style w:type="character" w:customStyle="1" w:styleId="252">
    <w:name w:val="正文首行缩进 Char2"/>
    <w:qFormat/>
    <w:uiPriority w:val="99"/>
    <w:rPr>
      <w:rFonts w:eastAsia="仿宋_GB2312"/>
      <w:kern w:val="2"/>
      <w:sz w:val="30"/>
      <w:szCs w:val="30"/>
    </w:rPr>
  </w:style>
  <w:style w:type="character" w:customStyle="1" w:styleId="253">
    <w:name w:val="明显强调11"/>
    <w:qFormat/>
    <w:uiPriority w:val="99"/>
    <w:rPr>
      <w:b/>
      <w:bCs/>
      <w:i/>
      <w:iCs/>
      <w:color w:val="4F81BD"/>
    </w:rPr>
  </w:style>
  <w:style w:type="character" w:customStyle="1" w:styleId="254">
    <w:name w:val="正文文本缩进 3 Char1"/>
    <w:qFormat/>
    <w:uiPriority w:val="99"/>
    <w:rPr>
      <w:rFonts w:eastAsia="仿宋_GB2312"/>
      <w:sz w:val="16"/>
      <w:szCs w:val="16"/>
    </w:rPr>
  </w:style>
  <w:style w:type="character" w:customStyle="1" w:styleId="255">
    <w:name w:val="Char Char101"/>
    <w:qFormat/>
    <w:uiPriority w:val="99"/>
    <w:rPr>
      <w:rFonts w:ascii="宋体" w:hAnsi="Courier New" w:eastAsia="宋体" w:cs="宋体"/>
      <w:kern w:val="2"/>
      <w:sz w:val="24"/>
      <w:szCs w:val="24"/>
      <w:lang w:val="en-US" w:eastAsia="zh-CN"/>
    </w:rPr>
  </w:style>
  <w:style w:type="character" w:customStyle="1" w:styleId="256">
    <w:name w:val="无间隔 Char"/>
    <w:link w:val="257"/>
    <w:qFormat/>
    <w:locked/>
    <w:uiPriority w:val="99"/>
    <w:rPr>
      <w:kern w:val="2"/>
      <w:sz w:val="24"/>
      <w:szCs w:val="24"/>
      <w:lang w:val="en-US" w:eastAsia="zh-CN"/>
    </w:rPr>
  </w:style>
  <w:style w:type="paragraph" w:customStyle="1" w:styleId="257">
    <w:name w:val="无间隔1"/>
    <w:link w:val="256"/>
    <w:qFormat/>
    <w:uiPriority w:val="99"/>
    <w:pPr>
      <w:widowControl w:val="0"/>
      <w:jc w:val="both"/>
    </w:pPr>
    <w:rPr>
      <w:rFonts w:ascii="Times New Roman" w:hAnsi="Times New Roman" w:eastAsia="宋体" w:cs="Times New Roman"/>
      <w:kern w:val="2"/>
      <w:sz w:val="24"/>
      <w:szCs w:val="24"/>
      <w:lang w:val="en-US" w:eastAsia="zh-CN" w:bidi="ar-SA"/>
    </w:rPr>
  </w:style>
  <w:style w:type="character" w:customStyle="1" w:styleId="258">
    <w:name w:val="标题 Char2"/>
    <w:qFormat/>
    <w:uiPriority w:val="99"/>
    <w:rPr>
      <w:rFonts w:ascii="Cambria" w:hAnsi="Cambria" w:cs="Cambria"/>
      <w:b/>
      <w:bCs/>
      <w:kern w:val="2"/>
      <w:sz w:val="32"/>
      <w:szCs w:val="32"/>
    </w:rPr>
  </w:style>
  <w:style w:type="character" w:customStyle="1" w:styleId="259">
    <w:name w:val="正文文本缩进 Char2"/>
    <w:qFormat/>
    <w:uiPriority w:val="99"/>
  </w:style>
  <w:style w:type="character" w:customStyle="1" w:styleId="260">
    <w:name w:val="Char Char34"/>
    <w:qFormat/>
    <w:uiPriority w:val="99"/>
    <w:rPr>
      <w:rFonts w:ascii="Times New Roman" w:hAnsi="Times New Roman" w:eastAsia="宋体" w:cs="Times New Roman"/>
      <w:kern w:val="2"/>
      <w:sz w:val="18"/>
      <w:szCs w:val="18"/>
    </w:rPr>
  </w:style>
  <w:style w:type="character" w:customStyle="1" w:styleId="261">
    <w:name w:val="Char Char21"/>
    <w:qFormat/>
    <w:uiPriority w:val="99"/>
    <w:rPr>
      <w:kern w:val="2"/>
      <w:sz w:val="18"/>
      <w:szCs w:val="18"/>
    </w:rPr>
  </w:style>
  <w:style w:type="character" w:customStyle="1" w:styleId="262">
    <w:name w:val="gjfg"/>
    <w:basedOn w:val="51"/>
    <w:qFormat/>
    <w:uiPriority w:val="99"/>
  </w:style>
  <w:style w:type="character" w:customStyle="1" w:styleId="263">
    <w:name w:val="Char Char121"/>
    <w:qFormat/>
    <w:uiPriority w:val="99"/>
    <w:rPr>
      <w:rFonts w:ascii="Arial" w:hAnsi="Arial" w:eastAsia="黑体" w:cs="Arial"/>
      <w:b/>
      <w:bCs/>
      <w:kern w:val="2"/>
      <w:sz w:val="32"/>
      <w:szCs w:val="32"/>
      <w:lang w:val="en-US" w:eastAsia="zh-CN"/>
    </w:rPr>
  </w:style>
  <w:style w:type="character" w:customStyle="1" w:styleId="264">
    <w:name w:val="Char Char4"/>
    <w:qFormat/>
    <w:uiPriority w:val="99"/>
    <w:rPr>
      <w:kern w:val="2"/>
      <w:sz w:val="21"/>
      <w:szCs w:val="21"/>
      <w:shd w:val="clear" w:color="auto" w:fill="000080"/>
    </w:rPr>
  </w:style>
  <w:style w:type="character" w:customStyle="1" w:styleId="265">
    <w:name w:val="h Char1"/>
    <w:qFormat/>
    <w:locked/>
    <w:uiPriority w:val="99"/>
    <w:rPr>
      <w:rFonts w:eastAsia="仿宋_GB2312"/>
      <w:sz w:val="18"/>
      <w:szCs w:val="18"/>
    </w:rPr>
  </w:style>
  <w:style w:type="character" w:customStyle="1" w:styleId="266">
    <w:name w:val="正文文本 2 Char3"/>
    <w:semiHidden/>
    <w:qFormat/>
    <w:uiPriority w:val="99"/>
    <w:rPr>
      <w:kern w:val="2"/>
      <w:sz w:val="24"/>
      <w:szCs w:val="24"/>
    </w:rPr>
  </w:style>
  <w:style w:type="character" w:customStyle="1" w:styleId="267">
    <w:name w:val="Char Char24"/>
    <w:qFormat/>
    <w:uiPriority w:val="99"/>
    <w:rPr>
      <w:kern w:val="2"/>
      <w:sz w:val="18"/>
      <w:szCs w:val="18"/>
    </w:rPr>
  </w:style>
  <w:style w:type="character" w:customStyle="1" w:styleId="268">
    <w:name w:val="批注文字 Char2"/>
    <w:semiHidden/>
    <w:qFormat/>
    <w:uiPriority w:val="99"/>
  </w:style>
  <w:style w:type="character" w:customStyle="1" w:styleId="269">
    <w:name w:val="Char Char12"/>
    <w:qFormat/>
    <w:uiPriority w:val="99"/>
    <w:rPr>
      <w:kern w:val="2"/>
      <w:sz w:val="16"/>
      <w:szCs w:val="16"/>
    </w:rPr>
  </w:style>
  <w:style w:type="character" w:customStyle="1" w:styleId="270">
    <w:name w:val="正文首行缩进 Char1"/>
    <w:qFormat/>
    <w:uiPriority w:val="99"/>
    <w:rPr>
      <w:kern w:val="2"/>
      <w:sz w:val="21"/>
      <w:szCs w:val="21"/>
    </w:rPr>
  </w:style>
  <w:style w:type="character" w:customStyle="1" w:styleId="271">
    <w:name w:val="普通文字 Char2"/>
    <w:qFormat/>
    <w:uiPriority w:val="99"/>
    <w:rPr>
      <w:rFonts w:ascii="宋体" w:hAnsi="Courier New" w:eastAsia="宋体" w:cs="宋体"/>
      <w:kern w:val="2"/>
      <w:sz w:val="21"/>
      <w:szCs w:val="21"/>
      <w:lang w:val="en-US" w:eastAsia="zh-CN"/>
    </w:rPr>
  </w:style>
  <w:style w:type="character" w:customStyle="1" w:styleId="272">
    <w:name w:val="明显引用 Char"/>
    <w:link w:val="273"/>
    <w:qFormat/>
    <w:locked/>
    <w:uiPriority w:val="99"/>
    <w:rPr>
      <w:b/>
      <w:bCs/>
      <w:i/>
      <w:iCs/>
      <w:color w:val="4F81BD"/>
      <w:kern w:val="2"/>
      <w:sz w:val="22"/>
      <w:szCs w:val="22"/>
    </w:rPr>
  </w:style>
  <w:style w:type="paragraph" w:customStyle="1" w:styleId="273">
    <w:name w:val="明显引用1"/>
    <w:basedOn w:val="1"/>
    <w:next w:val="1"/>
    <w:link w:val="272"/>
    <w:qFormat/>
    <w:uiPriority w:val="99"/>
    <w:pPr>
      <w:pBdr>
        <w:bottom w:val="single" w:color="4F81BD" w:sz="4" w:space="4"/>
      </w:pBdr>
      <w:spacing w:before="200" w:after="280"/>
      <w:ind w:left="936" w:right="936"/>
    </w:pPr>
    <w:rPr>
      <w:b/>
      <w:bCs/>
      <w:i/>
      <w:iCs/>
      <w:color w:val="4F81BD"/>
      <w:sz w:val="22"/>
      <w:szCs w:val="22"/>
    </w:rPr>
  </w:style>
  <w:style w:type="character" w:customStyle="1" w:styleId="274">
    <w:name w:val="Char Char25"/>
    <w:qFormat/>
    <w:uiPriority w:val="99"/>
    <w:rPr>
      <w:rFonts w:ascii="Arial" w:hAnsi="Arial" w:eastAsia="黑体" w:cs="Arial"/>
      <w:kern w:val="2"/>
      <w:sz w:val="21"/>
      <w:szCs w:val="21"/>
    </w:rPr>
  </w:style>
  <w:style w:type="character" w:customStyle="1" w:styleId="275">
    <w:name w:val="Char Char32"/>
    <w:qFormat/>
    <w:uiPriority w:val="99"/>
    <w:rPr>
      <w:rFonts w:ascii="Arial" w:hAnsi="Arial" w:eastAsia="黑体" w:cs="Arial"/>
      <w:b/>
      <w:bCs/>
      <w:kern w:val="2"/>
      <w:sz w:val="32"/>
      <w:szCs w:val="32"/>
    </w:rPr>
  </w:style>
  <w:style w:type="character" w:customStyle="1" w:styleId="276">
    <w:name w:val="Char Char122"/>
    <w:qFormat/>
    <w:uiPriority w:val="99"/>
    <w:rPr>
      <w:rFonts w:eastAsia="仿宋_GB2312"/>
      <w:sz w:val="18"/>
      <w:szCs w:val="18"/>
    </w:rPr>
  </w:style>
  <w:style w:type="character" w:customStyle="1" w:styleId="277">
    <w:name w:val="明显引用 Char2"/>
    <w:qFormat/>
    <w:uiPriority w:val="99"/>
    <w:rPr>
      <w:b/>
      <w:bCs/>
      <w:i/>
      <w:iCs/>
      <w:color w:val="4F81BD"/>
      <w:kern w:val="2"/>
      <w:sz w:val="24"/>
      <w:szCs w:val="24"/>
    </w:rPr>
  </w:style>
  <w:style w:type="character" w:customStyle="1" w:styleId="278">
    <w:name w:val="font112"/>
    <w:qFormat/>
    <w:uiPriority w:val="99"/>
    <w:rPr>
      <w:rFonts w:ascii="宋体" w:hAnsi="宋体" w:eastAsia="宋体" w:cs="宋体"/>
      <w:color w:val="000000"/>
      <w:sz w:val="22"/>
      <w:szCs w:val="22"/>
      <w:u w:val="none"/>
    </w:rPr>
  </w:style>
  <w:style w:type="character" w:customStyle="1" w:styleId="279">
    <w:name w:val="Char Char2"/>
    <w:qFormat/>
    <w:uiPriority w:val="99"/>
    <w:rPr>
      <w:kern w:val="2"/>
      <w:sz w:val="24"/>
      <w:szCs w:val="24"/>
    </w:rPr>
  </w:style>
  <w:style w:type="character" w:customStyle="1" w:styleId="280">
    <w:name w:val="标题 Char1"/>
    <w:qFormat/>
    <w:uiPriority w:val="99"/>
    <w:rPr>
      <w:rFonts w:ascii="Cambria" w:hAnsi="Cambria" w:eastAsia="宋体" w:cs="Cambria"/>
      <w:b/>
      <w:bCs/>
      <w:sz w:val="32"/>
      <w:szCs w:val="32"/>
    </w:rPr>
  </w:style>
  <w:style w:type="character" w:customStyle="1" w:styleId="281">
    <w:name w:val="批注主题 Char4"/>
    <w:semiHidden/>
    <w:qFormat/>
    <w:uiPriority w:val="99"/>
    <w:rPr>
      <w:b/>
      <w:bCs/>
      <w:kern w:val="2"/>
      <w:sz w:val="24"/>
      <w:szCs w:val="24"/>
    </w:rPr>
  </w:style>
  <w:style w:type="character" w:customStyle="1" w:styleId="282">
    <w:name w:val="Char Char52"/>
    <w:qFormat/>
    <w:uiPriority w:val="99"/>
    <w:rPr>
      <w:rFonts w:ascii="宋体" w:hAnsi="Courier New" w:eastAsia="宋体" w:cs="宋体"/>
      <w:kern w:val="2"/>
      <w:sz w:val="21"/>
      <w:szCs w:val="21"/>
      <w:lang w:val="en-US" w:eastAsia="zh-CN"/>
    </w:rPr>
  </w:style>
  <w:style w:type="character" w:customStyle="1" w:styleId="283">
    <w:name w:val="Char Char131"/>
    <w:qFormat/>
    <w:uiPriority w:val="99"/>
    <w:rPr>
      <w:rFonts w:ascii="宋体" w:eastAsia="宋体" w:cs="宋体"/>
      <w:kern w:val="2"/>
      <w:sz w:val="24"/>
      <w:szCs w:val="24"/>
      <w:lang w:val="en-US" w:eastAsia="zh-CN"/>
    </w:rPr>
  </w:style>
  <w:style w:type="character" w:customStyle="1" w:styleId="284">
    <w:name w:val="正文首行缩进 2 Char2"/>
    <w:semiHidden/>
    <w:qFormat/>
    <w:uiPriority w:val="99"/>
  </w:style>
  <w:style w:type="character" w:customStyle="1" w:styleId="285">
    <w:name w:val="Char Char181"/>
    <w:qFormat/>
    <w:uiPriority w:val="99"/>
    <w:rPr>
      <w:rFonts w:ascii="Calibri" w:hAnsi="Calibri" w:eastAsia="宋体" w:cs="Calibri"/>
      <w:b/>
      <w:bCs/>
      <w:kern w:val="44"/>
      <w:sz w:val="44"/>
      <w:szCs w:val="44"/>
      <w:lang w:val="en-US" w:eastAsia="zh-CN"/>
    </w:rPr>
  </w:style>
  <w:style w:type="character" w:customStyle="1" w:styleId="286">
    <w:name w:val="Char Char171"/>
    <w:qFormat/>
    <w:uiPriority w:val="99"/>
    <w:rPr>
      <w:rFonts w:ascii="Cambria" w:hAnsi="Cambria" w:eastAsia="宋体" w:cs="Cambria"/>
      <w:b/>
      <w:bCs/>
      <w:kern w:val="2"/>
      <w:sz w:val="32"/>
      <w:szCs w:val="32"/>
      <w:lang w:val="en-US" w:eastAsia="zh-CN"/>
    </w:rPr>
  </w:style>
  <w:style w:type="character" w:customStyle="1" w:styleId="287">
    <w:name w:val="Char Char221"/>
    <w:qFormat/>
    <w:uiPriority w:val="99"/>
    <w:rPr>
      <w:rFonts w:ascii="Arial" w:hAnsi="Arial" w:eastAsia="黑体" w:cs="Arial"/>
      <w:b/>
      <w:bCs/>
      <w:kern w:val="2"/>
      <w:sz w:val="32"/>
      <w:szCs w:val="32"/>
      <w:lang w:val="en-US" w:eastAsia="zh-CN"/>
    </w:rPr>
  </w:style>
  <w:style w:type="character" w:customStyle="1" w:styleId="288">
    <w:name w:val="Char Char20"/>
    <w:qFormat/>
    <w:uiPriority w:val="99"/>
    <w:rPr>
      <w:rFonts w:ascii="Cambria" w:hAnsi="Cambria" w:cs="Cambria"/>
      <w:b/>
      <w:bCs/>
      <w:kern w:val="2"/>
      <w:sz w:val="32"/>
      <w:szCs w:val="32"/>
    </w:rPr>
  </w:style>
  <w:style w:type="character" w:customStyle="1" w:styleId="289">
    <w:name w:val="正文首行缩进 2 Char1"/>
    <w:qFormat/>
    <w:uiPriority w:val="99"/>
    <w:rPr>
      <w:rFonts w:ascii="宋体" w:hAnsi="宋体" w:eastAsia="仿宋_GB2312" w:cs="宋体"/>
      <w:sz w:val="28"/>
      <w:szCs w:val="28"/>
    </w:rPr>
  </w:style>
  <w:style w:type="character" w:customStyle="1" w:styleId="290">
    <w:name w:val="正文文本 3 Char2"/>
    <w:semiHidden/>
    <w:qFormat/>
    <w:uiPriority w:val="99"/>
    <w:rPr>
      <w:sz w:val="16"/>
      <w:szCs w:val="16"/>
    </w:rPr>
  </w:style>
  <w:style w:type="character" w:customStyle="1" w:styleId="291">
    <w:name w:val="不明显参考11"/>
    <w:qFormat/>
    <w:uiPriority w:val="99"/>
    <w:rPr>
      <w:smallCaps/>
      <w:color w:val="auto"/>
      <w:u w:val="single"/>
    </w:rPr>
  </w:style>
  <w:style w:type="character" w:customStyle="1" w:styleId="292">
    <w:name w:val="孙普文字 Char"/>
    <w:qFormat/>
    <w:uiPriority w:val="99"/>
    <w:rPr>
      <w:rFonts w:ascii="宋体" w:hAnsi="Courier New" w:eastAsia="宋体" w:cs="宋体"/>
      <w:kern w:val="2"/>
      <w:sz w:val="21"/>
      <w:szCs w:val="21"/>
      <w:lang w:val="en-US" w:eastAsia="zh-CN"/>
    </w:rPr>
  </w:style>
  <w:style w:type="character" w:customStyle="1" w:styleId="293">
    <w:name w:val="纯文本 Char3"/>
    <w:semiHidden/>
    <w:qFormat/>
    <w:uiPriority w:val="99"/>
    <w:rPr>
      <w:rFonts w:ascii="宋体" w:hAnsi="Courier New" w:eastAsia="宋体" w:cs="宋体"/>
      <w:sz w:val="21"/>
      <w:szCs w:val="21"/>
    </w:rPr>
  </w:style>
  <w:style w:type="character" w:customStyle="1" w:styleId="294">
    <w:name w:val="明显参考11"/>
    <w:qFormat/>
    <w:uiPriority w:val="99"/>
    <w:rPr>
      <w:b/>
      <w:bCs/>
      <w:smallCaps/>
      <w:color w:val="auto"/>
      <w:spacing w:val="5"/>
      <w:u w:val="single"/>
    </w:rPr>
  </w:style>
  <w:style w:type="character" w:customStyle="1" w:styleId="295">
    <w:name w:val="Char Char261"/>
    <w:qFormat/>
    <w:uiPriority w:val="99"/>
    <w:rPr>
      <w:rFonts w:ascii="Arial" w:hAnsi="Arial" w:eastAsia="黑体" w:cs="Arial"/>
      <w:b/>
      <w:bCs/>
      <w:kern w:val="2"/>
      <w:sz w:val="32"/>
      <w:szCs w:val="32"/>
      <w:lang w:val="en-US" w:eastAsia="zh-CN"/>
    </w:rPr>
  </w:style>
  <w:style w:type="character" w:customStyle="1" w:styleId="296">
    <w:name w:val="Char Char110"/>
    <w:qFormat/>
    <w:uiPriority w:val="99"/>
    <w:rPr>
      <w:rFonts w:ascii="Times New Roman" w:hAnsi="Times New Roman" w:eastAsia="宋体" w:cs="Times New Roman"/>
      <w:kern w:val="2"/>
      <w:sz w:val="18"/>
      <w:szCs w:val="18"/>
    </w:rPr>
  </w:style>
  <w:style w:type="character" w:customStyle="1" w:styleId="297">
    <w:name w:val="引用 Char2"/>
    <w:qFormat/>
    <w:uiPriority w:val="99"/>
    <w:rPr>
      <w:i/>
      <w:iCs/>
      <w:color w:val="000000"/>
      <w:kern w:val="2"/>
      <w:sz w:val="24"/>
      <w:szCs w:val="24"/>
    </w:rPr>
  </w:style>
  <w:style w:type="character" w:customStyle="1" w:styleId="298">
    <w:name w:val="apple-converted-space"/>
    <w:qFormat/>
    <w:uiPriority w:val="99"/>
  </w:style>
  <w:style w:type="character" w:customStyle="1" w:styleId="299">
    <w:name w:val="正文首行缩进 Char3"/>
    <w:semiHidden/>
    <w:qFormat/>
    <w:uiPriority w:val="99"/>
  </w:style>
  <w:style w:type="character" w:customStyle="1" w:styleId="300">
    <w:name w:val="Char Char311"/>
    <w:qFormat/>
    <w:uiPriority w:val="99"/>
    <w:rPr>
      <w:rFonts w:ascii="Arial" w:hAnsi="Arial" w:eastAsia="黑体" w:cs="Arial"/>
      <w:b/>
      <w:bCs/>
      <w:kern w:val="2"/>
      <w:sz w:val="32"/>
      <w:szCs w:val="32"/>
      <w:lang w:val="en-US" w:eastAsia="zh-CN"/>
    </w:rPr>
  </w:style>
  <w:style w:type="character" w:customStyle="1" w:styleId="301">
    <w:name w:val="Char Char8"/>
    <w:qFormat/>
    <w:uiPriority w:val="99"/>
    <w:rPr>
      <w:kern w:val="2"/>
      <w:sz w:val="21"/>
      <w:szCs w:val="21"/>
    </w:rPr>
  </w:style>
  <w:style w:type="character" w:customStyle="1" w:styleId="302">
    <w:name w:val="Char Char30"/>
    <w:qFormat/>
    <w:uiPriority w:val="99"/>
    <w:rPr>
      <w:rFonts w:ascii="Cambria" w:hAnsi="Cambria" w:eastAsia="宋体" w:cs="Cambria"/>
      <w:b/>
      <w:bCs/>
      <w:kern w:val="2"/>
      <w:sz w:val="28"/>
      <w:szCs w:val="28"/>
    </w:rPr>
  </w:style>
  <w:style w:type="character" w:customStyle="1" w:styleId="303">
    <w:name w:val="正文文本缩进 2 Char1"/>
    <w:semiHidden/>
    <w:qFormat/>
    <w:uiPriority w:val="99"/>
  </w:style>
  <w:style w:type="character" w:customStyle="1" w:styleId="304">
    <w:name w:val="日期 Char3"/>
    <w:semiHidden/>
    <w:qFormat/>
    <w:uiPriority w:val="99"/>
  </w:style>
  <w:style w:type="character" w:customStyle="1" w:styleId="305">
    <w:name w:val="qxdate"/>
    <w:qFormat/>
    <w:uiPriority w:val="99"/>
    <w:rPr>
      <w:color w:val="auto"/>
      <w:sz w:val="18"/>
      <w:szCs w:val="18"/>
    </w:rPr>
  </w:style>
  <w:style w:type="character" w:customStyle="1" w:styleId="306">
    <w:name w:val="正文首行缩进 字符"/>
    <w:basedOn w:val="72"/>
    <w:link w:val="2"/>
    <w:semiHidden/>
    <w:qFormat/>
    <w:locked/>
    <w:uiPriority w:val="99"/>
    <w:rPr>
      <w:rFonts w:ascii="宋体" w:eastAsia="宋体" w:cs="宋体"/>
      <w:kern w:val="2"/>
      <w:sz w:val="21"/>
      <w:szCs w:val="21"/>
    </w:rPr>
  </w:style>
  <w:style w:type="paragraph" w:customStyle="1" w:styleId="307">
    <w:name w:val="修订21"/>
    <w:qFormat/>
    <w:uiPriority w:val="99"/>
    <w:rPr>
      <w:rFonts w:ascii="Times New Roman" w:hAnsi="Times New Roman" w:eastAsia="宋体" w:cs="Times New Roman"/>
      <w:kern w:val="2"/>
      <w:sz w:val="21"/>
      <w:szCs w:val="21"/>
      <w:lang w:val="en-US" w:eastAsia="zh-CN" w:bidi="ar-SA"/>
    </w:rPr>
  </w:style>
  <w:style w:type="paragraph" w:customStyle="1" w:styleId="308">
    <w:name w:val="列出段落1"/>
    <w:basedOn w:val="1"/>
    <w:qFormat/>
    <w:uiPriority w:val="99"/>
    <w:pPr>
      <w:ind w:firstLine="420" w:firstLineChars="200"/>
    </w:pPr>
    <w:rPr>
      <w:rFonts w:ascii="Calibri" w:hAnsi="Calibri" w:cs="Calibri"/>
    </w:rPr>
  </w:style>
  <w:style w:type="paragraph" w:customStyle="1" w:styleId="309">
    <w:name w:val="标题 21"/>
    <w:basedOn w:val="1"/>
    <w:qFormat/>
    <w:uiPriority w:val="99"/>
    <w:pPr>
      <w:spacing w:line="381" w:lineRule="exact"/>
      <w:ind w:left="1429" w:hanging="496"/>
      <w:outlineLvl w:val="2"/>
    </w:pPr>
    <w:rPr>
      <w:rFonts w:ascii="微软雅黑" w:hAnsi="微软雅黑" w:eastAsia="微软雅黑" w:cs="微软雅黑"/>
      <w:b/>
      <w:bCs/>
      <w:sz w:val="27"/>
      <w:szCs w:val="27"/>
    </w:rPr>
  </w:style>
  <w:style w:type="paragraph" w:customStyle="1" w:styleId="310">
    <w:name w:val="xl66"/>
    <w:basedOn w:val="1"/>
    <w:qFormat/>
    <w:uiPriority w:val="99"/>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311">
    <w:name w:val="font9"/>
    <w:basedOn w:val="1"/>
    <w:qFormat/>
    <w:uiPriority w:val="99"/>
    <w:pPr>
      <w:widowControl/>
      <w:spacing w:before="100" w:beforeAutospacing="1" w:after="100" w:afterAutospacing="1"/>
      <w:jc w:val="left"/>
    </w:pPr>
    <w:rPr>
      <w:rFonts w:ascii="MS Mincho" w:hAnsi="MS Mincho" w:eastAsia="MS Mincho" w:cs="MS Mincho"/>
      <w:color w:val="000000"/>
      <w:kern w:val="0"/>
      <w:sz w:val="20"/>
      <w:szCs w:val="20"/>
    </w:rPr>
  </w:style>
  <w:style w:type="paragraph" w:customStyle="1" w:styleId="312">
    <w:name w:val="xl72"/>
    <w:basedOn w:val="1"/>
    <w:qFormat/>
    <w:uiPriority w:val="99"/>
    <w:pPr>
      <w:widowControl/>
      <w:pBdr>
        <w:right w:val="single" w:color="auto" w:sz="8" w:space="0"/>
      </w:pBdr>
      <w:spacing w:before="100" w:beforeAutospacing="1" w:after="100" w:afterAutospacing="1"/>
      <w:jc w:val="left"/>
    </w:pPr>
    <w:rPr>
      <w:rFonts w:ascii="宋体" w:hAnsi="宋体" w:cs="宋体"/>
      <w:kern w:val="0"/>
      <w:sz w:val="20"/>
      <w:szCs w:val="20"/>
    </w:rPr>
  </w:style>
  <w:style w:type="paragraph" w:customStyle="1" w:styleId="313">
    <w:name w:val="标题 11"/>
    <w:basedOn w:val="1"/>
    <w:qFormat/>
    <w:uiPriority w:val="99"/>
    <w:pPr>
      <w:spacing w:before="364"/>
      <w:outlineLvl w:val="1"/>
    </w:pPr>
    <w:rPr>
      <w:rFonts w:ascii="微软雅黑" w:hAnsi="微软雅黑" w:eastAsia="微软雅黑" w:cs="微软雅黑"/>
      <w:b/>
      <w:bCs/>
      <w:sz w:val="36"/>
      <w:szCs w:val="36"/>
    </w:rPr>
  </w:style>
  <w:style w:type="paragraph" w:customStyle="1" w:styleId="314">
    <w:name w:val="font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15">
    <w:name w:val="bn"/>
    <w:basedOn w:val="1"/>
    <w:qFormat/>
    <w:uiPriority w:val="99"/>
    <w:pPr>
      <w:topLinePunct/>
      <w:snapToGrid w:val="0"/>
      <w:ind w:left="20" w:leftChars="20" w:right="20" w:rightChars="20"/>
      <w:jc w:val="center"/>
    </w:pPr>
    <w:rPr>
      <w:color w:val="000000"/>
      <w:kern w:val="18"/>
      <w:sz w:val="18"/>
      <w:szCs w:val="18"/>
    </w:rPr>
  </w:style>
  <w:style w:type="paragraph" w:customStyle="1" w:styleId="316">
    <w:name w:val="Char Char Char Char Char1 Char1"/>
    <w:basedOn w:val="1"/>
    <w:qFormat/>
    <w:uiPriority w:val="99"/>
    <w:rPr>
      <w:rFonts w:ascii="Tahoma" w:hAnsi="Tahoma" w:cs="Tahoma"/>
      <w:szCs w:val="24"/>
    </w:rPr>
  </w:style>
  <w:style w:type="paragraph" w:customStyle="1" w:styleId="317">
    <w:name w:val="Char Char Char Char Char Char1 Char3"/>
    <w:basedOn w:val="1"/>
    <w:qFormat/>
    <w:uiPriority w:val="99"/>
    <w:pPr>
      <w:widowControl/>
      <w:spacing w:after="160" w:line="240" w:lineRule="exact"/>
      <w:jc w:val="left"/>
    </w:pPr>
  </w:style>
  <w:style w:type="paragraph" w:customStyle="1" w:styleId="318">
    <w:name w:val="中文1"/>
    <w:basedOn w:val="319"/>
    <w:qFormat/>
    <w:uiPriority w:val="99"/>
    <w:pPr>
      <w:tabs>
        <w:tab w:val="left" w:pos="1155"/>
      </w:tabs>
      <w:spacing w:afterLines="150"/>
      <w:ind w:firstLine="371" w:firstLineChars="206"/>
    </w:pPr>
    <w:rPr>
      <w:rFonts w:ascii="宋体" w:hAnsi="宋体" w:cs="宋体"/>
    </w:rPr>
  </w:style>
  <w:style w:type="paragraph" w:customStyle="1" w:styleId="319">
    <w:name w:val="英文1"/>
    <w:basedOn w:val="1"/>
    <w:qFormat/>
    <w:uiPriority w:val="99"/>
    <w:pPr>
      <w:tabs>
        <w:tab w:val="left" w:pos="1155"/>
      </w:tabs>
      <w:adjustRightInd w:val="0"/>
      <w:snapToGrid w:val="0"/>
      <w:spacing w:beforeLines="50" w:line="240" w:lineRule="exact"/>
      <w:ind w:left="733" w:leftChars="349" w:firstLine="373" w:firstLineChars="207"/>
    </w:pPr>
    <w:rPr>
      <w:rFonts w:ascii="Arial" w:hAnsi="Arial" w:cs="Arial"/>
      <w:sz w:val="18"/>
      <w:szCs w:val="18"/>
    </w:rPr>
  </w:style>
  <w:style w:type="paragraph" w:customStyle="1" w:styleId="320">
    <w:name w:val="Char2"/>
    <w:basedOn w:val="1"/>
    <w:qFormat/>
    <w:uiPriority w:val="99"/>
    <w:rPr>
      <w:szCs w:val="24"/>
    </w:rPr>
  </w:style>
  <w:style w:type="paragraph" w:customStyle="1" w:styleId="321">
    <w:name w:val="xl65"/>
    <w:basedOn w:val="1"/>
    <w:qFormat/>
    <w:uiPriority w:val="99"/>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322">
    <w:name w:val="Char1 Char Char Char Char Char Char Char Char Char Char Char Char Char Char Char Char Char Char Char"/>
    <w:basedOn w:val="1"/>
    <w:qFormat/>
    <w:uiPriority w:val="99"/>
  </w:style>
  <w:style w:type="paragraph" w:customStyle="1" w:styleId="323">
    <w:name w:val="xl73"/>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24">
    <w:name w:val="xl75"/>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325">
    <w:name w:val="xl7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26">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327">
    <w:name w:val="xl22"/>
    <w:basedOn w:val="1"/>
    <w:qFormat/>
    <w:uiPriority w:val="99"/>
    <w:pPr>
      <w:widowControl/>
      <w:spacing w:before="100" w:beforeAutospacing="1" w:after="100" w:afterAutospacing="1"/>
      <w:jc w:val="center"/>
      <w:textAlignment w:val="center"/>
    </w:pPr>
    <w:rPr>
      <w:rFonts w:ascii="仿宋_GB2312" w:hAnsi="宋体" w:eastAsia="仿宋_GB2312" w:cs="仿宋_GB2312"/>
      <w:kern w:val="0"/>
      <w:szCs w:val="24"/>
    </w:rPr>
  </w:style>
  <w:style w:type="paragraph" w:customStyle="1" w:styleId="328">
    <w:name w:val="xl70"/>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29">
    <w:name w:val="bg"/>
    <w:basedOn w:val="21"/>
    <w:qFormat/>
    <w:uiPriority w:val="99"/>
    <w:pPr>
      <w:topLinePunct/>
      <w:snapToGrid w:val="0"/>
      <w:spacing w:line="240" w:lineRule="auto"/>
      <w:ind w:firstLine="0"/>
      <w:jc w:val="center"/>
    </w:pPr>
    <w:rPr>
      <w:color w:val="000000"/>
      <w:sz w:val="18"/>
      <w:szCs w:val="18"/>
    </w:rPr>
  </w:style>
  <w:style w:type="paragraph" w:customStyle="1" w:styleId="330">
    <w:name w:val="样式 段后: 0.5 行1"/>
    <w:basedOn w:val="1"/>
    <w:qFormat/>
    <w:uiPriority w:val="99"/>
    <w:pPr>
      <w:snapToGrid w:val="0"/>
      <w:spacing w:afterLines="50"/>
    </w:pPr>
    <w:rPr>
      <w:szCs w:val="24"/>
    </w:rPr>
  </w:style>
  <w:style w:type="paragraph" w:customStyle="1" w:styleId="331">
    <w:name w:val="xl67"/>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332">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33">
    <w:name w:val="font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34">
    <w:name w:val="by"/>
    <w:basedOn w:val="329"/>
    <w:qFormat/>
    <w:uiPriority w:val="99"/>
    <w:pPr>
      <w:autoSpaceDE w:val="0"/>
      <w:autoSpaceDN w:val="0"/>
      <w:adjustRightInd w:val="0"/>
      <w:spacing w:afterLines="10"/>
      <w:ind w:left="545" w:leftChars="25" w:right="52" w:rightChars="25" w:hanging="493" w:hangingChars="275"/>
      <w:jc w:val="both"/>
    </w:pPr>
    <w:rPr>
      <w:spacing w:val="2"/>
    </w:rPr>
  </w:style>
  <w:style w:type="paragraph" w:customStyle="1" w:styleId="335">
    <w:name w:val="默认段落字体 Para Char Char Char Char"/>
    <w:basedOn w:val="1"/>
    <w:qFormat/>
    <w:uiPriority w:val="99"/>
  </w:style>
  <w:style w:type="paragraph" w:customStyle="1" w:styleId="336">
    <w:name w:val="Table Paragraph"/>
    <w:basedOn w:val="1"/>
    <w:qFormat/>
    <w:uiPriority w:val="1"/>
  </w:style>
  <w:style w:type="paragraph" w:customStyle="1" w:styleId="337">
    <w:name w:val="Char Char Char Char1"/>
    <w:basedOn w:val="1"/>
    <w:qFormat/>
    <w:uiPriority w:val="99"/>
    <w:pPr>
      <w:widowControl/>
      <w:spacing w:before="100" w:beforeAutospacing="1" w:after="100" w:afterAutospacing="1" w:line="330" w:lineRule="atLeast"/>
      <w:ind w:left="360"/>
      <w:jc w:val="left"/>
    </w:pPr>
    <w:rPr>
      <w:rFonts w:ascii="??" w:hAnsi="??" w:cs="??"/>
      <w:color w:val="51585D"/>
      <w:kern w:val="0"/>
    </w:rPr>
  </w:style>
  <w:style w:type="paragraph" w:customStyle="1" w:styleId="338">
    <w:name w:val="Char11"/>
    <w:basedOn w:val="1"/>
    <w:qFormat/>
    <w:uiPriority w:val="99"/>
    <w:pPr>
      <w:widowControl/>
      <w:spacing w:before="100" w:beforeAutospacing="1" w:after="100" w:afterAutospacing="1" w:line="330" w:lineRule="atLeast"/>
      <w:ind w:left="360"/>
      <w:jc w:val="left"/>
    </w:pPr>
    <w:rPr>
      <w:rFonts w:ascii="??" w:hAnsi="??" w:cs="??"/>
      <w:color w:val="51585D"/>
      <w:kern w:val="0"/>
      <w:szCs w:val="24"/>
    </w:rPr>
  </w:style>
  <w:style w:type="paragraph" w:customStyle="1" w:styleId="339">
    <w:name w:val="WPSOffice手动目录 1"/>
    <w:qFormat/>
    <w:uiPriority w:val="99"/>
    <w:rPr>
      <w:rFonts w:ascii="Times New Roman" w:hAnsi="Times New Roman" w:eastAsia="宋体" w:cs="Times New Roman"/>
      <w:lang w:val="en-US" w:eastAsia="zh-CN" w:bidi="ar-SA"/>
    </w:rPr>
  </w:style>
  <w:style w:type="paragraph" w:customStyle="1" w:styleId="340">
    <w:name w:val="表格标题粗体_制度头表格"/>
    <w:qFormat/>
    <w:uiPriority w:val="99"/>
    <w:pPr>
      <w:jc w:val="center"/>
    </w:pPr>
    <w:rPr>
      <w:rFonts w:ascii="Times New Roman" w:hAnsi="Times New Roman" w:eastAsia="宋体" w:cs="Times New Roman"/>
      <w:b/>
      <w:bCs/>
      <w:sz w:val="21"/>
      <w:szCs w:val="21"/>
      <w:lang w:val="en-US" w:eastAsia="zh-CN" w:bidi="ar-SA"/>
    </w:rPr>
  </w:style>
  <w:style w:type="paragraph" w:customStyle="1" w:styleId="341">
    <w:name w:val="发文落款"/>
    <w:basedOn w:val="342"/>
    <w:qFormat/>
    <w:uiPriority w:val="99"/>
    <w:pPr>
      <w:ind w:left="4094" w:right="607" w:firstLine="0"/>
      <w:jc w:val="center"/>
    </w:pPr>
  </w:style>
  <w:style w:type="paragraph" w:customStyle="1" w:styleId="342">
    <w:name w:val="公文正文"/>
    <w:qFormat/>
    <w:uiPriority w:val="99"/>
    <w:pPr>
      <w:widowControl w:val="0"/>
      <w:spacing w:line="360" w:lineRule="auto"/>
      <w:ind w:firstLine="629"/>
      <w:jc w:val="both"/>
    </w:pPr>
    <w:rPr>
      <w:rFonts w:ascii="仿宋_GB2312" w:hAnsi="Calisto MT" w:eastAsia="仿宋_GB2312" w:cs="仿宋_GB2312"/>
      <w:color w:val="000000"/>
      <w:sz w:val="32"/>
      <w:szCs w:val="32"/>
      <w:lang w:val="en-US" w:eastAsia="zh-CN" w:bidi="ar-SA"/>
    </w:rPr>
  </w:style>
  <w:style w:type="paragraph" w:customStyle="1" w:styleId="343">
    <w:name w:val="第二级"/>
    <w:basedOn w:val="1"/>
    <w:qFormat/>
    <w:uiPriority w:val="99"/>
    <w:pPr>
      <w:numPr>
        <w:ilvl w:val="1"/>
        <w:numId w:val="1"/>
      </w:numPr>
      <w:tabs>
        <w:tab w:val="left" w:pos="567"/>
      </w:tabs>
      <w:adjustRightInd w:val="0"/>
      <w:snapToGrid w:val="0"/>
      <w:spacing w:afterLines="50"/>
      <w:jc w:val="left"/>
      <w:outlineLvl w:val="1"/>
    </w:pPr>
    <w:rPr>
      <w:rFonts w:ascii="宋体" w:hAnsi="Arial" w:cs="宋体"/>
      <w:szCs w:val="24"/>
    </w:rPr>
  </w:style>
  <w:style w:type="paragraph" w:customStyle="1" w:styleId="344">
    <w:name w:val="12册标题"/>
    <w:basedOn w:val="1"/>
    <w:next w:val="1"/>
    <w:qFormat/>
    <w:uiPriority w:val="99"/>
    <w:pPr>
      <w:spacing w:beforeLines="50" w:afterLines="50"/>
      <w:jc w:val="center"/>
      <w:outlineLvl w:val="0"/>
    </w:pPr>
    <w:rPr>
      <w:rFonts w:ascii="Arial" w:hAnsi="Arial" w:eastAsia="黑体" w:cs="Arial"/>
      <w:sz w:val="44"/>
      <w:szCs w:val="44"/>
    </w:rPr>
  </w:style>
  <w:style w:type="paragraph" w:customStyle="1" w:styleId="345">
    <w:name w:val="表格内容靠左正常_制度头表格"/>
    <w:qFormat/>
    <w:uiPriority w:val="99"/>
    <w:rPr>
      <w:rFonts w:ascii="Times New Roman" w:hAnsi="Times New Roman" w:eastAsia="宋体" w:cs="Times New Roman"/>
      <w:sz w:val="21"/>
      <w:szCs w:val="21"/>
      <w:lang w:val="en-US" w:eastAsia="zh-CN" w:bidi="ar-SA"/>
    </w:rPr>
  </w:style>
  <w:style w:type="paragraph" w:customStyle="1" w:styleId="346">
    <w:name w:val="TOC 标题21"/>
    <w:basedOn w:val="5"/>
    <w:next w:val="1"/>
    <w:qFormat/>
    <w:uiPriority w:val="99"/>
    <w:pPr>
      <w:keepLines/>
      <w:spacing w:before="340" w:after="330" w:line="578" w:lineRule="auto"/>
      <w:outlineLvl w:val="9"/>
    </w:pPr>
    <w:rPr>
      <w:kern w:val="44"/>
      <w:sz w:val="44"/>
      <w:szCs w:val="44"/>
    </w:rPr>
  </w:style>
  <w:style w:type="paragraph" w:customStyle="1" w:styleId="347">
    <w:name w:val="正文文本1"/>
    <w:basedOn w:val="1"/>
    <w:qFormat/>
    <w:uiPriority w:val="99"/>
    <w:pPr>
      <w:shd w:val="clear" w:color="auto" w:fill="FFFFFF"/>
      <w:spacing w:line="298" w:lineRule="exact"/>
      <w:ind w:firstLine="360"/>
      <w:jc w:val="distribute"/>
    </w:pPr>
    <w:rPr>
      <w:rFonts w:ascii="MingLiU" w:hAnsi="MingLiU" w:eastAsia="MingLiU" w:cs="MingLiU"/>
    </w:rPr>
  </w:style>
  <w:style w:type="paragraph" w:customStyle="1" w:styleId="348">
    <w:name w:val="p17"/>
    <w:basedOn w:val="1"/>
    <w:qFormat/>
    <w:uiPriority w:val="99"/>
    <w:pPr>
      <w:widowControl/>
    </w:pPr>
    <w:rPr>
      <w:rFonts w:ascii="宋体" w:hAnsi="宋体" w:cs="宋体"/>
      <w:kern w:val="0"/>
    </w:rPr>
  </w:style>
  <w:style w:type="paragraph" w:customStyle="1" w:styleId="349">
    <w:name w:val="样式 第二级 + 段后: 0.5 行"/>
    <w:basedOn w:val="343"/>
    <w:qFormat/>
    <w:uiPriority w:val="99"/>
    <w:pPr>
      <w:spacing w:afterLines="0"/>
      <w:ind w:left="567" w:hanging="567"/>
    </w:pPr>
  </w:style>
  <w:style w:type="paragraph" w:customStyle="1" w:styleId="350">
    <w:name w:val="xl68"/>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51">
    <w:name w:val="Char Char Char Char Char1 Char Char Char Char Char Char Char"/>
    <w:basedOn w:val="1"/>
    <w:qFormat/>
    <w:uiPriority w:val="99"/>
    <w:rPr>
      <w:rFonts w:ascii="Tahoma" w:hAnsi="Tahoma" w:cs="Tahoma"/>
      <w:szCs w:val="24"/>
    </w:rPr>
  </w:style>
  <w:style w:type="paragraph" w:customStyle="1" w:styleId="352">
    <w:name w:val="Char Char Char Char Char Char Char Char Char Char Char Char"/>
    <w:basedOn w:val="1"/>
    <w:qFormat/>
    <w:uiPriority w:val="99"/>
  </w:style>
  <w:style w:type="paragraph" w:customStyle="1" w:styleId="353">
    <w:name w:val="List Paragraph_964ebea4-1b6f-4aa1-b150-9fea92a5af6b"/>
    <w:basedOn w:val="1"/>
    <w:qFormat/>
    <w:uiPriority w:val="99"/>
    <w:pPr>
      <w:ind w:left="977" w:firstLine="479"/>
    </w:pPr>
  </w:style>
  <w:style w:type="paragraph" w:customStyle="1" w:styleId="354">
    <w:name w:val="域名"/>
    <w:basedOn w:val="1"/>
    <w:qFormat/>
    <w:uiPriority w:val="99"/>
    <w:pPr>
      <w:adjustRightInd w:val="0"/>
      <w:spacing w:line="240" w:lineRule="exact"/>
      <w:textAlignment w:val="baseline"/>
    </w:pPr>
    <w:rPr>
      <w:rFonts w:ascii="宋体" w:eastAsia="仿宋_GB2312" w:cs="宋体"/>
      <w:b/>
      <w:bCs/>
      <w:color w:val="FF0000"/>
      <w:kern w:val="0"/>
    </w:rPr>
  </w:style>
  <w:style w:type="paragraph" w:customStyle="1" w:styleId="355">
    <w:name w:val="_Style 91"/>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56">
    <w:name w:val="纯文本11"/>
    <w:basedOn w:val="1"/>
    <w:qFormat/>
    <w:uiPriority w:val="99"/>
    <w:pPr>
      <w:adjustRightInd w:val="0"/>
      <w:jc w:val="left"/>
      <w:textAlignment w:val="baseline"/>
    </w:pPr>
    <w:rPr>
      <w:rFonts w:ascii="宋体" w:hAnsi="Courier New" w:cs="宋体"/>
      <w:szCs w:val="24"/>
    </w:rPr>
  </w:style>
  <w:style w:type="paragraph" w:customStyle="1" w:styleId="357">
    <w:name w:val="a0-TBL-BR-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58">
    <w:name w:val="Char Char Char Char Char Char Char Char Char Char1"/>
    <w:basedOn w:val="1"/>
    <w:qFormat/>
    <w:uiPriority w:val="99"/>
    <w:pPr>
      <w:widowControl/>
      <w:spacing w:after="160" w:line="240" w:lineRule="exact"/>
    </w:pPr>
  </w:style>
  <w:style w:type="paragraph" w:customStyle="1" w:styleId="359">
    <w:name w:val="p15"/>
    <w:basedOn w:val="1"/>
    <w:qFormat/>
    <w:uiPriority w:val="99"/>
    <w:pPr>
      <w:widowControl/>
    </w:pPr>
    <w:rPr>
      <w:rFonts w:ascii="宋体" w:hAnsi="宋体" w:cs="宋体"/>
      <w:kern w:val="0"/>
    </w:rPr>
  </w:style>
  <w:style w:type="paragraph" w:customStyle="1" w:styleId="360">
    <w:name w:val="纯文本1"/>
    <w:basedOn w:val="1"/>
    <w:qFormat/>
    <w:uiPriority w:val="99"/>
    <w:pPr>
      <w:adjustRightInd w:val="0"/>
      <w:jc w:val="left"/>
      <w:textAlignment w:val="baseline"/>
    </w:pPr>
    <w:rPr>
      <w:rFonts w:ascii="宋体" w:hAnsi="Courier New" w:cs="宋体"/>
      <w:szCs w:val="24"/>
    </w:rPr>
  </w:style>
  <w:style w:type="paragraph" w:customStyle="1" w:styleId="361">
    <w:name w:val="样式 样式 样式1 + 段后: 0.5 行 + 段后: 0.5 行"/>
    <w:basedOn w:val="1"/>
    <w:qFormat/>
    <w:uiPriority w:val="99"/>
    <w:pPr>
      <w:numPr>
        <w:ilvl w:val="0"/>
        <w:numId w:val="2"/>
      </w:numPr>
      <w:tabs>
        <w:tab w:val="left" w:pos="720"/>
      </w:tabs>
      <w:adjustRightInd w:val="0"/>
      <w:snapToGrid w:val="0"/>
      <w:jc w:val="left"/>
      <w:outlineLvl w:val="0"/>
    </w:pPr>
    <w:rPr>
      <w:rFonts w:ascii="宋体" w:hAnsi="Arial" w:cs="宋体"/>
      <w:szCs w:val="24"/>
    </w:rPr>
  </w:style>
  <w:style w:type="paragraph" w:customStyle="1" w:styleId="362">
    <w:name w:val="xl7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63">
    <w:name w:val="p0"/>
    <w:basedOn w:val="1"/>
    <w:qFormat/>
    <w:uiPriority w:val="99"/>
    <w:pPr>
      <w:widowControl/>
    </w:pPr>
    <w:rPr>
      <w:kern w:val="0"/>
    </w:rPr>
  </w:style>
  <w:style w:type="paragraph" w:customStyle="1" w:styleId="364">
    <w:name w:val="默认段落字体 Para Char Char Char Char Char Char Char Char Char Char Char Char Char Char"/>
    <w:basedOn w:val="18"/>
    <w:qFormat/>
    <w:uiPriority w:val="99"/>
    <w:rPr>
      <w:sz w:val="21"/>
      <w:szCs w:val="21"/>
    </w:rPr>
  </w:style>
  <w:style w:type="paragraph" w:customStyle="1" w:styleId="365">
    <w:name w:val="Char3"/>
    <w:basedOn w:val="1"/>
    <w:qFormat/>
    <w:uiPriority w:val="99"/>
    <w:pPr>
      <w:adjustRightInd w:val="0"/>
      <w:snapToGrid w:val="0"/>
      <w:ind w:firstLine="200"/>
      <w:jc w:val="left"/>
    </w:pPr>
  </w:style>
  <w:style w:type="paragraph" w:customStyle="1" w:styleId="366">
    <w:name w:val="公文标题"/>
    <w:basedOn w:val="6"/>
    <w:qFormat/>
    <w:uiPriority w:val="99"/>
    <w:pPr>
      <w:keepNext/>
      <w:keepLines/>
      <w:spacing w:before="260" w:beforeAutospacing="0" w:after="260" w:afterAutospacing="0"/>
      <w:ind w:left="1469" w:right="1542"/>
      <w:jc w:val="center"/>
    </w:pPr>
    <w:rPr>
      <w:rFonts w:ascii="Calibri" w:hAnsi="Calibri" w:cs="Calibri"/>
      <w:kern w:val="2"/>
      <w:sz w:val="44"/>
      <w:szCs w:val="44"/>
    </w:rPr>
  </w:style>
  <w:style w:type="paragraph" w:customStyle="1" w:styleId="367">
    <w:name w:val="Char1 Char Char Char Char Char Char Char Char Char Char Char Char Char Char Char Char Char Char Char1"/>
    <w:basedOn w:val="1"/>
    <w:qFormat/>
    <w:uiPriority w:val="99"/>
  </w:style>
  <w:style w:type="paragraph" w:customStyle="1" w:styleId="368">
    <w:name w:val="普通 (Web)"/>
    <w:basedOn w:val="1"/>
    <w:qFormat/>
    <w:uiPriority w:val="99"/>
    <w:pPr>
      <w:widowControl/>
      <w:spacing w:before="100" w:beforeAutospacing="1" w:after="100" w:afterAutospacing="1"/>
      <w:jc w:val="left"/>
    </w:pPr>
    <w:rPr>
      <w:rFonts w:ascii="宋体" w:hAnsi="宋体" w:cs="宋体"/>
      <w:kern w:val="0"/>
      <w:szCs w:val="24"/>
    </w:rPr>
  </w:style>
  <w:style w:type="paragraph" w:customStyle="1" w:styleId="369">
    <w:name w:val="formtable1"/>
    <w:basedOn w:val="1"/>
    <w:qFormat/>
    <w:uiPriority w:val="99"/>
    <w:pPr>
      <w:widowControl/>
      <w:pBdr>
        <w:left w:val="single" w:color="CCCCCC" w:sz="6" w:space="0"/>
      </w:pBdr>
      <w:spacing w:before="100" w:beforeAutospacing="1" w:after="100" w:afterAutospacing="1"/>
      <w:jc w:val="left"/>
    </w:pPr>
    <w:rPr>
      <w:rFonts w:ascii="宋体" w:hAnsi="宋体" w:cs="宋体"/>
      <w:kern w:val="0"/>
      <w:szCs w:val="24"/>
    </w:rPr>
  </w:style>
  <w:style w:type="paragraph" w:customStyle="1" w:styleId="370">
    <w:name w:val="标题 31"/>
    <w:basedOn w:val="1"/>
    <w:qFormat/>
    <w:uiPriority w:val="99"/>
    <w:pPr>
      <w:ind w:left="977" w:hanging="515"/>
      <w:outlineLvl w:val="3"/>
    </w:pPr>
    <w:rPr>
      <w:rFonts w:ascii="微软雅黑" w:hAnsi="微软雅黑" w:eastAsia="微软雅黑" w:cs="微软雅黑"/>
      <w:b/>
      <w:bCs/>
      <w:szCs w:val="24"/>
    </w:rPr>
  </w:style>
  <w:style w:type="paragraph" w:customStyle="1" w:styleId="371">
    <w:name w:val="Char Char Char Char Char1 Char"/>
    <w:basedOn w:val="1"/>
    <w:qFormat/>
    <w:uiPriority w:val="99"/>
    <w:rPr>
      <w:rFonts w:ascii="Tahoma" w:hAnsi="Tahoma" w:cs="Tahoma"/>
      <w:szCs w:val="24"/>
    </w:rPr>
  </w:style>
  <w:style w:type="paragraph" w:customStyle="1" w:styleId="372">
    <w:name w:val="表格空行_制度头表格"/>
    <w:basedOn w:val="373"/>
    <w:qFormat/>
    <w:uiPriority w:val="99"/>
    <w:pPr>
      <w:tabs>
        <w:tab w:val="left" w:pos="2960"/>
      </w:tabs>
      <w:jc w:val="both"/>
    </w:pPr>
    <w:rPr>
      <w:rFonts w:eastAsia="黑体"/>
      <w:sz w:val="11"/>
      <w:szCs w:val="11"/>
    </w:rPr>
  </w:style>
  <w:style w:type="paragraph" w:customStyle="1" w:styleId="373">
    <w:name w:val="表格标题正常_制度头表格"/>
    <w:qFormat/>
    <w:uiPriority w:val="99"/>
    <w:pPr>
      <w:jc w:val="center"/>
    </w:pPr>
    <w:rPr>
      <w:rFonts w:ascii="Times New Roman" w:hAnsi="Times New Roman" w:eastAsia="宋体" w:cs="Times New Roman"/>
      <w:sz w:val="21"/>
      <w:szCs w:val="21"/>
      <w:lang w:val="en-US" w:eastAsia="zh-CN" w:bidi="ar-SA"/>
    </w:rPr>
  </w:style>
  <w:style w:type="paragraph" w:customStyle="1" w:styleId="374">
    <w:name w:val="xl64"/>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75">
    <w:name w:val="xl69"/>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376">
    <w:name w:val="xl71"/>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color w:val="FF0000"/>
      <w:kern w:val="0"/>
      <w:sz w:val="20"/>
      <w:szCs w:val="20"/>
    </w:rPr>
  </w:style>
  <w:style w:type="paragraph" w:customStyle="1" w:styleId="377">
    <w:name w:val="xl63"/>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table" w:customStyle="1" w:styleId="378">
    <w:name w:val="网格型1"/>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9">
    <w:name w:val="正文11"/>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380">
    <w:name w:val="fontstyle01"/>
    <w:basedOn w:val="51"/>
    <w:qFormat/>
    <w:uiPriority w:val="0"/>
    <w:rPr>
      <w:rFonts w:hint="eastAsia" w:ascii="宋体" w:hAnsi="宋体" w:eastAsia="宋体" w:cs="宋体"/>
      <w:color w:val="000000"/>
      <w:sz w:val="18"/>
      <w:szCs w:val="18"/>
    </w:rPr>
  </w:style>
  <w:style w:type="character" w:customStyle="1" w:styleId="381">
    <w:name w:val="NormalCharacter"/>
    <w:semiHidden/>
    <w:qFormat/>
    <w:uiPriority w:val="0"/>
    <w:rPr>
      <w:rFonts w:ascii="Times New Roman" w:hAnsi="Times New Roman" w:eastAsia="宋体" w:cs="Times New Roman"/>
      <w:kern w:val="2"/>
      <w:sz w:val="24"/>
      <w:szCs w:val="21"/>
      <w:lang w:val="en-US" w:eastAsia="zh-CN" w:bidi="ar-SA"/>
    </w:rPr>
  </w:style>
  <w:style w:type="paragraph" w:customStyle="1" w:styleId="382">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83">
    <w:name w:val="专用标题2"/>
    <w:basedOn w:val="7"/>
    <w:next w:val="1"/>
    <w:qFormat/>
    <w:uiPriority w:val="0"/>
    <w:pPr>
      <w:keepNext w:val="0"/>
      <w:keepLines w:val="0"/>
      <w:tabs>
        <w:tab w:val="left" w:pos="993"/>
      </w:tabs>
      <w:spacing w:line="360" w:lineRule="auto"/>
    </w:pPr>
    <w:rPr>
      <w:rFonts w:ascii="宋体" w:hAnsi="宋体" w:cs="Times"/>
    </w:rPr>
  </w:style>
  <w:style w:type="paragraph" w:customStyle="1" w:styleId="384">
    <w:name w:val="附件标题"/>
    <w:basedOn w:val="7"/>
    <w:next w:val="1"/>
    <w:qFormat/>
    <w:uiPriority w:val="0"/>
    <w:pPr>
      <w:numPr>
        <w:ilvl w:val="0"/>
        <w:numId w:val="3"/>
      </w:numPr>
      <w:tabs>
        <w:tab w:val="left" w:pos="1134"/>
      </w:tabs>
      <w:spacing w:line="360" w:lineRule="auto"/>
      <w:ind w:firstLine="0"/>
      <w:jc w:val="center"/>
    </w:pPr>
    <w:rPr>
      <w:rFonts w:ascii="黑体" w:hAnsi="黑体"/>
      <w:sz w:val="30"/>
      <w:szCs w:val="30"/>
    </w:rPr>
  </w:style>
  <w:style w:type="paragraph" w:customStyle="1" w:styleId="385">
    <w:name w:val="通用标题3"/>
    <w:next w:val="1"/>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386">
    <w:name w:val="正文 New"/>
    <w:qFormat/>
    <w:uiPriority w:val="0"/>
    <w:pPr>
      <w:widowControl w:val="0"/>
      <w:jc w:val="both"/>
    </w:pPr>
    <w:rPr>
      <w:rFonts w:ascii="Calibri" w:hAnsi="Calibri" w:eastAsia="宋体" w:cs="Calibri"/>
      <w:kern w:val="2"/>
      <w:sz w:val="21"/>
      <w:szCs w:val="21"/>
      <w:lang w:val="en-US" w:eastAsia="zh-CN" w:bidi="ar-SA"/>
    </w:rPr>
  </w:style>
  <w:style w:type="character" w:customStyle="1" w:styleId="387">
    <w:name w:val="style21"/>
    <w:qFormat/>
    <w:uiPriority w:val="0"/>
    <w:rPr>
      <w:rFonts w:ascii="Times New Roman" w:hAnsi="Times New Roman" w:eastAsia="宋体" w:cs="Times New Roman"/>
    </w:rPr>
  </w:style>
  <w:style w:type="paragraph" w:customStyle="1" w:styleId="388">
    <w:name w:val="通用标题2"/>
    <w:basedOn w:val="7"/>
    <w:next w:val="1"/>
    <w:qFormat/>
    <w:uiPriority w:val="0"/>
    <w:pPr>
      <w:keepNext w:val="0"/>
      <w:keepLines w:val="0"/>
      <w:numPr>
        <w:ilvl w:val="0"/>
        <w:numId w:val="4"/>
      </w:numPr>
      <w:tabs>
        <w:tab w:val="left" w:pos="993"/>
      </w:tabs>
      <w:spacing w:line="360" w:lineRule="auto"/>
    </w:pPr>
    <w:rPr>
      <w:rFonts w:ascii="黑体" w:hAnsi="黑体"/>
    </w:rPr>
  </w:style>
  <w:style w:type="paragraph" w:customStyle="1" w:styleId="389">
    <w:name w:val="通用标题4"/>
    <w:next w:val="1"/>
    <w:qFormat/>
    <w:uiPriority w:val="0"/>
    <w:pPr>
      <w:tabs>
        <w:tab w:val="left" w:pos="851"/>
      </w:tabs>
      <w:adjustRightInd w:val="0"/>
      <w:snapToGrid w:val="0"/>
      <w:spacing w:after="120"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390">
    <w:name w:val="通用标题5"/>
    <w:qFormat/>
    <w:uiPriority w:val="0"/>
    <w:pPr>
      <w:widowControl w:val="0"/>
      <w:tabs>
        <w:tab w:val="left" w:pos="1134"/>
      </w:tabs>
      <w:autoSpaceDE w:val="0"/>
      <w:autoSpaceDN w:val="0"/>
      <w:adjustRightInd w:val="0"/>
      <w:snapToGrid w:val="0"/>
      <w:spacing w:after="120" w:afterLines="50" w:line="360" w:lineRule="auto"/>
      <w:ind w:left="710"/>
      <w:jc w:val="both"/>
    </w:pPr>
    <w:rPr>
      <w:rFonts w:ascii="宋体" w:hAnsi="宋体" w:eastAsia="宋体" w:cs="Times New Roman"/>
      <w:kern w:val="2"/>
      <w:sz w:val="24"/>
      <w:szCs w:val="21"/>
      <w:lang w:val="en-US" w:eastAsia="zh-CN" w:bidi="ar-SA"/>
    </w:rPr>
  </w:style>
  <w:style w:type="paragraph" w:customStyle="1" w:styleId="391">
    <w:name w:val="通用标题6"/>
    <w:basedOn w:val="1"/>
    <w:qFormat/>
    <w:uiPriority w:val="0"/>
    <w:pPr>
      <w:tabs>
        <w:tab w:val="left" w:pos="993"/>
      </w:tabs>
      <w:ind w:left="310"/>
    </w:pPr>
  </w:style>
  <w:style w:type="paragraph" w:customStyle="1" w:styleId="392">
    <w:name w:val="正文 A"/>
    <w:qFormat/>
    <w:uiPriority w:val="0"/>
    <w:pPr>
      <w:widowControl w:val="0"/>
      <w:jc w:val="both"/>
    </w:pPr>
    <w:rPr>
      <w:rFonts w:ascii="Calibri" w:hAnsi="Cambria Math" w:eastAsia="Times New Roman" w:cs="Cambria Math"/>
      <w:color w:val="000000"/>
      <w:kern w:val="2"/>
      <w:sz w:val="21"/>
      <w:szCs w:val="21"/>
      <w:u w:color="000000"/>
      <w:lang w:val="en-US" w:eastAsia="zh-CN" w:bidi="ar-SA"/>
    </w:rPr>
  </w:style>
  <w:style w:type="paragraph" w:customStyle="1" w:styleId="393">
    <w:name w:val="HTML 预设格式1"/>
    <w:basedOn w:val="1"/>
    <w:qFormat/>
    <w:uiPriority w:val="0"/>
    <w:pPr>
      <w:widowControl/>
    </w:pPr>
    <w:rPr>
      <w:szCs w:val="24"/>
    </w:rPr>
  </w:style>
  <w:style w:type="paragraph" w:customStyle="1" w:styleId="394">
    <w:name w:val="NormalIndent"/>
    <w:basedOn w:val="1"/>
    <w:qFormat/>
    <w:uiPriority w:val="0"/>
    <w:pPr>
      <w:spacing w:line="240" w:lineRule="auto"/>
      <w:ind w:firstLine="420" w:firstLineChars="200"/>
      <w:textAlignment w:val="baseline"/>
    </w:pPr>
    <w:rPr>
      <w:sz w:val="21"/>
      <w:szCs w:val="24"/>
    </w:rPr>
  </w:style>
  <w:style w:type="paragraph" w:customStyle="1" w:styleId="395">
    <w:name w:val="协议书标题2"/>
    <w:basedOn w:val="7"/>
    <w:next w:val="1"/>
    <w:qFormat/>
    <w:uiPriority w:val="0"/>
    <w:pPr>
      <w:keepNext w:val="0"/>
      <w:keepLines w:val="0"/>
      <w:numPr>
        <w:ilvl w:val="0"/>
        <w:numId w:val="5"/>
      </w:numPr>
      <w:tabs>
        <w:tab w:val="left" w:pos="567"/>
      </w:tabs>
      <w:spacing w:line="360" w:lineRule="auto"/>
      <w:ind w:firstLine="0" w:firstLineChars="0"/>
      <w:jc w:val="left"/>
    </w:pPr>
    <w:rPr>
      <w:rFonts w:ascii="宋体" w:hAnsi="宋体" w:eastAsia="宋体"/>
      <w:sz w:val="24"/>
    </w:rPr>
  </w:style>
  <w:style w:type="paragraph" w:customStyle="1" w:styleId="39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205</Pages>
  <Words>130338</Words>
  <Characters>135742</Characters>
  <Lines>877</Lines>
  <Paragraphs>247</Paragraphs>
  <TotalTime>64</TotalTime>
  <ScaleCrop>false</ScaleCrop>
  <LinksUpToDate>false</LinksUpToDate>
  <CharactersWithSpaces>142167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2023-04-25T04:25:00Z</dcterms:created>
  <dc:creator>罗剑东</dc:creator>
  <cp:lastModifiedBy>windoes10</cp:lastModifiedBy>
  <cp:lastPrinted>2023-04-28T08:58:00Z</cp:lastPrinted>
  <dcterms:modified xsi:type="dcterms:W3CDTF">2023-04-28T11:18:14Z</dcterms:modified>
  <dc:title>工程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AD8C386DBED542A9A42E320863D50DB1_13</vt:lpwstr>
  </property>
</Properties>
</file>