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20" w:lineRule="exact"/>
        <w:ind w:right="818"/>
        <w:rPr>
          <w:rFonts w:ascii="宋体"/>
          <w:b/>
          <w:bCs/>
          <w:color w:val="auto"/>
          <w:sz w:val="36"/>
          <w:szCs w:val="36"/>
          <w:highlight w:val="none"/>
        </w:rPr>
      </w:pPr>
      <w:r>
        <w:rPr>
          <w:rFonts w:hint="eastAsia" w:ascii="宋体"/>
          <w:b/>
          <w:bCs/>
          <w:color w:val="auto"/>
          <w:sz w:val="24"/>
          <w:highlight w:val="none"/>
        </w:rPr>
        <w:t>版本编码：（湛监招2021）</w:t>
      </w:r>
      <w:r>
        <w:rPr>
          <w:rFonts w:hint="eastAsia"/>
          <w:b/>
          <w:bCs/>
          <w:color w:val="auto"/>
          <w:sz w:val="24"/>
          <w:highlight w:val="none"/>
        </w:rPr>
        <w:t>001（试行）</w:t>
      </w:r>
    </w:p>
    <w:p>
      <w:pPr>
        <w:spacing w:line="700" w:lineRule="exact"/>
        <w:ind w:right="816"/>
        <w:rPr>
          <w:rFonts w:ascii="华文行楷" w:eastAsia="华文行楷"/>
          <w:color w:val="auto"/>
          <w:sz w:val="42"/>
          <w:szCs w:val="48"/>
          <w:highlight w:val="none"/>
        </w:rPr>
      </w:pPr>
    </w:p>
    <w:p>
      <w:pPr>
        <w:spacing w:line="900" w:lineRule="exact"/>
        <w:ind w:right="816" w:firstLine="540"/>
        <w:jc w:val="center"/>
        <w:outlineLvl w:val="0"/>
        <w:rPr>
          <w:rFonts w:ascii="宋体" w:hAnsi="宋体"/>
          <w:b/>
          <w:bCs/>
          <w:color w:val="auto"/>
          <w:sz w:val="48"/>
          <w:szCs w:val="52"/>
          <w:highlight w:val="none"/>
        </w:rPr>
      </w:pPr>
      <w:bookmarkStart w:id="0" w:name="_Toc17625"/>
      <w:r>
        <w:rPr>
          <w:rFonts w:hint="eastAsia"/>
          <w:b/>
          <w:bCs/>
          <w:color w:val="auto"/>
          <w:sz w:val="52"/>
          <w:highlight w:val="none"/>
          <w:u w:val="single"/>
          <w:lang w:eastAsia="zh-CN"/>
        </w:rPr>
        <w:t>湛江经开区老旧小区改造项目（一期一标）监理</w:t>
      </w:r>
      <w:bookmarkEnd w:id="0"/>
    </w:p>
    <w:p>
      <w:pPr>
        <w:spacing w:line="900" w:lineRule="exact"/>
        <w:ind w:left="1470" w:right="1764" w:hanging="210"/>
        <w:jc w:val="center"/>
        <w:rPr>
          <w:rFonts w:ascii="宋体" w:hAnsi="宋体"/>
          <w:b/>
          <w:color w:val="auto"/>
          <w:sz w:val="44"/>
          <w:szCs w:val="44"/>
          <w:highlight w:val="none"/>
        </w:rPr>
      </w:pPr>
    </w:p>
    <w:p>
      <w:pPr>
        <w:spacing w:line="900" w:lineRule="exact"/>
        <w:jc w:val="center"/>
        <w:rPr>
          <w:rFonts w:ascii="宋体" w:hAnsi="宋体"/>
          <w:b/>
          <w:color w:val="auto"/>
          <w:sz w:val="44"/>
          <w:szCs w:val="44"/>
          <w:highlight w:val="none"/>
        </w:rPr>
      </w:pPr>
    </w:p>
    <w:p>
      <w:pPr>
        <w:spacing w:line="900" w:lineRule="exact"/>
        <w:jc w:val="center"/>
        <w:rPr>
          <w:rFonts w:ascii="宋体" w:hAnsi="宋体"/>
          <w:b/>
          <w:color w:val="auto"/>
          <w:sz w:val="84"/>
          <w:szCs w:val="84"/>
          <w:highlight w:val="none"/>
        </w:rPr>
      </w:pPr>
    </w:p>
    <w:p>
      <w:pPr>
        <w:spacing w:line="900" w:lineRule="exact"/>
        <w:jc w:val="center"/>
        <w:outlineLvl w:val="0"/>
        <w:rPr>
          <w:rFonts w:ascii="宋体" w:hAnsi="宋体"/>
          <w:b/>
          <w:color w:val="auto"/>
          <w:sz w:val="84"/>
          <w:szCs w:val="84"/>
          <w:highlight w:val="none"/>
        </w:rPr>
      </w:pPr>
      <w:bookmarkStart w:id="1" w:name="_Toc14877"/>
      <w:r>
        <w:rPr>
          <w:rFonts w:hint="eastAsia" w:ascii="宋体" w:hAnsi="宋体"/>
          <w:b/>
          <w:color w:val="auto"/>
          <w:sz w:val="84"/>
          <w:szCs w:val="84"/>
          <w:highlight w:val="none"/>
        </w:rPr>
        <w:t>监理招标文件</w:t>
      </w:r>
      <w:bookmarkEnd w:id="1"/>
    </w:p>
    <w:p>
      <w:pPr>
        <w:spacing w:line="700" w:lineRule="exact"/>
        <w:ind w:right="1763" w:firstLine="3092" w:firstLineChars="700"/>
        <w:rPr>
          <w:rFonts w:ascii="宋体" w:hAnsi="宋体"/>
          <w:b/>
          <w:color w:val="auto"/>
          <w:sz w:val="44"/>
          <w:szCs w:val="44"/>
          <w:highlight w:val="none"/>
        </w:rPr>
      </w:pPr>
      <w:r>
        <w:rPr>
          <w:rFonts w:hint="eastAsia" w:ascii="宋体"/>
          <w:b/>
          <w:color w:val="auto"/>
          <w:sz w:val="44"/>
          <w:szCs w:val="44"/>
          <w:highlight w:val="none"/>
        </w:rPr>
        <w:t>（公开招标）</w:t>
      </w:r>
    </w:p>
    <w:p>
      <w:pPr>
        <w:spacing w:line="800" w:lineRule="exact"/>
        <w:jc w:val="center"/>
        <w:rPr>
          <w:rFonts w:ascii="宋体" w:hAnsi="宋体"/>
          <w:b/>
          <w:color w:val="auto"/>
          <w:sz w:val="44"/>
          <w:szCs w:val="44"/>
          <w:highlight w:val="none"/>
        </w:rPr>
      </w:pPr>
    </w:p>
    <w:p>
      <w:pPr>
        <w:pStyle w:val="2"/>
        <w:outlineLvl w:val="9"/>
        <w:rPr>
          <w:color w:val="auto"/>
          <w:highlight w:val="none"/>
        </w:rPr>
      </w:pPr>
    </w:p>
    <w:p>
      <w:pPr>
        <w:pStyle w:val="7"/>
        <w:spacing w:line="480" w:lineRule="auto"/>
        <w:rPr>
          <w:rFonts w:hint="eastAsia" w:ascii="宋体" w:eastAsia="宋体"/>
          <w:b/>
          <w:color w:val="auto"/>
          <w:sz w:val="32"/>
          <w:szCs w:val="32"/>
          <w:highlight w:val="none"/>
          <w:lang w:eastAsia="zh-CN"/>
        </w:rPr>
      </w:pPr>
      <w:r>
        <w:rPr>
          <w:rFonts w:hint="eastAsia" w:ascii="宋体"/>
          <w:b/>
          <w:color w:val="auto"/>
          <w:sz w:val="32"/>
          <w:szCs w:val="32"/>
          <w:highlight w:val="none"/>
        </w:rPr>
        <w:t>招标人（公章）：</w:t>
      </w:r>
      <w:r>
        <w:rPr>
          <w:rFonts w:hint="eastAsia"/>
          <w:b/>
          <w:color w:val="auto"/>
          <w:sz w:val="32"/>
          <w:szCs w:val="32"/>
          <w:highlight w:val="none"/>
          <w:u w:val="single"/>
          <w:lang w:eastAsia="zh-CN"/>
        </w:rPr>
        <w:t>湛江经济技术开发区城市综合管理局</w:t>
      </w:r>
    </w:p>
    <w:p>
      <w:pPr>
        <w:pStyle w:val="7"/>
        <w:spacing w:line="480" w:lineRule="auto"/>
        <w:rPr>
          <w:rFonts w:hint="eastAsia" w:eastAsia="宋体"/>
          <w:b/>
          <w:color w:val="auto"/>
          <w:sz w:val="32"/>
          <w:szCs w:val="32"/>
          <w:highlight w:val="none"/>
          <w:u w:val="single"/>
          <w:lang w:eastAsia="zh-CN"/>
        </w:rPr>
      </w:pPr>
      <w:r>
        <w:rPr>
          <w:rFonts w:hint="eastAsia" w:ascii="宋体"/>
          <w:b/>
          <w:color w:val="auto"/>
          <w:sz w:val="32"/>
          <w:szCs w:val="32"/>
          <w:highlight w:val="none"/>
        </w:rPr>
        <w:t>招标代理机构（公章）：</w:t>
      </w:r>
      <w:r>
        <w:rPr>
          <w:rFonts w:hint="eastAsia" w:ascii="宋体"/>
          <w:b/>
          <w:color w:val="auto"/>
          <w:sz w:val="32"/>
          <w:szCs w:val="32"/>
          <w:highlight w:val="none"/>
          <w:u w:val="single"/>
          <w:lang w:eastAsia="zh-CN"/>
        </w:rPr>
        <w:t>广东丰联招标代理有限公司</w:t>
      </w:r>
    </w:p>
    <w:p>
      <w:pPr>
        <w:spacing w:line="480" w:lineRule="auto"/>
        <w:ind w:right="1764"/>
        <w:rPr>
          <w:rFonts w:ascii="方正小标宋简体" w:hAnsi="方正小标宋简体" w:eastAsia="方正小标宋简体" w:cs="方正小标宋简体"/>
          <w:b/>
          <w:bCs/>
          <w:color w:val="auto"/>
          <w:sz w:val="44"/>
          <w:szCs w:val="44"/>
          <w:highlight w:val="none"/>
        </w:rPr>
      </w:pPr>
      <w:r>
        <w:rPr>
          <w:rFonts w:hint="eastAsia" w:ascii="宋体"/>
          <w:b/>
          <w:color w:val="auto"/>
          <w:sz w:val="32"/>
          <w:szCs w:val="32"/>
          <w:highlight w:val="none"/>
        </w:rPr>
        <w:t>编制时间：</w:t>
      </w:r>
      <w:r>
        <w:rPr>
          <w:rFonts w:hint="eastAsia" w:ascii="宋体"/>
          <w:b/>
          <w:color w:val="auto"/>
          <w:sz w:val="32"/>
          <w:szCs w:val="32"/>
          <w:highlight w:val="none"/>
          <w:u w:val="single"/>
        </w:rPr>
        <w:t xml:space="preserve"> 202</w:t>
      </w:r>
      <w:r>
        <w:rPr>
          <w:rFonts w:hint="eastAsia" w:ascii="宋体"/>
          <w:b/>
          <w:color w:val="auto"/>
          <w:sz w:val="32"/>
          <w:szCs w:val="32"/>
          <w:highlight w:val="none"/>
          <w:u w:val="single"/>
          <w:lang w:val="en-US" w:eastAsia="zh-CN"/>
        </w:rPr>
        <w:t>3</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p>
    <w:p>
      <w:pPr>
        <w:pStyle w:val="10"/>
        <w:spacing w:beforeLines="200" w:line="520" w:lineRule="exact"/>
        <w:jc w:val="center"/>
        <w:rPr>
          <w:rFonts w:ascii="方正小标宋简体" w:hAnsi="方正小标宋简体" w:eastAsia="方正小标宋简体" w:cs="方正小标宋简体"/>
          <w:b/>
          <w:bCs/>
          <w:color w:val="auto"/>
          <w:sz w:val="44"/>
          <w:szCs w:val="44"/>
          <w:highlight w:val="none"/>
        </w:rPr>
      </w:pPr>
    </w:p>
    <w:p>
      <w:pPr>
        <w:pStyle w:val="10"/>
        <w:spacing w:beforeLines="200" w:line="520" w:lineRule="exact"/>
        <w:jc w:val="center"/>
        <w:outlineLvl w:val="0"/>
        <w:rPr>
          <w:rFonts w:ascii="方正小标宋简体" w:hAnsi="方正小标宋简体" w:eastAsia="方正小标宋简体" w:cs="方正小标宋简体"/>
          <w:b/>
          <w:bCs/>
          <w:color w:val="auto"/>
          <w:sz w:val="44"/>
          <w:szCs w:val="44"/>
          <w:highlight w:val="none"/>
        </w:rPr>
      </w:pPr>
      <w:bookmarkStart w:id="2" w:name="_Toc26926"/>
      <w:r>
        <w:rPr>
          <w:rFonts w:hint="eastAsia" w:ascii="方正小标宋简体" w:hAnsi="方正小标宋简体" w:eastAsia="方正小标宋简体" w:cs="方正小标宋简体"/>
          <w:b/>
          <w:bCs/>
          <w:color w:val="auto"/>
          <w:sz w:val="44"/>
          <w:szCs w:val="44"/>
          <w:highlight w:val="none"/>
        </w:rPr>
        <w:t>关于招标文件示范文本的使用说明</w:t>
      </w:r>
      <w:bookmarkEnd w:id="2"/>
    </w:p>
    <w:p>
      <w:pPr>
        <w:pStyle w:val="7"/>
        <w:spacing w:after="0" w:line="560" w:lineRule="exact"/>
        <w:ind w:firstLine="560" w:firstLineChars="200"/>
        <w:rPr>
          <w:rFonts w:ascii="宋体"/>
          <w:color w:val="auto"/>
          <w:sz w:val="28"/>
          <w:szCs w:val="28"/>
          <w:highlight w:val="none"/>
        </w:rPr>
      </w:pPr>
      <w:r>
        <w:rPr>
          <w:rFonts w:hint="eastAsia" w:ascii="宋体"/>
          <w:color w:val="auto"/>
          <w:sz w:val="28"/>
          <w:szCs w:val="28"/>
          <w:highlight w:val="none"/>
        </w:rPr>
        <w:t>1.本参考范本由招标人或招标代理机构在“湛江建设信息网https://www.zhanjiang.gov.cn/zjj/sy/xfwj/index.html”和“湛江市公共资源交易中心门户网站http://ggzy.zhanjiang.gov.cn/”查看或下载。</w:t>
      </w:r>
    </w:p>
    <w:p>
      <w:pPr>
        <w:pStyle w:val="10"/>
        <w:spacing w:line="560" w:lineRule="exact"/>
        <w:ind w:firstLine="560" w:firstLineChars="200"/>
        <w:rPr>
          <w:color w:val="auto"/>
          <w:sz w:val="28"/>
          <w:szCs w:val="28"/>
          <w:highlight w:val="none"/>
        </w:rPr>
      </w:pPr>
      <w:r>
        <w:rPr>
          <w:rFonts w:hint="eastAsia" w:hAnsi="Times New Roman"/>
          <w:color w:val="auto"/>
          <w:sz w:val="28"/>
          <w:szCs w:val="28"/>
          <w:highlight w:val="none"/>
        </w:rPr>
        <w:t>2.</w:t>
      </w:r>
      <w:r>
        <w:rPr>
          <w:rFonts w:hint="eastAsia"/>
          <w:color w:val="auto"/>
          <w:sz w:val="28"/>
          <w:szCs w:val="28"/>
          <w:highlight w:val="none"/>
        </w:rPr>
        <w:t>招标人在使用本范本时，招标文件中的空格必须按实填写，招标人可根据需要补充填写内容。所有增加或修改部分内容、空白栏目的填写必须采用</w:t>
      </w:r>
      <w:r>
        <w:rPr>
          <w:rFonts w:hint="eastAsia" w:ascii="华文行楷" w:hAnsi="华文行楷" w:eastAsia="华文行楷" w:cs="华文行楷"/>
          <w:color w:val="auto"/>
          <w:sz w:val="28"/>
          <w:szCs w:val="28"/>
          <w:highlight w:val="none"/>
        </w:rPr>
        <w:t>四号华文行楷字体</w:t>
      </w:r>
      <w:r>
        <w:rPr>
          <w:rFonts w:hint="eastAsia"/>
          <w:color w:val="auto"/>
          <w:sz w:val="28"/>
          <w:szCs w:val="28"/>
          <w:highlight w:val="none"/>
        </w:rPr>
        <w:t>。</w:t>
      </w:r>
    </w:p>
    <w:p>
      <w:pPr>
        <w:pStyle w:val="10"/>
        <w:spacing w:line="560" w:lineRule="exact"/>
        <w:ind w:firstLine="562" w:firstLineChars="200"/>
        <w:rPr>
          <w:b/>
          <w:bCs/>
          <w:color w:val="auto"/>
          <w:sz w:val="28"/>
          <w:szCs w:val="28"/>
          <w:highlight w:val="none"/>
        </w:rPr>
      </w:pPr>
      <w:r>
        <w:rPr>
          <w:rFonts w:hint="eastAsia"/>
          <w:b/>
          <w:bCs/>
          <w:color w:val="auto"/>
          <w:sz w:val="28"/>
          <w:szCs w:val="28"/>
          <w:highlight w:val="none"/>
        </w:rPr>
        <w:t>3.“□”为选择项，选择的内容（项）保留，不选的请删除。</w:t>
      </w:r>
    </w:p>
    <w:p>
      <w:pPr>
        <w:pStyle w:val="10"/>
        <w:spacing w:line="560" w:lineRule="exact"/>
        <w:ind w:firstLine="560" w:firstLineChars="200"/>
        <w:rPr>
          <w:color w:val="auto"/>
          <w:sz w:val="28"/>
          <w:szCs w:val="28"/>
          <w:highlight w:val="none"/>
        </w:rPr>
      </w:pPr>
      <w:r>
        <w:rPr>
          <w:rFonts w:hint="eastAsia"/>
          <w:color w:val="auto"/>
          <w:sz w:val="28"/>
          <w:szCs w:val="28"/>
          <w:highlight w:val="none"/>
        </w:rPr>
        <w:t>4.招标文件采用“第x页 共x页”的页码格式，并且在“目录”中标明对应的页码。</w:t>
      </w:r>
    </w:p>
    <w:p>
      <w:pPr>
        <w:pStyle w:val="10"/>
        <w:spacing w:line="560" w:lineRule="exact"/>
        <w:ind w:firstLine="560" w:firstLineChars="200"/>
        <w:rPr>
          <w:rFonts w:hAnsi="Times New Roman"/>
          <w:color w:val="auto"/>
          <w:sz w:val="28"/>
          <w:szCs w:val="28"/>
          <w:highlight w:val="none"/>
        </w:rPr>
      </w:pPr>
      <w:r>
        <w:rPr>
          <w:rFonts w:hint="eastAsia"/>
          <w:color w:val="auto"/>
          <w:sz w:val="28"/>
          <w:szCs w:val="28"/>
          <w:highlight w:val="none"/>
        </w:rPr>
        <w:t>5.严格按照《中华人民共和国招标投标法》《中华人民共和国招标投标法实施条例》《广东省实施＜中华人民共和国招标投标法＞办法》和湛江市建设工程招标投标程序进行，实行招标人负责制。</w:t>
      </w:r>
    </w:p>
    <w:p>
      <w:pPr>
        <w:pStyle w:val="10"/>
        <w:spacing w:line="560" w:lineRule="exact"/>
        <w:ind w:firstLine="560" w:firstLineChars="200"/>
        <w:rPr>
          <w:color w:val="auto"/>
          <w:sz w:val="28"/>
          <w:szCs w:val="28"/>
          <w:highlight w:val="none"/>
        </w:rPr>
      </w:pPr>
      <w:r>
        <w:rPr>
          <w:rFonts w:hint="eastAsia"/>
          <w:color w:val="auto"/>
          <w:sz w:val="28"/>
          <w:szCs w:val="28"/>
          <w:highlight w:val="none"/>
        </w:rPr>
        <w:t>6.具备电子招标投标的项目，要尽可能使用电子信息化手段，积极推行电子招标投标。</w:t>
      </w:r>
    </w:p>
    <w:p>
      <w:pPr>
        <w:pStyle w:val="10"/>
        <w:spacing w:line="560" w:lineRule="exact"/>
        <w:ind w:firstLine="560" w:firstLineChars="200"/>
        <w:rPr>
          <w:color w:val="auto"/>
          <w:sz w:val="28"/>
          <w:szCs w:val="28"/>
          <w:highlight w:val="none"/>
        </w:rPr>
      </w:pPr>
      <w:r>
        <w:rPr>
          <w:rFonts w:hint="eastAsia"/>
          <w:color w:val="auto"/>
          <w:sz w:val="28"/>
          <w:szCs w:val="28"/>
          <w:highlight w:val="none"/>
        </w:rPr>
        <w:t>7.招标文件进行备案时，必须同时加盖招标人和招标代理机构公章（首页和骑缝）。</w:t>
      </w:r>
    </w:p>
    <w:p>
      <w:pPr>
        <w:pStyle w:val="7"/>
        <w:tabs>
          <w:tab w:val="left" w:pos="3150"/>
        </w:tabs>
        <w:wordWrap w:val="0"/>
        <w:spacing w:after="0" w:line="560" w:lineRule="exact"/>
        <w:ind w:firstLine="560" w:firstLineChars="200"/>
        <w:jc w:val="left"/>
        <w:rPr>
          <w:color w:val="auto"/>
          <w:sz w:val="28"/>
          <w:szCs w:val="28"/>
          <w:highlight w:val="none"/>
        </w:rPr>
      </w:pPr>
      <w:r>
        <w:rPr>
          <w:rFonts w:hint="eastAsia"/>
          <w:color w:val="auto"/>
          <w:sz w:val="28"/>
          <w:szCs w:val="28"/>
          <w:highlight w:val="none"/>
        </w:rPr>
        <w:t>8.本参考范本中关于“</w:t>
      </w:r>
      <w:r>
        <w:rPr>
          <w:rFonts w:hint="eastAsia" w:ascii="宋体" w:hAnsi="宋体" w:cs="宋体"/>
          <w:iCs/>
          <w:color w:val="auto"/>
          <w:sz w:val="28"/>
          <w:szCs w:val="28"/>
          <w:highlight w:val="none"/>
        </w:rPr>
        <w:t>广东省招标投标监管网</w:t>
      </w:r>
      <w:r>
        <w:rPr>
          <w:rFonts w:hint="eastAsia"/>
          <w:color w:val="auto"/>
          <w:sz w:val="28"/>
          <w:szCs w:val="28"/>
          <w:highlight w:val="none"/>
        </w:rPr>
        <w:t>”</w:t>
      </w:r>
      <w:r>
        <w:rPr>
          <w:rFonts w:hint="eastAsia" w:cs="宋体"/>
          <w:iCs/>
          <w:color w:val="auto"/>
          <w:sz w:val="28"/>
          <w:szCs w:val="28"/>
          <w:highlight w:val="none"/>
        </w:rPr>
        <w:t>的地址全部默认为：</w:t>
      </w:r>
      <w:r>
        <w:rPr>
          <w:rFonts w:hint="eastAsia" w:ascii="宋体" w:hAnsi="宋体" w:cs="宋体"/>
          <w:iCs/>
          <w:color w:val="auto"/>
          <w:sz w:val="28"/>
          <w:szCs w:val="28"/>
          <w:highlight w:val="none"/>
        </w:rPr>
        <w:t>http://zbtb.gd.gov.cn</w:t>
      </w:r>
      <w:r>
        <w:rPr>
          <w:rFonts w:hint="eastAsia" w:cs="宋体"/>
          <w:iCs/>
          <w:color w:val="auto"/>
          <w:sz w:val="28"/>
          <w:szCs w:val="28"/>
          <w:highlight w:val="none"/>
        </w:rPr>
        <w:t>；关于</w:t>
      </w:r>
      <w:r>
        <w:rPr>
          <w:rFonts w:hint="eastAsia"/>
          <w:color w:val="auto"/>
          <w:sz w:val="28"/>
          <w:szCs w:val="28"/>
          <w:highlight w:val="none"/>
        </w:rPr>
        <w:t>“</w:t>
      </w:r>
      <w:r>
        <w:rPr>
          <w:rFonts w:hint="eastAsia" w:ascii="华文行楷" w:hAnsi="华文行楷" w:eastAsia="华文行楷" w:cs="华文行楷"/>
          <w:color w:val="auto"/>
          <w:sz w:val="28"/>
          <w:szCs w:val="28"/>
          <w:highlight w:val="none"/>
          <w:u w:val="single"/>
        </w:rPr>
        <w:t>广州公共资源交易中心网站</w:t>
      </w:r>
      <w:r>
        <w:rPr>
          <w:rFonts w:hint="eastAsia"/>
          <w:color w:val="auto"/>
          <w:sz w:val="28"/>
          <w:szCs w:val="28"/>
          <w:highlight w:val="none"/>
        </w:rPr>
        <w:t>”的地址全部统一默认为</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lang w:eastAsia="zh-CN"/>
        </w:rPr>
        <w:t>http://www.gzggzy.cn</w:t>
      </w:r>
      <w:r>
        <w:rPr>
          <w:rFonts w:hint="eastAsia" w:ascii="宋体" w:hAnsi="宋体" w:cs="宋体"/>
          <w:color w:val="auto"/>
          <w:sz w:val="28"/>
          <w:szCs w:val="28"/>
          <w:highlight w:val="none"/>
        </w:rPr>
        <w:t>。</w:t>
      </w:r>
    </w:p>
    <w:p>
      <w:pPr>
        <w:wordWrap w:val="0"/>
        <w:spacing w:line="520" w:lineRule="exact"/>
        <w:ind w:firstLine="560" w:firstLineChars="200"/>
        <w:jc w:val="left"/>
        <w:rPr>
          <w:rFonts w:ascii="宋体"/>
          <w:color w:val="auto"/>
          <w:sz w:val="28"/>
          <w:szCs w:val="28"/>
          <w:highlight w:val="none"/>
        </w:rPr>
      </w:pPr>
      <w:r>
        <w:rPr>
          <w:rFonts w:ascii="宋体"/>
          <w:color w:val="auto"/>
          <w:sz w:val="28"/>
          <w:szCs w:val="28"/>
          <w:highlight w:val="none"/>
        </w:rPr>
        <w:t>9</w:t>
      </w:r>
      <w:r>
        <w:rPr>
          <w:rFonts w:hint="eastAsia" w:ascii="宋体"/>
          <w:color w:val="auto"/>
          <w:sz w:val="28"/>
          <w:szCs w:val="28"/>
          <w:highlight w:val="none"/>
        </w:rPr>
        <w:t>、招</w:t>
      </w:r>
      <w:r>
        <w:rPr>
          <w:rFonts w:ascii="宋体"/>
          <w:color w:val="auto"/>
          <w:sz w:val="28"/>
          <w:szCs w:val="28"/>
          <w:highlight w:val="none"/>
        </w:rPr>
        <w:t>标代理机构及投标人具体操作详见</w:t>
      </w:r>
      <w:r>
        <w:rPr>
          <w:rFonts w:hint="eastAsia"/>
          <w:color w:val="auto"/>
          <w:sz w:val="28"/>
          <w:szCs w:val="28"/>
          <w:highlight w:val="none"/>
        </w:rPr>
        <w:t>“</w:t>
      </w:r>
      <w:r>
        <w:rPr>
          <w:rFonts w:hint="eastAsia" w:ascii="华文行楷" w:hAnsi="华文行楷" w:eastAsia="华文行楷" w:cs="华文行楷"/>
          <w:color w:val="auto"/>
          <w:sz w:val="28"/>
          <w:szCs w:val="28"/>
          <w:highlight w:val="none"/>
          <w:u w:val="single"/>
        </w:rPr>
        <w:t>广州公共资源交易中心网站</w:t>
      </w:r>
      <w:r>
        <w:rPr>
          <w:rFonts w:hint="eastAsia"/>
          <w:color w:val="auto"/>
          <w:sz w:val="28"/>
          <w:szCs w:val="28"/>
          <w:highlight w:val="none"/>
        </w:rPr>
        <w:t>”</w:t>
      </w:r>
      <w:r>
        <w:rPr>
          <w:rFonts w:hint="eastAsia" w:ascii="宋体" w:hAnsi="宋体"/>
          <w:color w:val="auto"/>
          <w:sz w:val="28"/>
          <w:szCs w:val="28"/>
          <w:highlight w:val="none"/>
        </w:rPr>
        <w:t>，下载地址</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lang w:eastAsia="zh-CN"/>
        </w:rPr>
        <w:t>http://www.gzggzy.cn</w:t>
      </w:r>
      <w:r>
        <w:rPr>
          <w:rFonts w:hint="eastAsia" w:ascii="宋体" w:hAnsi="宋体" w:cs="宋体"/>
          <w:color w:val="auto"/>
          <w:sz w:val="28"/>
          <w:szCs w:val="28"/>
          <w:highlight w:val="none"/>
        </w:rPr>
        <w:t>。</w:t>
      </w:r>
    </w:p>
    <w:p>
      <w:pPr>
        <w:pStyle w:val="10"/>
        <w:spacing w:line="560" w:lineRule="exact"/>
        <w:ind w:firstLine="562" w:firstLineChars="200"/>
        <w:rPr>
          <w:rFonts w:hAnsi="宋体"/>
          <w:b/>
          <w:color w:val="auto"/>
          <w:sz w:val="44"/>
          <w:szCs w:val="44"/>
          <w:highlight w:val="none"/>
        </w:rPr>
      </w:pPr>
      <w:r>
        <w:rPr>
          <w:rFonts w:hint="eastAsia"/>
          <w:b/>
          <w:bCs/>
          <w:color w:val="auto"/>
          <w:sz w:val="28"/>
          <w:szCs w:val="28"/>
          <w:highlight w:val="none"/>
        </w:rPr>
        <w:t>注：房屋建筑工程、市政公用工程项目招标参照本范本，若国家法律、法规、规章及上级有关文件另有规定的，从其规定。</w:t>
      </w:r>
    </w:p>
    <w:p>
      <w:pPr>
        <w:spacing w:line="600" w:lineRule="exact"/>
        <w:jc w:val="center"/>
        <w:rPr>
          <w:rFonts w:ascii="方正小标宋简体" w:hAnsi="方正小标宋简体" w:eastAsia="方正小标宋简体" w:cs="方正小标宋简体"/>
          <w:b/>
          <w:color w:val="auto"/>
          <w:sz w:val="44"/>
          <w:szCs w:val="44"/>
          <w:highlight w:val="none"/>
        </w:rPr>
      </w:pPr>
    </w:p>
    <w:p>
      <w:pPr>
        <w:spacing w:line="600" w:lineRule="exact"/>
        <w:jc w:val="center"/>
        <w:rPr>
          <w:rFonts w:ascii="方正小标宋简体" w:hAnsi="方正小标宋简体" w:eastAsia="方正小标宋简体" w:cs="方正小标宋简体"/>
          <w:b/>
          <w:color w:val="auto"/>
          <w:sz w:val="52"/>
          <w:szCs w:val="52"/>
          <w:highlight w:val="none"/>
        </w:rPr>
      </w:pPr>
    </w:p>
    <w:p>
      <w:pPr>
        <w:spacing w:line="600" w:lineRule="exact"/>
        <w:jc w:val="center"/>
        <w:rPr>
          <w:rFonts w:ascii="方正小标宋简体" w:hAnsi="方正小标宋简体" w:eastAsia="方正小标宋简体" w:cs="方正小标宋简体"/>
          <w:b/>
          <w:color w:val="auto"/>
          <w:sz w:val="52"/>
          <w:szCs w:val="52"/>
          <w:highlight w:val="none"/>
        </w:rPr>
      </w:pPr>
    </w:p>
    <w:sdt>
      <w:sdtPr>
        <w:rPr>
          <w:rFonts w:ascii="宋体" w:hAnsi="宋体" w:eastAsia="宋体" w:cs="Times New Roman"/>
          <w:color w:val="auto"/>
          <w:kern w:val="2"/>
          <w:sz w:val="21"/>
          <w:szCs w:val="24"/>
          <w:highlight w:val="none"/>
          <w:lang w:val="en-US" w:eastAsia="zh-CN" w:bidi="ar-SA"/>
        </w:rPr>
        <w:id w:val="147457842"/>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zh-CN"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28"/>
              <w:szCs w:val="28"/>
              <w:highlight w:val="none"/>
            </w:rPr>
          </w:pPr>
          <w:bookmarkStart w:id="3" w:name="_Toc57042131"/>
          <w:bookmarkStart w:id="4" w:name="_Toc339381019"/>
          <w:r>
            <w:rPr>
              <w:rFonts w:hint="eastAsia" w:ascii="宋体" w:hAnsi="宋体" w:eastAsia="宋体" w:cs="宋体"/>
              <w:b/>
              <w:bCs/>
              <w:color w:val="auto"/>
              <w:sz w:val="28"/>
              <w:szCs w:val="28"/>
              <w:highlight w:val="none"/>
            </w:rPr>
            <w:t>目录</w:t>
          </w:r>
        </w:p>
        <w:p>
          <w:pPr>
            <w:pStyle w:val="32"/>
            <w:tabs>
              <w:tab w:val="right" w:leader="dot" w:pos="9332"/>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fldChar w:fldCharType="begin"/>
          </w:r>
          <w:r>
            <w:rPr>
              <w:rFonts w:hint="eastAsia" w:ascii="宋体" w:hAnsi="宋体" w:eastAsia="宋体" w:cs="宋体"/>
              <w:b/>
              <w:bCs/>
              <w:color w:val="auto"/>
              <w:sz w:val="28"/>
              <w:szCs w:val="28"/>
              <w:highlight w:val="none"/>
              <w:lang w:val="zh-CN"/>
            </w:rPr>
            <w:instrText xml:space="preserve">TOC \o "1-1" \h \u </w:instrText>
          </w:r>
          <w:r>
            <w:rPr>
              <w:rFonts w:hint="eastAsia" w:ascii="宋体" w:hAnsi="宋体" w:eastAsia="宋体" w:cs="宋体"/>
              <w:b/>
              <w:bCs/>
              <w:color w:val="auto"/>
              <w:sz w:val="28"/>
              <w:szCs w:val="28"/>
              <w:highlight w:val="none"/>
              <w:lang w:val="zh-CN"/>
            </w:rPr>
            <w:fldChar w:fldCharType="separate"/>
          </w:r>
        </w:p>
        <w:p>
          <w:pPr>
            <w:pStyle w:val="32"/>
            <w:tabs>
              <w:tab w:val="right" w:leader="dot" w:pos="9332"/>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fldChar w:fldCharType="begin"/>
          </w:r>
          <w:r>
            <w:rPr>
              <w:rFonts w:hint="eastAsia" w:ascii="宋体" w:hAnsi="宋体" w:eastAsia="宋体" w:cs="宋体"/>
              <w:b/>
              <w:bCs/>
              <w:color w:val="auto"/>
              <w:sz w:val="28"/>
              <w:szCs w:val="28"/>
              <w:highlight w:val="none"/>
              <w:lang w:val="zh-CN"/>
            </w:rPr>
            <w:instrText xml:space="preserve"> HYPERLINK \l _Toc4050 </w:instrText>
          </w:r>
          <w:r>
            <w:rPr>
              <w:rFonts w:hint="eastAsia" w:ascii="宋体" w:hAnsi="宋体" w:eastAsia="宋体" w:cs="宋体"/>
              <w:b/>
              <w:bCs/>
              <w:color w:val="auto"/>
              <w:sz w:val="28"/>
              <w:szCs w:val="28"/>
              <w:highlight w:val="none"/>
              <w:lang w:val="zh-CN"/>
            </w:rPr>
            <w:fldChar w:fldCharType="separate"/>
          </w:r>
          <w:r>
            <w:rPr>
              <w:rFonts w:hint="eastAsia" w:ascii="宋体" w:hAnsi="宋体" w:eastAsia="宋体" w:cs="宋体"/>
              <w:b/>
              <w:bCs/>
              <w:color w:val="auto"/>
              <w:sz w:val="28"/>
              <w:szCs w:val="28"/>
              <w:highlight w:val="none"/>
            </w:rPr>
            <w:t>第一部分 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_Toc4050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val="zh-CN"/>
            </w:rPr>
            <w:fldChar w:fldCharType="end"/>
          </w:r>
        </w:p>
        <w:p>
          <w:pPr>
            <w:pStyle w:val="32"/>
            <w:tabs>
              <w:tab w:val="right" w:leader="dot" w:pos="9332"/>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fldChar w:fldCharType="begin"/>
          </w:r>
          <w:r>
            <w:rPr>
              <w:rFonts w:hint="eastAsia" w:ascii="宋体" w:hAnsi="宋体" w:eastAsia="宋体" w:cs="宋体"/>
              <w:b/>
              <w:bCs/>
              <w:color w:val="auto"/>
              <w:sz w:val="28"/>
              <w:szCs w:val="28"/>
              <w:highlight w:val="none"/>
              <w:lang w:val="zh-CN"/>
            </w:rPr>
            <w:instrText xml:space="preserve"> HYPERLINK \l _Toc7951 </w:instrText>
          </w:r>
          <w:r>
            <w:rPr>
              <w:rFonts w:hint="eastAsia" w:ascii="宋体" w:hAnsi="宋体" w:eastAsia="宋体" w:cs="宋体"/>
              <w:b/>
              <w:bCs/>
              <w:color w:val="auto"/>
              <w:sz w:val="28"/>
              <w:szCs w:val="28"/>
              <w:highlight w:val="none"/>
              <w:lang w:val="zh-CN"/>
            </w:rPr>
            <w:fldChar w:fldCharType="separate"/>
          </w:r>
          <w:r>
            <w:rPr>
              <w:rFonts w:hint="eastAsia" w:ascii="宋体" w:hAnsi="宋体" w:eastAsia="宋体" w:cs="宋体"/>
              <w:b/>
              <w:bCs/>
              <w:color w:val="auto"/>
              <w:kern w:val="0"/>
              <w:sz w:val="28"/>
              <w:szCs w:val="28"/>
              <w:highlight w:val="none"/>
            </w:rPr>
            <w:t>第二部分 投标人须知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_Toc7951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val="zh-CN"/>
            </w:rPr>
            <w:fldChar w:fldCharType="end"/>
          </w:r>
        </w:p>
        <w:p>
          <w:pPr>
            <w:pStyle w:val="32"/>
            <w:tabs>
              <w:tab w:val="right" w:leader="dot" w:pos="9332"/>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fldChar w:fldCharType="begin"/>
          </w:r>
          <w:r>
            <w:rPr>
              <w:rFonts w:hint="eastAsia" w:ascii="宋体" w:hAnsi="宋体" w:eastAsia="宋体" w:cs="宋体"/>
              <w:b/>
              <w:bCs/>
              <w:color w:val="auto"/>
              <w:sz w:val="28"/>
              <w:szCs w:val="28"/>
              <w:highlight w:val="none"/>
              <w:lang w:val="zh-CN"/>
            </w:rPr>
            <w:instrText xml:space="preserve"> HYPERLINK \l _Toc19408 </w:instrText>
          </w:r>
          <w:r>
            <w:rPr>
              <w:rFonts w:hint="eastAsia" w:ascii="宋体" w:hAnsi="宋体" w:eastAsia="宋体" w:cs="宋体"/>
              <w:b/>
              <w:bCs/>
              <w:color w:val="auto"/>
              <w:sz w:val="28"/>
              <w:szCs w:val="28"/>
              <w:highlight w:val="none"/>
              <w:lang w:val="zh-CN"/>
            </w:rPr>
            <w:fldChar w:fldCharType="separate"/>
          </w:r>
          <w:r>
            <w:rPr>
              <w:rFonts w:hint="eastAsia" w:ascii="宋体" w:hAnsi="宋体" w:eastAsia="宋体" w:cs="宋体"/>
              <w:b/>
              <w:bCs/>
              <w:color w:val="auto"/>
              <w:kern w:val="0"/>
              <w:sz w:val="28"/>
              <w:szCs w:val="28"/>
              <w:highlight w:val="none"/>
            </w:rPr>
            <w:t>第三部分 投标格式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_Toc19408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val="zh-CN"/>
            </w:rPr>
            <w:fldChar w:fldCharType="end"/>
          </w:r>
        </w:p>
        <w:p>
          <w:pPr>
            <w:pStyle w:val="32"/>
            <w:tabs>
              <w:tab w:val="right" w:leader="dot" w:pos="9332"/>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fldChar w:fldCharType="begin"/>
          </w:r>
          <w:r>
            <w:rPr>
              <w:rFonts w:hint="eastAsia" w:ascii="宋体" w:hAnsi="宋体" w:eastAsia="宋体" w:cs="宋体"/>
              <w:b/>
              <w:bCs/>
              <w:color w:val="auto"/>
              <w:sz w:val="28"/>
              <w:szCs w:val="28"/>
              <w:highlight w:val="none"/>
              <w:lang w:val="zh-CN"/>
            </w:rPr>
            <w:instrText xml:space="preserve"> HYPERLINK \l _Toc11735 </w:instrText>
          </w:r>
          <w:r>
            <w:rPr>
              <w:rFonts w:hint="eastAsia" w:ascii="宋体" w:hAnsi="宋体" w:eastAsia="宋体" w:cs="宋体"/>
              <w:b/>
              <w:bCs/>
              <w:color w:val="auto"/>
              <w:sz w:val="28"/>
              <w:szCs w:val="28"/>
              <w:highlight w:val="none"/>
              <w:lang w:val="zh-CN"/>
            </w:rPr>
            <w:fldChar w:fldCharType="separate"/>
          </w:r>
          <w:r>
            <w:rPr>
              <w:rFonts w:hint="eastAsia" w:ascii="宋体" w:hAnsi="宋体" w:eastAsia="宋体" w:cs="宋体"/>
              <w:b/>
              <w:bCs/>
              <w:color w:val="auto"/>
              <w:kern w:val="0"/>
              <w:sz w:val="28"/>
              <w:szCs w:val="28"/>
              <w:highlight w:val="none"/>
            </w:rPr>
            <w:t>第四部分 评标办法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_Toc11735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val="zh-CN"/>
            </w:rPr>
            <w:fldChar w:fldCharType="end"/>
          </w:r>
        </w:p>
        <w:p>
          <w:pPr>
            <w:pStyle w:val="32"/>
            <w:tabs>
              <w:tab w:val="right" w:leader="dot" w:pos="9332"/>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fldChar w:fldCharType="begin"/>
          </w:r>
          <w:r>
            <w:rPr>
              <w:rFonts w:hint="eastAsia" w:ascii="宋体" w:hAnsi="宋体" w:eastAsia="宋体" w:cs="宋体"/>
              <w:b/>
              <w:bCs/>
              <w:color w:val="auto"/>
              <w:sz w:val="28"/>
              <w:szCs w:val="28"/>
              <w:highlight w:val="none"/>
              <w:lang w:val="zh-CN"/>
            </w:rPr>
            <w:instrText xml:space="preserve"> HYPERLINK \l _Toc931 </w:instrText>
          </w:r>
          <w:r>
            <w:rPr>
              <w:rFonts w:hint="eastAsia" w:ascii="宋体" w:hAnsi="宋体" w:eastAsia="宋体" w:cs="宋体"/>
              <w:b/>
              <w:bCs/>
              <w:color w:val="auto"/>
              <w:sz w:val="28"/>
              <w:szCs w:val="28"/>
              <w:highlight w:val="none"/>
              <w:lang w:val="zh-CN"/>
            </w:rPr>
            <w:fldChar w:fldCharType="separate"/>
          </w:r>
          <w:r>
            <w:rPr>
              <w:rFonts w:hint="eastAsia" w:ascii="宋体" w:hAnsi="宋体" w:eastAsia="宋体" w:cs="宋体"/>
              <w:b/>
              <w:bCs/>
              <w:color w:val="auto"/>
              <w:kern w:val="0"/>
              <w:sz w:val="28"/>
              <w:szCs w:val="28"/>
              <w:highlight w:val="none"/>
            </w:rPr>
            <w:t>第五部分 监理合同</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_Toc931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val="zh-CN"/>
            </w:rPr>
            <w:fldChar w:fldCharType="end"/>
          </w:r>
        </w:p>
        <w:p>
          <w:pPr>
            <w:spacing w:line="360" w:lineRule="auto"/>
            <w:jc w:val="center"/>
            <w:rPr>
              <w:color w:val="auto"/>
              <w:sz w:val="24"/>
              <w:highlight w:val="none"/>
              <w:lang w:val="zh-CN"/>
            </w:rPr>
          </w:pPr>
          <w:r>
            <w:rPr>
              <w:rFonts w:hint="eastAsia" w:ascii="宋体" w:hAnsi="宋体" w:eastAsia="宋体" w:cs="宋体"/>
              <w:b/>
              <w:bCs/>
              <w:color w:val="auto"/>
              <w:sz w:val="28"/>
              <w:szCs w:val="28"/>
              <w:highlight w:val="none"/>
              <w:lang w:val="zh-CN"/>
            </w:rPr>
            <w:fldChar w:fldCharType="end"/>
          </w:r>
        </w:p>
      </w:sdtContent>
    </w:sdt>
    <w:p>
      <w:pPr>
        <w:spacing w:line="600" w:lineRule="exact"/>
        <w:jc w:val="center"/>
        <w:rPr>
          <w:rFonts w:ascii="方正小标宋简体" w:hAnsi="方正小标宋简体" w:eastAsia="方正小标宋简体" w:cs="方正小标宋简体"/>
          <w:b/>
          <w:bCs/>
          <w:color w:val="auto"/>
          <w:sz w:val="44"/>
          <w:szCs w:val="44"/>
          <w:highlight w:val="none"/>
        </w:rPr>
        <w:sectPr>
          <w:headerReference r:id="rId3" w:type="default"/>
          <w:footerReference r:id="rId4" w:type="default"/>
          <w:pgSz w:w="11906" w:h="16838"/>
          <w:pgMar w:top="1440" w:right="1134" w:bottom="1440" w:left="1440" w:header="851" w:footer="992" w:gutter="0"/>
          <w:pgNumType w:start="1"/>
          <w:cols w:space="720" w:num="1"/>
          <w:docGrid w:linePitch="312" w:charSpace="0"/>
        </w:sectPr>
      </w:pPr>
    </w:p>
    <w:p>
      <w:pPr>
        <w:spacing w:line="600" w:lineRule="exact"/>
        <w:jc w:val="center"/>
        <w:outlineLvl w:val="0"/>
        <w:rPr>
          <w:rFonts w:hint="eastAsia" w:ascii="仿宋" w:hAnsi="仿宋" w:eastAsia="仿宋" w:cs="仿宋"/>
          <w:b/>
          <w:bCs/>
          <w:color w:val="auto"/>
          <w:sz w:val="44"/>
          <w:szCs w:val="44"/>
          <w:highlight w:val="none"/>
        </w:rPr>
      </w:pPr>
      <w:bookmarkStart w:id="5" w:name="_Toc4050"/>
      <w:r>
        <w:rPr>
          <w:rFonts w:hint="eastAsia" w:ascii="仿宋" w:hAnsi="仿宋" w:eastAsia="仿宋" w:cs="仿宋"/>
          <w:b/>
          <w:bCs/>
          <w:color w:val="auto"/>
          <w:sz w:val="44"/>
          <w:szCs w:val="44"/>
          <w:highlight w:val="none"/>
        </w:rPr>
        <w:t>第一部分  招标公告</w:t>
      </w:r>
      <w:bookmarkEnd w:id="3"/>
      <w:bookmarkEnd w:id="5"/>
    </w:p>
    <w:p>
      <w:pPr>
        <w:spacing w:line="400" w:lineRule="exact"/>
        <w:jc w:val="center"/>
        <w:rPr>
          <w:rFonts w:ascii="方正小标宋简体" w:hAnsi="方正小标宋简体" w:eastAsia="方正小标宋简体" w:cs="方正小标宋简体"/>
          <w:b/>
          <w:bCs/>
          <w:color w:val="auto"/>
          <w:sz w:val="20"/>
          <w:szCs w:val="20"/>
          <w:highlight w:val="none"/>
        </w:rPr>
      </w:pPr>
    </w:p>
    <w:p>
      <w:pPr>
        <w:spacing w:line="400" w:lineRule="exact"/>
        <w:jc w:val="center"/>
        <w:rPr>
          <w:rFonts w:ascii="宋体" w:hAnsi="宋体" w:cs="宋体"/>
          <w:b/>
          <w:bCs/>
          <w:color w:val="auto"/>
          <w:sz w:val="28"/>
          <w:szCs w:val="28"/>
          <w:highlight w:val="none"/>
        </w:rPr>
      </w:pPr>
      <w:r>
        <w:rPr>
          <w:rFonts w:hint="eastAsia" w:ascii="华文行楷" w:hAnsi="华文行楷" w:eastAsia="华文行楷" w:cs="华文行楷"/>
          <w:color w:val="auto"/>
          <w:sz w:val="28"/>
          <w:szCs w:val="28"/>
          <w:highlight w:val="none"/>
          <w:u w:val="single"/>
          <w:lang w:eastAsia="zh-CN"/>
        </w:rPr>
        <w:t>湛江经开区老旧小区改造项目（一期一标）监理</w:t>
      </w:r>
    </w:p>
    <w:bookmarkEnd w:id="4"/>
    <w:p>
      <w:pPr>
        <w:spacing w:line="560" w:lineRule="exact"/>
        <w:ind w:firstLine="562" w:firstLineChars="200"/>
        <w:jc w:val="left"/>
        <w:rPr>
          <w:rFonts w:ascii="宋体" w:hAnsi="宋体" w:cs="宋体"/>
          <w:b/>
          <w:color w:val="auto"/>
          <w:sz w:val="28"/>
          <w:szCs w:val="28"/>
          <w:highlight w:val="none"/>
        </w:rPr>
      </w:pPr>
      <w:bookmarkStart w:id="6" w:name="_Toc339381020"/>
      <w:r>
        <w:rPr>
          <w:rFonts w:hint="eastAsia" w:ascii="宋体" w:hAnsi="宋体" w:cs="宋体"/>
          <w:b/>
          <w:color w:val="auto"/>
          <w:sz w:val="28"/>
          <w:szCs w:val="28"/>
          <w:highlight w:val="none"/>
        </w:rPr>
        <w:t>1.招标条件</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本招标项目</w:t>
      </w:r>
      <w:r>
        <w:rPr>
          <w:rFonts w:hint="eastAsia" w:ascii="华文行楷" w:hAnsi="华文行楷" w:eastAsia="华文行楷" w:cs="华文行楷"/>
          <w:color w:val="auto"/>
          <w:sz w:val="28"/>
          <w:szCs w:val="28"/>
          <w:highlight w:val="none"/>
          <w:u w:val="single"/>
          <w:lang w:eastAsia="zh-CN"/>
        </w:rPr>
        <w:t>湛江经开区老旧小区改造项目（一期一标）监理</w:t>
      </w:r>
      <w:r>
        <w:rPr>
          <w:rFonts w:hint="eastAsia" w:ascii="宋体" w:hAnsi="宋体" w:cs="宋体"/>
          <w:color w:val="auto"/>
          <w:sz w:val="28"/>
          <w:szCs w:val="28"/>
          <w:highlight w:val="none"/>
        </w:rPr>
        <w:t>已由</w:t>
      </w:r>
      <w:r>
        <w:rPr>
          <w:rFonts w:hint="eastAsia" w:ascii="华文行楷" w:hAnsi="华文行楷" w:eastAsia="华文行楷" w:cs="华文行楷"/>
          <w:color w:val="auto"/>
          <w:sz w:val="28"/>
          <w:szCs w:val="28"/>
          <w:highlight w:val="none"/>
          <w:u w:val="single"/>
          <w:lang w:eastAsia="zh-CN"/>
        </w:rPr>
        <w:t>湛江经济技术开发区发展改革和招商局</w:t>
      </w:r>
      <w:r>
        <w:rPr>
          <w:rFonts w:hint="eastAsia" w:ascii="宋体" w:hAnsi="宋体" w:cs="宋体"/>
          <w:color w:val="auto"/>
          <w:sz w:val="28"/>
          <w:szCs w:val="28"/>
          <w:highlight w:val="none"/>
        </w:rPr>
        <w:t>以</w:t>
      </w:r>
      <w:r>
        <w:rPr>
          <w:rFonts w:hint="eastAsia" w:ascii="华文行楷" w:hAnsi="华文行楷" w:eastAsia="华文行楷" w:cs="华文行楷"/>
          <w:color w:val="auto"/>
          <w:sz w:val="28"/>
          <w:szCs w:val="28"/>
          <w:highlight w:val="none"/>
          <w:u w:val="single"/>
          <w:lang w:eastAsia="zh-CN"/>
        </w:rPr>
        <w:t>湛开发招投审〔2022〕46号</w:t>
      </w:r>
      <w:r>
        <w:rPr>
          <w:rFonts w:hint="eastAsia" w:ascii="宋体" w:hAnsi="宋体" w:cs="宋体"/>
          <w:color w:val="auto"/>
          <w:sz w:val="28"/>
          <w:szCs w:val="28"/>
          <w:highlight w:val="none"/>
        </w:rPr>
        <w:t>批准建设，项目代码为</w:t>
      </w:r>
      <w:r>
        <w:rPr>
          <w:rFonts w:hint="eastAsia" w:ascii="华文行楷" w:hAnsi="华文行楷" w:eastAsia="华文行楷" w:cs="华文行楷"/>
          <w:color w:val="auto"/>
          <w:sz w:val="28"/>
          <w:szCs w:val="28"/>
          <w:highlight w:val="none"/>
          <w:u w:val="single"/>
        </w:rPr>
        <w:t xml:space="preserve"> </w:t>
      </w:r>
      <w:r>
        <w:rPr>
          <w:rFonts w:hint="eastAsia" w:ascii="华文行楷" w:hAnsi="华文行楷" w:eastAsia="华文行楷" w:cs="华文行楷"/>
          <w:color w:val="auto"/>
          <w:sz w:val="28"/>
          <w:szCs w:val="28"/>
          <w:highlight w:val="none"/>
          <w:u w:val="single"/>
          <w:lang w:val="en-US" w:eastAsia="zh-CN"/>
        </w:rPr>
        <w:t>2209-440800-04-01-419184</w:t>
      </w:r>
      <w:r>
        <w:rPr>
          <w:rFonts w:hint="eastAsia" w:ascii="华文行楷" w:hAnsi="华文行楷" w:eastAsia="华文行楷" w:cs="华文行楷"/>
          <w:color w:val="auto"/>
          <w:sz w:val="28"/>
          <w:szCs w:val="28"/>
          <w:highlight w:val="none"/>
          <w:u w:val="single"/>
        </w:rPr>
        <w:t xml:space="preserve"> </w:t>
      </w:r>
      <w:r>
        <w:rPr>
          <w:rFonts w:hint="eastAsia" w:ascii="宋体" w:hAnsi="宋体" w:cs="宋体"/>
          <w:color w:val="auto"/>
          <w:sz w:val="28"/>
          <w:szCs w:val="28"/>
          <w:highlight w:val="none"/>
        </w:rPr>
        <w:t>，项目业主为</w:t>
      </w:r>
      <w:r>
        <w:rPr>
          <w:rFonts w:hint="eastAsia" w:ascii="华文行楷" w:hAnsi="华文行楷" w:eastAsia="华文行楷" w:cs="华文行楷"/>
          <w:color w:val="auto"/>
          <w:sz w:val="28"/>
          <w:szCs w:val="28"/>
          <w:highlight w:val="none"/>
          <w:u w:val="single"/>
          <w:lang w:eastAsia="zh-CN"/>
        </w:rPr>
        <w:t>湛江经济技术开发区城市综合管理局</w:t>
      </w:r>
      <w:r>
        <w:rPr>
          <w:rFonts w:hint="eastAsia" w:ascii="宋体" w:hAnsi="宋体" w:cs="宋体"/>
          <w:color w:val="auto"/>
          <w:sz w:val="28"/>
          <w:szCs w:val="28"/>
          <w:highlight w:val="none"/>
        </w:rPr>
        <w:t>，建设资金来自</w:t>
      </w:r>
      <w:r>
        <w:rPr>
          <w:rFonts w:hint="eastAsia" w:ascii="华文行楷" w:hAnsi="华文行楷" w:eastAsia="华文行楷" w:cs="华文行楷"/>
          <w:color w:val="auto"/>
          <w:sz w:val="28"/>
          <w:szCs w:val="28"/>
          <w:highlight w:val="none"/>
          <w:u w:val="single"/>
          <w:lang w:eastAsia="zh-CN"/>
        </w:rPr>
        <w:t>地方政府专项债券统筹解决,不足部分由区财政统筹解决</w:t>
      </w:r>
      <w:r>
        <w:rPr>
          <w:rFonts w:hint="eastAsia" w:ascii="宋体" w:hAnsi="宋体" w:cs="宋体"/>
          <w:color w:val="auto"/>
          <w:sz w:val="28"/>
          <w:szCs w:val="28"/>
          <w:highlight w:val="none"/>
        </w:rPr>
        <w:t>，出资比例为</w:t>
      </w:r>
      <w:r>
        <w:rPr>
          <w:rFonts w:hint="eastAsia" w:ascii="华文行楷" w:hAnsi="华文行楷" w:eastAsia="华文行楷" w:cs="华文行楷"/>
          <w:color w:val="auto"/>
          <w:sz w:val="28"/>
          <w:szCs w:val="28"/>
          <w:highlight w:val="none"/>
          <w:u w:val="single"/>
        </w:rPr>
        <w:t>100%</w:t>
      </w:r>
      <w:r>
        <w:rPr>
          <w:rFonts w:hint="eastAsia" w:ascii="宋体" w:hAnsi="宋体" w:cs="宋体"/>
          <w:color w:val="auto"/>
          <w:sz w:val="28"/>
          <w:szCs w:val="28"/>
          <w:highlight w:val="none"/>
        </w:rPr>
        <w:t>，招标人为</w:t>
      </w:r>
      <w:r>
        <w:rPr>
          <w:rFonts w:hint="eastAsia" w:ascii="华文行楷" w:hAnsi="华文行楷" w:eastAsia="华文行楷" w:cs="华文行楷"/>
          <w:color w:val="auto"/>
          <w:sz w:val="28"/>
          <w:szCs w:val="28"/>
          <w:highlight w:val="none"/>
          <w:u w:val="single"/>
          <w:lang w:eastAsia="zh-CN"/>
        </w:rPr>
        <w:t>湛江经济技术开发区城市综合管理局</w:t>
      </w:r>
      <w:r>
        <w:rPr>
          <w:rFonts w:hint="eastAsia" w:ascii="宋体" w:hAnsi="宋体" w:cs="宋体"/>
          <w:color w:val="auto"/>
          <w:sz w:val="28"/>
          <w:szCs w:val="28"/>
          <w:highlight w:val="none"/>
        </w:rPr>
        <w:t>，招标代理机构为</w:t>
      </w:r>
      <w:r>
        <w:rPr>
          <w:rFonts w:hint="eastAsia" w:ascii="华文行楷" w:hAnsi="华文行楷" w:eastAsia="华文行楷" w:cs="华文行楷"/>
          <w:color w:val="auto"/>
          <w:sz w:val="28"/>
          <w:szCs w:val="28"/>
          <w:highlight w:val="none"/>
          <w:u w:val="single"/>
          <w:lang w:eastAsia="zh-CN"/>
        </w:rPr>
        <w:t>广东丰联招标代理有限公司</w:t>
      </w:r>
      <w:r>
        <w:rPr>
          <w:rFonts w:hint="eastAsia" w:ascii="宋体" w:hAnsi="宋体" w:cs="宋体"/>
          <w:color w:val="auto"/>
          <w:sz w:val="28"/>
          <w:szCs w:val="28"/>
          <w:highlight w:val="none"/>
        </w:rPr>
        <w:t>。项目已具备招标条件，现对该项目进行公开招标。</w:t>
      </w:r>
    </w:p>
    <w:p>
      <w:pPr>
        <w:spacing w:line="560" w:lineRule="exact"/>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2.项目概况与招标范围</w:t>
      </w:r>
    </w:p>
    <w:p>
      <w:pPr>
        <w:spacing w:line="560" w:lineRule="exact"/>
        <w:ind w:firstLine="560" w:firstLineChars="200"/>
        <w:jc w:val="left"/>
        <w:rPr>
          <w:rFonts w:ascii="宋体" w:hAnsi="宋体" w:eastAsia="华文行楷" w:cs="宋体"/>
          <w:color w:val="auto"/>
          <w:sz w:val="28"/>
          <w:szCs w:val="28"/>
          <w:highlight w:val="none"/>
        </w:rPr>
      </w:pPr>
      <w:r>
        <w:rPr>
          <w:rFonts w:hint="eastAsia" w:ascii="宋体" w:hAnsi="宋体" w:cs="宋体"/>
          <w:color w:val="auto"/>
          <w:sz w:val="28"/>
          <w:szCs w:val="28"/>
          <w:highlight w:val="none"/>
        </w:rPr>
        <w:t>2.1工程名称：</w:t>
      </w:r>
      <w:r>
        <w:rPr>
          <w:rFonts w:hint="eastAsia" w:ascii="华文行楷" w:hAnsi="华文行楷" w:eastAsia="华文行楷" w:cs="华文行楷"/>
          <w:color w:val="auto"/>
          <w:sz w:val="28"/>
          <w:szCs w:val="28"/>
          <w:highlight w:val="none"/>
          <w:u w:val="single"/>
          <w:lang w:eastAsia="zh-CN"/>
        </w:rPr>
        <w:t>湛江经开区老旧小区改造项目（一期一标）监理</w:t>
      </w:r>
    </w:p>
    <w:p>
      <w:pPr>
        <w:spacing w:line="56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2.2工程地点：</w:t>
      </w:r>
      <w:r>
        <w:rPr>
          <w:rFonts w:hint="eastAsia" w:ascii="华文行楷" w:hAnsi="华文行楷" w:eastAsia="华文行楷" w:cs="华文行楷"/>
          <w:color w:val="auto"/>
          <w:sz w:val="28"/>
          <w:szCs w:val="28"/>
          <w:highlight w:val="none"/>
          <w:u w:val="single"/>
          <w:lang w:eastAsia="zh-CN"/>
        </w:rPr>
        <w:t>位于湛江市开发区建成区</w:t>
      </w:r>
    </w:p>
    <w:p>
      <w:pPr>
        <w:spacing w:line="560" w:lineRule="exact"/>
        <w:ind w:firstLine="560" w:firstLineChars="200"/>
        <w:jc w:val="left"/>
        <w:rPr>
          <w:rFonts w:hint="eastAsia" w:ascii="华文行楷" w:hAnsi="华文行楷" w:eastAsia="宋体" w:cs="华文行楷"/>
          <w:color w:val="auto"/>
          <w:sz w:val="28"/>
          <w:szCs w:val="28"/>
          <w:highlight w:val="none"/>
          <w:u w:val="single"/>
          <w:lang w:eastAsia="zh-CN"/>
        </w:rPr>
      </w:pPr>
      <w:r>
        <w:rPr>
          <w:rFonts w:hint="eastAsia" w:ascii="宋体" w:hAnsi="宋体" w:cs="宋体"/>
          <w:color w:val="auto"/>
          <w:sz w:val="28"/>
          <w:szCs w:val="28"/>
          <w:highlight w:val="none"/>
        </w:rPr>
        <w:t>2.3建设单位：</w:t>
      </w:r>
      <w:r>
        <w:rPr>
          <w:rFonts w:hint="eastAsia" w:ascii="华文行楷" w:hAnsi="华文行楷" w:eastAsia="华文行楷" w:cs="华文行楷"/>
          <w:color w:val="auto"/>
          <w:sz w:val="28"/>
          <w:szCs w:val="28"/>
          <w:highlight w:val="none"/>
          <w:u w:val="single"/>
          <w:lang w:eastAsia="zh-CN"/>
        </w:rPr>
        <w:t>湛江经济技术开发区城市综合管理局</w:t>
      </w:r>
    </w:p>
    <w:p>
      <w:pPr>
        <w:spacing w:line="560" w:lineRule="exact"/>
        <w:ind w:firstLine="560" w:firstLineChars="200"/>
        <w:jc w:val="left"/>
        <w:rPr>
          <w:rFonts w:hint="eastAsia" w:ascii="华文行楷" w:hAnsi="华文行楷" w:eastAsia="华文行楷" w:cs="华文行楷"/>
          <w:color w:val="auto"/>
          <w:sz w:val="28"/>
          <w:szCs w:val="28"/>
          <w:highlight w:val="none"/>
          <w:u w:val="single"/>
          <w:lang w:val="en-US" w:eastAsia="zh-CN"/>
        </w:rPr>
      </w:pPr>
      <w:r>
        <w:rPr>
          <w:rFonts w:hint="eastAsia" w:ascii="宋体" w:hAnsi="宋体" w:cs="宋体"/>
          <w:color w:val="auto"/>
          <w:sz w:val="28"/>
          <w:szCs w:val="28"/>
          <w:highlight w:val="none"/>
        </w:rPr>
        <w:t>2.4建设内容及规模：</w:t>
      </w:r>
      <w:r>
        <w:rPr>
          <w:rFonts w:hint="eastAsia" w:ascii="华文行楷" w:hAnsi="华文行楷" w:eastAsia="华文行楷" w:cs="华文行楷"/>
          <w:color w:val="auto"/>
          <w:sz w:val="28"/>
          <w:szCs w:val="28"/>
          <w:highlight w:val="none"/>
          <w:u w:val="single"/>
          <w:lang w:val="en-US" w:eastAsia="zh-CN"/>
        </w:rPr>
        <w:t>对观海片区金地花园周边21栋楼及片区内总体进行改造升级。改造规模：（1）道路路面修复面积约 29000 平方米。（2）给水管网改造约 2150 米。（3）排水水管网改造 5551 米，以及管线改造所含的配套设施建设。（4）片区 21 栋楼三线下地。（5）围墙改造，改造长度 890 米。（6）增加小区安防、消防等设施。（7）立面整治:项目所在区的居住楼占地面积75145.11平方米，建筑面积188108.97平方米，现有外立面由于时间久远，部分外墙出现不同程度的脱落、空鼓等现象，不但对小区安全造成影响，也影响城市文明形象。因此，将小区居民楼外立面进行翻新改造，包括外墙砖装饰翻新、防盗网改造、公共楼梯间改造、屋面防水、部分违建拆除，外立面改造约 61400 平方米，清除废日无用强弱电线杆线及杂物等;对小区屋面进行防水改造:对小区楼梯栏杆扶手等进行更换或防锈防腐处理。</w:t>
      </w:r>
    </w:p>
    <w:p>
      <w:pPr>
        <w:spacing w:line="560" w:lineRule="exact"/>
        <w:ind w:firstLine="560" w:firstLineChars="200"/>
        <w:jc w:val="left"/>
        <w:rPr>
          <w:rFonts w:ascii="华文行楷" w:hAnsi="华文行楷" w:eastAsia="华文行楷" w:cs="华文行楷"/>
          <w:color w:val="auto"/>
          <w:sz w:val="28"/>
          <w:szCs w:val="28"/>
          <w:highlight w:val="none"/>
          <w:u w:val="single"/>
        </w:rPr>
      </w:pPr>
      <w:r>
        <w:rPr>
          <w:rStyle w:val="28"/>
          <w:rFonts w:hint="eastAsia" w:ascii="华文行楷" w:hAnsi="华文行楷" w:eastAsia="华文行楷" w:cs="Times New Roman"/>
          <w:color w:val="auto"/>
          <w:sz w:val="28"/>
          <w:szCs w:val="28"/>
          <w:highlight w:val="none"/>
          <w:u w:val="single" w:color="000000"/>
          <w:lang w:val="en-US" w:eastAsia="zh-CN"/>
        </w:rPr>
        <w:t>概算</w:t>
      </w:r>
      <w:r>
        <w:rPr>
          <w:rStyle w:val="28"/>
          <w:rFonts w:hint="eastAsia" w:ascii="华文行楷" w:hAnsi="华文行楷" w:eastAsia="华文行楷" w:cs="Times New Roman"/>
          <w:color w:val="auto"/>
          <w:sz w:val="28"/>
          <w:szCs w:val="28"/>
          <w:highlight w:val="none"/>
          <w:u w:val="single" w:color="000000"/>
        </w:rPr>
        <w:t>建安费约</w:t>
      </w:r>
      <w:r>
        <w:rPr>
          <w:rStyle w:val="28"/>
          <w:rFonts w:hint="eastAsia" w:ascii="华文行楷" w:hAnsi="华文行楷" w:eastAsia="华文行楷" w:cs="Times New Roman"/>
          <w:color w:val="auto"/>
          <w:sz w:val="28"/>
          <w:szCs w:val="28"/>
          <w:highlight w:val="none"/>
          <w:u w:val="single" w:color="000000"/>
          <w:lang w:val="en-US" w:eastAsia="zh-CN"/>
        </w:rPr>
        <w:t>9987.99</w:t>
      </w:r>
      <w:r>
        <w:rPr>
          <w:rStyle w:val="28"/>
          <w:rFonts w:hint="eastAsia" w:ascii="华文行楷" w:hAnsi="华文行楷" w:eastAsia="华文行楷" w:cs="Times New Roman"/>
          <w:color w:val="auto"/>
          <w:sz w:val="28"/>
          <w:szCs w:val="28"/>
          <w:highlight w:val="none"/>
          <w:u w:val="single" w:color="000000"/>
        </w:rPr>
        <w:t>万元。</w:t>
      </w:r>
      <w:r>
        <w:rPr>
          <w:rFonts w:hint="eastAsia" w:ascii="华文行楷" w:hAnsi="华文行楷" w:eastAsia="华文行楷" w:cs="华文行楷"/>
          <w:color w:val="auto"/>
          <w:sz w:val="28"/>
          <w:szCs w:val="28"/>
          <w:highlight w:val="none"/>
          <w:u w:val="single"/>
          <w:lang w:eastAsia="zh-CN"/>
        </w:rPr>
        <w:t>本项目</w:t>
      </w:r>
      <w:r>
        <w:rPr>
          <w:rFonts w:hint="eastAsia" w:ascii="华文行楷" w:hAnsi="华文行楷" w:eastAsia="华文行楷" w:cs="华文行楷"/>
          <w:color w:val="auto"/>
          <w:sz w:val="28"/>
          <w:szCs w:val="28"/>
          <w:highlight w:val="none"/>
          <w:u w:val="single"/>
        </w:rPr>
        <w:t>监理费招标控制价为</w:t>
      </w:r>
      <w:r>
        <w:rPr>
          <w:rFonts w:hint="eastAsia" w:ascii="华文行楷" w:hAnsi="华文行楷" w:eastAsia="华文行楷" w:cs="华文行楷"/>
          <w:color w:val="auto"/>
          <w:sz w:val="28"/>
          <w:szCs w:val="28"/>
          <w:highlight w:val="none"/>
          <w:u w:val="single"/>
          <w:lang w:val="en-US" w:eastAsia="zh-CN"/>
        </w:rPr>
        <w:t>1113700.00</w:t>
      </w:r>
      <w:r>
        <w:rPr>
          <w:rFonts w:hint="eastAsia" w:ascii="华文行楷" w:hAnsi="华文行楷" w:eastAsia="华文行楷" w:cs="华文行楷"/>
          <w:color w:val="auto"/>
          <w:sz w:val="28"/>
          <w:szCs w:val="28"/>
          <w:highlight w:val="none"/>
          <w:u w:val="single"/>
        </w:rPr>
        <w:t>元。</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2.5现场条件：</w:t>
      </w:r>
      <w:r>
        <w:rPr>
          <w:rFonts w:hint="eastAsia" w:ascii="华文行楷" w:eastAsia="华文行楷"/>
          <w:color w:val="auto"/>
          <w:sz w:val="28"/>
          <w:szCs w:val="28"/>
          <w:highlight w:val="none"/>
          <w:u w:val="single"/>
        </w:rPr>
        <w:t>具备开工条件</w:t>
      </w:r>
      <w:r>
        <w:rPr>
          <w:rFonts w:hint="eastAsia" w:ascii="华文行楷" w:eastAsia="华文行楷"/>
          <w:color w:val="auto"/>
          <w:sz w:val="28"/>
          <w:szCs w:val="28"/>
          <w:highlight w:val="none"/>
        </w:rPr>
        <w:t>。</w:t>
      </w:r>
    </w:p>
    <w:p>
      <w:pPr>
        <w:spacing w:line="560" w:lineRule="exact"/>
        <w:ind w:firstLine="560" w:firstLineChars="200"/>
        <w:jc w:val="left"/>
        <w:rPr>
          <w:rFonts w:ascii="华文行楷" w:eastAsia="华文行楷"/>
          <w:color w:val="auto"/>
          <w:sz w:val="28"/>
          <w:szCs w:val="28"/>
          <w:highlight w:val="none"/>
          <w:u w:val="single"/>
        </w:rPr>
      </w:pPr>
      <w:r>
        <w:rPr>
          <w:rFonts w:hint="eastAsia" w:ascii="宋体" w:hAnsi="宋体" w:cs="宋体"/>
          <w:color w:val="auto"/>
          <w:sz w:val="28"/>
          <w:szCs w:val="28"/>
          <w:highlight w:val="none"/>
        </w:rPr>
        <w:t>2.6资金来源、投资性质：</w:t>
      </w:r>
      <w:r>
        <w:rPr>
          <w:rFonts w:hint="eastAsia" w:ascii="华文行楷" w:hAnsi="华文行楷" w:eastAsia="华文行楷" w:cs="华文行楷"/>
          <w:color w:val="auto"/>
          <w:sz w:val="28"/>
          <w:szCs w:val="28"/>
          <w:highlight w:val="none"/>
          <w:u w:val="single"/>
          <w:lang w:eastAsia="zh-CN"/>
        </w:rPr>
        <w:t>由地方政府专项债券统筹解决,不足部分由区财政统筹解决</w:t>
      </w:r>
      <w:r>
        <w:rPr>
          <w:rFonts w:hint="eastAsia" w:ascii="华文行楷" w:hAnsi="华文行楷" w:eastAsia="华文行楷" w:cs="华文行楷"/>
          <w:color w:val="auto"/>
          <w:sz w:val="28"/>
          <w:szCs w:val="28"/>
          <w:highlight w:val="none"/>
          <w:u w:val="single"/>
        </w:rPr>
        <w:t>。</w:t>
      </w:r>
    </w:p>
    <w:p>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2.7监理工期：</w:t>
      </w:r>
      <w:r>
        <w:rPr>
          <w:rFonts w:hint="eastAsia" w:ascii="华文行楷" w:hAnsi="宋体" w:eastAsia="华文行楷"/>
          <w:color w:val="auto"/>
          <w:sz w:val="28"/>
          <w:highlight w:val="none"/>
          <w:u w:val="single"/>
          <w:shd w:val="clear" w:color="auto" w:fill="FFFFFF"/>
        </w:rPr>
        <w:t>自签订本合同之日始，至工程验收合格并完成移交、施工合同约定的工程质量缺陷责任期满止。</w:t>
      </w:r>
    </w:p>
    <w:p>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2.8招标范围：</w:t>
      </w:r>
      <w:r>
        <w:rPr>
          <w:rFonts w:hint="eastAsia" w:ascii="华文行楷" w:hAnsi="宋体" w:eastAsia="华文行楷"/>
          <w:color w:val="auto"/>
          <w:sz w:val="28"/>
          <w:highlight w:val="none"/>
          <w:u w:val="single"/>
          <w:shd w:val="clear" w:color="auto" w:fill="FFFFFF"/>
        </w:rPr>
        <w:t>本工程的施工图、工程量清单和有关资料所包含的工程内容，以及施工图中没有列出的，但为本工程的稳定、完整、安全等所必要的附加工程施工的监理。</w:t>
      </w:r>
    </w:p>
    <w:p>
      <w:pPr>
        <w:spacing w:line="560" w:lineRule="exact"/>
        <w:ind w:firstLine="560" w:firstLineChars="200"/>
        <w:rPr>
          <w:rFonts w:ascii="宋体"/>
          <w:color w:val="auto"/>
          <w:sz w:val="28"/>
          <w:szCs w:val="28"/>
          <w:highlight w:val="none"/>
          <w:u w:val="single"/>
        </w:rPr>
      </w:pPr>
      <w:r>
        <w:rPr>
          <w:rFonts w:hint="eastAsia" w:ascii="宋体"/>
          <w:color w:val="auto"/>
          <w:sz w:val="28"/>
          <w:szCs w:val="28"/>
          <w:highlight w:val="none"/>
        </w:rPr>
        <w:t>2.9工程质量要求：</w:t>
      </w:r>
      <w:r>
        <w:rPr>
          <w:rFonts w:hint="eastAsia" w:ascii="华文行楷" w:eastAsia="华文行楷"/>
          <w:color w:val="auto"/>
          <w:sz w:val="28"/>
          <w:szCs w:val="28"/>
          <w:highlight w:val="none"/>
          <w:u w:val="single"/>
        </w:rPr>
        <w:t>合格。</w:t>
      </w:r>
    </w:p>
    <w:p>
      <w:pPr>
        <w:spacing w:line="560" w:lineRule="exact"/>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3.投标人资格要求</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3.1 投标人必须具有独立法人资格。具备</w:t>
      </w:r>
      <w:r>
        <w:rPr>
          <w:rFonts w:hint="eastAsia" w:ascii="华文行楷" w:hAnsi="宋体" w:eastAsia="华文行楷" w:cs="宋体"/>
          <w:color w:val="auto"/>
          <w:sz w:val="28"/>
          <w:szCs w:val="28"/>
          <w:highlight w:val="none"/>
          <w:u w:val="single"/>
        </w:rPr>
        <w:t>工程监理综合资质或</w:t>
      </w:r>
      <w:r>
        <w:rPr>
          <w:rFonts w:hint="eastAsia" w:ascii="华文行楷" w:hAnsi="宋体" w:eastAsia="华文行楷" w:cs="宋体"/>
          <w:color w:val="auto"/>
          <w:sz w:val="28"/>
          <w:szCs w:val="28"/>
          <w:highlight w:val="none"/>
          <w:u w:val="single"/>
          <w:lang w:val="en-US" w:eastAsia="zh-CN"/>
        </w:rPr>
        <w:t>具备</w:t>
      </w:r>
      <w:r>
        <w:rPr>
          <w:rFonts w:hint="eastAsia" w:ascii="华文行楷" w:hAnsi="宋体" w:eastAsia="华文行楷" w:cs="宋体"/>
          <w:color w:val="auto"/>
          <w:sz w:val="28"/>
          <w:szCs w:val="28"/>
          <w:highlight w:val="none"/>
          <w:u w:val="single"/>
          <w:shd w:val="clear" w:color="auto" w:fill="FFFFFF"/>
          <w:lang w:val="en-US" w:eastAsia="zh-CN"/>
        </w:rPr>
        <w:t>房屋建筑工程监理</w:t>
      </w:r>
      <w:r>
        <w:rPr>
          <w:rFonts w:hint="eastAsia" w:ascii="华文行楷" w:hAnsi="华文行楷" w:eastAsia="华文行楷" w:cs="华文行楷"/>
          <w:color w:val="auto"/>
          <w:sz w:val="28"/>
          <w:szCs w:val="28"/>
          <w:highlight w:val="none"/>
          <w:u w:val="single"/>
          <w:lang w:val="en-US" w:eastAsia="zh-CN"/>
        </w:rPr>
        <w:t>甲</w:t>
      </w:r>
      <w:r>
        <w:rPr>
          <w:rFonts w:hint="eastAsia" w:ascii="华文行楷" w:hAnsi="宋体" w:eastAsia="华文行楷" w:cs="宋体"/>
          <w:color w:val="auto"/>
          <w:sz w:val="28"/>
          <w:szCs w:val="28"/>
          <w:highlight w:val="none"/>
          <w:u w:val="single"/>
          <w:shd w:val="clear" w:color="auto" w:fill="FFFFFF"/>
        </w:rPr>
        <w:t>级（或以上）</w:t>
      </w:r>
      <w:r>
        <w:rPr>
          <w:rFonts w:hint="eastAsia" w:ascii="宋体" w:hAnsi="宋体" w:cs="宋体"/>
          <w:color w:val="auto"/>
          <w:sz w:val="28"/>
          <w:szCs w:val="28"/>
          <w:highlight w:val="none"/>
          <w:shd w:val="clear" w:color="auto" w:fill="FFFFFF"/>
        </w:rPr>
        <w:t>级别资质，营业执照有效。</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3.2 投标人拟派总监理工程师，</w:t>
      </w:r>
      <w:r>
        <w:rPr>
          <w:rFonts w:hint="eastAsia" w:ascii="宋体" w:hAnsi="宋体" w:cs="宋体"/>
          <w:color w:val="auto"/>
          <w:sz w:val="28"/>
          <w:szCs w:val="28"/>
          <w:highlight w:val="none"/>
          <w:shd w:val="clear" w:color="auto" w:fill="FFFFFF"/>
        </w:rPr>
        <w:t>具备建设主管部门颁发的注册在投标企业的</w:t>
      </w:r>
      <w:r>
        <w:rPr>
          <w:rFonts w:hint="eastAsia" w:ascii="华文行楷" w:hAnsi="宋体" w:eastAsia="华文行楷" w:cs="宋体"/>
          <w:color w:val="auto"/>
          <w:sz w:val="28"/>
          <w:szCs w:val="28"/>
          <w:highlight w:val="none"/>
          <w:u w:val="single"/>
          <w:shd w:val="clear" w:color="auto" w:fill="FFFFFF"/>
          <w:lang w:val="en-US" w:eastAsia="zh-CN"/>
        </w:rPr>
        <w:t>房屋建筑工程</w:t>
      </w:r>
      <w:r>
        <w:rPr>
          <w:rFonts w:hint="eastAsia" w:ascii="宋体" w:hAnsi="宋体" w:cs="宋体"/>
          <w:color w:val="auto"/>
          <w:sz w:val="28"/>
          <w:szCs w:val="28"/>
          <w:highlight w:val="none"/>
          <w:shd w:val="clear" w:color="auto" w:fill="FFFFFF"/>
        </w:rPr>
        <w:t>监理工程师证书。（身份证复印件及</w:t>
      </w:r>
      <w:r>
        <w:rPr>
          <w:rFonts w:hint="eastAsia" w:ascii="宋体" w:hAnsi="宋体" w:cs="宋体"/>
          <w:color w:val="auto"/>
          <w:sz w:val="28"/>
          <w:szCs w:val="28"/>
          <w:highlight w:val="none"/>
          <w:shd w:val="clear" w:color="auto" w:fill="FFFFFF"/>
          <w:lang w:val="en-US" w:eastAsia="zh-CN"/>
        </w:rPr>
        <w:t>投标截止前</w:t>
      </w:r>
      <w:r>
        <w:rPr>
          <w:rFonts w:hint="eastAsia" w:ascii="宋体" w:hAnsi="宋体" w:cs="宋体"/>
          <w:color w:val="auto"/>
          <w:sz w:val="28"/>
          <w:szCs w:val="28"/>
          <w:highlight w:val="none"/>
          <w:shd w:val="clear" w:color="auto" w:fill="FFFFFF"/>
        </w:rPr>
        <w:t>近三个月任意一个月的社保缴纳证明复印件）自本项目投标之日起</w:t>
      </w:r>
      <w:r>
        <w:rPr>
          <w:rFonts w:hint="eastAsia" w:ascii="宋体" w:hAnsi="宋体" w:cs="宋体"/>
          <w:color w:val="auto"/>
          <w:sz w:val="28"/>
          <w:szCs w:val="28"/>
          <w:highlight w:val="none"/>
        </w:rPr>
        <w:t>自本项目招标公告发布之日起，其最多只能同时担任</w:t>
      </w:r>
      <w:r>
        <w:rPr>
          <w:rFonts w:hint="eastAsia" w:ascii="华文行楷" w:hAnsi="宋体" w:eastAsia="华文行楷" w:cs="宋体"/>
          <w:color w:val="auto"/>
          <w:sz w:val="28"/>
          <w:szCs w:val="28"/>
          <w:highlight w:val="none"/>
          <w:u w:val="single"/>
          <w:shd w:val="clear" w:color="auto" w:fill="FFFFFF"/>
        </w:rPr>
        <w:t>3</w:t>
      </w:r>
      <w:r>
        <w:rPr>
          <w:rFonts w:hint="eastAsia" w:ascii="宋体" w:hAnsi="宋体" w:cs="宋体"/>
          <w:color w:val="auto"/>
          <w:sz w:val="28"/>
          <w:szCs w:val="28"/>
          <w:highlight w:val="none"/>
        </w:rPr>
        <w:t>项(含本项目在内)工程的总监理工程师（兼任的其他项目必须在湛江范围内）。</w:t>
      </w:r>
      <w:r>
        <w:rPr>
          <w:rFonts w:hint="eastAsia" w:ascii="宋体" w:hAnsi="宋体" w:cs="宋体"/>
          <w:color w:val="auto"/>
          <w:sz w:val="28"/>
          <w:szCs w:val="28"/>
          <w:highlight w:val="none"/>
          <w:shd w:val="clear" w:color="auto" w:fill="FFFFFF"/>
        </w:rPr>
        <w:br w:type="textWrapping"/>
      </w:r>
      <w:r>
        <w:rPr>
          <w:rFonts w:hint="eastAsia" w:ascii="宋体" w:hAnsi="宋体" w:cs="宋体"/>
          <w:color w:val="auto"/>
          <w:sz w:val="28"/>
          <w:szCs w:val="28"/>
          <w:highlight w:val="none"/>
        </w:rPr>
        <w:t>3.3 在“中国执行信息公开网”网站（http://zxgk.court.gov.cn/shixin/)中被列入失信被执行人名单的投标人，在国家企业信用信息公示系统（www.gsxt.gov.cn）中被列入严重违法失信企业名单的投标人，均按否决投标处理。</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3.4 本项目须制作：本项目须制作纸质</w:t>
      </w:r>
      <w:r>
        <w:rPr>
          <w:rFonts w:hint="eastAsia" w:ascii="宋体"/>
          <w:color w:val="auto"/>
          <w:sz w:val="28"/>
          <w:szCs w:val="28"/>
          <w:highlight w:val="none"/>
        </w:rPr>
        <w:t>版</w:t>
      </w:r>
      <w:r>
        <w:rPr>
          <w:rFonts w:hint="eastAsia" w:ascii="宋体" w:hAnsi="宋体" w:cs="宋体"/>
          <w:color w:val="auto"/>
          <w:sz w:val="28"/>
          <w:szCs w:val="28"/>
          <w:highlight w:val="none"/>
        </w:rPr>
        <w:t>投标文件。</w:t>
      </w:r>
    </w:p>
    <w:p>
      <w:pPr>
        <w:spacing w:line="560" w:lineRule="exact"/>
        <w:ind w:firstLine="560" w:firstLineChars="200"/>
        <w:jc w:val="left"/>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rPr>
        <w:t>3.5 与招标人存在利害关系可能影响招标公正性的法人、其他组织或者个人，不得参加投标。</w:t>
      </w:r>
      <w:r>
        <w:rPr>
          <w:rFonts w:hint="eastAsia" w:ascii="宋体" w:hAnsi="宋体" w:cs="宋体"/>
          <w:color w:val="auto"/>
          <w:sz w:val="28"/>
          <w:szCs w:val="28"/>
          <w:highlight w:val="none"/>
          <w:shd w:val="clear" w:color="auto" w:fill="FFFFFF"/>
        </w:rPr>
        <w:t>单位负责人为同一人或者存在控股、管理关系的不同单位，不得参加同一标段投标或者未划分标段的同一招标项目投标。否则，相关投标均无效。</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3.6 本次招标</w:t>
      </w:r>
      <w:r>
        <w:rPr>
          <w:rFonts w:hint="eastAsia" w:ascii="华文行楷" w:hAnsi="宋体" w:eastAsia="华文行楷" w:cs="宋体"/>
          <w:color w:val="auto"/>
          <w:sz w:val="28"/>
          <w:szCs w:val="28"/>
          <w:highlight w:val="none"/>
          <w:u w:val="single"/>
          <w:shd w:val="clear" w:color="auto" w:fill="FFFFFF"/>
        </w:rPr>
        <w:t>不接受</w:t>
      </w:r>
      <w:r>
        <w:rPr>
          <w:rFonts w:hint="eastAsia" w:ascii="宋体" w:hAnsi="宋体" w:cs="宋体"/>
          <w:color w:val="auto"/>
          <w:sz w:val="28"/>
          <w:szCs w:val="28"/>
          <w:highlight w:val="none"/>
        </w:rPr>
        <w:t>联合体投标。</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4.其他要求</w:t>
      </w:r>
    </w:p>
    <w:p>
      <w:pPr>
        <w:spacing w:line="560" w:lineRule="exact"/>
        <w:ind w:firstLine="560" w:firstLineChars="200"/>
        <w:jc w:val="left"/>
        <w:rPr>
          <w:rFonts w:ascii="宋体" w:hAnsi="宋体" w:cs="宋体"/>
          <w:color w:val="auto"/>
          <w:sz w:val="28"/>
          <w:szCs w:val="28"/>
          <w:highlight w:val="none"/>
        </w:rPr>
      </w:pPr>
      <w:r>
        <w:rPr>
          <w:rFonts w:hint="eastAsia" w:ascii="华文行楷" w:hAnsi="华文行楷" w:eastAsia="华文行楷" w:cs="华文行楷"/>
          <w:color w:val="auto"/>
          <w:sz w:val="28"/>
          <w:szCs w:val="28"/>
          <w:highlight w:val="none"/>
        </w:rPr>
        <w:t>投标人及拟委派的总监理工程师在投登标记截止时间前应已在广州公共资源交易中心办理企业信息登记，无企业信息登记的招标人将不予受理。企业信息登记的办理详见广州公共资源交易中心网站服务指南栏目。</w:t>
      </w:r>
    </w:p>
    <w:p>
      <w:pPr>
        <w:spacing w:line="5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5.招标投标程序安排及要求</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5.1本次招标</w:t>
      </w:r>
      <w:r>
        <w:rPr>
          <w:rFonts w:hint="eastAsia" w:ascii="华文行楷" w:hAnsi="华文行楷" w:eastAsia="华文行楷" w:cs="华文行楷"/>
          <w:color w:val="auto"/>
          <w:sz w:val="28"/>
          <w:szCs w:val="28"/>
          <w:highlight w:val="none"/>
        </w:rPr>
        <w:t>实行网上投标登记</w:t>
      </w:r>
      <w:r>
        <w:rPr>
          <w:rFonts w:hint="eastAsia" w:ascii="宋体" w:hAnsi="宋体" w:cs="宋体"/>
          <w:color w:val="auto"/>
          <w:sz w:val="28"/>
          <w:szCs w:val="28"/>
          <w:highlight w:val="none"/>
        </w:rPr>
        <w:t>,不设置投标报名环节</w:t>
      </w:r>
      <w:r>
        <w:rPr>
          <w:rFonts w:hint="eastAsia" w:ascii="华文行楷" w:hAnsi="华文行楷" w:eastAsia="华文行楷" w:cs="华文行楷"/>
          <w:color w:val="auto"/>
          <w:sz w:val="28"/>
          <w:szCs w:val="28"/>
          <w:highlight w:val="none"/>
        </w:rPr>
        <w:t>，</w:t>
      </w:r>
      <w:r>
        <w:rPr>
          <w:rFonts w:hint="eastAsia" w:ascii="宋体" w:hAnsi="宋体" w:cs="宋体"/>
          <w:color w:val="auto"/>
          <w:sz w:val="28"/>
          <w:szCs w:val="28"/>
          <w:highlight w:val="none"/>
        </w:rPr>
        <w:t>凡有意参加投标且符合本项目资格要求的投标人，应根据招标文件要求，</w:t>
      </w:r>
      <w:r>
        <w:rPr>
          <w:rFonts w:hint="eastAsia" w:ascii="华文行楷" w:hAnsi="华文行楷" w:eastAsia="华文行楷" w:cs="华文行楷"/>
          <w:color w:val="auto"/>
          <w:sz w:val="28"/>
          <w:szCs w:val="28"/>
          <w:highlight w:val="none"/>
        </w:rPr>
        <w:t>在投标登记时间内在广州公共资源交易中心网站进行投标登记，投标人自行完成投标登记后可</w:t>
      </w:r>
      <w:r>
        <w:rPr>
          <w:rFonts w:hint="eastAsia" w:ascii="宋体" w:hAnsi="宋体" w:cs="宋体"/>
          <w:color w:val="auto"/>
          <w:sz w:val="28"/>
          <w:szCs w:val="28"/>
          <w:highlight w:val="none"/>
        </w:rPr>
        <w:t>直接参与本项目的投标。</w:t>
      </w:r>
    </w:p>
    <w:p>
      <w:pPr>
        <w:spacing w:line="560" w:lineRule="exact"/>
        <w:ind w:firstLine="560" w:firstLineChars="200"/>
        <w:jc w:val="left"/>
        <w:rPr>
          <w:rFonts w:ascii="宋体" w:hAnsi="宋体" w:cs="宋体"/>
          <w:color w:val="auto"/>
          <w:sz w:val="28"/>
          <w:szCs w:val="28"/>
          <w:highlight w:val="none"/>
        </w:rPr>
      </w:pPr>
      <w:r>
        <w:rPr>
          <w:rFonts w:hint="eastAsia" w:ascii="华文行楷" w:hAnsi="华文行楷" w:eastAsia="华文行楷" w:cs="华文行楷"/>
          <w:color w:val="auto"/>
          <w:sz w:val="28"/>
          <w:szCs w:val="28"/>
          <w:highlight w:val="none"/>
        </w:rPr>
        <w:t>投标登记时间为：</w:t>
      </w:r>
      <w:r>
        <w:rPr>
          <w:rFonts w:hint="eastAsia" w:ascii="华文行楷" w:hAnsi="华文行楷" w:eastAsia="华文行楷" w:cs="华文行楷"/>
          <w:color w:val="auto"/>
          <w:sz w:val="28"/>
          <w:szCs w:val="28"/>
          <w:highlight w:val="none"/>
          <w:lang w:eastAsia="zh-CN"/>
        </w:rPr>
        <w:t>2023</w:t>
      </w:r>
      <w:r>
        <w:rPr>
          <w:rFonts w:hint="eastAsia" w:ascii="华文行楷" w:hAnsi="华文行楷" w:eastAsia="华文行楷" w:cs="华文行楷"/>
          <w:color w:val="auto"/>
          <w:sz w:val="28"/>
          <w:szCs w:val="28"/>
          <w:highlight w:val="none"/>
        </w:rPr>
        <w:t>年</w:t>
      </w:r>
      <w:r>
        <w:rPr>
          <w:rFonts w:hint="eastAsia" w:ascii="华文行楷" w:hAnsi="华文行楷" w:eastAsia="华文行楷" w:cs="华文行楷"/>
          <w:color w:val="auto"/>
          <w:sz w:val="28"/>
          <w:szCs w:val="28"/>
          <w:highlight w:val="none"/>
          <w:lang w:val="en-US" w:eastAsia="zh-CN"/>
        </w:rPr>
        <w:t>4</w:t>
      </w:r>
      <w:r>
        <w:rPr>
          <w:rFonts w:hint="eastAsia" w:ascii="华文行楷" w:hAnsi="华文行楷" w:eastAsia="华文行楷" w:cs="华文行楷"/>
          <w:color w:val="auto"/>
          <w:sz w:val="28"/>
          <w:szCs w:val="28"/>
          <w:highlight w:val="none"/>
        </w:rPr>
        <w:t>月</w:t>
      </w:r>
      <w:r>
        <w:rPr>
          <w:rFonts w:hint="eastAsia" w:ascii="华文行楷" w:hAnsi="华文行楷" w:eastAsia="华文行楷" w:cs="华文行楷"/>
          <w:color w:val="auto"/>
          <w:sz w:val="28"/>
          <w:szCs w:val="28"/>
          <w:highlight w:val="none"/>
          <w:lang w:val="en-US" w:eastAsia="zh-CN"/>
        </w:rPr>
        <w:t>29</w:t>
      </w:r>
      <w:r>
        <w:rPr>
          <w:rFonts w:hint="eastAsia" w:ascii="华文行楷" w:hAnsi="华文行楷" w:eastAsia="华文行楷" w:cs="华文行楷"/>
          <w:color w:val="auto"/>
          <w:sz w:val="28"/>
          <w:szCs w:val="28"/>
          <w:highlight w:val="none"/>
        </w:rPr>
        <w:t>日</w:t>
      </w:r>
      <w:r>
        <w:rPr>
          <w:rFonts w:hint="eastAsia" w:ascii="华文行楷" w:hAnsi="华文行楷" w:eastAsia="华文行楷" w:cs="华文行楷"/>
          <w:color w:val="auto"/>
          <w:sz w:val="28"/>
          <w:szCs w:val="28"/>
          <w:highlight w:val="none"/>
          <w:lang w:val="en-US" w:eastAsia="zh-CN"/>
        </w:rPr>
        <w:t>0</w:t>
      </w:r>
      <w:r>
        <w:rPr>
          <w:rFonts w:hint="eastAsia" w:ascii="华文行楷" w:hAnsi="华文行楷" w:eastAsia="华文行楷" w:cs="华文行楷"/>
          <w:color w:val="auto"/>
          <w:sz w:val="28"/>
          <w:szCs w:val="28"/>
          <w:highlight w:val="none"/>
        </w:rPr>
        <w:t>时</w:t>
      </w:r>
      <w:r>
        <w:rPr>
          <w:rFonts w:hint="eastAsia" w:ascii="华文行楷" w:hAnsi="华文行楷" w:eastAsia="华文行楷" w:cs="华文行楷"/>
          <w:color w:val="auto"/>
          <w:sz w:val="28"/>
          <w:szCs w:val="28"/>
          <w:highlight w:val="none"/>
          <w:lang w:val="en-US" w:eastAsia="zh-CN"/>
        </w:rPr>
        <w:t>0</w:t>
      </w:r>
      <w:r>
        <w:rPr>
          <w:rFonts w:hint="eastAsia" w:ascii="华文行楷" w:hAnsi="华文行楷" w:eastAsia="华文行楷" w:cs="华文行楷"/>
          <w:color w:val="auto"/>
          <w:sz w:val="28"/>
          <w:szCs w:val="28"/>
          <w:highlight w:val="none"/>
        </w:rPr>
        <w:t>分至</w:t>
      </w:r>
      <w:r>
        <w:rPr>
          <w:rFonts w:hint="eastAsia" w:ascii="华文行楷" w:hAnsi="华文行楷" w:eastAsia="华文行楷" w:cs="华文行楷"/>
          <w:color w:val="auto"/>
          <w:sz w:val="28"/>
          <w:szCs w:val="28"/>
          <w:highlight w:val="none"/>
          <w:lang w:eastAsia="zh-CN"/>
        </w:rPr>
        <w:t>2023</w:t>
      </w:r>
      <w:r>
        <w:rPr>
          <w:rFonts w:hint="eastAsia" w:ascii="华文行楷" w:hAnsi="华文行楷" w:eastAsia="华文行楷" w:cs="华文行楷"/>
          <w:color w:val="auto"/>
          <w:sz w:val="28"/>
          <w:szCs w:val="28"/>
          <w:highlight w:val="none"/>
        </w:rPr>
        <w:t>年</w:t>
      </w:r>
      <w:r>
        <w:rPr>
          <w:rFonts w:hint="eastAsia" w:ascii="华文行楷" w:hAnsi="华文行楷" w:eastAsia="华文行楷" w:cs="华文行楷"/>
          <w:color w:val="auto"/>
          <w:sz w:val="28"/>
          <w:szCs w:val="28"/>
          <w:highlight w:val="none"/>
          <w:lang w:val="en-US" w:eastAsia="zh-CN"/>
        </w:rPr>
        <w:t>5</w:t>
      </w:r>
      <w:r>
        <w:rPr>
          <w:rFonts w:hint="eastAsia" w:ascii="华文行楷" w:hAnsi="华文行楷" w:eastAsia="华文行楷" w:cs="华文行楷"/>
          <w:color w:val="auto"/>
          <w:sz w:val="28"/>
          <w:szCs w:val="28"/>
          <w:highlight w:val="none"/>
        </w:rPr>
        <w:t>月</w:t>
      </w:r>
      <w:r>
        <w:rPr>
          <w:rFonts w:hint="eastAsia" w:ascii="华文行楷" w:hAnsi="华文行楷" w:eastAsia="华文行楷" w:cs="华文行楷"/>
          <w:color w:val="auto"/>
          <w:sz w:val="28"/>
          <w:szCs w:val="28"/>
          <w:highlight w:val="none"/>
          <w:lang w:val="en-US" w:eastAsia="zh-CN"/>
        </w:rPr>
        <w:t>24</w:t>
      </w:r>
      <w:r>
        <w:rPr>
          <w:rFonts w:hint="eastAsia" w:ascii="华文行楷" w:hAnsi="华文行楷" w:eastAsia="华文行楷" w:cs="华文行楷"/>
          <w:color w:val="auto"/>
          <w:sz w:val="28"/>
          <w:szCs w:val="28"/>
          <w:highlight w:val="none"/>
        </w:rPr>
        <w:t>日</w:t>
      </w:r>
      <w:r>
        <w:rPr>
          <w:rFonts w:hint="eastAsia" w:ascii="华文行楷" w:hAnsi="华文行楷" w:eastAsia="华文行楷" w:cs="华文行楷"/>
          <w:color w:val="auto"/>
          <w:sz w:val="28"/>
          <w:szCs w:val="28"/>
          <w:highlight w:val="none"/>
          <w:lang w:val="en-US" w:eastAsia="zh-CN"/>
        </w:rPr>
        <w:t>9</w:t>
      </w:r>
      <w:r>
        <w:rPr>
          <w:rFonts w:hint="eastAsia" w:ascii="华文行楷" w:hAnsi="华文行楷" w:eastAsia="华文行楷" w:cs="华文行楷"/>
          <w:color w:val="auto"/>
          <w:sz w:val="28"/>
          <w:szCs w:val="28"/>
          <w:highlight w:val="none"/>
        </w:rPr>
        <w:t>时</w:t>
      </w:r>
      <w:r>
        <w:rPr>
          <w:rFonts w:hint="eastAsia" w:ascii="华文行楷" w:hAnsi="华文行楷" w:eastAsia="华文行楷" w:cs="华文行楷"/>
          <w:color w:val="auto"/>
          <w:sz w:val="28"/>
          <w:szCs w:val="28"/>
          <w:highlight w:val="none"/>
          <w:lang w:val="en-US" w:eastAsia="zh-CN"/>
        </w:rPr>
        <w:t>30</w:t>
      </w:r>
      <w:r>
        <w:rPr>
          <w:rFonts w:hint="eastAsia" w:ascii="华文行楷" w:hAnsi="华文行楷" w:eastAsia="华文行楷" w:cs="华文行楷"/>
          <w:color w:val="auto"/>
          <w:sz w:val="28"/>
          <w:szCs w:val="28"/>
          <w:highlight w:val="none"/>
        </w:rPr>
        <w:t>分。投标登记时间以广州公共资源交易中心网站发布的为准。（网上投标登记操作流程详见广州公共资源交易中心网站发布的最新版操作指引）</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5.2招标公告发布时间：</w:t>
      </w:r>
      <w:r>
        <w:rPr>
          <w:rFonts w:hint="eastAsia" w:ascii="宋体" w:hAnsi="宋体" w:cs="宋体"/>
          <w:iCs/>
          <w:color w:val="auto"/>
          <w:sz w:val="28"/>
          <w:szCs w:val="28"/>
          <w:highlight w:val="none"/>
          <w:u w:val="single"/>
          <w:lang w:eastAsia="zh-CN"/>
        </w:rPr>
        <w:t>2023</w:t>
      </w:r>
      <w:r>
        <w:rPr>
          <w:rFonts w:hint="eastAsia" w:ascii="宋体" w:hAnsi="宋体" w:cs="宋体"/>
          <w:iCs/>
          <w:color w:val="auto"/>
          <w:sz w:val="28"/>
          <w:szCs w:val="28"/>
          <w:highlight w:val="none"/>
        </w:rPr>
        <w:t>年</w:t>
      </w:r>
      <w:r>
        <w:rPr>
          <w:rFonts w:hint="eastAsia" w:ascii="宋体" w:hAnsi="宋体" w:cs="宋体"/>
          <w:iCs/>
          <w:color w:val="auto"/>
          <w:sz w:val="28"/>
          <w:szCs w:val="28"/>
          <w:highlight w:val="none"/>
          <w:lang w:val="en-US" w:eastAsia="zh-CN"/>
        </w:rPr>
        <w:t>4</w:t>
      </w:r>
      <w:r>
        <w:rPr>
          <w:rFonts w:hint="eastAsia" w:ascii="宋体" w:hAnsi="宋体" w:cs="宋体"/>
          <w:iCs/>
          <w:color w:val="auto"/>
          <w:sz w:val="28"/>
          <w:szCs w:val="28"/>
          <w:highlight w:val="none"/>
        </w:rPr>
        <w:t>月</w:t>
      </w:r>
      <w:r>
        <w:rPr>
          <w:rFonts w:hint="eastAsia" w:ascii="宋体" w:hAnsi="宋体" w:cs="宋体"/>
          <w:iCs/>
          <w:color w:val="auto"/>
          <w:sz w:val="28"/>
          <w:szCs w:val="28"/>
          <w:highlight w:val="none"/>
          <w:lang w:val="en-US" w:eastAsia="zh-CN"/>
        </w:rPr>
        <w:t>29</w:t>
      </w:r>
      <w:r>
        <w:rPr>
          <w:rFonts w:hint="eastAsia" w:ascii="宋体" w:hAnsi="宋体" w:cs="宋体"/>
          <w:iCs/>
          <w:color w:val="auto"/>
          <w:sz w:val="28"/>
          <w:szCs w:val="28"/>
          <w:highlight w:val="none"/>
        </w:rPr>
        <w:t>日</w:t>
      </w:r>
      <w:r>
        <w:rPr>
          <w:rFonts w:hint="eastAsia" w:ascii="宋体" w:hAnsi="宋体" w:cs="宋体"/>
          <w:iCs/>
          <w:color w:val="auto"/>
          <w:sz w:val="28"/>
          <w:szCs w:val="28"/>
          <w:highlight w:val="none"/>
          <w:lang w:val="en-US" w:eastAsia="zh-CN"/>
        </w:rPr>
        <w:t xml:space="preserve"> 0</w:t>
      </w:r>
      <w:r>
        <w:rPr>
          <w:rFonts w:hint="eastAsia" w:ascii="宋体" w:hAnsi="宋体" w:cs="宋体"/>
          <w:iCs/>
          <w:color w:val="auto"/>
          <w:sz w:val="28"/>
          <w:szCs w:val="28"/>
          <w:highlight w:val="none"/>
        </w:rPr>
        <w:t>时</w:t>
      </w:r>
      <w:r>
        <w:rPr>
          <w:rFonts w:hint="eastAsia" w:ascii="宋体" w:hAnsi="宋体" w:cs="宋体"/>
          <w:color w:val="auto"/>
          <w:sz w:val="28"/>
          <w:szCs w:val="28"/>
          <w:highlight w:val="none"/>
        </w:rPr>
        <w:t>(北京时间，下同)。</w:t>
      </w:r>
    </w:p>
    <w:p>
      <w:pPr>
        <w:spacing w:line="560" w:lineRule="exact"/>
        <w:ind w:firstLine="560" w:firstLineChars="200"/>
        <w:jc w:val="left"/>
        <w:rPr>
          <w:rFonts w:ascii="宋体" w:hAnsi="宋体" w:cs="宋体"/>
          <w:iCs/>
          <w:color w:val="auto"/>
          <w:sz w:val="28"/>
          <w:szCs w:val="28"/>
          <w:highlight w:val="none"/>
        </w:rPr>
      </w:pPr>
      <w:r>
        <w:rPr>
          <w:rFonts w:hint="eastAsia" w:ascii="宋体" w:hAnsi="宋体" w:cs="宋体"/>
          <w:iCs/>
          <w:color w:val="auto"/>
          <w:sz w:val="28"/>
          <w:szCs w:val="28"/>
          <w:highlight w:val="none"/>
        </w:rPr>
        <w:t>5.3答疑提问截止时间：</w:t>
      </w:r>
      <w:r>
        <w:rPr>
          <w:rFonts w:hint="eastAsia" w:ascii="宋体" w:hAnsi="宋体" w:cs="宋体"/>
          <w:iCs/>
          <w:color w:val="auto"/>
          <w:sz w:val="28"/>
          <w:szCs w:val="28"/>
          <w:highlight w:val="none"/>
          <w:u w:val="single"/>
          <w:lang w:eastAsia="zh-CN"/>
        </w:rPr>
        <w:t>2023</w:t>
      </w:r>
      <w:r>
        <w:rPr>
          <w:rFonts w:hint="eastAsia" w:ascii="宋体" w:hAnsi="宋体" w:cs="宋体"/>
          <w:iCs/>
          <w:color w:val="auto"/>
          <w:sz w:val="28"/>
          <w:szCs w:val="28"/>
          <w:highlight w:val="none"/>
        </w:rPr>
        <w:t>年</w:t>
      </w:r>
      <w:r>
        <w:rPr>
          <w:rFonts w:hint="eastAsia" w:ascii="宋体" w:hAnsi="宋体" w:cs="宋体"/>
          <w:iCs/>
          <w:color w:val="auto"/>
          <w:sz w:val="28"/>
          <w:szCs w:val="28"/>
          <w:highlight w:val="none"/>
          <w:lang w:val="en-US" w:eastAsia="zh-CN"/>
        </w:rPr>
        <w:t>5</w:t>
      </w:r>
      <w:r>
        <w:rPr>
          <w:rFonts w:hint="eastAsia" w:ascii="宋体" w:hAnsi="宋体" w:cs="宋体"/>
          <w:iCs/>
          <w:color w:val="auto"/>
          <w:sz w:val="28"/>
          <w:szCs w:val="28"/>
          <w:highlight w:val="none"/>
        </w:rPr>
        <w:t>月</w:t>
      </w:r>
      <w:r>
        <w:rPr>
          <w:rFonts w:hint="eastAsia" w:ascii="宋体" w:hAnsi="宋体" w:cs="宋体"/>
          <w:iCs/>
          <w:color w:val="auto"/>
          <w:sz w:val="28"/>
          <w:szCs w:val="28"/>
          <w:highlight w:val="none"/>
          <w:lang w:val="en-US" w:eastAsia="zh-CN"/>
        </w:rPr>
        <w:t>5</w:t>
      </w:r>
      <w:r>
        <w:rPr>
          <w:rFonts w:hint="eastAsia" w:ascii="宋体" w:hAnsi="宋体" w:cs="宋体"/>
          <w:iCs/>
          <w:color w:val="auto"/>
          <w:sz w:val="28"/>
          <w:szCs w:val="28"/>
          <w:highlight w:val="none"/>
        </w:rPr>
        <w:t>日</w:t>
      </w:r>
      <w:r>
        <w:rPr>
          <w:rFonts w:hint="eastAsia" w:ascii="宋体" w:hAnsi="宋体" w:cs="宋体"/>
          <w:iCs/>
          <w:color w:val="auto"/>
          <w:sz w:val="28"/>
          <w:szCs w:val="28"/>
          <w:highlight w:val="none"/>
          <w:lang w:val="en-US" w:eastAsia="zh-CN"/>
        </w:rPr>
        <w:t>17</w:t>
      </w:r>
      <w:r>
        <w:rPr>
          <w:rFonts w:hint="eastAsia" w:ascii="宋体" w:hAnsi="宋体" w:cs="宋体"/>
          <w:iCs/>
          <w:color w:val="auto"/>
          <w:sz w:val="28"/>
          <w:szCs w:val="28"/>
          <w:highlight w:val="none"/>
        </w:rPr>
        <w:t>时。提问为匿名方式，通过：</w:t>
      </w:r>
      <w:r>
        <w:rPr>
          <w:rFonts w:hint="eastAsia" w:ascii="华文行楷" w:hAnsi="华文行楷" w:eastAsia="华文行楷" w:cs="华文行楷"/>
          <w:iCs/>
          <w:color w:val="auto"/>
          <w:sz w:val="28"/>
          <w:szCs w:val="28"/>
          <w:highlight w:val="none"/>
          <w:u w:val="single"/>
        </w:rPr>
        <w:t>广州公共资源交易中心</w:t>
      </w:r>
      <w:r>
        <w:rPr>
          <w:rFonts w:hint="eastAsia" w:ascii="华文行楷" w:hAnsi="华文行楷" w:eastAsia="华文行楷" w:cs="华文行楷"/>
          <w:iCs/>
          <w:color w:val="auto"/>
          <w:sz w:val="28"/>
          <w:szCs w:val="28"/>
          <w:highlight w:val="none"/>
          <w:u w:val="single"/>
          <w:lang w:val="en-US" w:eastAsia="zh-CN"/>
        </w:rPr>
        <w:t>系统</w:t>
      </w:r>
      <w:r>
        <w:rPr>
          <w:rFonts w:hint="eastAsia" w:ascii="宋体" w:hAnsi="宋体" w:cs="宋体"/>
          <w:iCs/>
          <w:color w:val="auto"/>
          <w:sz w:val="28"/>
          <w:szCs w:val="28"/>
          <w:highlight w:val="none"/>
        </w:rPr>
        <w:t>提出。</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5.4招标文件答疑、澄清、修改或补充内容</w:t>
      </w:r>
      <w:r>
        <w:rPr>
          <w:color w:val="auto"/>
          <w:highlight w:val="none"/>
        </w:rPr>
        <w:fldChar w:fldCharType="begin"/>
      </w:r>
      <w:r>
        <w:rPr>
          <w:color w:val="auto"/>
          <w:highlight w:val="none"/>
        </w:rPr>
        <w:instrText xml:space="preserve"> HYPERLINK "http://zb.zjcic.net），发布答疑时间为" </w:instrText>
      </w:r>
      <w:r>
        <w:rPr>
          <w:color w:val="auto"/>
          <w:highlight w:val="none"/>
        </w:rPr>
        <w:fldChar w:fldCharType="separate"/>
      </w:r>
      <w:r>
        <w:rPr>
          <w:rFonts w:hint="eastAsia" w:ascii="宋体" w:hAnsi="宋体" w:cs="宋体"/>
          <w:color w:val="auto"/>
          <w:sz w:val="28"/>
          <w:szCs w:val="28"/>
          <w:highlight w:val="none"/>
        </w:rPr>
        <w:t>发布时间：</w:t>
      </w:r>
      <w:r>
        <w:rPr>
          <w:rFonts w:hint="eastAsia" w:ascii="宋体" w:hAnsi="宋体" w:cs="宋体"/>
          <w:color w:val="auto"/>
          <w:sz w:val="28"/>
          <w:szCs w:val="28"/>
          <w:highlight w:val="none"/>
        </w:rPr>
        <w:fldChar w:fldCharType="end"/>
      </w:r>
      <w:r>
        <w:rPr>
          <w:rFonts w:hint="eastAsia" w:ascii="宋体" w:hAnsi="宋体" w:cs="宋体"/>
          <w:iCs/>
          <w:color w:val="auto"/>
          <w:sz w:val="28"/>
          <w:szCs w:val="28"/>
          <w:highlight w:val="none"/>
          <w:u w:val="single"/>
          <w:lang w:eastAsia="zh-CN"/>
        </w:rPr>
        <w:t>2023</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日。统一在</w:t>
      </w:r>
      <w:r>
        <w:rPr>
          <w:rFonts w:hint="eastAsia" w:ascii="华文行楷" w:hAnsi="华文行楷" w:eastAsia="华文行楷" w:cs="华文行楷"/>
          <w:iCs/>
          <w:color w:val="auto"/>
          <w:sz w:val="28"/>
          <w:szCs w:val="28"/>
          <w:highlight w:val="none"/>
          <w:u w:val="single"/>
        </w:rPr>
        <w:t>广州公共资源交易中心</w:t>
      </w:r>
      <w:r>
        <w:rPr>
          <w:rFonts w:hint="eastAsia" w:ascii="华文行楷" w:hAnsi="华文行楷" w:eastAsia="华文行楷" w:cs="华文行楷"/>
          <w:iCs/>
          <w:color w:val="auto"/>
          <w:sz w:val="28"/>
          <w:szCs w:val="28"/>
          <w:highlight w:val="none"/>
          <w:u w:val="single"/>
          <w:lang w:eastAsia="zh-CN"/>
        </w:rPr>
        <w:t>网站</w:t>
      </w:r>
      <w:r>
        <w:rPr>
          <w:rFonts w:hint="eastAsia" w:ascii="宋体" w:hAnsi="宋体" w:cs="宋体"/>
          <w:color w:val="auto"/>
          <w:sz w:val="28"/>
          <w:szCs w:val="28"/>
          <w:highlight w:val="none"/>
        </w:rPr>
        <w:t>发布（内容在网站发布后将视作已告知所有投标人）。</w:t>
      </w:r>
    </w:p>
    <w:p>
      <w:pPr>
        <w:spacing w:line="560" w:lineRule="exact"/>
        <w:ind w:firstLine="565" w:firstLineChars="202"/>
        <w:jc w:val="left"/>
        <w:rPr>
          <w:rFonts w:ascii="华文行楷" w:hAnsi="华文行楷" w:eastAsia="华文行楷" w:cs="华文行楷"/>
          <w:iCs/>
          <w:color w:val="auto"/>
          <w:sz w:val="28"/>
          <w:szCs w:val="28"/>
          <w:highlight w:val="none"/>
        </w:rPr>
      </w:pPr>
      <w:r>
        <w:rPr>
          <w:rFonts w:hint="eastAsia" w:ascii="宋体" w:hAnsi="宋体" w:cs="宋体"/>
          <w:iCs/>
          <w:color w:val="auto"/>
          <w:sz w:val="28"/>
          <w:szCs w:val="28"/>
          <w:highlight w:val="none"/>
        </w:rPr>
        <w:t>5.5</w:t>
      </w:r>
      <w:r>
        <w:rPr>
          <w:rFonts w:hint="eastAsia" w:ascii="华文行楷" w:hAnsi="华文行楷" w:eastAsia="华文行楷" w:cs="华文行楷"/>
          <w:iCs/>
          <w:color w:val="auto"/>
          <w:sz w:val="28"/>
          <w:szCs w:val="28"/>
          <w:highlight w:val="none"/>
        </w:rPr>
        <w:t>投标文件递交的截止时间为</w:t>
      </w:r>
      <w:r>
        <w:rPr>
          <w:rFonts w:hint="eastAsia" w:ascii="华文行楷" w:hAnsi="华文行楷" w:eastAsia="华文行楷" w:cs="华文行楷"/>
          <w:iCs/>
          <w:color w:val="auto"/>
          <w:sz w:val="28"/>
          <w:szCs w:val="28"/>
          <w:highlight w:val="none"/>
          <w:u w:val="single"/>
          <w:lang w:eastAsia="zh-CN"/>
        </w:rPr>
        <w:t>2023</w:t>
      </w:r>
      <w:r>
        <w:rPr>
          <w:rFonts w:hint="eastAsia" w:ascii="华文行楷" w:hAnsi="华文行楷" w:eastAsia="华文行楷" w:cs="华文行楷"/>
          <w:iCs/>
          <w:color w:val="auto"/>
          <w:sz w:val="28"/>
          <w:szCs w:val="28"/>
          <w:highlight w:val="none"/>
        </w:rPr>
        <w:t>年</w:t>
      </w:r>
      <w:r>
        <w:rPr>
          <w:rFonts w:hint="eastAsia" w:ascii="华文行楷" w:hAnsi="华文行楷" w:eastAsia="华文行楷" w:cs="华文行楷"/>
          <w:iCs/>
          <w:color w:val="auto"/>
          <w:sz w:val="28"/>
          <w:szCs w:val="28"/>
          <w:highlight w:val="none"/>
          <w:lang w:val="en-US" w:eastAsia="zh-CN"/>
        </w:rPr>
        <w:t>5</w:t>
      </w:r>
      <w:r>
        <w:rPr>
          <w:rFonts w:hint="eastAsia" w:ascii="华文行楷" w:hAnsi="华文行楷" w:eastAsia="华文行楷" w:cs="华文行楷"/>
          <w:iCs/>
          <w:color w:val="auto"/>
          <w:sz w:val="28"/>
          <w:szCs w:val="28"/>
          <w:highlight w:val="none"/>
        </w:rPr>
        <w:t>月</w:t>
      </w:r>
      <w:r>
        <w:rPr>
          <w:rFonts w:hint="eastAsia" w:ascii="华文行楷" w:hAnsi="华文行楷" w:eastAsia="华文行楷" w:cs="华文行楷"/>
          <w:iCs/>
          <w:color w:val="auto"/>
          <w:sz w:val="28"/>
          <w:szCs w:val="28"/>
          <w:highlight w:val="none"/>
          <w:lang w:val="en-US" w:eastAsia="zh-CN"/>
        </w:rPr>
        <w:t>24</w:t>
      </w:r>
      <w:r>
        <w:rPr>
          <w:rFonts w:hint="eastAsia" w:ascii="华文行楷" w:hAnsi="华文行楷" w:eastAsia="华文行楷" w:cs="华文行楷"/>
          <w:iCs/>
          <w:color w:val="auto"/>
          <w:sz w:val="28"/>
          <w:szCs w:val="28"/>
          <w:highlight w:val="none"/>
        </w:rPr>
        <w:t>日</w:t>
      </w:r>
      <w:r>
        <w:rPr>
          <w:rFonts w:hint="eastAsia" w:ascii="华文行楷" w:hAnsi="华文行楷" w:eastAsia="华文行楷" w:cs="华文行楷"/>
          <w:iCs/>
          <w:color w:val="auto"/>
          <w:sz w:val="28"/>
          <w:szCs w:val="28"/>
          <w:highlight w:val="none"/>
          <w:lang w:val="en-US" w:eastAsia="zh-CN"/>
        </w:rPr>
        <w:t>9</w:t>
      </w:r>
      <w:r>
        <w:rPr>
          <w:rFonts w:hint="eastAsia" w:ascii="华文行楷" w:hAnsi="华文行楷" w:eastAsia="华文行楷" w:cs="华文行楷"/>
          <w:iCs/>
          <w:color w:val="auto"/>
          <w:sz w:val="28"/>
          <w:szCs w:val="28"/>
          <w:highlight w:val="none"/>
        </w:rPr>
        <w:t>时</w:t>
      </w:r>
      <w:r>
        <w:rPr>
          <w:rFonts w:hint="eastAsia" w:ascii="华文行楷" w:hAnsi="华文行楷" w:eastAsia="华文行楷" w:cs="华文行楷"/>
          <w:iCs/>
          <w:color w:val="auto"/>
          <w:sz w:val="28"/>
          <w:szCs w:val="28"/>
          <w:highlight w:val="none"/>
          <w:lang w:val="en-US" w:eastAsia="zh-CN"/>
        </w:rPr>
        <w:t>30</w:t>
      </w:r>
      <w:r>
        <w:rPr>
          <w:rFonts w:hint="eastAsia" w:ascii="华文行楷" w:hAnsi="华文行楷" w:eastAsia="华文行楷" w:cs="华文行楷"/>
          <w:iCs/>
          <w:color w:val="auto"/>
          <w:sz w:val="28"/>
          <w:szCs w:val="28"/>
          <w:highlight w:val="none"/>
        </w:rPr>
        <w:t>分，投标人应于</w:t>
      </w:r>
      <w:r>
        <w:rPr>
          <w:rFonts w:hint="eastAsia" w:ascii="华文行楷" w:hAnsi="华文行楷" w:eastAsia="华文行楷" w:cs="华文行楷"/>
          <w:iCs/>
          <w:color w:val="auto"/>
          <w:sz w:val="28"/>
          <w:szCs w:val="28"/>
          <w:highlight w:val="none"/>
          <w:u w:val="single"/>
          <w:lang w:eastAsia="zh-CN"/>
        </w:rPr>
        <w:t>2023</w:t>
      </w:r>
      <w:r>
        <w:rPr>
          <w:rFonts w:hint="eastAsia" w:ascii="华文行楷" w:hAnsi="华文行楷" w:eastAsia="华文行楷" w:cs="华文行楷"/>
          <w:iCs/>
          <w:color w:val="auto"/>
          <w:sz w:val="28"/>
          <w:szCs w:val="28"/>
          <w:highlight w:val="none"/>
        </w:rPr>
        <w:t>年</w:t>
      </w:r>
      <w:r>
        <w:rPr>
          <w:rFonts w:hint="eastAsia" w:ascii="华文行楷" w:hAnsi="华文行楷" w:eastAsia="华文行楷" w:cs="华文行楷"/>
          <w:iCs/>
          <w:color w:val="auto"/>
          <w:sz w:val="28"/>
          <w:szCs w:val="28"/>
          <w:highlight w:val="none"/>
          <w:lang w:val="en-US" w:eastAsia="zh-CN"/>
        </w:rPr>
        <w:t>5</w:t>
      </w:r>
      <w:r>
        <w:rPr>
          <w:rFonts w:hint="eastAsia" w:ascii="华文行楷" w:hAnsi="华文行楷" w:eastAsia="华文行楷" w:cs="华文行楷"/>
          <w:iCs/>
          <w:color w:val="auto"/>
          <w:sz w:val="28"/>
          <w:szCs w:val="28"/>
          <w:highlight w:val="none"/>
        </w:rPr>
        <w:t>月</w:t>
      </w:r>
      <w:r>
        <w:rPr>
          <w:rFonts w:hint="eastAsia" w:ascii="华文行楷" w:hAnsi="华文行楷" w:eastAsia="华文行楷" w:cs="华文行楷"/>
          <w:iCs/>
          <w:color w:val="auto"/>
          <w:sz w:val="28"/>
          <w:szCs w:val="28"/>
          <w:highlight w:val="none"/>
          <w:lang w:val="en-US" w:eastAsia="zh-CN"/>
        </w:rPr>
        <w:t>24</w:t>
      </w:r>
      <w:r>
        <w:rPr>
          <w:rFonts w:hint="eastAsia" w:ascii="华文行楷" w:hAnsi="华文行楷" w:eastAsia="华文行楷" w:cs="华文行楷"/>
          <w:iCs/>
          <w:color w:val="auto"/>
          <w:sz w:val="28"/>
          <w:szCs w:val="28"/>
          <w:highlight w:val="none"/>
        </w:rPr>
        <w:t>日</w:t>
      </w:r>
      <w:r>
        <w:rPr>
          <w:rFonts w:hint="eastAsia" w:ascii="华文行楷" w:hAnsi="华文行楷" w:eastAsia="华文行楷" w:cs="华文行楷"/>
          <w:iCs/>
          <w:color w:val="auto"/>
          <w:sz w:val="28"/>
          <w:szCs w:val="28"/>
          <w:highlight w:val="none"/>
          <w:lang w:val="en-US" w:eastAsia="zh-CN"/>
        </w:rPr>
        <w:t>9</w:t>
      </w:r>
      <w:r>
        <w:rPr>
          <w:rFonts w:hint="eastAsia" w:ascii="华文行楷" w:hAnsi="华文行楷" w:eastAsia="华文行楷" w:cs="华文行楷"/>
          <w:iCs/>
          <w:color w:val="auto"/>
          <w:sz w:val="28"/>
          <w:szCs w:val="28"/>
          <w:highlight w:val="none"/>
        </w:rPr>
        <w:t>时</w:t>
      </w:r>
      <w:r>
        <w:rPr>
          <w:rFonts w:hint="eastAsia" w:ascii="华文行楷" w:hAnsi="华文行楷" w:eastAsia="华文行楷" w:cs="华文行楷"/>
          <w:iCs/>
          <w:color w:val="auto"/>
          <w:sz w:val="28"/>
          <w:szCs w:val="28"/>
          <w:highlight w:val="none"/>
          <w:lang w:val="en-US" w:eastAsia="zh-CN"/>
        </w:rPr>
        <w:t>00</w:t>
      </w:r>
      <w:r>
        <w:rPr>
          <w:rFonts w:hint="eastAsia" w:ascii="华文行楷" w:hAnsi="华文行楷" w:eastAsia="华文行楷" w:cs="华文行楷"/>
          <w:iCs/>
          <w:color w:val="auto"/>
          <w:sz w:val="28"/>
          <w:szCs w:val="28"/>
          <w:highlight w:val="none"/>
        </w:rPr>
        <w:t>分至</w:t>
      </w:r>
      <w:r>
        <w:rPr>
          <w:rFonts w:hint="eastAsia" w:ascii="华文行楷" w:hAnsi="华文行楷" w:eastAsia="华文行楷" w:cs="华文行楷"/>
          <w:iCs/>
          <w:color w:val="auto"/>
          <w:sz w:val="28"/>
          <w:szCs w:val="28"/>
          <w:highlight w:val="none"/>
          <w:lang w:val="en-US" w:eastAsia="zh-CN"/>
        </w:rPr>
        <w:t>9</w:t>
      </w:r>
      <w:r>
        <w:rPr>
          <w:rFonts w:hint="eastAsia" w:ascii="华文行楷" w:hAnsi="华文行楷" w:eastAsia="华文行楷" w:cs="华文行楷"/>
          <w:iCs/>
          <w:color w:val="auto"/>
          <w:sz w:val="28"/>
          <w:szCs w:val="28"/>
          <w:highlight w:val="none"/>
        </w:rPr>
        <w:t>时</w:t>
      </w:r>
      <w:r>
        <w:rPr>
          <w:rFonts w:hint="eastAsia" w:ascii="华文行楷" w:hAnsi="华文行楷" w:eastAsia="华文行楷" w:cs="华文行楷"/>
          <w:iCs/>
          <w:color w:val="auto"/>
          <w:sz w:val="28"/>
          <w:szCs w:val="28"/>
          <w:highlight w:val="none"/>
          <w:lang w:val="en-US" w:eastAsia="zh-CN"/>
        </w:rPr>
        <w:t>30</w:t>
      </w:r>
      <w:r>
        <w:rPr>
          <w:rFonts w:hint="eastAsia" w:ascii="华文行楷" w:hAnsi="华文行楷" w:eastAsia="华文行楷" w:cs="华文行楷"/>
          <w:iCs/>
          <w:color w:val="auto"/>
          <w:sz w:val="28"/>
          <w:szCs w:val="28"/>
          <w:highlight w:val="none"/>
        </w:rPr>
        <w:t>分将投标文件递交至广州市公共资源交易中心（广州市天河区天润路333号）</w:t>
      </w:r>
      <w:r>
        <w:rPr>
          <w:rFonts w:hint="eastAsia" w:ascii="华文行楷" w:hAnsi="华文行楷" w:eastAsia="华文行楷" w:cs="华文行楷"/>
          <w:iCs/>
          <w:color w:val="auto"/>
          <w:sz w:val="28"/>
          <w:szCs w:val="28"/>
          <w:highlight w:val="none"/>
          <w:lang w:val="en-US" w:eastAsia="zh-CN"/>
        </w:rPr>
        <w:t>14号</w:t>
      </w:r>
      <w:r>
        <w:rPr>
          <w:rFonts w:hint="eastAsia" w:ascii="华文行楷" w:hAnsi="华文行楷" w:eastAsia="华文行楷" w:cs="华文行楷"/>
          <w:iCs/>
          <w:color w:val="auto"/>
          <w:sz w:val="28"/>
          <w:szCs w:val="28"/>
          <w:highlight w:val="none"/>
        </w:rPr>
        <w:t>开标室（具体时间及地点安排详见广州公共资源交易中心网站-项目查询（日程安排、答疑纪要）。</w:t>
      </w:r>
    </w:p>
    <w:p>
      <w:pPr>
        <w:spacing w:line="560" w:lineRule="exact"/>
        <w:ind w:firstLine="560" w:firstLineChars="200"/>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5.6开标时间：</w:t>
      </w:r>
      <w:r>
        <w:rPr>
          <w:rFonts w:hint="eastAsia" w:ascii="华文行楷" w:hAnsi="华文行楷" w:eastAsia="华文行楷" w:cs="华文行楷"/>
          <w:color w:val="auto"/>
          <w:sz w:val="28"/>
          <w:szCs w:val="28"/>
          <w:highlight w:val="none"/>
          <w:u w:val="single"/>
          <w:lang w:eastAsia="zh-CN"/>
        </w:rPr>
        <w:t>2023</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24</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时</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分。开标地点：</w:t>
      </w:r>
      <w:r>
        <w:rPr>
          <w:rFonts w:hint="eastAsia" w:ascii="华文行楷" w:hAnsi="华文行楷" w:eastAsia="华文行楷" w:cs="华文行楷"/>
          <w:color w:val="auto"/>
          <w:sz w:val="28"/>
          <w:szCs w:val="28"/>
          <w:highlight w:val="none"/>
          <w:u w:val="single"/>
        </w:rPr>
        <w:t>广州公共资源交易中心（广州市天河区天润路333号）</w:t>
      </w:r>
      <w:r>
        <w:rPr>
          <w:rFonts w:hint="eastAsia" w:ascii="华文行楷" w:hAnsi="华文行楷" w:eastAsia="华文行楷" w:cs="华文行楷"/>
          <w:color w:val="auto"/>
          <w:sz w:val="28"/>
          <w:szCs w:val="28"/>
          <w:highlight w:val="none"/>
          <w:u w:val="single"/>
          <w:lang w:val="en-US" w:eastAsia="zh-CN"/>
        </w:rPr>
        <w:t>14号</w:t>
      </w:r>
      <w:r>
        <w:rPr>
          <w:rFonts w:hint="eastAsia" w:ascii="华文行楷" w:hAnsi="华文行楷" w:eastAsia="华文行楷" w:cs="华文行楷"/>
          <w:color w:val="auto"/>
          <w:sz w:val="28"/>
          <w:szCs w:val="28"/>
          <w:highlight w:val="none"/>
          <w:u w:val="single"/>
        </w:rPr>
        <w:t>开标室。</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5.7逾期送达的、未送达指定地点的、不按照招标文件要求密封的投标文件，将予以拒收。</w:t>
      </w:r>
      <w:bookmarkStart w:id="117" w:name="_GoBack"/>
      <w:bookmarkEnd w:id="117"/>
    </w:p>
    <w:p>
      <w:pPr>
        <w:spacing w:line="560" w:lineRule="exact"/>
        <w:ind w:firstLine="562"/>
        <w:jc w:val="left"/>
        <w:rPr>
          <w:rFonts w:ascii="华文行楷" w:hAnsi="华文行楷" w:eastAsia="华文行楷" w:cs="华文行楷"/>
          <w:color w:val="auto"/>
          <w:sz w:val="28"/>
          <w:szCs w:val="28"/>
          <w:highlight w:val="none"/>
        </w:rPr>
      </w:pPr>
      <w:r>
        <w:rPr>
          <w:rFonts w:hint="eastAsia" w:ascii="华文行楷" w:hAnsi="华文行楷" w:eastAsia="华文行楷" w:cs="华文行楷"/>
          <w:color w:val="auto"/>
          <w:sz w:val="28"/>
          <w:szCs w:val="28"/>
          <w:highlight w:val="none"/>
        </w:rPr>
        <w:t>备注：递交投标文件截止时间及开标时间是否有变化，请密切留意广州公共资源交易中心网站的相关信息(详情可登陆广州公共资源交易中心网站→进入“建设工程”→“项目查询（日程安排、答疑纪要）”专区查询开标室等具体信息)。</w:t>
      </w:r>
    </w:p>
    <w:p>
      <w:pPr>
        <w:spacing w:line="560" w:lineRule="exact"/>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6.</w:t>
      </w:r>
      <w:r>
        <w:rPr>
          <w:rFonts w:hint="eastAsia" w:ascii="宋体" w:hAnsi="宋体" w:cs="宋体"/>
          <w:b/>
          <w:bCs/>
          <w:color w:val="auto"/>
          <w:sz w:val="28"/>
          <w:szCs w:val="28"/>
          <w:highlight w:val="none"/>
          <w:shd w:val="clear" w:color="auto" w:fill="FFFFFF"/>
        </w:rPr>
        <w:t>招标文件的获取</w:t>
      </w:r>
    </w:p>
    <w:p>
      <w:pPr>
        <w:spacing w:line="560" w:lineRule="exact"/>
        <w:ind w:firstLine="560" w:firstLineChars="200"/>
        <w:jc w:val="left"/>
        <w:rPr>
          <w:rFonts w:ascii="华文行楷" w:hAnsi="华文行楷" w:eastAsia="华文行楷" w:cs="华文行楷"/>
          <w:color w:val="auto"/>
          <w:sz w:val="28"/>
          <w:szCs w:val="28"/>
          <w:highlight w:val="none"/>
          <w:u w:val="single"/>
        </w:rPr>
      </w:pPr>
      <w:r>
        <w:rPr>
          <w:rFonts w:hint="eastAsia" w:ascii="华文行楷" w:hAnsi="华文行楷" w:eastAsia="华文行楷" w:cs="华文行楷"/>
          <w:color w:val="auto"/>
          <w:sz w:val="28"/>
          <w:szCs w:val="28"/>
          <w:highlight w:val="none"/>
          <w:u w:val="single"/>
        </w:rPr>
        <w:t>凡有意参加投标者，请于招标公告发布之日起至投标截止时间内，登录广州公共资源交易中心网站</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eastAsia="zh-CN"/>
        </w:rPr>
        <w:t>http://www.gzggzy.cn</w:t>
      </w:r>
      <w:r>
        <w:rPr>
          <w:rFonts w:hint="eastAsia" w:ascii="宋体" w:hAnsi="宋体" w:cs="宋体"/>
          <w:color w:val="auto"/>
          <w:sz w:val="28"/>
          <w:szCs w:val="28"/>
          <w:highlight w:val="none"/>
          <w:u w:val="single"/>
        </w:rPr>
        <w:t>）</w:t>
      </w:r>
      <w:r>
        <w:rPr>
          <w:rFonts w:hint="eastAsia" w:ascii="华文行楷" w:hAnsi="华文行楷" w:eastAsia="华文行楷" w:cs="华文行楷"/>
          <w:color w:val="auto"/>
          <w:sz w:val="28"/>
          <w:szCs w:val="28"/>
          <w:highlight w:val="none"/>
          <w:u w:val="single"/>
        </w:rPr>
        <w:t>查看并下载招标文件以及项目有关资料。</w:t>
      </w:r>
    </w:p>
    <w:p>
      <w:pPr>
        <w:spacing w:line="560" w:lineRule="exact"/>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7.发布公告的媒介</w:t>
      </w:r>
    </w:p>
    <w:p>
      <w:pPr>
        <w:wordWrap w:val="0"/>
        <w:spacing w:line="560" w:lineRule="exact"/>
        <w:ind w:firstLine="560" w:firstLineChars="200"/>
        <w:jc w:val="left"/>
        <w:rPr>
          <w:rFonts w:ascii="宋体" w:hAnsi="宋体" w:cs="宋体"/>
          <w:iCs/>
          <w:color w:val="auto"/>
          <w:sz w:val="28"/>
          <w:szCs w:val="28"/>
          <w:highlight w:val="none"/>
          <w:shd w:val="clear" w:color="auto" w:fill="FFFFFF"/>
        </w:rPr>
      </w:pPr>
      <w:r>
        <w:rPr>
          <w:rFonts w:hint="eastAsia" w:ascii="宋体" w:hAnsi="宋体" w:cs="宋体"/>
          <w:iCs/>
          <w:color w:val="auto"/>
          <w:sz w:val="28"/>
          <w:szCs w:val="28"/>
          <w:highlight w:val="none"/>
        </w:rPr>
        <w:t>本次招标公告同时在广东省招标投标监管网、</w:t>
      </w:r>
      <w:r>
        <w:rPr>
          <w:rFonts w:hint="eastAsia" w:ascii="华文行楷" w:hAnsi="华文行楷" w:eastAsia="华文行楷" w:cs="华文行楷"/>
          <w:iCs/>
          <w:color w:val="auto"/>
          <w:sz w:val="28"/>
          <w:szCs w:val="28"/>
          <w:highlight w:val="none"/>
        </w:rPr>
        <w:t>广州公共资源交易中心</w:t>
      </w:r>
      <w:r>
        <w:rPr>
          <w:rFonts w:hint="eastAsia" w:ascii="宋体" w:hAnsi="宋体" w:cs="宋体"/>
          <w:iCs/>
          <w:color w:val="auto"/>
          <w:sz w:val="28"/>
          <w:szCs w:val="28"/>
          <w:highlight w:val="none"/>
        </w:rPr>
        <w:t>网站等（发布公告的媒介名称）上发布</w:t>
      </w:r>
      <w:r>
        <w:rPr>
          <w:rFonts w:hint="eastAsia" w:ascii="宋体" w:hAnsi="宋体" w:cs="宋体"/>
          <w:iCs/>
          <w:color w:val="auto"/>
          <w:sz w:val="28"/>
          <w:szCs w:val="28"/>
          <w:highlight w:val="none"/>
          <w:shd w:val="clear" w:color="auto" w:fill="FFFFFF"/>
        </w:rPr>
        <w:t>。公告内容和时间不一致时，以</w:t>
      </w:r>
      <w:r>
        <w:rPr>
          <w:rFonts w:hint="eastAsia" w:ascii="华文行楷" w:hAnsi="华文行楷" w:eastAsia="华文行楷" w:cs="华文行楷"/>
          <w:iCs/>
          <w:color w:val="auto"/>
          <w:sz w:val="28"/>
          <w:szCs w:val="28"/>
          <w:highlight w:val="none"/>
        </w:rPr>
        <w:t>广州公共资源交易中心</w:t>
      </w:r>
      <w:r>
        <w:rPr>
          <w:rFonts w:hint="eastAsia" w:ascii="宋体" w:hAnsi="宋体" w:cs="宋体"/>
          <w:iCs/>
          <w:color w:val="auto"/>
          <w:sz w:val="28"/>
          <w:szCs w:val="28"/>
          <w:highlight w:val="none"/>
          <w:shd w:val="clear" w:color="auto" w:fill="FFFFFF"/>
        </w:rPr>
        <w:t>网站发布的为准。招标人的澄清（答疑）、补充、修改等文件一律通过</w:t>
      </w:r>
      <w:r>
        <w:rPr>
          <w:rFonts w:hint="eastAsia" w:ascii="华文行楷" w:hAnsi="华文行楷" w:eastAsia="华文行楷" w:cs="华文行楷"/>
          <w:iCs/>
          <w:color w:val="auto"/>
          <w:sz w:val="28"/>
          <w:szCs w:val="28"/>
          <w:highlight w:val="none"/>
        </w:rPr>
        <w:t>广州公共资源交易中心</w:t>
      </w:r>
      <w:r>
        <w:rPr>
          <w:rFonts w:hint="eastAsia" w:ascii="宋体" w:hAnsi="宋体" w:cs="宋体"/>
          <w:iCs/>
          <w:color w:val="auto"/>
          <w:sz w:val="28"/>
          <w:szCs w:val="28"/>
          <w:highlight w:val="none"/>
        </w:rPr>
        <w:t>网站</w:t>
      </w:r>
      <w:r>
        <w:rPr>
          <w:rFonts w:hint="eastAsia" w:ascii="宋体" w:hAnsi="宋体" w:cs="宋体"/>
          <w:iCs/>
          <w:color w:val="auto"/>
          <w:sz w:val="28"/>
          <w:szCs w:val="28"/>
          <w:highlight w:val="none"/>
          <w:shd w:val="clear" w:color="auto" w:fill="FFFFFF"/>
        </w:rPr>
        <w:t>发布。</w:t>
      </w:r>
    </w:p>
    <w:p>
      <w:pPr>
        <w:wordWrap w:val="0"/>
        <w:spacing w:line="560" w:lineRule="exact"/>
        <w:ind w:firstLine="562" w:firstLineChars="200"/>
        <w:jc w:val="left"/>
        <w:rPr>
          <w:rFonts w:ascii="宋体" w:hAnsi="宋体" w:cs="宋体"/>
          <w:b/>
          <w:bCs/>
          <w:iCs/>
          <w:color w:val="auto"/>
          <w:sz w:val="28"/>
          <w:szCs w:val="28"/>
          <w:highlight w:val="none"/>
          <w:shd w:val="clear" w:color="auto" w:fill="FFFFFF"/>
        </w:rPr>
      </w:pPr>
      <w:r>
        <w:rPr>
          <w:rFonts w:hint="eastAsia" w:ascii="宋体" w:hAnsi="宋体" w:cs="宋体"/>
          <w:b/>
          <w:bCs/>
          <w:iCs/>
          <w:color w:val="auto"/>
          <w:sz w:val="28"/>
          <w:szCs w:val="28"/>
          <w:highlight w:val="none"/>
          <w:shd w:val="clear" w:color="auto" w:fill="FFFFFF"/>
        </w:rPr>
        <w:t>8.异议与投诉</w:t>
      </w:r>
    </w:p>
    <w:p>
      <w:pPr>
        <w:pStyle w:val="16"/>
        <w:spacing w:before="0" w:beforeAutospacing="0" w:after="0" w:afterAutospacing="0" w:line="560" w:lineRule="exact"/>
        <w:ind w:firstLine="560" w:firstLineChars="200"/>
        <w:rPr>
          <w:rFonts w:cs="宋体"/>
          <w:color w:val="auto"/>
          <w:sz w:val="28"/>
          <w:szCs w:val="28"/>
          <w:highlight w:val="none"/>
          <w:shd w:val="clear" w:color="auto" w:fill="FFFFFF"/>
        </w:rPr>
      </w:pPr>
      <w:r>
        <w:rPr>
          <w:rFonts w:hint="eastAsia" w:cs="宋体"/>
          <w:color w:val="auto"/>
          <w:sz w:val="28"/>
          <w:szCs w:val="28"/>
          <w:highlight w:val="none"/>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华文行楷" w:eastAsia="华文行楷" w:cs="宋体"/>
          <w:color w:val="auto"/>
          <w:sz w:val="28"/>
          <w:szCs w:val="28"/>
          <w:highlight w:val="none"/>
          <w:u w:val="single"/>
          <w:lang w:eastAsia="zh-CN"/>
        </w:rPr>
        <w:t>湛江经济技术开发区住房和规划建设局</w:t>
      </w:r>
      <w:r>
        <w:rPr>
          <w:rFonts w:hint="eastAsia" w:cs="宋体"/>
          <w:color w:val="auto"/>
          <w:sz w:val="28"/>
          <w:szCs w:val="28"/>
          <w:highlight w:val="none"/>
          <w:shd w:val="clear" w:color="auto" w:fill="FFFFFF"/>
        </w:rPr>
        <w:t>实名投诉，电话：</w:t>
      </w:r>
      <w:r>
        <w:rPr>
          <w:rFonts w:hint="eastAsia" w:ascii="华文行楷" w:hAnsi="华文行楷" w:eastAsia="华文行楷" w:cs="华文行楷"/>
          <w:color w:val="auto"/>
          <w:kern w:val="2"/>
          <w:sz w:val="28"/>
          <w:szCs w:val="28"/>
          <w:highlight w:val="none"/>
          <w:u w:val="single"/>
          <w:lang w:eastAsia="zh-CN"/>
        </w:rPr>
        <w:t>0759-3398603</w:t>
      </w:r>
      <w:r>
        <w:rPr>
          <w:rFonts w:hint="eastAsia" w:cs="宋体"/>
          <w:color w:val="auto"/>
          <w:sz w:val="28"/>
          <w:szCs w:val="28"/>
          <w:highlight w:val="none"/>
          <w:shd w:val="clear" w:color="auto" w:fill="FFFFFF"/>
        </w:rPr>
        <w:t>。（投诉应当有明确的请求和必要的证明材料，具体要求依照《工程建设项目招标投标活动投诉处理办法》）</w:t>
      </w:r>
    </w:p>
    <w:p>
      <w:pPr>
        <w:spacing w:line="5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潜在投标人或其他利害关系人应当充分重视异议、投诉提出的时限，避免异议权、投诉权因时效原因而消失。</w:t>
      </w:r>
    </w:p>
    <w:p>
      <w:pPr>
        <w:spacing w:line="5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8.本招标公告未尽事宜，执行本工程的招标文件及有关法律法规规定。</w:t>
      </w:r>
    </w:p>
    <w:p>
      <w:pPr>
        <w:spacing w:line="560" w:lineRule="exact"/>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9.联系方式</w:t>
      </w:r>
    </w:p>
    <w:tbl>
      <w:tblPr>
        <w:tblStyle w:val="19"/>
        <w:tblW w:w="0" w:type="auto"/>
        <w:tblInd w:w="0" w:type="dxa"/>
        <w:tblLayout w:type="autofit"/>
        <w:tblCellMar>
          <w:top w:w="0" w:type="dxa"/>
          <w:left w:w="108" w:type="dxa"/>
          <w:bottom w:w="0" w:type="dxa"/>
          <w:right w:w="108" w:type="dxa"/>
        </w:tblCellMar>
      </w:tblPr>
      <w:tblGrid>
        <w:gridCol w:w="4643"/>
        <w:gridCol w:w="4644"/>
      </w:tblGrid>
      <w:tr>
        <w:tblPrEx>
          <w:tblCellMar>
            <w:top w:w="0" w:type="dxa"/>
            <w:left w:w="108" w:type="dxa"/>
            <w:bottom w:w="0" w:type="dxa"/>
            <w:right w:w="108" w:type="dxa"/>
          </w:tblCellMar>
        </w:tblPrEx>
        <w:tc>
          <w:tcPr>
            <w:tcW w:w="4643" w:type="dxa"/>
          </w:tcPr>
          <w:p>
            <w:pPr>
              <w:spacing w:line="510" w:lineRule="exact"/>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招标人：</w:t>
            </w:r>
            <w:r>
              <w:rPr>
                <w:rFonts w:hint="eastAsia" w:ascii="华文行楷" w:hAnsi="Calibri" w:eastAsia="华文行楷" w:cs="宋体"/>
                <w:color w:val="auto"/>
                <w:sz w:val="28"/>
                <w:szCs w:val="28"/>
                <w:highlight w:val="none"/>
                <w:u w:val="single"/>
                <w:lang w:eastAsia="zh-CN"/>
              </w:rPr>
              <w:t>湛江经济技术开发区城市综合管理局</w:t>
            </w:r>
          </w:p>
        </w:tc>
        <w:tc>
          <w:tcPr>
            <w:tcW w:w="4644" w:type="dxa"/>
          </w:tcPr>
          <w:p>
            <w:pPr>
              <w:spacing w:line="510" w:lineRule="exact"/>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招标代理机构：</w:t>
            </w:r>
            <w:r>
              <w:rPr>
                <w:rFonts w:hint="eastAsia" w:ascii="华文行楷" w:hAnsi="华文行楷" w:eastAsia="华文行楷" w:cs="华文行楷"/>
                <w:color w:val="auto"/>
                <w:sz w:val="28"/>
                <w:szCs w:val="28"/>
                <w:highlight w:val="none"/>
                <w:u w:val="single"/>
                <w:lang w:eastAsia="zh-CN"/>
              </w:rPr>
              <w:t>广东丰联招标代理有限公司</w:t>
            </w:r>
          </w:p>
        </w:tc>
      </w:tr>
      <w:tr>
        <w:tblPrEx>
          <w:tblCellMar>
            <w:top w:w="0" w:type="dxa"/>
            <w:left w:w="108" w:type="dxa"/>
            <w:bottom w:w="0" w:type="dxa"/>
            <w:right w:w="108" w:type="dxa"/>
          </w:tblCellMar>
        </w:tblPrEx>
        <w:tc>
          <w:tcPr>
            <w:tcW w:w="4643" w:type="dxa"/>
          </w:tcPr>
          <w:p>
            <w:pPr>
              <w:spacing w:line="51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地址：</w:t>
            </w:r>
            <w:r>
              <w:rPr>
                <w:rFonts w:hint="eastAsia" w:ascii="华文行楷" w:hAnsi="华文行楷" w:eastAsia="华文行楷" w:cs="华文行楷"/>
                <w:b w:val="0"/>
                <w:bCs w:val="0"/>
                <w:color w:val="auto"/>
                <w:sz w:val="28"/>
                <w:szCs w:val="28"/>
                <w:highlight w:val="none"/>
                <w:u w:val="single"/>
                <w:lang w:eastAsia="zh-CN"/>
              </w:rPr>
              <w:t>广东省湛江市人民大道中24号之一</w:t>
            </w:r>
            <w:r>
              <w:rPr>
                <w:rFonts w:hint="eastAsia" w:ascii="华文行楷" w:hAnsi="华文行楷" w:eastAsia="华文行楷" w:cs="华文行楷"/>
                <w:color w:val="auto"/>
                <w:sz w:val="28"/>
                <w:szCs w:val="28"/>
                <w:highlight w:val="none"/>
                <w:u w:val="single"/>
              </w:rPr>
              <w:t xml:space="preserve"> </w:t>
            </w:r>
          </w:p>
        </w:tc>
        <w:tc>
          <w:tcPr>
            <w:tcW w:w="4644" w:type="dxa"/>
          </w:tcPr>
          <w:p>
            <w:pPr>
              <w:spacing w:line="51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地址：</w:t>
            </w:r>
            <w:r>
              <w:rPr>
                <w:rFonts w:hint="eastAsia" w:ascii="华文行楷" w:hAnsi="华文行楷" w:eastAsia="华文行楷" w:cs="华文行楷"/>
                <w:b w:val="0"/>
                <w:bCs w:val="0"/>
                <w:color w:val="auto"/>
                <w:sz w:val="28"/>
                <w:szCs w:val="28"/>
                <w:highlight w:val="none"/>
                <w:u w:val="single"/>
                <w:lang w:eastAsia="zh-CN"/>
              </w:rPr>
              <w:t>湛江市赤坎区体育北路2号御海湾10栋1001号</w:t>
            </w:r>
          </w:p>
        </w:tc>
      </w:tr>
      <w:tr>
        <w:tblPrEx>
          <w:tblCellMar>
            <w:top w:w="0" w:type="dxa"/>
            <w:left w:w="108" w:type="dxa"/>
            <w:bottom w:w="0" w:type="dxa"/>
            <w:right w:w="108" w:type="dxa"/>
          </w:tblCellMar>
        </w:tblPrEx>
        <w:tc>
          <w:tcPr>
            <w:tcW w:w="4643" w:type="dxa"/>
          </w:tcPr>
          <w:p>
            <w:pPr>
              <w:spacing w:line="510" w:lineRule="exact"/>
              <w:jc w:val="left"/>
              <w:rPr>
                <w:rFonts w:hint="eastAsia" w:ascii="宋体" w:hAnsi="宋体" w:eastAsia="华文行楷" w:cs="宋体"/>
                <w:color w:val="auto"/>
                <w:sz w:val="28"/>
                <w:szCs w:val="28"/>
                <w:highlight w:val="none"/>
                <w:lang w:eastAsia="zh-CN"/>
              </w:rPr>
            </w:pPr>
            <w:r>
              <w:rPr>
                <w:rFonts w:hint="eastAsia" w:ascii="宋体" w:hAnsi="宋体" w:cs="宋体"/>
                <w:color w:val="auto"/>
                <w:sz w:val="28"/>
                <w:szCs w:val="28"/>
                <w:highlight w:val="none"/>
              </w:rPr>
              <w:t>联系人：</w:t>
            </w:r>
            <w:r>
              <w:rPr>
                <w:rFonts w:hint="eastAsia" w:ascii="华文行楷" w:hAnsi="Calibri" w:eastAsia="华文行楷" w:cs="宋体"/>
                <w:color w:val="auto"/>
                <w:sz w:val="28"/>
                <w:szCs w:val="28"/>
                <w:highlight w:val="none"/>
                <w:u w:val="single"/>
              </w:rPr>
              <w:t xml:space="preserve"> </w:t>
            </w:r>
            <w:r>
              <w:rPr>
                <w:rFonts w:hint="eastAsia" w:ascii="华文行楷" w:hAnsi="Calibri" w:eastAsia="华文行楷" w:cs="宋体"/>
                <w:color w:val="auto"/>
                <w:sz w:val="28"/>
                <w:szCs w:val="28"/>
                <w:highlight w:val="none"/>
                <w:u w:val="single"/>
                <w:lang w:val="en-US" w:eastAsia="zh-CN"/>
              </w:rPr>
              <w:t>陈碧静</w:t>
            </w:r>
          </w:p>
        </w:tc>
        <w:tc>
          <w:tcPr>
            <w:tcW w:w="4644" w:type="dxa"/>
          </w:tcPr>
          <w:p>
            <w:pPr>
              <w:spacing w:line="510" w:lineRule="exact"/>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华文行楷" w:hAnsi="华文行楷" w:eastAsia="华文行楷" w:cs="华文行楷"/>
                <w:b w:val="0"/>
                <w:bCs w:val="0"/>
                <w:color w:val="auto"/>
                <w:sz w:val="28"/>
                <w:szCs w:val="28"/>
                <w:highlight w:val="none"/>
                <w:u w:val="single"/>
                <w:lang w:val="en-US" w:eastAsia="zh-CN"/>
              </w:rPr>
              <w:t>林如</w:t>
            </w:r>
          </w:p>
        </w:tc>
      </w:tr>
      <w:tr>
        <w:tblPrEx>
          <w:tblCellMar>
            <w:top w:w="0" w:type="dxa"/>
            <w:left w:w="108" w:type="dxa"/>
            <w:bottom w:w="0" w:type="dxa"/>
            <w:right w:w="108" w:type="dxa"/>
          </w:tblCellMar>
        </w:tblPrEx>
        <w:tc>
          <w:tcPr>
            <w:tcW w:w="4643" w:type="dxa"/>
          </w:tcPr>
          <w:p>
            <w:pPr>
              <w:spacing w:line="510" w:lineRule="exact"/>
              <w:jc w:val="left"/>
              <w:rPr>
                <w:rFonts w:ascii="宋体" w:hAnsi="宋体" w:eastAsia="华文行楷" w:cs="宋体"/>
                <w:color w:val="auto"/>
                <w:sz w:val="28"/>
                <w:szCs w:val="28"/>
                <w:highlight w:val="none"/>
              </w:rPr>
            </w:pPr>
            <w:r>
              <w:rPr>
                <w:rFonts w:hint="eastAsia" w:ascii="宋体" w:hAnsi="宋体" w:cs="宋体"/>
                <w:color w:val="auto"/>
                <w:sz w:val="28"/>
                <w:szCs w:val="28"/>
                <w:highlight w:val="none"/>
              </w:rPr>
              <w:t>电话：</w:t>
            </w:r>
            <w:r>
              <w:rPr>
                <w:rFonts w:hint="eastAsia" w:ascii="华文行楷" w:hAnsi="Calibri" w:eastAsia="华文行楷" w:cs="宋体"/>
                <w:color w:val="auto"/>
                <w:sz w:val="28"/>
                <w:szCs w:val="28"/>
                <w:highlight w:val="none"/>
                <w:u w:val="single"/>
              </w:rPr>
              <w:t xml:space="preserve"> 18934238750 </w:t>
            </w:r>
          </w:p>
        </w:tc>
        <w:tc>
          <w:tcPr>
            <w:tcW w:w="4644" w:type="dxa"/>
          </w:tcPr>
          <w:p>
            <w:pPr>
              <w:spacing w:line="510" w:lineRule="exact"/>
              <w:jc w:val="left"/>
              <w:rPr>
                <w:rFonts w:hint="eastAsia" w:ascii="宋体" w:hAnsi="宋体" w:eastAsia="华文行楷" w:cs="宋体"/>
                <w:color w:val="auto"/>
                <w:sz w:val="28"/>
                <w:szCs w:val="28"/>
                <w:highlight w:val="none"/>
                <w:lang w:eastAsia="zh-CN"/>
              </w:rPr>
            </w:pPr>
            <w:r>
              <w:rPr>
                <w:rFonts w:hint="eastAsia" w:ascii="宋体" w:hAnsi="宋体" w:cs="宋体"/>
                <w:color w:val="auto"/>
                <w:sz w:val="28"/>
                <w:szCs w:val="28"/>
                <w:highlight w:val="none"/>
              </w:rPr>
              <w:t>电话：</w:t>
            </w:r>
            <w:r>
              <w:rPr>
                <w:rFonts w:hint="eastAsia" w:ascii="华文行楷" w:hAnsi="华文行楷" w:eastAsia="华文行楷" w:cs="华文行楷"/>
                <w:b w:val="0"/>
                <w:bCs w:val="0"/>
                <w:color w:val="auto"/>
                <w:sz w:val="28"/>
                <w:szCs w:val="28"/>
                <w:highlight w:val="none"/>
                <w:u w:val="single"/>
                <w:lang w:eastAsia="zh-CN"/>
              </w:rPr>
              <w:t>0759-</w:t>
            </w:r>
            <w:r>
              <w:rPr>
                <w:rFonts w:hint="eastAsia" w:ascii="华文行楷" w:hAnsi="华文行楷" w:eastAsia="华文行楷" w:cs="华文行楷"/>
                <w:b w:val="0"/>
                <w:bCs w:val="0"/>
                <w:color w:val="auto"/>
                <w:sz w:val="28"/>
                <w:szCs w:val="28"/>
                <w:highlight w:val="none"/>
                <w:u w:val="single"/>
                <w:lang w:val="en-US" w:eastAsia="zh-CN"/>
              </w:rPr>
              <w:t>3380227</w:t>
            </w:r>
          </w:p>
        </w:tc>
      </w:tr>
      <w:tr>
        <w:tblPrEx>
          <w:tblCellMar>
            <w:top w:w="0" w:type="dxa"/>
            <w:left w:w="108" w:type="dxa"/>
            <w:bottom w:w="0" w:type="dxa"/>
            <w:right w:w="108" w:type="dxa"/>
          </w:tblCellMar>
        </w:tblPrEx>
        <w:tc>
          <w:tcPr>
            <w:tcW w:w="4643" w:type="dxa"/>
          </w:tcPr>
          <w:p>
            <w:pPr>
              <w:spacing w:line="510" w:lineRule="exact"/>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电子邮件：</w:t>
            </w:r>
            <w:r>
              <w:rPr>
                <w:rFonts w:hint="eastAsia" w:ascii="宋体" w:hAnsi="宋体" w:cs="宋体"/>
                <w:color w:val="auto"/>
                <w:sz w:val="28"/>
                <w:szCs w:val="28"/>
                <w:highlight w:val="none"/>
                <w:lang w:val="en-US" w:eastAsia="zh-CN"/>
              </w:rPr>
              <w:t>/</w:t>
            </w:r>
          </w:p>
        </w:tc>
        <w:tc>
          <w:tcPr>
            <w:tcW w:w="4644" w:type="dxa"/>
          </w:tcPr>
          <w:p>
            <w:pPr>
              <w:spacing w:line="51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电子邮件：</w:t>
            </w:r>
            <w:r>
              <w:rPr>
                <w:rFonts w:hint="eastAsia" w:asciiTheme="minorEastAsia" w:hAnsiTheme="minorEastAsia" w:eastAsiaTheme="minorEastAsia" w:cstheme="minorEastAsia"/>
                <w:b w:val="0"/>
                <w:bCs w:val="0"/>
                <w:color w:val="auto"/>
                <w:sz w:val="28"/>
                <w:szCs w:val="28"/>
                <w:highlight w:val="none"/>
                <w:u w:val="single"/>
                <w:lang w:val="en-US" w:eastAsia="zh-CN"/>
              </w:rPr>
              <w:t>gdflzb@126.com</w:t>
            </w:r>
          </w:p>
        </w:tc>
      </w:tr>
    </w:tbl>
    <w:p>
      <w:pPr>
        <w:spacing w:line="360" w:lineRule="auto"/>
        <w:ind w:firstLine="5600" w:firstLineChars="2000"/>
        <w:jc w:val="left"/>
        <w:rPr>
          <w:rFonts w:hint="eastAsia" w:ascii="宋体" w:hAnsi="宋体" w:cs="宋体"/>
          <w:color w:val="auto"/>
          <w:sz w:val="28"/>
          <w:szCs w:val="28"/>
          <w:highlight w:val="none"/>
          <w:u w:val="single"/>
        </w:rPr>
      </w:pPr>
    </w:p>
    <w:p>
      <w:pPr>
        <w:spacing w:line="360" w:lineRule="auto"/>
        <w:ind w:firstLine="5600" w:firstLineChars="2000"/>
        <w:jc w:val="left"/>
        <w:rPr>
          <w:color w:val="auto"/>
          <w:highlight w:val="none"/>
        </w:rPr>
      </w:pPr>
      <w:r>
        <w:rPr>
          <w:rFonts w:hint="eastAsia" w:ascii="宋体" w:hAnsi="宋体" w:cs="宋体"/>
          <w:color w:val="auto"/>
          <w:sz w:val="28"/>
          <w:szCs w:val="28"/>
          <w:highlight w:val="none"/>
          <w:u w:val="none"/>
        </w:rPr>
        <w:t xml:space="preserve"> </w:t>
      </w:r>
      <w:r>
        <w:rPr>
          <w:rFonts w:hint="eastAsia" w:ascii="宋体" w:hAnsi="宋体" w:cs="宋体"/>
          <w:color w:val="auto"/>
          <w:sz w:val="28"/>
          <w:szCs w:val="28"/>
          <w:highlight w:val="none"/>
          <w:u w:val="none"/>
          <w:lang w:eastAsia="zh-CN"/>
        </w:rPr>
        <w:t>2023</w:t>
      </w:r>
      <w:r>
        <w:rPr>
          <w:rFonts w:hint="eastAsia" w:ascii="宋体" w:hAnsi="宋体" w:cs="宋体"/>
          <w:color w:val="auto"/>
          <w:sz w:val="28"/>
          <w:szCs w:val="28"/>
          <w:highlight w:val="none"/>
          <w:u w:val="non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28</w:t>
      </w:r>
      <w:r>
        <w:rPr>
          <w:rFonts w:hint="eastAsia" w:ascii="宋体" w:hAnsi="宋体" w:cs="宋体"/>
          <w:color w:val="auto"/>
          <w:sz w:val="28"/>
          <w:szCs w:val="28"/>
          <w:highlight w:val="none"/>
        </w:rPr>
        <w:t>日</w:t>
      </w:r>
    </w:p>
    <w:p>
      <w:pPr>
        <w:pStyle w:val="6"/>
        <w:rPr>
          <w:color w:val="auto"/>
          <w:highlight w:val="none"/>
        </w:rPr>
      </w:pPr>
    </w:p>
    <w:p>
      <w:pPr>
        <w:pStyle w:val="2"/>
        <w:spacing w:before="0" w:after="0" w:line="520" w:lineRule="exact"/>
        <w:jc w:val="center"/>
        <w:rPr>
          <w:color w:val="auto"/>
          <w:sz w:val="32"/>
          <w:szCs w:val="32"/>
          <w:highlight w:val="none"/>
        </w:rPr>
      </w:pPr>
      <w:bookmarkStart w:id="7" w:name="_Toc57042133"/>
      <w:r>
        <w:rPr>
          <w:rFonts w:hint="eastAsia" w:ascii="方正小标宋简体" w:hAnsi="方正小标宋简体" w:eastAsia="方正小标宋简体" w:cs="方正小标宋简体"/>
          <w:color w:val="auto"/>
          <w:kern w:val="0"/>
          <w:highlight w:val="none"/>
        </w:rPr>
        <w:br w:type="page"/>
      </w:r>
      <w:bookmarkStart w:id="8" w:name="_Toc7951"/>
      <w:r>
        <w:rPr>
          <w:rFonts w:hint="eastAsia" w:ascii="仿宋" w:hAnsi="仿宋" w:eastAsia="仿宋" w:cs="仿宋"/>
          <w:color w:val="auto"/>
          <w:kern w:val="0"/>
          <w:highlight w:val="none"/>
        </w:rPr>
        <w:t>第二部分 投标人须知</w:t>
      </w:r>
      <w:bookmarkEnd w:id="6"/>
      <w:bookmarkEnd w:id="7"/>
      <w:bookmarkEnd w:id="8"/>
    </w:p>
    <w:p>
      <w:pPr>
        <w:pStyle w:val="4"/>
        <w:spacing w:before="0" w:after="0" w:line="520" w:lineRule="exact"/>
        <w:ind w:firstLine="643" w:firstLineChars="200"/>
        <w:rPr>
          <w:rFonts w:ascii="宋体" w:hAnsi="宋体" w:eastAsia="宋体"/>
          <w:color w:val="auto"/>
          <w:highlight w:val="none"/>
        </w:rPr>
      </w:pPr>
      <w:bookmarkStart w:id="9" w:name="_Toc57042134"/>
      <w:bookmarkStart w:id="10" w:name="_Toc341432805"/>
      <w:r>
        <w:rPr>
          <w:rFonts w:hint="eastAsia" w:ascii="宋体" w:hAnsi="宋体" w:eastAsia="宋体"/>
          <w:color w:val="auto"/>
          <w:highlight w:val="none"/>
        </w:rPr>
        <w:t>1.工程概况和招标要求</w:t>
      </w:r>
      <w:bookmarkEnd w:id="9"/>
      <w:bookmarkEnd w:id="10"/>
    </w:p>
    <w:p>
      <w:pPr>
        <w:spacing w:line="520" w:lineRule="exact"/>
        <w:ind w:left="960" w:leftChars="267" w:hanging="399" w:hangingChars="142"/>
        <w:rPr>
          <w:rFonts w:ascii="宋体" w:hAnsi="宋体"/>
          <w:color w:val="auto"/>
          <w:sz w:val="24"/>
          <w:highlight w:val="none"/>
          <w:u w:val="single"/>
        </w:rPr>
      </w:pPr>
      <w:r>
        <w:rPr>
          <w:rFonts w:hint="eastAsia" w:ascii="宋体"/>
          <w:b/>
          <w:bCs/>
          <w:color w:val="auto"/>
          <w:sz w:val="28"/>
          <w:szCs w:val="28"/>
          <w:highlight w:val="none"/>
        </w:rPr>
        <w:t>1.1建设依据</w:t>
      </w:r>
    </w:p>
    <w:p>
      <w:pPr>
        <w:spacing w:line="520" w:lineRule="exact"/>
        <w:ind w:left="956" w:leftChars="266" w:hanging="397" w:hangingChars="142"/>
        <w:rPr>
          <w:rFonts w:hint="eastAsia" w:ascii="宋体" w:hAnsi="宋体" w:eastAsia="宋体"/>
          <w:color w:val="auto"/>
          <w:sz w:val="24"/>
          <w:highlight w:val="none"/>
          <w:lang w:eastAsia="zh-CN"/>
        </w:rPr>
      </w:pPr>
      <w:r>
        <w:rPr>
          <w:rFonts w:hint="eastAsia" w:ascii="宋体"/>
          <w:color w:val="auto"/>
          <w:sz w:val="28"/>
          <w:szCs w:val="28"/>
          <w:highlight w:val="none"/>
        </w:rPr>
        <w:t>1.1.1 计划批文：</w:t>
      </w:r>
      <w:r>
        <w:rPr>
          <w:rFonts w:hint="eastAsia" w:ascii="华文行楷" w:hAnsi="华文行楷" w:eastAsia="华文行楷" w:cs="华文行楷"/>
          <w:color w:val="auto"/>
          <w:sz w:val="28"/>
          <w:szCs w:val="28"/>
          <w:highlight w:val="none"/>
          <w:u w:val="single"/>
          <w:lang w:eastAsia="zh-CN"/>
        </w:rPr>
        <w:t>湛开发招投审〔2022〕46号</w:t>
      </w:r>
    </w:p>
    <w:p>
      <w:pPr>
        <w:spacing w:line="520" w:lineRule="exact"/>
        <w:ind w:left="956" w:leftChars="266" w:hanging="397" w:hangingChars="142"/>
        <w:rPr>
          <w:rFonts w:ascii="宋体" w:hAnsi="宋体"/>
          <w:color w:val="auto"/>
          <w:sz w:val="24"/>
          <w:highlight w:val="none"/>
        </w:rPr>
      </w:pPr>
      <w:r>
        <w:rPr>
          <w:rFonts w:hint="eastAsia" w:ascii="宋体"/>
          <w:color w:val="auto"/>
          <w:sz w:val="28"/>
          <w:szCs w:val="28"/>
          <w:highlight w:val="none"/>
        </w:rPr>
        <w:t>1.1.2 规划批文：</w:t>
      </w:r>
      <w:r>
        <w:rPr>
          <w:rFonts w:hint="eastAsia" w:ascii="华文行楷" w:hAnsi="宋体" w:eastAsia="华文行楷" w:cs="宋体"/>
          <w:color w:val="auto"/>
          <w:sz w:val="28"/>
          <w:szCs w:val="28"/>
          <w:highlight w:val="none"/>
          <w:u w:val="single"/>
          <w:shd w:val="clear" w:color="auto" w:fill="FFFFFF"/>
        </w:rPr>
        <w:t xml:space="preserve">  /  </w:t>
      </w:r>
    </w:p>
    <w:p>
      <w:pPr>
        <w:spacing w:line="520" w:lineRule="exact"/>
        <w:ind w:left="956" w:leftChars="266" w:hanging="397" w:hangingChars="142"/>
        <w:rPr>
          <w:rFonts w:ascii="华文行楷" w:hAnsi="宋体" w:cs="宋体"/>
          <w:color w:val="auto"/>
          <w:sz w:val="28"/>
          <w:szCs w:val="28"/>
          <w:highlight w:val="none"/>
          <w:u w:val="single"/>
          <w:shd w:val="clear" w:color="auto" w:fill="FFFFFF"/>
        </w:rPr>
      </w:pPr>
      <w:r>
        <w:rPr>
          <w:rFonts w:hint="eastAsia" w:ascii="宋体"/>
          <w:color w:val="auto"/>
          <w:sz w:val="28"/>
          <w:szCs w:val="28"/>
          <w:highlight w:val="none"/>
        </w:rPr>
        <w:t>1.1.3 国土批文：</w:t>
      </w:r>
      <w:r>
        <w:rPr>
          <w:rFonts w:hint="eastAsia" w:ascii="华文行楷" w:hAnsi="宋体" w:eastAsia="华文行楷" w:cs="宋体"/>
          <w:color w:val="auto"/>
          <w:sz w:val="28"/>
          <w:szCs w:val="28"/>
          <w:highlight w:val="none"/>
          <w:u w:val="single"/>
          <w:shd w:val="clear" w:color="auto" w:fill="FFFFFF"/>
        </w:rPr>
        <w:t xml:space="preserve">  /  </w:t>
      </w:r>
    </w:p>
    <w:p>
      <w:pPr>
        <w:spacing w:line="520" w:lineRule="exact"/>
        <w:ind w:left="960" w:leftChars="267" w:hanging="399" w:hangingChars="142"/>
        <w:rPr>
          <w:rFonts w:ascii="宋体"/>
          <w:b/>
          <w:bCs/>
          <w:color w:val="auto"/>
          <w:sz w:val="28"/>
          <w:szCs w:val="28"/>
          <w:highlight w:val="none"/>
        </w:rPr>
      </w:pPr>
      <w:r>
        <w:rPr>
          <w:rFonts w:hint="eastAsia" w:ascii="宋体"/>
          <w:b/>
          <w:bCs/>
          <w:color w:val="auto"/>
          <w:sz w:val="28"/>
          <w:szCs w:val="28"/>
          <w:highlight w:val="none"/>
        </w:rPr>
        <w:t>1.2工程概况</w:t>
      </w:r>
    </w:p>
    <w:p>
      <w:pPr>
        <w:spacing w:line="520" w:lineRule="exact"/>
        <w:ind w:left="956" w:leftChars="266" w:hanging="397" w:hangingChars="142"/>
        <w:rPr>
          <w:rFonts w:ascii="宋体"/>
          <w:color w:val="auto"/>
          <w:sz w:val="28"/>
          <w:szCs w:val="28"/>
          <w:highlight w:val="none"/>
          <w:u w:val="single"/>
        </w:rPr>
      </w:pPr>
      <w:r>
        <w:rPr>
          <w:rFonts w:hint="eastAsia" w:ascii="宋体"/>
          <w:color w:val="auto"/>
          <w:sz w:val="28"/>
          <w:szCs w:val="28"/>
          <w:highlight w:val="none"/>
        </w:rPr>
        <w:t>1.2.1 工程名称：</w:t>
      </w:r>
      <w:r>
        <w:rPr>
          <w:rFonts w:hint="eastAsia" w:ascii="华文行楷" w:hAnsi="宋体" w:eastAsia="华文行楷" w:cs="宋体"/>
          <w:color w:val="auto"/>
          <w:sz w:val="28"/>
          <w:szCs w:val="28"/>
          <w:highlight w:val="none"/>
          <w:u w:val="single"/>
          <w:shd w:val="clear" w:color="auto" w:fill="FFFFFF"/>
          <w:lang w:eastAsia="zh-CN"/>
        </w:rPr>
        <w:t>湛江经开区老旧小区改造项目（一期一标）监理</w:t>
      </w:r>
    </w:p>
    <w:p>
      <w:pPr>
        <w:spacing w:line="520" w:lineRule="exact"/>
        <w:ind w:left="956" w:leftChars="266" w:hanging="397" w:hangingChars="142"/>
        <w:rPr>
          <w:rFonts w:hint="eastAsia" w:ascii="宋体" w:hAnsi="宋体" w:eastAsia="宋体"/>
          <w:color w:val="auto"/>
          <w:sz w:val="24"/>
          <w:highlight w:val="none"/>
          <w:lang w:eastAsia="zh-CN"/>
        </w:rPr>
      </w:pPr>
      <w:r>
        <w:rPr>
          <w:rFonts w:hint="eastAsia" w:ascii="宋体"/>
          <w:color w:val="auto"/>
          <w:sz w:val="28"/>
          <w:szCs w:val="28"/>
          <w:highlight w:val="none"/>
        </w:rPr>
        <w:t>1.2.2 工程地点</w:t>
      </w:r>
      <w:r>
        <w:rPr>
          <w:rFonts w:hint="eastAsia" w:ascii="宋体" w:hAnsi="宋体" w:cs="宋体"/>
          <w:color w:val="auto"/>
          <w:kern w:val="0"/>
          <w:sz w:val="27"/>
          <w:szCs w:val="27"/>
          <w:highlight w:val="none"/>
        </w:rPr>
        <w:t>：</w:t>
      </w:r>
      <w:r>
        <w:rPr>
          <w:rFonts w:hint="eastAsia" w:ascii="华文行楷" w:hAnsi="华文行楷" w:eastAsia="华文行楷" w:cs="华文行楷"/>
          <w:color w:val="auto"/>
          <w:sz w:val="28"/>
          <w:szCs w:val="28"/>
          <w:highlight w:val="none"/>
          <w:u w:val="single"/>
          <w:lang w:eastAsia="zh-CN"/>
        </w:rPr>
        <w:t>位于湛江市开发区建成区</w:t>
      </w:r>
    </w:p>
    <w:p>
      <w:pPr>
        <w:spacing w:line="520" w:lineRule="exact"/>
        <w:ind w:left="956" w:leftChars="266" w:hanging="397" w:hangingChars="142"/>
        <w:rPr>
          <w:rFonts w:hint="eastAsia" w:ascii="宋体" w:hAnsi="宋体" w:eastAsia="宋体"/>
          <w:color w:val="auto"/>
          <w:sz w:val="24"/>
          <w:highlight w:val="none"/>
          <w:lang w:eastAsia="zh-CN"/>
        </w:rPr>
      </w:pPr>
      <w:r>
        <w:rPr>
          <w:rFonts w:hint="eastAsia" w:ascii="宋体"/>
          <w:color w:val="auto"/>
          <w:sz w:val="28"/>
          <w:szCs w:val="28"/>
          <w:highlight w:val="none"/>
        </w:rPr>
        <w:t>1.2.3 建设单位：</w:t>
      </w:r>
      <w:r>
        <w:rPr>
          <w:rFonts w:hint="eastAsia" w:ascii="华文行楷" w:hAnsi="华文行楷" w:eastAsia="华文行楷" w:cs="华文行楷"/>
          <w:color w:val="auto"/>
          <w:sz w:val="28"/>
          <w:szCs w:val="28"/>
          <w:highlight w:val="none"/>
          <w:u w:val="single"/>
          <w:lang w:eastAsia="zh-CN"/>
        </w:rPr>
        <w:t>湛江经济技术开发区城市综合管理局</w:t>
      </w:r>
    </w:p>
    <w:p>
      <w:pPr>
        <w:spacing w:line="560" w:lineRule="exact"/>
        <w:ind w:firstLine="560" w:firstLineChars="200"/>
        <w:jc w:val="left"/>
        <w:rPr>
          <w:rFonts w:hint="eastAsia" w:ascii="华文行楷" w:hAnsi="华文行楷" w:eastAsia="华文行楷" w:cs="华文行楷"/>
          <w:color w:val="auto"/>
          <w:sz w:val="28"/>
          <w:szCs w:val="28"/>
          <w:highlight w:val="none"/>
          <w:u w:val="single"/>
          <w:lang w:val="en-US" w:eastAsia="zh-CN"/>
        </w:rPr>
      </w:pPr>
      <w:r>
        <w:rPr>
          <w:rFonts w:hint="eastAsia" w:ascii="宋体"/>
          <w:color w:val="auto"/>
          <w:sz w:val="28"/>
          <w:szCs w:val="28"/>
          <w:highlight w:val="none"/>
        </w:rPr>
        <w:t>1.2.4 建设规模：</w:t>
      </w:r>
      <w:r>
        <w:rPr>
          <w:rFonts w:hint="eastAsia" w:ascii="华文行楷" w:hAnsi="华文行楷" w:eastAsia="华文行楷" w:cs="华文行楷"/>
          <w:color w:val="auto"/>
          <w:sz w:val="28"/>
          <w:szCs w:val="28"/>
          <w:highlight w:val="none"/>
          <w:u w:val="single"/>
          <w:lang w:val="en-US" w:eastAsia="zh-CN"/>
        </w:rPr>
        <w:t>对观海片区金地花园周边21栋楼及片区内总体进行改造升级。改造规模：（1）道路路面修复面积约 29000 平方米。（2）给水管网改造约 2150 米。（3）排水水管网改造 5551 米，以及管线改造所含的配套设施建设。（4）片区 21 栋楼三线下地。（5）围墙改造，改造长度 890 米。（6）增加小区安防、消防等设施。（7）立面整治:项目所在区的居住楼占地面积75145.11平方米，建筑面积188108.97平方米，现有外立面由于时间久远，部分外墙出现不同程度的脱落、空鼓等现象，不但对小区安全造成影响，也影响城市文明形象。因此，将小区居民楼外立面进行翻新改造，包括外墙砖装饰翻新、防盗网改造、公共楼梯间改造、屋面防水、部分违建拆除，外立面改造约 61400 平方米，清除废日无用强弱电线杆线及杂物等;对小区屋面进行防水改造:对小区楼梯栏杆扶手等进行更换或防锈防腐处理。</w:t>
      </w:r>
    </w:p>
    <w:p>
      <w:pPr>
        <w:spacing w:line="560" w:lineRule="exact"/>
        <w:ind w:firstLine="560" w:firstLineChars="200"/>
        <w:jc w:val="left"/>
        <w:rPr>
          <w:rFonts w:ascii="华文行楷" w:hAnsi="华文行楷" w:eastAsia="华文行楷" w:cs="华文行楷"/>
          <w:color w:val="auto"/>
          <w:sz w:val="28"/>
          <w:szCs w:val="28"/>
          <w:highlight w:val="none"/>
          <w:u w:val="single"/>
        </w:rPr>
      </w:pPr>
      <w:r>
        <w:rPr>
          <w:rStyle w:val="28"/>
          <w:rFonts w:hint="eastAsia" w:ascii="华文行楷" w:hAnsi="华文行楷" w:eastAsia="华文行楷" w:cs="Times New Roman"/>
          <w:color w:val="auto"/>
          <w:sz w:val="28"/>
          <w:szCs w:val="28"/>
          <w:highlight w:val="none"/>
          <w:u w:val="single" w:color="000000"/>
          <w:lang w:val="en-US" w:eastAsia="zh-CN"/>
        </w:rPr>
        <w:t>概算</w:t>
      </w:r>
      <w:r>
        <w:rPr>
          <w:rStyle w:val="28"/>
          <w:rFonts w:hint="eastAsia" w:ascii="华文行楷" w:hAnsi="华文行楷" w:eastAsia="华文行楷" w:cs="Times New Roman"/>
          <w:color w:val="auto"/>
          <w:sz w:val="28"/>
          <w:szCs w:val="28"/>
          <w:highlight w:val="none"/>
          <w:u w:val="single" w:color="000000"/>
        </w:rPr>
        <w:t>建安费约</w:t>
      </w:r>
      <w:r>
        <w:rPr>
          <w:rStyle w:val="28"/>
          <w:rFonts w:hint="eastAsia" w:ascii="华文行楷" w:hAnsi="华文行楷" w:eastAsia="华文行楷" w:cs="Times New Roman"/>
          <w:color w:val="auto"/>
          <w:sz w:val="28"/>
          <w:szCs w:val="28"/>
          <w:highlight w:val="none"/>
          <w:u w:val="single" w:color="000000"/>
          <w:lang w:val="en-US" w:eastAsia="zh-CN"/>
        </w:rPr>
        <w:t>9987.99</w:t>
      </w:r>
      <w:r>
        <w:rPr>
          <w:rStyle w:val="28"/>
          <w:rFonts w:hint="eastAsia" w:ascii="华文行楷" w:hAnsi="华文行楷" w:eastAsia="华文行楷" w:cs="Times New Roman"/>
          <w:color w:val="auto"/>
          <w:sz w:val="28"/>
          <w:szCs w:val="28"/>
          <w:highlight w:val="none"/>
          <w:u w:val="single" w:color="000000"/>
        </w:rPr>
        <w:t>万元。</w:t>
      </w:r>
      <w:r>
        <w:rPr>
          <w:rFonts w:hint="eastAsia" w:ascii="华文行楷" w:hAnsi="华文行楷" w:eastAsia="华文行楷" w:cs="华文行楷"/>
          <w:color w:val="auto"/>
          <w:sz w:val="28"/>
          <w:szCs w:val="28"/>
          <w:highlight w:val="none"/>
          <w:u w:val="single"/>
          <w:lang w:eastAsia="zh-CN"/>
        </w:rPr>
        <w:t>本项目</w:t>
      </w:r>
      <w:r>
        <w:rPr>
          <w:rFonts w:hint="eastAsia" w:ascii="华文行楷" w:hAnsi="华文行楷" w:eastAsia="华文行楷" w:cs="华文行楷"/>
          <w:color w:val="auto"/>
          <w:sz w:val="28"/>
          <w:szCs w:val="28"/>
          <w:highlight w:val="none"/>
          <w:u w:val="single"/>
        </w:rPr>
        <w:t>监理费招标控制价为</w:t>
      </w:r>
      <w:r>
        <w:rPr>
          <w:rFonts w:hint="eastAsia" w:ascii="华文行楷" w:hAnsi="华文行楷" w:eastAsia="华文行楷" w:cs="华文行楷"/>
          <w:color w:val="auto"/>
          <w:sz w:val="28"/>
          <w:szCs w:val="28"/>
          <w:highlight w:val="none"/>
          <w:u w:val="single"/>
          <w:lang w:val="en-US" w:eastAsia="zh-CN"/>
        </w:rPr>
        <w:t>1113700.00</w:t>
      </w:r>
      <w:r>
        <w:rPr>
          <w:rFonts w:hint="eastAsia" w:ascii="华文行楷" w:hAnsi="华文行楷" w:eastAsia="华文行楷" w:cs="华文行楷"/>
          <w:color w:val="auto"/>
          <w:sz w:val="28"/>
          <w:szCs w:val="28"/>
          <w:highlight w:val="none"/>
          <w:u w:val="single"/>
        </w:rPr>
        <w:t>元。</w:t>
      </w:r>
    </w:p>
    <w:p>
      <w:pPr>
        <w:spacing w:line="520" w:lineRule="exact"/>
        <w:ind w:left="956" w:leftChars="266" w:hanging="397" w:hangingChars="142"/>
        <w:rPr>
          <w:rFonts w:ascii="宋体"/>
          <w:color w:val="auto"/>
          <w:sz w:val="28"/>
          <w:szCs w:val="28"/>
          <w:highlight w:val="none"/>
        </w:rPr>
      </w:pPr>
      <w:r>
        <w:rPr>
          <w:rFonts w:hint="eastAsia" w:ascii="宋体"/>
          <w:color w:val="auto"/>
          <w:sz w:val="28"/>
          <w:szCs w:val="28"/>
          <w:highlight w:val="none"/>
        </w:rPr>
        <w:t>1.2.5 现场条件：具备开工条件。</w:t>
      </w:r>
    </w:p>
    <w:p>
      <w:pPr>
        <w:spacing w:line="520" w:lineRule="exact"/>
        <w:ind w:left="956" w:leftChars="266" w:hanging="397" w:hangingChars="142"/>
        <w:rPr>
          <w:rFonts w:ascii="宋体" w:hAnsi="宋体"/>
          <w:color w:val="auto"/>
          <w:sz w:val="24"/>
          <w:highlight w:val="none"/>
        </w:rPr>
      </w:pPr>
      <w:r>
        <w:rPr>
          <w:rFonts w:hint="eastAsia" w:ascii="宋体"/>
          <w:color w:val="auto"/>
          <w:sz w:val="28"/>
          <w:szCs w:val="28"/>
          <w:highlight w:val="none"/>
        </w:rPr>
        <w:t>1.2.6 资金来源、投资性质：</w:t>
      </w:r>
      <w:r>
        <w:rPr>
          <w:rFonts w:hint="eastAsia" w:ascii="华文行楷" w:hAnsi="华文行楷" w:eastAsia="华文行楷" w:cs="华文行楷"/>
          <w:color w:val="auto"/>
          <w:sz w:val="28"/>
          <w:szCs w:val="28"/>
          <w:highlight w:val="none"/>
          <w:u w:val="single"/>
          <w:lang w:eastAsia="zh-CN"/>
        </w:rPr>
        <w:t>由地方政府专项债券统筹解决,不足部分由区财政统筹解决</w:t>
      </w:r>
      <w:r>
        <w:rPr>
          <w:rFonts w:hint="eastAsia" w:ascii="华文行楷" w:hAnsi="华文行楷" w:eastAsia="华文行楷" w:cs="华文行楷"/>
          <w:color w:val="auto"/>
          <w:sz w:val="28"/>
          <w:szCs w:val="28"/>
          <w:highlight w:val="none"/>
          <w:u w:val="single"/>
        </w:rPr>
        <w:t>。</w:t>
      </w:r>
    </w:p>
    <w:p>
      <w:pPr>
        <w:spacing w:line="520" w:lineRule="exact"/>
        <w:ind w:left="960" w:leftChars="267" w:hanging="399" w:hangingChars="142"/>
        <w:rPr>
          <w:rFonts w:ascii="宋体"/>
          <w:b/>
          <w:bCs/>
          <w:color w:val="auto"/>
          <w:sz w:val="28"/>
          <w:szCs w:val="28"/>
          <w:highlight w:val="none"/>
        </w:rPr>
      </w:pPr>
      <w:r>
        <w:rPr>
          <w:rFonts w:hint="eastAsia" w:ascii="宋体"/>
          <w:b/>
          <w:bCs/>
          <w:color w:val="auto"/>
          <w:sz w:val="28"/>
          <w:szCs w:val="28"/>
          <w:highlight w:val="none"/>
        </w:rPr>
        <w:t>1.3招标要求</w:t>
      </w:r>
    </w:p>
    <w:p>
      <w:pPr>
        <w:spacing w:line="520" w:lineRule="exact"/>
        <w:ind w:left="956" w:leftChars="266" w:hanging="397" w:hangingChars="142"/>
        <w:rPr>
          <w:rFonts w:ascii="宋体" w:hAnsi="宋体"/>
          <w:color w:val="auto"/>
          <w:sz w:val="24"/>
          <w:highlight w:val="none"/>
        </w:rPr>
      </w:pPr>
      <w:r>
        <w:rPr>
          <w:rFonts w:hint="eastAsia" w:ascii="宋体"/>
          <w:color w:val="auto"/>
          <w:sz w:val="28"/>
          <w:szCs w:val="28"/>
          <w:highlight w:val="none"/>
        </w:rPr>
        <w:t>1.3.1 监理工期</w:t>
      </w:r>
      <w:r>
        <w:rPr>
          <w:rFonts w:hint="eastAsia" w:ascii="宋体" w:hAnsi="宋体" w:cs="宋体"/>
          <w:color w:val="auto"/>
          <w:kern w:val="0"/>
          <w:sz w:val="27"/>
          <w:szCs w:val="27"/>
          <w:highlight w:val="none"/>
        </w:rPr>
        <w:t>：</w:t>
      </w:r>
      <w:r>
        <w:rPr>
          <w:rFonts w:hint="eastAsia" w:ascii="华文行楷" w:hAnsi="宋体" w:eastAsia="华文行楷"/>
          <w:color w:val="auto"/>
          <w:sz w:val="28"/>
          <w:highlight w:val="none"/>
          <w:u w:val="single"/>
          <w:shd w:val="clear" w:color="auto" w:fill="FFFFFF"/>
        </w:rPr>
        <w:t>自签订本合同之日始，至工程验收合格并完成移交、施工合同约定的工程质量缺陷责任期满止</w:t>
      </w:r>
      <w:r>
        <w:rPr>
          <w:rFonts w:hint="eastAsia" w:ascii="宋体"/>
          <w:color w:val="auto"/>
          <w:sz w:val="28"/>
          <w:szCs w:val="28"/>
          <w:highlight w:val="none"/>
        </w:rPr>
        <w:t>。</w:t>
      </w:r>
    </w:p>
    <w:p>
      <w:pPr>
        <w:spacing w:line="520" w:lineRule="exact"/>
        <w:ind w:left="956" w:leftChars="266" w:hanging="397" w:hangingChars="142"/>
        <w:rPr>
          <w:rFonts w:ascii="宋体"/>
          <w:color w:val="auto"/>
          <w:sz w:val="28"/>
          <w:szCs w:val="28"/>
          <w:highlight w:val="none"/>
        </w:rPr>
      </w:pPr>
      <w:r>
        <w:rPr>
          <w:rFonts w:hint="eastAsia" w:ascii="宋体"/>
          <w:color w:val="auto"/>
          <w:sz w:val="28"/>
          <w:szCs w:val="28"/>
          <w:highlight w:val="none"/>
        </w:rPr>
        <w:t>1.3.2 招标方式：</w:t>
      </w:r>
      <w:r>
        <w:rPr>
          <w:rFonts w:hint="eastAsia" w:ascii="华文行楷" w:hAnsi="宋体" w:eastAsia="华文行楷"/>
          <w:color w:val="auto"/>
          <w:sz w:val="28"/>
          <w:highlight w:val="none"/>
          <w:u w:val="single"/>
          <w:shd w:val="clear" w:color="auto" w:fill="FFFFFF"/>
        </w:rPr>
        <w:t>公开招标</w:t>
      </w:r>
      <w:r>
        <w:rPr>
          <w:rFonts w:hint="eastAsia" w:ascii="宋体"/>
          <w:color w:val="auto"/>
          <w:sz w:val="28"/>
          <w:szCs w:val="28"/>
          <w:highlight w:val="none"/>
        </w:rPr>
        <w:t>。</w:t>
      </w:r>
    </w:p>
    <w:p>
      <w:pPr>
        <w:spacing w:line="520" w:lineRule="exact"/>
        <w:ind w:firstLine="560" w:firstLineChars="200"/>
        <w:rPr>
          <w:rFonts w:ascii="华文行楷" w:hAnsi="宋体" w:eastAsia="华文行楷"/>
          <w:color w:val="auto"/>
          <w:sz w:val="28"/>
          <w:highlight w:val="none"/>
          <w:shd w:val="clear" w:color="auto" w:fill="FFFFFF"/>
        </w:rPr>
      </w:pPr>
      <w:r>
        <w:rPr>
          <w:rFonts w:hint="eastAsia" w:ascii="宋体"/>
          <w:color w:val="auto"/>
          <w:sz w:val="28"/>
          <w:szCs w:val="28"/>
          <w:highlight w:val="none"/>
        </w:rPr>
        <w:t>1.3.3 招标范围：</w:t>
      </w:r>
      <w:r>
        <w:rPr>
          <w:rFonts w:hint="eastAsia" w:ascii="华文行楷" w:hAnsi="宋体" w:eastAsia="华文行楷"/>
          <w:color w:val="auto"/>
          <w:sz w:val="28"/>
          <w:highlight w:val="none"/>
          <w:u w:val="single"/>
          <w:shd w:val="clear" w:color="auto" w:fill="FFFFFF"/>
        </w:rPr>
        <w:t>本工程的施工图、工程量清单和有关资料所包含的工程内容，以及施工图中没有列出的，但为本工程的稳定、完整、安全等所必要的附加工程施工的监理</w:t>
      </w:r>
      <w:r>
        <w:rPr>
          <w:rFonts w:hint="eastAsia" w:ascii="华文行楷" w:hAnsi="宋体" w:eastAsia="华文行楷"/>
          <w:color w:val="auto"/>
          <w:sz w:val="28"/>
          <w:highlight w:val="none"/>
          <w:shd w:val="clear" w:color="auto" w:fill="FFFFFF"/>
        </w:rPr>
        <w:t>。</w:t>
      </w:r>
    </w:p>
    <w:p>
      <w:pPr>
        <w:spacing w:line="520" w:lineRule="exact"/>
        <w:ind w:firstLine="560" w:firstLineChars="200"/>
        <w:rPr>
          <w:rFonts w:ascii="宋体"/>
          <w:color w:val="auto"/>
          <w:sz w:val="28"/>
          <w:szCs w:val="28"/>
          <w:highlight w:val="none"/>
        </w:rPr>
      </w:pPr>
      <w:r>
        <w:rPr>
          <w:rFonts w:hint="eastAsia" w:ascii="宋体"/>
          <w:color w:val="auto"/>
          <w:sz w:val="28"/>
          <w:szCs w:val="28"/>
          <w:highlight w:val="none"/>
        </w:rPr>
        <w:t>1.3.4 工程监理要求：按设计的施工图纸及国家现行的监理规范和施工规范的标准进行施工管理。</w:t>
      </w:r>
    </w:p>
    <w:p>
      <w:pPr>
        <w:spacing w:line="520" w:lineRule="exact"/>
        <w:ind w:left="956" w:leftChars="266" w:hanging="397" w:hangingChars="142"/>
        <w:rPr>
          <w:rFonts w:ascii="宋体" w:hAnsi="宋体"/>
          <w:color w:val="auto"/>
          <w:sz w:val="24"/>
          <w:highlight w:val="none"/>
        </w:rPr>
      </w:pPr>
      <w:r>
        <w:rPr>
          <w:rFonts w:hint="eastAsia" w:ascii="宋体"/>
          <w:color w:val="auto"/>
          <w:sz w:val="28"/>
          <w:szCs w:val="28"/>
          <w:highlight w:val="none"/>
        </w:rPr>
        <w:t>1.3.5 工程质量要求：</w:t>
      </w:r>
      <w:r>
        <w:rPr>
          <w:rFonts w:hint="eastAsia" w:ascii="华文行楷" w:eastAsia="华文行楷"/>
          <w:color w:val="auto"/>
          <w:sz w:val="28"/>
          <w:szCs w:val="28"/>
          <w:highlight w:val="none"/>
          <w:u w:val="single"/>
        </w:rPr>
        <w:t>合格</w:t>
      </w:r>
      <w:r>
        <w:rPr>
          <w:rFonts w:hint="eastAsia" w:ascii="宋体"/>
          <w:color w:val="auto"/>
          <w:sz w:val="28"/>
          <w:szCs w:val="28"/>
          <w:highlight w:val="none"/>
        </w:rPr>
        <w:t>。</w:t>
      </w:r>
    </w:p>
    <w:p>
      <w:pPr>
        <w:spacing w:line="520" w:lineRule="exact"/>
        <w:ind w:left="960" w:leftChars="267" w:hanging="399" w:hangingChars="142"/>
        <w:rPr>
          <w:rFonts w:ascii="宋体"/>
          <w:b/>
          <w:bCs/>
          <w:color w:val="auto"/>
          <w:sz w:val="28"/>
          <w:szCs w:val="28"/>
          <w:highlight w:val="none"/>
        </w:rPr>
      </w:pPr>
      <w:r>
        <w:rPr>
          <w:rFonts w:hint="eastAsia" w:ascii="宋体"/>
          <w:b/>
          <w:bCs/>
          <w:color w:val="auto"/>
          <w:sz w:val="28"/>
          <w:szCs w:val="28"/>
          <w:highlight w:val="none"/>
        </w:rPr>
        <w:t>1.4投标人的确定</w:t>
      </w:r>
    </w:p>
    <w:p>
      <w:pPr>
        <w:pStyle w:val="25"/>
        <w:spacing w:line="520" w:lineRule="exact"/>
        <w:rPr>
          <w:rFonts w:ascii="宋体"/>
          <w:color w:val="auto"/>
          <w:szCs w:val="28"/>
          <w:highlight w:val="none"/>
        </w:rPr>
      </w:pPr>
      <w:r>
        <w:rPr>
          <w:rFonts w:hint="eastAsia" w:ascii="宋体"/>
          <w:color w:val="auto"/>
          <w:szCs w:val="28"/>
          <w:highlight w:val="none"/>
        </w:rPr>
        <w:t>本项目采用资格后审，参加投标的单位不得少于3家，当投标单位不足3家，或开标后送达评标委员会评审的投标人不足3家，或经评标委员会评审后有效投标人不足3家，则按照有关法律法规重新组织招标。</w:t>
      </w:r>
    </w:p>
    <w:p>
      <w:pPr>
        <w:spacing w:line="520" w:lineRule="exact"/>
        <w:ind w:firstLine="562" w:firstLineChars="200"/>
        <w:rPr>
          <w:rFonts w:ascii="宋体"/>
          <w:b/>
          <w:bCs/>
          <w:color w:val="auto"/>
          <w:sz w:val="28"/>
          <w:szCs w:val="28"/>
          <w:highlight w:val="none"/>
        </w:rPr>
      </w:pPr>
      <w:r>
        <w:rPr>
          <w:rFonts w:hint="eastAsia" w:ascii="宋体"/>
          <w:b/>
          <w:bCs/>
          <w:color w:val="auto"/>
          <w:sz w:val="28"/>
          <w:szCs w:val="28"/>
          <w:highlight w:val="none"/>
        </w:rPr>
        <w:t>1.5投标保证金</w:t>
      </w:r>
    </w:p>
    <w:p>
      <w:pPr>
        <w:spacing w:line="520" w:lineRule="exact"/>
        <w:ind w:firstLine="600" w:firstLineChars="200"/>
        <w:rPr>
          <w:rFonts w:ascii="宋体" w:hAnsi="宋体" w:cs="宋体"/>
          <w:b/>
          <w:iCs/>
          <w:color w:val="auto"/>
          <w:sz w:val="28"/>
          <w:szCs w:val="28"/>
          <w:highlight w:val="none"/>
        </w:rPr>
      </w:pPr>
      <w:r>
        <w:rPr>
          <w:rFonts w:ascii="宋体"/>
          <w:iCs/>
          <w:color w:val="auto"/>
          <w:sz w:val="30"/>
          <w:szCs w:val="30"/>
          <w:highlight w:val="none"/>
        </w:rPr>
        <w:t>1</w:t>
      </w:r>
      <w:r>
        <w:rPr>
          <w:rFonts w:hint="eastAsia" w:ascii="宋体"/>
          <w:iCs/>
          <w:color w:val="auto"/>
          <w:sz w:val="30"/>
          <w:szCs w:val="30"/>
          <w:highlight w:val="none"/>
        </w:rPr>
        <w:t>.5.1</w:t>
      </w:r>
      <w:r>
        <w:rPr>
          <w:rFonts w:hint="eastAsia" w:ascii="宋体" w:hAnsi="宋体" w:cs="宋体"/>
          <w:iCs/>
          <w:color w:val="auto"/>
          <w:sz w:val="28"/>
          <w:szCs w:val="28"/>
          <w:highlight w:val="none"/>
        </w:rPr>
        <w:t>本项目投标保证金为</w:t>
      </w:r>
      <w:r>
        <w:rPr>
          <w:rFonts w:ascii="宋体" w:hAnsi="宋体" w:cs="宋体"/>
          <w:iCs/>
          <w:color w:val="auto"/>
          <w:sz w:val="28"/>
          <w:szCs w:val="28"/>
          <w:highlight w:val="none"/>
        </w:rPr>
        <w:t>人民币</w:t>
      </w:r>
      <w:r>
        <w:rPr>
          <w:rFonts w:hint="eastAsia" w:ascii="华文行楷" w:eastAsia="华文行楷"/>
          <w:color w:val="auto"/>
          <w:sz w:val="28"/>
          <w:szCs w:val="28"/>
          <w:highlight w:val="none"/>
          <w:u w:val="single"/>
        </w:rPr>
        <w:t>贰万</w:t>
      </w:r>
      <w:r>
        <w:rPr>
          <w:rFonts w:hint="eastAsia" w:ascii="宋体" w:hAnsi="宋体" w:cs="宋体"/>
          <w:iCs/>
          <w:color w:val="auto"/>
          <w:sz w:val="28"/>
          <w:szCs w:val="28"/>
          <w:highlight w:val="none"/>
        </w:rPr>
        <w:t>元，</w:t>
      </w:r>
      <w:r>
        <w:rPr>
          <w:rFonts w:ascii="宋体" w:hAnsi="等线"/>
          <w:iCs/>
          <w:color w:val="auto"/>
          <w:sz w:val="28"/>
          <w:szCs w:val="28"/>
          <w:highlight w:val="none"/>
        </w:rPr>
        <w:t>必须</w:t>
      </w:r>
      <w:r>
        <w:rPr>
          <w:rFonts w:hint="eastAsia" w:ascii="等线" w:hAnsi="等线"/>
          <w:iCs/>
          <w:color w:val="auto"/>
          <w:sz w:val="28"/>
          <w:szCs w:val="28"/>
          <w:highlight w:val="none"/>
        </w:rPr>
        <w:t>在投标截止时间前</w:t>
      </w:r>
      <w:r>
        <w:rPr>
          <w:rFonts w:hint="eastAsia" w:ascii="宋体" w:hAnsi="等线"/>
          <w:iCs/>
          <w:color w:val="auto"/>
          <w:sz w:val="28"/>
          <w:szCs w:val="28"/>
          <w:highlight w:val="none"/>
        </w:rPr>
        <w:t>缴</w:t>
      </w:r>
      <w:r>
        <w:rPr>
          <w:rFonts w:ascii="宋体" w:hAnsi="等线"/>
          <w:iCs/>
          <w:color w:val="auto"/>
          <w:sz w:val="28"/>
          <w:szCs w:val="28"/>
          <w:highlight w:val="none"/>
        </w:rPr>
        <w:t>交</w:t>
      </w:r>
      <w:r>
        <w:rPr>
          <w:rFonts w:hint="eastAsia" w:ascii="等线" w:hAnsi="等线"/>
          <w:iCs/>
          <w:color w:val="auto"/>
          <w:sz w:val="28"/>
          <w:szCs w:val="28"/>
          <w:highlight w:val="none"/>
        </w:rPr>
        <w:t>(</w:t>
      </w:r>
      <w:r>
        <w:rPr>
          <w:rFonts w:hint="eastAsia" w:ascii="华文行楷" w:hAnsi="华文行楷" w:eastAsia="华文行楷" w:cs="华文行楷"/>
          <w:iCs/>
          <w:color w:val="auto"/>
          <w:sz w:val="28"/>
          <w:szCs w:val="28"/>
          <w:highlight w:val="none"/>
        </w:rPr>
        <w:t>以保证金到账为准</w:t>
      </w:r>
      <w:r>
        <w:rPr>
          <w:rFonts w:hint="eastAsia" w:ascii="等线" w:hAnsi="等线"/>
          <w:iCs/>
          <w:color w:val="auto"/>
          <w:sz w:val="28"/>
          <w:szCs w:val="28"/>
          <w:highlight w:val="none"/>
        </w:rPr>
        <w:t>)</w:t>
      </w:r>
      <w:r>
        <w:rPr>
          <w:rFonts w:hint="eastAsia" w:ascii="宋体" w:hAnsi="等线"/>
          <w:iCs/>
          <w:color w:val="auto"/>
          <w:sz w:val="28"/>
          <w:szCs w:val="28"/>
          <w:highlight w:val="none"/>
        </w:rPr>
        <w:t>。招标人可要求投标人采用现金（汇款）、金融机构保函等能够实现保证目的的方式缴交。</w:t>
      </w:r>
    </w:p>
    <w:p>
      <w:pPr>
        <w:spacing w:line="520" w:lineRule="exact"/>
        <w:ind w:firstLine="560" w:firstLineChars="200"/>
        <w:rPr>
          <w:color w:val="auto"/>
          <w:highlight w:val="none"/>
        </w:rPr>
      </w:pPr>
      <w:r>
        <w:rPr>
          <w:rFonts w:hint="eastAsia" w:ascii="宋体" w:hAnsi="等线"/>
          <w:iCs/>
          <w:color w:val="auto"/>
          <w:sz w:val="28"/>
          <w:szCs w:val="28"/>
          <w:highlight w:val="none"/>
        </w:rPr>
        <w:t>现金汇款：</w:t>
      </w:r>
      <w:r>
        <w:rPr>
          <w:rFonts w:hint="eastAsia" w:ascii="宋体" w:hAnsi="宋体" w:cs="宋体"/>
          <w:iCs/>
          <w:color w:val="auto"/>
          <w:sz w:val="28"/>
          <w:szCs w:val="28"/>
          <w:highlight w:val="none"/>
        </w:rPr>
        <w:t>投标保证金必须由投标人从</w:t>
      </w:r>
      <w:r>
        <w:rPr>
          <w:rFonts w:hint="eastAsia" w:ascii="宋体" w:hAnsi="宋体" w:cs="宋体"/>
          <w:b/>
          <w:bCs/>
          <w:iCs/>
          <w:color w:val="auto"/>
          <w:sz w:val="28"/>
          <w:szCs w:val="28"/>
          <w:highlight w:val="none"/>
        </w:rPr>
        <w:t>基本账户</w:t>
      </w:r>
      <w:r>
        <w:rPr>
          <w:rFonts w:hint="eastAsia" w:ascii="宋体" w:hAnsi="宋体" w:cs="宋体"/>
          <w:bCs/>
          <w:iCs/>
          <w:color w:val="auto"/>
          <w:sz w:val="28"/>
          <w:szCs w:val="28"/>
          <w:highlight w:val="none"/>
        </w:rPr>
        <w:t>汇到</w:t>
      </w:r>
      <w:r>
        <w:rPr>
          <w:rFonts w:hint="eastAsia" w:ascii="宋体" w:hAnsi="宋体" w:cs="宋体"/>
          <w:iCs/>
          <w:color w:val="auto"/>
          <w:sz w:val="28"/>
          <w:szCs w:val="28"/>
          <w:highlight w:val="none"/>
        </w:rPr>
        <w:t>招标人的指定账户（开户名：</w:t>
      </w:r>
      <w:r>
        <w:rPr>
          <w:rFonts w:hint="eastAsia" w:ascii="华文行楷" w:hAnsi="等线" w:eastAsia="华文行楷"/>
          <w:iCs/>
          <w:color w:val="auto"/>
          <w:sz w:val="28"/>
          <w:szCs w:val="28"/>
          <w:highlight w:val="none"/>
          <w:u w:val="single"/>
        </w:rPr>
        <w:t>广州交易集团有限公司</w:t>
      </w:r>
      <w:r>
        <w:rPr>
          <w:rFonts w:hint="eastAsia" w:ascii="宋体" w:hAnsi="宋体" w:cs="宋体"/>
          <w:iCs/>
          <w:color w:val="auto"/>
          <w:sz w:val="28"/>
          <w:szCs w:val="28"/>
          <w:highlight w:val="none"/>
        </w:rPr>
        <w:t>，开户行：</w:t>
      </w:r>
      <w:r>
        <w:rPr>
          <w:rFonts w:hint="eastAsia" w:ascii="华文行楷" w:hAnsi="等线" w:eastAsia="华文行楷"/>
          <w:iCs/>
          <w:color w:val="auto"/>
          <w:sz w:val="28"/>
          <w:szCs w:val="28"/>
          <w:highlight w:val="none"/>
          <w:u w:val="single"/>
        </w:rPr>
        <w:t>中国建设银行广州天润路支行</w:t>
      </w:r>
      <w:r>
        <w:rPr>
          <w:rFonts w:hint="eastAsia" w:ascii="宋体" w:hAnsi="宋体" w:cs="宋体"/>
          <w:iCs/>
          <w:color w:val="auto"/>
          <w:sz w:val="28"/>
          <w:szCs w:val="28"/>
          <w:highlight w:val="none"/>
        </w:rPr>
        <w:t>，账号：</w:t>
      </w:r>
      <w:r>
        <w:rPr>
          <w:rFonts w:hint="eastAsia" w:ascii="华文行楷" w:hAnsi="等线" w:eastAsia="华文行楷"/>
          <w:iCs/>
          <w:color w:val="auto"/>
          <w:sz w:val="28"/>
          <w:szCs w:val="28"/>
          <w:highlight w:val="none"/>
          <w:u w:val="single"/>
        </w:rPr>
        <w:t>44001583404059333333</w:t>
      </w:r>
      <w:r>
        <w:rPr>
          <w:rFonts w:hint="eastAsia" w:ascii="宋体" w:hAnsi="宋体" w:cs="宋体"/>
          <w:iCs/>
          <w:color w:val="auto"/>
          <w:sz w:val="28"/>
          <w:szCs w:val="28"/>
          <w:highlight w:val="none"/>
        </w:rPr>
        <w:t>，该保证金必须在</w:t>
      </w:r>
      <w:r>
        <w:rPr>
          <w:rFonts w:hint="eastAsia" w:ascii="华文行楷" w:hAnsi="华文行楷" w:eastAsia="华文行楷" w:cs="华文行楷"/>
          <w:color w:val="auto"/>
          <w:sz w:val="28"/>
          <w:szCs w:val="28"/>
          <w:highlight w:val="none"/>
          <w:u w:val="single"/>
        </w:rPr>
        <w:t>投标截止时间</w:t>
      </w:r>
      <w:r>
        <w:rPr>
          <w:rFonts w:hint="eastAsia" w:ascii="宋体" w:hAnsi="宋体" w:cs="宋体"/>
          <w:iCs/>
          <w:color w:val="auto"/>
          <w:sz w:val="28"/>
          <w:szCs w:val="28"/>
          <w:highlight w:val="none"/>
        </w:rPr>
        <w:t>前</w:t>
      </w:r>
      <w:r>
        <w:rPr>
          <w:rFonts w:hint="eastAsia" w:ascii="宋体" w:hAnsi="宋体" w:cs="宋体"/>
          <w:b/>
          <w:iCs/>
          <w:color w:val="auto"/>
          <w:sz w:val="28"/>
          <w:szCs w:val="28"/>
          <w:highlight w:val="none"/>
        </w:rPr>
        <w:t>汇到保证金专用账户，否则作无效标处理。</w:t>
      </w:r>
      <w:r>
        <w:rPr>
          <w:rFonts w:hint="eastAsia" w:ascii="华文行楷" w:hAnsi="华文行楷" w:eastAsia="华文行楷" w:cs="华文行楷"/>
          <w:iCs/>
          <w:color w:val="auto"/>
          <w:sz w:val="28"/>
          <w:szCs w:val="28"/>
          <w:highlight w:val="none"/>
        </w:rPr>
        <w:t>投标人需在交易系统中将汇入投标保证金与投标项目进行绑定(详细操作流程详见交易中心指南)，绑定成功后才能被认定为完成缴交投标保证金，否则可能导致无法确认该笔投标保证金的用途，一切因此造成的后果由投标人自负,。缴纳情况以广州公共资源交易中心系统查询为准。该银行汇款凭证复印件是投标文件的一个组成部分，应放入投标文件中。由于投标人原因造成投标保证金未能到账的，一切因此造成的后果由投标人自负</w:t>
      </w:r>
      <w:r>
        <w:rPr>
          <w:rFonts w:hint="eastAsia" w:ascii="宋体" w:hAnsi="等线"/>
          <w:iCs/>
          <w:color w:val="auto"/>
          <w:sz w:val="28"/>
          <w:szCs w:val="28"/>
          <w:highlight w:val="none"/>
        </w:rPr>
        <w:t>。</w:t>
      </w:r>
    </w:p>
    <w:p>
      <w:pPr>
        <w:spacing w:line="500" w:lineRule="exact"/>
        <w:ind w:firstLine="560" w:firstLineChars="200"/>
        <w:rPr>
          <w:rFonts w:ascii="宋体" w:hAnsi="宋体" w:cs="宋体"/>
          <w:b/>
          <w:bCs/>
          <w:color w:val="auto"/>
          <w:sz w:val="28"/>
          <w:szCs w:val="28"/>
          <w:highlight w:val="none"/>
        </w:rPr>
      </w:pPr>
      <w:r>
        <w:rPr>
          <w:rFonts w:hint="eastAsia" w:ascii="宋体" w:hAnsi="等线"/>
          <w:color w:val="auto"/>
          <w:sz w:val="28"/>
          <w:szCs w:val="28"/>
          <w:highlight w:val="none"/>
        </w:rPr>
        <w:t>保函</w:t>
      </w:r>
      <w:r>
        <w:rPr>
          <w:rFonts w:hint="eastAsia" w:ascii="华文行楷" w:hAnsi="华文行楷" w:eastAsia="华文行楷" w:cs="华文行楷"/>
          <w:color w:val="auto"/>
          <w:sz w:val="28"/>
          <w:szCs w:val="28"/>
          <w:highlight w:val="none"/>
        </w:rPr>
        <w:t>：</w:t>
      </w:r>
      <w:r>
        <w:rPr>
          <w:rFonts w:hint="eastAsia" w:ascii="华文行楷" w:hAnsi="华文行楷" w:eastAsia="华文行楷" w:cs="华文行楷"/>
          <w:iCs/>
          <w:color w:val="auto"/>
          <w:sz w:val="28"/>
          <w:szCs w:val="28"/>
          <w:highlight w:val="none"/>
        </w:rPr>
        <w:t>投标人应在</w:t>
      </w:r>
      <w:r>
        <w:rPr>
          <w:rFonts w:hint="eastAsia" w:ascii="华文行楷" w:hAnsi="华文行楷" w:eastAsia="华文行楷" w:cs="华文行楷"/>
          <w:iCs/>
          <w:color w:val="auto"/>
          <w:sz w:val="28"/>
          <w:szCs w:val="28"/>
          <w:highlight w:val="none"/>
          <w:u w:val="none"/>
          <w:lang w:eastAsia="zh-CN"/>
        </w:rPr>
        <w:t>投标截止时间</w:t>
      </w:r>
      <w:r>
        <w:rPr>
          <w:rFonts w:hint="eastAsia" w:ascii="华文行楷" w:hAnsi="华文行楷" w:eastAsia="华文行楷" w:cs="华文行楷"/>
          <w:iCs/>
          <w:color w:val="auto"/>
          <w:sz w:val="28"/>
          <w:szCs w:val="28"/>
          <w:highlight w:val="none"/>
        </w:rPr>
        <w:t>前，按投标保证金要求的金额，出具相应的</w:t>
      </w:r>
      <w:r>
        <w:rPr>
          <w:rFonts w:hint="eastAsia" w:ascii="华文行楷" w:hAnsi="华文行楷" w:eastAsia="华文行楷" w:cs="华文行楷"/>
          <w:bCs/>
          <w:iCs/>
          <w:color w:val="auto"/>
          <w:sz w:val="28"/>
          <w:szCs w:val="28"/>
          <w:highlight w:val="none"/>
        </w:rPr>
        <w:t>金融机构保函等证明材料（相关格式可以按银行的格式），保函的担保有效期应覆盖投标有效期</w:t>
      </w:r>
      <w:r>
        <w:rPr>
          <w:rFonts w:hint="eastAsia" w:ascii="华文行楷" w:hAnsi="华文行楷" w:eastAsia="华文行楷" w:cs="华文行楷"/>
          <w:iCs/>
          <w:color w:val="auto"/>
          <w:sz w:val="28"/>
          <w:szCs w:val="28"/>
          <w:highlight w:val="none"/>
        </w:rPr>
        <w:t>，</w:t>
      </w:r>
      <w:r>
        <w:rPr>
          <w:rFonts w:hint="eastAsia" w:ascii="宋体" w:hAnsi="宋体" w:cs="宋体"/>
          <w:bCs/>
          <w:iCs/>
          <w:color w:val="auto"/>
          <w:sz w:val="28"/>
          <w:szCs w:val="28"/>
          <w:highlight w:val="none"/>
        </w:rPr>
        <w:t>具体要求如下：</w:t>
      </w:r>
    </w:p>
    <w:p>
      <w:pPr>
        <w:spacing w:line="500" w:lineRule="exact"/>
        <w:ind w:firstLine="560" w:firstLineChars="200"/>
        <w:rPr>
          <w:rFonts w:ascii="宋体" w:hAnsi="等线"/>
          <w:iCs/>
          <w:color w:val="auto"/>
          <w:sz w:val="28"/>
          <w:szCs w:val="28"/>
          <w:highlight w:val="none"/>
        </w:rPr>
      </w:pPr>
      <w:r>
        <w:rPr>
          <w:rFonts w:hint="eastAsia" w:ascii="宋体" w:hAnsi="等线"/>
          <w:iCs/>
          <w:color w:val="auto"/>
          <w:sz w:val="28"/>
          <w:szCs w:val="28"/>
          <w:highlight w:val="none"/>
        </w:rPr>
        <w:t>投标人提交的金融机构保函等均应为见索即付性质的、具有实质担保责任</w:t>
      </w:r>
      <w:r>
        <w:rPr>
          <w:rFonts w:hint="eastAsia" w:ascii="宋体" w:hAnsi="等线"/>
          <w:b/>
          <w:bCs/>
          <w:iCs/>
          <w:color w:val="auto"/>
          <w:sz w:val="28"/>
          <w:szCs w:val="28"/>
          <w:highlight w:val="none"/>
        </w:rPr>
        <w:t>且具备可验证二维码等防伪功能</w:t>
      </w:r>
      <w:r>
        <w:rPr>
          <w:rFonts w:hint="eastAsia" w:ascii="宋体" w:hAnsi="等线"/>
          <w:iCs/>
          <w:color w:val="auto"/>
          <w:sz w:val="28"/>
          <w:szCs w:val="28"/>
          <w:highlight w:val="none"/>
        </w:rPr>
        <w:t>的担保保函。</w:t>
      </w:r>
      <w:r>
        <w:rPr>
          <w:rFonts w:hint="eastAsia" w:ascii="宋体" w:hAnsi="等线"/>
          <w:iCs/>
          <w:color w:val="auto"/>
          <w:sz w:val="28"/>
          <w:szCs w:val="28"/>
          <w:highlight w:val="none"/>
          <w:u w:val="single"/>
        </w:rPr>
        <w:t>其中，投标银行保函必须由投标人的基本账户银行出具。</w:t>
      </w:r>
    </w:p>
    <w:p>
      <w:pPr>
        <w:pStyle w:val="25"/>
        <w:spacing w:line="520" w:lineRule="exact"/>
        <w:ind w:firstLine="560" w:firstLineChars="200"/>
        <w:rPr>
          <w:rFonts w:ascii="宋体"/>
          <w:color w:val="auto"/>
          <w:szCs w:val="28"/>
          <w:highlight w:val="none"/>
        </w:rPr>
      </w:pPr>
      <w:r>
        <w:rPr>
          <w:rFonts w:hint="eastAsia" w:ascii="宋体"/>
          <w:color w:val="auto"/>
          <w:szCs w:val="28"/>
          <w:highlight w:val="none"/>
        </w:rPr>
        <w:t>1.5.2 未中标投标人的投标保证金将在发出中标通知书后5个工作日内返还。</w:t>
      </w:r>
    </w:p>
    <w:p>
      <w:pPr>
        <w:spacing w:line="520" w:lineRule="exact"/>
        <w:ind w:firstLine="560" w:firstLineChars="200"/>
        <w:rPr>
          <w:rFonts w:ascii="宋体"/>
          <w:color w:val="auto"/>
          <w:sz w:val="28"/>
          <w:szCs w:val="28"/>
          <w:highlight w:val="none"/>
        </w:rPr>
      </w:pPr>
      <w:r>
        <w:rPr>
          <w:rFonts w:hint="eastAsia" w:ascii="宋体"/>
          <w:color w:val="auto"/>
          <w:sz w:val="28"/>
          <w:szCs w:val="28"/>
          <w:highlight w:val="none"/>
        </w:rPr>
        <w:t>1.5.3 中标人的投标保证金，在按要求提供履约保证金并签署合同后5个工作日内予以退还。</w:t>
      </w:r>
    </w:p>
    <w:p>
      <w:pPr>
        <w:spacing w:line="520" w:lineRule="exact"/>
        <w:ind w:firstLine="560" w:firstLineChars="200"/>
        <w:rPr>
          <w:rFonts w:cs="宋体"/>
          <w:color w:val="auto"/>
          <w:kern w:val="0"/>
          <w:sz w:val="27"/>
          <w:szCs w:val="27"/>
          <w:highlight w:val="none"/>
        </w:rPr>
      </w:pPr>
      <w:r>
        <w:rPr>
          <w:rFonts w:hint="eastAsia" w:ascii="宋体"/>
          <w:color w:val="auto"/>
          <w:sz w:val="28"/>
          <w:szCs w:val="28"/>
          <w:highlight w:val="none"/>
        </w:rPr>
        <w:t>1.5.4 如投标人出现下列情况之一的，其投标保证金不予退还：</w:t>
      </w:r>
    </w:p>
    <w:p>
      <w:pPr>
        <w:pStyle w:val="16"/>
        <w:spacing w:before="0" w:beforeAutospacing="0" w:after="0" w:afterAutospacing="0" w:line="520" w:lineRule="exact"/>
        <w:rPr>
          <w:rFonts w:ascii="Times New Roman" w:hAnsi="Times New Roman" w:cs="宋体"/>
          <w:color w:val="auto"/>
          <w:sz w:val="27"/>
          <w:szCs w:val="27"/>
          <w:highlight w:val="none"/>
        </w:rPr>
      </w:pPr>
      <w:r>
        <w:rPr>
          <w:rFonts w:hint="eastAsia" w:ascii="Times New Roman" w:hAnsi="Times New Roman" w:cs="宋体"/>
          <w:color w:val="auto"/>
          <w:sz w:val="27"/>
          <w:szCs w:val="27"/>
          <w:highlight w:val="none"/>
        </w:rPr>
        <w:t xml:space="preserve">       ①</w:t>
      </w:r>
      <w:r>
        <w:rPr>
          <w:rFonts w:hint="eastAsia" w:hAnsi="Times New Roman"/>
          <w:color w:val="auto"/>
          <w:kern w:val="2"/>
          <w:sz w:val="28"/>
          <w:szCs w:val="28"/>
          <w:highlight w:val="none"/>
        </w:rPr>
        <w:t>投标人在有效期内撤回其投标文件；</w:t>
      </w:r>
    </w:p>
    <w:p>
      <w:pPr>
        <w:pStyle w:val="16"/>
        <w:spacing w:before="0" w:beforeAutospacing="0" w:after="0" w:afterAutospacing="0" w:line="520" w:lineRule="exact"/>
        <w:rPr>
          <w:rFonts w:cs="宋体"/>
          <w:color w:val="auto"/>
          <w:sz w:val="27"/>
          <w:szCs w:val="27"/>
          <w:highlight w:val="none"/>
        </w:rPr>
      </w:pPr>
      <w:r>
        <w:rPr>
          <w:rFonts w:hint="eastAsia" w:hAnsi="Times New Roman"/>
          <w:color w:val="auto"/>
          <w:kern w:val="2"/>
          <w:sz w:val="28"/>
          <w:szCs w:val="28"/>
          <w:highlight w:val="none"/>
        </w:rPr>
        <w:t xml:space="preserve">       ②投标人在投标过程中有违反招标投标法律法规行为的；</w:t>
      </w:r>
    </w:p>
    <w:p>
      <w:pPr>
        <w:pStyle w:val="16"/>
        <w:spacing w:before="0" w:beforeAutospacing="0" w:after="0" w:afterAutospacing="0" w:line="520" w:lineRule="exact"/>
        <w:rPr>
          <w:rFonts w:hAnsi="Times New Roman"/>
          <w:color w:val="auto"/>
          <w:kern w:val="2"/>
          <w:sz w:val="28"/>
          <w:szCs w:val="28"/>
          <w:highlight w:val="none"/>
        </w:rPr>
      </w:pPr>
      <w:r>
        <w:rPr>
          <w:rFonts w:hint="eastAsia" w:hAnsi="Times New Roman"/>
          <w:color w:val="auto"/>
          <w:kern w:val="2"/>
          <w:sz w:val="28"/>
          <w:szCs w:val="28"/>
          <w:highlight w:val="none"/>
        </w:rPr>
        <w:t xml:space="preserve">       ③中标人放弃中标资格；</w:t>
      </w:r>
    </w:p>
    <w:p>
      <w:pPr>
        <w:pStyle w:val="16"/>
        <w:spacing w:before="0" w:beforeAutospacing="0" w:after="0" w:afterAutospacing="0" w:line="520" w:lineRule="exact"/>
        <w:rPr>
          <w:rFonts w:hAnsi="Times New Roman"/>
          <w:color w:val="auto"/>
          <w:kern w:val="2"/>
          <w:sz w:val="28"/>
          <w:szCs w:val="28"/>
          <w:highlight w:val="none"/>
        </w:rPr>
      </w:pPr>
      <w:r>
        <w:rPr>
          <w:rFonts w:hint="eastAsia" w:hAnsi="Times New Roman"/>
          <w:color w:val="auto"/>
          <w:kern w:val="2"/>
          <w:sz w:val="28"/>
          <w:szCs w:val="28"/>
          <w:highlight w:val="none"/>
        </w:rPr>
        <w:t xml:space="preserve">       ④中标人未能在规定期限内按招标文件要求提交履约保证金或签署合同。</w:t>
      </w:r>
    </w:p>
    <w:p>
      <w:pPr>
        <w:spacing w:line="520" w:lineRule="exact"/>
        <w:ind w:left="960" w:leftChars="267" w:hanging="399" w:hangingChars="14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1.6投标费用</w:t>
      </w:r>
    </w:p>
    <w:p>
      <w:pPr>
        <w:spacing w:line="520" w:lineRule="exact"/>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1.6.1</w:t>
      </w:r>
      <w:r>
        <w:rPr>
          <w:rFonts w:hint="eastAsia" w:ascii="宋体" w:hAnsi="宋体" w:cs="宋体"/>
          <w:color w:val="auto"/>
          <w:kern w:val="0"/>
          <w:sz w:val="28"/>
          <w:szCs w:val="28"/>
          <w:highlight w:val="none"/>
        </w:rPr>
        <w:t>投标人应承担其参加本招标活动自身所发生的费用。</w:t>
      </w:r>
    </w:p>
    <w:p>
      <w:pPr>
        <w:pStyle w:val="4"/>
        <w:spacing w:before="0" w:after="0" w:line="520" w:lineRule="exact"/>
        <w:ind w:firstLine="643" w:firstLineChars="200"/>
        <w:rPr>
          <w:rFonts w:ascii="宋体" w:hAnsi="宋体" w:eastAsia="宋体" w:cs="宋体"/>
          <w:color w:val="auto"/>
          <w:highlight w:val="none"/>
        </w:rPr>
      </w:pPr>
      <w:bookmarkStart w:id="11" w:name="_Toc356312835"/>
      <w:bookmarkStart w:id="12" w:name="_Toc341432806"/>
      <w:bookmarkStart w:id="13" w:name="_Toc57042135"/>
      <w:r>
        <w:rPr>
          <w:rFonts w:hint="eastAsia" w:ascii="宋体" w:hAnsi="宋体" w:eastAsia="宋体" w:cs="宋体"/>
          <w:color w:val="auto"/>
          <w:highlight w:val="none"/>
        </w:rPr>
        <w:t>2.有关定义</w:t>
      </w:r>
      <w:bookmarkEnd w:id="11"/>
      <w:bookmarkEnd w:id="12"/>
      <w:bookmarkEnd w:id="13"/>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kern w:val="0"/>
          <w:sz w:val="28"/>
          <w:szCs w:val="28"/>
          <w:highlight w:val="none"/>
        </w:rPr>
        <w:t>2.1招标人：指建设单位、发包人。</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kern w:val="0"/>
          <w:sz w:val="28"/>
          <w:szCs w:val="28"/>
          <w:highlight w:val="none"/>
        </w:rPr>
        <w:t>2.2 投标人：所有参加的投标单位。</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kern w:val="0"/>
          <w:sz w:val="28"/>
          <w:szCs w:val="28"/>
          <w:highlight w:val="none"/>
        </w:rPr>
        <w:t>2.3 项目监理机构：监理单位派驻工程项目负责履行委托监理合同的组织机构。</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2.4总监理工程师：由监理单位法定代表人书面授权，全面负责委托监理合同的履行、主持项目监理机构工作的监理工程师。</w:t>
      </w:r>
    </w:p>
    <w:p>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3.招标答疑</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3.1</w:t>
      </w:r>
      <w:bookmarkStart w:id="14" w:name="_Toc341432808"/>
      <w:r>
        <w:rPr>
          <w:rFonts w:hint="eastAsia" w:ascii="宋体" w:hAnsi="宋体" w:cs="宋体"/>
          <w:color w:val="auto"/>
          <w:sz w:val="28"/>
          <w:szCs w:val="28"/>
          <w:highlight w:val="none"/>
        </w:rPr>
        <w:t>投标人下载招标文件后，应仔细检查招标文件的所有内容，需要招标人及设计单位解释或说明的问题，请按规定向招标人或招标代理机构提出。</w:t>
      </w:r>
    </w:p>
    <w:p>
      <w:pPr>
        <w:pStyle w:val="25"/>
        <w:spacing w:line="520" w:lineRule="exact"/>
        <w:ind w:firstLine="560" w:firstLineChars="200"/>
        <w:rPr>
          <w:rFonts w:ascii="宋体" w:hAnsi="宋体" w:cs="宋体"/>
          <w:color w:val="auto"/>
          <w:szCs w:val="28"/>
          <w:highlight w:val="none"/>
        </w:rPr>
      </w:pPr>
      <w:r>
        <w:rPr>
          <w:rFonts w:hint="eastAsia" w:ascii="宋体" w:hAnsi="宋体" w:cs="宋体"/>
          <w:color w:val="auto"/>
          <w:szCs w:val="28"/>
          <w:highlight w:val="none"/>
        </w:rPr>
        <w:t>3.2本项目不组织现场踏勘，如有需要，投标人可自行前往现场踏勘，费用及安全问题自行承担。</w:t>
      </w:r>
    </w:p>
    <w:p>
      <w:pPr>
        <w:pStyle w:val="25"/>
        <w:spacing w:line="520" w:lineRule="exact"/>
        <w:ind w:firstLine="560" w:firstLineChars="200"/>
        <w:rPr>
          <w:rFonts w:ascii="宋体" w:hAnsi="宋体" w:cs="宋体"/>
          <w:color w:val="auto"/>
          <w:szCs w:val="28"/>
          <w:highlight w:val="none"/>
        </w:rPr>
      </w:pPr>
      <w:r>
        <w:rPr>
          <w:rFonts w:hint="eastAsia" w:ascii="宋体" w:hAnsi="宋体" w:cs="宋体"/>
          <w:color w:val="auto"/>
          <w:szCs w:val="28"/>
          <w:highlight w:val="none"/>
        </w:rPr>
        <w:t>3.3招标答疑的目的是澄清、解答投标人在查阅招标文件和现场踏勘后可能提出的任何方面的问题，并由招标人和代理机构按规定作出答复。</w:t>
      </w:r>
    </w:p>
    <w:p>
      <w:pPr>
        <w:pStyle w:val="25"/>
        <w:spacing w:line="520" w:lineRule="exact"/>
        <w:ind w:firstLine="560" w:firstLineChars="200"/>
        <w:rPr>
          <w:rFonts w:ascii="宋体" w:hAnsi="宋体" w:cs="宋体"/>
          <w:color w:val="auto"/>
          <w:szCs w:val="28"/>
          <w:highlight w:val="none"/>
        </w:rPr>
      </w:pPr>
      <w:r>
        <w:rPr>
          <w:rFonts w:hint="eastAsia" w:ascii="宋体" w:hAnsi="宋体" w:cs="宋体"/>
          <w:color w:val="auto"/>
          <w:szCs w:val="28"/>
          <w:highlight w:val="none"/>
        </w:rPr>
        <w:t>3.4 招标答疑纪要作为招标文件的一部分，与招标文件具有同等法律效力。</w:t>
      </w:r>
    </w:p>
    <w:p>
      <w:pPr>
        <w:pStyle w:val="4"/>
        <w:spacing w:before="0" w:after="0" w:line="520" w:lineRule="exact"/>
        <w:ind w:firstLine="643" w:firstLineChars="200"/>
        <w:rPr>
          <w:rFonts w:ascii="宋体" w:hAnsi="宋体" w:eastAsia="宋体" w:cs="宋体"/>
          <w:color w:val="auto"/>
          <w:highlight w:val="none"/>
        </w:rPr>
      </w:pPr>
      <w:bookmarkStart w:id="15" w:name="_Toc57042136"/>
      <w:r>
        <w:rPr>
          <w:rFonts w:hint="eastAsia" w:ascii="宋体" w:hAnsi="宋体" w:eastAsia="宋体" w:cs="宋体"/>
          <w:color w:val="auto"/>
          <w:highlight w:val="none"/>
        </w:rPr>
        <w:t>4.评标委员会组</w:t>
      </w:r>
      <w:bookmarkEnd w:id="14"/>
      <w:r>
        <w:rPr>
          <w:rFonts w:hint="eastAsia" w:ascii="宋体" w:hAnsi="宋体" w:eastAsia="宋体" w:cs="宋体"/>
          <w:color w:val="auto"/>
          <w:highlight w:val="none"/>
        </w:rPr>
        <w:t>建</w:t>
      </w:r>
      <w:bookmarkEnd w:id="15"/>
    </w:p>
    <w:p>
      <w:pPr>
        <w:pStyle w:val="26"/>
        <w:spacing w:line="520" w:lineRule="exact"/>
        <w:ind w:firstLine="560" w:firstLineChars="200"/>
        <w:rPr>
          <w:rFonts w:ascii="宋体" w:hAnsi="宋体" w:cs="宋体"/>
          <w:b w:val="0"/>
          <w:bCs/>
          <w:color w:val="auto"/>
          <w:sz w:val="28"/>
          <w:szCs w:val="28"/>
          <w:highlight w:val="none"/>
        </w:rPr>
      </w:pPr>
      <w:bookmarkStart w:id="16" w:name="_Toc341432809"/>
      <w:r>
        <w:rPr>
          <w:rFonts w:hint="eastAsia" w:ascii="宋体" w:hAnsi="宋体" w:cs="宋体"/>
          <w:b w:val="0"/>
          <w:bCs/>
          <w:color w:val="auto"/>
          <w:sz w:val="28"/>
          <w:szCs w:val="28"/>
          <w:highlight w:val="none"/>
        </w:rPr>
        <w:t>评标委员会由</w:t>
      </w:r>
      <w:r>
        <w:rPr>
          <w:rFonts w:hint="eastAsia" w:ascii="宋体" w:hAnsi="宋体" w:cs="宋体"/>
          <w:b w:val="0"/>
          <w:bCs/>
          <w:color w:val="auto"/>
          <w:sz w:val="28"/>
          <w:szCs w:val="28"/>
          <w:highlight w:val="none"/>
          <w:u w:val="single"/>
        </w:rPr>
        <w:t>5</w:t>
      </w:r>
      <w:r>
        <w:rPr>
          <w:rFonts w:hint="eastAsia" w:ascii="宋体" w:hAnsi="宋体" w:cs="宋体"/>
          <w:b w:val="0"/>
          <w:bCs/>
          <w:color w:val="auto"/>
          <w:sz w:val="28"/>
          <w:szCs w:val="28"/>
          <w:highlight w:val="none"/>
        </w:rPr>
        <w:t>人组成，在开标前从广东省综合评标评审专家库随机抽取产生。</w:t>
      </w:r>
    </w:p>
    <w:p>
      <w:pPr>
        <w:pStyle w:val="4"/>
        <w:spacing w:before="0" w:after="0" w:line="520" w:lineRule="exact"/>
        <w:ind w:firstLine="643" w:firstLineChars="200"/>
        <w:rPr>
          <w:rFonts w:ascii="宋体" w:hAnsi="宋体" w:eastAsia="宋体" w:cs="宋体"/>
          <w:color w:val="auto"/>
          <w:highlight w:val="none"/>
        </w:rPr>
      </w:pPr>
      <w:bookmarkStart w:id="17" w:name="_Toc57042137"/>
      <w:r>
        <w:rPr>
          <w:rFonts w:hint="eastAsia" w:ascii="宋体" w:hAnsi="宋体" w:eastAsia="宋体" w:cs="宋体"/>
          <w:color w:val="auto"/>
          <w:highlight w:val="none"/>
        </w:rPr>
        <w:t>5.投标报价说明</w:t>
      </w:r>
      <w:bookmarkEnd w:id="16"/>
      <w:bookmarkEnd w:id="17"/>
    </w:p>
    <w:p>
      <w:pPr>
        <w:pStyle w:val="26"/>
        <w:spacing w:line="520" w:lineRule="exact"/>
        <w:ind w:firstLine="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 xml:space="preserve">    本工程监理费以预算定案书总造价为计算基础，监理费投标报价用百分比表示。本工程监理费以市场调查研究以及参考国家发改价格[2007]670号文计算得出的施工监理服务收费基准价</w:t>
      </w:r>
      <w:r>
        <w:rPr>
          <w:rFonts w:hint="eastAsia" w:ascii="华文行楷" w:hAnsi="华文行楷" w:eastAsia="华文行楷" w:cs="华文行楷"/>
          <w:color w:val="auto"/>
          <w:sz w:val="28"/>
          <w:szCs w:val="28"/>
          <w:highlight w:val="none"/>
          <w:u w:val="single"/>
          <w:lang w:val="en-US" w:eastAsia="zh-CN"/>
        </w:rPr>
        <w:t>1113700.00</w:t>
      </w:r>
      <w:r>
        <w:rPr>
          <w:rFonts w:hint="eastAsia" w:ascii="宋体" w:hAnsi="宋体" w:cs="宋体"/>
          <w:b w:val="0"/>
          <w:bCs/>
          <w:color w:val="auto"/>
          <w:sz w:val="28"/>
          <w:szCs w:val="28"/>
          <w:highlight w:val="none"/>
        </w:rPr>
        <w:t>元，以浮动0％为投标上限报价，以浮动－1</w:t>
      </w:r>
      <w:r>
        <w:rPr>
          <w:rFonts w:hint="eastAsia" w:ascii="宋体" w:hAnsi="宋体" w:cs="宋体"/>
          <w:b w:val="0"/>
          <w:bCs/>
          <w:color w:val="auto"/>
          <w:sz w:val="28"/>
          <w:szCs w:val="28"/>
          <w:highlight w:val="none"/>
          <w:lang w:val="en-US" w:eastAsia="zh-CN"/>
        </w:rPr>
        <w:t>5</w:t>
      </w:r>
      <w:r>
        <w:rPr>
          <w:rFonts w:hint="eastAsia" w:ascii="宋体" w:hAnsi="宋体" w:cs="宋体"/>
          <w:b w:val="0"/>
          <w:bCs/>
          <w:color w:val="auto"/>
          <w:sz w:val="28"/>
          <w:szCs w:val="28"/>
          <w:highlight w:val="none"/>
        </w:rPr>
        <w:t>％为投标下限报价，即－1</w:t>
      </w:r>
      <w:r>
        <w:rPr>
          <w:rFonts w:hint="eastAsia" w:ascii="宋体" w:hAnsi="宋体" w:cs="宋体"/>
          <w:b w:val="0"/>
          <w:bCs/>
          <w:color w:val="auto"/>
          <w:sz w:val="28"/>
          <w:szCs w:val="28"/>
          <w:highlight w:val="none"/>
          <w:lang w:val="en-US" w:eastAsia="zh-CN"/>
        </w:rPr>
        <w:t>5</w:t>
      </w:r>
      <w:r>
        <w:rPr>
          <w:rFonts w:hint="eastAsia" w:ascii="宋体" w:hAnsi="宋体" w:cs="宋体"/>
          <w:b w:val="0"/>
          <w:bCs/>
          <w:color w:val="auto"/>
          <w:sz w:val="28"/>
          <w:szCs w:val="28"/>
          <w:highlight w:val="none"/>
        </w:rPr>
        <w:t>％≤a≤0％(若超出此报价范围，则作废标处理)。投标人投报监理费浮动系数（用百分比表示）。本工程最后中标监理费＝本工程招标控制价×（1+a）。中标单位所投的报价为工程监理收费包干价及签订合同依据，不随工程量的变更而增加或减少监理服务收费。若施工工期延长，则监理期限顺延，不增加监理报酬。</w:t>
      </w:r>
    </w:p>
    <w:p>
      <w:pPr>
        <w:pStyle w:val="4"/>
        <w:spacing w:before="0" w:after="0" w:line="520" w:lineRule="exact"/>
        <w:ind w:firstLine="643" w:firstLineChars="200"/>
        <w:rPr>
          <w:rFonts w:ascii="宋体" w:hAnsi="宋体" w:eastAsia="宋体" w:cs="宋体"/>
          <w:color w:val="auto"/>
          <w:highlight w:val="none"/>
        </w:rPr>
      </w:pPr>
      <w:bookmarkStart w:id="18" w:name="_Toc57042138"/>
      <w:bookmarkStart w:id="19" w:name="_Toc341432810"/>
      <w:r>
        <w:rPr>
          <w:rFonts w:hint="eastAsia" w:ascii="宋体" w:hAnsi="宋体" w:eastAsia="宋体" w:cs="宋体"/>
          <w:color w:val="auto"/>
          <w:highlight w:val="none"/>
        </w:rPr>
        <w:t>6.开标、评标及中标方法</w:t>
      </w:r>
      <w:bookmarkEnd w:id="18"/>
      <w:bookmarkEnd w:id="19"/>
    </w:p>
    <w:p>
      <w:pPr>
        <w:spacing w:line="520" w:lineRule="exact"/>
        <w:ind w:left="1" w:firstLine="557" w:firstLineChars="199"/>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6.1 </w:t>
      </w:r>
      <w:r>
        <w:rPr>
          <w:rFonts w:hint="eastAsia" w:ascii="宋体" w:hAnsi="宋体" w:cs="宋体"/>
          <w:bCs/>
          <w:color w:val="auto"/>
          <w:sz w:val="28"/>
          <w:szCs w:val="28"/>
          <w:highlight w:val="none"/>
        </w:rPr>
        <w:t>开标、评标和定标活动在</w:t>
      </w:r>
      <w:r>
        <w:rPr>
          <w:rFonts w:hint="eastAsia" w:ascii="华文行楷" w:hAnsi="华文行楷" w:eastAsia="华文行楷" w:cs="华文行楷"/>
          <w:bCs/>
          <w:color w:val="auto"/>
          <w:sz w:val="28"/>
          <w:szCs w:val="28"/>
          <w:highlight w:val="none"/>
        </w:rPr>
        <w:t>广州公共资源交易中心</w:t>
      </w:r>
      <w:r>
        <w:rPr>
          <w:rFonts w:hint="eastAsia" w:ascii="宋体" w:hAnsi="宋体" w:cs="宋体"/>
          <w:bCs/>
          <w:color w:val="auto"/>
          <w:sz w:val="28"/>
          <w:szCs w:val="28"/>
          <w:highlight w:val="none"/>
        </w:rPr>
        <w:t>进行，由招标人或代理机构组织。</w:t>
      </w:r>
    </w:p>
    <w:p>
      <w:pPr>
        <w:pStyle w:val="25"/>
        <w:tabs>
          <w:tab w:val="left" w:pos="1260"/>
          <w:tab w:val="left" w:pos="1620"/>
        </w:tabs>
        <w:spacing w:line="520" w:lineRule="exact"/>
        <w:ind w:firstLine="560" w:firstLineChars="200"/>
        <w:rPr>
          <w:rFonts w:ascii="宋体"/>
          <w:color w:val="auto"/>
          <w:szCs w:val="28"/>
          <w:highlight w:val="none"/>
        </w:rPr>
      </w:pPr>
      <w:r>
        <w:rPr>
          <w:rFonts w:hint="eastAsia" w:ascii="宋体" w:hAnsi="宋体" w:cs="宋体"/>
          <w:color w:val="auto"/>
          <w:kern w:val="0"/>
          <w:szCs w:val="28"/>
          <w:highlight w:val="none"/>
        </w:rPr>
        <w:t>6.2 投标人法定代表人或其授权委托人</w:t>
      </w:r>
      <w:r>
        <w:rPr>
          <w:rFonts w:hint="eastAsia" w:ascii="宋体"/>
          <w:color w:val="auto"/>
          <w:szCs w:val="28"/>
          <w:highlight w:val="none"/>
        </w:rPr>
        <w:t>按时参加（投标单位来人不得超过两人）</w:t>
      </w:r>
      <w:r>
        <w:rPr>
          <w:rFonts w:hint="eastAsia" w:ascii="宋体" w:hAnsi="宋体" w:cs="宋体"/>
          <w:color w:val="auto"/>
          <w:kern w:val="0"/>
          <w:szCs w:val="28"/>
          <w:highlight w:val="none"/>
        </w:rPr>
        <w:t>，</w:t>
      </w:r>
      <w:r>
        <w:rPr>
          <w:rFonts w:hint="eastAsia" w:ascii="宋体"/>
          <w:color w:val="auto"/>
          <w:szCs w:val="28"/>
          <w:highlight w:val="none"/>
        </w:rPr>
        <w:t>投标文件由投标人法定代表人或其授权委托人凭6.2.1或6.2.2条款要求的资料递交，否则招标人及招标代理机构有权拒收投标文件。</w:t>
      </w:r>
    </w:p>
    <w:p>
      <w:pPr>
        <w:pStyle w:val="25"/>
        <w:tabs>
          <w:tab w:val="left" w:pos="1260"/>
          <w:tab w:val="left" w:pos="1620"/>
        </w:tabs>
        <w:spacing w:line="520" w:lineRule="exact"/>
        <w:ind w:left="560" w:firstLine="0"/>
        <w:rPr>
          <w:rFonts w:ascii="宋体"/>
          <w:color w:val="auto"/>
          <w:szCs w:val="28"/>
          <w:highlight w:val="none"/>
        </w:rPr>
      </w:pPr>
      <w:r>
        <w:rPr>
          <w:rFonts w:hint="eastAsia" w:ascii="宋体"/>
          <w:color w:val="auto"/>
          <w:szCs w:val="28"/>
          <w:highlight w:val="none"/>
        </w:rPr>
        <w:t>6.2.1 如法定代表人递交投标文件的，同时提供以下资料：</w:t>
      </w:r>
    </w:p>
    <w:p>
      <w:pPr>
        <w:pStyle w:val="25"/>
        <w:tabs>
          <w:tab w:val="left" w:pos="1260"/>
          <w:tab w:val="left" w:pos="1620"/>
        </w:tabs>
        <w:spacing w:line="520" w:lineRule="exact"/>
        <w:ind w:firstLine="1120" w:firstLineChars="400"/>
        <w:rPr>
          <w:rFonts w:ascii="宋体"/>
          <w:color w:val="auto"/>
          <w:szCs w:val="28"/>
          <w:highlight w:val="none"/>
        </w:rPr>
      </w:pPr>
      <w:r>
        <w:rPr>
          <w:rFonts w:hint="eastAsia" w:ascii="宋体"/>
          <w:color w:val="auto"/>
          <w:szCs w:val="28"/>
          <w:highlight w:val="none"/>
        </w:rPr>
        <w:t>①本人有效身份证原件；</w:t>
      </w:r>
    </w:p>
    <w:p>
      <w:pPr>
        <w:pStyle w:val="25"/>
        <w:tabs>
          <w:tab w:val="left" w:pos="1260"/>
          <w:tab w:val="left" w:pos="1620"/>
        </w:tabs>
        <w:spacing w:line="520" w:lineRule="exact"/>
        <w:ind w:firstLine="1120" w:firstLineChars="400"/>
        <w:rPr>
          <w:rFonts w:ascii="宋体"/>
          <w:color w:val="auto"/>
          <w:szCs w:val="28"/>
          <w:highlight w:val="none"/>
        </w:rPr>
      </w:pPr>
      <w:r>
        <w:rPr>
          <w:rFonts w:hint="eastAsia" w:ascii="宋体"/>
          <w:color w:val="auto"/>
          <w:szCs w:val="28"/>
          <w:highlight w:val="none"/>
        </w:rPr>
        <w:t>②法定代表人证明书原件；</w:t>
      </w:r>
    </w:p>
    <w:p>
      <w:pPr>
        <w:pStyle w:val="25"/>
        <w:tabs>
          <w:tab w:val="left" w:pos="1260"/>
          <w:tab w:val="left" w:pos="1620"/>
        </w:tabs>
        <w:spacing w:line="520" w:lineRule="exact"/>
        <w:ind w:left="561" w:leftChars="267" w:firstLine="560" w:firstLineChars="200"/>
        <w:rPr>
          <w:rFonts w:hint="eastAsia" w:ascii="宋体"/>
          <w:color w:val="auto"/>
          <w:szCs w:val="28"/>
          <w:highlight w:val="none"/>
        </w:rPr>
      </w:pPr>
      <w:r>
        <w:rPr>
          <w:rFonts w:hint="eastAsia" w:ascii="宋体"/>
          <w:color w:val="auto"/>
          <w:szCs w:val="28"/>
          <w:highlight w:val="none"/>
        </w:rPr>
        <w:t>③本人在投标单位缴纳社保的证明原件(注：</w:t>
      </w:r>
      <w:r>
        <w:rPr>
          <w:rFonts w:hint="eastAsia" w:ascii="宋体" w:hAnsi="宋体" w:eastAsia="宋体" w:cs="宋体"/>
          <w:color w:val="auto"/>
          <w:highlight w:val="none"/>
          <w:u w:val="none"/>
          <w:lang w:val="en-US" w:eastAsia="zh-CN"/>
        </w:rPr>
        <w:t>（2023年02月-04月连续三个月</w:t>
      </w:r>
      <w:r>
        <w:rPr>
          <w:rFonts w:hint="eastAsia" w:ascii="宋体"/>
          <w:color w:val="auto"/>
          <w:szCs w:val="28"/>
          <w:highlight w:val="none"/>
        </w:rPr>
        <w:t>的缴费凭证)，该证明文件需加盖当地社保局或税务局印章。如达到法定退休年龄,无法提供该社保证明的，须提供本人与投标单位劳动关系证明；</w:t>
      </w:r>
    </w:p>
    <w:p>
      <w:pPr>
        <w:pStyle w:val="25"/>
        <w:tabs>
          <w:tab w:val="left" w:pos="1260"/>
          <w:tab w:val="left" w:pos="1620"/>
        </w:tabs>
        <w:spacing w:line="520" w:lineRule="exact"/>
        <w:ind w:left="560" w:firstLine="0"/>
        <w:rPr>
          <w:rFonts w:ascii="宋体"/>
          <w:color w:val="auto"/>
          <w:szCs w:val="28"/>
          <w:highlight w:val="none"/>
        </w:rPr>
      </w:pPr>
      <w:r>
        <w:rPr>
          <w:rFonts w:hint="eastAsia" w:ascii="宋体"/>
          <w:color w:val="auto"/>
          <w:szCs w:val="28"/>
          <w:highlight w:val="none"/>
        </w:rPr>
        <w:t>6.2.2 如授权委托人递交投标文件的，同时提供以下资料：</w:t>
      </w:r>
    </w:p>
    <w:p>
      <w:pPr>
        <w:pStyle w:val="25"/>
        <w:tabs>
          <w:tab w:val="left" w:pos="1260"/>
          <w:tab w:val="left" w:pos="1620"/>
        </w:tabs>
        <w:spacing w:line="520" w:lineRule="exact"/>
        <w:ind w:firstLine="1120" w:firstLineChars="400"/>
        <w:rPr>
          <w:rFonts w:ascii="宋体"/>
          <w:color w:val="auto"/>
          <w:szCs w:val="28"/>
          <w:highlight w:val="none"/>
        </w:rPr>
      </w:pPr>
      <w:r>
        <w:rPr>
          <w:rFonts w:hint="eastAsia" w:ascii="宋体"/>
          <w:color w:val="auto"/>
          <w:szCs w:val="28"/>
          <w:highlight w:val="none"/>
        </w:rPr>
        <w:t>①本人有效身份证原件；</w:t>
      </w:r>
    </w:p>
    <w:p>
      <w:pPr>
        <w:pStyle w:val="25"/>
        <w:tabs>
          <w:tab w:val="left" w:pos="1260"/>
          <w:tab w:val="left" w:pos="1620"/>
        </w:tabs>
        <w:spacing w:line="520" w:lineRule="exact"/>
        <w:ind w:firstLine="1120" w:firstLineChars="400"/>
        <w:rPr>
          <w:rFonts w:ascii="宋体"/>
          <w:color w:val="auto"/>
          <w:szCs w:val="28"/>
          <w:highlight w:val="none"/>
        </w:rPr>
      </w:pPr>
      <w:r>
        <w:rPr>
          <w:rFonts w:hint="eastAsia" w:ascii="宋体"/>
          <w:color w:val="auto"/>
          <w:szCs w:val="28"/>
          <w:highlight w:val="none"/>
        </w:rPr>
        <w:t>②法定代表人证明书原件；</w:t>
      </w:r>
    </w:p>
    <w:p>
      <w:pPr>
        <w:pStyle w:val="25"/>
        <w:tabs>
          <w:tab w:val="left" w:pos="1260"/>
          <w:tab w:val="left" w:pos="1620"/>
        </w:tabs>
        <w:spacing w:line="520" w:lineRule="exact"/>
        <w:ind w:firstLine="1120" w:firstLineChars="400"/>
        <w:rPr>
          <w:rFonts w:ascii="宋体"/>
          <w:color w:val="auto"/>
          <w:szCs w:val="28"/>
          <w:highlight w:val="none"/>
        </w:rPr>
      </w:pPr>
      <w:r>
        <w:rPr>
          <w:rFonts w:hint="eastAsia" w:ascii="宋体"/>
          <w:color w:val="auto"/>
          <w:szCs w:val="28"/>
          <w:highlight w:val="none"/>
        </w:rPr>
        <w:t>③被委托人有效授权书原件；</w:t>
      </w:r>
    </w:p>
    <w:p>
      <w:pPr>
        <w:pStyle w:val="25"/>
        <w:tabs>
          <w:tab w:val="left" w:pos="1260"/>
          <w:tab w:val="left" w:pos="1620"/>
        </w:tabs>
        <w:spacing w:line="520" w:lineRule="exact"/>
        <w:ind w:left="561" w:leftChars="267" w:firstLine="560" w:firstLineChars="200"/>
        <w:rPr>
          <w:rFonts w:ascii="宋体"/>
          <w:color w:val="auto"/>
          <w:szCs w:val="28"/>
          <w:highlight w:val="none"/>
        </w:rPr>
      </w:pPr>
      <w:r>
        <w:rPr>
          <w:rFonts w:hint="eastAsia" w:ascii="宋体"/>
          <w:color w:val="auto"/>
          <w:szCs w:val="28"/>
          <w:highlight w:val="none"/>
        </w:rPr>
        <w:t>④本人在投标单位缴纳社保的证明原件(注：（2023年02月-04月连续三个月的缴费凭证)，该证明文件需加盖当地社保局或税务局印章。如达到法定退休年龄,无法提供该社保证明的，须提供本人与投标单位劳动关系证明；</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6.3开标会议由招标人或代理机构组织主持。招标人和代理机构将当众检查、启封所有商务文件，对投标文件是否密封，当场公布核查结果，宣读并纪录投标文件的主要内容。如果投标人法定代表人或其授权委托人递交投标文件后不参加开标会议的，则视同投标人默认开标会议结果。</w:t>
      </w:r>
    </w:p>
    <w:p>
      <w:pPr>
        <w:spacing w:line="520" w:lineRule="exact"/>
        <w:ind w:left="960" w:leftChars="267" w:hanging="399" w:hangingChars="14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6.4中标方法</w:t>
      </w:r>
    </w:p>
    <w:p>
      <w:pPr>
        <w:spacing w:line="520" w:lineRule="exact"/>
        <w:ind w:left="956" w:leftChars="266" w:hanging="397" w:hangingChars="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6.4.1确定有效标：详见第四部分评标方法。</w:t>
      </w:r>
    </w:p>
    <w:p>
      <w:pPr>
        <w:spacing w:line="520" w:lineRule="exact"/>
        <w:ind w:left="956" w:leftChars="266" w:hanging="397" w:hangingChars="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6.4.2确定中标办法：详见第四部分评标方法。</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6.4.3中标候选人公示</w:t>
      </w:r>
      <w:r>
        <w:rPr>
          <w:rFonts w:hint="eastAsia" w:ascii="宋体" w:hAnsi="宋体" w:cs="宋体"/>
          <w:color w:val="auto"/>
          <w:kern w:val="0"/>
          <w:sz w:val="28"/>
          <w:szCs w:val="28"/>
          <w:highlight w:val="none"/>
          <w:u w:val="single"/>
        </w:rPr>
        <w:t>3</w:t>
      </w:r>
      <w:r>
        <w:rPr>
          <w:rFonts w:hint="eastAsia" w:ascii="宋体" w:hAnsi="宋体" w:cs="宋体"/>
          <w:color w:val="auto"/>
          <w:kern w:val="0"/>
          <w:sz w:val="28"/>
          <w:szCs w:val="28"/>
          <w:highlight w:val="none"/>
        </w:rPr>
        <w:t>日（最后一日为工作日），如在公示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招标人没有义务向未中标的投标人解释不中标的理由。期间有接到异议的，经核实若存在与本招标文件废标条件相符的，可废除其中标资格；如有弄虚作假行为，除废除中标资格外，自愿接受在一年内不得进入</w:t>
      </w:r>
      <w:r>
        <w:rPr>
          <w:rFonts w:hint="eastAsia" w:ascii="华文行楷" w:hAnsi="华文行楷" w:eastAsia="华文行楷" w:cs="华文行楷"/>
          <w:color w:val="auto"/>
          <w:kern w:val="0"/>
          <w:sz w:val="28"/>
          <w:szCs w:val="28"/>
          <w:highlight w:val="none"/>
        </w:rPr>
        <w:t>广州公共资源交易中心</w:t>
      </w:r>
      <w:r>
        <w:rPr>
          <w:rFonts w:hint="eastAsia" w:ascii="宋体" w:hAnsi="宋体" w:cs="宋体"/>
          <w:color w:val="auto"/>
          <w:kern w:val="0"/>
          <w:sz w:val="28"/>
          <w:szCs w:val="28"/>
          <w:highlight w:val="none"/>
        </w:rPr>
        <w:t>投标的处理。招标人没有义务向未中标的投标人解释不中标的理由。</w:t>
      </w:r>
    </w:p>
    <w:p>
      <w:pPr>
        <w:spacing w:line="520" w:lineRule="exact"/>
        <w:ind w:firstLine="565" w:firstLineChars="202"/>
        <w:rPr>
          <w:rFonts w:ascii="宋体" w:hAnsi="宋体" w:cs="宋体"/>
          <w:color w:val="auto"/>
          <w:kern w:val="0"/>
          <w:sz w:val="28"/>
          <w:szCs w:val="28"/>
          <w:highlight w:val="none"/>
        </w:rPr>
      </w:pPr>
      <w:r>
        <w:rPr>
          <w:rFonts w:hint="eastAsia" w:ascii="宋体" w:hAnsi="宋体" w:cs="宋体"/>
          <w:color w:val="auto"/>
          <w:kern w:val="0"/>
          <w:sz w:val="28"/>
          <w:szCs w:val="28"/>
          <w:highlight w:val="none"/>
        </w:rPr>
        <w:t>6.5开标和评标整个过程严格按照相关法律、法规执行，投标人不得对招标人和评标委员会施加影响，违者取消其投标资格；招标人和评标小组成员不得就有关评标内容、资料向投标人或评标无关人员泄露，违者追究相关责任。</w:t>
      </w:r>
    </w:p>
    <w:p>
      <w:pPr>
        <w:pStyle w:val="4"/>
        <w:spacing w:before="0" w:after="0" w:line="520" w:lineRule="exact"/>
        <w:ind w:firstLine="643" w:firstLineChars="200"/>
        <w:rPr>
          <w:rFonts w:ascii="宋体" w:hAnsi="宋体" w:eastAsia="宋体" w:cs="宋体"/>
          <w:color w:val="auto"/>
          <w:highlight w:val="none"/>
        </w:rPr>
      </w:pPr>
      <w:bookmarkStart w:id="20" w:name="_Toc57042139"/>
      <w:bookmarkStart w:id="21" w:name="_Toc341432811"/>
      <w:r>
        <w:rPr>
          <w:rFonts w:hint="eastAsia" w:ascii="宋体" w:hAnsi="宋体" w:eastAsia="宋体" w:cs="宋体"/>
          <w:color w:val="auto"/>
          <w:highlight w:val="none"/>
        </w:rPr>
        <w:t>7.监理费的支付</w:t>
      </w:r>
      <w:bookmarkEnd w:id="20"/>
      <w:bookmarkEnd w:id="21"/>
    </w:p>
    <w:p>
      <w:p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按合同条款支付。</w:t>
      </w:r>
    </w:p>
    <w:p>
      <w:pPr>
        <w:pStyle w:val="4"/>
        <w:spacing w:before="0" w:after="0" w:line="520" w:lineRule="exact"/>
        <w:ind w:firstLine="643" w:firstLineChars="200"/>
        <w:rPr>
          <w:rFonts w:ascii="宋体" w:hAnsi="宋体" w:eastAsia="宋体" w:cs="宋体"/>
          <w:color w:val="auto"/>
          <w:highlight w:val="none"/>
        </w:rPr>
      </w:pPr>
      <w:bookmarkStart w:id="22" w:name="_Toc57042140"/>
      <w:bookmarkStart w:id="23" w:name="_Toc341432812"/>
      <w:r>
        <w:rPr>
          <w:rFonts w:hint="eastAsia" w:ascii="宋体" w:hAnsi="宋体" w:eastAsia="宋体" w:cs="宋体"/>
          <w:color w:val="auto"/>
          <w:highlight w:val="none"/>
        </w:rPr>
        <w:t>8.监理费结算按如下办法确定：</w:t>
      </w:r>
      <w:bookmarkEnd w:id="22"/>
      <w:bookmarkEnd w:id="23"/>
    </w:p>
    <w:p>
      <w:pPr>
        <w:pStyle w:val="26"/>
        <w:spacing w:line="520" w:lineRule="exact"/>
        <w:ind w:firstLine="560" w:firstLineChars="200"/>
        <w:rPr>
          <w:color w:val="auto"/>
          <w:highlight w:val="none"/>
        </w:rPr>
      </w:pPr>
      <w:bookmarkStart w:id="24" w:name="_Toc341432813"/>
      <w:bookmarkStart w:id="25" w:name="_Toc57042142"/>
      <w:r>
        <w:rPr>
          <w:rFonts w:hint="eastAsia" w:ascii="华文行楷" w:hAnsi="等线" w:eastAsia="华文行楷" w:cs="Times New Roman"/>
          <w:b w:val="0"/>
          <w:iCs/>
          <w:color w:val="auto"/>
          <w:kern w:val="2"/>
          <w:sz w:val="28"/>
          <w:szCs w:val="28"/>
          <w:highlight w:val="none"/>
          <w:u w:val="none"/>
          <w:lang w:val="en-US" w:eastAsia="zh-CN" w:bidi="ar-SA"/>
        </w:rPr>
        <w:t>监理费包括了承担全部工程的实施、完成及其缺陷修复等监理合同责任的总花费和监理人因监理本合同工程需缴纳的一切税费，并包括为工程顺利进行按照国家现行有关建设工程规范、规程和技术标准要求必须配套完成的工作内容所需的费用。中标单位所投的报价为签订工程监理合同的依据，投标人投报监理费浮动系数作为监理服务费结算的依据。若施工工期延长，则监理期限顺延，不增加监理报酬。监理服务费结算时根据合同约定扣除应扣的款项（如：罚款、违约金、赔偿款等）。因国家政策变化、政府对工程的计划调整或不可抗力等非委托人主观原因造成工程停建的，则投标人必须终止相应工程的服务并积极配合委托人做好善后工作，按已实际完成的建安工程费（并经湛江市财政部门或第三方造价咨询机构最终审定的已完建安工程结算价）为计费额，监理服务费按监理合同约定的计算方法结算监理费，投标人不得要求额外的费用及任何形式的补偿。</w:t>
      </w:r>
    </w:p>
    <w:p>
      <w:pPr>
        <w:spacing w:line="520" w:lineRule="exact"/>
        <w:ind w:firstLine="560"/>
        <w:rPr>
          <w:rFonts w:ascii="宋体" w:hAnsi="宋体" w:cs="宋体"/>
          <w:b/>
          <w:bCs/>
          <w:color w:val="auto"/>
          <w:sz w:val="32"/>
          <w:szCs w:val="32"/>
          <w:highlight w:val="none"/>
        </w:rPr>
      </w:pPr>
      <w:r>
        <w:rPr>
          <w:rFonts w:hint="eastAsia" w:ascii="宋体" w:hAnsi="宋体" w:cs="宋体"/>
          <w:b/>
          <w:bCs/>
          <w:color w:val="auto"/>
          <w:sz w:val="32"/>
          <w:szCs w:val="32"/>
          <w:highlight w:val="none"/>
        </w:rPr>
        <w:t>9. 签订合同</w:t>
      </w:r>
      <w:bookmarkEnd w:id="24"/>
      <w:bookmarkEnd w:id="25"/>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9.1 招标人和中标人应当自中标通知书发出之日起</w:t>
      </w:r>
      <w:r>
        <w:rPr>
          <w:rFonts w:hint="eastAsia" w:ascii="宋体" w:hAnsi="宋体" w:cs="宋体"/>
          <w:color w:val="auto"/>
          <w:kern w:val="0"/>
          <w:sz w:val="28"/>
          <w:szCs w:val="28"/>
          <w:highlight w:val="none"/>
          <w:u w:val="single"/>
          <w:lang w:val="en-US" w:eastAsia="zh-CN"/>
        </w:rPr>
        <w:t>1</w:t>
      </w:r>
      <w:r>
        <w:rPr>
          <w:rFonts w:hint="eastAsia" w:ascii="宋体" w:hAnsi="宋体" w:cs="宋体"/>
          <w:color w:val="auto"/>
          <w:kern w:val="0"/>
          <w:sz w:val="28"/>
          <w:szCs w:val="28"/>
          <w:highlight w:val="none"/>
          <w:u w:val="single"/>
        </w:rPr>
        <w:t>0</w:t>
      </w:r>
      <w:r>
        <w:rPr>
          <w:rFonts w:hint="eastAsia" w:ascii="宋体" w:hAnsi="宋体" w:cs="宋体"/>
          <w:color w:val="auto"/>
          <w:kern w:val="0"/>
          <w:sz w:val="28"/>
          <w:szCs w:val="28"/>
          <w:highlight w:val="none"/>
        </w:rPr>
        <w:t>日内，根据招标文件和中标人的投标文件，参照中华人民共和国建设部和国家工商行政管理局制定的《建设工程委托监理合同》（GF—2012—0202）（若国家建设行政</w:t>
      </w:r>
      <w:r>
        <w:rPr>
          <w:rFonts w:hint="eastAsia" w:ascii="宋体"/>
          <w:color w:val="auto"/>
          <w:sz w:val="28"/>
          <w:szCs w:val="28"/>
          <w:highlight w:val="none"/>
        </w:rPr>
        <w:t>主管部门有新示范文本，则按新示范文本执行）订立书面合同，不能再签订背离合同实质性内容的其他协议。</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9.2中标人在签订合同时对上述文件有异议或增加招标文件外的要求，不愿遵照执行招标文件的条款时，招标人有权没收其投标保证金，取消其中标资格，</w:t>
      </w:r>
      <w:r>
        <w:rPr>
          <w:rFonts w:hint="eastAsia" w:cs="宋体"/>
          <w:color w:val="auto"/>
          <w:sz w:val="28"/>
          <w:szCs w:val="28"/>
          <w:highlight w:val="none"/>
        </w:rPr>
        <w:t>确认评标结果排位第二名的投标人为中标单位</w:t>
      </w:r>
      <w:r>
        <w:rPr>
          <w:rFonts w:hint="eastAsia" w:ascii="宋体" w:hAnsi="宋体" w:cs="宋体"/>
          <w:color w:val="auto"/>
          <w:kern w:val="0"/>
          <w:sz w:val="28"/>
          <w:szCs w:val="28"/>
          <w:highlight w:val="none"/>
        </w:rPr>
        <w:t>或重新组织招标。</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9.3招标人和中标人将在自中标通知书发出之日起</w:t>
      </w:r>
      <w:r>
        <w:rPr>
          <w:rFonts w:hint="eastAsia" w:ascii="宋体"/>
          <w:color w:val="auto"/>
          <w:sz w:val="28"/>
          <w:szCs w:val="28"/>
          <w:highlight w:val="none"/>
          <w:u w:val="single"/>
          <w:lang w:val="en-US" w:eastAsia="zh-CN"/>
        </w:rPr>
        <w:t>1</w:t>
      </w:r>
      <w:r>
        <w:rPr>
          <w:rFonts w:hint="eastAsia" w:ascii="宋体"/>
          <w:color w:val="auto"/>
          <w:sz w:val="28"/>
          <w:szCs w:val="28"/>
          <w:highlight w:val="none"/>
          <w:u w:val="single"/>
        </w:rPr>
        <w:t>0</w:t>
      </w:r>
      <w:r>
        <w:rPr>
          <w:rFonts w:hint="eastAsia" w:ascii="宋体"/>
          <w:color w:val="auto"/>
          <w:sz w:val="28"/>
          <w:szCs w:val="28"/>
          <w:highlight w:val="none"/>
        </w:rPr>
        <w:t>日</w:t>
      </w:r>
      <w:r>
        <w:rPr>
          <w:rFonts w:hint="eastAsia" w:ascii="宋体" w:hAnsi="宋体" w:cs="宋体"/>
          <w:color w:val="auto"/>
          <w:kern w:val="0"/>
          <w:sz w:val="28"/>
          <w:szCs w:val="28"/>
          <w:highlight w:val="none"/>
        </w:rPr>
        <w:t>内，按照招标文件和中标人的投标文件订立书面合同。若因中标人原因不能在</w:t>
      </w:r>
      <w:r>
        <w:rPr>
          <w:rFonts w:hint="eastAsia" w:ascii="宋体"/>
          <w:color w:val="auto"/>
          <w:sz w:val="28"/>
          <w:szCs w:val="28"/>
          <w:highlight w:val="none"/>
          <w:u w:val="single"/>
          <w:lang w:val="en-US" w:eastAsia="zh-CN"/>
        </w:rPr>
        <w:t>1</w:t>
      </w:r>
      <w:r>
        <w:rPr>
          <w:rFonts w:hint="eastAsia" w:ascii="宋体"/>
          <w:color w:val="auto"/>
          <w:sz w:val="28"/>
          <w:szCs w:val="28"/>
          <w:highlight w:val="none"/>
          <w:u w:val="single"/>
        </w:rPr>
        <w:t>0</w:t>
      </w:r>
      <w:r>
        <w:rPr>
          <w:rFonts w:hint="eastAsia" w:ascii="宋体" w:hAnsi="宋体" w:cs="宋体"/>
          <w:color w:val="auto"/>
          <w:kern w:val="0"/>
          <w:sz w:val="28"/>
          <w:szCs w:val="28"/>
          <w:highlight w:val="none"/>
        </w:rPr>
        <w:t>天内与业主签订书面合同，招标人将取消其中标资格，并确认第二中标候选人为中标人或重新组织招标。</w:t>
      </w:r>
    </w:p>
    <w:p>
      <w:pPr>
        <w:pStyle w:val="4"/>
        <w:spacing w:before="0" w:after="0" w:line="520" w:lineRule="exact"/>
        <w:ind w:firstLine="643" w:firstLineChars="200"/>
        <w:rPr>
          <w:rFonts w:ascii="宋体" w:hAnsi="宋体" w:eastAsia="宋体" w:cs="宋体"/>
          <w:color w:val="auto"/>
          <w:highlight w:val="none"/>
        </w:rPr>
      </w:pPr>
      <w:bookmarkStart w:id="26" w:name="_Toc341432814"/>
      <w:bookmarkStart w:id="27" w:name="_Toc57042143"/>
      <w:r>
        <w:rPr>
          <w:rFonts w:hint="eastAsia" w:ascii="宋体" w:hAnsi="宋体" w:eastAsia="宋体" w:cs="宋体"/>
          <w:color w:val="auto"/>
          <w:highlight w:val="none"/>
        </w:rPr>
        <w:t>10.投标文件编制</w:t>
      </w:r>
      <w:bookmarkEnd w:id="26"/>
      <w:bookmarkEnd w:id="27"/>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10.1投标文件的语言。投标文件以及投标人与招标人间有关投标的来往文书均使用中文。</w:t>
      </w:r>
    </w:p>
    <w:p>
      <w:pPr>
        <w:spacing w:line="520" w:lineRule="exact"/>
        <w:ind w:firstLine="562" w:firstLineChars="200"/>
        <w:rPr>
          <w:rFonts w:hint="eastAsia" w:ascii="宋体" w:hAnsi="宋体" w:cs="宋体"/>
          <w:color w:val="auto"/>
          <w:sz w:val="28"/>
          <w:szCs w:val="28"/>
          <w:highlight w:val="none"/>
        </w:rPr>
      </w:pPr>
      <w:r>
        <w:rPr>
          <w:rFonts w:hint="eastAsia" w:ascii="仿宋" w:hAnsi="仿宋" w:eastAsia="仿宋" w:cs="宋体"/>
          <w:b/>
          <w:bCs/>
          <w:color w:val="auto"/>
          <w:kern w:val="0"/>
          <w:sz w:val="28"/>
          <w:szCs w:val="28"/>
          <w:highlight w:val="none"/>
        </w:rPr>
        <w:t>10.2</w:t>
      </w:r>
      <w:r>
        <w:rPr>
          <w:rFonts w:hint="eastAsia" w:ascii="仿宋" w:hAnsi="仿宋" w:eastAsia="仿宋"/>
          <w:b/>
          <w:bCs/>
          <w:color w:val="auto"/>
          <w:sz w:val="28"/>
          <w:szCs w:val="28"/>
          <w:highlight w:val="none"/>
        </w:rPr>
        <w:t xml:space="preserve"> </w:t>
      </w:r>
      <w:r>
        <w:rPr>
          <w:rFonts w:hint="eastAsia" w:ascii="宋体" w:hAnsi="宋体" w:cs="宋体"/>
          <w:b/>
          <w:bCs/>
          <w:color w:val="auto"/>
          <w:kern w:val="0"/>
          <w:sz w:val="28"/>
          <w:szCs w:val="28"/>
          <w:highlight w:val="none"/>
        </w:rPr>
        <w:t>商务文件的组成</w:t>
      </w:r>
      <w:r>
        <w:rPr>
          <w:rFonts w:hint="eastAsia" w:ascii="宋体" w:hAnsi="宋体" w:cs="宋体"/>
          <w:b/>
          <w:color w:val="auto"/>
          <w:sz w:val="28"/>
          <w:szCs w:val="28"/>
          <w:highlight w:val="none"/>
        </w:rPr>
        <w:t>（所有复印件或网络打印证件必须加盖投标单位公章,需要年审的证件必须经有关行政主管部门年审合格才有效,如到期未年审,必须附有关行政主管部门未组织年审的说明,否则视做无效证件）：</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10.2.1</w:t>
      </w:r>
      <w:r>
        <w:rPr>
          <w:rFonts w:hint="eastAsia" w:ascii="宋体"/>
          <w:color w:val="auto"/>
          <w:sz w:val="28"/>
          <w:szCs w:val="28"/>
          <w:highlight w:val="none"/>
        </w:rPr>
        <w:t xml:space="preserve"> </w:t>
      </w:r>
      <w:r>
        <w:rPr>
          <w:rFonts w:hint="eastAsia" w:ascii="宋体" w:hAnsi="宋体" w:cs="宋体"/>
          <w:color w:val="auto"/>
          <w:kern w:val="0"/>
          <w:sz w:val="28"/>
          <w:szCs w:val="28"/>
          <w:highlight w:val="none"/>
        </w:rPr>
        <w:t>投标人的法人营业执照副本复印件或含二维码的电子证照打印证件；</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10.2.2 投标人的监理资质证书副本复印件或含二维码的电子证照打印证件；</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10.2.3 投标人</w:t>
      </w:r>
      <w:r>
        <w:rPr>
          <w:rFonts w:ascii="宋体" w:hAnsi="宋体" w:cs="宋体"/>
          <w:color w:val="auto"/>
          <w:kern w:val="0"/>
          <w:sz w:val="28"/>
          <w:szCs w:val="28"/>
          <w:highlight w:val="none"/>
        </w:rPr>
        <w:t>基本账户</w:t>
      </w:r>
      <w:r>
        <w:rPr>
          <w:rFonts w:hint="eastAsia" w:ascii="宋体" w:hAnsi="宋体" w:cs="宋体"/>
          <w:color w:val="auto"/>
          <w:kern w:val="0"/>
          <w:sz w:val="28"/>
          <w:szCs w:val="28"/>
          <w:highlight w:val="none"/>
        </w:rPr>
        <w:t>开户银行出具的《基本账户信息》复印件或基本账户开户许可证复印件（如果基本账户账号变更，还必须提供开户行出具的有效账号变更证明）；</w:t>
      </w:r>
    </w:p>
    <w:p>
      <w:pPr>
        <w:pStyle w:val="25"/>
        <w:spacing w:line="520" w:lineRule="exact"/>
        <w:ind w:firstLine="560" w:firstLineChars="200"/>
        <w:rPr>
          <w:rFonts w:ascii="宋体" w:hAnsi="宋体" w:cs="宋体"/>
          <w:color w:val="auto"/>
          <w:kern w:val="0"/>
          <w:szCs w:val="28"/>
          <w:highlight w:val="none"/>
        </w:rPr>
      </w:pPr>
      <w:r>
        <w:rPr>
          <w:rFonts w:hint="eastAsia" w:ascii="宋体" w:hAnsi="宋体" w:cs="宋体"/>
          <w:color w:val="auto"/>
          <w:kern w:val="0"/>
          <w:szCs w:val="28"/>
          <w:highlight w:val="none"/>
        </w:rPr>
        <w:t xml:space="preserve">10.2.4 </w:t>
      </w:r>
      <w:r>
        <w:rPr>
          <w:rFonts w:hint="eastAsia" w:ascii="宋体"/>
          <w:color w:val="auto"/>
          <w:szCs w:val="28"/>
          <w:highlight w:val="none"/>
        </w:rPr>
        <w:t>投标人经基本户汇出的</w:t>
      </w:r>
      <w:r>
        <w:rPr>
          <w:rFonts w:ascii="宋体"/>
          <w:color w:val="auto"/>
          <w:szCs w:val="28"/>
          <w:highlight w:val="none"/>
        </w:rPr>
        <w:t>投标保证金</w:t>
      </w:r>
      <w:r>
        <w:rPr>
          <w:rFonts w:hint="eastAsia" w:ascii="宋体"/>
          <w:color w:val="auto"/>
          <w:szCs w:val="28"/>
          <w:highlight w:val="none"/>
        </w:rPr>
        <w:t>银行</w:t>
      </w:r>
      <w:r>
        <w:rPr>
          <w:rFonts w:ascii="宋体"/>
          <w:color w:val="auto"/>
          <w:szCs w:val="28"/>
          <w:highlight w:val="none"/>
        </w:rPr>
        <w:t>汇款凭证</w:t>
      </w:r>
      <w:r>
        <w:rPr>
          <w:rFonts w:hint="eastAsia" w:ascii="宋体" w:hAnsi="宋体" w:cs="宋体"/>
          <w:color w:val="auto"/>
          <w:kern w:val="0"/>
          <w:szCs w:val="28"/>
          <w:highlight w:val="none"/>
        </w:rPr>
        <w:t>复印件</w:t>
      </w:r>
      <w:r>
        <w:rPr>
          <w:rFonts w:hint="eastAsia" w:ascii="宋体"/>
          <w:color w:val="auto"/>
          <w:szCs w:val="28"/>
          <w:highlight w:val="none"/>
        </w:rPr>
        <w:t>或</w:t>
      </w:r>
      <w:r>
        <w:rPr>
          <w:rFonts w:ascii="宋体" w:hAnsi="宋体"/>
          <w:color w:val="auto"/>
          <w:szCs w:val="28"/>
          <w:highlight w:val="none"/>
        </w:rPr>
        <w:t>投标保证金</w:t>
      </w:r>
      <w:r>
        <w:rPr>
          <w:rFonts w:hint="eastAsia" w:ascii="宋体" w:hAnsi="宋体"/>
          <w:color w:val="auto"/>
          <w:szCs w:val="28"/>
          <w:highlight w:val="none"/>
        </w:rPr>
        <w:t>（银行保函）原件</w:t>
      </w:r>
      <w:r>
        <w:rPr>
          <w:rFonts w:ascii="宋体"/>
          <w:color w:val="auto"/>
          <w:szCs w:val="28"/>
          <w:highlight w:val="none"/>
        </w:rPr>
        <w:t>；</w:t>
      </w:r>
    </w:p>
    <w:p>
      <w:pPr>
        <w:spacing w:line="520" w:lineRule="exact"/>
        <w:ind w:left="4" w:firstLine="607" w:firstLineChars="217"/>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10.2.</w:t>
      </w:r>
      <w:r>
        <w:rPr>
          <w:rFonts w:hint="eastAsia" w:ascii="宋体" w:hAnsi="宋体" w:cs="宋体"/>
          <w:color w:val="auto"/>
          <w:kern w:val="0"/>
          <w:sz w:val="28"/>
          <w:szCs w:val="28"/>
          <w:highlight w:val="none"/>
          <w:lang w:val="en-US" w:eastAsia="zh-CN"/>
        </w:rPr>
        <w:t xml:space="preserve">5 </w:t>
      </w:r>
      <w:r>
        <w:rPr>
          <w:rFonts w:hint="eastAsia" w:ascii="宋体" w:hAnsi="宋体" w:cs="宋体"/>
          <w:color w:val="auto"/>
          <w:kern w:val="0"/>
          <w:sz w:val="28"/>
          <w:szCs w:val="28"/>
          <w:highlight w:val="none"/>
        </w:rPr>
        <w:t>总监理工程师注册证书复印件或含二维码的网络打印证件</w:t>
      </w:r>
      <w:r>
        <w:rPr>
          <w:rFonts w:hint="eastAsia" w:ascii="宋体" w:hAnsi="宋体" w:cs="宋体"/>
          <w:color w:val="auto"/>
          <w:kern w:val="0"/>
          <w:sz w:val="28"/>
          <w:szCs w:val="28"/>
          <w:highlight w:val="none"/>
          <w:lang w:val="en-US" w:eastAsia="zh-CN"/>
        </w:rPr>
        <w:t>、身份证复印件及2023年02月-04月连续三个月的社保缴纳证明复印件</w:t>
      </w:r>
      <w:r>
        <w:rPr>
          <w:rFonts w:hint="eastAsia" w:ascii="宋体" w:hAnsi="宋体" w:cs="宋体"/>
          <w:color w:val="auto"/>
          <w:kern w:val="0"/>
          <w:sz w:val="28"/>
          <w:szCs w:val="28"/>
          <w:highlight w:val="none"/>
        </w:rPr>
        <w:t>；</w:t>
      </w:r>
    </w:p>
    <w:p>
      <w:pPr>
        <w:spacing w:line="520" w:lineRule="exact"/>
        <w:ind w:left="4" w:firstLine="607" w:firstLineChars="217"/>
        <w:rPr>
          <w:color w:val="auto"/>
          <w:highlight w:val="none"/>
        </w:rPr>
      </w:pPr>
      <w:r>
        <w:rPr>
          <w:rFonts w:hint="eastAsia" w:ascii="宋体" w:hAnsi="宋体" w:cs="宋体"/>
          <w:color w:val="auto"/>
          <w:kern w:val="0"/>
          <w:sz w:val="28"/>
          <w:szCs w:val="28"/>
          <w:highlight w:val="none"/>
        </w:rPr>
        <w:t>1</w:t>
      </w:r>
      <w:r>
        <w:rPr>
          <w:rFonts w:ascii="宋体" w:hAnsi="宋体" w:cs="宋体"/>
          <w:color w:val="auto"/>
          <w:kern w:val="0"/>
          <w:sz w:val="28"/>
          <w:szCs w:val="28"/>
          <w:highlight w:val="none"/>
        </w:rPr>
        <w:t>0.2.</w:t>
      </w:r>
      <w:r>
        <w:rPr>
          <w:rFonts w:hint="eastAsia" w:ascii="宋体" w:hAnsi="宋体" w:cs="宋体"/>
          <w:color w:val="auto"/>
          <w:kern w:val="0"/>
          <w:sz w:val="28"/>
          <w:szCs w:val="28"/>
          <w:highlight w:val="none"/>
          <w:lang w:val="en-US" w:eastAsia="zh-CN"/>
        </w:rPr>
        <w:t>6</w:t>
      </w:r>
      <w:r>
        <w:rPr>
          <w:rFonts w:ascii="宋体" w:hAnsi="宋体" w:cs="宋体"/>
          <w:color w:val="auto"/>
          <w:kern w:val="0"/>
          <w:sz w:val="28"/>
          <w:szCs w:val="28"/>
          <w:highlight w:val="none"/>
        </w:rPr>
        <w:t xml:space="preserve"> 在“中国执行信息公开网”网站（http://zxgk.court.gov.cn/shixin/)中未被列入失信被执行人名单的截图，在国家企业信用信息公示系统（www.gsxt.gov.cn）中未被列入严重违法失信企业名单的截图（截图上须体现查询时间，查询时间为本项目公告发布之日起查询结果有效）。</w:t>
      </w:r>
    </w:p>
    <w:p>
      <w:pPr>
        <w:spacing w:line="520" w:lineRule="exact"/>
        <w:ind w:left="956" w:leftChars="266" w:hanging="397" w:hangingChars="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10.2.</w:t>
      </w:r>
      <w:r>
        <w:rPr>
          <w:rFonts w:hint="eastAsia" w:ascii="宋体" w:hAnsi="宋体" w:cs="宋体"/>
          <w:color w:val="auto"/>
          <w:kern w:val="0"/>
          <w:sz w:val="28"/>
          <w:szCs w:val="28"/>
          <w:highlight w:val="none"/>
          <w:lang w:val="en-US" w:eastAsia="zh-CN"/>
        </w:rPr>
        <w:t>7</w:t>
      </w:r>
      <w:r>
        <w:rPr>
          <w:rFonts w:hint="eastAsia" w:ascii="宋体" w:hAnsi="宋体" w:cs="宋体"/>
          <w:color w:val="auto"/>
          <w:kern w:val="0"/>
          <w:sz w:val="28"/>
          <w:szCs w:val="28"/>
          <w:highlight w:val="none"/>
        </w:rPr>
        <w:t xml:space="preserve"> 工程监理投标报价书（投标格式一）；</w:t>
      </w:r>
    </w:p>
    <w:p>
      <w:pPr>
        <w:spacing w:line="520" w:lineRule="exact"/>
        <w:ind w:left="956" w:leftChars="266" w:hanging="397" w:hangingChars="142"/>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10.2.</w:t>
      </w:r>
      <w:r>
        <w:rPr>
          <w:rFonts w:hint="eastAsia" w:ascii="宋体" w:hAnsi="宋体" w:cs="宋体"/>
          <w:color w:val="auto"/>
          <w:kern w:val="0"/>
          <w:sz w:val="28"/>
          <w:szCs w:val="28"/>
          <w:highlight w:val="none"/>
          <w:lang w:val="en-US" w:eastAsia="zh-CN"/>
        </w:rPr>
        <w:t>8</w:t>
      </w:r>
      <w:r>
        <w:rPr>
          <w:rFonts w:hint="eastAsia" w:ascii="宋体" w:hAnsi="宋体" w:cs="宋体"/>
          <w:color w:val="auto"/>
          <w:kern w:val="0"/>
          <w:sz w:val="28"/>
          <w:szCs w:val="28"/>
          <w:highlight w:val="none"/>
        </w:rPr>
        <w:t xml:space="preserve"> 总监理工程师简历表（投标格式二）；</w:t>
      </w:r>
    </w:p>
    <w:p>
      <w:pPr>
        <w:spacing w:line="520" w:lineRule="exact"/>
        <w:ind w:left="956" w:leftChars="266" w:hanging="397" w:hangingChars="142"/>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10.2.</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 xml:space="preserve"> 拟委派本项目驻场监理机构人员一览表（投标格式三）；</w:t>
      </w:r>
    </w:p>
    <w:p>
      <w:pPr>
        <w:spacing w:line="520" w:lineRule="exact"/>
        <w:ind w:left="956" w:leftChars="266" w:hanging="397" w:hangingChars="142"/>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10.</w:t>
      </w:r>
      <w:r>
        <w:rPr>
          <w:rFonts w:hint="eastAsia" w:ascii="宋体" w:hAnsi="宋体" w:cs="宋体"/>
          <w:color w:val="auto"/>
          <w:kern w:val="0"/>
          <w:sz w:val="28"/>
          <w:szCs w:val="28"/>
          <w:highlight w:val="none"/>
          <w:lang w:val="en-US" w:eastAsia="zh-CN"/>
        </w:rPr>
        <w:t>2</w:t>
      </w: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val="en-US" w:eastAsia="zh-CN"/>
        </w:rPr>
        <w:t>0</w:t>
      </w:r>
      <w:r>
        <w:rPr>
          <w:rFonts w:hint="eastAsia" w:ascii="宋体" w:hAnsi="宋体" w:cs="宋体"/>
          <w:color w:val="auto"/>
          <w:kern w:val="0"/>
          <w:sz w:val="28"/>
          <w:szCs w:val="28"/>
          <w:highlight w:val="none"/>
        </w:rPr>
        <w:t xml:space="preserve"> </w:t>
      </w:r>
      <w:r>
        <w:rPr>
          <w:rFonts w:hint="eastAsia" w:ascii="宋体" w:hAnsi="宋体" w:cs="宋体"/>
          <w:color w:val="auto"/>
          <w:kern w:val="0"/>
          <w:sz w:val="28"/>
          <w:szCs w:val="28"/>
          <w:highlight w:val="none"/>
          <w:lang w:val="en-US" w:eastAsia="zh-CN"/>
        </w:rPr>
        <w:t>投标承诺函</w:t>
      </w:r>
      <w:r>
        <w:rPr>
          <w:rFonts w:hint="eastAsia" w:ascii="宋体" w:hAnsi="宋体" w:cs="宋体"/>
          <w:color w:val="auto"/>
          <w:kern w:val="0"/>
          <w:sz w:val="28"/>
          <w:szCs w:val="28"/>
          <w:highlight w:val="none"/>
        </w:rPr>
        <w:t>（投标格式四）；</w:t>
      </w:r>
    </w:p>
    <w:p>
      <w:pPr>
        <w:spacing w:line="520" w:lineRule="exact"/>
        <w:ind w:left="956" w:leftChars="266" w:hanging="397" w:hangingChars="142"/>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10.2.11廉洁承诺书</w:t>
      </w:r>
      <w:r>
        <w:rPr>
          <w:rFonts w:hint="eastAsia" w:ascii="宋体" w:hAnsi="宋体" w:cs="宋体"/>
          <w:color w:val="auto"/>
          <w:kern w:val="0"/>
          <w:sz w:val="28"/>
          <w:szCs w:val="28"/>
          <w:highlight w:val="none"/>
        </w:rPr>
        <w:t>（投标格式五）；</w:t>
      </w:r>
    </w:p>
    <w:p>
      <w:pPr>
        <w:spacing w:line="520" w:lineRule="exact"/>
        <w:ind w:left="956" w:leftChars="266" w:hanging="397" w:hangingChars="142"/>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10.</w:t>
      </w:r>
      <w:r>
        <w:rPr>
          <w:rFonts w:hint="eastAsia" w:ascii="宋体" w:hAnsi="宋体" w:cs="宋体"/>
          <w:color w:val="auto"/>
          <w:kern w:val="0"/>
          <w:sz w:val="28"/>
          <w:szCs w:val="28"/>
          <w:highlight w:val="none"/>
          <w:lang w:val="en-US" w:eastAsia="zh-CN"/>
        </w:rPr>
        <w:t>2</w:t>
      </w: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val="en-US" w:eastAsia="zh-CN"/>
        </w:rPr>
        <w:t>2</w:t>
      </w:r>
      <w:r>
        <w:rPr>
          <w:rFonts w:hint="eastAsia" w:ascii="宋体" w:hAnsi="宋体" w:cs="宋体"/>
          <w:color w:val="auto"/>
          <w:kern w:val="0"/>
          <w:sz w:val="28"/>
          <w:szCs w:val="28"/>
          <w:highlight w:val="none"/>
        </w:rPr>
        <w:t>投标保证金银行保函（如有）（投标格式</w:t>
      </w:r>
      <w:r>
        <w:rPr>
          <w:rFonts w:hint="eastAsia" w:ascii="宋体" w:hAnsi="宋体" w:cs="宋体"/>
          <w:color w:val="auto"/>
          <w:kern w:val="0"/>
          <w:sz w:val="28"/>
          <w:szCs w:val="28"/>
          <w:highlight w:val="none"/>
          <w:lang w:val="en-US" w:eastAsia="zh-CN"/>
        </w:rPr>
        <w:t>六</w:t>
      </w:r>
      <w:r>
        <w:rPr>
          <w:rFonts w:hint="eastAsia" w:ascii="宋体" w:hAnsi="宋体" w:cs="宋体"/>
          <w:color w:val="auto"/>
          <w:kern w:val="0"/>
          <w:sz w:val="28"/>
          <w:szCs w:val="28"/>
          <w:highlight w:val="none"/>
        </w:rPr>
        <w:t>）；</w:t>
      </w:r>
    </w:p>
    <w:p>
      <w:pPr>
        <w:spacing w:line="520" w:lineRule="exact"/>
        <w:ind w:left="15" w:leftChars="7" w:firstLine="540" w:firstLineChars="193"/>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10.2.1</w:t>
      </w: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highlight w:val="none"/>
        </w:rPr>
        <w:t xml:space="preserve"> </w:t>
      </w:r>
      <w:r>
        <w:rPr>
          <w:rFonts w:hint="eastAsia" w:ascii="宋体" w:hAnsi="宋体" w:cs="宋体"/>
          <w:color w:val="auto"/>
          <w:kern w:val="0"/>
          <w:sz w:val="28"/>
          <w:szCs w:val="28"/>
          <w:highlight w:val="none"/>
          <w:lang w:val="en-US" w:eastAsia="zh-CN"/>
        </w:rPr>
        <w:t>商务</w:t>
      </w:r>
      <w:r>
        <w:rPr>
          <w:rFonts w:hint="eastAsia" w:ascii="宋体" w:hAnsi="宋体" w:cs="宋体"/>
          <w:color w:val="auto"/>
          <w:kern w:val="0"/>
          <w:sz w:val="28"/>
          <w:szCs w:val="28"/>
          <w:highlight w:val="none"/>
        </w:rPr>
        <w:t>评分表中所需的证明材料复印件</w:t>
      </w:r>
      <w:r>
        <w:rPr>
          <w:rFonts w:hint="eastAsia" w:ascii="宋体" w:hAnsi="宋体" w:cs="宋体"/>
          <w:b/>
          <w:color w:val="auto"/>
          <w:kern w:val="0"/>
          <w:sz w:val="28"/>
          <w:szCs w:val="28"/>
          <w:highlight w:val="none"/>
        </w:rPr>
        <w:t>（若有缺项的不计得分，不作为废标条件；若业绩证明上的单位名称与投标单位名称不一致的，需提供有效变更证明，否则无效）。</w:t>
      </w:r>
    </w:p>
    <w:p>
      <w:pPr>
        <w:spacing w:line="520" w:lineRule="exact"/>
        <w:ind w:firstLine="562" w:firstLineChars="200"/>
        <w:rPr>
          <w:rFonts w:hint="eastAsia" w:ascii="宋体" w:hAnsi="宋体"/>
          <w:b/>
          <w:bCs w:val="0"/>
          <w:color w:val="auto"/>
          <w:sz w:val="28"/>
          <w:szCs w:val="28"/>
          <w:highlight w:val="none"/>
        </w:rPr>
      </w:pPr>
      <w:r>
        <w:rPr>
          <w:rFonts w:hint="eastAsia" w:ascii="宋体" w:hAnsi="宋体"/>
          <w:b/>
          <w:bCs w:val="0"/>
          <w:color w:val="auto"/>
          <w:sz w:val="28"/>
          <w:szCs w:val="28"/>
          <w:highlight w:val="none"/>
        </w:rPr>
        <w:t>10.2.1</w:t>
      </w:r>
      <w:r>
        <w:rPr>
          <w:rFonts w:hint="eastAsia" w:ascii="宋体" w:hAnsi="宋体"/>
          <w:b/>
          <w:bCs w:val="0"/>
          <w:color w:val="auto"/>
          <w:sz w:val="28"/>
          <w:szCs w:val="28"/>
          <w:highlight w:val="none"/>
          <w:lang w:val="en-US" w:eastAsia="zh-CN"/>
        </w:rPr>
        <w:t>4</w:t>
      </w:r>
      <w:r>
        <w:rPr>
          <w:rFonts w:hint="eastAsia" w:ascii="宋体" w:hAnsi="宋体"/>
          <w:b/>
          <w:bCs w:val="0"/>
          <w:color w:val="auto"/>
          <w:sz w:val="28"/>
          <w:szCs w:val="28"/>
          <w:highlight w:val="none"/>
        </w:rPr>
        <w:t xml:space="preserve"> 技术文件</w:t>
      </w:r>
      <w:r>
        <w:rPr>
          <w:rFonts w:hint="eastAsia" w:ascii="宋体" w:hAnsi="宋体"/>
          <w:b/>
          <w:bCs w:val="0"/>
          <w:color w:val="auto"/>
          <w:sz w:val="28"/>
          <w:szCs w:val="28"/>
          <w:highlight w:val="none"/>
          <w:lang w:val="en-US" w:eastAsia="zh-CN"/>
        </w:rPr>
        <w:t>组成</w:t>
      </w:r>
      <w:r>
        <w:rPr>
          <w:rFonts w:hint="eastAsia" w:ascii="宋体" w:hAnsi="宋体"/>
          <w:b/>
          <w:bCs w:val="0"/>
          <w:color w:val="auto"/>
          <w:sz w:val="28"/>
          <w:szCs w:val="28"/>
          <w:highlight w:val="none"/>
        </w:rPr>
        <w:t>（监理大纲）(暗标，另册装订）</w:t>
      </w:r>
    </w:p>
    <w:p>
      <w:pPr>
        <w:spacing w:line="520" w:lineRule="exact"/>
        <w:ind w:firstLine="560" w:firstLineChars="200"/>
        <w:rPr>
          <w:rFonts w:hint="eastAsia" w:ascii="宋体" w:hAnsi="宋体"/>
          <w:b w:val="0"/>
          <w:bCs/>
          <w:color w:val="auto"/>
          <w:sz w:val="28"/>
          <w:szCs w:val="28"/>
          <w:highlight w:val="none"/>
        </w:rPr>
      </w:pPr>
      <w:r>
        <w:rPr>
          <w:rFonts w:hint="eastAsia" w:ascii="宋体" w:hAnsi="宋体"/>
          <w:b w:val="0"/>
          <w:bCs/>
          <w:color w:val="auto"/>
          <w:sz w:val="28"/>
          <w:szCs w:val="28"/>
          <w:highlight w:val="none"/>
        </w:rPr>
        <w:t>10.2.1</w:t>
      </w:r>
      <w:r>
        <w:rPr>
          <w:rFonts w:hint="eastAsia" w:ascii="宋体" w:hAnsi="宋体"/>
          <w:b w:val="0"/>
          <w:bCs/>
          <w:color w:val="auto"/>
          <w:sz w:val="28"/>
          <w:szCs w:val="28"/>
          <w:highlight w:val="none"/>
          <w:lang w:val="en-US" w:eastAsia="zh-CN"/>
        </w:rPr>
        <w:t>4</w:t>
      </w:r>
      <w:r>
        <w:rPr>
          <w:rFonts w:hint="eastAsia" w:ascii="宋体" w:hAnsi="宋体"/>
          <w:b w:val="0"/>
          <w:bCs/>
          <w:color w:val="auto"/>
          <w:sz w:val="28"/>
          <w:szCs w:val="28"/>
          <w:highlight w:val="none"/>
        </w:rPr>
        <w:t>.1 技术文件封面；</w:t>
      </w:r>
    </w:p>
    <w:p>
      <w:pPr>
        <w:spacing w:line="520" w:lineRule="exact"/>
        <w:ind w:firstLine="560" w:firstLineChars="200"/>
        <w:rPr>
          <w:rFonts w:hint="eastAsia" w:ascii="宋体" w:hAnsi="宋体"/>
          <w:b w:val="0"/>
          <w:bCs/>
          <w:color w:val="auto"/>
          <w:sz w:val="28"/>
          <w:szCs w:val="28"/>
          <w:highlight w:val="none"/>
        </w:rPr>
      </w:pPr>
      <w:r>
        <w:rPr>
          <w:rFonts w:hint="eastAsia" w:ascii="宋体" w:hAnsi="宋体"/>
          <w:b w:val="0"/>
          <w:bCs/>
          <w:color w:val="auto"/>
          <w:sz w:val="28"/>
          <w:szCs w:val="28"/>
          <w:highlight w:val="none"/>
        </w:rPr>
        <w:t>10.2.1</w:t>
      </w:r>
      <w:r>
        <w:rPr>
          <w:rFonts w:hint="eastAsia" w:ascii="宋体" w:hAnsi="宋体"/>
          <w:b w:val="0"/>
          <w:bCs/>
          <w:color w:val="auto"/>
          <w:sz w:val="28"/>
          <w:szCs w:val="28"/>
          <w:highlight w:val="none"/>
          <w:lang w:val="en-US" w:eastAsia="zh-CN"/>
        </w:rPr>
        <w:t>4</w:t>
      </w:r>
      <w:r>
        <w:rPr>
          <w:rFonts w:hint="eastAsia" w:ascii="宋体" w:hAnsi="宋体"/>
          <w:b w:val="0"/>
          <w:bCs/>
          <w:color w:val="auto"/>
          <w:sz w:val="28"/>
          <w:szCs w:val="28"/>
          <w:highlight w:val="none"/>
        </w:rPr>
        <w:t>.2 技术文件目录；</w:t>
      </w:r>
    </w:p>
    <w:p>
      <w:pPr>
        <w:spacing w:line="520" w:lineRule="exact"/>
        <w:ind w:firstLine="560" w:firstLineChars="200"/>
        <w:rPr>
          <w:rFonts w:hint="eastAsia" w:ascii="宋体" w:hAnsi="宋体"/>
          <w:b w:val="0"/>
          <w:bCs/>
          <w:color w:val="auto"/>
          <w:sz w:val="28"/>
          <w:szCs w:val="28"/>
          <w:highlight w:val="none"/>
        </w:rPr>
      </w:pPr>
      <w:r>
        <w:rPr>
          <w:rFonts w:hint="eastAsia" w:ascii="宋体" w:hAnsi="宋体"/>
          <w:b w:val="0"/>
          <w:bCs/>
          <w:color w:val="auto"/>
          <w:sz w:val="28"/>
          <w:szCs w:val="28"/>
          <w:highlight w:val="none"/>
        </w:rPr>
        <w:t>10.2.1</w:t>
      </w:r>
      <w:r>
        <w:rPr>
          <w:rFonts w:hint="eastAsia" w:ascii="宋体" w:hAnsi="宋体"/>
          <w:b w:val="0"/>
          <w:bCs/>
          <w:color w:val="auto"/>
          <w:sz w:val="28"/>
          <w:szCs w:val="28"/>
          <w:highlight w:val="none"/>
          <w:lang w:val="en-US" w:eastAsia="zh-CN"/>
        </w:rPr>
        <w:t>4</w:t>
      </w:r>
      <w:r>
        <w:rPr>
          <w:rFonts w:hint="eastAsia" w:ascii="宋体" w:hAnsi="宋体"/>
          <w:b w:val="0"/>
          <w:bCs/>
          <w:color w:val="auto"/>
          <w:sz w:val="28"/>
          <w:szCs w:val="28"/>
          <w:highlight w:val="none"/>
        </w:rPr>
        <w:t xml:space="preserve">.3 监理大纲： </w:t>
      </w:r>
    </w:p>
    <w:p>
      <w:pPr>
        <w:spacing w:line="520" w:lineRule="exact"/>
        <w:ind w:firstLine="560" w:firstLineChars="200"/>
        <w:rPr>
          <w:rFonts w:hint="eastAsia" w:ascii="宋体" w:hAnsi="宋体"/>
          <w:b w:val="0"/>
          <w:bCs/>
          <w:color w:val="auto"/>
          <w:sz w:val="28"/>
          <w:szCs w:val="28"/>
          <w:highlight w:val="none"/>
        </w:rPr>
      </w:pPr>
      <w:r>
        <w:rPr>
          <w:rFonts w:hint="eastAsia" w:ascii="宋体" w:hAnsi="宋体" w:cs="宋体"/>
          <w:color w:val="auto"/>
          <w:kern w:val="0"/>
          <w:sz w:val="28"/>
          <w:szCs w:val="28"/>
          <w:highlight w:val="none"/>
        </w:rPr>
        <w:t>10.2.1</w:t>
      </w:r>
      <w:r>
        <w:rPr>
          <w:rFonts w:hint="eastAsia" w:ascii="宋体" w:hAnsi="宋体" w:cs="宋体"/>
          <w:color w:val="auto"/>
          <w:kern w:val="0"/>
          <w:sz w:val="28"/>
          <w:szCs w:val="28"/>
          <w:highlight w:val="none"/>
          <w:lang w:val="en-US" w:eastAsia="zh-CN"/>
        </w:rPr>
        <w:t>4</w:t>
      </w:r>
      <w:r>
        <w:rPr>
          <w:rFonts w:hint="eastAsia" w:ascii="宋体" w:hAnsi="宋体" w:cs="宋体"/>
          <w:color w:val="auto"/>
          <w:kern w:val="0"/>
          <w:sz w:val="28"/>
          <w:szCs w:val="28"/>
          <w:highlight w:val="none"/>
        </w:rPr>
        <w:t>将投标文件10.2.1至10.2.1</w:t>
      </w: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highlight w:val="none"/>
        </w:rPr>
        <w:t>的内容签字盖章后按顺序进行扫描，扫描的内容要求清晰可辨，并以PDF格式刻录入光盘</w:t>
      </w:r>
      <w:r>
        <w:rPr>
          <w:rFonts w:hint="eastAsia" w:ascii="华文行楷" w:hAnsi="华文行楷" w:eastAsia="华文行楷" w:cs="华文行楷"/>
          <w:color w:val="auto"/>
          <w:kern w:val="0"/>
          <w:sz w:val="28"/>
          <w:szCs w:val="28"/>
          <w:highlight w:val="none"/>
        </w:rPr>
        <w:t>（或U盘）</w:t>
      </w:r>
      <w:r>
        <w:rPr>
          <w:rFonts w:hint="eastAsia" w:ascii="宋体" w:hAnsi="宋体" w:cs="宋体"/>
          <w:color w:val="auto"/>
          <w:kern w:val="0"/>
          <w:sz w:val="28"/>
          <w:szCs w:val="28"/>
          <w:highlight w:val="none"/>
        </w:rPr>
        <w:t>，该光盘</w:t>
      </w:r>
      <w:r>
        <w:rPr>
          <w:rFonts w:hint="eastAsia" w:ascii="华文行楷" w:hAnsi="华文行楷" w:eastAsia="华文行楷" w:cs="华文行楷"/>
          <w:color w:val="auto"/>
          <w:kern w:val="0"/>
          <w:sz w:val="28"/>
          <w:szCs w:val="28"/>
          <w:highlight w:val="none"/>
        </w:rPr>
        <w:t>（或U盘）</w:t>
      </w:r>
      <w:r>
        <w:rPr>
          <w:rFonts w:hint="eastAsia" w:ascii="宋体" w:hAnsi="宋体" w:cs="宋体"/>
          <w:color w:val="auto"/>
          <w:kern w:val="0"/>
          <w:sz w:val="28"/>
          <w:szCs w:val="28"/>
          <w:highlight w:val="none"/>
        </w:rPr>
        <w:t>作为投标文件的重要组成部分，并与商务文件一起用密封袋密封包装，投标截止前提交。</w:t>
      </w:r>
    </w:p>
    <w:p>
      <w:pPr>
        <w:spacing w:line="52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10.3 投标人在递交投标文件的同时必须单独提交以下资料（不需密封）：</w:t>
      </w:r>
    </w:p>
    <w:p>
      <w:pPr>
        <w:pStyle w:val="25"/>
        <w:spacing w:line="520" w:lineRule="exact"/>
        <w:ind w:firstLine="560" w:firstLineChars="200"/>
        <w:rPr>
          <w:rFonts w:ascii="宋体"/>
          <w:strike/>
          <w:color w:val="auto"/>
          <w:szCs w:val="28"/>
          <w:highlight w:val="none"/>
        </w:rPr>
      </w:pPr>
      <w:r>
        <w:rPr>
          <w:rFonts w:hint="eastAsia" w:ascii="宋体"/>
          <w:color w:val="auto"/>
          <w:szCs w:val="28"/>
          <w:highlight w:val="none"/>
        </w:rPr>
        <w:t>10.3.1 法定代表人有效证明书原件；如法定代表人亲自参加开标会还需提交本人在投标单位缴纳社保的证明原件(注：</w:t>
      </w:r>
      <w:r>
        <w:rPr>
          <w:rFonts w:hint="eastAsia" w:ascii="宋体"/>
          <w:color w:val="auto"/>
          <w:szCs w:val="28"/>
          <w:highlight w:val="none"/>
          <w:lang w:val="en-US" w:eastAsia="zh-CN"/>
        </w:rPr>
        <w:t>投标截止前</w:t>
      </w:r>
      <w:r>
        <w:rPr>
          <w:rFonts w:hint="eastAsia" w:ascii="宋体"/>
          <w:color w:val="auto"/>
          <w:szCs w:val="28"/>
          <w:highlight w:val="none"/>
        </w:rPr>
        <w:t>近三个月任意一个月)。如达到法定退休年龄,无法提供该社保证明的，须提供本人与投标单位劳动关系证明。</w:t>
      </w:r>
    </w:p>
    <w:p>
      <w:pPr>
        <w:pStyle w:val="25"/>
        <w:spacing w:line="520" w:lineRule="exact"/>
        <w:ind w:firstLine="560" w:firstLineChars="200"/>
        <w:rPr>
          <w:rFonts w:hint="eastAsia" w:ascii="宋体"/>
          <w:color w:val="auto"/>
          <w:szCs w:val="28"/>
          <w:highlight w:val="none"/>
        </w:rPr>
      </w:pPr>
      <w:r>
        <w:rPr>
          <w:rFonts w:hint="eastAsia" w:ascii="宋体"/>
          <w:color w:val="auto"/>
          <w:szCs w:val="28"/>
          <w:highlight w:val="none"/>
        </w:rPr>
        <w:t>10.3.2 被委托人有效授权书原件（法定代表人亲自参加的不需提供）；如授权委托人出席开标会还需提交本人在投标单位缴纳社保的证明原件(注：</w:t>
      </w:r>
      <w:r>
        <w:rPr>
          <w:rFonts w:hint="eastAsia" w:ascii="宋体"/>
          <w:color w:val="auto"/>
          <w:szCs w:val="28"/>
          <w:highlight w:val="none"/>
          <w:lang w:val="en-US" w:eastAsia="zh-CN"/>
        </w:rPr>
        <w:t>投标截止前</w:t>
      </w:r>
      <w:r>
        <w:rPr>
          <w:rFonts w:hint="eastAsia" w:ascii="宋体"/>
          <w:color w:val="auto"/>
          <w:szCs w:val="28"/>
          <w:highlight w:val="none"/>
        </w:rPr>
        <w:t>近三个月任意一个月)。如达到法定退休年龄,无法提供该社保证明的，须提供本人与投标单位劳动关系证明。</w:t>
      </w:r>
    </w:p>
    <w:p>
      <w:pPr>
        <w:pStyle w:val="25"/>
        <w:spacing w:line="520" w:lineRule="exact"/>
        <w:ind w:firstLine="548" w:firstLineChars="195"/>
        <w:rPr>
          <w:rFonts w:ascii="宋体"/>
          <w:b/>
          <w:bCs/>
          <w:color w:val="auto"/>
          <w:szCs w:val="28"/>
          <w:highlight w:val="none"/>
        </w:rPr>
      </w:pPr>
      <w:r>
        <w:rPr>
          <w:rFonts w:hint="eastAsia" w:ascii="宋体" w:hAnsi="宋体"/>
          <w:b/>
          <w:color w:val="auto"/>
          <w:szCs w:val="28"/>
          <w:highlight w:val="none"/>
        </w:rPr>
        <w:t>10.4</w:t>
      </w:r>
      <w:r>
        <w:rPr>
          <w:rFonts w:hint="eastAsia" w:ascii="宋体"/>
          <w:b/>
          <w:bCs/>
          <w:color w:val="auto"/>
          <w:szCs w:val="28"/>
          <w:highlight w:val="none"/>
        </w:rPr>
        <w:t>投标资料原件核对</w:t>
      </w:r>
    </w:p>
    <w:p>
      <w:pPr>
        <w:pStyle w:val="25"/>
        <w:spacing w:line="520" w:lineRule="exact"/>
        <w:ind w:firstLine="546" w:firstLineChars="195"/>
        <w:rPr>
          <w:rFonts w:hint="eastAsia" w:ascii="宋体" w:eastAsia="宋体"/>
          <w:b w:val="0"/>
          <w:bCs w:val="0"/>
          <w:color w:val="auto"/>
          <w:szCs w:val="28"/>
          <w:highlight w:val="none"/>
          <w:lang w:eastAsia="zh-CN"/>
        </w:rPr>
      </w:pPr>
      <w:r>
        <w:rPr>
          <w:rFonts w:hint="eastAsia" w:ascii="宋体"/>
          <w:b w:val="0"/>
          <w:bCs w:val="0"/>
          <w:color w:val="auto"/>
          <w:szCs w:val="28"/>
          <w:highlight w:val="none"/>
        </w:rPr>
        <w:t>投标人在开标时</w:t>
      </w:r>
      <w:r>
        <w:rPr>
          <w:rFonts w:hint="eastAsia" w:ascii="宋体"/>
          <w:b w:val="0"/>
          <w:bCs w:val="0"/>
          <w:color w:val="auto"/>
          <w:szCs w:val="28"/>
          <w:highlight w:val="none"/>
          <w:lang w:val="en-US" w:eastAsia="zh-CN"/>
        </w:rPr>
        <w:t>无</w:t>
      </w:r>
      <w:r>
        <w:rPr>
          <w:rFonts w:hint="eastAsia" w:ascii="宋体"/>
          <w:b w:val="0"/>
          <w:bCs w:val="0"/>
          <w:color w:val="auto"/>
          <w:szCs w:val="28"/>
          <w:highlight w:val="none"/>
        </w:rPr>
        <w:t>需进行原件核</w:t>
      </w:r>
    </w:p>
    <w:p>
      <w:pPr>
        <w:spacing w:line="520" w:lineRule="exact"/>
        <w:ind w:left="960" w:leftChars="267" w:hanging="399" w:hangingChars="14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10.5投标文件的份数和要求：</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10.5.1 投标人应向招标人提交投标文件</w:t>
      </w:r>
      <w:r>
        <w:rPr>
          <w:rFonts w:hint="eastAsia" w:ascii="宋体" w:hAnsi="宋体" w:cs="宋体"/>
          <w:color w:val="auto"/>
          <w:kern w:val="0"/>
          <w:sz w:val="28"/>
          <w:szCs w:val="28"/>
          <w:highlight w:val="none"/>
          <w:u w:val="single"/>
        </w:rPr>
        <w:t>1式</w:t>
      </w:r>
      <w:r>
        <w:rPr>
          <w:rFonts w:hint="eastAsia" w:ascii="宋体" w:hAnsi="宋体" w:cs="宋体"/>
          <w:color w:val="auto"/>
          <w:kern w:val="0"/>
          <w:sz w:val="28"/>
          <w:szCs w:val="28"/>
          <w:highlight w:val="none"/>
          <w:u w:val="single"/>
          <w:lang w:val="en-US" w:eastAsia="zh-CN"/>
        </w:rPr>
        <w:t>6</w:t>
      </w:r>
      <w:r>
        <w:rPr>
          <w:rFonts w:hint="eastAsia" w:ascii="宋体" w:hAnsi="宋体" w:cs="宋体"/>
          <w:color w:val="auto"/>
          <w:kern w:val="0"/>
          <w:sz w:val="28"/>
          <w:szCs w:val="28"/>
          <w:highlight w:val="none"/>
          <w:u w:val="single"/>
        </w:rPr>
        <w:t>份（1正</w:t>
      </w:r>
      <w:r>
        <w:rPr>
          <w:rFonts w:hint="eastAsia" w:ascii="宋体" w:hAnsi="宋体" w:cs="宋体"/>
          <w:color w:val="auto"/>
          <w:kern w:val="0"/>
          <w:sz w:val="28"/>
          <w:szCs w:val="28"/>
          <w:highlight w:val="none"/>
          <w:u w:val="single"/>
          <w:lang w:val="en-US" w:eastAsia="zh-CN"/>
        </w:rPr>
        <w:t>5</w:t>
      </w:r>
      <w:r>
        <w:rPr>
          <w:rFonts w:hint="eastAsia" w:ascii="宋体" w:hAnsi="宋体" w:cs="宋体"/>
          <w:color w:val="auto"/>
          <w:kern w:val="0"/>
          <w:sz w:val="28"/>
          <w:szCs w:val="28"/>
          <w:highlight w:val="none"/>
          <w:u w:val="single"/>
        </w:rPr>
        <w:t>副）</w:t>
      </w:r>
      <w:r>
        <w:rPr>
          <w:rFonts w:hint="eastAsia" w:ascii="宋体" w:hAnsi="宋体" w:cs="宋体"/>
          <w:color w:val="auto"/>
          <w:kern w:val="0"/>
          <w:sz w:val="28"/>
          <w:szCs w:val="28"/>
          <w:highlight w:val="none"/>
        </w:rPr>
        <w:t>，提交的纸质投标文件均应按招标文件规定内容、格式编制并按“A4”幅面在左侧装订（有关图表可用A3纸打印，但必须按A4幅面折叠装订），并明确标明为“正本”和“副本”，投标文件封面采用附件的封面格式。投标文件“正本”与“副本”有不一致处，以“正本”为准。副本可以是正本</w:t>
      </w:r>
      <w:r>
        <w:rPr>
          <w:rFonts w:hint="eastAsia" w:ascii="华文行楷" w:hAnsi="华文行楷" w:eastAsia="华文行楷" w:cs="华文行楷"/>
          <w:color w:val="auto"/>
          <w:kern w:val="2"/>
          <w:sz w:val="28"/>
          <w:szCs w:val="28"/>
          <w:highlight w:val="none"/>
          <w:lang w:val="en-US" w:eastAsia="zh-CN" w:bidi="ar-SA"/>
        </w:rPr>
        <w:t>签字盖章后</w:t>
      </w:r>
      <w:r>
        <w:rPr>
          <w:rFonts w:hint="eastAsia" w:ascii="宋体" w:hAnsi="宋体" w:cs="宋体"/>
          <w:color w:val="auto"/>
          <w:kern w:val="0"/>
          <w:sz w:val="28"/>
          <w:szCs w:val="28"/>
          <w:highlight w:val="none"/>
        </w:rPr>
        <w:t>的复印件。副本需加盖封面章和骑缝章。</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10.5.2 投标文件“正本”与“副本”均应使用黑色墨水打印或手写。招标文件规定投标文件中由法定代表人、总监理工程师亲笔签名的地方，必须由投标人法定代表人、总监理工程师亲自签名（电子签名或盖签名章视为无效签名）；授权人只能代表法定代表人参加开标等活动，不得签署有关的投标文件。</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10.5.3 全套投标文件应无涂改和行间插字和删改，除非这删改是根据招标人的书面通知进行的，或者是招标人造成的必须修改的错误。修改处须由投标文件签字人签字证明或加盖投标人的公章。</w:t>
      </w:r>
    </w:p>
    <w:p>
      <w:pPr>
        <w:pStyle w:val="4"/>
        <w:spacing w:before="0" w:after="0" w:line="520" w:lineRule="exact"/>
        <w:ind w:firstLine="643" w:firstLineChars="200"/>
        <w:rPr>
          <w:rFonts w:ascii="宋体" w:hAnsi="宋体" w:eastAsia="宋体" w:cs="宋体"/>
          <w:color w:val="auto"/>
          <w:highlight w:val="none"/>
        </w:rPr>
      </w:pPr>
      <w:bookmarkStart w:id="28" w:name="_Toc341432816"/>
      <w:bookmarkStart w:id="29" w:name="_Toc57042144"/>
      <w:r>
        <w:rPr>
          <w:rFonts w:hint="eastAsia" w:ascii="宋体" w:hAnsi="宋体" w:eastAsia="宋体" w:cs="宋体"/>
          <w:color w:val="auto"/>
          <w:highlight w:val="none"/>
        </w:rPr>
        <w:t>11.投标文件的密封与标志</w:t>
      </w:r>
      <w:bookmarkEnd w:id="28"/>
      <w:bookmarkEnd w:id="29"/>
    </w:p>
    <w:p>
      <w:pPr>
        <w:spacing w:line="520" w:lineRule="exact"/>
        <w:ind w:firstLine="560" w:firstLineChars="200"/>
        <w:rPr>
          <w:rFonts w:hint="eastAsia" w:ascii="宋体" w:hAnsi="宋体" w:eastAsia="宋体" w:cs="宋体"/>
          <w:color w:val="auto"/>
          <w:kern w:val="0"/>
          <w:sz w:val="28"/>
          <w:szCs w:val="28"/>
          <w:highlight w:val="none"/>
        </w:rPr>
      </w:pPr>
      <w:bookmarkStart w:id="30" w:name="_Toc57042145"/>
      <w:bookmarkStart w:id="31" w:name="_Toc341432819"/>
      <w:r>
        <w:rPr>
          <w:rFonts w:hint="eastAsia" w:ascii="宋体" w:hAnsi="宋体" w:eastAsia="宋体" w:cs="宋体"/>
          <w:color w:val="auto"/>
          <w:kern w:val="0"/>
          <w:sz w:val="28"/>
          <w:szCs w:val="28"/>
          <w:highlight w:val="none"/>
          <w:lang w:val="en-US" w:eastAsia="zh-CN"/>
        </w:rPr>
        <w:t>11.1</w:t>
      </w:r>
      <w:r>
        <w:rPr>
          <w:rFonts w:hint="eastAsia" w:ascii="宋体" w:hAnsi="宋体" w:eastAsia="宋体" w:cs="宋体"/>
          <w:color w:val="auto"/>
          <w:kern w:val="0"/>
          <w:sz w:val="28"/>
          <w:szCs w:val="28"/>
          <w:highlight w:val="none"/>
        </w:rPr>
        <w:t>投标人须将投标文件包装密封。投标文件分别按商务文件、技术文件共2部分分别进行包封；相同的文件内容（商务文件、技术文件）的正本与副本包装在同一个密封袋内；投标文件电子文件放在商务文件密封袋内。</w:t>
      </w:r>
    </w:p>
    <w:p>
      <w:pPr>
        <w:spacing w:line="52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11.2 </w:t>
      </w:r>
      <w:r>
        <w:rPr>
          <w:rFonts w:hint="eastAsia" w:ascii="宋体" w:hAnsi="宋体" w:eastAsia="宋体" w:cs="宋体"/>
          <w:color w:val="auto"/>
          <w:kern w:val="0"/>
          <w:sz w:val="28"/>
          <w:szCs w:val="28"/>
          <w:highlight w:val="none"/>
          <w:lang w:eastAsia="zh-CN"/>
        </w:rPr>
        <w:t>投标文件按“A4”纸规格装订，不得采用活页夹。投标文件应编制目录，并且逐页标注连续页码，否则，招标人对由于投标文件装订松散而造成的丢失或其它后果不承担任何责任。</w:t>
      </w:r>
      <w:r>
        <w:rPr>
          <w:rFonts w:hint="eastAsia" w:ascii="宋体" w:hAnsi="宋体" w:eastAsia="宋体" w:cs="宋体"/>
          <w:color w:val="auto"/>
          <w:kern w:val="0"/>
          <w:sz w:val="28"/>
          <w:szCs w:val="28"/>
          <w:highlight w:val="none"/>
        </w:rPr>
        <w:t>投标文件用不透明包装材料包装并密封，商务文件外包装封口处应加盖单位公章，技术文件外包装不需要盖公章。</w:t>
      </w:r>
    </w:p>
    <w:p>
      <w:pPr>
        <w:spacing w:line="360" w:lineRule="auto"/>
        <w:ind w:firstLine="560" w:firstLineChars="200"/>
        <w:rPr>
          <w:rFonts w:hint="eastAsia" w:ascii="宋体" w:hAnsi="宋体" w:cs="宋体"/>
          <w:iCs/>
          <w:color w:val="auto"/>
          <w:kern w:val="0"/>
          <w:sz w:val="28"/>
          <w:szCs w:val="28"/>
          <w:highlight w:val="none"/>
        </w:rPr>
      </w:pPr>
      <w:r>
        <w:rPr>
          <w:rFonts w:hint="eastAsia" w:ascii="宋体" w:hAnsi="宋体" w:cs="宋体"/>
          <w:iCs/>
          <w:color w:val="auto"/>
          <w:kern w:val="0"/>
          <w:sz w:val="28"/>
          <w:szCs w:val="28"/>
          <w:highlight w:val="none"/>
        </w:rPr>
        <w:t>11.</w:t>
      </w:r>
      <w:r>
        <w:rPr>
          <w:rFonts w:hint="eastAsia" w:ascii="宋体" w:hAnsi="宋体" w:cs="宋体"/>
          <w:iCs/>
          <w:color w:val="auto"/>
          <w:kern w:val="0"/>
          <w:sz w:val="28"/>
          <w:szCs w:val="28"/>
          <w:highlight w:val="none"/>
          <w:lang w:val="en-US" w:eastAsia="zh-CN"/>
        </w:rPr>
        <w:t>3</w:t>
      </w:r>
      <w:r>
        <w:rPr>
          <w:rFonts w:hint="eastAsia" w:ascii="宋体" w:hAnsi="宋体" w:cs="宋体"/>
          <w:iCs/>
          <w:color w:val="auto"/>
          <w:kern w:val="0"/>
          <w:sz w:val="28"/>
          <w:szCs w:val="28"/>
          <w:highlight w:val="none"/>
        </w:rPr>
        <w:t xml:space="preserve"> 技术文件的装订、密封与标志</w:t>
      </w:r>
    </w:p>
    <w:p>
      <w:pPr>
        <w:spacing w:line="360" w:lineRule="auto"/>
        <w:ind w:firstLine="560" w:firstLineChars="200"/>
        <w:rPr>
          <w:rFonts w:hint="eastAsia" w:ascii="宋体" w:hAnsi="宋体" w:cs="宋体"/>
          <w:iCs/>
          <w:color w:val="auto"/>
          <w:kern w:val="0"/>
          <w:sz w:val="28"/>
          <w:szCs w:val="28"/>
          <w:highlight w:val="none"/>
        </w:rPr>
      </w:pPr>
      <w:r>
        <w:rPr>
          <w:rFonts w:hint="eastAsia" w:ascii="宋体" w:hAnsi="宋体" w:cs="宋体"/>
          <w:iCs/>
          <w:color w:val="auto"/>
          <w:kern w:val="0"/>
          <w:sz w:val="28"/>
          <w:szCs w:val="28"/>
          <w:highlight w:val="none"/>
        </w:rPr>
        <w:t>①技术文件按“A4”纸规格装订（有关图表可用A3纸打印），不得采用活页夹。技术文件应编制目录，并且逐页标注连续页码，否则，招标人对由于技术文件装订松散而造成的丢失或其它后果不承担任何责任。技术文件封面统一采用附件的封面格式，且统一采用白色软皮纸。</w:t>
      </w:r>
    </w:p>
    <w:p>
      <w:pPr>
        <w:spacing w:line="360" w:lineRule="auto"/>
        <w:ind w:firstLine="560" w:firstLineChars="200"/>
        <w:rPr>
          <w:rFonts w:ascii="宋体" w:hAnsi="宋体" w:cs="宋体"/>
          <w:iCs/>
          <w:color w:val="auto"/>
          <w:kern w:val="0"/>
          <w:sz w:val="28"/>
          <w:szCs w:val="28"/>
          <w:highlight w:val="none"/>
        </w:rPr>
      </w:pPr>
      <w:r>
        <w:rPr>
          <w:rFonts w:hint="eastAsia" w:ascii="宋体" w:hAnsi="宋体" w:cs="宋体"/>
          <w:iCs/>
          <w:color w:val="auto"/>
          <w:kern w:val="0"/>
          <w:sz w:val="28"/>
          <w:szCs w:val="28"/>
          <w:highlight w:val="none"/>
        </w:rPr>
        <w:t>②投标人提交的技术文件正本，必须在封三（技术文件最后一页（封底）的内面）位置粘贴用不透明包装材料密封的保密信封（不得加盖公章），保密信封内装以下资料：打印或手写（A4纸）拟投入本项目的派驻人员名单，并标注投标单位名称，由投标单位法定代表人亲笔签名并加盖单位公章。除此之外，不得在任何地方标注投标人名称、派驻人员名称或其它可以辨认投标人及派驻人员身份的符号或标记。</w:t>
      </w:r>
    </w:p>
    <w:p>
      <w:pPr>
        <w:spacing w:line="360" w:lineRule="auto"/>
        <w:ind w:firstLine="560" w:firstLineChars="200"/>
        <w:rPr>
          <w:rFonts w:hint="eastAsia" w:ascii="宋体" w:hAnsi="宋体" w:cs="宋体"/>
          <w:iCs/>
          <w:color w:val="auto"/>
          <w:kern w:val="0"/>
          <w:sz w:val="28"/>
          <w:szCs w:val="28"/>
          <w:highlight w:val="none"/>
        </w:rPr>
      </w:pPr>
      <w:r>
        <w:rPr>
          <w:rFonts w:hint="eastAsia" w:ascii="宋体" w:hAnsi="宋体" w:cs="宋体"/>
          <w:iCs/>
          <w:color w:val="auto"/>
          <w:kern w:val="0"/>
          <w:sz w:val="28"/>
          <w:szCs w:val="28"/>
          <w:highlight w:val="none"/>
        </w:rPr>
        <w:t>③投标人提交的技术文件副本不得标注投标人名称、拟派人员名称或可以辨认投标人及其派驻人员身份的名称、印章、商标的标记；</w:t>
      </w:r>
    </w:p>
    <w:p>
      <w:pPr>
        <w:spacing w:line="360" w:lineRule="auto"/>
        <w:ind w:firstLine="560" w:firstLineChars="200"/>
        <w:rPr>
          <w:rFonts w:hint="eastAsia" w:ascii="宋体" w:hAnsi="宋体" w:cs="宋体"/>
          <w:iCs/>
          <w:color w:val="auto"/>
          <w:kern w:val="0"/>
          <w:sz w:val="28"/>
          <w:szCs w:val="28"/>
          <w:highlight w:val="none"/>
          <w:lang w:eastAsia="zh-CN"/>
        </w:rPr>
      </w:pPr>
      <w:r>
        <w:rPr>
          <w:rFonts w:hint="eastAsia" w:ascii="宋体" w:hAnsi="宋体" w:cs="宋体"/>
          <w:iCs/>
          <w:color w:val="auto"/>
          <w:kern w:val="0"/>
          <w:sz w:val="28"/>
          <w:szCs w:val="28"/>
          <w:highlight w:val="none"/>
        </w:rPr>
        <w:t>④技术文件正本与副本不一致的，以正本为准。技术文件封面不</w:t>
      </w:r>
      <w:r>
        <w:rPr>
          <w:rFonts w:hint="eastAsia" w:ascii="宋体" w:hAnsi="宋体" w:cs="宋体"/>
          <w:iCs/>
          <w:color w:val="auto"/>
          <w:kern w:val="0"/>
          <w:sz w:val="28"/>
          <w:szCs w:val="28"/>
          <w:highlight w:val="none"/>
          <w:lang w:eastAsia="zh-CN"/>
        </w:rPr>
        <w:t>得</w:t>
      </w:r>
      <w:r>
        <w:rPr>
          <w:rFonts w:hint="eastAsia" w:ascii="宋体" w:hAnsi="宋体" w:cs="宋体"/>
          <w:iCs/>
          <w:color w:val="auto"/>
          <w:kern w:val="0"/>
          <w:sz w:val="28"/>
          <w:szCs w:val="28"/>
          <w:highlight w:val="none"/>
        </w:rPr>
        <w:t>加盖公章。技术文件正本单独用不透明包装材料包装并密封，外包装封套上不注明任何信息且不</w:t>
      </w:r>
      <w:r>
        <w:rPr>
          <w:rFonts w:hint="eastAsia" w:ascii="宋体" w:hAnsi="宋体" w:cs="宋体"/>
          <w:iCs/>
          <w:color w:val="auto"/>
          <w:kern w:val="0"/>
          <w:sz w:val="28"/>
          <w:szCs w:val="28"/>
          <w:highlight w:val="none"/>
          <w:lang w:eastAsia="zh-CN"/>
        </w:rPr>
        <w:t>得</w:t>
      </w:r>
      <w:r>
        <w:rPr>
          <w:rFonts w:hint="eastAsia" w:ascii="宋体" w:hAnsi="宋体" w:cs="宋体"/>
          <w:iCs/>
          <w:color w:val="auto"/>
          <w:kern w:val="0"/>
          <w:sz w:val="28"/>
          <w:szCs w:val="28"/>
          <w:highlight w:val="none"/>
        </w:rPr>
        <w:t>加盖公章。副本不用单独密封，副本连同密封好的正本一起用不透明包装材料包装并密封</w:t>
      </w:r>
      <w:r>
        <w:rPr>
          <w:rFonts w:hint="eastAsia" w:ascii="宋体" w:hAnsi="宋体" w:cs="宋体"/>
          <w:iCs/>
          <w:color w:val="auto"/>
          <w:kern w:val="0"/>
          <w:sz w:val="28"/>
          <w:szCs w:val="28"/>
          <w:highlight w:val="none"/>
          <w:lang w:eastAsia="zh-CN"/>
        </w:rPr>
        <w:t>，外封面不得加盖投标单位公章。</w:t>
      </w:r>
    </w:p>
    <w:p>
      <w:pPr>
        <w:spacing w:line="360" w:lineRule="auto"/>
        <w:ind w:firstLine="560" w:firstLineChars="200"/>
        <w:rPr>
          <w:rFonts w:hint="eastAsia" w:ascii="宋体" w:hAnsi="宋体" w:cs="宋体"/>
          <w:iCs/>
          <w:color w:val="auto"/>
          <w:kern w:val="0"/>
          <w:sz w:val="28"/>
          <w:szCs w:val="28"/>
          <w:highlight w:val="none"/>
          <w:lang w:eastAsia="zh-CN"/>
        </w:rPr>
      </w:pPr>
      <w:r>
        <w:rPr>
          <w:rFonts w:hint="eastAsia" w:ascii="宋体" w:hAnsi="宋体" w:cs="宋体"/>
          <w:iCs/>
          <w:color w:val="auto"/>
          <w:kern w:val="0"/>
          <w:sz w:val="28"/>
          <w:szCs w:val="28"/>
          <w:highlight w:val="none"/>
          <w:lang w:val="en-US" w:eastAsia="zh-CN"/>
        </w:rPr>
        <w:t>外</w:t>
      </w:r>
      <w:r>
        <w:rPr>
          <w:rFonts w:hint="eastAsia" w:ascii="宋体" w:hAnsi="宋体" w:cs="宋体"/>
          <w:iCs/>
          <w:color w:val="auto"/>
          <w:kern w:val="0"/>
          <w:sz w:val="28"/>
          <w:szCs w:val="28"/>
          <w:highlight w:val="none"/>
          <w:lang w:eastAsia="zh-CN"/>
        </w:rPr>
        <w:t>包封上应标明：工程名称、投标时间</w:t>
      </w:r>
    </w:p>
    <w:p>
      <w:pPr>
        <w:spacing w:line="360" w:lineRule="auto"/>
        <w:ind w:firstLine="560" w:firstLineChars="200"/>
        <w:rPr>
          <w:rFonts w:hint="eastAsia" w:ascii="宋体" w:hAnsi="宋体" w:cs="宋体"/>
          <w:iCs/>
          <w:color w:val="auto"/>
          <w:kern w:val="0"/>
          <w:sz w:val="28"/>
          <w:szCs w:val="28"/>
          <w:highlight w:val="none"/>
        </w:rPr>
      </w:pPr>
      <w:r>
        <w:rPr>
          <w:rFonts w:hint="eastAsia" w:ascii="宋体" w:hAnsi="宋体" w:cs="宋体"/>
          <w:iCs/>
          <w:color w:val="auto"/>
          <w:kern w:val="0"/>
          <w:sz w:val="28"/>
          <w:szCs w:val="28"/>
          <w:highlight w:val="none"/>
        </w:rPr>
        <w:t>11.</w:t>
      </w:r>
      <w:r>
        <w:rPr>
          <w:rFonts w:hint="eastAsia" w:ascii="宋体" w:hAnsi="宋体" w:cs="宋体"/>
          <w:iCs/>
          <w:color w:val="auto"/>
          <w:kern w:val="0"/>
          <w:sz w:val="28"/>
          <w:szCs w:val="28"/>
          <w:highlight w:val="none"/>
          <w:lang w:val="en-US" w:eastAsia="zh-CN"/>
        </w:rPr>
        <w:t>4</w:t>
      </w:r>
      <w:r>
        <w:rPr>
          <w:rFonts w:hint="eastAsia" w:ascii="宋体" w:hAnsi="宋体" w:cs="宋体"/>
          <w:iCs/>
          <w:color w:val="auto"/>
          <w:kern w:val="0"/>
          <w:sz w:val="28"/>
          <w:szCs w:val="28"/>
          <w:highlight w:val="none"/>
        </w:rPr>
        <w:t>商务文件的装订、密封与标志</w:t>
      </w:r>
    </w:p>
    <w:p>
      <w:pPr>
        <w:spacing w:line="360" w:lineRule="auto"/>
        <w:ind w:firstLine="560" w:firstLineChars="200"/>
        <w:rPr>
          <w:rFonts w:hint="eastAsia" w:ascii="宋体" w:hAnsi="宋体" w:cs="宋体"/>
          <w:iCs/>
          <w:color w:val="auto"/>
          <w:kern w:val="0"/>
          <w:sz w:val="28"/>
          <w:szCs w:val="28"/>
          <w:highlight w:val="none"/>
        </w:rPr>
      </w:pPr>
      <w:r>
        <w:rPr>
          <w:rFonts w:hint="eastAsia" w:ascii="宋体" w:hAnsi="宋体" w:cs="宋体"/>
          <w:iCs/>
          <w:color w:val="auto"/>
          <w:kern w:val="0"/>
          <w:sz w:val="28"/>
          <w:szCs w:val="28"/>
          <w:highlight w:val="none"/>
        </w:rPr>
        <w:t>①商务文件按“A4”纸规格装订，不得采用活页夹。商务文件应编制目录，否则，招标人对由于商务文件装订松散而造成的丢失或其它后果不承担任何责任。商务文件封面采用附件的封面格式，封面应采用软皮纸制作。</w:t>
      </w:r>
    </w:p>
    <w:p>
      <w:pPr>
        <w:spacing w:line="360" w:lineRule="auto"/>
        <w:ind w:firstLine="560" w:firstLineChars="200"/>
        <w:rPr>
          <w:rFonts w:hint="eastAsia" w:ascii="宋体" w:hAnsi="宋体" w:cs="宋体"/>
          <w:iCs/>
          <w:color w:val="auto"/>
          <w:kern w:val="0"/>
          <w:sz w:val="28"/>
          <w:szCs w:val="28"/>
          <w:highlight w:val="none"/>
        </w:rPr>
      </w:pPr>
      <w:r>
        <w:rPr>
          <w:rFonts w:hint="eastAsia" w:ascii="宋体" w:hAnsi="宋体" w:cs="宋体"/>
          <w:iCs/>
          <w:color w:val="auto"/>
          <w:kern w:val="0"/>
          <w:sz w:val="28"/>
          <w:szCs w:val="28"/>
          <w:highlight w:val="none"/>
        </w:rPr>
        <w:t>②商务文件正、副本</w:t>
      </w:r>
      <w:r>
        <w:rPr>
          <w:rFonts w:hint="eastAsia" w:ascii="宋体" w:hAnsi="宋体" w:cs="宋体"/>
          <w:iCs/>
          <w:color w:val="auto"/>
          <w:kern w:val="0"/>
          <w:sz w:val="28"/>
          <w:szCs w:val="28"/>
          <w:highlight w:val="none"/>
          <w:lang w:eastAsia="zh-CN"/>
        </w:rPr>
        <w:t>和电子文件（光盘或</w:t>
      </w:r>
      <w:r>
        <w:rPr>
          <w:rFonts w:hint="eastAsia" w:ascii="宋体" w:hAnsi="宋体" w:cs="宋体"/>
          <w:iCs/>
          <w:color w:val="auto"/>
          <w:kern w:val="0"/>
          <w:sz w:val="28"/>
          <w:szCs w:val="28"/>
          <w:highlight w:val="none"/>
          <w:lang w:val="en-US" w:eastAsia="zh-CN"/>
        </w:rPr>
        <w:t>U盘</w:t>
      </w:r>
      <w:r>
        <w:rPr>
          <w:rFonts w:hint="eastAsia" w:ascii="宋体" w:hAnsi="宋体" w:cs="宋体"/>
          <w:iCs/>
          <w:color w:val="auto"/>
          <w:kern w:val="0"/>
          <w:sz w:val="28"/>
          <w:szCs w:val="28"/>
          <w:highlight w:val="none"/>
          <w:lang w:eastAsia="zh-CN"/>
        </w:rPr>
        <w:t>）</w:t>
      </w:r>
      <w:r>
        <w:rPr>
          <w:rFonts w:hint="eastAsia" w:ascii="宋体" w:hAnsi="宋体" w:cs="宋体"/>
          <w:iCs/>
          <w:color w:val="auto"/>
          <w:kern w:val="0"/>
          <w:sz w:val="28"/>
          <w:szCs w:val="28"/>
          <w:highlight w:val="none"/>
        </w:rPr>
        <w:t>一起用不透明包装材料包装并密封，封口处需加盖单位公章。</w:t>
      </w:r>
    </w:p>
    <w:p>
      <w:pPr>
        <w:spacing w:line="360" w:lineRule="auto"/>
        <w:ind w:firstLine="560" w:firstLineChars="200"/>
        <w:rPr>
          <w:rFonts w:hint="eastAsia" w:ascii="宋体" w:hAnsi="宋体" w:cs="宋体"/>
          <w:iCs/>
          <w:color w:val="auto"/>
          <w:kern w:val="0"/>
          <w:sz w:val="28"/>
          <w:szCs w:val="28"/>
          <w:highlight w:val="none"/>
          <w:lang w:eastAsia="zh-CN"/>
        </w:rPr>
      </w:pPr>
      <w:r>
        <w:rPr>
          <w:rFonts w:hint="eastAsia" w:ascii="宋体" w:hAnsi="宋体" w:cs="宋体"/>
          <w:iCs/>
          <w:color w:val="auto"/>
          <w:kern w:val="0"/>
          <w:sz w:val="28"/>
          <w:szCs w:val="28"/>
          <w:highlight w:val="none"/>
          <w:lang w:val="en-US" w:eastAsia="zh-CN"/>
        </w:rPr>
        <w:t>外</w:t>
      </w:r>
      <w:r>
        <w:rPr>
          <w:rFonts w:hint="eastAsia" w:ascii="宋体" w:hAnsi="宋体" w:cs="宋体"/>
          <w:iCs/>
          <w:color w:val="auto"/>
          <w:kern w:val="0"/>
          <w:sz w:val="28"/>
          <w:szCs w:val="28"/>
          <w:highlight w:val="none"/>
          <w:lang w:eastAsia="zh-CN"/>
        </w:rPr>
        <w:t>包封上应标明：工程名称、投标单位、投标时间</w:t>
      </w:r>
    </w:p>
    <w:p>
      <w:pPr>
        <w:spacing w:line="360" w:lineRule="auto"/>
        <w:ind w:firstLine="560" w:firstLineChars="200"/>
        <w:rPr>
          <w:rFonts w:hint="eastAsia" w:ascii="宋体" w:hAnsi="宋体" w:cs="宋体"/>
          <w:iCs/>
          <w:color w:val="auto"/>
          <w:kern w:val="0"/>
          <w:sz w:val="28"/>
          <w:szCs w:val="28"/>
          <w:highlight w:val="none"/>
        </w:rPr>
      </w:pPr>
      <w:r>
        <w:rPr>
          <w:rFonts w:hint="eastAsia" w:ascii="宋体" w:hAnsi="宋体" w:cs="宋体"/>
          <w:iCs/>
          <w:color w:val="auto"/>
          <w:kern w:val="0"/>
          <w:sz w:val="28"/>
          <w:szCs w:val="28"/>
          <w:highlight w:val="none"/>
        </w:rPr>
        <w:t>③商务文件正本的封面及正文内每页加盖单位公章。副本可以是正本签字盖章后的复印件。</w:t>
      </w:r>
    </w:p>
    <w:p>
      <w:pPr>
        <w:spacing w:line="360" w:lineRule="auto"/>
        <w:ind w:firstLine="560" w:firstLineChars="200"/>
        <w:rPr>
          <w:rFonts w:ascii="宋体" w:hAnsi="宋体" w:cs="宋体"/>
          <w:iCs/>
          <w:color w:val="auto"/>
          <w:kern w:val="0"/>
          <w:sz w:val="28"/>
          <w:szCs w:val="28"/>
          <w:highlight w:val="none"/>
        </w:rPr>
      </w:pPr>
      <w:r>
        <w:rPr>
          <w:rFonts w:hint="eastAsia" w:ascii="宋体" w:hAnsi="宋体" w:cs="宋体"/>
          <w:iCs/>
          <w:color w:val="auto"/>
          <w:kern w:val="0"/>
          <w:sz w:val="28"/>
          <w:szCs w:val="28"/>
          <w:highlight w:val="none"/>
        </w:rPr>
        <w:t>④商务文件正本与副本如有不一致之处以正本为准。</w:t>
      </w:r>
    </w:p>
    <w:p>
      <w:pPr>
        <w:spacing w:line="360" w:lineRule="auto"/>
        <w:ind w:firstLine="560" w:firstLineChars="200"/>
        <w:rPr>
          <w:rFonts w:ascii="宋体" w:hAnsi="宋体" w:cs="宋体"/>
          <w:iCs/>
          <w:color w:val="auto"/>
          <w:kern w:val="0"/>
          <w:sz w:val="28"/>
          <w:szCs w:val="28"/>
          <w:highlight w:val="none"/>
        </w:rPr>
      </w:pPr>
      <w:r>
        <w:rPr>
          <w:rFonts w:hint="eastAsia" w:ascii="宋体" w:hAnsi="宋体" w:cs="宋体"/>
          <w:iCs/>
          <w:color w:val="auto"/>
          <w:kern w:val="0"/>
          <w:sz w:val="28"/>
          <w:szCs w:val="28"/>
          <w:highlight w:val="none"/>
        </w:rPr>
        <w:t>11.</w:t>
      </w:r>
      <w:r>
        <w:rPr>
          <w:rFonts w:hint="eastAsia" w:ascii="宋体" w:hAnsi="宋体" w:cs="宋体"/>
          <w:iCs/>
          <w:color w:val="auto"/>
          <w:kern w:val="0"/>
          <w:sz w:val="28"/>
          <w:szCs w:val="28"/>
          <w:highlight w:val="none"/>
          <w:lang w:val="en-US" w:eastAsia="zh-CN"/>
        </w:rPr>
        <w:t>5</w:t>
      </w:r>
      <w:r>
        <w:rPr>
          <w:rFonts w:hint="eastAsia" w:ascii="宋体" w:hAnsi="宋体" w:cs="宋体"/>
          <w:iCs/>
          <w:color w:val="auto"/>
          <w:kern w:val="0"/>
          <w:sz w:val="28"/>
          <w:szCs w:val="28"/>
          <w:highlight w:val="none"/>
        </w:rPr>
        <w:t>如果投标文件包封上没有按上述规定密封和标志，代理机构及招标人将不承担投标文件放错或提前开封的责任，由此造成的提前开封的投标文件，代理机构及招标人予以拒绝接收并退还给投标人。</w:t>
      </w:r>
    </w:p>
    <w:p>
      <w:pPr>
        <w:pStyle w:val="4"/>
        <w:spacing w:before="0" w:after="0" w:line="360" w:lineRule="auto"/>
        <w:ind w:firstLine="643" w:firstLineChars="200"/>
        <w:rPr>
          <w:rFonts w:ascii="宋体" w:hAnsi="宋体" w:eastAsia="宋体" w:cs="宋体"/>
          <w:color w:val="auto"/>
          <w:highlight w:val="none"/>
        </w:rPr>
      </w:pPr>
      <w:r>
        <w:rPr>
          <w:rFonts w:hint="eastAsia" w:ascii="宋体" w:hAnsi="宋体" w:eastAsia="宋体" w:cs="宋体"/>
          <w:color w:val="auto"/>
          <w:highlight w:val="none"/>
        </w:rPr>
        <w:t>12.无效标的认定</w:t>
      </w:r>
      <w:bookmarkEnd w:id="30"/>
      <w:bookmarkEnd w:id="31"/>
    </w:p>
    <w:p>
      <w:pPr>
        <w:spacing w:line="360" w:lineRule="auto"/>
        <w:ind w:firstLine="559" w:firstLineChars="199"/>
        <w:rPr>
          <w:rFonts w:ascii="宋体" w:hAnsi="宋体" w:cs="宋体"/>
          <w:b/>
          <w:color w:val="auto"/>
          <w:sz w:val="28"/>
          <w:szCs w:val="28"/>
          <w:highlight w:val="none"/>
        </w:rPr>
      </w:pPr>
      <w:r>
        <w:rPr>
          <w:rFonts w:hint="eastAsia" w:ascii="宋体" w:hAnsi="宋体" w:cs="宋体"/>
          <w:b/>
          <w:color w:val="auto"/>
          <w:sz w:val="28"/>
          <w:szCs w:val="28"/>
          <w:highlight w:val="none"/>
        </w:rPr>
        <w:t>12.1 有下列情况之一者由招标代理机构当场宣布投标文件无效，不进入评标程序：</w:t>
      </w:r>
    </w:p>
    <w:p>
      <w:pPr>
        <w:spacing w:line="360" w:lineRule="auto"/>
        <w:ind w:left="1" w:firstLine="557" w:firstLineChars="199"/>
        <w:rPr>
          <w:rFonts w:ascii="宋体" w:hAnsi="宋体" w:cs="宋体"/>
          <w:iCs/>
          <w:color w:val="auto"/>
          <w:kern w:val="0"/>
          <w:sz w:val="28"/>
          <w:szCs w:val="28"/>
          <w:highlight w:val="none"/>
        </w:rPr>
      </w:pPr>
      <w:r>
        <w:rPr>
          <w:rFonts w:hint="eastAsia" w:ascii="宋体" w:hAnsi="宋体" w:cs="宋体"/>
          <w:iCs/>
          <w:color w:val="auto"/>
          <w:kern w:val="0"/>
          <w:sz w:val="28"/>
          <w:szCs w:val="28"/>
          <w:highlight w:val="none"/>
        </w:rPr>
        <w:t>12.1.1投标文件未按本文件第10.5条“投标文件的份数和要求”提交投标文件、未按本文件第11条“投标文件的密封与标志”进行装订密封与标志的；</w:t>
      </w:r>
    </w:p>
    <w:p>
      <w:pPr>
        <w:spacing w:line="360" w:lineRule="auto"/>
        <w:ind w:left="960" w:leftChars="267" w:hanging="399" w:hangingChars="142"/>
        <w:rPr>
          <w:rFonts w:ascii="宋体" w:hAnsi="宋体"/>
          <w:b/>
          <w:color w:val="auto"/>
          <w:sz w:val="28"/>
          <w:szCs w:val="28"/>
          <w:highlight w:val="none"/>
        </w:rPr>
      </w:pPr>
      <w:r>
        <w:rPr>
          <w:rFonts w:hint="eastAsia" w:ascii="宋体" w:hAnsi="宋体"/>
          <w:b/>
          <w:color w:val="auto"/>
          <w:sz w:val="28"/>
          <w:szCs w:val="28"/>
          <w:highlight w:val="none"/>
        </w:rPr>
        <w:t>12.2投标文件有下列情况之一者由评标委员会确认为无效标：</w:t>
      </w:r>
    </w:p>
    <w:p>
      <w:pPr>
        <w:spacing w:line="360" w:lineRule="auto"/>
        <w:ind w:left="1" w:firstLine="557" w:firstLineChars="19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12.2.1 需要年审的证件到期未年审，不能提供有关行政主管部门未组织年审的说明；</w:t>
      </w:r>
    </w:p>
    <w:p>
      <w:pPr>
        <w:spacing w:line="520" w:lineRule="exact"/>
        <w:ind w:left="956" w:leftChars="266" w:hanging="397" w:hangingChars="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12.2.2 招标文件中注明要求签字盖章却没有按要求签字盖章的</w:t>
      </w:r>
      <w:r>
        <w:rPr>
          <w:rFonts w:hint="eastAsia"/>
          <w:color w:val="auto"/>
          <w:sz w:val="28"/>
          <w:szCs w:val="28"/>
          <w:highlight w:val="none"/>
        </w:rPr>
        <w:t>，或能认定属冒充签名的</w:t>
      </w:r>
      <w:r>
        <w:rPr>
          <w:rFonts w:hint="eastAsia" w:ascii="宋体" w:hAnsi="宋体" w:cs="宋体"/>
          <w:color w:val="auto"/>
          <w:kern w:val="0"/>
          <w:sz w:val="28"/>
          <w:szCs w:val="28"/>
          <w:highlight w:val="none"/>
        </w:rPr>
        <w:t>；</w:t>
      </w:r>
    </w:p>
    <w:p>
      <w:pPr>
        <w:spacing w:line="520" w:lineRule="exact"/>
        <w:ind w:left="1" w:firstLine="557" w:firstLineChars="19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12.2.3 投标文件附有招标人不能接受的条件；</w:t>
      </w:r>
    </w:p>
    <w:p>
      <w:pPr>
        <w:spacing w:line="520" w:lineRule="exact"/>
        <w:ind w:left="956" w:leftChars="266" w:hanging="397" w:hangingChars="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12.2.4 投标文件中关键字迹模糊，辨认不清的；</w:t>
      </w:r>
    </w:p>
    <w:p>
      <w:pPr>
        <w:spacing w:line="520" w:lineRule="exact"/>
        <w:ind w:left="956" w:leftChars="266" w:hanging="397" w:hangingChars="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12.2.5 监理费报价超出招标文件范围的；</w:t>
      </w:r>
    </w:p>
    <w:p>
      <w:pPr>
        <w:spacing w:line="520" w:lineRule="exact"/>
        <w:ind w:left="956" w:leftChars="266" w:hanging="397" w:hangingChars="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12.2.6 投标文件没有实质性响应招标文件的；</w:t>
      </w:r>
    </w:p>
    <w:p>
      <w:pPr>
        <w:spacing w:line="520" w:lineRule="exact"/>
        <w:ind w:left="956" w:leftChars="266" w:hanging="397" w:hangingChars="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12.2.7 </w:t>
      </w:r>
      <w:r>
        <w:rPr>
          <w:rFonts w:hint="eastAsia"/>
          <w:iCs/>
          <w:color w:val="auto"/>
          <w:sz w:val="28"/>
          <w:szCs w:val="28"/>
          <w:highlight w:val="none"/>
        </w:rPr>
        <w:t>未按照本招标文件要求编制投标文件，或在“投标文件的组成”中有缺项的；</w:t>
      </w:r>
    </w:p>
    <w:p>
      <w:pPr>
        <w:spacing w:line="520" w:lineRule="exact"/>
        <w:ind w:firstLine="560" w:firstLineChars="200"/>
        <w:rPr>
          <w:rFonts w:ascii="宋体" w:hAnsi="宋体" w:cs="宋体"/>
          <w:iCs/>
          <w:color w:val="auto"/>
          <w:kern w:val="0"/>
          <w:sz w:val="28"/>
          <w:szCs w:val="28"/>
          <w:highlight w:val="none"/>
        </w:rPr>
      </w:pPr>
      <w:r>
        <w:rPr>
          <w:rFonts w:hint="eastAsia" w:ascii="宋体" w:hAnsi="宋体" w:cs="宋体"/>
          <w:iCs/>
          <w:color w:val="auto"/>
          <w:sz w:val="28"/>
          <w:szCs w:val="28"/>
          <w:highlight w:val="none"/>
        </w:rPr>
        <w:t>12.2.8</w:t>
      </w:r>
      <w:r>
        <w:rPr>
          <w:rFonts w:hint="eastAsia" w:ascii="宋体" w:hAnsi="宋体" w:cs="宋体"/>
          <w:color w:val="auto"/>
          <w:kern w:val="0"/>
          <w:sz w:val="28"/>
          <w:szCs w:val="28"/>
          <w:highlight w:val="none"/>
        </w:rPr>
        <w:t xml:space="preserve"> 未能按规定提交本项目投标保证金的；</w:t>
      </w:r>
    </w:p>
    <w:p>
      <w:pPr>
        <w:spacing w:line="520" w:lineRule="exact"/>
        <w:ind w:left="956" w:leftChars="266" w:hanging="397" w:hangingChars="142"/>
        <w:rPr>
          <w:color w:val="auto"/>
          <w:sz w:val="28"/>
          <w:szCs w:val="28"/>
          <w:highlight w:val="none"/>
        </w:rPr>
      </w:pPr>
      <w:r>
        <w:rPr>
          <w:rFonts w:hint="eastAsia" w:ascii="宋体" w:hAnsi="宋体" w:cs="宋体"/>
          <w:color w:val="auto"/>
          <w:kern w:val="0"/>
          <w:sz w:val="28"/>
          <w:szCs w:val="28"/>
          <w:highlight w:val="none"/>
        </w:rPr>
        <w:t>12.2.9 违反有关法律法规及规定的，</w:t>
      </w:r>
      <w:r>
        <w:rPr>
          <w:rFonts w:hint="eastAsia"/>
          <w:color w:val="auto"/>
          <w:sz w:val="28"/>
          <w:szCs w:val="28"/>
          <w:highlight w:val="none"/>
        </w:rPr>
        <w:t>如投标文件互相雷同、</w:t>
      </w:r>
      <w:r>
        <w:rPr>
          <w:rFonts w:hint="eastAsia" w:ascii="宋体" w:hAnsi="宋体" w:cs="宋体"/>
          <w:color w:val="auto"/>
          <w:sz w:val="28"/>
          <w:szCs w:val="28"/>
          <w:highlight w:val="none"/>
        </w:rPr>
        <w:t>投标人与招标人存在利害关系</w:t>
      </w:r>
      <w:r>
        <w:rPr>
          <w:rFonts w:hint="eastAsia"/>
          <w:color w:val="auto"/>
          <w:sz w:val="28"/>
          <w:szCs w:val="28"/>
          <w:highlight w:val="none"/>
        </w:rPr>
        <w:t>等情况的。</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12.2.1</w:t>
      </w:r>
      <w:r>
        <w:rPr>
          <w:rFonts w:hint="eastAsia" w:ascii="宋体" w:hAnsi="宋体" w:cs="宋体"/>
          <w:color w:val="auto"/>
          <w:kern w:val="0"/>
          <w:sz w:val="28"/>
          <w:szCs w:val="28"/>
          <w:highlight w:val="none"/>
          <w:lang w:val="en-US" w:eastAsia="zh-CN"/>
        </w:rPr>
        <w:t>0</w:t>
      </w:r>
      <w:r>
        <w:rPr>
          <w:rFonts w:hint="eastAsia" w:ascii="宋体" w:hAnsi="宋体" w:cs="宋体"/>
          <w:color w:val="auto"/>
          <w:kern w:val="0"/>
          <w:sz w:val="28"/>
          <w:szCs w:val="28"/>
          <w:highlight w:val="none"/>
        </w:rPr>
        <w:t xml:space="preserve"> </w:t>
      </w:r>
      <w:r>
        <w:rPr>
          <w:rFonts w:hint="eastAsia" w:ascii="华文行楷" w:hAnsi="宋体" w:eastAsia="华文行楷"/>
          <w:color w:val="auto"/>
          <w:sz w:val="28"/>
          <w:highlight w:val="none"/>
          <w:u w:val="none"/>
          <w:shd w:val="clear" w:color="auto" w:fill="FFFFFF"/>
        </w:rPr>
        <w:t>技术文件出现任何明示或暗示投标人身份的文字、图案和人为标记，如：投标人名称、人员姓名、单位地址、公司徽标等</w:t>
      </w:r>
      <w:r>
        <w:rPr>
          <w:rFonts w:hint="eastAsia" w:hAnsi="宋体" w:cs="宋体"/>
          <w:color w:val="auto"/>
          <w:kern w:val="0"/>
          <w:sz w:val="28"/>
          <w:szCs w:val="28"/>
          <w:highlight w:val="none"/>
        </w:rPr>
        <w:t>。</w:t>
      </w:r>
    </w:p>
    <w:p>
      <w:pPr>
        <w:pStyle w:val="10"/>
        <w:spacing w:line="520" w:lineRule="exact"/>
        <w:ind w:firstLine="560" w:firstLineChars="200"/>
        <w:rPr>
          <w:b/>
          <w:bCs/>
          <w:color w:val="auto"/>
          <w:sz w:val="28"/>
          <w:szCs w:val="28"/>
          <w:highlight w:val="none"/>
        </w:rPr>
      </w:pPr>
      <w:r>
        <w:rPr>
          <w:rFonts w:hint="eastAsia" w:ascii="黑体" w:eastAsia="黑体"/>
          <w:bCs/>
          <w:color w:val="auto"/>
          <w:sz w:val="28"/>
          <w:szCs w:val="28"/>
          <w:highlight w:val="none"/>
        </w:rPr>
        <w:t>如果投标文件中存在缺陷或不足（细微偏差），但对投标文件的合法性、有效性不构成影响，评标委员会不得废标。</w:t>
      </w:r>
    </w:p>
    <w:p>
      <w:pPr>
        <w:pStyle w:val="4"/>
        <w:spacing w:before="0" w:after="0" w:line="520" w:lineRule="exact"/>
        <w:ind w:firstLine="643" w:firstLineChars="200"/>
        <w:rPr>
          <w:rFonts w:ascii="宋体" w:hAnsi="宋体" w:eastAsia="宋体"/>
          <w:color w:val="auto"/>
          <w:highlight w:val="none"/>
        </w:rPr>
      </w:pPr>
      <w:bookmarkStart w:id="32" w:name="_Toc341432820"/>
      <w:bookmarkStart w:id="33" w:name="_Toc57042146"/>
      <w:r>
        <w:rPr>
          <w:rFonts w:hint="eastAsia" w:ascii="宋体" w:hAnsi="宋体" w:eastAsia="宋体"/>
          <w:color w:val="auto"/>
          <w:highlight w:val="none"/>
        </w:rPr>
        <w:t>13.其它需要说明的问题</w:t>
      </w:r>
      <w:bookmarkEnd w:id="32"/>
      <w:bookmarkEnd w:id="33"/>
    </w:p>
    <w:p>
      <w:pPr>
        <w:spacing w:line="520" w:lineRule="exact"/>
        <w:ind w:left="1" w:firstLine="557" w:firstLineChars="199"/>
        <w:rPr>
          <w:rFonts w:ascii="宋体" w:hAnsi="宋体" w:cs="宋体"/>
          <w:color w:val="auto"/>
          <w:kern w:val="0"/>
          <w:sz w:val="28"/>
          <w:szCs w:val="28"/>
          <w:highlight w:val="none"/>
        </w:rPr>
      </w:pPr>
      <w:r>
        <w:rPr>
          <w:rFonts w:hint="eastAsia" w:ascii="宋体" w:hAnsi="宋体" w:cs="宋体"/>
          <w:color w:val="auto"/>
          <w:kern w:val="0"/>
          <w:sz w:val="28"/>
          <w:szCs w:val="28"/>
          <w:highlight w:val="none"/>
        </w:rPr>
        <w:t>13.1 中标通知书由招标人发出，发出前应确认不存在投诉以其他影响中标结果的情形。</w:t>
      </w:r>
    </w:p>
    <w:p>
      <w:pPr>
        <w:spacing w:line="520" w:lineRule="exact"/>
        <w:ind w:left="956" w:leftChars="266" w:hanging="397" w:hangingChars="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13.2 招标人不接受未中标投标人的查询，亦不对未中标原因作解释。</w:t>
      </w:r>
    </w:p>
    <w:p>
      <w:pPr>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13.3  投标文件正本与副本不一致时，以正本为准。</w:t>
      </w:r>
    </w:p>
    <w:p>
      <w:pPr>
        <w:spacing w:line="520" w:lineRule="exact"/>
        <w:ind w:left="1" w:firstLine="557" w:firstLineChars="199"/>
        <w:rPr>
          <w:rFonts w:ascii="宋体" w:hAnsi="宋体" w:cs="宋体"/>
          <w:color w:val="auto"/>
          <w:kern w:val="0"/>
          <w:sz w:val="28"/>
          <w:szCs w:val="28"/>
          <w:highlight w:val="none"/>
        </w:rPr>
      </w:pPr>
      <w:r>
        <w:rPr>
          <w:rFonts w:hint="eastAsia" w:ascii="宋体" w:hAnsi="宋体" w:cs="宋体"/>
          <w:color w:val="auto"/>
          <w:kern w:val="0"/>
          <w:sz w:val="28"/>
          <w:szCs w:val="28"/>
          <w:highlight w:val="none"/>
        </w:rPr>
        <w:t>13.4 本说明未尽事宜，按国家、省、市现行有关规定，由双方在签订合同时商定。</w:t>
      </w:r>
    </w:p>
    <w:p>
      <w:pPr>
        <w:pStyle w:val="25"/>
        <w:spacing w:line="520" w:lineRule="exact"/>
        <w:ind w:firstLine="560" w:firstLineChars="200"/>
        <w:rPr>
          <w:rFonts w:hint="eastAsia" w:ascii="华文行楷" w:hAnsi="华文行楷" w:eastAsia="华文行楷" w:cs="华文行楷"/>
          <w:bCs/>
          <w:color w:val="auto"/>
          <w:szCs w:val="28"/>
          <w:highlight w:val="none"/>
          <w:lang w:eastAsia="zh-CN"/>
        </w:rPr>
      </w:pPr>
      <w:r>
        <w:rPr>
          <w:rFonts w:hint="eastAsia" w:ascii="宋体" w:hAnsi="宋体" w:cs="宋体"/>
          <w:color w:val="auto"/>
          <w:kern w:val="0"/>
          <w:szCs w:val="28"/>
          <w:highlight w:val="none"/>
        </w:rPr>
        <w:t>13.5</w:t>
      </w:r>
      <w:r>
        <w:rPr>
          <w:rFonts w:hint="eastAsia" w:ascii="华文行楷" w:hAnsi="华文行楷" w:eastAsia="华文行楷" w:cs="华文行楷"/>
          <w:bCs/>
          <w:color w:val="auto"/>
          <w:szCs w:val="28"/>
          <w:highlight w:val="none"/>
        </w:rPr>
        <w:t>本项目招标代理服务费</w:t>
      </w:r>
      <w:r>
        <w:rPr>
          <w:rFonts w:hint="eastAsia" w:ascii="华文行楷" w:hAnsi="华文行楷" w:eastAsia="华文行楷" w:cs="华文行楷"/>
          <w:bCs/>
          <w:color w:val="auto"/>
          <w:szCs w:val="28"/>
          <w:highlight w:val="none"/>
          <w:lang w:eastAsia="zh-CN"/>
        </w:rPr>
        <w:t>、</w:t>
      </w:r>
      <w:r>
        <w:rPr>
          <w:rFonts w:hint="eastAsia" w:ascii="华文行楷" w:hAnsi="华文行楷" w:eastAsia="华文行楷" w:cs="华文行楷"/>
          <w:bCs/>
          <w:color w:val="auto"/>
          <w:szCs w:val="28"/>
          <w:highlight w:val="none"/>
        </w:rPr>
        <w:t>专家评标费和交易中心场地服务费由中标人承担，在确定中标候选人后由中标人一次性支付，交易中心场地费在确定中标人后以交易中心系统计算的为准，招标代理费以中标价为计算基价参考《招标代理服务收费管理暂行办法》计价格[2002]1980号文和发改价格[2011]534号文件计算并下浮</w:t>
      </w:r>
      <w:r>
        <w:rPr>
          <w:rFonts w:hint="eastAsia" w:ascii="华文行楷" w:hAnsi="华文行楷" w:eastAsia="华文行楷" w:cs="华文行楷"/>
          <w:bCs/>
          <w:color w:val="auto"/>
          <w:szCs w:val="28"/>
          <w:highlight w:val="none"/>
          <w:lang w:val="en-US" w:eastAsia="zh-CN"/>
        </w:rPr>
        <w:t>2</w:t>
      </w:r>
      <w:r>
        <w:rPr>
          <w:rFonts w:hint="eastAsia" w:ascii="华文行楷" w:hAnsi="华文行楷" w:eastAsia="华文行楷" w:cs="华文行楷"/>
          <w:bCs/>
          <w:color w:val="auto"/>
          <w:szCs w:val="28"/>
          <w:highlight w:val="none"/>
        </w:rPr>
        <w:t>0%</w:t>
      </w:r>
      <w:r>
        <w:rPr>
          <w:rFonts w:hint="eastAsia" w:ascii="华文行楷" w:hAnsi="华文行楷" w:eastAsia="华文行楷" w:cs="华文行楷"/>
          <w:bCs/>
          <w:color w:val="auto"/>
          <w:szCs w:val="28"/>
          <w:highlight w:val="none"/>
          <w:lang w:eastAsia="zh-CN"/>
        </w:rPr>
        <w:t>。</w:t>
      </w:r>
    </w:p>
    <w:p>
      <w:pPr>
        <w:spacing w:line="520" w:lineRule="exact"/>
        <w:ind w:firstLine="562" w:firstLineChars="200"/>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13.6 履约保证金</w:t>
      </w:r>
    </w:p>
    <w:p>
      <w:pPr>
        <w:pStyle w:val="25"/>
        <w:spacing w:line="520" w:lineRule="exact"/>
        <w:ind w:firstLine="560" w:firstLineChars="200"/>
        <w:rPr>
          <w:rFonts w:ascii="宋体"/>
          <w:color w:val="auto"/>
          <w:szCs w:val="28"/>
          <w:highlight w:val="none"/>
        </w:rPr>
      </w:pPr>
      <w:r>
        <w:rPr>
          <w:rFonts w:hint="eastAsia" w:ascii="宋体"/>
          <w:color w:val="auto"/>
          <w:szCs w:val="28"/>
          <w:highlight w:val="none"/>
        </w:rPr>
        <w:t>本项目</w:t>
      </w:r>
      <w:r>
        <w:rPr>
          <w:rFonts w:hint="eastAsia" w:ascii="宋体"/>
          <w:b/>
          <w:bCs/>
          <w:color w:val="auto"/>
          <w:szCs w:val="28"/>
          <w:highlight w:val="none"/>
          <w:u w:val="single"/>
        </w:rPr>
        <w:t xml:space="preserve"> 要求 </w:t>
      </w:r>
      <w:r>
        <w:rPr>
          <w:rFonts w:hint="eastAsia" w:ascii="宋体"/>
          <w:color w:val="auto"/>
          <w:szCs w:val="28"/>
          <w:highlight w:val="none"/>
        </w:rPr>
        <w:t>中标人提交履约保证金：</w:t>
      </w:r>
    </w:p>
    <w:p>
      <w:pPr>
        <w:pStyle w:val="25"/>
        <w:spacing w:line="520" w:lineRule="exact"/>
        <w:ind w:firstLine="560" w:firstLineChars="200"/>
        <w:jc w:val="left"/>
        <w:rPr>
          <w:rFonts w:ascii="宋体"/>
          <w:color w:val="auto"/>
          <w:szCs w:val="28"/>
          <w:highlight w:val="none"/>
        </w:rPr>
      </w:pPr>
      <w:r>
        <w:rPr>
          <w:rFonts w:hint="eastAsia" w:ascii="宋体"/>
          <w:color w:val="auto"/>
          <w:szCs w:val="28"/>
          <w:highlight w:val="none"/>
        </w:rPr>
        <w:t>中标人应在签订合同前向招标人提供</w:t>
      </w:r>
      <w:r>
        <w:rPr>
          <w:rFonts w:hint="eastAsia" w:ascii="华文行楷" w:hAnsi="宋体" w:eastAsia="华文行楷" w:cs="宋体"/>
          <w:color w:val="auto"/>
          <w:szCs w:val="28"/>
          <w:highlight w:val="none"/>
          <w:u w:val="single"/>
        </w:rPr>
        <w:t>中标价的5%</w:t>
      </w:r>
      <w:r>
        <w:rPr>
          <w:rFonts w:hint="eastAsia" w:ascii="宋体"/>
          <w:color w:val="auto"/>
          <w:szCs w:val="28"/>
          <w:highlight w:val="none"/>
        </w:rPr>
        <w:t>元人民币履约保证金</w:t>
      </w:r>
      <w:r>
        <w:rPr>
          <w:rFonts w:hint="eastAsia" w:ascii="宋体"/>
          <w:b/>
          <w:color w:val="auto"/>
          <w:szCs w:val="28"/>
          <w:highlight w:val="none"/>
        </w:rPr>
        <w:t>（</w:t>
      </w:r>
      <w:r>
        <w:rPr>
          <w:rFonts w:hint="eastAsia" w:ascii="宋体"/>
          <w:color w:val="auto"/>
          <w:szCs w:val="28"/>
          <w:highlight w:val="none"/>
        </w:rPr>
        <w:t>可通过转账或银行保函或商业保函方式执行</w:t>
      </w:r>
      <w:r>
        <w:rPr>
          <w:rFonts w:hint="eastAsia" w:ascii="宋体"/>
          <w:b/>
          <w:color w:val="auto"/>
          <w:szCs w:val="28"/>
          <w:highlight w:val="none"/>
        </w:rPr>
        <w:t>）</w:t>
      </w:r>
      <w:r>
        <w:rPr>
          <w:rFonts w:hint="eastAsia" w:ascii="宋体"/>
          <w:bCs/>
          <w:color w:val="auto"/>
          <w:szCs w:val="28"/>
          <w:highlight w:val="none"/>
        </w:rPr>
        <w:t>：</w:t>
      </w:r>
    </w:p>
    <w:p>
      <w:pPr>
        <w:spacing w:line="520" w:lineRule="exact"/>
        <w:ind w:firstLine="570"/>
        <w:rPr>
          <w:rFonts w:ascii="宋体" w:hAnsi="宋体"/>
          <w:color w:val="auto"/>
          <w:sz w:val="28"/>
          <w:szCs w:val="28"/>
          <w:highlight w:val="none"/>
        </w:rPr>
      </w:pPr>
      <w:r>
        <w:rPr>
          <w:rFonts w:hint="eastAsia" w:ascii="宋体" w:hAnsi="宋体"/>
          <w:color w:val="auto"/>
          <w:sz w:val="28"/>
          <w:szCs w:val="28"/>
          <w:highlight w:val="none"/>
        </w:rPr>
        <w:t>中标人交纳的履约保证金通过银行转账方式执行的，在接到招标人发出的中标通知书后10天内将履约保证金转入</w:t>
      </w:r>
      <w:r>
        <w:rPr>
          <w:rFonts w:hint="eastAsia" w:ascii="华文行楷" w:hAnsi="华文行楷" w:eastAsia="华文行楷" w:cs="华文行楷"/>
          <w:color w:val="auto"/>
          <w:sz w:val="28"/>
          <w:szCs w:val="28"/>
          <w:highlight w:val="none"/>
        </w:rPr>
        <w:t>招标人指定的帐户</w:t>
      </w:r>
      <w:r>
        <w:rPr>
          <w:rFonts w:hint="eastAsia" w:ascii="宋体" w:hAnsi="宋体"/>
          <w:color w:val="auto"/>
          <w:sz w:val="28"/>
          <w:szCs w:val="28"/>
          <w:highlight w:val="none"/>
        </w:rPr>
        <w:t>，并凭银行出具的资金转入有效证明和招标人确认该款项到帐后到招标人财务处领取履约保证金收款收据。若中标人未有在上述规定时间内将该履约保证金转到招标人指定帐户并向招标人提交出具的资金转入有效证明时，招标人即取消该中标人的中标资格，没收其投标保证金，并按照评标委员会提出的中标候选人名单排序依次确定其他中标候选人为中标人。</w:t>
      </w:r>
    </w:p>
    <w:p>
      <w:pPr>
        <w:spacing w:line="5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中标人交纳的履约保证金通过银行保函或</w:t>
      </w:r>
      <w:r>
        <w:rPr>
          <w:rFonts w:hint="eastAsia" w:ascii="宋体" w:hAnsi="宋体" w:eastAsia="华文行楷"/>
          <w:color w:val="auto"/>
          <w:sz w:val="28"/>
          <w:szCs w:val="28"/>
          <w:highlight w:val="none"/>
        </w:rPr>
        <w:t>商业保函</w:t>
      </w:r>
      <w:r>
        <w:rPr>
          <w:rFonts w:hint="eastAsia" w:ascii="宋体" w:hAnsi="宋体"/>
          <w:color w:val="auto"/>
          <w:sz w:val="28"/>
          <w:szCs w:val="28"/>
          <w:highlight w:val="none"/>
        </w:rPr>
        <w:t>方式执行的，在招标人和中标人签订监理合同之日起1</w:t>
      </w:r>
      <w:r>
        <w:rPr>
          <w:rFonts w:ascii="宋体" w:hAnsi="宋体"/>
          <w:color w:val="auto"/>
          <w:sz w:val="28"/>
          <w:szCs w:val="28"/>
          <w:highlight w:val="none"/>
        </w:rPr>
        <w:t>0</w:t>
      </w:r>
      <w:r>
        <w:rPr>
          <w:rFonts w:hint="eastAsia" w:ascii="宋体" w:hAnsi="宋体"/>
          <w:color w:val="auto"/>
          <w:sz w:val="28"/>
          <w:szCs w:val="28"/>
          <w:highlight w:val="none"/>
        </w:rPr>
        <w:t>天内向招标人提供有效的担保函件,在工程竣工之前，中标人要担保函件持续有效。若中标人未有在上述规定时间内将有效的担保函件交到招标人指定的地点，招标人即取消该中标人的中标资格，没收其投标保证金，并按照评标委员会提出的中标候选人名单排序依次确定其他中标候选人为中标人。</w:t>
      </w:r>
    </w:p>
    <w:p>
      <w:pPr>
        <w:spacing w:line="520" w:lineRule="exact"/>
        <w:ind w:firstLine="562" w:firstLineChars="200"/>
        <w:rPr>
          <w:rFonts w:ascii="宋体"/>
          <w:color w:val="auto"/>
          <w:sz w:val="28"/>
          <w:szCs w:val="28"/>
          <w:highlight w:val="none"/>
        </w:rPr>
      </w:pPr>
      <w:r>
        <w:rPr>
          <w:rFonts w:hint="eastAsia" w:ascii="宋体"/>
          <w:b/>
          <w:bCs/>
          <w:color w:val="auto"/>
          <w:sz w:val="28"/>
          <w:szCs w:val="28"/>
          <w:highlight w:val="none"/>
        </w:rPr>
        <w:t>13.7</w:t>
      </w:r>
      <w:r>
        <w:rPr>
          <w:rFonts w:hint="eastAsia" w:ascii="宋体"/>
          <w:color w:val="auto"/>
          <w:sz w:val="28"/>
          <w:szCs w:val="28"/>
          <w:highlight w:val="none"/>
        </w:rPr>
        <w:t xml:space="preserve"> 中标人在合同履行过程中如有违约行为，招标人可视情况全部或部分没收其履约保证金，并按合同有关条款追究其违约责任。如中标人在合同履行过程中没有违约责任，发包人在工程竣工验收合格并交付使用、完成工程结算且提交符合要求的工程竣工资料后</w:t>
      </w:r>
      <w:r>
        <w:rPr>
          <w:rFonts w:hint="eastAsia" w:ascii="华文行楷" w:hAnsi="华文行楷" w:eastAsia="华文行楷" w:cs="华文行楷"/>
          <w:color w:val="auto"/>
          <w:sz w:val="28"/>
          <w:szCs w:val="28"/>
          <w:highlight w:val="none"/>
        </w:rPr>
        <w:t>30</w:t>
      </w:r>
      <w:r>
        <w:rPr>
          <w:rFonts w:hint="eastAsia" w:ascii="宋体"/>
          <w:color w:val="auto"/>
          <w:sz w:val="28"/>
          <w:szCs w:val="28"/>
          <w:highlight w:val="none"/>
        </w:rPr>
        <w:t>个工作日内应中标人的要求全额退还履约保证</w:t>
      </w:r>
      <w:r>
        <w:rPr>
          <w:rFonts w:hint="eastAsia" w:ascii="宋体" w:hAnsi="宋体" w:cs="宋体"/>
          <w:color w:val="auto"/>
          <w:sz w:val="28"/>
          <w:szCs w:val="28"/>
          <w:highlight w:val="none"/>
        </w:rPr>
        <w:t>金，履约保证金不算利息。</w:t>
      </w:r>
    </w:p>
    <w:p>
      <w:pPr>
        <w:pStyle w:val="4"/>
        <w:spacing w:before="0" w:after="0" w:line="520" w:lineRule="exact"/>
        <w:ind w:firstLine="643" w:firstLineChars="200"/>
        <w:rPr>
          <w:rFonts w:hint="eastAsia" w:ascii="宋体" w:hAnsi="宋体" w:eastAsia="宋体"/>
          <w:color w:val="auto"/>
          <w:highlight w:val="none"/>
          <w:lang w:val="en-US" w:eastAsia="zh-CN"/>
        </w:rPr>
      </w:pPr>
      <w:bookmarkStart w:id="34" w:name="_Toc341432821"/>
      <w:bookmarkStart w:id="35" w:name="_Toc57042147"/>
      <w:r>
        <w:rPr>
          <w:rFonts w:hint="eastAsia" w:ascii="宋体" w:hAnsi="宋体" w:eastAsia="宋体"/>
          <w:color w:val="auto"/>
          <w:highlight w:val="none"/>
          <w:lang w:val="en-US" w:eastAsia="zh-CN"/>
        </w:rPr>
        <w:t>14.</w:t>
      </w:r>
      <w:bookmarkStart w:id="36" w:name="_Toc16535"/>
      <w:r>
        <w:rPr>
          <w:rFonts w:hint="eastAsia" w:ascii="宋体" w:hAnsi="宋体" w:eastAsia="宋体"/>
          <w:color w:val="auto"/>
          <w:highlight w:val="none"/>
          <w:lang w:val="en-US" w:eastAsia="zh-CN"/>
        </w:rPr>
        <w:t>投标有效期</w:t>
      </w:r>
      <w:bookmarkEnd w:id="36"/>
    </w:p>
    <w:p>
      <w:pPr>
        <w:spacing w:line="520" w:lineRule="exact"/>
        <w:ind w:firstLine="57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投标文件在本须知规定投标截止日期起，在</w:t>
      </w:r>
      <w:r>
        <w:rPr>
          <w:rFonts w:hint="eastAsia" w:ascii="宋体" w:hAnsi="宋体" w:eastAsia="宋体"/>
          <w:color w:val="auto"/>
          <w:sz w:val="28"/>
          <w:szCs w:val="28"/>
          <w:highlight w:val="none"/>
          <w:u w:val="single"/>
          <w:lang w:val="en-US" w:eastAsia="zh-CN"/>
        </w:rPr>
        <w:t xml:space="preserve"> 90 </w:t>
      </w:r>
      <w:r>
        <w:rPr>
          <w:rFonts w:hint="eastAsia" w:ascii="宋体" w:hAnsi="宋体" w:eastAsia="宋体"/>
          <w:color w:val="auto"/>
          <w:sz w:val="28"/>
          <w:szCs w:val="28"/>
          <w:highlight w:val="none"/>
          <w:lang w:val="en-US" w:eastAsia="zh-CN"/>
        </w:rPr>
        <w:t>个日历天内所有投标文件均保持有效</w:t>
      </w:r>
    </w:p>
    <w:p>
      <w:pPr>
        <w:pStyle w:val="4"/>
        <w:spacing w:before="0" w:after="0" w:line="520" w:lineRule="exact"/>
        <w:ind w:firstLine="643" w:firstLineChars="20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lang w:val="en-US" w:eastAsia="zh-CN"/>
        </w:rPr>
        <w:t>5</w:t>
      </w:r>
      <w:r>
        <w:rPr>
          <w:rFonts w:ascii="宋体" w:hAnsi="宋体" w:eastAsia="宋体"/>
          <w:color w:val="auto"/>
          <w:highlight w:val="none"/>
        </w:rPr>
        <w:t>.</w:t>
      </w:r>
      <w:r>
        <w:rPr>
          <w:rFonts w:hint="eastAsia" w:ascii="宋体" w:hAnsi="宋体" w:eastAsia="宋体"/>
          <w:color w:val="auto"/>
          <w:highlight w:val="none"/>
        </w:rPr>
        <w:t>其他要求</w:t>
      </w:r>
      <w:bookmarkEnd w:id="34"/>
      <w:bookmarkEnd w:id="35"/>
    </w:p>
    <w:p>
      <w:pPr>
        <w:spacing w:line="520" w:lineRule="exact"/>
        <w:ind w:firstLine="560" w:firstLineChars="200"/>
        <w:rPr>
          <w:rFonts w:ascii="宋体" w:hAnsi="宋体"/>
          <w:color w:val="auto"/>
          <w:sz w:val="28"/>
          <w:szCs w:val="28"/>
          <w:highlight w:val="none"/>
        </w:rPr>
        <w:sectPr>
          <w:footerReference r:id="rId5" w:type="default"/>
          <w:pgSz w:w="11906" w:h="16838"/>
          <w:pgMar w:top="1417" w:right="1417" w:bottom="1417" w:left="1417" w:header="851" w:footer="992" w:gutter="0"/>
          <w:cols w:space="720" w:num="1"/>
          <w:docGrid w:linePitch="312" w:charSpace="0"/>
        </w:sectPr>
      </w:pPr>
      <w:r>
        <w:rPr>
          <w:rFonts w:hint="eastAsia" w:ascii="宋体" w:hAnsi="宋体" w:cs="宋体"/>
          <w:color w:val="auto"/>
          <w:kern w:val="0"/>
          <w:sz w:val="28"/>
          <w:szCs w:val="28"/>
          <w:highlight w:val="none"/>
        </w:rPr>
        <w:t>投标人投标时必须配备现场专业监理人员</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9</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名以上(含</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9</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名，总监理工程师除外)，其中监理人员配备视工程情况要求，如有弄虚作假行为，除废除中标资格外，自愿接受在一年内不得进入</w:t>
      </w:r>
      <w:r>
        <w:rPr>
          <w:rFonts w:hint="eastAsia" w:ascii="华文行楷" w:hAnsi="华文行楷" w:eastAsia="华文行楷" w:cs="华文行楷"/>
          <w:color w:val="auto"/>
          <w:kern w:val="0"/>
          <w:sz w:val="28"/>
          <w:szCs w:val="28"/>
          <w:highlight w:val="none"/>
        </w:rPr>
        <w:t>广州公共资源交易中心、湛江市公共资源交易中心</w:t>
      </w:r>
      <w:r>
        <w:rPr>
          <w:rFonts w:hint="eastAsia" w:ascii="宋体" w:hAnsi="宋体" w:cs="宋体"/>
          <w:color w:val="auto"/>
          <w:kern w:val="0"/>
          <w:sz w:val="28"/>
          <w:szCs w:val="28"/>
          <w:highlight w:val="none"/>
        </w:rPr>
        <w:t>投标的处理，招标人可以按照评标委员会提出的中标候选人名单排序依次确定其他中标候选人为中标人。</w:t>
      </w:r>
    </w:p>
    <w:p>
      <w:pPr>
        <w:pStyle w:val="2"/>
        <w:spacing w:before="240" w:after="120" w:line="560" w:lineRule="exact"/>
        <w:jc w:val="center"/>
        <w:rPr>
          <w:rFonts w:ascii="方正小标宋简体" w:hAnsi="方正小标宋简体" w:eastAsia="方正小标宋简体" w:cs="方正小标宋简体"/>
          <w:color w:val="auto"/>
          <w:kern w:val="0"/>
          <w:highlight w:val="none"/>
        </w:rPr>
      </w:pPr>
      <w:bookmarkStart w:id="37" w:name="_Toc19408"/>
      <w:bookmarkStart w:id="38" w:name="_Toc339381037"/>
      <w:bookmarkStart w:id="39" w:name="_Toc57042148"/>
      <w:r>
        <w:rPr>
          <w:rFonts w:hint="eastAsia" w:ascii="方正小标宋简体" w:hAnsi="方正小标宋简体" w:eastAsia="方正小标宋简体" w:cs="方正小标宋简体"/>
          <w:color w:val="auto"/>
          <w:kern w:val="0"/>
          <w:highlight w:val="none"/>
        </w:rPr>
        <w:t>第三部分 投标格式</w:t>
      </w:r>
      <w:bookmarkEnd w:id="37"/>
      <w:bookmarkEnd w:id="38"/>
      <w:bookmarkEnd w:id="39"/>
    </w:p>
    <w:p>
      <w:pPr>
        <w:rPr>
          <w:color w:val="auto"/>
          <w:highlight w:val="none"/>
        </w:rPr>
      </w:pPr>
    </w:p>
    <w:p>
      <w:pPr>
        <w:pStyle w:val="4"/>
        <w:spacing w:line="560" w:lineRule="exact"/>
        <w:ind w:left="2150" w:hanging="2150" w:hangingChars="672"/>
        <w:rPr>
          <w:color w:val="auto"/>
          <w:highlight w:val="none"/>
        </w:rPr>
      </w:pPr>
      <w:bookmarkStart w:id="40" w:name="_Toc339381038"/>
      <w:bookmarkStart w:id="41" w:name="_Toc57042149"/>
      <w:r>
        <w:rPr>
          <w:rFonts w:hint="eastAsia" w:ascii="宋体" w:hAnsi="宋体" w:eastAsia="宋体" w:cs="宋体"/>
          <w:b w:val="0"/>
          <w:bCs w:val="0"/>
          <w:color w:val="auto"/>
          <w:highlight w:val="none"/>
        </w:rPr>
        <w:t>投标格式一</w:t>
      </w:r>
      <w:r>
        <w:rPr>
          <w:rFonts w:hint="eastAsia" w:ascii="黑体" w:hAnsi="宋体"/>
          <w:b w:val="0"/>
          <w:color w:val="auto"/>
          <w:highlight w:val="none"/>
        </w:rPr>
        <w:br w:type="textWrapping"/>
      </w:r>
      <w:r>
        <w:rPr>
          <w:rFonts w:hint="eastAsia" w:ascii="宋体" w:hAnsi="宋体" w:eastAsia="宋体" w:cs="宋体"/>
          <w:color w:val="auto"/>
          <w:sz w:val="44"/>
          <w:szCs w:val="44"/>
          <w:highlight w:val="none"/>
        </w:rPr>
        <w:t>工程监理投标报价书</w:t>
      </w:r>
      <w:bookmarkEnd w:id="40"/>
      <w:bookmarkEnd w:id="41"/>
    </w:p>
    <w:p>
      <w:pPr>
        <w:spacing w:line="560" w:lineRule="exact"/>
        <w:rPr>
          <w:color w:val="auto"/>
          <w:sz w:val="28"/>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148"/>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68" w:type="dxa"/>
            <w:noWrap w:val="0"/>
            <w:vAlign w:val="center"/>
          </w:tcPr>
          <w:p>
            <w:pPr>
              <w:spacing w:line="560" w:lineRule="exact"/>
              <w:ind w:right="-678" w:rightChars="-323"/>
              <w:rPr>
                <w:color w:val="auto"/>
                <w:sz w:val="28"/>
                <w:highlight w:val="none"/>
              </w:rPr>
            </w:pPr>
            <w:r>
              <w:rPr>
                <w:rFonts w:hint="eastAsia"/>
                <w:color w:val="auto"/>
                <w:sz w:val="28"/>
                <w:highlight w:val="none"/>
              </w:rPr>
              <w:t>工程名称</w:t>
            </w:r>
          </w:p>
        </w:tc>
        <w:tc>
          <w:tcPr>
            <w:tcW w:w="7087" w:type="dxa"/>
            <w:gridSpan w:val="2"/>
            <w:noWrap w:val="0"/>
            <w:vAlign w:val="center"/>
          </w:tcPr>
          <w:p>
            <w:pPr>
              <w:spacing w:line="560" w:lineRule="exact"/>
              <w:ind w:firstLine="140" w:firstLineChars="50"/>
              <w:rPr>
                <w:rFonts w:ascii="华文行楷" w:eastAsia="华文行楷"/>
                <w:color w:val="auto"/>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68" w:type="dxa"/>
            <w:noWrap w:val="0"/>
            <w:vAlign w:val="center"/>
          </w:tcPr>
          <w:p>
            <w:pPr>
              <w:spacing w:line="560" w:lineRule="exact"/>
              <w:rPr>
                <w:color w:val="auto"/>
                <w:sz w:val="28"/>
                <w:highlight w:val="none"/>
              </w:rPr>
            </w:pPr>
            <w:r>
              <w:rPr>
                <w:rFonts w:hint="eastAsia"/>
                <w:color w:val="auto"/>
                <w:sz w:val="28"/>
                <w:highlight w:val="none"/>
              </w:rPr>
              <w:t>招标单位</w:t>
            </w:r>
          </w:p>
        </w:tc>
        <w:tc>
          <w:tcPr>
            <w:tcW w:w="7087" w:type="dxa"/>
            <w:gridSpan w:val="2"/>
            <w:noWrap w:val="0"/>
            <w:vAlign w:val="center"/>
          </w:tcPr>
          <w:p>
            <w:pPr>
              <w:spacing w:line="560" w:lineRule="exact"/>
              <w:ind w:firstLine="140" w:firstLineChars="5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68" w:type="dxa"/>
            <w:noWrap w:val="0"/>
            <w:vAlign w:val="center"/>
          </w:tcPr>
          <w:p>
            <w:pPr>
              <w:spacing w:line="560" w:lineRule="exact"/>
              <w:rPr>
                <w:color w:val="auto"/>
                <w:sz w:val="28"/>
                <w:highlight w:val="none"/>
              </w:rPr>
            </w:pPr>
            <w:r>
              <w:rPr>
                <w:rFonts w:hint="eastAsia"/>
                <w:color w:val="auto"/>
                <w:sz w:val="28"/>
                <w:highlight w:val="none"/>
              </w:rPr>
              <w:t>投标单位</w:t>
            </w:r>
          </w:p>
        </w:tc>
        <w:tc>
          <w:tcPr>
            <w:tcW w:w="7087" w:type="dxa"/>
            <w:gridSpan w:val="2"/>
            <w:noWrap w:val="0"/>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816" w:type="dxa"/>
            <w:gridSpan w:val="2"/>
            <w:noWrap w:val="0"/>
            <w:vAlign w:val="bottom"/>
          </w:tcPr>
          <w:p>
            <w:pPr>
              <w:spacing w:line="560" w:lineRule="exact"/>
              <w:jc w:val="center"/>
              <w:rPr>
                <w:color w:val="auto"/>
                <w:sz w:val="28"/>
                <w:highlight w:val="none"/>
              </w:rPr>
            </w:pPr>
            <w:r>
              <w:rPr>
                <w:rFonts w:hint="eastAsia"/>
                <w:color w:val="auto"/>
                <w:sz w:val="28"/>
                <w:highlight w:val="none"/>
              </w:rPr>
              <w:t>投报监理费浮动系数（a）</w:t>
            </w:r>
          </w:p>
          <w:p>
            <w:pPr>
              <w:spacing w:line="560" w:lineRule="exact"/>
              <w:jc w:val="center"/>
              <w:rPr>
                <w:color w:val="auto"/>
                <w:sz w:val="28"/>
                <w:highlight w:val="none"/>
              </w:rPr>
            </w:pPr>
            <w:r>
              <w:rPr>
                <w:rFonts w:hint="eastAsia"/>
                <w:color w:val="auto"/>
                <w:sz w:val="28"/>
                <w:highlight w:val="none"/>
              </w:rPr>
              <w:t>有效区间</w:t>
            </w:r>
          </w:p>
        </w:tc>
        <w:tc>
          <w:tcPr>
            <w:tcW w:w="4939" w:type="dxa"/>
            <w:noWrap w:val="0"/>
            <w:vAlign w:val="center"/>
          </w:tcPr>
          <w:p>
            <w:pPr>
              <w:spacing w:line="560" w:lineRule="exact"/>
              <w:jc w:val="center"/>
              <w:rPr>
                <w:color w:val="auto"/>
                <w:sz w:val="28"/>
                <w:highlight w:val="none"/>
              </w:rPr>
            </w:pPr>
            <w:r>
              <w:rPr>
                <w:rFonts w:hint="eastAsia" w:ascii="宋体" w:hAnsi="宋体"/>
                <w:color w:val="auto"/>
                <w:sz w:val="28"/>
                <w:highlight w:val="none"/>
              </w:rPr>
              <w:t>-</w:t>
            </w:r>
            <w:r>
              <w:rPr>
                <w:rFonts w:hint="eastAsia" w:ascii="宋体" w:hAnsi="宋体"/>
                <w:color w:val="auto"/>
                <w:sz w:val="28"/>
                <w:highlight w:val="none"/>
                <w:lang w:val="en-US" w:eastAsia="zh-CN"/>
              </w:rPr>
              <w:t>15</w:t>
            </w:r>
            <w:r>
              <w:rPr>
                <w:rFonts w:hint="eastAsia" w:ascii="宋体" w:hAnsi="宋体"/>
                <w:color w:val="auto"/>
                <w:sz w:val="28"/>
                <w:highlight w:val="none"/>
              </w:rPr>
              <w:t>％</w:t>
            </w:r>
            <w:r>
              <w:rPr>
                <w:rFonts w:ascii="宋体" w:hAnsi="宋体"/>
                <w:color w:val="auto"/>
                <w:sz w:val="28"/>
                <w:highlight w:val="none"/>
              </w:rPr>
              <w:t>≤</w:t>
            </w:r>
            <w:r>
              <w:rPr>
                <w:rFonts w:hint="eastAsia" w:ascii="宋体" w:hAnsi="宋体"/>
                <w:color w:val="auto"/>
                <w:sz w:val="28"/>
                <w:highlight w:val="none"/>
              </w:rPr>
              <w:t>a</w:t>
            </w:r>
            <w:r>
              <w:rPr>
                <w:rFonts w:ascii="宋体" w:hAnsi="宋体"/>
                <w:color w:val="auto"/>
                <w:sz w:val="28"/>
                <w:highlight w:val="none"/>
              </w:rPr>
              <w:t>≤</w:t>
            </w:r>
            <w:r>
              <w:rPr>
                <w:rFonts w:hint="eastAsia" w:ascii="宋体" w:hAnsi="宋体"/>
                <w:color w:val="auto"/>
                <w:sz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816" w:type="dxa"/>
            <w:gridSpan w:val="2"/>
            <w:noWrap w:val="0"/>
            <w:vAlign w:val="center"/>
          </w:tcPr>
          <w:p>
            <w:pPr>
              <w:spacing w:line="560" w:lineRule="exact"/>
              <w:jc w:val="center"/>
              <w:rPr>
                <w:color w:val="auto"/>
                <w:sz w:val="28"/>
                <w:highlight w:val="none"/>
              </w:rPr>
            </w:pPr>
            <w:r>
              <w:rPr>
                <w:rFonts w:hint="eastAsia"/>
                <w:color w:val="auto"/>
                <w:sz w:val="28"/>
                <w:highlight w:val="none"/>
              </w:rPr>
              <w:t xml:space="preserve">投标人投报监理费浮动系数（％）      </w:t>
            </w:r>
          </w:p>
        </w:tc>
        <w:tc>
          <w:tcPr>
            <w:tcW w:w="4939" w:type="dxa"/>
            <w:noWrap w:val="0"/>
            <w:vAlign w:val="bottom"/>
          </w:tcPr>
          <w:p>
            <w:pPr>
              <w:spacing w:line="560" w:lineRule="exact"/>
              <w:ind w:firstLine="840" w:firstLineChars="400"/>
              <w:jc w:val="center"/>
              <w:rPr>
                <w:color w:val="auto"/>
                <w:sz w:val="2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951865</wp:posOffset>
                      </wp:positionH>
                      <wp:positionV relativeFrom="paragraph">
                        <wp:posOffset>319405</wp:posOffset>
                      </wp:positionV>
                      <wp:extent cx="60960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6096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4.95pt;margin-top:25.15pt;height:0pt;width:48pt;z-index:251659264;mso-width-relative:page;mso-height-relative:page;" filled="f" stroked="t" coordsize="21600,21600" o:gfxdata="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BTma9YAAAAJAQAADwAAAAAAAAABACAAAAAiAAAAZHJzL2Rvd25y&#10;ZXYueG1sUEsBAhQAFAAAAAgAh07iQGyvgTAAAgAA+QMAAA4AAAAAAAAAAQAgAAAAJQEAAGRycy9l&#10;Mm9Eb2MueG1sUEsFBgAAAAAGAAYAWQEAAJcFAAAAAA==&#10;">
                      <v:fill on="f" focussize="0,0"/>
                      <v:stroke color="#000000" joinstyle="round"/>
                      <v:imagedata o:title=""/>
                      <o:lock v:ext="edit" aspectratio="f"/>
                    </v:shape>
                  </w:pict>
                </mc:Fallback>
              </mc:AlternateContent>
            </w:r>
            <w:r>
              <w:rPr>
                <w:rFonts w:hint="eastAsia"/>
                <w:color w:val="auto"/>
                <w:sz w:val="28"/>
                <w:highlight w:val="none"/>
              </w:rPr>
              <w:t>%</w:t>
            </w:r>
          </w:p>
          <w:p>
            <w:pPr>
              <w:spacing w:line="560" w:lineRule="exact"/>
              <w:jc w:val="center"/>
              <w:rPr>
                <w:color w:val="auto"/>
                <w:sz w:val="28"/>
                <w:highlight w:val="none"/>
              </w:rPr>
            </w:pPr>
            <w:r>
              <w:rPr>
                <w:rFonts w:hint="eastAsia"/>
                <w:color w:val="auto"/>
                <w:sz w:val="28"/>
                <w:highlight w:val="none"/>
              </w:rPr>
              <w:t>（下划线所填写保留小数点后两位数）</w:t>
            </w:r>
          </w:p>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816" w:type="dxa"/>
            <w:gridSpan w:val="2"/>
            <w:noWrap w:val="0"/>
            <w:vAlign w:val="center"/>
          </w:tcPr>
          <w:p>
            <w:pPr>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投标人投标报价（元）</w:t>
            </w:r>
          </w:p>
        </w:tc>
        <w:tc>
          <w:tcPr>
            <w:tcW w:w="4939" w:type="dxa"/>
            <w:noWrap w:val="0"/>
            <w:vAlign w:val="center"/>
          </w:tcPr>
          <w:p>
            <w:pPr>
              <w:spacing w:line="560" w:lineRule="exact"/>
              <w:ind w:firstLine="840" w:firstLineChars="30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元  </w:t>
            </w:r>
          </w:p>
        </w:tc>
      </w:tr>
    </w:tbl>
    <w:p>
      <w:pPr>
        <w:spacing w:line="560" w:lineRule="exact"/>
        <w:ind w:firstLine="280" w:firstLineChars="100"/>
        <w:rPr>
          <w:color w:val="auto"/>
          <w:sz w:val="28"/>
          <w:highlight w:val="none"/>
        </w:rPr>
      </w:pPr>
    </w:p>
    <w:p>
      <w:pPr>
        <w:spacing w:line="480" w:lineRule="auto"/>
        <w:ind w:firstLine="4480" w:firstLineChars="1600"/>
        <w:rPr>
          <w:color w:val="auto"/>
          <w:sz w:val="28"/>
          <w:highlight w:val="none"/>
        </w:rPr>
      </w:pPr>
      <w:r>
        <w:rPr>
          <w:rFonts w:hint="eastAsia"/>
          <w:color w:val="auto"/>
          <w:sz w:val="28"/>
          <w:highlight w:val="none"/>
        </w:rPr>
        <w:t>投标人（盖章）</w:t>
      </w:r>
    </w:p>
    <w:p>
      <w:pPr>
        <w:spacing w:line="480" w:lineRule="auto"/>
        <w:ind w:firstLine="4480" w:firstLineChars="1600"/>
        <w:rPr>
          <w:color w:val="auto"/>
          <w:sz w:val="28"/>
          <w:highlight w:val="none"/>
        </w:rPr>
      </w:pPr>
      <w:r>
        <w:rPr>
          <w:rFonts w:hint="eastAsia"/>
          <w:color w:val="auto"/>
          <w:sz w:val="28"/>
          <w:highlight w:val="none"/>
        </w:rPr>
        <w:t>法定代表人：（亲笔签名）</w:t>
      </w:r>
    </w:p>
    <w:p>
      <w:pPr>
        <w:spacing w:line="480" w:lineRule="auto"/>
        <w:rPr>
          <w:color w:val="auto"/>
          <w:sz w:val="28"/>
          <w:highlight w:val="none"/>
        </w:rPr>
      </w:pPr>
      <w:r>
        <w:rPr>
          <w:rFonts w:hint="eastAsia"/>
          <w:color w:val="auto"/>
          <w:sz w:val="28"/>
          <w:highlight w:val="none"/>
        </w:rPr>
        <w:t xml:space="preserve">                                日期：     年     月    日</w:t>
      </w:r>
    </w:p>
    <w:p>
      <w:pPr>
        <w:pStyle w:val="4"/>
        <w:spacing w:line="560" w:lineRule="exact"/>
        <w:ind w:left="2720" w:hanging="2720" w:hangingChars="850"/>
        <w:rPr>
          <w:rFonts w:ascii="宋体" w:hAnsi="宋体" w:eastAsia="宋体" w:cs="宋体"/>
          <w:b w:val="0"/>
          <w:color w:val="auto"/>
          <w:highlight w:val="none"/>
        </w:rPr>
      </w:pPr>
      <w:bookmarkStart w:id="42" w:name="_Toc57042150"/>
      <w:bookmarkStart w:id="43" w:name="_Toc339381040"/>
      <w:r>
        <w:rPr>
          <w:rFonts w:hint="eastAsia" w:ascii="宋体" w:hAnsi="宋体" w:eastAsia="宋体" w:cs="宋体"/>
          <w:b w:val="0"/>
          <w:color w:val="auto"/>
          <w:highlight w:val="none"/>
        </w:rPr>
        <w:t>投标格式二</w:t>
      </w:r>
      <w:bookmarkEnd w:id="42"/>
    </w:p>
    <w:p>
      <w:pPr>
        <w:pStyle w:val="4"/>
        <w:spacing w:line="560" w:lineRule="exact"/>
        <w:jc w:val="center"/>
        <w:rPr>
          <w:rFonts w:ascii="黑体" w:hAnsi="宋体"/>
          <w:b w:val="0"/>
          <w:color w:val="auto"/>
          <w:sz w:val="44"/>
          <w:szCs w:val="44"/>
          <w:highlight w:val="none"/>
        </w:rPr>
      </w:pPr>
      <w:bookmarkStart w:id="44" w:name="_Toc57042151"/>
      <w:r>
        <w:rPr>
          <w:rFonts w:hint="eastAsia" w:ascii="宋体" w:hAnsi="宋体" w:eastAsia="宋体"/>
          <w:bCs w:val="0"/>
          <w:color w:val="auto"/>
          <w:sz w:val="44"/>
          <w:szCs w:val="44"/>
          <w:highlight w:val="none"/>
        </w:rPr>
        <w:t>总监理工程师简历表</w:t>
      </w:r>
      <w:bookmarkEnd w:id="43"/>
      <w:bookmarkEnd w:id="4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440"/>
        <w:gridCol w:w="1680"/>
        <w:gridCol w:w="1740"/>
        <w:gridCol w:w="1260"/>
        <w:gridCol w:w="12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620" w:type="dxa"/>
            <w:vAlign w:val="center"/>
          </w:tcPr>
          <w:p>
            <w:pPr>
              <w:spacing w:line="560" w:lineRule="exact"/>
              <w:jc w:val="center"/>
              <w:rPr>
                <w:rFonts w:ascii="宋体" w:hAnsi="宋体"/>
                <w:color w:val="auto"/>
                <w:sz w:val="24"/>
                <w:highlight w:val="none"/>
              </w:rPr>
            </w:pPr>
            <w:r>
              <w:rPr>
                <w:rFonts w:hint="eastAsia" w:ascii="宋体" w:hAnsi="宋体"/>
                <w:color w:val="auto"/>
                <w:sz w:val="24"/>
                <w:highlight w:val="none"/>
              </w:rPr>
              <w:t>姓   名</w:t>
            </w:r>
          </w:p>
        </w:tc>
        <w:tc>
          <w:tcPr>
            <w:tcW w:w="1440" w:type="dxa"/>
            <w:vAlign w:val="center"/>
          </w:tcPr>
          <w:p>
            <w:pPr>
              <w:spacing w:line="560" w:lineRule="exact"/>
              <w:jc w:val="center"/>
              <w:rPr>
                <w:rFonts w:ascii="宋体" w:hAnsi="宋体"/>
                <w:color w:val="auto"/>
                <w:sz w:val="24"/>
                <w:highlight w:val="none"/>
              </w:rPr>
            </w:pPr>
          </w:p>
        </w:tc>
        <w:tc>
          <w:tcPr>
            <w:tcW w:w="1680" w:type="dxa"/>
            <w:vAlign w:val="center"/>
          </w:tcPr>
          <w:p>
            <w:pPr>
              <w:spacing w:line="560" w:lineRule="exact"/>
              <w:jc w:val="center"/>
              <w:rPr>
                <w:rFonts w:ascii="宋体" w:hAnsi="宋体"/>
                <w:color w:val="auto"/>
                <w:sz w:val="24"/>
                <w:highlight w:val="none"/>
              </w:rPr>
            </w:pPr>
            <w:r>
              <w:rPr>
                <w:rFonts w:hint="eastAsia" w:ascii="宋体" w:hAnsi="宋体"/>
                <w:color w:val="auto"/>
                <w:sz w:val="24"/>
                <w:highlight w:val="none"/>
              </w:rPr>
              <w:t>性   别</w:t>
            </w:r>
          </w:p>
        </w:tc>
        <w:tc>
          <w:tcPr>
            <w:tcW w:w="1740" w:type="dxa"/>
            <w:vAlign w:val="center"/>
          </w:tcPr>
          <w:p>
            <w:pPr>
              <w:spacing w:line="560" w:lineRule="exact"/>
              <w:jc w:val="center"/>
              <w:rPr>
                <w:rFonts w:ascii="宋体" w:hAnsi="宋体"/>
                <w:color w:val="auto"/>
                <w:sz w:val="24"/>
                <w:highlight w:val="none"/>
              </w:rPr>
            </w:pPr>
          </w:p>
        </w:tc>
        <w:tc>
          <w:tcPr>
            <w:tcW w:w="1260" w:type="dxa"/>
            <w:vAlign w:val="center"/>
          </w:tcPr>
          <w:p>
            <w:pPr>
              <w:spacing w:line="560" w:lineRule="exact"/>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spacing w:line="56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620" w:type="dxa"/>
            <w:vAlign w:val="center"/>
          </w:tcPr>
          <w:p>
            <w:pPr>
              <w:spacing w:line="560" w:lineRule="exact"/>
              <w:jc w:val="center"/>
              <w:rPr>
                <w:rFonts w:ascii="宋体" w:hAnsi="宋体"/>
                <w:color w:val="auto"/>
                <w:sz w:val="24"/>
                <w:highlight w:val="none"/>
              </w:rPr>
            </w:pPr>
            <w:r>
              <w:rPr>
                <w:rFonts w:hint="eastAsia" w:ascii="宋体" w:hAnsi="宋体"/>
                <w:color w:val="auto"/>
                <w:sz w:val="24"/>
                <w:highlight w:val="none"/>
              </w:rPr>
              <w:t>学历及专业</w:t>
            </w:r>
          </w:p>
        </w:tc>
        <w:tc>
          <w:tcPr>
            <w:tcW w:w="1440" w:type="dxa"/>
            <w:vAlign w:val="center"/>
          </w:tcPr>
          <w:p>
            <w:pPr>
              <w:spacing w:line="560" w:lineRule="exact"/>
              <w:jc w:val="center"/>
              <w:rPr>
                <w:rFonts w:ascii="宋体" w:hAnsi="宋体"/>
                <w:color w:val="auto"/>
                <w:sz w:val="24"/>
                <w:highlight w:val="none"/>
              </w:rPr>
            </w:pPr>
          </w:p>
        </w:tc>
        <w:tc>
          <w:tcPr>
            <w:tcW w:w="1680" w:type="dxa"/>
            <w:vAlign w:val="center"/>
          </w:tcPr>
          <w:p>
            <w:pPr>
              <w:spacing w:line="560" w:lineRule="exact"/>
              <w:jc w:val="center"/>
              <w:rPr>
                <w:rFonts w:ascii="宋体" w:hAnsi="宋体"/>
                <w:color w:val="auto"/>
                <w:sz w:val="24"/>
                <w:highlight w:val="none"/>
              </w:rPr>
            </w:pPr>
            <w:r>
              <w:rPr>
                <w:rFonts w:hint="eastAsia" w:ascii="宋体" w:hAnsi="宋体"/>
                <w:color w:val="auto"/>
                <w:sz w:val="24"/>
                <w:highlight w:val="none"/>
              </w:rPr>
              <w:t>现任职务及</w:t>
            </w:r>
          </w:p>
          <w:p>
            <w:pPr>
              <w:spacing w:line="560" w:lineRule="exact"/>
              <w:jc w:val="center"/>
              <w:rPr>
                <w:rFonts w:ascii="宋体" w:hAnsi="宋体"/>
                <w:color w:val="auto"/>
                <w:sz w:val="24"/>
                <w:highlight w:val="none"/>
              </w:rPr>
            </w:pPr>
            <w:r>
              <w:rPr>
                <w:rFonts w:hint="eastAsia" w:ascii="宋体" w:hAnsi="宋体"/>
                <w:color w:val="auto"/>
                <w:sz w:val="24"/>
                <w:highlight w:val="none"/>
              </w:rPr>
              <w:t>拟任职务</w:t>
            </w:r>
          </w:p>
        </w:tc>
        <w:tc>
          <w:tcPr>
            <w:tcW w:w="1740" w:type="dxa"/>
            <w:vAlign w:val="center"/>
          </w:tcPr>
          <w:p>
            <w:pPr>
              <w:spacing w:line="560" w:lineRule="exact"/>
              <w:jc w:val="center"/>
              <w:rPr>
                <w:rFonts w:ascii="宋体" w:hAnsi="宋体"/>
                <w:color w:val="auto"/>
                <w:sz w:val="24"/>
                <w:highlight w:val="none"/>
              </w:rPr>
            </w:pPr>
          </w:p>
        </w:tc>
        <w:tc>
          <w:tcPr>
            <w:tcW w:w="1260" w:type="dxa"/>
            <w:vAlign w:val="center"/>
          </w:tcPr>
          <w:p>
            <w:pPr>
              <w:spacing w:line="560" w:lineRule="exact"/>
              <w:ind w:left="-107" w:leftChars="-51" w:right="-107" w:rightChars="-51"/>
              <w:jc w:val="center"/>
              <w:rPr>
                <w:rFonts w:ascii="宋体" w:hAnsi="宋体"/>
                <w:color w:val="auto"/>
                <w:sz w:val="24"/>
                <w:highlight w:val="none"/>
              </w:rPr>
            </w:pPr>
            <w:r>
              <w:rPr>
                <w:rFonts w:hint="eastAsia" w:ascii="宋体" w:hAnsi="宋体"/>
                <w:color w:val="auto"/>
                <w:sz w:val="24"/>
                <w:highlight w:val="none"/>
              </w:rPr>
              <w:t>技术职称</w:t>
            </w:r>
          </w:p>
        </w:tc>
        <w:tc>
          <w:tcPr>
            <w:tcW w:w="1260" w:type="dxa"/>
            <w:vAlign w:val="center"/>
          </w:tcPr>
          <w:p>
            <w:pPr>
              <w:spacing w:line="56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620" w:type="dxa"/>
            <w:vAlign w:val="center"/>
          </w:tcPr>
          <w:p>
            <w:pPr>
              <w:spacing w:line="560" w:lineRule="exact"/>
              <w:ind w:left="-107" w:leftChars="-51" w:right="-107" w:rightChars="-51"/>
              <w:jc w:val="center"/>
              <w:rPr>
                <w:rFonts w:ascii="宋体" w:hAnsi="宋体"/>
                <w:color w:val="auto"/>
                <w:sz w:val="24"/>
                <w:highlight w:val="none"/>
              </w:rPr>
            </w:pPr>
            <w:r>
              <w:rPr>
                <w:rFonts w:hint="eastAsia" w:ascii="宋体" w:hAnsi="宋体"/>
                <w:color w:val="auto"/>
                <w:sz w:val="24"/>
                <w:highlight w:val="none"/>
              </w:rPr>
              <w:t>监理培训证号</w:t>
            </w:r>
          </w:p>
        </w:tc>
        <w:tc>
          <w:tcPr>
            <w:tcW w:w="3120" w:type="dxa"/>
            <w:gridSpan w:val="2"/>
            <w:vAlign w:val="center"/>
          </w:tcPr>
          <w:p>
            <w:pPr>
              <w:spacing w:line="560" w:lineRule="exact"/>
              <w:jc w:val="center"/>
              <w:rPr>
                <w:rFonts w:ascii="宋体" w:hAnsi="宋体"/>
                <w:color w:val="auto"/>
                <w:sz w:val="24"/>
                <w:highlight w:val="none"/>
              </w:rPr>
            </w:pPr>
          </w:p>
          <w:p>
            <w:pPr>
              <w:spacing w:line="560" w:lineRule="exact"/>
              <w:jc w:val="center"/>
              <w:rPr>
                <w:rFonts w:ascii="宋体" w:hAnsi="宋体"/>
                <w:color w:val="auto"/>
                <w:sz w:val="24"/>
                <w:highlight w:val="none"/>
              </w:rPr>
            </w:pPr>
          </w:p>
        </w:tc>
        <w:tc>
          <w:tcPr>
            <w:tcW w:w="1740" w:type="dxa"/>
            <w:vAlign w:val="center"/>
          </w:tcPr>
          <w:p>
            <w:pPr>
              <w:spacing w:line="560" w:lineRule="exact"/>
              <w:jc w:val="center"/>
              <w:rPr>
                <w:rFonts w:ascii="宋体" w:hAnsi="宋体"/>
                <w:color w:val="auto"/>
                <w:sz w:val="24"/>
                <w:highlight w:val="none"/>
              </w:rPr>
            </w:pPr>
            <w:r>
              <w:rPr>
                <w:rFonts w:hint="eastAsia" w:ascii="宋体" w:hAnsi="宋体"/>
                <w:color w:val="auto"/>
                <w:sz w:val="24"/>
                <w:highlight w:val="none"/>
              </w:rPr>
              <w:t>监理工程师</w:t>
            </w:r>
          </w:p>
          <w:p>
            <w:pPr>
              <w:spacing w:line="560" w:lineRule="exact"/>
              <w:jc w:val="center"/>
              <w:rPr>
                <w:rFonts w:ascii="宋体" w:hAnsi="宋体"/>
                <w:color w:val="auto"/>
                <w:sz w:val="24"/>
                <w:highlight w:val="none"/>
              </w:rPr>
            </w:pPr>
            <w:r>
              <w:rPr>
                <w:rFonts w:hint="eastAsia" w:ascii="宋体" w:hAnsi="宋体"/>
                <w:color w:val="auto"/>
                <w:sz w:val="24"/>
                <w:highlight w:val="none"/>
              </w:rPr>
              <w:t>注册证书号</w:t>
            </w:r>
          </w:p>
        </w:tc>
        <w:tc>
          <w:tcPr>
            <w:tcW w:w="2520" w:type="dxa"/>
            <w:gridSpan w:val="2"/>
            <w:vAlign w:val="center"/>
          </w:tcPr>
          <w:p>
            <w:pPr>
              <w:spacing w:line="56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2" w:hRule="atLeast"/>
        </w:trPr>
        <w:tc>
          <w:tcPr>
            <w:tcW w:w="1620" w:type="dxa"/>
            <w:vAlign w:val="center"/>
          </w:tcPr>
          <w:p>
            <w:pPr>
              <w:spacing w:line="560" w:lineRule="exact"/>
              <w:jc w:val="center"/>
              <w:rPr>
                <w:rFonts w:ascii="宋体" w:hAnsi="宋体"/>
                <w:color w:val="auto"/>
                <w:sz w:val="24"/>
                <w:highlight w:val="none"/>
              </w:rPr>
            </w:pPr>
          </w:p>
          <w:p>
            <w:pPr>
              <w:spacing w:line="560" w:lineRule="exact"/>
              <w:jc w:val="center"/>
              <w:rPr>
                <w:rFonts w:ascii="宋体" w:hAnsi="宋体"/>
                <w:color w:val="auto"/>
                <w:sz w:val="24"/>
                <w:highlight w:val="none"/>
              </w:rPr>
            </w:pPr>
            <w:r>
              <w:rPr>
                <w:rFonts w:hint="eastAsia" w:ascii="宋体" w:hAnsi="宋体"/>
                <w:color w:val="auto"/>
                <w:sz w:val="24"/>
                <w:highlight w:val="none"/>
              </w:rPr>
              <w:t>主</w:t>
            </w:r>
          </w:p>
          <w:p>
            <w:pPr>
              <w:spacing w:line="560" w:lineRule="exact"/>
              <w:jc w:val="center"/>
              <w:rPr>
                <w:rFonts w:ascii="宋体" w:hAnsi="宋体"/>
                <w:color w:val="auto"/>
                <w:sz w:val="24"/>
                <w:highlight w:val="none"/>
              </w:rPr>
            </w:pPr>
            <w:r>
              <w:rPr>
                <w:rFonts w:hint="eastAsia" w:ascii="宋体" w:hAnsi="宋体"/>
                <w:color w:val="auto"/>
                <w:sz w:val="24"/>
                <w:highlight w:val="none"/>
              </w:rPr>
              <w:t>要</w:t>
            </w:r>
          </w:p>
          <w:p>
            <w:pPr>
              <w:spacing w:line="560" w:lineRule="exact"/>
              <w:jc w:val="center"/>
              <w:rPr>
                <w:rFonts w:ascii="宋体" w:hAnsi="宋体"/>
                <w:color w:val="auto"/>
                <w:sz w:val="24"/>
                <w:highlight w:val="none"/>
              </w:rPr>
            </w:pPr>
            <w:r>
              <w:rPr>
                <w:rFonts w:hint="eastAsia" w:ascii="宋体" w:hAnsi="宋体"/>
                <w:color w:val="auto"/>
                <w:sz w:val="24"/>
                <w:highlight w:val="none"/>
              </w:rPr>
              <w:t>经</w:t>
            </w:r>
          </w:p>
          <w:p>
            <w:pPr>
              <w:spacing w:line="560" w:lineRule="exact"/>
              <w:jc w:val="center"/>
              <w:rPr>
                <w:rFonts w:ascii="宋体" w:hAnsi="宋体"/>
                <w:color w:val="auto"/>
                <w:sz w:val="24"/>
                <w:highlight w:val="none"/>
              </w:rPr>
            </w:pPr>
            <w:r>
              <w:rPr>
                <w:rFonts w:hint="eastAsia" w:ascii="宋体" w:hAnsi="宋体"/>
                <w:color w:val="auto"/>
                <w:sz w:val="24"/>
                <w:highlight w:val="none"/>
              </w:rPr>
              <w:t>历</w:t>
            </w:r>
          </w:p>
        </w:tc>
        <w:tc>
          <w:tcPr>
            <w:tcW w:w="7380" w:type="dxa"/>
            <w:gridSpan w:val="5"/>
            <w:vAlign w:val="center"/>
          </w:tcPr>
          <w:p>
            <w:pPr>
              <w:spacing w:line="560" w:lineRule="exact"/>
              <w:jc w:val="center"/>
              <w:rPr>
                <w:rFonts w:ascii="宋体" w:hAnsi="宋体"/>
                <w:color w:val="auto"/>
                <w:sz w:val="24"/>
                <w:highlight w:val="none"/>
              </w:rPr>
            </w:pPr>
          </w:p>
        </w:tc>
      </w:tr>
    </w:tbl>
    <w:p>
      <w:pPr>
        <w:spacing w:line="560" w:lineRule="exact"/>
        <w:ind w:firstLine="5250" w:firstLineChars="1750"/>
        <w:jc w:val="left"/>
        <w:rPr>
          <w:rFonts w:ascii="华文行楷" w:eastAsia="华文行楷"/>
          <w:color w:val="auto"/>
          <w:sz w:val="30"/>
          <w:highlight w:val="none"/>
        </w:rPr>
      </w:pPr>
    </w:p>
    <w:p>
      <w:pPr>
        <w:spacing w:line="560" w:lineRule="exact"/>
        <w:ind w:firstLine="5250" w:firstLineChars="1750"/>
        <w:jc w:val="left"/>
        <w:rPr>
          <w:rFonts w:ascii="华文行楷" w:eastAsia="华文行楷"/>
          <w:color w:val="auto"/>
          <w:sz w:val="30"/>
          <w:highlight w:val="none"/>
        </w:rPr>
      </w:pPr>
    </w:p>
    <w:p>
      <w:pPr>
        <w:spacing w:line="560" w:lineRule="exact"/>
        <w:ind w:firstLine="4480" w:firstLineChars="1600"/>
        <w:rPr>
          <w:color w:val="auto"/>
          <w:sz w:val="28"/>
          <w:highlight w:val="none"/>
        </w:rPr>
      </w:pPr>
      <w:r>
        <w:rPr>
          <w:rFonts w:hint="eastAsia"/>
          <w:color w:val="auto"/>
          <w:sz w:val="28"/>
          <w:highlight w:val="none"/>
        </w:rPr>
        <w:t>投标人（盖章）</w:t>
      </w:r>
    </w:p>
    <w:p>
      <w:pPr>
        <w:spacing w:line="560" w:lineRule="exact"/>
        <w:ind w:firstLine="4480" w:firstLineChars="1600"/>
        <w:rPr>
          <w:color w:val="auto"/>
          <w:sz w:val="28"/>
          <w:highlight w:val="none"/>
        </w:rPr>
      </w:pPr>
      <w:r>
        <w:rPr>
          <w:rFonts w:hint="eastAsia"/>
          <w:color w:val="auto"/>
          <w:sz w:val="28"/>
          <w:highlight w:val="none"/>
        </w:rPr>
        <w:t>法定代表人：（亲笔签名）</w:t>
      </w:r>
    </w:p>
    <w:p>
      <w:pPr>
        <w:spacing w:line="560" w:lineRule="exact"/>
        <w:ind w:firstLine="4480" w:firstLineChars="1600"/>
        <w:jc w:val="left"/>
        <w:rPr>
          <w:rFonts w:ascii="华文行楷" w:eastAsia="华文行楷"/>
          <w:color w:val="auto"/>
          <w:sz w:val="30"/>
          <w:highlight w:val="none"/>
        </w:rPr>
      </w:pPr>
      <w:r>
        <w:rPr>
          <w:rFonts w:hint="eastAsia"/>
          <w:color w:val="auto"/>
          <w:sz w:val="28"/>
          <w:highlight w:val="none"/>
        </w:rPr>
        <w:t>日期：     年     月    日</w:t>
      </w:r>
    </w:p>
    <w:p>
      <w:pPr>
        <w:spacing w:line="560" w:lineRule="exact"/>
        <w:ind w:firstLine="5250" w:firstLineChars="1750"/>
        <w:jc w:val="left"/>
        <w:rPr>
          <w:rFonts w:ascii="华文行楷" w:eastAsia="华文行楷"/>
          <w:color w:val="auto"/>
          <w:sz w:val="30"/>
          <w:highlight w:val="none"/>
        </w:rPr>
      </w:pPr>
    </w:p>
    <w:p>
      <w:pPr>
        <w:pStyle w:val="2"/>
        <w:spacing w:line="560" w:lineRule="exact"/>
        <w:rPr>
          <w:rFonts w:hint="eastAsia" w:ascii="宋体" w:hAnsi="宋体" w:eastAsia="宋体" w:cs="宋体"/>
          <w:color w:val="auto"/>
          <w:sz w:val="32"/>
          <w:szCs w:val="32"/>
          <w:highlight w:val="none"/>
          <w:lang w:val="en-US" w:eastAsia="zh-CN"/>
        </w:rPr>
      </w:pPr>
      <w:bookmarkStart w:id="45" w:name="_Toc245374765"/>
      <w:bookmarkStart w:id="46" w:name="_Toc118282776"/>
      <w:bookmarkStart w:id="47" w:name="_Toc339381041"/>
      <w:bookmarkStart w:id="48" w:name="_Toc333927688"/>
      <w:r>
        <w:rPr>
          <w:rFonts w:hint="eastAsia" w:ascii="宋体" w:hAnsi="宋体" w:cs="宋体"/>
          <w:color w:val="auto"/>
          <w:sz w:val="32"/>
          <w:szCs w:val="32"/>
          <w:highlight w:val="none"/>
        </w:rPr>
        <w:t>投标格式</w:t>
      </w:r>
      <w:r>
        <w:rPr>
          <w:rFonts w:hint="eastAsia" w:ascii="宋体" w:hAnsi="宋体" w:cs="宋体"/>
          <w:color w:val="auto"/>
          <w:sz w:val="32"/>
          <w:szCs w:val="32"/>
          <w:highlight w:val="none"/>
          <w:lang w:val="en-US" w:eastAsia="zh-CN"/>
        </w:rPr>
        <w:t>三</w:t>
      </w:r>
    </w:p>
    <w:p>
      <w:pPr>
        <w:spacing w:line="360" w:lineRule="auto"/>
        <w:jc w:val="center"/>
        <w:rPr>
          <w:rFonts w:hint="eastAsia" w:ascii="宋体" w:hAnsi="宋体" w:eastAsia="宋体" w:cs="Times New Roman"/>
          <w:b/>
          <w:bCs w:val="0"/>
          <w:color w:val="auto"/>
          <w:kern w:val="2"/>
          <w:sz w:val="44"/>
          <w:szCs w:val="44"/>
          <w:highlight w:val="none"/>
          <w:lang w:val="en-US" w:eastAsia="zh-CN" w:bidi="ar-SA"/>
        </w:rPr>
      </w:pPr>
      <w:r>
        <w:rPr>
          <w:rFonts w:hint="eastAsia" w:ascii="宋体" w:hAnsi="宋体" w:eastAsia="宋体" w:cs="Times New Roman"/>
          <w:b/>
          <w:bCs w:val="0"/>
          <w:color w:val="auto"/>
          <w:kern w:val="2"/>
          <w:sz w:val="44"/>
          <w:szCs w:val="44"/>
          <w:highlight w:val="none"/>
          <w:lang w:val="en-US" w:eastAsia="zh-CN" w:bidi="ar-SA"/>
        </w:rPr>
        <w:t>拟委派本项目驻场监理机构人员一览表</w:t>
      </w:r>
      <w:bookmarkStart w:id="49" w:name="_Toc18357"/>
    </w:p>
    <w:tbl>
      <w:tblPr>
        <w:tblStyle w:val="19"/>
        <w:tblpPr w:leftFromText="180" w:rightFromText="180" w:vertAnchor="text" w:horzAnchor="page" w:tblpX="1207" w:tblpY="156"/>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95"/>
        <w:gridCol w:w="1335"/>
        <w:gridCol w:w="1890"/>
        <w:gridCol w:w="1547"/>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01" w:type="dxa"/>
            <w:noWrap w:val="0"/>
            <w:vAlign w:val="center"/>
          </w:tcPr>
          <w:p>
            <w:pPr>
              <w:pStyle w:val="23"/>
              <w:spacing w:line="360" w:lineRule="auto"/>
              <w:rPr>
                <w:rFonts w:hint="eastAsia" w:ascii="宋体" w:hAnsi="宋体" w:eastAsia="宋体" w:cs="宋体"/>
                <w:color w:val="auto"/>
                <w:sz w:val="24"/>
                <w:highlight w:val="none"/>
              </w:rPr>
            </w:pPr>
            <w:bookmarkStart w:id="50" w:name="_Toc57642702"/>
            <w:bookmarkStart w:id="51" w:name="_Toc54715677"/>
            <w:r>
              <w:rPr>
                <w:rFonts w:hint="eastAsia" w:ascii="宋体" w:hAnsi="宋体" w:eastAsia="宋体" w:cs="宋体"/>
                <w:color w:val="auto"/>
                <w:sz w:val="24"/>
                <w:highlight w:val="none"/>
              </w:rPr>
              <w:t>序号</w:t>
            </w:r>
          </w:p>
        </w:tc>
        <w:tc>
          <w:tcPr>
            <w:tcW w:w="1495" w:type="dxa"/>
            <w:noWrap w:val="0"/>
            <w:vAlign w:val="center"/>
          </w:tcPr>
          <w:p>
            <w:pPr>
              <w:pStyle w:val="23"/>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岗位</w:t>
            </w:r>
          </w:p>
        </w:tc>
        <w:tc>
          <w:tcPr>
            <w:tcW w:w="1335" w:type="dxa"/>
            <w:noWrap w:val="0"/>
            <w:vAlign w:val="center"/>
          </w:tcPr>
          <w:p>
            <w:pPr>
              <w:pStyle w:val="23"/>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890" w:type="dxa"/>
            <w:noWrap w:val="0"/>
            <w:vAlign w:val="center"/>
          </w:tcPr>
          <w:p>
            <w:pPr>
              <w:pStyle w:val="23"/>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547" w:type="dxa"/>
            <w:noWrap w:val="0"/>
            <w:vAlign w:val="center"/>
          </w:tcPr>
          <w:p>
            <w:pPr>
              <w:pStyle w:val="23"/>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专业技术职称证书</w:t>
            </w:r>
          </w:p>
        </w:tc>
        <w:tc>
          <w:tcPr>
            <w:tcW w:w="2613" w:type="dxa"/>
            <w:noWrap w:val="0"/>
            <w:vAlign w:val="center"/>
          </w:tcPr>
          <w:p>
            <w:pPr>
              <w:pStyle w:val="23"/>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注册执业证书或监理工程师证书或监理员证书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1" w:type="dxa"/>
            <w:noWrap w:val="0"/>
            <w:vAlign w:val="center"/>
          </w:tcPr>
          <w:p>
            <w:pPr>
              <w:pStyle w:val="23"/>
              <w:spacing w:line="360" w:lineRule="auto"/>
              <w:rPr>
                <w:rFonts w:hint="eastAsia" w:ascii="宋体" w:hAnsi="宋体" w:eastAsia="宋体" w:cs="宋体"/>
                <w:color w:val="auto"/>
                <w:sz w:val="24"/>
                <w:highlight w:val="none"/>
              </w:rPr>
            </w:pPr>
          </w:p>
        </w:tc>
        <w:tc>
          <w:tcPr>
            <w:tcW w:w="1495" w:type="dxa"/>
            <w:noWrap w:val="0"/>
            <w:vAlign w:val="center"/>
          </w:tcPr>
          <w:p>
            <w:pPr>
              <w:pStyle w:val="23"/>
              <w:spacing w:line="360" w:lineRule="auto"/>
              <w:jc w:val="left"/>
              <w:rPr>
                <w:rFonts w:hint="eastAsia" w:ascii="宋体" w:hAnsi="宋体" w:eastAsia="宋体" w:cs="宋体"/>
                <w:color w:val="auto"/>
                <w:sz w:val="24"/>
                <w:highlight w:val="none"/>
              </w:rPr>
            </w:pPr>
          </w:p>
        </w:tc>
        <w:tc>
          <w:tcPr>
            <w:tcW w:w="1335" w:type="dxa"/>
            <w:noWrap w:val="0"/>
            <w:vAlign w:val="center"/>
          </w:tcPr>
          <w:p>
            <w:pPr>
              <w:pStyle w:val="23"/>
              <w:spacing w:line="360" w:lineRule="auto"/>
              <w:rPr>
                <w:rFonts w:hint="eastAsia" w:ascii="宋体" w:hAnsi="宋体" w:eastAsia="宋体" w:cs="宋体"/>
                <w:color w:val="auto"/>
                <w:sz w:val="24"/>
                <w:highlight w:val="none"/>
              </w:rPr>
            </w:pPr>
          </w:p>
        </w:tc>
        <w:tc>
          <w:tcPr>
            <w:tcW w:w="1890" w:type="dxa"/>
            <w:noWrap w:val="0"/>
            <w:vAlign w:val="center"/>
          </w:tcPr>
          <w:p>
            <w:pPr>
              <w:pStyle w:val="23"/>
              <w:spacing w:line="360" w:lineRule="auto"/>
              <w:rPr>
                <w:rFonts w:hint="eastAsia" w:ascii="宋体" w:hAnsi="宋体" w:eastAsia="宋体" w:cs="宋体"/>
                <w:color w:val="auto"/>
                <w:sz w:val="24"/>
                <w:highlight w:val="none"/>
              </w:rPr>
            </w:pPr>
          </w:p>
        </w:tc>
        <w:tc>
          <w:tcPr>
            <w:tcW w:w="1547" w:type="dxa"/>
            <w:noWrap w:val="0"/>
            <w:vAlign w:val="center"/>
          </w:tcPr>
          <w:p>
            <w:pPr>
              <w:pStyle w:val="23"/>
              <w:spacing w:line="360" w:lineRule="auto"/>
              <w:rPr>
                <w:rFonts w:hint="eastAsia" w:ascii="宋体" w:hAnsi="宋体" w:eastAsia="宋体" w:cs="宋体"/>
                <w:color w:val="auto"/>
                <w:sz w:val="24"/>
                <w:highlight w:val="none"/>
              </w:rPr>
            </w:pPr>
          </w:p>
        </w:tc>
        <w:tc>
          <w:tcPr>
            <w:tcW w:w="2613" w:type="dxa"/>
            <w:noWrap w:val="0"/>
            <w:vAlign w:val="center"/>
          </w:tcPr>
          <w:p>
            <w:pPr>
              <w:pStyle w:val="23"/>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noWrap w:val="0"/>
            <w:vAlign w:val="center"/>
          </w:tcPr>
          <w:p>
            <w:pPr>
              <w:pStyle w:val="23"/>
              <w:spacing w:line="360" w:lineRule="auto"/>
              <w:rPr>
                <w:rFonts w:hint="eastAsia" w:ascii="宋体" w:hAnsi="宋体" w:eastAsia="宋体" w:cs="宋体"/>
                <w:color w:val="auto"/>
                <w:sz w:val="24"/>
                <w:highlight w:val="none"/>
              </w:rPr>
            </w:pPr>
          </w:p>
        </w:tc>
        <w:tc>
          <w:tcPr>
            <w:tcW w:w="1495" w:type="dxa"/>
            <w:noWrap w:val="0"/>
            <w:vAlign w:val="center"/>
          </w:tcPr>
          <w:p>
            <w:pPr>
              <w:pStyle w:val="23"/>
              <w:spacing w:line="360" w:lineRule="auto"/>
              <w:jc w:val="left"/>
              <w:rPr>
                <w:rFonts w:hint="eastAsia" w:ascii="宋体" w:hAnsi="宋体" w:eastAsia="宋体" w:cs="宋体"/>
                <w:color w:val="auto"/>
                <w:sz w:val="24"/>
                <w:highlight w:val="none"/>
              </w:rPr>
            </w:pPr>
          </w:p>
        </w:tc>
        <w:tc>
          <w:tcPr>
            <w:tcW w:w="1335" w:type="dxa"/>
            <w:noWrap w:val="0"/>
            <w:vAlign w:val="center"/>
          </w:tcPr>
          <w:p>
            <w:pPr>
              <w:pStyle w:val="23"/>
              <w:spacing w:line="360" w:lineRule="auto"/>
              <w:rPr>
                <w:rFonts w:hint="eastAsia" w:ascii="宋体" w:hAnsi="宋体" w:eastAsia="宋体" w:cs="宋体"/>
                <w:color w:val="auto"/>
                <w:sz w:val="24"/>
                <w:highlight w:val="none"/>
              </w:rPr>
            </w:pPr>
          </w:p>
        </w:tc>
        <w:tc>
          <w:tcPr>
            <w:tcW w:w="1890" w:type="dxa"/>
            <w:noWrap w:val="0"/>
            <w:vAlign w:val="center"/>
          </w:tcPr>
          <w:p>
            <w:pPr>
              <w:pStyle w:val="23"/>
              <w:spacing w:line="360" w:lineRule="auto"/>
              <w:rPr>
                <w:rFonts w:hint="eastAsia" w:ascii="宋体" w:hAnsi="宋体" w:eastAsia="宋体" w:cs="宋体"/>
                <w:color w:val="auto"/>
                <w:sz w:val="24"/>
                <w:highlight w:val="none"/>
              </w:rPr>
            </w:pPr>
          </w:p>
        </w:tc>
        <w:tc>
          <w:tcPr>
            <w:tcW w:w="1547" w:type="dxa"/>
            <w:noWrap w:val="0"/>
            <w:vAlign w:val="center"/>
          </w:tcPr>
          <w:p>
            <w:pPr>
              <w:pStyle w:val="23"/>
              <w:spacing w:line="360" w:lineRule="auto"/>
              <w:rPr>
                <w:rFonts w:hint="eastAsia" w:ascii="宋体" w:hAnsi="宋体" w:eastAsia="宋体" w:cs="宋体"/>
                <w:color w:val="auto"/>
                <w:sz w:val="24"/>
                <w:highlight w:val="none"/>
              </w:rPr>
            </w:pPr>
          </w:p>
        </w:tc>
        <w:tc>
          <w:tcPr>
            <w:tcW w:w="2613" w:type="dxa"/>
            <w:noWrap w:val="0"/>
            <w:vAlign w:val="center"/>
          </w:tcPr>
          <w:p>
            <w:pPr>
              <w:pStyle w:val="23"/>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1" w:type="dxa"/>
            <w:noWrap w:val="0"/>
            <w:vAlign w:val="center"/>
          </w:tcPr>
          <w:p>
            <w:pPr>
              <w:pStyle w:val="23"/>
              <w:spacing w:line="360" w:lineRule="auto"/>
              <w:rPr>
                <w:rFonts w:hint="eastAsia" w:ascii="宋体" w:hAnsi="宋体" w:eastAsia="宋体" w:cs="宋体"/>
                <w:color w:val="auto"/>
                <w:sz w:val="24"/>
                <w:highlight w:val="none"/>
              </w:rPr>
            </w:pPr>
          </w:p>
        </w:tc>
        <w:tc>
          <w:tcPr>
            <w:tcW w:w="1495" w:type="dxa"/>
            <w:noWrap w:val="0"/>
            <w:vAlign w:val="center"/>
          </w:tcPr>
          <w:p>
            <w:pPr>
              <w:pStyle w:val="23"/>
              <w:spacing w:line="360" w:lineRule="auto"/>
              <w:jc w:val="left"/>
              <w:rPr>
                <w:rFonts w:hint="eastAsia" w:ascii="宋体" w:hAnsi="宋体" w:eastAsia="宋体" w:cs="宋体"/>
                <w:color w:val="auto"/>
                <w:sz w:val="24"/>
                <w:highlight w:val="none"/>
              </w:rPr>
            </w:pPr>
          </w:p>
        </w:tc>
        <w:tc>
          <w:tcPr>
            <w:tcW w:w="1335" w:type="dxa"/>
            <w:noWrap w:val="0"/>
            <w:vAlign w:val="center"/>
          </w:tcPr>
          <w:p>
            <w:pPr>
              <w:pStyle w:val="23"/>
              <w:spacing w:line="360" w:lineRule="auto"/>
              <w:rPr>
                <w:rFonts w:hint="eastAsia" w:ascii="宋体" w:hAnsi="宋体" w:eastAsia="宋体" w:cs="宋体"/>
                <w:color w:val="auto"/>
                <w:sz w:val="24"/>
                <w:highlight w:val="none"/>
              </w:rPr>
            </w:pPr>
          </w:p>
        </w:tc>
        <w:tc>
          <w:tcPr>
            <w:tcW w:w="1890" w:type="dxa"/>
            <w:noWrap w:val="0"/>
            <w:vAlign w:val="center"/>
          </w:tcPr>
          <w:p>
            <w:pPr>
              <w:pStyle w:val="23"/>
              <w:spacing w:line="360" w:lineRule="auto"/>
              <w:rPr>
                <w:rFonts w:hint="eastAsia" w:ascii="宋体" w:hAnsi="宋体" w:eastAsia="宋体" w:cs="宋体"/>
                <w:color w:val="auto"/>
                <w:sz w:val="24"/>
                <w:highlight w:val="none"/>
              </w:rPr>
            </w:pPr>
          </w:p>
        </w:tc>
        <w:tc>
          <w:tcPr>
            <w:tcW w:w="1547" w:type="dxa"/>
            <w:noWrap w:val="0"/>
            <w:vAlign w:val="center"/>
          </w:tcPr>
          <w:p>
            <w:pPr>
              <w:pStyle w:val="23"/>
              <w:spacing w:line="360" w:lineRule="auto"/>
              <w:rPr>
                <w:rFonts w:hint="eastAsia" w:ascii="宋体" w:hAnsi="宋体" w:eastAsia="宋体" w:cs="宋体"/>
                <w:color w:val="auto"/>
                <w:sz w:val="24"/>
                <w:highlight w:val="none"/>
              </w:rPr>
            </w:pPr>
          </w:p>
        </w:tc>
        <w:tc>
          <w:tcPr>
            <w:tcW w:w="2613" w:type="dxa"/>
            <w:noWrap w:val="0"/>
            <w:vAlign w:val="center"/>
          </w:tcPr>
          <w:p>
            <w:pPr>
              <w:pStyle w:val="23"/>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1" w:type="dxa"/>
            <w:noWrap w:val="0"/>
            <w:vAlign w:val="center"/>
          </w:tcPr>
          <w:p>
            <w:pPr>
              <w:pStyle w:val="23"/>
              <w:spacing w:line="360" w:lineRule="auto"/>
              <w:rPr>
                <w:rFonts w:hint="eastAsia" w:ascii="宋体" w:hAnsi="宋体" w:eastAsia="宋体" w:cs="宋体"/>
                <w:color w:val="auto"/>
                <w:sz w:val="24"/>
                <w:highlight w:val="none"/>
              </w:rPr>
            </w:pPr>
          </w:p>
        </w:tc>
        <w:tc>
          <w:tcPr>
            <w:tcW w:w="1495" w:type="dxa"/>
            <w:noWrap w:val="0"/>
            <w:vAlign w:val="center"/>
          </w:tcPr>
          <w:p>
            <w:pPr>
              <w:pStyle w:val="23"/>
              <w:spacing w:line="360" w:lineRule="auto"/>
              <w:jc w:val="left"/>
              <w:rPr>
                <w:rFonts w:hint="eastAsia" w:ascii="宋体" w:hAnsi="宋体" w:eastAsia="宋体" w:cs="宋体"/>
                <w:color w:val="auto"/>
                <w:sz w:val="24"/>
                <w:highlight w:val="none"/>
              </w:rPr>
            </w:pPr>
          </w:p>
        </w:tc>
        <w:tc>
          <w:tcPr>
            <w:tcW w:w="1335" w:type="dxa"/>
            <w:noWrap w:val="0"/>
            <w:vAlign w:val="center"/>
          </w:tcPr>
          <w:p>
            <w:pPr>
              <w:pStyle w:val="23"/>
              <w:spacing w:line="360" w:lineRule="auto"/>
              <w:rPr>
                <w:rFonts w:hint="eastAsia" w:ascii="宋体" w:hAnsi="宋体" w:eastAsia="宋体" w:cs="宋体"/>
                <w:color w:val="auto"/>
                <w:sz w:val="24"/>
                <w:highlight w:val="none"/>
              </w:rPr>
            </w:pPr>
          </w:p>
        </w:tc>
        <w:tc>
          <w:tcPr>
            <w:tcW w:w="1890" w:type="dxa"/>
            <w:noWrap w:val="0"/>
            <w:vAlign w:val="center"/>
          </w:tcPr>
          <w:p>
            <w:pPr>
              <w:pStyle w:val="23"/>
              <w:spacing w:line="360" w:lineRule="auto"/>
              <w:rPr>
                <w:rFonts w:hint="eastAsia" w:ascii="宋体" w:hAnsi="宋体" w:eastAsia="宋体" w:cs="宋体"/>
                <w:color w:val="auto"/>
                <w:sz w:val="24"/>
                <w:highlight w:val="none"/>
              </w:rPr>
            </w:pPr>
          </w:p>
        </w:tc>
        <w:tc>
          <w:tcPr>
            <w:tcW w:w="1547" w:type="dxa"/>
            <w:noWrap w:val="0"/>
            <w:vAlign w:val="center"/>
          </w:tcPr>
          <w:p>
            <w:pPr>
              <w:pStyle w:val="23"/>
              <w:spacing w:line="360" w:lineRule="auto"/>
              <w:rPr>
                <w:rFonts w:hint="eastAsia" w:ascii="宋体" w:hAnsi="宋体" w:eastAsia="宋体" w:cs="宋体"/>
                <w:color w:val="auto"/>
                <w:sz w:val="24"/>
                <w:highlight w:val="none"/>
              </w:rPr>
            </w:pPr>
          </w:p>
        </w:tc>
        <w:tc>
          <w:tcPr>
            <w:tcW w:w="2613" w:type="dxa"/>
            <w:noWrap w:val="0"/>
            <w:vAlign w:val="center"/>
          </w:tcPr>
          <w:p>
            <w:pPr>
              <w:pStyle w:val="23"/>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1" w:type="dxa"/>
            <w:noWrap w:val="0"/>
            <w:vAlign w:val="center"/>
          </w:tcPr>
          <w:p>
            <w:pPr>
              <w:pStyle w:val="23"/>
              <w:spacing w:line="360" w:lineRule="auto"/>
              <w:rPr>
                <w:rFonts w:hint="eastAsia" w:ascii="宋体" w:hAnsi="宋体" w:eastAsia="宋体" w:cs="宋体"/>
                <w:color w:val="auto"/>
                <w:sz w:val="24"/>
                <w:highlight w:val="none"/>
              </w:rPr>
            </w:pPr>
          </w:p>
        </w:tc>
        <w:tc>
          <w:tcPr>
            <w:tcW w:w="1495" w:type="dxa"/>
            <w:noWrap w:val="0"/>
            <w:vAlign w:val="center"/>
          </w:tcPr>
          <w:p>
            <w:pPr>
              <w:pStyle w:val="23"/>
              <w:spacing w:line="360" w:lineRule="auto"/>
              <w:jc w:val="left"/>
              <w:rPr>
                <w:rFonts w:hint="eastAsia" w:ascii="宋体" w:hAnsi="宋体" w:eastAsia="宋体" w:cs="宋体"/>
                <w:color w:val="auto"/>
                <w:sz w:val="24"/>
                <w:highlight w:val="none"/>
              </w:rPr>
            </w:pPr>
          </w:p>
        </w:tc>
        <w:tc>
          <w:tcPr>
            <w:tcW w:w="1335" w:type="dxa"/>
            <w:noWrap w:val="0"/>
            <w:vAlign w:val="center"/>
          </w:tcPr>
          <w:p>
            <w:pPr>
              <w:pStyle w:val="23"/>
              <w:spacing w:line="360" w:lineRule="auto"/>
              <w:rPr>
                <w:rFonts w:hint="eastAsia" w:ascii="宋体" w:hAnsi="宋体" w:eastAsia="宋体" w:cs="宋体"/>
                <w:color w:val="auto"/>
                <w:sz w:val="24"/>
                <w:highlight w:val="none"/>
              </w:rPr>
            </w:pPr>
          </w:p>
        </w:tc>
        <w:tc>
          <w:tcPr>
            <w:tcW w:w="1890" w:type="dxa"/>
            <w:noWrap w:val="0"/>
            <w:vAlign w:val="center"/>
          </w:tcPr>
          <w:p>
            <w:pPr>
              <w:pStyle w:val="23"/>
              <w:spacing w:line="360" w:lineRule="auto"/>
              <w:rPr>
                <w:rFonts w:hint="eastAsia" w:ascii="宋体" w:hAnsi="宋体" w:eastAsia="宋体" w:cs="宋体"/>
                <w:color w:val="auto"/>
                <w:sz w:val="24"/>
                <w:highlight w:val="none"/>
              </w:rPr>
            </w:pPr>
          </w:p>
        </w:tc>
        <w:tc>
          <w:tcPr>
            <w:tcW w:w="1547" w:type="dxa"/>
            <w:noWrap w:val="0"/>
            <w:vAlign w:val="center"/>
          </w:tcPr>
          <w:p>
            <w:pPr>
              <w:pStyle w:val="23"/>
              <w:spacing w:line="360" w:lineRule="auto"/>
              <w:rPr>
                <w:rFonts w:hint="eastAsia" w:ascii="宋体" w:hAnsi="宋体" w:eastAsia="宋体" w:cs="宋体"/>
                <w:color w:val="auto"/>
                <w:sz w:val="24"/>
                <w:highlight w:val="none"/>
              </w:rPr>
            </w:pPr>
          </w:p>
        </w:tc>
        <w:tc>
          <w:tcPr>
            <w:tcW w:w="2613" w:type="dxa"/>
            <w:noWrap w:val="0"/>
            <w:vAlign w:val="center"/>
          </w:tcPr>
          <w:p>
            <w:pPr>
              <w:pStyle w:val="23"/>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1" w:type="dxa"/>
            <w:noWrap w:val="0"/>
            <w:vAlign w:val="center"/>
          </w:tcPr>
          <w:p>
            <w:pPr>
              <w:pStyle w:val="23"/>
              <w:spacing w:line="360" w:lineRule="auto"/>
              <w:rPr>
                <w:rFonts w:hint="eastAsia" w:ascii="宋体" w:hAnsi="宋体" w:eastAsia="宋体" w:cs="宋体"/>
                <w:color w:val="auto"/>
                <w:sz w:val="24"/>
                <w:highlight w:val="none"/>
              </w:rPr>
            </w:pPr>
          </w:p>
        </w:tc>
        <w:tc>
          <w:tcPr>
            <w:tcW w:w="1495" w:type="dxa"/>
            <w:noWrap w:val="0"/>
            <w:vAlign w:val="center"/>
          </w:tcPr>
          <w:p>
            <w:pPr>
              <w:pStyle w:val="23"/>
              <w:spacing w:line="360" w:lineRule="auto"/>
              <w:jc w:val="left"/>
              <w:rPr>
                <w:rFonts w:hint="eastAsia" w:ascii="宋体" w:hAnsi="宋体" w:eastAsia="宋体" w:cs="宋体"/>
                <w:color w:val="auto"/>
                <w:sz w:val="24"/>
                <w:highlight w:val="none"/>
              </w:rPr>
            </w:pPr>
          </w:p>
        </w:tc>
        <w:tc>
          <w:tcPr>
            <w:tcW w:w="1335" w:type="dxa"/>
            <w:noWrap w:val="0"/>
            <w:vAlign w:val="center"/>
          </w:tcPr>
          <w:p>
            <w:pPr>
              <w:pStyle w:val="23"/>
              <w:spacing w:line="360" w:lineRule="auto"/>
              <w:rPr>
                <w:rFonts w:hint="eastAsia" w:ascii="宋体" w:hAnsi="宋体" w:eastAsia="宋体" w:cs="宋体"/>
                <w:color w:val="auto"/>
                <w:sz w:val="24"/>
                <w:highlight w:val="none"/>
              </w:rPr>
            </w:pPr>
          </w:p>
        </w:tc>
        <w:tc>
          <w:tcPr>
            <w:tcW w:w="1890" w:type="dxa"/>
            <w:noWrap w:val="0"/>
            <w:vAlign w:val="center"/>
          </w:tcPr>
          <w:p>
            <w:pPr>
              <w:pStyle w:val="23"/>
              <w:spacing w:line="360" w:lineRule="auto"/>
              <w:rPr>
                <w:rFonts w:hint="eastAsia" w:ascii="宋体" w:hAnsi="宋体" w:eastAsia="宋体" w:cs="宋体"/>
                <w:color w:val="auto"/>
                <w:sz w:val="24"/>
                <w:highlight w:val="none"/>
              </w:rPr>
            </w:pPr>
          </w:p>
        </w:tc>
        <w:tc>
          <w:tcPr>
            <w:tcW w:w="1547" w:type="dxa"/>
            <w:noWrap w:val="0"/>
            <w:vAlign w:val="center"/>
          </w:tcPr>
          <w:p>
            <w:pPr>
              <w:pStyle w:val="23"/>
              <w:spacing w:line="360" w:lineRule="auto"/>
              <w:rPr>
                <w:rFonts w:hint="eastAsia" w:ascii="宋体" w:hAnsi="宋体" w:eastAsia="宋体" w:cs="宋体"/>
                <w:color w:val="auto"/>
                <w:sz w:val="24"/>
                <w:highlight w:val="none"/>
              </w:rPr>
            </w:pPr>
          </w:p>
        </w:tc>
        <w:tc>
          <w:tcPr>
            <w:tcW w:w="2613" w:type="dxa"/>
            <w:noWrap w:val="0"/>
            <w:vAlign w:val="center"/>
          </w:tcPr>
          <w:p>
            <w:pPr>
              <w:pStyle w:val="23"/>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1" w:type="dxa"/>
            <w:noWrap w:val="0"/>
            <w:vAlign w:val="center"/>
          </w:tcPr>
          <w:p>
            <w:pPr>
              <w:pStyle w:val="23"/>
              <w:spacing w:line="360" w:lineRule="auto"/>
              <w:rPr>
                <w:rFonts w:hint="eastAsia" w:ascii="宋体" w:hAnsi="宋体" w:eastAsia="宋体" w:cs="宋体"/>
                <w:color w:val="auto"/>
                <w:sz w:val="24"/>
                <w:highlight w:val="none"/>
              </w:rPr>
            </w:pPr>
          </w:p>
        </w:tc>
        <w:tc>
          <w:tcPr>
            <w:tcW w:w="1495" w:type="dxa"/>
            <w:noWrap w:val="0"/>
            <w:vAlign w:val="center"/>
          </w:tcPr>
          <w:p>
            <w:pPr>
              <w:pStyle w:val="23"/>
              <w:spacing w:line="360" w:lineRule="auto"/>
              <w:rPr>
                <w:rFonts w:hint="eastAsia" w:ascii="宋体" w:hAnsi="宋体" w:eastAsia="宋体" w:cs="宋体"/>
                <w:color w:val="auto"/>
                <w:sz w:val="24"/>
                <w:highlight w:val="none"/>
              </w:rPr>
            </w:pPr>
          </w:p>
        </w:tc>
        <w:tc>
          <w:tcPr>
            <w:tcW w:w="1335" w:type="dxa"/>
            <w:noWrap w:val="0"/>
            <w:vAlign w:val="center"/>
          </w:tcPr>
          <w:p>
            <w:pPr>
              <w:pStyle w:val="23"/>
              <w:spacing w:line="360" w:lineRule="auto"/>
              <w:rPr>
                <w:rFonts w:hint="eastAsia" w:ascii="宋体" w:hAnsi="宋体" w:eastAsia="宋体" w:cs="宋体"/>
                <w:color w:val="auto"/>
                <w:sz w:val="24"/>
                <w:highlight w:val="none"/>
              </w:rPr>
            </w:pPr>
          </w:p>
        </w:tc>
        <w:tc>
          <w:tcPr>
            <w:tcW w:w="1890" w:type="dxa"/>
            <w:noWrap w:val="0"/>
            <w:vAlign w:val="center"/>
          </w:tcPr>
          <w:p>
            <w:pPr>
              <w:pStyle w:val="23"/>
              <w:spacing w:line="360" w:lineRule="auto"/>
              <w:rPr>
                <w:rFonts w:hint="eastAsia" w:ascii="宋体" w:hAnsi="宋体" w:eastAsia="宋体" w:cs="宋体"/>
                <w:color w:val="auto"/>
                <w:sz w:val="24"/>
                <w:highlight w:val="none"/>
              </w:rPr>
            </w:pPr>
          </w:p>
        </w:tc>
        <w:tc>
          <w:tcPr>
            <w:tcW w:w="1547" w:type="dxa"/>
            <w:noWrap w:val="0"/>
            <w:vAlign w:val="center"/>
          </w:tcPr>
          <w:p>
            <w:pPr>
              <w:pStyle w:val="23"/>
              <w:spacing w:line="360" w:lineRule="auto"/>
              <w:rPr>
                <w:rFonts w:hint="eastAsia" w:ascii="宋体" w:hAnsi="宋体" w:eastAsia="宋体" w:cs="宋体"/>
                <w:color w:val="auto"/>
                <w:sz w:val="24"/>
                <w:highlight w:val="none"/>
              </w:rPr>
            </w:pPr>
          </w:p>
        </w:tc>
        <w:tc>
          <w:tcPr>
            <w:tcW w:w="2613" w:type="dxa"/>
            <w:noWrap w:val="0"/>
            <w:vAlign w:val="center"/>
          </w:tcPr>
          <w:p>
            <w:pPr>
              <w:pStyle w:val="23"/>
              <w:spacing w:line="360" w:lineRule="auto"/>
              <w:rPr>
                <w:rFonts w:hint="eastAsia" w:ascii="宋体" w:hAnsi="宋体" w:eastAsia="宋体" w:cs="宋体"/>
                <w:color w:val="auto"/>
                <w:sz w:val="24"/>
                <w:highlight w:val="none"/>
              </w:rPr>
            </w:pPr>
          </w:p>
        </w:tc>
      </w:tr>
    </w:tbl>
    <w:p>
      <w:pPr>
        <w:rPr>
          <w:rFonts w:hint="eastAsia" w:ascii="宋体" w:hAnsi="宋体" w:eastAsia="宋体" w:cs="宋体"/>
          <w:color w:val="auto"/>
          <w:sz w:val="24"/>
          <w:highlight w:val="none"/>
          <w:lang w:val="en-US" w:eastAsia="zh-CN"/>
        </w:rPr>
      </w:pPr>
    </w:p>
    <w:p>
      <w:pPr>
        <w:rPr>
          <w:rFonts w:hint="eastAsia"/>
          <w:color w:val="auto"/>
          <w:highlight w:val="none"/>
        </w:rPr>
      </w:pPr>
      <w:r>
        <w:rPr>
          <w:rFonts w:hint="eastAsia" w:ascii="宋体" w:hAnsi="宋体" w:eastAsia="宋体" w:cs="宋体"/>
          <w:color w:val="auto"/>
          <w:sz w:val="24"/>
          <w:highlight w:val="none"/>
          <w:lang w:val="en-US" w:eastAsia="zh-CN"/>
        </w:rPr>
        <w:t>注：</w:t>
      </w:r>
      <w:bookmarkEnd w:id="49"/>
      <w:bookmarkEnd w:id="50"/>
      <w:bookmarkEnd w:id="51"/>
      <w:r>
        <w:rPr>
          <w:rFonts w:hint="eastAsia" w:ascii="宋体" w:hAnsi="宋体" w:eastAsia="宋体" w:cs="宋体"/>
          <w:color w:val="auto"/>
          <w:sz w:val="24"/>
          <w:highlight w:val="none"/>
          <w:lang w:val="en-US" w:eastAsia="zh-CN"/>
        </w:rPr>
        <w:t>本表由投标人结合招标项目具体情况和总监专业能力，在监理机构组建中配置与总监专业配套的</w:t>
      </w:r>
      <w:r>
        <w:rPr>
          <w:rFonts w:hint="eastAsia" w:ascii="宋体" w:hAnsi="宋体" w:cs="宋体"/>
          <w:color w:val="auto"/>
          <w:sz w:val="24"/>
          <w:highlight w:val="none"/>
          <w:lang w:val="en-US" w:eastAsia="zh-CN"/>
        </w:rPr>
        <w:t>主要监理人员</w:t>
      </w:r>
      <w:r>
        <w:rPr>
          <w:rFonts w:hint="eastAsia" w:ascii="宋体" w:hAnsi="宋体" w:cs="宋体"/>
          <w:color w:val="auto"/>
          <w:sz w:val="24"/>
          <w:highlight w:val="none"/>
        </w:rPr>
        <w:t>。</w:t>
      </w:r>
    </w:p>
    <w:p>
      <w:pPr>
        <w:spacing w:line="500" w:lineRule="exact"/>
        <w:ind w:firstLine="4480" w:firstLineChars="1600"/>
        <w:rPr>
          <w:rFonts w:hint="eastAsia"/>
          <w:color w:val="auto"/>
          <w:sz w:val="28"/>
          <w:highlight w:val="none"/>
        </w:rPr>
      </w:pPr>
    </w:p>
    <w:p>
      <w:pPr>
        <w:spacing w:line="500" w:lineRule="exact"/>
        <w:ind w:firstLine="4480" w:firstLineChars="1600"/>
        <w:rPr>
          <w:rFonts w:hint="eastAsia"/>
          <w:color w:val="auto"/>
          <w:sz w:val="28"/>
          <w:highlight w:val="none"/>
        </w:rPr>
      </w:pPr>
    </w:p>
    <w:p>
      <w:pPr>
        <w:spacing w:line="500" w:lineRule="exact"/>
        <w:ind w:firstLine="4480" w:firstLineChars="1600"/>
        <w:rPr>
          <w:rFonts w:hint="eastAsia"/>
          <w:color w:val="auto"/>
          <w:sz w:val="28"/>
          <w:highlight w:val="none"/>
        </w:rPr>
      </w:pPr>
    </w:p>
    <w:p>
      <w:pPr>
        <w:spacing w:line="500" w:lineRule="exact"/>
        <w:ind w:firstLine="4480" w:firstLineChars="1600"/>
        <w:rPr>
          <w:rFonts w:hint="eastAsia"/>
          <w:color w:val="auto"/>
          <w:sz w:val="28"/>
          <w:highlight w:val="none"/>
        </w:rPr>
      </w:pPr>
    </w:p>
    <w:p>
      <w:pPr>
        <w:spacing w:line="500" w:lineRule="exact"/>
        <w:ind w:firstLine="4480" w:firstLineChars="1600"/>
        <w:rPr>
          <w:rFonts w:hint="eastAsia"/>
          <w:color w:val="auto"/>
          <w:sz w:val="28"/>
          <w:highlight w:val="none"/>
        </w:rPr>
      </w:pPr>
    </w:p>
    <w:p>
      <w:pPr>
        <w:spacing w:line="500" w:lineRule="exact"/>
        <w:ind w:firstLine="4480" w:firstLineChars="1600"/>
        <w:rPr>
          <w:rFonts w:hint="eastAsia"/>
          <w:color w:val="auto"/>
          <w:sz w:val="28"/>
          <w:highlight w:val="none"/>
        </w:rPr>
      </w:pPr>
      <w:r>
        <w:rPr>
          <w:rFonts w:hint="eastAsia"/>
          <w:color w:val="auto"/>
          <w:sz w:val="28"/>
          <w:highlight w:val="none"/>
        </w:rPr>
        <w:t>投标人（盖章）</w:t>
      </w:r>
    </w:p>
    <w:p>
      <w:pPr>
        <w:spacing w:line="500" w:lineRule="exact"/>
        <w:ind w:firstLine="4480" w:firstLineChars="1600"/>
        <w:rPr>
          <w:rFonts w:hint="eastAsia"/>
          <w:color w:val="auto"/>
          <w:sz w:val="28"/>
          <w:highlight w:val="none"/>
        </w:rPr>
      </w:pPr>
      <w:r>
        <w:rPr>
          <w:rFonts w:hint="eastAsia"/>
          <w:color w:val="auto"/>
          <w:sz w:val="28"/>
          <w:highlight w:val="none"/>
        </w:rPr>
        <w:t>法定代表人：（亲笔签名）</w:t>
      </w:r>
    </w:p>
    <w:p>
      <w:pPr>
        <w:spacing w:line="500" w:lineRule="exact"/>
        <w:ind w:firstLine="4480" w:firstLineChars="1600"/>
        <w:jc w:val="left"/>
        <w:rPr>
          <w:rFonts w:hint="eastAsia"/>
          <w:color w:val="auto"/>
          <w:sz w:val="28"/>
          <w:highlight w:val="none"/>
        </w:rPr>
      </w:pPr>
      <w:r>
        <w:rPr>
          <w:rFonts w:hint="eastAsia"/>
          <w:color w:val="auto"/>
          <w:sz w:val="28"/>
          <w:highlight w:val="none"/>
        </w:rPr>
        <w:t>日期：     年     月    日</w:t>
      </w:r>
    </w:p>
    <w:p>
      <w:pPr>
        <w:spacing w:line="360" w:lineRule="auto"/>
        <w:rPr>
          <w:rFonts w:ascii="仿宋" w:hAnsi="仿宋" w:eastAsia="仿宋" w:cs="仿宋"/>
          <w:color w:val="auto"/>
          <w:sz w:val="32"/>
          <w:szCs w:val="32"/>
          <w:highlight w:val="none"/>
        </w:rPr>
      </w:pPr>
    </w:p>
    <w:p>
      <w:pPr>
        <w:rPr>
          <w:color w:val="auto"/>
          <w:highlight w:val="none"/>
        </w:rPr>
      </w:pPr>
    </w:p>
    <w:p>
      <w:pPr>
        <w:rPr>
          <w:rFonts w:ascii="宋体" w:hAnsi="宋体" w:cs="宋体"/>
          <w:color w:val="auto"/>
          <w:highlight w:val="none"/>
        </w:rPr>
      </w:pPr>
      <w:bookmarkStart w:id="52" w:name="_Toc57042153"/>
      <w:r>
        <w:rPr>
          <w:rFonts w:hint="eastAsia" w:ascii="宋体" w:hAnsi="宋体" w:cs="宋体"/>
          <w:color w:val="auto"/>
          <w:highlight w:val="none"/>
        </w:rPr>
        <w:br w:type="page"/>
      </w:r>
    </w:p>
    <w:p>
      <w:pPr>
        <w:pStyle w:val="2"/>
        <w:spacing w:line="560" w:lineRule="exact"/>
        <w:rPr>
          <w:rFonts w:ascii="宋体" w:hAnsi="宋体" w:cs="宋体"/>
          <w:color w:val="auto"/>
          <w:sz w:val="32"/>
          <w:szCs w:val="32"/>
          <w:highlight w:val="none"/>
        </w:rPr>
      </w:pPr>
      <w:bookmarkStart w:id="53" w:name="_Toc17364"/>
      <w:r>
        <w:rPr>
          <w:rFonts w:hint="eastAsia" w:ascii="宋体" w:hAnsi="宋体" w:cs="宋体"/>
          <w:color w:val="auto"/>
          <w:sz w:val="32"/>
          <w:szCs w:val="32"/>
          <w:highlight w:val="none"/>
        </w:rPr>
        <w:t>投标格式四</w:t>
      </w:r>
      <w:bookmarkEnd w:id="53"/>
    </w:p>
    <w:p>
      <w:pPr>
        <w:pStyle w:val="10"/>
        <w:spacing w:line="520" w:lineRule="exact"/>
        <w:jc w:val="center"/>
        <w:rPr>
          <w:b/>
          <w:bCs/>
          <w:color w:val="auto"/>
          <w:sz w:val="44"/>
          <w:szCs w:val="44"/>
          <w:highlight w:val="none"/>
        </w:rPr>
      </w:pPr>
    </w:p>
    <w:p>
      <w:pPr>
        <w:pStyle w:val="10"/>
        <w:spacing w:line="520" w:lineRule="exact"/>
        <w:jc w:val="center"/>
        <w:rPr>
          <w:b/>
          <w:bCs/>
          <w:color w:val="auto"/>
          <w:sz w:val="44"/>
          <w:szCs w:val="44"/>
          <w:highlight w:val="none"/>
        </w:rPr>
      </w:pPr>
      <w:r>
        <w:rPr>
          <w:rFonts w:hint="eastAsia"/>
          <w:b/>
          <w:bCs/>
          <w:color w:val="auto"/>
          <w:sz w:val="44"/>
          <w:szCs w:val="44"/>
          <w:highlight w:val="none"/>
        </w:rPr>
        <w:t>投标承诺函</w:t>
      </w:r>
    </w:p>
    <w:p>
      <w:pPr>
        <w:rPr>
          <w:color w:val="auto"/>
          <w:highlight w:val="none"/>
        </w:rPr>
      </w:pPr>
    </w:p>
    <w:p>
      <w:pPr>
        <w:rPr>
          <w:color w:val="auto"/>
          <w:highlight w:val="none"/>
        </w:rPr>
      </w:pPr>
    </w:p>
    <w:p>
      <w:pPr>
        <w:rPr>
          <w:color w:val="auto"/>
          <w:highlight w:val="none"/>
        </w:rPr>
      </w:pPr>
    </w:p>
    <w:p>
      <w:pPr>
        <w:spacing w:line="600" w:lineRule="exact"/>
        <w:rPr>
          <w:rFonts w:ascii="宋体" w:hAnsi="宋体" w:cs="宋体"/>
          <w:color w:val="auto"/>
          <w:sz w:val="24"/>
          <w:highlight w:val="none"/>
          <w:u w:val="single"/>
        </w:rPr>
      </w:pPr>
      <w:r>
        <w:rPr>
          <w:rFonts w:hint="eastAsia" w:ascii="宋体" w:hAnsi="宋体" w:cs="宋体"/>
          <w:color w:val="auto"/>
          <w:sz w:val="24"/>
          <w:highlight w:val="none"/>
          <w:u w:val="single"/>
        </w:rPr>
        <w:t>（招标人）：</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我单位在完全理解并同意本项目招标文件的要求的情况下参与投标，并作出以下承诺：</w:t>
      </w:r>
    </w:p>
    <w:p>
      <w:pPr>
        <w:numPr>
          <w:ilvl w:val="0"/>
          <w:numId w:val="1"/>
        </w:num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同意招标文件要求的条件，投标文件未附有招标人不能接受的条件。</w:t>
      </w:r>
    </w:p>
    <w:p>
      <w:pPr>
        <w:numPr>
          <w:ilvl w:val="0"/>
          <w:numId w:val="1"/>
        </w:num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我方投标人拟派总监理工程师，具备建设主管部门颁发的注册在投标企业的</w:t>
      </w:r>
      <w:r>
        <w:rPr>
          <w:rFonts w:hint="eastAsia" w:ascii="宋体" w:hAnsi="宋体" w:cs="宋体"/>
          <w:color w:val="auto"/>
          <w:sz w:val="24"/>
          <w:highlight w:val="none"/>
          <w:lang w:val="en-US" w:eastAsia="zh-CN"/>
        </w:rPr>
        <w:t>房屋建筑工程</w:t>
      </w:r>
      <w:r>
        <w:rPr>
          <w:rFonts w:hint="eastAsia" w:ascii="宋体" w:hAnsi="宋体" w:cs="宋体"/>
          <w:color w:val="auto"/>
          <w:sz w:val="24"/>
          <w:highlight w:val="none"/>
        </w:rPr>
        <w:t>监理工程师证书。自本项目投标之日起，其最多只能同时担任</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项(含本项目在内)工程的总监理工程师。（该总监理工程师兼任总监的其他项目必须在湛江范围内），中标后必须报市建设行政主管部门登记。</w:t>
      </w:r>
    </w:p>
    <w:p>
      <w:pPr>
        <w:numPr>
          <w:ilvl w:val="0"/>
          <w:numId w:val="1"/>
        </w:num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我方承诺所递交的投标文件资料全部真实有效，若在投标后被发现投标资料存在弄虚作假行为，我司愿意接受放弃中标处理，并接受相关部门相应的处罚。</w:t>
      </w:r>
    </w:p>
    <w:p>
      <w:pPr>
        <w:numPr>
          <w:ilvl w:val="0"/>
          <w:numId w:val="1"/>
        </w:num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我方完全响应招标文件的工期、质量要求、投标有效期等要求。</w:t>
      </w:r>
    </w:p>
    <w:p>
      <w:pPr>
        <w:numPr>
          <w:ilvl w:val="0"/>
          <w:numId w:val="1"/>
        </w:numPr>
        <w:spacing w:line="600" w:lineRule="exact"/>
        <w:ind w:firstLine="480" w:firstLineChars="200"/>
        <w:rPr>
          <w:rFonts w:ascii="宋体" w:hAnsi="宋体" w:cs="宋体"/>
          <w:color w:val="auto"/>
          <w:sz w:val="24"/>
          <w:highlight w:val="none"/>
        </w:rPr>
      </w:pPr>
      <w:bookmarkStart w:id="54" w:name="_Toc29175"/>
      <w:r>
        <w:rPr>
          <w:rFonts w:hint="eastAsia" w:ascii="宋体" w:hAnsi="宋体" w:cs="宋体"/>
          <w:color w:val="auto"/>
          <w:sz w:val="24"/>
          <w:highlight w:val="none"/>
        </w:rPr>
        <w:t>我方愿意承担违反本承诺的法律责任</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（投标人可自行补充其他为响应招标文件的承诺）</w:t>
      </w:r>
      <w:bookmarkEnd w:id="54"/>
    </w:p>
    <w:p>
      <w:pPr>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20" w:lineRule="exact"/>
        <w:ind w:firstLine="3720" w:firstLineChars="1550"/>
        <w:rPr>
          <w:rFonts w:ascii="宋体"/>
          <w:color w:val="auto"/>
          <w:sz w:val="28"/>
          <w:szCs w:val="28"/>
          <w:highlight w:val="none"/>
          <w:u w:val="single"/>
        </w:rPr>
      </w:pPr>
      <w:r>
        <w:rPr>
          <w:rFonts w:hint="eastAsia" w:ascii="宋体" w:hAnsi="宋体" w:cs="宋体"/>
          <w:color w:val="auto"/>
          <w:sz w:val="24"/>
          <w:highlight w:val="none"/>
        </w:rPr>
        <w:t>投 标 单 位（盖章）：</w:t>
      </w:r>
    </w:p>
    <w:p>
      <w:pPr>
        <w:spacing w:line="520" w:lineRule="exact"/>
        <w:ind w:firstLine="3720" w:firstLineChars="1550"/>
        <w:rPr>
          <w:rFonts w:ascii="宋体"/>
          <w:color w:val="auto"/>
          <w:sz w:val="28"/>
          <w:szCs w:val="28"/>
          <w:highlight w:val="none"/>
          <w:u w:val="single"/>
        </w:rPr>
      </w:pPr>
      <w:r>
        <w:rPr>
          <w:rFonts w:hint="eastAsia" w:ascii="宋体" w:hAnsi="宋体" w:cs="宋体"/>
          <w:color w:val="auto"/>
          <w:sz w:val="24"/>
          <w:highlight w:val="none"/>
        </w:rPr>
        <w:t>法定代表人（亲笔签名）：</w:t>
      </w:r>
    </w:p>
    <w:p>
      <w:pPr>
        <w:spacing w:line="520" w:lineRule="exact"/>
        <w:ind w:firstLine="3720" w:firstLineChars="1550"/>
        <w:rPr>
          <w:rFonts w:ascii="宋体" w:hAnsi="宋体" w:cs="宋体"/>
          <w:color w:val="auto"/>
          <w:sz w:val="24"/>
          <w:highlight w:val="none"/>
        </w:rPr>
      </w:pPr>
      <w:r>
        <w:rPr>
          <w:rFonts w:hint="eastAsia" w:ascii="宋体" w:hAnsi="宋体" w:cs="宋体"/>
          <w:color w:val="auto"/>
          <w:sz w:val="24"/>
          <w:highlight w:val="none"/>
        </w:rPr>
        <w:t>日期：年月日</w:t>
      </w:r>
    </w:p>
    <w:p>
      <w:pPr>
        <w:rPr>
          <w:color w:val="auto"/>
          <w:highlight w:val="none"/>
        </w:rPr>
      </w:pPr>
    </w:p>
    <w:p>
      <w:pPr>
        <w:pStyle w:val="26"/>
        <w:spacing w:line="520" w:lineRule="exact"/>
        <w:ind w:firstLine="0"/>
        <w:outlineLvl w:val="1"/>
        <w:rPr>
          <w:rFonts w:hint="eastAsia" w:ascii="宋体"/>
          <w:bCs/>
          <w:color w:val="auto"/>
          <w:szCs w:val="32"/>
          <w:highlight w:val="none"/>
        </w:rPr>
      </w:pPr>
      <w:bookmarkStart w:id="55" w:name="_Toc2697"/>
      <w:bookmarkStart w:id="56" w:name="_Toc5563"/>
      <w:bookmarkStart w:id="57" w:name="_Toc7174"/>
      <w:r>
        <w:rPr>
          <w:rFonts w:hint="eastAsia" w:ascii="宋体" w:hAnsi="宋体" w:cs="宋体"/>
          <w:b w:val="0"/>
          <w:bCs/>
          <w:color w:val="auto"/>
          <w:szCs w:val="32"/>
          <w:highlight w:val="none"/>
        </w:rPr>
        <w:t>投标格式</w:t>
      </w:r>
      <w:bookmarkEnd w:id="55"/>
      <w:bookmarkEnd w:id="56"/>
      <w:r>
        <w:rPr>
          <w:rFonts w:hint="eastAsia" w:ascii="宋体" w:hAnsi="宋体" w:cs="宋体"/>
          <w:b w:val="0"/>
          <w:bCs/>
          <w:color w:val="auto"/>
          <w:szCs w:val="32"/>
          <w:highlight w:val="none"/>
        </w:rPr>
        <w:t>四</w:t>
      </w:r>
      <w:bookmarkEnd w:id="57"/>
    </w:p>
    <w:p>
      <w:pPr>
        <w:pStyle w:val="2"/>
        <w:spacing w:line="560" w:lineRule="exact"/>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投标格式</w:t>
      </w:r>
      <w:r>
        <w:rPr>
          <w:rFonts w:hint="eastAsia" w:ascii="宋体" w:hAnsi="宋体" w:cs="宋体"/>
          <w:color w:val="auto"/>
          <w:sz w:val="32"/>
          <w:szCs w:val="32"/>
          <w:highlight w:val="none"/>
          <w:lang w:val="en-US" w:eastAsia="zh-CN"/>
        </w:rPr>
        <w:t>五</w:t>
      </w:r>
    </w:p>
    <w:p>
      <w:pPr>
        <w:pStyle w:val="26"/>
        <w:spacing w:line="520" w:lineRule="exact"/>
        <w:ind w:hanging="180"/>
        <w:rPr>
          <w:rFonts w:ascii="宋体"/>
          <w:color w:val="auto"/>
          <w:sz w:val="28"/>
          <w:szCs w:val="28"/>
          <w:highlight w:val="none"/>
          <w:u w:val="single"/>
        </w:rPr>
      </w:pPr>
    </w:p>
    <w:p>
      <w:pPr>
        <w:spacing w:line="520" w:lineRule="exact"/>
        <w:jc w:val="center"/>
        <w:rPr>
          <w:rFonts w:hint="eastAsia" w:ascii="宋体"/>
          <w:b/>
          <w:bCs/>
          <w:color w:val="auto"/>
          <w:sz w:val="44"/>
          <w:szCs w:val="44"/>
          <w:highlight w:val="none"/>
        </w:rPr>
      </w:pPr>
      <w:r>
        <w:rPr>
          <w:rFonts w:hint="eastAsia" w:ascii="宋体"/>
          <w:b/>
          <w:bCs/>
          <w:color w:val="auto"/>
          <w:sz w:val="44"/>
          <w:szCs w:val="44"/>
          <w:highlight w:val="none"/>
        </w:rPr>
        <w:t>廉洁承诺书</w:t>
      </w:r>
    </w:p>
    <w:p>
      <w:pPr>
        <w:rPr>
          <w:rFonts w:hint="eastAsia" w:ascii="华文行楷" w:hAnsi="华文行楷" w:eastAsia="华文行楷" w:cs="华文行楷"/>
          <w:color w:val="auto"/>
          <w:sz w:val="32"/>
          <w:szCs w:val="32"/>
          <w:highlight w:val="none"/>
        </w:rPr>
      </w:pPr>
    </w:p>
    <w:p>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湛江市纪委、湛江市人民检察院、湛江市住房和城乡建设局、湛江经济技术开发区纪委、湛江经济技术开发区检察院、湛江经济技术开发区住房和规划建设局：</w:t>
      </w:r>
    </w:p>
    <w:p>
      <w:pPr>
        <w:spacing w:line="360" w:lineRule="auto"/>
        <w:ind w:firstLine="644" w:firstLineChars="23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我司参加</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工程投标，承诺在投标的全过程中，遵守有关法律法规，廉洁投标。如有违反有关规定，自愿接受按相关规定处理，并在一年内不得进入湛江经济技术开发区有形建筑市场。</w:t>
      </w:r>
    </w:p>
    <w:p>
      <w:pPr>
        <w:spacing w:line="360" w:lineRule="auto"/>
        <w:ind w:firstLine="420"/>
        <w:jc w:val="right"/>
        <w:rPr>
          <w:rFonts w:hint="eastAsia" w:ascii="宋体" w:hAnsi="宋体" w:cs="宋体"/>
          <w:color w:val="auto"/>
          <w:sz w:val="28"/>
          <w:szCs w:val="28"/>
          <w:highlight w:val="none"/>
        </w:rPr>
      </w:pPr>
    </w:p>
    <w:p>
      <w:pPr>
        <w:spacing w:line="360" w:lineRule="auto"/>
        <w:ind w:firstLine="420"/>
        <w:jc w:val="center"/>
        <w:rPr>
          <w:rFonts w:hint="eastAsia" w:ascii="宋体" w:hAnsi="宋体" w:cs="宋体"/>
          <w:color w:val="auto"/>
          <w:sz w:val="28"/>
          <w:szCs w:val="28"/>
          <w:highlight w:val="none"/>
        </w:rPr>
      </w:pPr>
    </w:p>
    <w:p>
      <w:pPr>
        <w:spacing w:line="360" w:lineRule="auto"/>
        <w:ind w:firstLine="42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投标人：（盖章）</w:t>
      </w:r>
    </w:p>
    <w:p>
      <w:pPr>
        <w:spacing w:line="360" w:lineRule="auto"/>
        <w:ind w:firstLine="42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法定代表人：（亲笔签名）</w:t>
      </w:r>
    </w:p>
    <w:p>
      <w:pPr>
        <w:spacing w:line="360" w:lineRule="auto"/>
        <w:ind w:firstLine="420"/>
        <w:jc w:val="center"/>
        <w:rPr>
          <w:rFonts w:hint="eastAsia" w:ascii="宋体" w:hAnsi="宋体" w:cs="宋体"/>
          <w:color w:val="auto"/>
          <w:sz w:val="32"/>
          <w:szCs w:val="32"/>
          <w:highlight w:val="none"/>
        </w:rPr>
      </w:pPr>
      <w:r>
        <w:rPr>
          <w:rFonts w:hint="eastAsia" w:ascii="宋体" w:hAnsi="宋体" w:cs="宋体"/>
          <w:color w:val="auto"/>
          <w:sz w:val="28"/>
          <w:szCs w:val="28"/>
          <w:highlight w:val="none"/>
        </w:rPr>
        <w:t xml:space="preserve">                              日期：   年   月   日</w:t>
      </w:r>
    </w:p>
    <w:p>
      <w:pPr>
        <w:pStyle w:val="2"/>
      </w:pPr>
    </w:p>
    <w:p/>
    <w:p>
      <w:pPr>
        <w:pStyle w:val="2"/>
      </w:pPr>
    </w:p>
    <w:p>
      <w:pPr>
        <w:sectPr>
          <w:headerReference r:id="rId6" w:type="default"/>
          <w:pgSz w:w="11906" w:h="16838"/>
          <w:pgMar w:top="1417" w:right="1417" w:bottom="1417" w:left="1417" w:header="851" w:footer="992" w:gutter="0"/>
          <w:cols w:space="720" w:num="1"/>
          <w:docGrid w:linePitch="312" w:charSpace="0"/>
        </w:sectPr>
      </w:pPr>
    </w:p>
    <w:p>
      <w:pPr>
        <w:pStyle w:val="2"/>
        <w:spacing w:line="560" w:lineRule="exact"/>
        <w:rPr>
          <w:rFonts w:hint="eastAsia" w:ascii="宋体" w:hAnsi="宋体" w:eastAsia="宋体" w:cs="宋体"/>
          <w:color w:val="auto"/>
          <w:sz w:val="32"/>
          <w:szCs w:val="32"/>
          <w:highlight w:val="none"/>
          <w:lang w:val="en-US" w:eastAsia="zh-CN"/>
        </w:rPr>
      </w:pPr>
      <w:bookmarkStart w:id="58" w:name="_Toc19031"/>
      <w:bookmarkStart w:id="59" w:name="_Toc57042152"/>
      <w:r>
        <w:rPr>
          <w:rFonts w:hint="eastAsia" w:ascii="宋体" w:hAnsi="宋体" w:cs="宋体"/>
          <w:color w:val="auto"/>
          <w:sz w:val="32"/>
          <w:szCs w:val="32"/>
          <w:highlight w:val="none"/>
        </w:rPr>
        <w:t>投标格式</w:t>
      </w:r>
      <w:bookmarkEnd w:id="58"/>
      <w:r>
        <w:rPr>
          <w:rFonts w:hint="eastAsia" w:ascii="宋体" w:hAnsi="宋体" w:cs="宋体"/>
          <w:color w:val="auto"/>
          <w:sz w:val="32"/>
          <w:szCs w:val="32"/>
          <w:highlight w:val="none"/>
          <w:lang w:val="en-US" w:eastAsia="zh-CN"/>
        </w:rPr>
        <w:t>六</w:t>
      </w:r>
    </w:p>
    <w:p>
      <w:pPr>
        <w:autoSpaceDE w:val="0"/>
        <w:autoSpaceDN w:val="0"/>
        <w:spacing w:line="52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投标保证金银行保函</w:t>
      </w:r>
      <w:r>
        <w:rPr>
          <w:rFonts w:hint="eastAsia" w:cs="宋体"/>
          <w:b/>
          <w:color w:val="auto"/>
          <w:sz w:val="44"/>
          <w:szCs w:val="44"/>
          <w:highlight w:val="none"/>
        </w:rPr>
        <w:t>（仅供参考）</w:t>
      </w:r>
    </w:p>
    <w:p>
      <w:pPr>
        <w:pStyle w:val="7"/>
        <w:wordWrap w:val="0"/>
        <w:autoSpaceDE w:val="0"/>
        <w:autoSpaceDN w:val="0"/>
        <w:spacing w:line="520" w:lineRule="exact"/>
        <w:ind w:left="114"/>
        <w:jc w:val="righ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保函编号：</w:t>
      </w:r>
    </w:p>
    <w:p>
      <w:pPr>
        <w:pStyle w:val="7"/>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p>
      <w:pPr>
        <w:pStyle w:val="7"/>
        <w:autoSpaceDE w:val="0"/>
        <w:autoSpaceDN w:val="0"/>
        <w:spacing w:line="520" w:lineRule="exact"/>
        <w:ind w:firstLine="56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兹有（以下称“投标人”）在</w:t>
      </w:r>
      <w:r>
        <w:rPr>
          <w:rFonts w:hint="eastAsia" w:ascii="仿宋_GB2312" w:hAnsi="仿宋_GB2312" w:eastAsia="仿宋_GB2312" w:cs="仿宋_GB2312"/>
          <w:color w:val="auto"/>
          <w:spacing w:val="3"/>
          <w:sz w:val="32"/>
          <w:szCs w:val="32"/>
          <w:highlight w:val="none"/>
        </w:rPr>
        <w:t>（以下</w:t>
      </w:r>
      <w:r>
        <w:rPr>
          <w:rFonts w:hint="eastAsia" w:ascii="仿宋_GB2312" w:hAnsi="仿宋_GB2312" w:eastAsia="仿宋_GB2312" w:cs="仿宋_GB2312"/>
          <w:color w:val="auto"/>
          <w:sz w:val="32"/>
          <w:szCs w:val="32"/>
          <w:highlight w:val="none"/>
        </w:rPr>
        <w:t>简</w:t>
      </w:r>
      <w:r>
        <w:rPr>
          <w:rFonts w:hint="eastAsia" w:ascii="仿宋_GB2312" w:hAnsi="仿宋_GB2312" w:eastAsia="仿宋_GB2312" w:cs="仿宋_GB2312"/>
          <w:color w:val="auto"/>
          <w:spacing w:val="3"/>
          <w:sz w:val="32"/>
          <w:szCs w:val="32"/>
          <w:highlight w:val="none"/>
        </w:rPr>
        <w:t>称“我方”）</w:t>
      </w:r>
      <w:r>
        <w:rPr>
          <w:rFonts w:hint="eastAsia" w:ascii="仿宋_GB2312" w:hAnsi="仿宋_GB2312" w:eastAsia="仿宋_GB2312" w:cs="仿宋_GB2312"/>
          <w:color w:val="auto"/>
          <w:sz w:val="32"/>
          <w:szCs w:val="32"/>
          <w:highlight w:val="none"/>
        </w:rPr>
        <w:t>开</w:t>
      </w:r>
      <w:r>
        <w:rPr>
          <w:rFonts w:hint="eastAsia" w:ascii="仿宋_GB2312" w:hAnsi="仿宋_GB2312" w:eastAsia="仿宋_GB2312" w:cs="仿宋_GB2312"/>
          <w:color w:val="auto"/>
          <w:spacing w:val="3"/>
          <w:sz w:val="32"/>
          <w:szCs w:val="32"/>
          <w:highlight w:val="none"/>
        </w:rPr>
        <w:t>设基本存款账</w:t>
      </w:r>
      <w:r>
        <w:rPr>
          <w:rFonts w:hint="eastAsia" w:ascii="仿宋_GB2312" w:hAnsi="仿宋_GB2312" w:eastAsia="仿宋_GB2312" w:cs="仿宋_GB2312"/>
          <w:color w:val="auto"/>
          <w:sz w:val="32"/>
          <w:szCs w:val="32"/>
          <w:highlight w:val="none"/>
        </w:rPr>
        <w:t>户</w:t>
      </w:r>
      <w:r>
        <w:rPr>
          <w:rFonts w:hint="eastAsia" w:ascii="仿宋_GB2312" w:hAnsi="仿宋_GB2312" w:eastAsia="仿宋_GB2312" w:cs="仿宋_GB2312"/>
          <w:color w:val="auto"/>
          <w:spacing w:val="3"/>
          <w:sz w:val="32"/>
          <w:szCs w:val="32"/>
          <w:highlight w:val="none"/>
        </w:rPr>
        <w:t>，其账号为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pacing w:val="3"/>
          <w:sz w:val="32"/>
          <w:szCs w:val="32"/>
          <w:highlight w:val="none"/>
        </w:rPr>
        <w:t>。鉴于</w:t>
      </w:r>
      <w:r>
        <w:rPr>
          <w:rFonts w:hint="eastAsia" w:ascii="仿宋_GB2312" w:hAnsi="仿宋_GB2312" w:eastAsia="仿宋_GB2312" w:cs="仿宋_GB2312"/>
          <w:color w:val="auto"/>
          <w:spacing w:val="-18"/>
          <w:sz w:val="32"/>
          <w:szCs w:val="32"/>
          <w:highlight w:val="none"/>
        </w:rPr>
        <w:t>投</w:t>
      </w:r>
      <w:r>
        <w:rPr>
          <w:rFonts w:hint="eastAsia" w:ascii="仿宋_GB2312" w:hAnsi="仿宋_GB2312" w:eastAsia="仿宋_GB2312" w:cs="仿宋_GB2312"/>
          <w:color w:val="auto"/>
          <w:sz w:val="32"/>
          <w:szCs w:val="32"/>
          <w:highlight w:val="none"/>
        </w:rPr>
        <w:t>标人于年月日参加你方项目招标的投标</w:t>
      </w:r>
      <w:r>
        <w:rPr>
          <w:rFonts w:hint="eastAsia" w:ascii="仿宋_GB2312" w:hAnsi="仿宋_GB2312" w:eastAsia="仿宋_GB2312" w:cs="仿宋_GB2312"/>
          <w:color w:val="auto"/>
          <w:spacing w:val="-21"/>
          <w:sz w:val="32"/>
          <w:szCs w:val="32"/>
          <w:highlight w:val="none"/>
        </w:rPr>
        <w:t>，</w:t>
      </w:r>
      <w:r>
        <w:rPr>
          <w:rFonts w:hint="eastAsia" w:ascii="仿宋_GB2312" w:hAnsi="仿宋_GB2312" w:eastAsia="仿宋_GB2312" w:cs="仿宋_GB2312"/>
          <w:color w:val="auto"/>
          <w:sz w:val="32"/>
          <w:szCs w:val="32"/>
          <w:highlight w:val="none"/>
        </w:rPr>
        <w:t>我方在此无条件及不可撤销地具结保证并承诺，一旦收到你方提出的下述任何一种情形的书面通知之日起7个工作日内，</w:t>
      </w:r>
      <w:r>
        <w:rPr>
          <w:rFonts w:hint="eastAsia" w:ascii="仿宋_GB2312" w:hAnsi="仿宋_GB2312" w:eastAsia="仿宋_GB2312" w:cs="仿宋_GB2312"/>
          <w:color w:val="auto"/>
          <w:spacing w:val="3"/>
          <w:sz w:val="32"/>
          <w:szCs w:val="32"/>
          <w:highlight w:val="none"/>
        </w:rPr>
        <w:t>我方</w:t>
      </w:r>
      <w:r>
        <w:rPr>
          <w:rFonts w:hint="eastAsia" w:ascii="仿宋_GB2312" w:hAnsi="仿宋_GB2312" w:eastAsia="仿宋_GB2312" w:cs="仿宋_GB2312"/>
          <w:color w:val="auto"/>
          <w:sz w:val="32"/>
          <w:szCs w:val="32"/>
          <w:highlight w:val="none"/>
        </w:rPr>
        <w:t>无条件地向贵方支付人民币（大写）元整 [保证金金额]（（小写）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元）：  </w:t>
      </w:r>
    </w:p>
    <w:p>
      <w:pPr>
        <w:pStyle w:val="27"/>
        <w:numPr>
          <w:ilvl w:val="0"/>
          <w:numId w:val="2"/>
        </w:numPr>
        <w:tabs>
          <w:tab w:val="left" w:pos="955"/>
        </w:tabs>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若投标人在投标有效期内撤销投标文件；</w:t>
      </w:r>
    </w:p>
    <w:p>
      <w:pPr>
        <w:pStyle w:val="27"/>
        <w:numPr>
          <w:ilvl w:val="0"/>
          <w:numId w:val="2"/>
        </w:numPr>
        <w:tabs>
          <w:tab w:val="left" w:pos="955"/>
        </w:tabs>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中标后无正当理由不与招标人订立合同；</w:t>
      </w:r>
    </w:p>
    <w:p>
      <w:pPr>
        <w:pStyle w:val="27"/>
        <w:numPr>
          <w:ilvl w:val="0"/>
          <w:numId w:val="2"/>
        </w:numPr>
        <w:tabs>
          <w:tab w:val="left" w:pos="955"/>
        </w:tabs>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在签订合同时向招标人提出附加条件；</w:t>
      </w:r>
    </w:p>
    <w:p>
      <w:pPr>
        <w:pStyle w:val="27"/>
        <w:numPr>
          <w:ilvl w:val="0"/>
          <w:numId w:val="2"/>
        </w:numPr>
        <w:tabs>
          <w:tab w:val="left" w:pos="955"/>
        </w:tabs>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不按照招标文件要求提交履约保证金；</w:t>
      </w:r>
    </w:p>
    <w:p>
      <w:pPr>
        <w:pStyle w:val="27"/>
        <w:numPr>
          <w:ilvl w:val="0"/>
          <w:numId w:val="2"/>
        </w:numPr>
        <w:tabs>
          <w:tab w:val="left" w:pos="955"/>
        </w:tabs>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发生招标文件明确规定可以不予退还投标保证金的其他情形。</w:t>
      </w:r>
    </w:p>
    <w:p>
      <w:pPr>
        <w:pStyle w:val="7"/>
        <w:tabs>
          <w:tab w:val="left" w:pos="2353"/>
          <w:tab w:val="left" w:pos="4313"/>
        </w:tabs>
        <w:autoSpaceDE w:val="0"/>
        <w:autoSpaceDN w:val="0"/>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本保函自开具之日起生效，有效期截止日期为年月日(注：有效期截止日期不得少于本项目的投标有效期)。到期后，无论你方是否将保函正本退回我方，本保函均自动失效。要求我方承担保</w:t>
      </w:r>
      <w:r>
        <w:rPr>
          <w:rFonts w:hint="eastAsia" w:ascii="仿宋_GB2312" w:hAnsi="仿宋_GB2312" w:eastAsia="仿宋_GB2312" w:cs="仿宋_GB2312"/>
          <w:color w:val="auto"/>
          <w:spacing w:val="-18"/>
          <w:sz w:val="32"/>
          <w:szCs w:val="32"/>
          <w:highlight w:val="none"/>
        </w:rPr>
        <w:t>证</w:t>
      </w:r>
      <w:r>
        <w:rPr>
          <w:rFonts w:hint="eastAsia" w:ascii="仿宋_GB2312" w:hAnsi="仿宋_GB2312" w:eastAsia="仿宋_GB2312" w:cs="仿宋_GB2312"/>
          <w:color w:val="auto"/>
          <w:sz w:val="32"/>
          <w:szCs w:val="32"/>
          <w:highlight w:val="none"/>
        </w:rPr>
        <w:t>责任的通知应在本保函有效期内送达我方。</w:t>
      </w:r>
    </w:p>
    <w:p>
      <w:pPr>
        <w:pStyle w:val="7"/>
        <w:tabs>
          <w:tab w:val="left" w:pos="2353"/>
          <w:tab w:val="left" w:pos="4313"/>
        </w:tabs>
        <w:autoSpaceDE w:val="0"/>
        <w:autoSpaceDN w:val="0"/>
        <w:spacing w:line="520" w:lineRule="exact"/>
        <w:ind w:firstLine="640" w:firstLineChars="200"/>
        <w:rPr>
          <w:rFonts w:ascii="仿宋_GB2312" w:hAnsi="仿宋_GB2312" w:eastAsia="仿宋_GB2312" w:cs="仿宋_GB2312"/>
          <w:color w:val="auto"/>
          <w:sz w:val="32"/>
          <w:szCs w:val="32"/>
          <w:highlight w:val="none"/>
        </w:rPr>
      </w:pPr>
    </w:p>
    <w:p>
      <w:pPr>
        <w:pStyle w:val="7"/>
        <w:autoSpaceDE w:val="0"/>
        <w:autoSpaceDN w:val="0"/>
        <w:spacing w:line="520" w:lineRule="exact"/>
        <w:rPr>
          <w:rFonts w:ascii="仿宋_GB2312" w:hAnsi="仿宋_GB2312" w:eastAsia="仿宋_GB2312" w:cs="仿宋_GB2312"/>
          <w:color w:val="auto"/>
          <w:spacing w:val="-18"/>
          <w:sz w:val="32"/>
          <w:szCs w:val="32"/>
          <w:highlight w:val="none"/>
        </w:rPr>
      </w:pPr>
      <w:r>
        <w:rPr>
          <w:rFonts w:hint="eastAsia" w:ascii="仿宋_GB2312" w:hAnsi="仿宋_GB2312" w:eastAsia="仿宋_GB2312" w:cs="仿宋_GB2312"/>
          <w:color w:val="auto"/>
          <w:sz w:val="32"/>
          <w:szCs w:val="32"/>
          <w:highlight w:val="none"/>
        </w:rPr>
        <w:t>担保人名称（投标人基本存款账户开户银行）（盖单位公章）</w:t>
      </w:r>
      <w:r>
        <w:rPr>
          <w:rFonts w:hint="eastAsia" w:ascii="仿宋_GB2312" w:hAnsi="仿宋_GB2312" w:eastAsia="仿宋_GB2312" w:cs="仿宋_GB2312"/>
          <w:color w:val="auto"/>
          <w:spacing w:val="-18"/>
          <w:sz w:val="32"/>
          <w:szCs w:val="32"/>
          <w:highlight w:val="none"/>
        </w:rPr>
        <w:t>：</w:t>
      </w:r>
    </w:p>
    <w:p>
      <w:pPr>
        <w:pStyle w:val="7"/>
        <w:autoSpaceDE w:val="0"/>
        <w:autoSpaceDN w:val="0"/>
        <w:spacing w:line="520" w:lineRule="exact"/>
        <w:rPr>
          <w:rFonts w:ascii="仿宋_GB2312" w:hAnsi="仿宋_GB2312" w:eastAsia="仿宋_GB2312" w:cs="仿宋_GB2312"/>
          <w:color w:val="auto"/>
          <w:sz w:val="32"/>
          <w:szCs w:val="32"/>
          <w:highlight w:val="none"/>
        </w:rPr>
      </w:pPr>
    </w:p>
    <w:p>
      <w:pPr>
        <w:pStyle w:val="7"/>
        <w:autoSpaceDE w:val="0"/>
        <w:autoSpaceDN w:val="0"/>
        <w:spacing w:line="520" w:lineRule="exact"/>
        <w:rPr>
          <w:rFonts w:ascii="宋体"/>
          <w:color w:val="auto"/>
          <w:sz w:val="32"/>
          <w:szCs w:val="32"/>
          <w:highlight w:val="none"/>
          <w:u w:val="single"/>
        </w:rPr>
      </w:pPr>
      <w:r>
        <w:rPr>
          <w:rFonts w:hint="eastAsia" w:ascii="仿宋_GB2312" w:hAnsi="仿宋_GB2312" w:eastAsia="仿宋_GB2312" w:cs="仿宋_GB2312"/>
          <w:color w:val="auto"/>
          <w:sz w:val="32"/>
          <w:szCs w:val="32"/>
          <w:highlight w:val="none"/>
        </w:rPr>
        <w:t>担保人法定代表人或委托代理人（签字</w:t>
      </w:r>
      <w:r>
        <w:rPr>
          <w:rFonts w:hint="eastAsia" w:ascii="仿宋_GB2312" w:hAnsi="仿宋_GB2312" w:eastAsia="仿宋_GB2312" w:cs="仿宋_GB2312"/>
          <w:color w:val="auto"/>
          <w:spacing w:val="-9"/>
          <w:sz w:val="32"/>
          <w:szCs w:val="32"/>
          <w:highlight w:val="none"/>
        </w:rPr>
        <w:t>）：</w:t>
      </w:r>
    </w:p>
    <w:p>
      <w:pPr>
        <w:pStyle w:val="7"/>
        <w:tabs>
          <w:tab w:val="left" w:pos="2353"/>
          <w:tab w:val="left" w:pos="4313"/>
        </w:tabs>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日期：年月日</w:t>
      </w:r>
    </w:p>
    <w:p>
      <w:pPr>
        <w:pStyle w:val="7"/>
        <w:autoSpaceDE w:val="0"/>
        <w:autoSpaceDN w:val="0"/>
        <w:spacing w:line="520" w:lineRule="exact"/>
        <w:rPr>
          <w:rFonts w:ascii="宋体"/>
          <w:color w:val="auto"/>
          <w:sz w:val="32"/>
          <w:szCs w:val="32"/>
          <w:highlight w:val="none"/>
          <w:u w:val="single"/>
        </w:rPr>
      </w:pPr>
      <w:r>
        <w:rPr>
          <w:rFonts w:hint="eastAsia" w:ascii="仿宋_GB2312" w:hAnsi="仿宋_GB2312" w:eastAsia="仿宋_GB2312" w:cs="仿宋_GB2312"/>
          <w:color w:val="auto"/>
          <w:sz w:val="32"/>
          <w:szCs w:val="32"/>
          <w:highlight w:val="none"/>
        </w:rPr>
        <w:t>担保人地址：</w:t>
      </w:r>
    </w:p>
    <w:p>
      <w:pPr>
        <w:pStyle w:val="7"/>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邮政编码：</w:t>
      </w:r>
    </w:p>
    <w:p>
      <w:pPr>
        <w:pStyle w:val="7"/>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 系 人：</w:t>
      </w:r>
    </w:p>
    <w:p>
      <w:pPr>
        <w:pStyle w:val="7"/>
        <w:autoSpaceDE w:val="0"/>
        <w:autoSpaceDN w:val="0"/>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联系电话（手机）：</w:t>
      </w:r>
    </w:p>
    <w:p>
      <w:pPr>
        <w:pStyle w:val="7"/>
        <w:autoSpaceDE w:val="0"/>
        <w:autoSpaceDN w:val="0"/>
        <w:spacing w:line="520" w:lineRule="exact"/>
        <w:rPr>
          <w:rFonts w:cs="宋体"/>
          <w:color w:val="auto"/>
          <w:sz w:val="32"/>
          <w:szCs w:val="32"/>
          <w:highlight w:val="none"/>
        </w:rPr>
      </w:pPr>
    </w:p>
    <w:p>
      <w:pPr>
        <w:pStyle w:val="7"/>
        <w:autoSpaceDE w:val="0"/>
        <w:autoSpaceDN w:val="0"/>
        <w:spacing w:line="520" w:lineRule="exact"/>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注：1、本投标保证金银行保函为参考样本，各投标人可使用本参考样本或按其基本户开户银行出具的投标保证金银行保函样本（须涵盖本参考样本的所涉信息及要求）。</w:t>
      </w:r>
    </w:p>
    <w:p>
      <w:pPr>
        <w:pStyle w:val="7"/>
        <w:autoSpaceDE w:val="0"/>
        <w:autoSpaceDN w:val="0"/>
        <w:spacing w:line="52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2、各投标人须从其基本户开户银行出具投标保证金银行保函为招标人对本项目投标保证金银行保函的要求。</w:t>
      </w:r>
    </w:p>
    <w:bookmarkEnd w:id="59"/>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rPr>
          <w:rFonts w:ascii="仿宋" w:hAnsi="仿宋" w:eastAsia="仿宋" w:cs="仿宋"/>
          <w:color w:val="auto"/>
          <w:sz w:val="32"/>
          <w:szCs w:val="32"/>
          <w:highlight w:val="none"/>
        </w:rPr>
      </w:pPr>
    </w:p>
    <w:p>
      <w:pPr>
        <w:rPr>
          <w:rFonts w:hint="eastAsia" w:ascii="宋体" w:hAnsi="宋体" w:eastAsia="宋体" w:cs="宋体"/>
          <w:bCs w:val="0"/>
          <w:color w:val="auto"/>
          <w:highlight w:val="none"/>
        </w:rPr>
      </w:pPr>
    </w:p>
    <w:p>
      <w:pPr>
        <w:rPr>
          <w:rFonts w:hint="eastAsia" w:ascii="宋体" w:hAnsi="宋体" w:eastAsia="宋体" w:cs="宋体"/>
          <w:bCs w:val="0"/>
          <w:color w:val="auto"/>
          <w:highlight w:val="none"/>
        </w:rPr>
      </w:pPr>
    </w:p>
    <w:p>
      <w:pPr>
        <w:rPr>
          <w:rFonts w:hint="eastAsia" w:ascii="宋体" w:hAnsi="宋体" w:eastAsia="宋体" w:cs="宋体"/>
          <w:bCs w:val="0"/>
          <w:color w:val="auto"/>
          <w:highlight w:val="none"/>
        </w:rPr>
      </w:pPr>
      <w:r>
        <w:rPr>
          <w:rFonts w:hint="eastAsia" w:ascii="宋体" w:hAnsi="宋体" w:eastAsia="宋体" w:cs="宋体"/>
          <w:bCs w:val="0"/>
          <w:color w:val="auto"/>
          <w:highlight w:val="none"/>
        </w:rPr>
        <w:br w:type="page"/>
      </w:r>
    </w:p>
    <w:p>
      <w:pPr>
        <w:pStyle w:val="4"/>
        <w:rPr>
          <w:rFonts w:ascii="华文行楷" w:eastAsia="华文行楷"/>
          <w:color w:val="auto"/>
          <w:sz w:val="52"/>
          <w:szCs w:val="52"/>
          <w:highlight w:val="none"/>
        </w:rPr>
      </w:pPr>
      <w:r>
        <w:rPr>
          <w:rFonts w:hint="eastAsia" w:ascii="宋体" w:hAnsi="宋体" w:eastAsia="宋体" w:cs="宋体"/>
          <w:bCs w:val="0"/>
          <w:color w:val="auto"/>
          <w:highlight w:val="none"/>
        </w:rPr>
        <w:t>附件1：</w:t>
      </w:r>
      <w:bookmarkEnd w:id="45"/>
      <w:bookmarkEnd w:id="46"/>
      <w:r>
        <w:rPr>
          <w:rFonts w:hint="eastAsia" w:ascii="宋体" w:hAnsi="宋体" w:eastAsia="宋体" w:cs="宋体"/>
          <w:bCs w:val="0"/>
          <w:color w:val="auto"/>
          <w:highlight w:val="none"/>
        </w:rPr>
        <w:t>投标文件（正本）封面格式</w:t>
      </w:r>
      <w:bookmarkEnd w:id="47"/>
      <w:bookmarkEnd w:id="48"/>
      <w:bookmarkEnd w:id="52"/>
    </w:p>
    <w:p>
      <w:pPr>
        <w:spacing w:line="600" w:lineRule="exact"/>
        <w:ind w:left="210" w:right="26" w:hanging="210"/>
        <w:jc w:val="center"/>
        <w:rPr>
          <w:rFonts w:hint="eastAsia" w:ascii="宋体" w:hAnsi="宋体"/>
          <w:b/>
          <w:color w:val="auto"/>
          <w:sz w:val="52"/>
          <w:szCs w:val="52"/>
          <w:highlight w:val="none"/>
          <w:u w:val="single"/>
          <w:lang w:eastAsia="zh-CN"/>
        </w:rPr>
      </w:pPr>
      <w:r>
        <w:rPr>
          <w:rFonts w:hint="eastAsia" w:ascii="宋体" w:hAnsi="宋体"/>
          <w:b/>
          <w:color w:val="auto"/>
          <w:sz w:val="52"/>
          <w:szCs w:val="52"/>
          <w:highlight w:val="none"/>
          <w:u w:val="single"/>
          <w:lang w:eastAsia="zh-CN"/>
        </w:rPr>
        <w:t>湛江经开区老旧小区改造项目</w:t>
      </w:r>
    </w:p>
    <w:p>
      <w:pPr>
        <w:spacing w:line="600" w:lineRule="exact"/>
        <w:ind w:left="210" w:right="26" w:hanging="210"/>
        <w:jc w:val="center"/>
        <w:rPr>
          <w:rFonts w:ascii="宋体" w:hAnsi="宋体"/>
          <w:b/>
          <w:color w:val="auto"/>
          <w:sz w:val="52"/>
          <w:szCs w:val="52"/>
          <w:highlight w:val="none"/>
        </w:rPr>
      </w:pPr>
      <w:r>
        <w:rPr>
          <w:rFonts w:hint="eastAsia" w:ascii="宋体" w:hAnsi="宋体"/>
          <w:b/>
          <w:color w:val="auto"/>
          <w:sz w:val="52"/>
          <w:szCs w:val="52"/>
          <w:highlight w:val="none"/>
          <w:u w:val="single"/>
          <w:lang w:eastAsia="zh-CN"/>
        </w:rPr>
        <w:t>（一期一标）监理</w:t>
      </w:r>
    </w:p>
    <w:p>
      <w:pPr>
        <w:pStyle w:val="25"/>
        <w:ind w:firstLine="0"/>
        <w:jc w:val="center"/>
        <w:rPr>
          <w:rFonts w:ascii="宋体" w:hAnsi="宋体"/>
          <w:b/>
          <w:color w:val="auto"/>
          <w:sz w:val="52"/>
          <w:szCs w:val="52"/>
          <w:highlight w:val="none"/>
        </w:rPr>
      </w:pPr>
    </w:p>
    <w:p>
      <w:pPr>
        <w:pStyle w:val="25"/>
        <w:ind w:firstLine="0"/>
        <w:jc w:val="center"/>
        <w:rPr>
          <w:rFonts w:hint="eastAsia" w:ascii="宋体" w:hAnsi="宋体" w:eastAsia="宋体"/>
          <w:b/>
          <w:color w:val="auto"/>
          <w:sz w:val="56"/>
          <w:szCs w:val="56"/>
          <w:highlight w:val="none"/>
          <w:lang w:eastAsia="zh-CN"/>
        </w:rPr>
      </w:pPr>
      <w:r>
        <w:rPr>
          <w:rFonts w:hint="eastAsia" w:ascii="宋体" w:hAnsi="宋体"/>
          <w:b/>
          <w:color w:val="auto"/>
          <w:sz w:val="56"/>
          <w:szCs w:val="56"/>
          <w:highlight w:val="none"/>
          <w:lang w:val="en-US" w:eastAsia="zh-CN"/>
        </w:rPr>
        <w:t>商</w:t>
      </w:r>
    </w:p>
    <w:p>
      <w:pPr>
        <w:pStyle w:val="25"/>
        <w:ind w:firstLine="0"/>
        <w:jc w:val="center"/>
        <w:rPr>
          <w:rFonts w:ascii="宋体" w:hAnsi="宋体"/>
          <w:b/>
          <w:color w:val="auto"/>
          <w:sz w:val="56"/>
          <w:szCs w:val="56"/>
          <w:highlight w:val="none"/>
        </w:rPr>
      </w:pPr>
    </w:p>
    <w:p>
      <w:pPr>
        <w:pStyle w:val="25"/>
        <w:ind w:firstLine="0"/>
        <w:jc w:val="center"/>
        <w:rPr>
          <w:rFonts w:ascii="宋体" w:hAnsi="宋体"/>
          <w:b/>
          <w:color w:val="auto"/>
          <w:sz w:val="56"/>
          <w:szCs w:val="56"/>
          <w:highlight w:val="none"/>
        </w:rPr>
      </w:pPr>
      <w:r>
        <w:rPr>
          <w:rFonts w:hint="eastAsia" w:ascii="宋体" w:hAnsi="宋体"/>
          <w:b/>
          <w:color w:val="auto"/>
          <w:sz w:val="56"/>
          <w:szCs w:val="56"/>
          <w:highlight w:val="none"/>
          <w:lang w:val="en-US" w:eastAsia="zh-CN"/>
        </w:rPr>
        <w:t>务</w:t>
      </w:r>
    </w:p>
    <w:p>
      <w:pPr>
        <w:pStyle w:val="25"/>
        <w:ind w:firstLine="0"/>
        <w:jc w:val="center"/>
        <w:rPr>
          <w:rFonts w:ascii="宋体" w:hAnsi="宋体"/>
          <w:b/>
          <w:color w:val="auto"/>
          <w:sz w:val="56"/>
          <w:szCs w:val="56"/>
          <w:highlight w:val="none"/>
        </w:rPr>
      </w:pPr>
    </w:p>
    <w:p>
      <w:pPr>
        <w:pStyle w:val="25"/>
        <w:ind w:firstLine="0"/>
        <w:jc w:val="center"/>
        <w:rPr>
          <w:rFonts w:ascii="宋体" w:hAnsi="宋体"/>
          <w:b/>
          <w:color w:val="auto"/>
          <w:sz w:val="56"/>
          <w:szCs w:val="56"/>
          <w:highlight w:val="none"/>
        </w:rPr>
      </w:pPr>
      <w:r>
        <w:rPr>
          <w:rFonts w:hint="eastAsia" w:ascii="宋体" w:hAnsi="宋体"/>
          <w:b/>
          <w:color w:val="auto"/>
          <w:sz w:val="56"/>
          <w:szCs w:val="56"/>
          <w:highlight w:val="none"/>
        </w:rPr>
        <w:t>文</w:t>
      </w:r>
    </w:p>
    <w:p>
      <w:pPr>
        <w:pStyle w:val="25"/>
        <w:ind w:firstLine="0"/>
        <w:jc w:val="center"/>
        <w:rPr>
          <w:rFonts w:ascii="宋体" w:hAnsi="宋体"/>
          <w:b/>
          <w:color w:val="auto"/>
          <w:sz w:val="56"/>
          <w:szCs w:val="56"/>
          <w:highlight w:val="none"/>
        </w:rPr>
      </w:pPr>
    </w:p>
    <w:p>
      <w:pPr>
        <w:pStyle w:val="25"/>
        <w:ind w:firstLine="0"/>
        <w:jc w:val="center"/>
        <w:rPr>
          <w:rFonts w:ascii="宋体" w:hAnsi="宋体"/>
          <w:b/>
          <w:color w:val="auto"/>
          <w:sz w:val="56"/>
          <w:szCs w:val="56"/>
          <w:highlight w:val="none"/>
        </w:rPr>
      </w:pPr>
      <w:r>
        <w:rPr>
          <w:rFonts w:hint="eastAsia" w:ascii="宋体" w:hAnsi="宋体"/>
          <w:b/>
          <w:color w:val="auto"/>
          <w:sz w:val="56"/>
          <w:szCs w:val="56"/>
          <w:highlight w:val="none"/>
        </w:rPr>
        <w:t>件</w:t>
      </w:r>
    </w:p>
    <w:p>
      <w:pPr>
        <w:pStyle w:val="25"/>
        <w:ind w:firstLine="0"/>
        <w:jc w:val="center"/>
        <w:rPr>
          <w:rFonts w:ascii="宋体" w:hAnsi="宋体"/>
          <w:b/>
          <w:color w:val="auto"/>
          <w:sz w:val="56"/>
          <w:szCs w:val="56"/>
          <w:highlight w:val="none"/>
        </w:rPr>
      </w:pPr>
    </w:p>
    <w:p>
      <w:pPr>
        <w:pStyle w:val="25"/>
        <w:ind w:firstLine="0"/>
        <w:jc w:val="center"/>
        <w:rPr>
          <w:rFonts w:ascii="宋体" w:hAnsi="宋体"/>
          <w:b/>
          <w:color w:val="auto"/>
          <w:sz w:val="56"/>
          <w:szCs w:val="56"/>
          <w:highlight w:val="none"/>
        </w:rPr>
      </w:pPr>
      <w:r>
        <w:rPr>
          <w:rFonts w:hint="eastAsia" w:ascii="宋体" w:hAnsi="宋体"/>
          <w:b/>
          <w:color w:val="auto"/>
          <w:sz w:val="56"/>
          <w:szCs w:val="56"/>
          <w:highlight w:val="none"/>
        </w:rPr>
        <w:t>（正本）</w:t>
      </w:r>
    </w:p>
    <w:p>
      <w:pPr>
        <w:pStyle w:val="25"/>
        <w:spacing w:line="920" w:lineRule="exact"/>
        <w:ind w:firstLine="0"/>
        <w:rPr>
          <w:rFonts w:ascii="宋体" w:hAnsi="宋体"/>
          <w:color w:val="auto"/>
          <w:sz w:val="52"/>
          <w:szCs w:val="52"/>
          <w:highlight w:val="none"/>
        </w:rPr>
      </w:pPr>
    </w:p>
    <w:p>
      <w:pPr>
        <w:spacing w:line="480" w:lineRule="auto"/>
        <w:ind w:firstLine="413" w:firstLineChars="147"/>
        <w:rPr>
          <w:rFonts w:hint="eastAsia" w:ascii="宋体"/>
          <w:b/>
          <w:color w:val="auto"/>
          <w:sz w:val="28"/>
          <w:szCs w:val="28"/>
          <w:highlight w:val="none"/>
        </w:rPr>
      </w:pPr>
    </w:p>
    <w:p>
      <w:pPr>
        <w:spacing w:line="480" w:lineRule="auto"/>
        <w:ind w:firstLine="413" w:firstLineChars="147"/>
        <w:rPr>
          <w:rFonts w:ascii="宋体"/>
          <w:b/>
          <w:color w:val="auto"/>
          <w:sz w:val="28"/>
          <w:szCs w:val="28"/>
          <w:highlight w:val="none"/>
          <w:u w:val="single"/>
        </w:rPr>
      </w:pPr>
      <w:r>
        <w:rPr>
          <w:rFonts w:hint="eastAsia" w:ascii="宋体"/>
          <w:b/>
          <w:color w:val="auto"/>
          <w:sz w:val="28"/>
          <w:szCs w:val="28"/>
          <w:highlight w:val="none"/>
        </w:rPr>
        <w:t>投  标  人：</w:t>
      </w:r>
      <w:r>
        <w:rPr>
          <w:rFonts w:hint="eastAsia" w:ascii="宋体"/>
          <w:b/>
          <w:color w:val="auto"/>
          <w:sz w:val="28"/>
          <w:szCs w:val="28"/>
          <w:highlight w:val="none"/>
          <w:u w:val="single"/>
        </w:rPr>
        <w:tab/>
      </w:r>
      <w:r>
        <w:rPr>
          <w:rFonts w:hint="eastAsia" w:ascii="宋体"/>
          <w:b/>
          <w:color w:val="auto"/>
          <w:sz w:val="28"/>
          <w:szCs w:val="28"/>
          <w:highlight w:val="none"/>
          <w:u w:val="single"/>
        </w:rPr>
        <w:tab/>
      </w:r>
      <w:r>
        <w:rPr>
          <w:rFonts w:hint="eastAsia" w:ascii="宋体"/>
          <w:b/>
          <w:color w:val="auto"/>
          <w:sz w:val="28"/>
          <w:szCs w:val="28"/>
          <w:highlight w:val="none"/>
          <w:u w:val="single"/>
        </w:rPr>
        <w:tab/>
      </w:r>
      <w:r>
        <w:rPr>
          <w:rFonts w:hint="eastAsia" w:ascii="宋体"/>
          <w:b/>
          <w:color w:val="auto"/>
          <w:sz w:val="28"/>
          <w:szCs w:val="28"/>
          <w:highlight w:val="none"/>
          <w:u w:val="single"/>
          <w:lang w:val="en-US" w:eastAsia="zh-CN"/>
        </w:rPr>
        <w:t xml:space="preserve">         </w:t>
      </w:r>
      <w:r>
        <w:rPr>
          <w:rFonts w:hint="eastAsia" w:ascii="宋体"/>
          <w:b/>
          <w:color w:val="auto"/>
          <w:sz w:val="28"/>
          <w:szCs w:val="28"/>
          <w:highlight w:val="none"/>
          <w:u w:val="single"/>
        </w:rPr>
        <w:tab/>
      </w:r>
      <w:r>
        <w:rPr>
          <w:rFonts w:hint="eastAsia" w:ascii="宋体"/>
          <w:b/>
          <w:color w:val="auto"/>
          <w:sz w:val="28"/>
          <w:szCs w:val="28"/>
          <w:highlight w:val="none"/>
        </w:rPr>
        <w:t>（单位盖章）</w:t>
      </w:r>
    </w:p>
    <w:p>
      <w:pPr>
        <w:spacing w:line="480" w:lineRule="auto"/>
        <w:ind w:firstLine="413" w:firstLineChars="147"/>
        <w:rPr>
          <w:rFonts w:ascii="宋体"/>
          <w:b/>
          <w:color w:val="auto"/>
          <w:sz w:val="28"/>
          <w:szCs w:val="28"/>
          <w:highlight w:val="none"/>
        </w:rPr>
      </w:pPr>
      <w:r>
        <w:rPr>
          <w:rFonts w:hint="eastAsia" w:ascii="宋体"/>
          <w:b/>
          <w:color w:val="auto"/>
          <w:sz w:val="28"/>
          <w:szCs w:val="28"/>
          <w:highlight w:val="none"/>
        </w:rPr>
        <w:t>法定代表人 ：</w:t>
      </w:r>
      <w:r>
        <w:rPr>
          <w:rFonts w:hint="eastAsia" w:ascii="宋体"/>
          <w:b/>
          <w:color w:val="auto"/>
          <w:sz w:val="28"/>
          <w:szCs w:val="28"/>
          <w:highlight w:val="none"/>
          <w:u w:val="single"/>
        </w:rPr>
        <w:tab/>
      </w:r>
      <w:r>
        <w:rPr>
          <w:rFonts w:hint="eastAsia" w:ascii="宋体"/>
          <w:b/>
          <w:color w:val="auto"/>
          <w:sz w:val="28"/>
          <w:szCs w:val="28"/>
          <w:highlight w:val="none"/>
          <w:u w:val="single"/>
        </w:rPr>
        <w:tab/>
      </w:r>
      <w:r>
        <w:rPr>
          <w:rFonts w:hint="eastAsia" w:ascii="宋体"/>
          <w:b/>
          <w:color w:val="auto"/>
          <w:sz w:val="28"/>
          <w:szCs w:val="28"/>
          <w:highlight w:val="none"/>
          <w:u w:val="single"/>
          <w:lang w:val="en-US" w:eastAsia="zh-CN"/>
        </w:rPr>
        <w:t xml:space="preserve">          </w:t>
      </w:r>
      <w:r>
        <w:rPr>
          <w:rFonts w:hint="eastAsia" w:ascii="宋体"/>
          <w:b/>
          <w:color w:val="auto"/>
          <w:sz w:val="28"/>
          <w:szCs w:val="28"/>
          <w:highlight w:val="none"/>
          <w:u w:val="single"/>
        </w:rPr>
        <w:tab/>
      </w:r>
      <w:r>
        <w:rPr>
          <w:rFonts w:hint="eastAsia" w:ascii="宋体"/>
          <w:b/>
          <w:color w:val="auto"/>
          <w:sz w:val="28"/>
          <w:szCs w:val="28"/>
          <w:highlight w:val="none"/>
        </w:rPr>
        <w:t>（亲笔签名）</w:t>
      </w:r>
    </w:p>
    <w:p>
      <w:pPr>
        <w:spacing w:line="480" w:lineRule="auto"/>
        <w:ind w:firstLine="413" w:firstLineChars="147"/>
        <w:rPr>
          <w:rFonts w:ascii="宋体"/>
          <w:b/>
          <w:color w:val="auto"/>
          <w:sz w:val="28"/>
          <w:szCs w:val="28"/>
          <w:highlight w:val="none"/>
        </w:rPr>
      </w:pPr>
      <w:r>
        <w:rPr>
          <w:rFonts w:hint="eastAsia" w:ascii="宋体"/>
          <w:b/>
          <w:color w:val="auto"/>
          <w:sz w:val="28"/>
          <w:szCs w:val="28"/>
          <w:highlight w:val="none"/>
        </w:rPr>
        <w:t>总监理</w:t>
      </w:r>
      <w:r>
        <w:rPr>
          <w:rFonts w:ascii="宋体"/>
          <w:b/>
          <w:color w:val="auto"/>
          <w:sz w:val="28"/>
          <w:szCs w:val="28"/>
          <w:highlight w:val="none"/>
        </w:rPr>
        <w:t>工程师：</w:t>
      </w:r>
      <w:r>
        <w:rPr>
          <w:rFonts w:hint="eastAsia" w:ascii="宋体"/>
          <w:b/>
          <w:color w:val="auto"/>
          <w:sz w:val="28"/>
          <w:szCs w:val="28"/>
          <w:highlight w:val="none"/>
          <w:u w:val="single"/>
        </w:rPr>
        <w:tab/>
      </w:r>
      <w:r>
        <w:rPr>
          <w:rFonts w:hint="eastAsia" w:ascii="宋体"/>
          <w:b/>
          <w:color w:val="auto"/>
          <w:sz w:val="28"/>
          <w:szCs w:val="28"/>
          <w:highlight w:val="none"/>
          <w:u w:val="single"/>
        </w:rPr>
        <w:tab/>
      </w:r>
      <w:r>
        <w:rPr>
          <w:rFonts w:hint="eastAsia" w:ascii="宋体"/>
          <w:b/>
          <w:color w:val="auto"/>
          <w:sz w:val="28"/>
          <w:szCs w:val="28"/>
          <w:highlight w:val="none"/>
          <w:u w:val="single"/>
          <w:lang w:val="en-US" w:eastAsia="zh-CN"/>
        </w:rPr>
        <w:t xml:space="preserve">          </w:t>
      </w:r>
      <w:r>
        <w:rPr>
          <w:rFonts w:hint="eastAsia" w:ascii="宋体"/>
          <w:b/>
          <w:color w:val="auto"/>
          <w:sz w:val="28"/>
          <w:szCs w:val="28"/>
          <w:highlight w:val="none"/>
          <w:u w:val="single"/>
        </w:rPr>
        <w:tab/>
      </w:r>
      <w:r>
        <w:rPr>
          <w:rFonts w:hint="eastAsia" w:ascii="宋体"/>
          <w:b/>
          <w:color w:val="auto"/>
          <w:sz w:val="28"/>
          <w:szCs w:val="28"/>
          <w:highlight w:val="none"/>
        </w:rPr>
        <w:t>（亲笔签名）</w:t>
      </w:r>
    </w:p>
    <w:p>
      <w:pPr>
        <w:pStyle w:val="25"/>
        <w:spacing w:line="480" w:lineRule="auto"/>
        <w:ind w:firstLine="422" w:firstLineChars="150"/>
        <w:rPr>
          <w:rFonts w:ascii="宋体" w:hAnsi="宋体"/>
          <w:b/>
          <w:color w:val="auto"/>
          <w:sz w:val="32"/>
          <w:highlight w:val="none"/>
        </w:rPr>
      </w:pPr>
      <w:r>
        <w:rPr>
          <w:rFonts w:hint="eastAsia" w:ascii="宋体"/>
          <w:b/>
          <w:color w:val="auto"/>
          <w:szCs w:val="28"/>
          <w:highlight w:val="none"/>
        </w:rPr>
        <w:t xml:space="preserve">日      期： </w:t>
      </w:r>
      <w:r>
        <w:rPr>
          <w:rFonts w:hint="eastAsia" w:ascii="宋体"/>
          <w:b/>
          <w:color w:val="auto"/>
          <w:szCs w:val="28"/>
          <w:highlight w:val="none"/>
          <w:u w:val="single"/>
        </w:rPr>
        <w:tab/>
      </w:r>
      <w:r>
        <w:rPr>
          <w:rFonts w:hint="eastAsia" w:ascii="宋体"/>
          <w:b/>
          <w:color w:val="auto"/>
          <w:szCs w:val="28"/>
          <w:highlight w:val="none"/>
          <w:u w:val="single"/>
          <w:lang w:val="en-US" w:eastAsia="zh-CN"/>
        </w:rPr>
        <w:t xml:space="preserve">   </w:t>
      </w:r>
      <w:r>
        <w:rPr>
          <w:rFonts w:hint="eastAsia" w:ascii="宋体"/>
          <w:b/>
          <w:color w:val="auto"/>
          <w:szCs w:val="28"/>
          <w:highlight w:val="none"/>
          <w:u w:val="single"/>
        </w:rPr>
        <w:tab/>
      </w:r>
      <w:r>
        <w:rPr>
          <w:rFonts w:hint="eastAsia" w:ascii="宋体"/>
          <w:b/>
          <w:color w:val="auto"/>
          <w:szCs w:val="28"/>
          <w:highlight w:val="none"/>
        </w:rPr>
        <w:t>年</w:t>
      </w:r>
      <w:r>
        <w:rPr>
          <w:rFonts w:hint="eastAsia" w:ascii="宋体"/>
          <w:b/>
          <w:color w:val="auto"/>
          <w:szCs w:val="28"/>
          <w:highlight w:val="none"/>
          <w:u w:val="single"/>
        </w:rPr>
        <w:tab/>
      </w:r>
      <w:r>
        <w:rPr>
          <w:rFonts w:hint="eastAsia" w:ascii="宋体"/>
          <w:b/>
          <w:color w:val="auto"/>
          <w:szCs w:val="28"/>
          <w:highlight w:val="none"/>
          <w:u w:val="single"/>
          <w:lang w:val="en-US" w:eastAsia="zh-CN"/>
        </w:rPr>
        <w:t xml:space="preserve">   </w:t>
      </w:r>
      <w:r>
        <w:rPr>
          <w:rFonts w:hint="eastAsia" w:ascii="宋体"/>
          <w:b/>
          <w:color w:val="auto"/>
          <w:szCs w:val="28"/>
          <w:highlight w:val="none"/>
          <w:u w:val="single"/>
        </w:rPr>
        <w:tab/>
      </w:r>
      <w:r>
        <w:rPr>
          <w:rFonts w:hint="eastAsia" w:ascii="宋体"/>
          <w:b/>
          <w:color w:val="auto"/>
          <w:szCs w:val="28"/>
          <w:highlight w:val="none"/>
        </w:rPr>
        <w:t>月</w:t>
      </w:r>
      <w:r>
        <w:rPr>
          <w:rFonts w:hint="eastAsia" w:ascii="宋体"/>
          <w:b/>
          <w:color w:val="auto"/>
          <w:szCs w:val="28"/>
          <w:highlight w:val="none"/>
          <w:u w:val="single"/>
        </w:rPr>
        <w:tab/>
      </w:r>
      <w:r>
        <w:rPr>
          <w:rFonts w:hint="eastAsia" w:ascii="宋体"/>
          <w:b/>
          <w:color w:val="auto"/>
          <w:szCs w:val="28"/>
          <w:highlight w:val="none"/>
          <w:u w:val="single"/>
          <w:lang w:val="en-US" w:eastAsia="zh-CN"/>
        </w:rPr>
        <w:t xml:space="preserve">    </w:t>
      </w:r>
      <w:r>
        <w:rPr>
          <w:rFonts w:hint="eastAsia" w:ascii="宋体"/>
          <w:b/>
          <w:color w:val="auto"/>
          <w:szCs w:val="28"/>
          <w:highlight w:val="none"/>
          <w:u w:val="single"/>
        </w:rPr>
        <w:tab/>
      </w:r>
      <w:r>
        <w:rPr>
          <w:rFonts w:hint="eastAsia" w:ascii="宋体"/>
          <w:b/>
          <w:color w:val="auto"/>
          <w:szCs w:val="28"/>
          <w:highlight w:val="none"/>
        </w:rPr>
        <w:t>日</w:t>
      </w:r>
    </w:p>
    <w:p>
      <w:pPr>
        <w:pStyle w:val="4"/>
        <w:rPr>
          <w:rFonts w:ascii="宋体" w:hAnsi="宋体" w:eastAsia="宋体" w:cs="宋体"/>
          <w:bCs w:val="0"/>
          <w:color w:val="auto"/>
          <w:highlight w:val="none"/>
        </w:rPr>
      </w:pPr>
      <w:bookmarkStart w:id="60" w:name="_Toc57042155"/>
      <w:bookmarkStart w:id="61" w:name="_Toc339381045"/>
      <w:bookmarkStart w:id="62" w:name="_Toc11735"/>
      <w:bookmarkStart w:id="63" w:name="_Toc333927692"/>
      <w:bookmarkStart w:id="64" w:name="_Toc227833637"/>
      <w:r>
        <w:rPr>
          <w:rFonts w:hint="eastAsia" w:ascii="宋体" w:hAnsi="宋体" w:eastAsia="宋体" w:cs="宋体"/>
          <w:bCs w:val="0"/>
          <w:color w:val="auto"/>
          <w:highlight w:val="none"/>
        </w:rPr>
        <w:t>附件2：投标文件（副本）封面格式</w:t>
      </w:r>
    </w:p>
    <w:p>
      <w:pPr>
        <w:rPr>
          <w:rFonts w:ascii="华文行楷" w:eastAsia="华文行楷"/>
          <w:color w:val="auto"/>
          <w:highlight w:val="none"/>
        </w:rPr>
      </w:pPr>
    </w:p>
    <w:p>
      <w:pPr>
        <w:spacing w:line="600" w:lineRule="exact"/>
        <w:ind w:left="210" w:right="26" w:hanging="210"/>
        <w:jc w:val="center"/>
        <w:rPr>
          <w:rFonts w:hint="eastAsia" w:ascii="宋体" w:hAnsi="宋体"/>
          <w:b/>
          <w:color w:val="auto"/>
          <w:sz w:val="52"/>
          <w:szCs w:val="52"/>
          <w:highlight w:val="none"/>
          <w:u w:val="single"/>
          <w:lang w:eastAsia="zh-CN"/>
        </w:rPr>
      </w:pPr>
      <w:r>
        <w:rPr>
          <w:rFonts w:hint="eastAsia" w:ascii="宋体" w:hAnsi="宋体"/>
          <w:b/>
          <w:color w:val="auto"/>
          <w:sz w:val="52"/>
          <w:szCs w:val="52"/>
          <w:highlight w:val="none"/>
          <w:u w:val="single"/>
          <w:lang w:eastAsia="zh-CN"/>
        </w:rPr>
        <w:t>湛江经开区老旧小区改造项目</w:t>
      </w:r>
    </w:p>
    <w:p>
      <w:pPr>
        <w:spacing w:line="600" w:lineRule="exact"/>
        <w:ind w:left="210" w:right="26" w:hanging="210"/>
        <w:jc w:val="center"/>
        <w:rPr>
          <w:rFonts w:ascii="宋体" w:hAnsi="宋体"/>
          <w:b/>
          <w:color w:val="auto"/>
          <w:sz w:val="44"/>
          <w:szCs w:val="44"/>
          <w:highlight w:val="none"/>
        </w:rPr>
      </w:pPr>
      <w:r>
        <w:rPr>
          <w:rFonts w:hint="eastAsia" w:ascii="宋体" w:hAnsi="宋体"/>
          <w:b/>
          <w:color w:val="auto"/>
          <w:sz w:val="52"/>
          <w:szCs w:val="52"/>
          <w:highlight w:val="none"/>
          <w:u w:val="single"/>
          <w:lang w:eastAsia="zh-CN"/>
        </w:rPr>
        <w:t>（一期一标）监理</w:t>
      </w:r>
    </w:p>
    <w:p>
      <w:pPr>
        <w:pStyle w:val="25"/>
        <w:ind w:firstLine="0"/>
        <w:jc w:val="center"/>
        <w:rPr>
          <w:rFonts w:ascii="宋体" w:hAnsi="宋体"/>
          <w:b/>
          <w:color w:val="auto"/>
          <w:sz w:val="52"/>
          <w:szCs w:val="52"/>
          <w:highlight w:val="none"/>
        </w:rPr>
      </w:pPr>
    </w:p>
    <w:p>
      <w:pPr>
        <w:pStyle w:val="25"/>
        <w:ind w:firstLine="0"/>
        <w:jc w:val="center"/>
        <w:rPr>
          <w:rFonts w:hint="eastAsia" w:ascii="宋体" w:hAnsi="宋体" w:eastAsia="宋体"/>
          <w:b/>
          <w:color w:val="auto"/>
          <w:sz w:val="56"/>
          <w:szCs w:val="56"/>
          <w:highlight w:val="none"/>
          <w:lang w:eastAsia="zh-CN"/>
        </w:rPr>
      </w:pPr>
      <w:r>
        <w:rPr>
          <w:rFonts w:hint="eastAsia" w:ascii="宋体" w:hAnsi="宋体"/>
          <w:b/>
          <w:color w:val="auto"/>
          <w:sz w:val="56"/>
          <w:szCs w:val="56"/>
          <w:highlight w:val="none"/>
          <w:lang w:val="en-US" w:eastAsia="zh-CN"/>
        </w:rPr>
        <w:t>商</w:t>
      </w:r>
    </w:p>
    <w:p>
      <w:pPr>
        <w:pStyle w:val="25"/>
        <w:ind w:firstLine="0"/>
        <w:jc w:val="center"/>
        <w:rPr>
          <w:rFonts w:ascii="宋体" w:hAnsi="宋体"/>
          <w:b/>
          <w:color w:val="auto"/>
          <w:sz w:val="56"/>
          <w:szCs w:val="56"/>
          <w:highlight w:val="none"/>
        </w:rPr>
      </w:pPr>
    </w:p>
    <w:p>
      <w:pPr>
        <w:pStyle w:val="25"/>
        <w:ind w:firstLine="0"/>
        <w:jc w:val="center"/>
        <w:rPr>
          <w:rFonts w:ascii="宋体" w:hAnsi="宋体"/>
          <w:b/>
          <w:color w:val="auto"/>
          <w:sz w:val="56"/>
          <w:szCs w:val="56"/>
          <w:highlight w:val="none"/>
        </w:rPr>
      </w:pPr>
      <w:r>
        <w:rPr>
          <w:rFonts w:hint="eastAsia" w:ascii="宋体" w:hAnsi="宋体"/>
          <w:b/>
          <w:color w:val="auto"/>
          <w:sz w:val="56"/>
          <w:szCs w:val="56"/>
          <w:highlight w:val="none"/>
          <w:lang w:val="en-US" w:eastAsia="zh-CN"/>
        </w:rPr>
        <w:t>务</w:t>
      </w:r>
    </w:p>
    <w:p>
      <w:pPr>
        <w:pStyle w:val="25"/>
        <w:ind w:firstLine="0"/>
        <w:jc w:val="center"/>
        <w:rPr>
          <w:rFonts w:ascii="宋体" w:hAnsi="宋体"/>
          <w:b/>
          <w:color w:val="auto"/>
          <w:sz w:val="56"/>
          <w:szCs w:val="56"/>
          <w:highlight w:val="none"/>
        </w:rPr>
      </w:pPr>
    </w:p>
    <w:p>
      <w:pPr>
        <w:pStyle w:val="25"/>
        <w:ind w:firstLine="0"/>
        <w:jc w:val="center"/>
        <w:rPr>
          <w:rFonts w:ascii="宋体" w:hAnsi="宋体"/>
          <w:b/>
          <w:color w:val="auto"/>
          <w:sz w:val="56"/>
          <w:szCs w:val="56"/>
          <w:highlight w:val="none"/>
        </w:rPr>
      </w:pPr>
      <w:r>
        <w:rPr>
          <w:rFonts w:hint="eastAsia" w:ascii="宋体" w:hAnsi="宋体"/>
          <w:b/>
          <w:color w:val="auto"/>
          <w:sz w:val="56"/>
          <w:szCs w:val="56"/>
          <w:highlight w:val="none"/>
        </w:rPr>
        <w:t>文</w:t>
      </w:r>
    </w:p>
    <w:p>
      <w:pPr>
        <w:pStyle w:val="25"/>
        <w:ind w:firstLine="0"/>
        <w:jc w:val="center"/>
        <w:rPr>
          <w:rFonts w:ascii="宋体" w:hAnsi="宋体"/>
          <w:b/>
          <w:color w:val="auto"/>
          <w:sz w:val="56"/>
          <w:szCs w:val="56"/>
          <w:highlight w:val="none"/>
        </w:rPr>
      </w:pPr>
    </w:p>
    <w:p>
      <w:pPr>
        <w:pStyle w:val="25"/>
        <w:ind w:firstLine="0"/>
        <w:jc w:val="center"/>
        <w:rPr>
          <w:rFonts w:ascii="宋体" w:hAnsi="宋体"/>
          <w:b/>
          <w:color w:val="auto"/>
          <w:sz w:val="56"/>
          <w:szCs w:val="56"/>
          <w:highlight w:val="none"/>
        </w:rPr>
      </w:pPr>
      <w:r>
        <w:rPr>
          <w:rFonts w:hint="eastAsia" w:ascii="宋体" w:hAnsi="宋体"/>
          <w:b/>
          <w:color w:val="auto"/>
          <w:sz w:val="56"/>
          <w:szCs w:val="56"/>
          <w:highlight w:val="none"/>
        </w:rPr>
        <w:t>件</w:t>
      </w:r>
    </w:p>
    <w:p>
      <w:pPr>
        <w:pStyle w:val="25"/>
        <w:ind w:firstLine="0"/>
        <w:jc w:val="center"/>
        <w:rPr>
          <w:rFonts w:ascii="宋体" w:hAnsi="宋体"/>
          <w:b/>
          <w:color w:val="auto"/>
          <w:sz w:val="56"/>
          <w:szCs w:val="56"/>
          <w:highlight w:val="none"/>
        </w:rPr>
      </w:pPr>
    </w:p>
    <w:p>
      <w:pPr>
        <w:pStyle w:val="25"/>
        <w:ind w:firstLine="0"/>
        <w:jc w:val="center"/>
        <w:rPr>
          <w:rFonts w:ascii="宋体" w:hAnsi="宋体"/>
          <w:b/>
          <w:color w:val="auto"/>
          <w:sz w:val="56"/>
          <w:szCs w:val="56"/>
          <w:highlight w:val="none"/>
        </w:rPr>
      </w:pPr>
      <w:r>
        <w:rPr>
          <w:rFonts w:hint="eastAsia" w:ascii="宋体" w:hAnsi="宋体"/>
          <w:b/>
          <w:color w:val="auto"/>
          <w:sz w:val="56"/>
          <w:szCs w:val="56"/>
          <w:highlight w:val="none"/>
        </w:rPr>
        <w:t>（副本）</w:t>
      </w:r>
    </w:p>
    <w:p>
      <w:pPr>
        <w:pStyle w:val="25"/>
        <w:ind w:firstLine="0"/>
        <w:jc w:val="both"/>
        <w:rPr>
          <w:rFonts w:ascii="宋体" w:hAnsi="宋体"/>
          <w:b/>
          <w:color w:val="auto"/>
          <w:sz w:val="52"/>
          <w:szCs w:val="52"/>
          <w:highlight w:val="none"/>
        </w:rPr>
      </w:pPr>
    </w:p>
    <w:p>
      <w:pPr>
        <w:spacing w:line="480" w:lineRule="auto"/>
        <w:ind w:firstLine="413" w:firstLineChars="147"/>
        <w:rPr>
          <w:rFonts w:hint="eastAsia" w:ascii="宋体"/>
          <w:b/>
          <w:color w:val="auto"/>
          <w:sz w:val="28"/>
          <w:szCs w:val="28"/>
          <w:highlight w:val="none"/>
        </w:rPr>
      </w:pPr>
    </w:p>
    <w:p>
      <w:pPr>
        <w:spacing w:line="480" w:lineRule="auto"/>
        <w:ind w:firstLine="413" w:firstLineChars="147"/>
        <w:rPr>
          <w:rFonts w:ascii="宋体"/>
          <w:b/>
          <w:color w:val="auto"/>
          <w:sz w:val="28"/>
          <w:szCs w:val="28"/>
          <w:highlight w:val="none"/>
          <w:u w:val="single"/>
        </w:rPr>
      </w:pPr>
      <w:r>
        <w:rPr>
          <w:rFonts w:hint="eastAsia" w:ascii="宋体"/>
          <w:b/>
          <w:color w:val="auto"/>
          <w:sz w:val="28"/>
          <w:szCs w:val="28"/>
          <w:highlight w:val="none"/>
        </w:rPr>
        <w:t>投  标  人：</w:t>
      </w:r>
      <w:r>
        <w:rPr>
          <w:rFonts w:hint="eastAsia" w:ascii="宋体"/>
          <w:b/>
          <w:color w:val="auto"/>
          <w:sz w:val="28"/>
          <w:szCs w:val="28"/>
          <w:highlight w:val="none"/>
          <w:u w:val="single"/>
        </w:rPr>
        <w:tab/>
      </w:r>
      <w:r>
        <w:rPr>
          <w:rFonts w:hint="eastAsia" w:ascii="宋体"/>
          <w:b/>
          <w:color w:val="auto"/>
          <w:sz w:val="28"/>
          <w:szCs w:val="28"/>
          <w:highlight w:val="none"/>
          <w:u w:val="single"/>
        </w:rPr>
        <w:tab/>
      </w:r>
      <w:r>
        <w:rPr>
          <w:rFonts w:hint="eastAsia" w:ascii="宋体"/>
          <w:b/>
          <w:color w:val="auto"/>
          <w:sz w:val="28"/>
          <w:szCs w:val="28"/>
          <w:highlight w:val="none"/>
          <w:u w:val="single"/>
        </w:rPr>
        <w:tab/>
      </w:r>
      <w:r>
        <w:rPr>
          <w:rFonts w:hint="eastAsia" w:ascii="宋体"/>
          <w:b/>
          <w:color w:val="auto"/>
          <w:sz w:val="28"/>
          <w:szCs w:val="28"/>
          <w:highlight w:val="none"/>
          <w:u w:val="single"/>
          <w:lang w:val="en-US" w:eastAsia="zh-CN"/>
        </w:rPr>
        <w:t xml:space="preserve">         </w:t>
      </w:r>
      <w:r>
        <w:rPr>
          <w:rFonts w:hint="eastAsia" w:ascii="宋体"/>
          <w:b/>
          <w:color w:val="auto"/>
          <w:sz w:val="28"/>
          <w:szCs w:val="28"/>
          <w:highlight w:val="none"/>
          <w:u w:val="single"/>
        </w:rPr>
        <w:tab/>
      </w:r>
      <w:r>
        <w:rPr>
          <w:rFonts w:hint="eastAsia" w:ascii="宋体"/>
          <w:b/>
          <w:color w:val="auto"/>
          <w:sz w:val="28"/>
          <w:szCs w:val="28"/>
          <w:highlight w:val="none"/>
        </w:rPr>
        <w:t>（单位盖章）</w:t>
      </w:r>
    </w:p>
    <w:p>
      <w:pPr>
        <w:spacing w:line="480" w:lineRule="auto"/>
        <w:ind w:firstLine="413" w:firstLineChars="147"/>
        <w:rPr>
          <w:rFonts w:ascii="宋体"/>
          <w:b/>
          <w:color w:val="auto"/>
          <w:sz w:val="28"/>
          <w:szCs w:val="28"/>
          <w:highlight w:val="none"/>
        </w:rPr>
      </w:pPr>
      <w:r>
        <w:rPr>
          <w:rFonts w:hint="eastAsia" w:ascii="宋体"/>
          <w:b/>
          <w:color w:val="auto"/>
          <w:sz w:val="28"/>
          <w:szCs w:val="28"/>
          <w:highlight w:val="none"/>
        </w:rPr>
        <w:t>法定代表人 ：</w:t>
      </w:r>
      <w:r>
        <w:rPr>
          <w:rFonts w:hint="eastAsia" w:ascii="宋体"/>
          <w:b/>
          <w:color w:val="auto"/>
          <w:sz w:val="28"/>
          <w:szCs w:val="28"/>
          <w:highlight w:val="none"/>
          <w:u w:val="single"/>
        </w:rPr>
        <w:tab/>
      </w:r>
      <w:r>
        <w:rPr>
          <w:rFonts w:hint="eastAsia" w:ascii="宋体"/>
          <w:b/>
          <w:color w:val="auto"/>
          <w:sz w:val="28"/>
          <w:szCs w:val="28"/>
          <w:highlight w:val="none"/>
          <w:u w:val="single"/>
        </w:rPr>
        <w:tab/>
      </w:r>
      <w:r>
        <w:rPr>
          <w:rFonts w:hint="eastAsia" w:ascii="宋体"/>
          <w:b/>
          <w:color w:val="auto"/>
          <w:sz w:val="28"/>
          <w:szCs w:val="28"/>
          <w:highlight w:val="none"/>
          <w:u w:val="single"/>
          <w:lang w:val="en-US" w:eastAsia="zh-CN"/>
        </w:rPr>
        <w:t xml:space="preserve">          </w:t>
      </w:r>
      <w:r>
        <w:rPr>
          <w:rFonts w:hint="eastAsia" w:ascii="宋体"/>
          <w:b/>
          <w:color w:val="auto"/>
          <w:sz w:val="28"/>
          <w:szCs w:val="28"/>
          <w:highlight w:val="none"/>
          <w:u w:val="single"/>
        </w:rPr>
        <w:tab/>
      </w:r>
      <w:r>
        <w:rPr>
          <w:rFonts w:hint="eastAsia" w:ascii="宋体"/>
          <w:b/>
          <w:color w:val="auto"/>
          <w:sz w:val="28"/>
          <w:szCs w:val="28"/>
          <w:highlight w:val="none"/>
        </w:rPr>
        <w:t>（亲笔签名）</w:t>
      </w:r>
    </w:p>
    <w:p>
      <w:pPr>
        <w:spacing w:line="480" w:lineRule="auto"/>
        <w:ind w:firstLine="413" w:firstLineChars="147"/>
        <w:rPr>
          <w:rFonts w:ascii="宋体"/>
          <w:b/>
          <w:color w:val="auto"/>
          <w:sz w:val="28"/>
          <w:szCs w:val="28"/>
          <w:highlight w:val="none"/>
        </w:rPr>
      </w:pPr>
      <w:r>
        <w:rPr>
          <w:rFonts w:hint="eastAsia" w:ascii="宋体"/>
          <w:b/>
          <w:color w:val="auto"/>
          <w:sz w:val="28"/>
          <w:szCs w:val="28"/>
          <w:highlight w:val="none"/>
        </w:rPr>
        <w:t>总监理</w:t>
      </w:r>
      <w:r>
        <w:rPr>
          <w:rFonts w:ascii="宋体"/>
          <w:b/>
          <w:color w:val="auto"/>
          <w:sz w:val="28"/>
          <w:szCs w:val="28"/>
          <w:highlight w:val="none"/>
        </w:rPr>
        <w:t>工程师：</w:t>
      </w:r>
      <w:r>
        <w:rPr>
          <w:rFonts w:hint="eastAsia" w:ascii="宋体"/>
          <w:b/>
          <w:color w:val="auto"/>
          <w:sz w:val="28"/>
          <w:szCs w:val="28"/>
          <w:highlight w:val="none"/>
          <w:u w:val="single"/>
        </w:rPr>
        <w:tab/>
      </w:r>
      <w:r>
        <w:rPr>
          <w:rFonts w:hint="eastAsia" w:ascii="宋体"/>
          <w:b/>
          <w:color w:val="auto"/>
          <w:sz w:val="28"/>
          <w:szCs w:val="28"/>
          <w:highlight w:val="none"/>
          <w:u w:val="single"/>
        </w:rPr>
        <w:tab/>
      </w:r>
      <w:r>
        <w:rPr>
          <w:rFonts w:hint="eastAsia" w:ascii="宋体"/>
          <w:b/>
          <w:color w:val="auto"/>
          <w:sz w:val="28"/>
          <w:szCs w:val="28"/>
          <w:highlight w:val="none"/>
          <w:u w:val="single"/>
          <w:lang w:val="en-US" w:eastAsia="zh-CN"/>
        </w:rPr>
        <w:t xml:space="preserve">          </w:t>
      </w:r>
      <w:r>
        <w:rPr>
          <w:rFonts w:hint="eastAsia" w:ascii="宋体"/>
          <w:b/>
          <w:color w:val="auto"/>
          <w:sz w:val="28"/>
          <w:szCs w:val="28"/>
          <w:highlight w:val="none"/>
          <w:u w:val="single"/>
        </w:rPr>
        <w:tab/>
      </w:r>
      <w:r>
        <w:rPr>
          <w:rFonts w:hint="eastAsia" w:ascii="宋体"/>
          <w:b/>
          <w:color w:val="auto"/>
          <w:sz w:val="28"/>
          <w:szCs w:val="28"/>
          <w:highlight w:val="none"/>
        </w:rPr>
        <w:t>（亲笔签名）</w:t>
      </w:r>
    </w:p>
    <w:p>
      <w:pPr>
        <w:pStyle w:val="25"/>
        <w:spacing w:line="480" w:lineRule="auto"/>
        <w:ind w:firstLine="422" w:firstLineChars="150"/>
        <w:rPr>
          <w:rFonts w:ascii="宋体" w:hAnsi="宋体"/>
          <w:b/>
          <w:color w:val="auto"/>
          <w:sz w:val="32"/>
          <w:highlight w:val="none"/>
        </w:rPr>
      </w:pPr>
      <w:r>
        <w:rPr>
          <w:rFonts w:hint="eastAsia" w:ascii="宋体"/>
          <w:b/>
          <w:color w:val="auto"/>
          <w:szCs w:val="28"/>
          <w:highlight w:val="none"/>
        </w:rPr>
        <w:t xml:space="preserve">日      期： </w:t>
      </w:r>
      <w:r>
        <w:rPr>
          <w:rFonts w:hint="eastAsia" w:ascii="宋体"/>
          <w:b/>
          <w:color w:val="auto"/>
          <w:szCs w:val="28"/>
          <w:highlight w:val="none"/>
          <w:u w:val="single"/>
        </w:rPr>
        <w:tab/>
      </w:r>
      <w:r>
        <w:rPr>
          <w:rFonts w:hint="eastAsia" w:ascii="宋体"/>
          <w:b/>
          <w:color w:val="auto"/>
          <w:szCs w:val="28"/>
          <w:highlight w:val="none"/>
          <w:u w:val="single"/>
          <w:lang w:val="en-US" w:eastAsia="zh-CN"/>
        </w:rPr>
        <w:t xml:space="preserve">   </w:t>
      </w:r>
      <w:r>
        <w:rPr>
          <w:rFonts w:hint="eastAsia" w:ascii="宋体"/>
          <w:b/>
          <w:color w:val="auto"/>
          <w:szCs w:val="28"/>
          <w:highlight w:val="none"/>
          <w:u w:val="single"/>
        </w:rPr>
        <w:tab/>
      </w:r>
      <w:r>
        <w:rPr>
          <w:rFonts w:hint="eastAsia" w:ascii="宋体"/>
          <w:b/>
          <w:color w:val="auto"/>
          <w:szCs w:val="28"/>
          <w:highlight w:val="none"/>
        </w:rPr>
        <w:t>年</w:t>
      </w:r>
      <w:r>
        <w:rPr>
          <w:rFonts w:hint="eastAsia" w:ascii="宋体"/>
          <w:b/>
          <w:color w:val="auto"/>
          <w:szCs w:val="28"/>
          <w:highlight w:val="none"/>
          <w:u w:val="single"/>
        </w:rPr>
        <w:tab/>
      </w:r>
      <w:r>
        <w:rPr>
          <w:rFonts w:hint="eastAsia" w:ascii="宋体"/>
          <w:b/>
          <w:color w:val="auto"/>
          <w:szCs w:val="28"/>
          <w:highlight w:val="none"/>
          <w:u w:val="single"/>
          <w:lang w:val="en-US" w:eastAsia="zh-CN"/>
        </w:rPr>
        <w:t xml:space="preserve">   </w:t>
      </w:r>
      <w:r>
        <w:rPr>
          <w:rFonts w:hint="eastAsia" w:ascii="宋体"/>
          <w:b/>
          <w:color w:val="auto"/>
          <w:szCs w:val="28"/>
          <w:highlight w:val="none"/>
          <w:u w:val="single"/>
        </w:rPr>
        <w:tab/>
      </w:r>
      <w:r>
        <w:rPr>
          <w:rFonts w:hint="eastAsia" w:ascii="宋体"/>
          <w:b/>
          <w:color w:val="auto"/>
          <w:szCs w:val="28"/>
          <w:highlight w:val="none"/>
        </w:rPr>
        <w:t>月</w:t>
      </w:r>
      <w:r>
        <w:rPr>
          <w:rFonts w:hint="eastAsia" w:ascii="宋体"/>
          <w:b/>
          <w:color w:val="auto"/>
          <w:szCs w:val="28"/>
          <w:highlight w:val="none"/>
          <w:u w:val="single"/>
        </w:rPr>
        <w:tab/>
      </w:r>
      <w:r>
        <w:rPr>
          <w:rFonts w:hint="eastAsia" w:ascii="宋体"/>
          <w:b/>
          <w:color w:val="auto"/>
          <w:szCs w:val="28"/>
          <w:highlight w:val="none"/>
          <w:u w:val="single"/>
          <w:lang w:val="en-US" w:eastAsia="zh-CN"/>
        </w:rPr>
        <w:t xml:space="preserve">    </w:t>
      </w:r>
      <w:r>
        <w:rPr>
          <w:rFonts w:hint="eastAsia" w:ascii="宋体"/>
          <w:b/>
          <w:color w:val="auto"/>
          <w:szCs w:val="28"/>
          <w:highlight w:val="none"/>
          <w:u w:val="single"/>
        </w:rPr>
        <w:tab/>
      </w:r>
      <w:r>
        <w:rPr>
          <w:rFonts w:hint="eastAsia" w:ascii="宋体"/>
          <w:b/>
          <w:color w:val="auto"/>
          <w:szCs w:val="28"/>
          <w:highlight w:val="none"/>
        </w:rPr>
        <w:t>日</w:t>
      </w:r>
    </w:p>
    <w:p>
      <w:pPr>
        <w:jc w:val="center"/>
        <w:rPr>
          <w:rFonts w:ascii="宋体" w:hAnsi="宋体"/>
          <w:b/>
          <w:bCs/>
          <w:color w:val="auto"/>
          <w:sz w:val="32"/>
          <w:highlight w:val="none"/>
        </w:rPr>
        <w:sectPr>
          <w:pgSz w:w="11906" w:h="16838"/>
          <w:pgMar w:top="1417" w:right="1417" w:bottom="1417" w:left="1417" w:header="851" w:footer="992" w:gutter="0"/>
          <w:cols w:space="720" w:num="1"/>
          <w:docGrid w:linePitch="312" w:charSpace="0"/>
        </w:sectPr>
      </w:pPr>
    </w:p>
    <w:p>
      <w:pPr>
        <w:pStyle w:val="4"/>
        <w:spacing w:before="140" w:after="140" w:line="360" w:lineRule="auto"/>
        <w:rPr>
          <w:rFonts w:hint="eastAsia" w:ascii="宋体" w:hAnsi="宋体" w:eastAsia="宋体"/>
          <w:color w:val="auto"/>
          <w:highlight w:val="none"/>
        </w:rPr>
      </w:pPr>
      <w:bookmarkStart w:id="65" w:name="_Toc410588768"/>
      <w:bookmarkStart w:id="66" w:name="_Toc22225"/>
      <w:bookmarkStart w:id="67" w:name="_Toc359439318"/>
      <w:bookmarkStart w:id="68" w:name="_Toc390428956"/>
      <w:bookmarkStart w:id="69" w:name="_Toc359150110"/>
      <w:bookmarkStart w:id="70" w:name="_Toc497834438"/>
      <w:bookmarkStart w:id="71" w:name="_Toc26763"/>
      <w:bookmarkStart w:id="72" w:name="_Toc359439269"/>
      <w:bookmarkStart w:id="73" w:name="_Toc13618"/>
      <w:bookmarkStart w:id="74" w:name="_Toc3255"/>
      <w:bookmarkStart w:id="75" w:name="_Toc5074"/>
      <w:r>
        <w:rPr>
          <w:rFonts w:hint="eastAsia" w:ascii="宋体" w:hAnsi="宋体" w:eastAsia="宋体"/>
          <w:color w:val="auto"/>
          <w:highlight w:val="none"/>
        </w:rPr>
        <w:t>附件3：技术文件（正本）封面格式</w:t>
      </w:r>
      <w:bookmarkEnd w:id="65"/>
      <w:bookmarkEnd w:id="66"/>
      <w:bookmarkEnd w:id="67"/>
      <w:bookmarkEnd w:id="68"/>
      <w:bookmarkEnd w:id="69"/>
      <w:bookmarkEnd w:id="70"/>
      <w:bookmarkEnd w:id="71"/>
      <w:bookmarkEnd w:id="72"/>
      <w:bookmarkEnd w:id="73"/>
      <w:bookmarkEnd w:id="74"/>
      <w:bookmarkEnd w:id="75"/>
    </w:p>
    <w:p>
      <w:pPr>
        <w:pStyle w:val="25"/>
        <w:spacing w:line="288" w:lineRule="auto"/>
        <w:ind w:firstLine="0"/>
        <w:jc w:val="center"/>
        <w:rPr>
          <w:rFonts w:hint="eastAsia" w:ascii="宋体" w:hAnsi="宋体"/>
          <w:b/>
          <w:color w:val="auto"/>
          <w:sz w:val="32"/>
          <w:szCs w:val="32"/>
          <w:highlight w:val="none"/>
          <w:u w:val="single"/>
          <w:shd w:val="clear" w:color="auto" w:fill="FFFFFF"/>
        </w:rPr>
      </w:pPr>
    </w:p>
    <w:p>
      <w:pPr>
        <w:spacing w:line="288" w:lineRule="auto"/>
        <w:ind w:left="210" w:right="26" w:hanging="210"/>
        <w:jc w:val="center"/>
        <w:rPr>
          <w:rFonts w:hint="eastAsia" w:ascii="宋体" w:hAnsi="宋体"/>
          <w:b/>
          <w:color w:val="auto"/>
          <w:sz w:val="52"/>
          <w:szCs w:val="52"/>
          <w:highlight w:val="none"/>
          <w:u w:val="single"/>
          <w:lang w:eastAsia="zh-CN"/>
        </w:rPr>
      </w:pPr>
      <w:r>
        <w:rPr>
          <w:rFonts w:hint="eastAsia" w:ascii="宋体" w:hAnsi="宋体"/>
          <w:b/>
          <w:color w:val="auto"/>
          <w:sz w:val="52"/>
          <w:szCs w:val="52"/>
          <w:highlight w:val="none"/>
          <w:u w:val="single"/>
          <w:lang w:eastAsia="zh-CN"/>
        </w:rPr>
        <w:t>湛江经开区老旧小区改造项目</w:t>
      </w:r>
    </w:p>
    <w:p>
      <w:pPr>
        <w:spacing w:line="288" w:lineRule="auto"/>
        <w:ind w:left="210" w:right="26" w:hanging="210"/>
        <w:jc w:val="center"/>
        <w:rPr>
          <w:rFonts w:hint="eastAsia" w:ascii="宋体" w:hAnsi="宋体" w:eastAsia="宋体"/>
          <w:b/>
          <w:color w:val="auto"/>
          <w:sz w:val="36"/>
          <w:szCs w:val="36"/>
          <w:highlight w:val="none"/>
          <w:u w:val="single"/>
          <w:lang w:eastAsia="zh-CN"/>
        </w:rPr>
      </w:pPr>
      <w:r>
        <w:rPr>
          <w:rFonts w:hint="eastAsia" w:ascii="宋体" w:hAnsi="宋体"/>
          <w:b/>
          <w:color w:val="auto"/>
          <w:sz w:val="52"/>
          <w:szCs w:val="52"/>
          <w:highlight w:val="none"/>
          <w:u w:val="single"/>
          <w:lang w:eastAsia="zh-CN"/>
        </w:rPr>
        <w:t>（一期一标）监理</w:t>
      </w:r>
    </w:p>
    <w:p>
      <w:pPr>
        <w:pStyle w:val="25"/>
        <w:ind w:firstLine="0"/>
        <w:jc w:val="center"/>
        <w:rPr>
          <w:rFonts w:hint="eastAsia" w:ascii="宋体" w:hAnsi="宋体"/>
          <w:b/>
          <w:color w:val="auto"/>
          <w:sz w:val="72"/>
          <w:szCs w:val="72"/>
          <w:highlight w:val="none"/>
        </w:rPr>
      </w:pPr>
    </w:p>
    <w:p>
      <w:pPr>
        <w:pStyle w:val="25"/>
        <w:ind w:firstLine="0"/>
        <w:jc w:val="center"/>
        <w:rPr>
          <w:rFonts w:hint="eastAsia" w:ascii="宋体" w:hAnsi="宋体"/>
          <w:b/>
          <w:color w:val="auto"/>
          <w:sz w:val="72"/>
          <w:szCs w:val="72"/>
          <w:highlight w:val="none"/>
        </w:rPr>
      </w:pPr>
      <w:r>
        <w:rPr>
          <w:rFonts w:hint="eastAsia" w:ascii="宋体" w:hAnsi="宋体"/>
          <w:b/>
          <w:color w:val="auto"/>
          <w:sz w:val="72"/>
          <w:szCs w:val="72"/>
          <w:highlight w:val="none"/>
        </w:rPr>
        <w:t>技</w:t>
      </w:r>
    </w:p>
    <w:p>
      <w:pPr>
        <w:pStyle w:val="25"/>
        <w:ind w:firstLine="0"/>
        <w:jc w:val="center"/>
        <w:rPr>
          <w:rFonts w:hint="eastAsia" w:ascii="宋体" w:hAnsi="宋体"/>
          <w:b/>
          <w:color w:val="auto"/>
          <w:sz w:val="72"/>
          <w:szCs w:val="72"/>
          <w:highlight w:val="none"/>
        </w:rPr>
      </w:pPr>
    </w:p>
    <w:p>
      <w:pPr>
        <w:pStyle w:val="25"/>
        <w:ind w:firstLine="0"/>
        <w:jc w:val="center"/>
        <w:rPr>
          <w:rFonts w:hint="eastAsia" w:ascii="宋体" w:hAnsi="宋体"/>
          <w:b/>
          <w:color w:val="auto"/>
          <w:sz w:val="72"/>
          <w:szCs w:val="72"/>
          <w:highlight w:val="none"/>
        </w:rPr>
      </w:pPr>
      <w:r>
        <w:rPr>
          <w:rFonts w:hint="eastAsia" w:ascii="宋体" w:hAnsi="宋体"/>
          <w:b/>
          <w:color w:val="auto"/>
          <w:sz w:val="72"/>
          <w:szCs w:val="72"/>
          <w:highlight w:val="none"/>
        </w:rPr>
        <w:t>术</w:t>
      </w:r>
    </w:p>
    <w:p>
      <w:pPr>
        <w:pStyle w:val="25"/>
        <w:ind w:firstLine="0"/>
        <w:jc w:val="center"/>
        <w:rPr>
          <w:rFonts w:hint="eastAsia" w:ascii="宋体" w:hAnsi="宋体"/>
          <w:b/>
          <w:color w:val="auto"/>
          <w:sz w:val="72"/>
          <w:szCs w:val="72"/>
          <w:highlight w:val="none"/>
        </w:rPr>
      </w:pPr>
    </w:p>
    <w:p>
      <w:pPr>
        <w:pStyle w:val="25"/>
        <w:ind w:firstLine="0"/>
        <w:jc w:val="center"/>
        <w:rPr>
          <w:rFonts w:hint="eastAsia" w:ascii="宋体" w:hAnsi="宋体"/>
          <w:b/>
          <w:color w:val="auto"/>
          <w:sz w:val="72"/>
          <w:szCs w:val="72"/>
          <w:highlight w:val="none"/>
        </w:rPr>
      </w:pPr>
      <w:r>
        <w:rPr>
          <w:rFonts w:hint="eastAsia" w:ascii="宋体" w:hAnsi="宋体"/>
          <w:b/>
          <w:color w:val="auto"/>
          <w:sz w:val="72"/>
          <w:szCs w:val="72"/>
          <w:highlight w:val="none"/>
        </w:rPr>
        <w:t>文</w:t>
      </w:r>
    </w:p>
    <w:p>
      <w:pPr>
        <w:pStyle w:val="25"/>
        <w:ind w:firstLine="0"/>
        <w:jc w:val="center"/>
        <w:rPr>
          <w:rFonts w:hint="eastAsia" w:ascii="宋体" w:hAnsi="宋体"/>
          <w:b/>
          <w:color w:val="auto"/>
          <w:sz w:val="72"/>
          <w:szCs w:val="72"/>
          <w:highlight w:val="none"/>
        </w:rPr>
      </w:pPr>
    </w:p>
    <w:p>
      <w:pPr>
        <w:pStyle w:val="25"/>
        <w:ind w:firstLine="0"/>
        <w:jc w:val="center"/>
        <w:rPr>
          <w:rFonts w:hint="eastAsia" w:ascii="宋体" w:hAnsi="宋体"/>
          <w:b/>
          <w:color w:val="auto"/>
          <w:sz w:val="72"/>
          <w:szCs w:val="72"/>
          <w:highlight w:val="none"/>
        </w:rPr>
      </w:pPr>
      <w:r>
        <w:rPr>
          <w:rFonts w:hint="eastAsia" w:ascii="宋体" w:hAnsi="宋体"/>
          <w:b/>
          <w:color w:val="auto"/>
          <w:sz w:val="72"/>
          <w:szCs w:val="72"/>
          <w:highlight w:val="none"/>
        </w:rPr>
        <w:t>件</w:t>
      </w:r>
    </w:p>
    <w:p>
      <w:pPr>
        <w:pStyle w:val="25"/>
        <w:ind w:firstLine="0"/>
        <w:jc w:val="center"/>
        <w:rPr>
          <w:rFonts w:hint="eastAsia" w:ascii="宋体" w:hAnsi="宋体"/>
          <w:b/>
          <w:color w:val="auto"/>
          <w:sz w:val="72"/>
          <w:szCs w:val="72"/>
          <w:highlight w:val="none"/>
        </w:rPr>
      </w:pPr>
    </w:p>
    <w:p>
      <w:pPr>
        <w:pStyle w:val="25"/>
        <w:ind w:firstLine="0"/>
        <w:jc w:val="center"/>
        <w:rPr>
          <w:rFonts w:hint="eastAsia" w:ascii="宋体" w:hAnsi="宋体"/>
          <w:b/>
          <w:color w:val="auto"/>
          <w:sz w:val="72"/>
          <w:szCs w:val="72"/>
          <w:highlight w:val="none"/>
        </w:rPr>
      </w:pPr>
      <w:r>
        <w:rPr>
          <w:rFonts w:hint="eastAsia" w:ascii="宋体" w:hAnsi="宋体"/>
          <w:b/>
          <w:color w:val="auto"/>
          <w:sz w:val="72"/>
          <w:szCs w:val="72"/>
          <w:highlight w:val="none"/>
        </w:rPr>
        <w:t>（正本）</w:t>
      </w:r>
    </w:p>
    <w:p>
      <w:pPr>
        <w:pStyle w:val="25"/>
        <w:ind w:firstLine="0"/>
        <w:jc w:val="center"/>
        <w:rPr>
          <w:rFonts w:hint="eastAsia" w:ascii="宋体" w:hAnsi="宋体"/>
          <w:b/>
          <w:color w:val="auto"/>
          <w:sz w:val="72"/>
          <w:szCs w:val="72"/>
          <w:highlight w:val="none"/>
        </w:rPr>
      </w:pPr>
    </w:p>
    <w:p>
      <w:pPr>
        <w:pStyle w:val="4"/>
        <w:spacing w:line="288" w:lineRule="auto"/>
        <w:rPr>
          <w:rFonts w:hint="eastAsia" w:ascii="宋体" w:hAnsi="宋体" w:eastAsia="宋体"/>
          <w:color w:val="auto"/>
          <w:highlight w:val="none"/>
        </w:rPr>
      </w:pPr>
      <w:bookmarkStart w:id="76" w:name="_Toc25957"/>
      <w:bookmarkStart w:id="77" w:name="_Toc16772"/>
      <w:bookmarkStart w:id="78" w:name="_Toc24060"/>
      <w:bookmarkStart w:id="79" w:name="_Toc497834439"/>
      <w:r>
        <w:rPr>
          <w:rFonts w:hint="eastAsia" w:ascii="宋体" w:hAnsi="宋体" w:eastAsia="宋体"/>
          <w:color w:val="auto"/>
          <w:highlight w:val="none"/>
        </w:rPr>
        <w:br w:type="page"/>
      </w:r>
      <w:bookmarkStart w:id="80" w:name="_Toc6141"/>
      <w:bookmarkStart w:id="81" w:name="_Toc17478"/>
      <w:r>
        <w:rPr>
          <w:rFonts w:hint="eastAsia" w:ascii="宋体" w:hAnsi="宋体" w:eastAsia="宋体"/>
          <w:color w:val="auto"/>
          <w:highlight w:val="none"/>
        </w:rPr>
        <w:t>附件4：技术文件（副本）封面格式</w:t>
      </w:r>
      <w:bookmarkEnd w:id="76"/>
      <w:bookmarkEnd w:id="77"/>
      <w:bookmarkEnd w:id="78"/>
      <w:bookmarkEnd w:id="79"/>
      <w:bookmarkEnd w:id="80"/>
      <w:bookmarkEnd w:id="81"/>
    </w:p>
    <w:p>
      <w:pPr>
        <w:pStyle w:val="25"/>
        <w:spacing w:line="288" w:lineRule="auto"/>
        <w:ind w:firstLine="0"/>
        <w:jc w:val="center"/>
        <w:rPr>
          <w:rFonts w:hint="eastAsia" w:ascii="宋体" w:hAnsi="宋体"/>
          <w:b/>
          <w:color w:val="auto"/>
          <w:sz w:val="32"/>
          <w:szCs w:val="32"/>
          <w:highlight w:val="none"/>
          <w:u w:val="single"/>
          <w:shd w:val="clear" w:color="auto" w:fill="FFFFFF"/>
        </w:rPr>
      </w:pPr>
    </w:p>
    <w:p>
      <w:pPr>
        <w:spacing w:line="288" w:lineRule="auto"/>
        <w:ind w:left="210" w:right="26" w:hanging="210"/>
        <w:jc w:val="center"/>
        <w:rPr>
          <w:rFonts w:hint="eastAsia" w:ascii="宋体" w:hAnsi="宋体"/>
          <w:b/>
          <w:color w:val="auto"/>
          <w:sz w:val="52"/>
          <w:szCs w:val="52"/>
          <w:highlight w:val="none"/>
          <w:u w:val="single"/>
          <w:lang w:eastAsia="zh-CN"/>
        </w:rPr>
      </w:pPr>
      <w:r>
        <w:rPr>
          <w:rFonts w:hint="eastAsia" w:ascii="宋体" w:hAnsi="宋体"/>
          <w:b/>
          <w:color w:val="auto"/>
          <w:sz w:val="52"/>
          <w:szCs w:val="52"/>
          <w:highlight w:val="none"/>
          <w:u w:val="single"/>
          <w:lang w:eastAsia="zh-CN"/>
        </w:rPr>
        <w:t>湛江经开区老旧小区改造项目</w:t>
      </w:r>
    </w:p>
    <w:p>
      <w:pPr>
        <w:spacing w:line="288" w:lineRule="auto"/>
        <w:ind w:left="210" w:right="26" w:hanging="210"/>
        <w:jc w:val="center"/>
        <w:rPr>
          <w:rFonts w:hint="eastAsia" w:ascii="宋体" w:hAnsi="宋体" w:eastAsia="宋体"/>
          <w:b/>
          <w:color w:val="auto"/>
          <w:sz w:val="36"/>
          <w:szCs w:val="36"/>
          <w:highlight w:val="none"/>
          <w:u w:val="single"/>
          <w:lang w:eastAsia="zh-CN"/>
        </w:rPr>
      </w:pPr>
      <w:r>
        <w:rPr>
          <w:rFonts w:hint="eastAsia" w:ascii="宋体" w:hAnsi="宋体"/>
          <w:b/>
          <w:color w:val="auto"/>
          <w:sz w:val="52"/>
          <w:szCs w:val="52"/>
          <w:highlight w:val="none"/>
          <w:u w:val="single"/>
          <w:lang w:eastAsia="zh-CN"/>
        </w:rPr>
        <w:t>（一期一标）监理</w:t>
      </w:r>
    </w:p>
    <w:p>
      <w:pPr>
        <w:pStyle w:val="25"/>
        <w:ind w:firstLine="0"/>
        <w:jc w:val="center"/>
        <w:rPr>
          <w:rFonts w:hint="eastAsia" w:ascii="宋体" w:hAnsi="宋体"/>
          <w:b/>
          <w:color w:val="auto"/>
          <w:sz w:val="72"/>
          <w:szCs w:val="72"/>
          <w:highlight w:val="none"/>
        </w:rPr>
      </w:pPr>
    </w:p>
    <w:p>
      <w:pPr>
        <w:pStyle w:val="25"/>
        <w:ind w:firstLine="0"/>
        <w:jc w:val="center"/>
        <w:rPr>
          <w:rFonts w:hint="eastAsia" w:ascii="宋体" w:hAnsi="宋体"/>
          <w:b/>
          <w:color w:val="auto"/>
          <w:sz w:val="72"/>
          <w:szCs w:val="72"/>
          <w:highlight w:val="none"/>
        </w:rPr>
      </w:pPr>
      <w:r>
        <w:rPr>
          <w:rFonts w:hint="eastAsia" w:ascii="宋体" w:hAnsi="宋体"/>
          <w:b/>
          <w:color w:val="auto"/>
          <w:sz w:val="72"/>
          <w:szCs w:val="72"/>
          <w:highlight w:val="none"/>
        </w:rPr>
        <w:t>技</w:t>
      </w:r>
    </w:p>
    <w:p>
      <w:pPr>
        <w:pStyle w:val="25"/>
        <w:ind w:firstLine="0"/>
        <w:jc w:val="center"/>
        <w:rPr>
          <w:rFonts w:hint="eastAsia" w:ascii="宋体" w:hAnsi="宋体"/>
          <w:b/>
          <w:color w:val="auto"/>
          <w:sz w:val="72"/>
          <w:szCs w:val="72"/>
          <w:highlight w:val="none"/>
        </w:rPr>
      </w:pPr>
    </w:p>
    <w:p>
      <w:pPr>
        <w:pStyle w:val="25"/>
        <w:ind w:firstLine="0"/>
        <w:jc w:val="center"/>
        <w:rPr>
          <w:rFonts w:hint="eastAsia" w:ascii="宋体" w:hAnsi="宋体"/>
          <w:b/>
          <w:color w:val="auto"/>
          <w:sz w:val="72"/>
          <w:szCs w:val="72"/>
          <w:highlight w:val="none"/>
        </w:rPr>
      </w:pPr>
      <w:r>
        <w:rPr>
          <w:rFonts w:hint="eastAsia" w:ascii="宋体" w:hAnsi="宋体"/>
          <w:b/>
          <w:color w:val="auto"/>
          <w:sz w:val="72"/>
          <w:szCs w:val="72"/>
          <w:highlight w:val="none"/>
        </w:rPr>
        <w:t>术</w:t>
      </w:r>
    </w:p>
    <w:p>
      <w:pPr>
        <w:pStyle w:val="25"/>
        <w:ind w:firstLine="0"/>
        <w:jc w:val="center"/>
        <w:rPr>
          <w:rFonts w:hint="eastAsia" w:ascii="宋体" w:hAnsi="宋体"/>
          <w:b/>
          <w:color w:val="auto"/>
          <w:sz w:val="72"/>
          <w:szCs w:val="72"/>
          <w:highlight w:val="none"/>
        </w:rPr>
      </w:pPr>
    </w:p>
    <w:p>
      <w:pPr>
        <w:pStyle w:val="25"/>
        <w:ind w:firstLine="0"/>
        <w:jc w:val="center"/>
        <w:rPr>
          <w:rFonts w:hint="eastAsia" w:ascii="宋体" w:hAnsi="宋体"/>
          <w:b/>
          <w:color w:val="auto"/>
          <w:sz w:val="72"/>
          <w:szCs w:val="72"/>
          <w:highlight w:val="none"/>
        </w:rPr>
      </w:pPr>
      <w:r>
        <w:rPr>
          <w:rFonts w:hint="eastAsia" w:ascii="宋体" w:hAnsi="宋体"/>
          <w:b/>
          <w:color w:val="auto"/>
          <w:sz w:val="72"/>
          <w:szCs w:val="72"/>
          <w:highlight w:val="none"/>
        </w:rPr>
        <w:t>文</w:t>
      </w:r>
    </w:p>
    <w:p>
      <w:pPr>
        <w:pStyle w:val="25"/>
        <w:ind w:firstLine="0"/>
        <w:jc w:val="center"/>
        <w:rPr>
          <w:rFonts w:hint="eastAsia" w:ascii="宋体" w:hAnsi="宋体"/>
          <w:b/>
          <w:color w:val="auto"/>
          <w:sz w:val="72"/>
          <w:szCs w:val="72"/>
          <w:highlight w:val="none"/>
        </w:rPr>
      </w:pPr>
    </w:p>
    <w:p>
      <w:pPr>
        <w:pStyle w:val="25"/>
        <w:ind w:firstLine="0"/>
        <w:jc w:val="center"/>
        <w:rPr>
          <w:rFonts w:hint="eastAsia" w:ascii="宋体" w:hAnsi="宋体"/>
          <w:b/>
          <w:color w:val="auto"/>
          <w:sz w:val="72"/>
          <w:szCs w:val="72"/>
          <w:highlight w:val="none"/>
        </w:rPr>
      </w:pPr>
      <w:r>
        <w:rPr>
          <w:rFonts w:hint="eastAsia" w:ascii="宋体" w:hAnsi="宋体"/>
          <w:b/>
          <w:color w:val="auto"/>
          <w:sz w:val="72"/>
          <w:szCs w:val="72"/>
          <w:highlight w:val="none"/>
        </w:rPr>
        <w:t>件</w:t>
      </w:r>
    </w:p>
    <w:p>
      <w:pPr>
        <w:pStyle w:val="25"/>
        <w:ind w:firstLine="0"/>
        <w:jc w:val="center"/>
        <w:rPr>
          <w:rFonts w:hint="eastAsia" w:ascii="宋体" w:hAnsi="宋体"/>
          <w:b/>
          <w:color w:val="auto"/>
          <w:sz w:val="72"/>
          <w:szCs w:val="72"/>
          <w:highlight w:val="none"/>
        </w:rPr>
      </w:pPr>
    </w:p>
    <w:p>
      <w:pPr>
        <w:jc w:val="center"/>
        <w:rPr>
          <w:rFonts w:hint="eastAsia" w:ascii="宋体" w:hAnsi="宋体"/>
          <w:b/>
          <w:color w:val="auto"/>
          <w:sz w:val="72"/>
          <w:szCs w:val="72"/>
          <w:highlight w:val="none"/>
        </w:rPr>
      </w:pPr>
      <w:r>
        <w:rPr>
          <w:rFonts w:hint="eastAsia" w:ascii="宋体" w:hAnsi="宋体"/>
          <w:b/>
          <w:color w:val="auto"/>
          <w:sz w:val="72"/>
          <w:szCs w:val="72"/>
          <w:highlight w:val="none"/>
        </w:rPr>
        <w:t>（副本）</w:t>
      </w:r>
    </w:p>
    <w:p>
      <w:pPr>
        <w:pStyle w:val="23"/>
        <w:rPr>
          <w:color w:val="auto"/>
          <w:highlight w:val="none"/>
        </w:rPr>
      </w:pPr>
    </w:p>
    <w:p>
      <w:pPr>
        <w:rPr>
          <w:rFonts w:hint="eastAsia" w:ascii="方正小标宋简体" w:hAnsi="方正小标宋简体" w:eastAsia="方正小标宋简体" w:cs="方正小标宋简体"/>
          <w:color w:val="auto"/>
          <w:kern w:val="0"/>
          <w:highlight w:val="none"/>
        </w:rPr>
      </w:pPr>
    </w:p>
    <w:p>
      <w:pPr>
        <w:rPr>
          <w:rFonts w:hint="eastAsia" w:ascii="方正小标宋简体" w:hAnsi="方正小标宋简体" w:eastAsia="方正小标宋简体" w:cs="方正小标宋简体"/>
          <w:color w:val="auto"/>
          <w:kern w:val="0"/>
          <w:highlight w:val="none"/>
        </w:rPr>
      </w:pPr>
    </w:p>
    <w:p>
      <w:pPr>
        <w:rPr>
          <w:rFonts w:hint="eastAsia" w:ascii="方正小标宋简体" w:hAnsi="方正小标宋简体" w:eastAsia="方正小标宋简体" w:cs="方正小标宋简体"/>
          <w:color w:val="auto"/>
          <w:kern w:val="0"/>
          <w:highlight w:val="none"/>
        </w:rPr>
      </w:pPr>
      <w:r>
        <w:rPr>
          <w:rFonts w:hint="eastAsia" w:ascii="方正小标宋简体" w:hAnsi="方正小标宋简体" w:eastAsia="方正小标宋简体" w:cs="方正小标宋简体"/>
          <w:color w:val="auto"/>
          <w:kern w:val="0"/>
          <w:highlight w:val="none"/>
        </w:rPr>
        <w:br w:type="page"/>
      </w:r>
    </w:p>
    <w:p>
      <w:pPr>
        <w:pStyle w:val="2"/>
        <w:spacing w:before="240" w:after="120" w:line="360" w:lineRule="auto"/>
        <w:jc w:val="center"/>
        <w:rPr>
          <w:rFonts w:ascii="方正小标宋简体" w:hAnsi="方正小标宋简体" w:eastAsia="方正小标宋简体" w:cs="方正小标宋简体"/>
          <w:color w:val="auto"/>
          <w:kern w:val="0"/>
          <w:highlight w:val="none"/>
        </w:rPr>
      </w:pPr>
      <w:r>
        <w:rPr>
          <w:rFonts w:hint="eastAsia" w:ascii="方正小标宋简体" w:hAnsi="方正小标宋简体" w:eastAsia="方正小标宋简体" w:cs="方正小标宋简体"/>
          <w:color w:val="auto"/>
          <w:kern w:val="0"/>
          <w:highlight w:val="none"/>
        </w:rPr>
        <w:t>第四部分 评标办法</w:t>
      </w:r>
      <w:bookmarkEnd w:id="60"/>
      <w:bookmarkEnd w:id="61"/>
      <w:bookmarkEnd w:id="62"/>
    </w:p>
    <w:bookmarkEnd w:id="63"/>
    <w:bookmarkEnd w:id="64"/>
    <w:p>
      <w:pPr>
        <w:spacing w:line="360" w:lineRule="auto"/>
        <w:jc w:val="center"/>
        <w:outlineLvl w:val="1"/>
        <w:rPr>
          <w:rFonts w:hint="eastAsia" w:ascii="黑体" w:hAnsi="宋体"/>
          <w:b/>
          <w:color w:val="auto"/>
          <w:sz w:val="20"/>
          <w:szCs w:val="22"/>
          <w:highlight w:val="none"/>
        </w:rPr>
      </w:pPr>
      <w:bookmarkStart w:id="82" w:name="_Toc339381046"/>
      <w:bookmarkStart w:id="83" w:name="_Toc11451"/>
      <w:bookmarkStart w:id="84" w:name="_Toc24538"/>
      <w:bookmarkStart w:id="85" w:name="_Toc16940"/>
      <w:bookmarkStart w:id="86" w:name="_Toc1368"/>
      <w:bookmarkStart w:id="87" w:name="_Toc1621"/>
      <w:bookmarkStart w:id="88" w:name="OLE_LINK1"/>
      <w:r>
        <w:rPr>
          <w:rFonts w:hint="eastAsia" w:ascii="黑体" w:hAnsi="宋体"/>
          <w:b/>
          <w:color w:val="auto"/>
          <w:sz w:val="24"/>
          <w:szCs w:val="24"/>
          <w:highlight w:val="none"/>
        </w:rPr>
        <w:t>（</w:t>
      </w:r>
      <w:bookmarkEnd w:id="82"/>
      <w:r>
        <w:rPr>
          <w:rFonts w:hint="eastAsia" w:ascii="黑体" w:hAnsi="宋体"/>
          <w:b/>
          <w:color w:val="auto"/>
          <w:sz w:val="24"/>
          <w:szCs w:val="24"/>
          <w:highlight w:val="none"/>
        </w:rPr>
        <w:t>综合评估法）</w:t>
      </w:r>
      <w:bookmarkEnd w:id="83"/>
      <w:bookmarkEnd w:id="84"/>
      <w:bookmarkEnd w:id="85"/>
      <w:bookmarkEnd w:id="86"/>
      <w:bookmarkEnd w:id="87"/>
    </w:p>
    <w:bookmarkEnd w:id="88"/>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cs="宋体"/>
          <w:b/>
          <w:bCs/>
          <w:color w:val="auto"/>
          <w:sz w:val="24"/>
          <w:szCs w:val="24"/>
          <w:highlight w:val="none"/>
        </w:rPr>
        <w:t>评标委员会及其职责</w:t>
      </w:r>
    </w:p>
    <w:p>
      <w:pPr>
        <w:spacing w:line="360" w:lineRule="auto"/>
        <w:ind w:firstLine="480" w:firstLineChars="200"/>
        <w:rPr>
          <w:rFonts w:ascii="宋体" w:hAnsi="宋体"/>
          <w:b/>
          <w:bCs/>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评标委员会由招标人根据《中华人民共和国招标投标法》依法组建，负责评标活动</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s="宋体"/>
          <w:color w:val="auto"/>
          <w:sz w:val="24"/>
          <w:szCs w:val="24"/>
          <w:highlight w:val="none"/>
        </w:rPr>
        <w:t>评标委员会由招标人依法组建。</w:t>
      </w:r>
    </w:p>
    <w:p>
      <w:pPr>
        <w:spacing w:line="360" w:lineRule="auto"/>
        <w:ind w:firstLine="480" w:firstLineChars="200"/>
        <w:rPr>
          <w:rFonts w:ascii="宋体" w:hAnsi="宋体"/>
          <w:b/>
          <w:bCs/>
          <w:color w:val="auto"/>
          <w:sz w:val="24"/>
          <w:szCs w:val="24"/>
          <w:highlight w:val="none"/>
        </w:rPr>
      </w:pPr>
      <w:r>
        <w:rPr>
          <w:rFonts w:ascii="宋体" w:hAnsi="宋体"/>
          <w:color w:val="auto"/>
          <w:sz w:val="24"/>
          <w:szCs w:val="24"/>
          <w:highlight w:val="none"/>
        </w:rPr>
        <w:t>1.3</w:t>
      </w:r>
      <w:r>
        <w:rPr>
          <w:rFonts w:hint="eastAsia" w:ascii="宋体" w:hAnsi="宋体" w:cs="宋体"/>
          <w:color w:val="auto"/>
          <w:sz w:val="24"/>
          <w:szCs w:val="24"/>
          <w:highlight w:val="none"/>
        </w:rPr>
        <w:t>评标委员会应坚持</w:t>
      </w:r>
      <w:r>
        <w:rPr>
          <w:rFonts w:ascii="宋体" w:hAnsi="宋体"/>
          <w:color w:val="auto"/>
          <w:sz w:val="24"/>
          <w:szCs w:val="24"/>
          <w:highlight w:val="none"/>
        </w:rPr>
        <w:t>“</w:t>
      </w:r>
      <w:r>
        <w:rPr>
          <w:rFonts w:hint="eastAsia" w:ascii="宋体" w:hAnsi="宋体" w:cs="宋体"/>
          <w:color w:val="auto"/>
          <w:sz w:val="24"/>
          <w:szCs w:val="24"/>
          <w:highlight w:val="none"/>
        </w:rPr>
        <w:t>公开、公正、公平、诚信、科学、择优</w:t>
      </w:r>
      <w:r>
        <w:rPr>
          <w:rFonts w:ascii="宋体" w:hAnsi="宋体"/>
          <w:color w:val="auto"/>
          <w:sz w:val="24"/>
          <w:szCs w:val="24"/>
          <w:highlight w:val="none"/>
        </w:rPr>
        <w:t>”</w:t>
      </w:r>
      <w:r>
        <w:rPr>
          <w:rFonts w:hint="eastAsia" w:ascii="宋体" w:hAnsi="宋体" w:cs="宋体"/>
          <w:color w:val="auto"/>
          <w:sz w:val="24"/>
          <w:szCs w:val="24"/>
          <w:highlight w:val="none"/>
        </w:rPr>
        <w:t>的原则，根据评标办法，对投标文件进行认真评审，完成评标报告；向招标人报告评审意见，推荐综合得分由高至低排序的前一～三名为第一中标候选人、第二中标候选人和第三中标候选人。</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评标依据</w:t>
      </w:r>
    </w:p>
    <w:p>
      <w:pPr>
        <w:spacing w:line="360" w:lineRule="auto"/>
        <w:ind w:firstLine="480" w:firstLineChars="200"/>
        <w:rPr>
          <w:rFonts w:ascii="宋体" w:hAnsi="宋体"/>
          <w:b/>
          <w:bCs/>
          <w:color w:val="auto"/>
          <w:sz w:val="24"/>
          <w:szCs w:val="24"/>
          <w:highlight w:val="none"/>
        </w:rPr>
      </w:pPr>
      <w:r>
        <w:rPr>
          <w:rFonts w:ascii="宋体" w:hAnsi="宋体"/>
          <w:color w:val="auto"/>
          <w:kern w:val="0"/>
          <w:sz w:val="24"/>
          <w:szCs w:val="24"/>
          <w:highlight w:val="none"/>
        </w:rPr>
        <w:t>2.1</w:t>
      </w:r>
      <w:r>
        <w:rPr>
          <w:rFonts w:hint="eastAsia" w:ascii="宋体" w:hAnsi="宋体" w:cs="宋体"/>
          <w:color w:val="auto"/>
          <w:kern w:val="0"/>
          <w:sz w:val="24"/>
          <w:szCs w:val="24"/>
          <w:highlight w:val="none"/>
        </w:rPr>
        <w:t>《中华人民共和国招标投标法》；</w:t>
      </w:r>
    </w:p>
    <w:p>
      <w:pPr>
        <w:adjustRightInd w:val="0"/>
        <w:snapToGrid w:val="0"/>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2.2</w:t>
      </w:r>
      <w:r>
        <w:rPr>
          <w:rFonts w:hint="eastAsia" w:ascii="宋体" w:hAnsi="宋体" w:cs="宋体"/>
          <w:color w:val="auto"/>
          <w:kern w:val="0"/>
          <w:sz w:val="24"/>
          <w:szCs w:val="24"/>
          <w:highlight w:val="none"/>
        </w:rPr>
        <w:t>七部委第</w:t>
      </w:r>
      <w:r>
        <w:rPr>
          <w:rFonts w:ascii="宋体" w:hAnsi="宋体"/>
          <w:color w:val="auto"/>
          <w:kern w:val="0"/>
          <w:sz w:val="24"/>
          <w:szCs w:val="24"/>
          <w:highlight w:val="none"/>
        </w:rPr>
        <w:t>12</w:t>
      </w:r>
      <w:r>
        <w:rPr>
          <w:rFonts w:hint="eastAsia" w:ascii="宋体" w:hAnsi="宋体" w:cs="宋体"/>
          <w:color w:val="auto"/>
          <w:kern w:val="0"/>
          <w:sz w:val="24"/>
          <w:szCs w:val="24"/>
          <w:highlight w:val="none"/>
        </w:rPr>
        <w:t>号令《评标委员会和评标方法暂行规定》；</w:t>
      </w:r>
    </w:p>
    <w:p>
      <w:pPr>
        <w:adjustRightInd w:val="0"/>
        <w:snapToGrid w:val="0"/>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2.3</w:t>
      </w:r>
      <w:r>
        <w:rPr>
          <w:rFonts w:hint="eastAsia" w:ascii="宋体" w:hAnsi="宋体" w:cs="宋体"/>
          <w:color w:val="auto"/>
          <w:kern w:val="0"/>
          <w:sz w:val="24"/>
          <w:szCs w:val="24"/>
          <w:highlight w:val="none"/>
        </w:rPr>
        <w:t>《广东省实施〈中华人民共和国招标投标法〉办法》；</w:t>
      </w:r>
    </w:p>
    <w:p>
      <w:pPr>
        <w:adjustRightInd w:val="0"/>
        <w:snapToGrid w:val="0"/>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2.4</w:t>
      </w:r>
      <w:r>
        <w:rPr>
          <w:rFonts w:hint="eastAsia" w:ascii="宋体" w:hAnsi="宋体" w:cs="宋体"/>
          <w:color w:val="auto"/>
          <w:kern w:val="0"/>
          <w:sz w:val="24"/>
          <w:szCs w:val="24"/>
          <w:highlight w:val="none"/>
        </w:rPr>
        <w:t>《广东省加强建设工程招标投标监督管理的若干规定》；</w:t>
      </w:r>
    </w:p>
    <w:p>
      <w:pPr>
        <w:adjustRightInd w:val="0"/>
        <w:snapToGrid w:val="0"/>
        <w:spacing w:line="360" w:lineRule="auto"/>
        <w:ind w:firstLine="480" w:firstLineChars="200"/>
        <w:rPr>
          <w:rFonts w:hint="eastAsia" w:ascii="宋体" w:hAnsi="宋体"/>
          <w:color w:val="auto"/>
          <w:kern w:val="0"/>
          <w:sz w:val="24"/>
          <w:szCs w:val="24"/>
          <w:highlight w:val="none"/>
        </w:rPr>
      </w:pPr>
      <w:r>
        <w:rPr>
          <w:rFonts w:ascii="宋体" w:hAnsi="宋体"/>
          <w:color w:val="auto"/>
          <w:kern w:val="0"/>
          <w:sz w:val="24"/>
          <w:szCs w:val="24"/>
          <w:highlight w:val="none"/>
        </w:rPr>
        <w:t>2.5</w:t>
      </w:r>
      <w:r>
        <w:rPr>
          <w:rFonts w:hint="eastAsia" w:ascii="宋体" w:hAnsi="宋体" w:cs="宋体"/>
          <w:color w:val="auto"/>
          <w:kern w:val="0"/>
          <w:sz w:val="24"/>
          <w:szCs w:val="24"/>
          <w:highlight w:val="none"/>
        </w:rPr>
        <w:t>《中华人民共和国招标投标法实施条例》；</w:t>
      </w:r>
    </w:p>
    <w:p>
      <w:pPr>
        <w:tabs>
          <w:tab w:val="left" w:pos="1620"/>
        </w:tabs>
        <w:adjustRightInd w:val="0"/>
        <w:snapToGrid w:val="0"/>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2.6</w:t>
      </w:r>
      <w:r>
        <w:rPr>
          <w:rFonts w:hint="eastAsia" w:ascii="宋体" w:hAnsi="宋体" w:cs="宋体"/>
          <w:color w:val="auto"/>
          <w:kern w:val="0"/>
          <w:sz w:val="24"/>
          <w:szCs w:val="24"/>
          <w:highlight w:val="none"/>
        </w:rPr>
        <w:t>本招标工程项目的招标文件；</w:t>
      </w:r>
    </w:p>
    <w:p>
      <w:pPr>
        <w:tabs>
          <w:tab w:val="left" w:pos="1620"/>
        </w:tabs>
        <w:adjustRightInd w:val="0"/>
        <w:snapToGrid w:val="0"/>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2.7</w:t>
      </w:r>
      <w:r>
        <w:rPr>
          <w:rFonts w:hint="eastAsia" w:ascii="宋体" w:hAnsi="宋体" w:cs="宋体"/>
          <w:color w:val="auto"/>
          <w:kern w:val="0"/>
          <w:sz w:val="24"/>
          <w:szCs w:val="24"/>
          <w:highlight w:val="none"/>
        </w:rPr>
        <w:t>省、市各级行政主管部门颁发的其他有关招投标相关法律法规。</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w:t>
      </w:r>
      <w:r>
        <w:rPr>
          <w:rFonts w:hint="eastAsia" w:ascii="宋体" w:hAnsi="宋体"/>
          <w:b/>
          <w:bCs/>
          <w:color w:val="auto"/>
          <w:sz w:val="24"/>
          <w:szCs w:val="24"/>
          <w:highlight w:val="none"/>
        </w:rPr>
        <w:t>评标专家守则</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w:t>
      </w:r>
      <w:r>
        <w:rPr>
          <w:rFonts w:hint="eastAsia" w:ascii="宋体" w:hAnsi="宋体" w:cs="宋体"/>
          <w:color w:val="auto"/>
          <w:sz w:val="24"/>
          <w:szCs w:val="24"/>
          <w:highlight w:val="none"/>
        </w:rPr>
        <w:t>所有参加评标的专家必须遵守国家、地方政府制定的有关工程招标投标的法则、规定，遵守有关工程招标投标的保密制度；如有违反者，给予行政处分；情节严重，构成犯罪的，由司法机关依法追究其刑事责任。</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s="宋体"/>
          <w:color w:val="auto"/>
          <w:sz w:val="24"/>
          <w:szCs w:val="24"/>
          <w:highlight w:val="none"/>
        </w:rPr>
        <w:t>参与评标专家：</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s="宋体"/>
          <w:color w:val="auto"/>
          <w:sz w:val="24"/>
          <w:szCs w:val="24"/>
          <w:highlight w:val="none"/>
        </w:rPr>
        <w:t>必须遵守评标纪律、不得泄密；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s="宋体"/>
          <w:color w:val="auto"/>
          <w:sz w:val="24"/>
          <w:szCs w:val="24"/>
          <w:highlight w:val="none"/>
        </w:rPr>
        <w:t>必须公正、不得循私；</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3.2.3</w:t>
      </w:r>
      <w:r>
        <w:rPr>
          <w:rFonts w:hint="eastAsia" w:ascii="宋体" w:hAnsi="宋体" w:cs="宋体"/>
          <w:color w:val="auto"/>
          <w:sz w:val="24"/>
          <w:szCs w:val="24"/>
          <w:highlight w:val="none"/>
        </w:rPr>
        <w:t>必须科学、不得草率；</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s="宋体"/>
          <w:color w:val="auto"/>
          <w:sz w:val="24"/>
          <w:szCs w:val="24"/>
          <w:highlight w:val="none"/>
        </w:rPr>
        <w:t>必须客观、不得带有成见；</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3.2.5</w:t>
      </w:r>
      <w:r>
        <w:rPr>
          <w:rFonts w:hint="eastAsia" w:ascii="宋体" w:hAnsi="宋体" w:cs="宋体"/>
          <w:color w:val="auto"/>
          <w:sz w:val="24"/>
          <w:szCs w:val="24"/>
          <w:highlight w:val="none"/>
        </w:rPr>
        <w:t>必须平等、不得强加于人；</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3.2.6</w:t>
      </w:r>
      <w:r>
        <w:rPr>
          <w:rFonts w:hint="eastAsia" w:ascii="宋体" w:hAnsi="宋体" w:cs="宋体"/>
          <w:color w:val="auto"/>
          <w:sz w:val="24"/>
          <w:szCs w:val="24"/>
          <w:highlight w:val="none"/>
        </w:rPr>
        <w:t>必须严谨、不得随意马虎。</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4.</w:t>
      </w:r>
      <w:r>
        <w:rPr>
          <w:rFonts w:hint="eastAsia" w:ascii="宋体" w:hAnsi="宋体"/>
          <w:b/>
          <w:bCs/>
          <w:color w:val="auto"/>
          <w:sz w:val="24"/>
          <w:szCs w:val="24"/>
          <w:highlight w:val="none"/>
        </w:rPr>
        <w:t>开、评标程序</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s="宋体"/>
          <w:color w:val="auto"/>
          <w:sz w:val="24"/>
          <w:szCs w:val="24"/>
          <w:highlight w:val="none"/>
        </w:rPr>
        <w:t>开标程序：</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s="宋体"/>
          <w:color w:val="auto"/>
          <w:sz w:val="24"/>
          <w:szCs w:val="24"/>
          <w:highlight w:val="none"/>
        </w:rPr>
        <w:t>开标由招标人或招标代理主持；</w:t>
      </w:r>
    </w:p>
    <w:p>
      <w:pPr>
        <w:pStyle w:val="17"/>
        <w:adjustRightInd w:val="0"/>
        <w:snapToGrid w:val="0"/>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4.1.2</w:t>
      </w:r>
      <w:r>
        <w:rPr>
          <w:rFonts w:hint="eastAsia" w:ascii="宋体" w:hAnsi="宋体" w:cs="宋体"/>
          <w:color w:val="auto"/>
          <w:sz w:val="24"/>
          <w:szCs w:val="24"/>
          <w:highlight w:val="none"/>
        </w:rPr>
        <w:t>由招标人或其推选的代表检查投标文件的密封情况，也可以由招标人委托的公证机构检查并公证；</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4.1.3</w:t>
      </w:r>
      <w:r>
        <w:rPr>
          <w:rFonts w:hint="eastAsia" w:ascii="宋体" w:hAnsi="宋体" w:cs="宋体"/>
          <w:color w:val="auto"/>
          <w:sz w:val="24"/>
          <w:szCs w:val="24"/>
          <w:highlight w:val="none"/>
        </w:rPr>
        <w:t>投标截止期前，各投标人递交投标文件至招标文件规定的</w:t>
      </w:r>
      <w:r>
        <w:rPr>
          <w:rFonts w:hint="eastAsia" w:ascii="宋体" w:hAnsi="宋体" w:cs="宋体"/>
          <w:color w:val="auto"/>
          <w:sz w:val="24"/>
          <w:szCs w:val="24"/>
          <w:highlight w:val="none"/>
          <w:lang w:val="en-US" w:eastAsia="zh-CN"/>
        </w:rPr>
        <w:t>广州</w:t>
      </w:r>
      <w:r>
        <w:rPr>
          <w:rFonts w:hint="eastAsia" w:ascii="宋体" w:hAnsi="宋体" w:cs="宋体"/>
          <w:color w:val="auto"/>
          <w:sz w:val="24"/>
          <w:szCs w:val="24"/>
          <w:highlight w:val="none"/>
        </w:rPr>
        <w:t>公共资源交易中心投标地点。投标人代表凭法定代表人证明书原件、法定代表人授权委托证明书原件（仅限于法定代表人不出席而委托授权代表出席开标会的）、本人第二代身份证原件、本人的加盖</w:t>
      </w:r>
      <w:r>
        <w:rPr>
          <w:rFonts w:ascii="宋体" w:hAnsi="宋体" w:cs="宋体"/>
          <w:color w:val="auto"/>
          <w:sz w:val="24"/>
          <w:szCs w:val="24"/>
          <w:highlight w:val="none"/>
        </w:rPr>
        <w:t>当地社保局</w:t>
      </w:r>
      <w:r>
        <w:rPr>
          <w:rFonts w:hint="eastAsia" w:ascii="宋体" w:hAnsi="宋体" w:cs="宋体"/>
          <w:color w:val="auto"/>
          <w:sz w:val="24"/>
          <w:szCs w:val="24"/>
          <w:highlight w:val="none"/>
        </w:rPr>
        <w:t>(</w:t>
      </w:r>
      <w:r>
        <w:rPr>
          <w:rFonts w:ascii="宋体" w:hAnsi="宋体" w:cs="宋体"/>
          <w:color w:val="auto"/>
          <w:sz w:val="24"/>
          <w:szCs w:val="24"/>
          <w:highlight w:val="none"/>
        </w:rPr>
        <w:t>或税务局</w:t>
      </w:r>
      <w:r>
        <w:rPr>
          <w:rFonts w:hint="eastAsia" w:ascii="宋体" w:hAnsi="宋体" w:cs="宋体"/>
          <w:color w:val="auto"/>
          <w:sz w:val="24"/>
          <w:szCs w:val="24"/>
          <w:highlight w:val="none"/>
        </w:rPr>
        <w:t>)</w:t>
      </w:r>
      <w:r>
        <w:rPr>
          <w:rFonts w:ascii="宋体" w:hAnsi="宋体" w:cs="宋体"/>
          <w:color w:val="auto"/>
          <w:sz w:val="24"/>
          <w:szCs w:val="24"/>
          <w:highlight w:val="none"/>
        </w:rPr>
        <w:t>印章</w:t>
      </w:r>
      <w:r>
        <w:rPr>
          <w:rFonts w:hint="eastAsia" w:ascii="宋体" w:hAnsi="宋体" w:cs="宋体"/>
          <w:color w:val="auto"/>
          <w:sz w:val="24"/>
          <w:szCs w:val="24"/>
          <w:highlight w:val="none"/>
        </w:rPr>
        <w:t>的在投标单位缴纳</w:t>
      </w:r>
      <w:r>
        <w:rPr>
          <w:rFonts w:ascii="宋体" w:hAnsi="宋体" w:cs="宋体"/>
          <w:color w:val="auto"/>
          <w:sz w:val="24"/>
          <w:szCs w:val="24"/>
          <w:highlight w:val="none"/>
        </w:rPr>
        <w:t>社保证明原件</w:t>
      </w:r>
      <w:r>
        <w:rPr>
          <w:rFonts w:hint="eastAsia" w:ascii="宋体" w:hAnsi="宋体" w:cs="宋体"/>
          <w:color w:val="auto"/>
          <w:sz w:val="24"/>
          <w:szCs w:val="24"/>
          <w:highlight w:val="none"/>
        </w:rPr>
        <w:t>(注：</w:t>
      </w:r>
      <w:r>
        <w:rPr>
          <w:rFonts w:hint="eastAsia" w:ascii="宋体" w:hAnsi="宋体" w:cs="宋体"/>
          <w:color w:val="auto"/>
          <w:sz w:val="24"/>
          <w:szCs w:val="24"/>
          <w:highlight w:val="none"/>
          <w:u w:val="single"/>
          <w:lang w:val="en-US" w:eastAsia="zh-CN"/>
        </w:rPr>
        <w:t>近三个月（投标截止时间前三个月）</w:t>
      </w:r>
      <w:r>
        <w:rPr>
          <w:rFonts w:hint="eastAsia" w:ascii="宋体" w:hAnsi="宋体" w:cs="宋体"/>
          <w:color w:val="auto"/>
          <w:sz w:val="24"/>
          <w:szCs w:val="24"/>
          <w:highlight w:val="none"/>
          <w:lang w:val="en-US" w:eastAsia="zh-CN"/>
        </w:rPr>
        <w:t>任意一</w:t>
      </w:r>
      <w:r>
        <w:rPr>
          <w:rFonts w:hint="eastAsia" w:ascii="宋体" w:hAnsi="宋体" w:cs="宋体"/>
          <w:color w:val="auto"/>
          <w:sz w:val="24"/>
          <w:szCs w:val="24"/>
          <w:highlight w:val="none"/>
        </w:rPr>
        <w:t>个月的缴费凭证)递交投标文件，招标人进行检验确认有效后，才接收其投标文件；</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4.1.4</w:t>
      </w:r>
      <w:r>
        <w:rPr>
          <w:rFonts w:hint="eastAsia" w:ascii="宋体" w:hAnsi="宋体" w:cs="宋体"/>
          <w:color w:val="auto"/>
          <w:sz w:val="24"/>
          <w:szCs w:val="24"/>
          <w:highlight w:val="none"/>
        </w:rPr>
        <w:t>若投标人代表对开标过程提出异议，该投标人代表须同时出示本人第二代身份证原件；</w:t>
      </w:r>
    </w:p>
    <w:p>
      <w:pPr>
        <w:pStyle w:val="17"/>
        <w:adjustRightInd w:val="0"/>
        <w:snapToGrid w:val="0"/>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4.1.5</w:t>
      </w:r>
      <w:r>
        <w:rPr>
          <w:rFonts w:hint="eastAsia" w:ascii="宋体" w:hAnsi="宋体" w:cs="宋体"/>
          <w:color w:val="auto"/>
          <w:sz w:val="24"/>
          <w:szCs w:val="24"/>
          <w:highlight w:val="none"/>
        </w:rPr>
        <w:t>开标，由招标人</w:t>
      </w:r>
      <w:r>
        <w:rPr>
          <w:rFonts w:hint="eastAsia" w:ascii="宋体" w:hAnsi="宋体" w:cs="宋体"/>
          <w:color w:val="auto"/>
          <w:sz w:val="24"/>
          <w:szCs w:val="24"/>
          <w:highlight w:val="none"/>
          <w:lang w:eastAsia="zh-CN"/>
        </w:rPr>
        <w:t>或招标代理</w:t>
      </w:r>
      <w:r>
        <w:rPr>
          <w:rFonts w:hint="eastAsia" w:ascii="宋体" w:hAnsi="宋体" w:cs="宋体"/>
          <w:color w:val="auto"/>
          <w:sz w:val="24"/>
          <w:szCs w:val="24"/>
          <w:highlight w:val="none"/>
        </w:rPr>
        <w:t>宣读</w:t>
      </w:r>
      <w:r>
        <w:rPr>
          <w:rFonts w:ascii="宋体" w:hAnsi="宋体"/>
          <w:color w:val="auto"/>
          <w:sz w:val="24"/>
          <w:szCs w:val="24"/>
          <w:highlight w:val="none"/>
        </w:rPr>
        <w:t>a</w:t>
      </w:r>
      <w:r>
        <w:rPr>
          <w:rFonts w:hint="eastAsia" w:ascii="宋体" w:hAnsi="宋体" w:cs="宋体"/>
          <w:color w:val="auto"/>
          <w:sz w:val="24"/>
          <w:szCs w:val="24"/>
          <w:highlight w:val="none"/>
        </w:rPr>
        <w:t>、投标人名称；</w:t>
      </w:r>
      <w:r>
        <w:rPr>
          <w:rFonts w:ascii="宋体" w:hAnsi="宋体"/>
          <w:color w:val="auto"/>
          <w:sz w:val="24"/>
          <w:szCs w:val="24"/>
          <w:highlight w:val="none"/>
        </w:rPr>
        <w:t>b</w:t>
      </w:r>
      <w:r>
        <w:rPr>
          <w:rFonts w:hint="eastAsia" w:ascii="宋体" w:hAnsi="宋体" w:cs="宋体"/>
          <w:color w:val="auto"/>
          <w:sz w:val="24"/>
          <w:szCs w:val="24"/>
          <w:highlight w:val="none"/>
        </w:rPr>
        <w:t>、标书密封情况；</w:t>
      </w:r>
      <w:r>
        <w:rPr>
          <w:rFonts w:ascii="宋体" w:hAnsi="宋体"/>
          <w:color w:val="auto"/>
          <w:sz w:val="24"/>
          <w:szCs w:val="24"/>
          <w:highlight w:val="none"/>
        </w:rPr>
        <w:t>c</w:t>
      </w:r>
      <w:r>
        <w:rPr>
          <w:rFonts w:hint="eastAsia" w:ascii="宋体" w:hAnsi="宋体" w:cs="宋体"/>
          <w:color w:val="auto"/>
          <w:sz w:val="24"/>
          <w:szCs w:val="24"/>
          <w:highlight w:val="none"/>
        </w:rPr>
        <w:t>、投标报价等主要内容以及开标记录表中的其他必要内容；</w:t>
      </w:r>
    </w:p>
    <w:p>
      <w:pPr>
        <w:pStyle w:val="17"/>
        <w:adjustRightInd w:val="0"/>
        <w:snapToGrid w:val="0"/>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4.1.6</w:t>
      </w:r>
      <w:r>
        <w:rPr>
          <w:rFonts w:hint="eastAsia" w:ascii="宋体" w:hAnsi="宋体" w:cs="宋体"/>
          <w:color w:val="auto"/>
          <w:sz w:val="24"/>
          <w:szCs w:val="24"/>
          <w:highlight w:val="none"/>
          <w:lang w:eastAsia="zh-CN"/>
        </w:rPr>
        <w:t>招标代理</w:t>
      </w:r>
      <w:r>
        <w:rPr>
          <w:rFonts w:hint="eastAsia" w:ascii="宋体" w:hAnsi="宋体" w:cs="宋体"/>
          <w:color w:val="auto"/>
          <w:sz w:val="24"/>
          <w:szCs w:val="24"/>
          <w:highlight w:val="none"/>
        </w:rPr>
        <w:t>对开标过程进行记录，并存档备查，投标人在开标记录上签字；</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s="宋体"/>
          <w:color w:val="auto"/>
          <w:sz w:val="24"/>
          <w:szCs w:val="24"/>
          <w:highlight w:val="none"/>
        </w:rPr>
        <w:t>若出现《否决性条款汇总》（附件一）中第一点所述情况，招标人将拒绝接收其投标文件；</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4.3</w:t>
      </w:r>
      <w:r>
        <w:rPr>
          <w:rFonts w:hint="eastAsia" w:ascii="宋体" w:hAnsi="宋体" w:cs="宋体"/>
          <w:color w:val="auto"/>
          <w:sz w:val="24"/>
          <w:szCs w:val="24"/>
          <w:highlight w:val="none"/>
        </w:rPr>
        <w:t>招标人将上述符合要求的投标文件，送至评标委员会进行评审。</w:t>
      </w:r>
    </w:p>
    <w:p>
      <w:pPr>
        <w:adjustRightInd w:val="0"/>
        <w:snapToGrid w:val="0"/>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4.4</w:t>
      </w:r>
      <w:r>
        <w:rPr>
          <w:rFonts w:hint="eastAsia" w:ascii="宋体" w:hAnsi="宋体" w:cs="宋体"/>
          <w:b/>
          <w:bCs/>
          <w:color w:val="auto"/>
          <w:sz w:val="24"/>
          <w:szCs w:val="24"/>
          <w:highlight w:val="none"/>
        </w:rPr>
        <w:t>评标程序：</w:t>
      </w:r>
    </w:p>
    <w:p>
      <w:pPr>
        <w:adjustRightInd w:val="0"/>
        <w:snapToGrid w:val="0"/>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4.4.1</w:t>
      </w:r>
      <w:r>
        <w:rPr>
          <w:rFonts w:hint="eastAsia" w:ascii="宋体" w:hAnsi="宋体" w:cs="宋体"/>
          <w:b/>
          <w:bCs/>
          <w:color w:val="auto"/>
          <w:sz w:val="24"/>
          <w:szCs w:val="24"/>
          <w:highlight w:val="none"/>
        </w:rPr>
        <w:t>投标人资格审查（详见《资格审查表》）；</w:t>
      </w:r>
    </w:p>
    <w:p>
      <w:pPr>
        <w:adjustRightInd w:val="0"/>
        <w:snapToGrid w:val="0"/>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4.4.2</w:t>
      </w:r>
      <w:r>
        <w:rPr>
          <w:rFonts w:hint="eastAsia" w:ascii="宋体" w:hAnsi="宋体" w:cs="宋体"/>
          <w:b/>
          <w:bCs/>
          <w:color w:val="auto"/>
          <w:sz w:val="24"/>
          <w:szCs w:val="24"/>
          <w:highlight w:val="none"/>
        </w:rPr>
        <w:t>投标文件符合性审查（详见《符合性审查表》）；</w:t>
      </w:r>
    </w:p>
    <w:p>
      <w:pPr>
        <w:adjustRightInd w:val="0"/>
        <w:snapToGrid w:val="0"/>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4.4.3</w:t>
      </w:r>
      <w:r>
        <w:rPr>
          <w:rFonts w:hint="eastAsia" w:ascii="宋体" w:hAnsi="宋体" w:cs="宋体"/>
          <w:b/>
          <w:bCs/>
          <w:color w:val="auto"/>
          <w:sz w:val="24"/>
          <w:szCs w:val="24"/>
          <w:highlight w:val="none"/>
        </w:rPr>
        <w:t>投标文件技术文件评审（暗标评审）；</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技术文件送达评标地点前不得启封。技术文件送达评标地点后，立即由交易中心见证人启封并编号，技术文件的正本、副本编号应当一致。编号时评标委员会成员应当回避，编号工作完成后，技术文件的正本封存，技术文件的副本交给评标委员会评审。</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（1）评标委员会成员首先对每个投标人的技术文件进行评审，按招标文件的《技术评分表》进行打分，计算出每个投标单位的技术得分。</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（2）评标委员会各成员根据评分表独立评分，所有评委的评分去掉一个最高分和最低分后算术平均为投标人的技术得分（技术得分分值四舍五入保留小数点后两位数字）。</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（3）揭晓投标人名称。评标委员会当众公开宣读技术文件正本的编号，核对技术文件正本与副本是否一致，揭晓投标人名称，记录投标人的技术标得分。</w:t>
      </w:r>
    </w:p>
    <w:p>
      <w:pPr>
        <w:adjustRightInd w:val="0"/>
        <w:snapToGrid w:val="0"/>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4.4.4</w:t>
      </w:r>
      <w:r>
        <w:rPr>
          <w:rFonts w:hint="eastAsia" w:ascii="宋体" w:hAnsi="宋体"/>
          <w:b/>
          <w:bCs/>
          <w:color w:val="auto"/>
          <w:sz w:val="24"/>
          <w:szCs w:val="24"/>
          <w:highlight w:val="none"/>
        </w:rPr>
        <w:t>商务文件评审（明标评审）</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（1）评标委员会成员对每个投标人的商务文件进行评审，按招标文件的《商务评分表》进行打分，计算出每个投标单位的商务得分。</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（2）商务部分评审，由所有评委共同评定商务标分值。所有评委的评分算术平均为投标人的商务得分（商务得分分值四舍五入保留小数点后两位数字）。</w:t>
      </w:r>
    </w:p>
    <w:p>
      <w:pPr>
        <w:adjustRightInd w:val="0"/>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4.4.5价格评审（详见《报价评分表》）</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4.4.6计算投标人总得分（投标人综合得分=技术得分+商务得分+价格得分）。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4.4.</w:t>
      </w:r>
      <w:r>
        <w:rPr>
          <w:rFonts w:hint="eastAsia" w:ascii="宋体" w:hAnsi="宋体"/>
          <w:color w:val="auto"/>
          <w:sz w:val="24"/>
          <w:szCs w:val="24"/>
          <w:highlight w:val="none"/>
        </w:rPr>
        <w:t>7</w:t>
      </w:r>
      <w:r>
        <w:rPr>
          <w:rFonts w:hint="eastAsia" w:ascii="宋体" w:hAnsi="宋体" w:cs="宋体"/>
          <w:color w:val="auto"/>
          <w:sz w:val="24"/>
          <w:szCs w:val="24"/>
          <w:highlight w:val="none"/>
        </w:rPr>
        <w:t>完成评标报告，向招标人推荐三名中标候选人。</w:t>
      </w:r>
    </w:p>
    <w:p>
      <w:pPr>
        <w:adjustRightInd w:val="0"/>
        <w:snapToGri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5</w:t>
      </w:r>
      <w:r>
        <w:rPr>
          <w:rFonts w:ascii="宋体" w:hAnsi="宋体"/>
          <w:b/>
          <w:bCs/>
          <w:color w:val="auto"/>
          <w:sz w:val="24"/>
          <w:szCs w:val="24"/>
          <w:highlight w:val="none"/>
        </w:rPr>
        <w:t>.</w:t>
      </w:r>
      <w:r>
        <w:rPr>
          <w:rFonts w:hint="eastAsia" w:ascii="宋体" w:hAnsi="宋体"/>
          <w:b/>
          <w:bCs/>
          <w:color w:val="auto"/>
          <w:sz w:val="24"/>
          <w:szCs w:val="24"/>
          <w:highlight w:val="none"/>
        </w:rPr>
        <w:t>评标细则</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.1</w:t>
      </w:r>
      <w:r>
        <w:rPr>
          <w:rFonts w:hint="eastAsia" w:ascii="宋体" w:hAnsi="宋体" w:cs="宋体"/>
          <w:color w:val="auto"/>
          <w:sz w:val="24"/>
          <w:szCs w:val="24"/>
          <w:highlight w:val="none"/>
        </w:rPr>
        <w:t>评标委员会按资格审查的标准对所有递交投标文件的投标人进行审查。投标文件中全部符合附件一第二点《资格审查表》中情形的，为资格审查合格。否则为资格审查不合格，经评标委员会认定后，其投标文件将被拒绝。如评标委员会成员的评审意见不一致时，以评标委员会过半数成员的意见作为评标委员会对该情形的认定结论。资格审查完成后，评标委员会汇总资格审查情况，编写资格审查报告。如在所有的投标人中资格审查合格的投标人不足三名时，应重新招标。</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.2</w:t>
      </w:r>
      <w:r>
        <w:rPr>
          <w:rFonts w:hint="eastAsia" w:ascii="宋体" w:hAnsi="宋体" w:cs="宋体"/>
          <w:color w:val="auto"/>
          <w:sz w:val="24"/>
          <w:szCs w:val="24"/>
          <w:highlight w:val="none"/>
        </w:rPr>
        <w:t>由评委对通过资格审查的各投标文件的符合性进行审查（详见《符合性审查表》），对通过符合性审查的投标文件再进行综合评审。符合性审查不进行详细打分，标准只有通过与不通过之分。评委对各投标文件评审时，对每个不通过评审的具体项目须在评标报告中详细说明。</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5.3</w:t>
      </w:r>
      <w:r>
        <w:rPr>
          <w:rFonts w:hint="eastAsia" w:ascii="宋体" w:hAnsi="宋体" w:cs="宋体"/>
          <w:color w:val="auto"/>
          <w:sz w:val="24"/>
          <w:szCs w:val="24"/>
          <w:highlight w:val="none"/>
        </w:rPr>
        <w:t xml:space="preserve">监理报价的算术复核 </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投标文件符合性审查后综合评审前，评标委员会将对确定为实质上响应招标文件要求的投标文件中的监理报价进行复核，出现以下情况时，应如下处理：</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用数字表示的数额与用文字表示的数额不一致时，以文字数额为准。</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s="宋体"/>
          <w:color w:val="auto"/>
          <w:sz w:val="24"/>
          <w:szCs w:val="24"/>
          <w:highlight w:val="none"/>
        </w:rPr>
        <w:t>综合评审采用百分制评分法。具体评分标准（详见附件二、附件三、附件四）。</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s="宋体"/>
          <w:color w:val="auto"/>
          <w:sz w:val="24"/>
          <w:szCs w:val="24"/>
          <w:highlight w:val="none"/>
        </w:rPr>
        <w:t>综合评审要求（具体内容详见附件二、附件三、附件四）</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5</w:t>
      </w:r>
      <w:r>
        <w:rPr>
          <w:rFonts w:ascii="宋体" w:hAnsi="宋体"/>
          <w:color w:val="auto"/>
          <w:sz w:val="24"/>
          <w:szCs w:val="24"/>
          <w:highlight w:val="none"/>
        </w:rPr>
        <w:t>.1</w:t>
      </w:r>
      <w:r>
        <w:rPr>
          <w:rFonts w:hint="eastAsia" w:ascii="宋体" w:hAnsi="宋体" w:cs="宋体"/>
          <w:color w:val="auto"/>
          <w:sz w:val="24"/>
          <w:szCs w:val="24"/>
          <w:highlight w:val="none"/>
        </w:rPr>
        <w:t>评委应严格按照本评标办法对投标文件独立进行评议，作出个人评价；</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5</w:t>
      </w:r>
      <w:r>
        <w:rPr>
          <w:rFonts w:ascii="宋体" w:hAnsi="宋体"/>
          <w:color w:val="auto"/>
          <w:sz w:val="24"/>
          <w:szCs w:val="24"/>
          <w:highlight w:val="none"/>
        </w:rPr>
        <w:t>.2</w:t>
      </w:r>
      <w:r>
        <w:rPr>
          <w:rFonts w:hint="eastAsia" w:ascii="宋体" w:hAnsi="宋体" w:cs="宋体"/>
          <w:color w:val="auto"/>
          <w:sz w:val="24"/>
          <w:szCs w:val="24"/>
          <w:highlight w:val="none"/>
        </w:rPr>
        <w:t>评委按照个人评议情况对各分项内容进行各自记名打分；</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5</w:t>
      </w:r>
      <w:r>
        <w:rPr>
          <w:rFonts w:ascii="宋体" w:hAnsi="宋体"/>
          <w:color w:val="auto"/>
          <w:sz w:val="24"/>
          <w:szCs w:val="24"/>
          <w:highlight w:val="none"/>
        </w:rPr>
        <w:t>.3</w:t>
      </w:r>
      <w:r>
        <w:rPr>
          <w:rFonts w:hint="eastAsia" w:ascii="宋体" w:hAnsi="宋体" w:cs="宋体"/>
          <w:color w:val="auto"/>
          <w:sz w:val="24"/>
          <w:szCs w:val="24"/>
          <w:highlight w:val="none"/>
        </w:rPr>
        <w:t>投标人的综合得分为技术得分、商务得分与价格得分之和（分数出现小数点时，保留小数点后二位，第三位小数四舍五入）。</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s="宋体"/>
          <w:color w:val="auto"/>
          <w:sz w:val="24"/>
          <w:szCs w:val="24"/>
          <w:highlight w:val="none"/>
        </w:rPr>
        <w:t>计算投标人的总得分（满分为</w:t>
      </w:r>
      <w:r>
        <w:rPr>
          <w:rFonts w:ascii="宋体" w:hAnsi="宋体"/>
          <w:color w:val="auto"/>
          <w:sz w:val="24"/>
          <w:szCs w:val="24"/>
          <w:highlight w:val="none"/>
        </w:rPr>
        <w:t>100</w:t>
      </w:r>
      <w:r>
        <w:rPr>
          <w:rFonts w:hint="eastAsia" w:ascii="宋体" w:hAnsi="宋体" w:cs="宋体"/>
          <w:color w:val="auto"/>
          <w:sz w:val="24"/>
          <w:szCs w:val="24"/>
          <w:highlight w:val="none"/>
        </w:rPr>
        <w:t>分）</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6</w:t>
      </w:r>
      <w:r>
        <w:rPr>
          <w:rFonts w:ascii="宋体" w:hAnsi="宋体"/>
          <w:color w:val="auto"/>
          <w:sz w:val="24"/>
          <w:szCs w:val="24"/>
          <w:highlight w:val="none"/>
        </w:rPr>
        <w:t>.1</w:t>
      </w:r>
      <w:r>
        <w:rPr>
          <w:rFonts w:hint="eastAsia" w:ascii="宋体" w:hAnsi="宋体" w:cs="宋体"/>
          <w:color w:val="auto"/>
          <w:sz w:val="24"/>
          <w:szCs w:val="24"/>
          <w:highlight w:val="none"/>
        </w:rPr>
        <w:t>权重分配：</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综合评分包括：</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技术评分部分：10分</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商务评分部分：</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投标报价：</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rPr>
        <w:t>分</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投标人综合得分=技术得分+商务得分+价格得分</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s="宋体"/>
          <w:color w:val="auto"/>
          <w:sz w:val="24"/>
          <w:szCs w:val="24"/>
          <w:highlight w:val="none"/>
        </w:rPr>
        <w:t>评审过程中，评标委员会可在必要时安排投标人对有关细节加以澄清，但这种澄清不应使其它投标人处于不公平的地位。</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s="宋体"/>
          <w:color w:val="auto"/>
          <w:sz w:val="24"/>
          <w:szCs w:val="24"/>
          <w:highlight w:val="none"/>
        </w:rPr>
        <w:t>评标委员会依据有关法律、法规和招标文件的规定对投标文件进行评审，满足资格审查合格条件的投标申请人不足3名或经评审有效的投标人不足</w:t>
      </w:r>
      <w:r>
        <w:rPr>
          <w:rFonts w:ascii="宋体" w:hAnsi="宋体"/>
          <w:color w:val="auto"/>
          <w:sz w:val="24"/>
          <w:szCs w:val="24"/>
          <w:highlight w:val="none"/>
        </w:rPr>
        <w:t>3</w:t>
      </w:r>
      <w:r>
        <w:rPr>
          <w:rFonts w:hint="eastAsia" w:ascii="宋体" w:hAnsi="宋体" w:cs="宋体"/>
          <w:color w:val="auto"/>
          <w:sz w:val="24"/>
          <w:szCs w:val="24"/>
          <w:highlight w:val="none"/>
        </w:rPr>
        <w:t>名时，招标人应当依法重新组织招标。</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6</w:t>
      </w:r>
      <w:r>
        <w:rPr>
          <w:rFonts w:ascii="宋体" w:hAnsi="宋体"/>
          <w:b/>
          <w:bCs/>
          <w:color w:val="auto"/>
          <w:sz w:val="24"/>
          <w:szCs w:val="24"/>
          <w:highlight w:val="none"/>
        </w:rPr>
        <w:t>.</w:t>
      </w:r>
      <w:r>
        <w:rPr>
          <w:rFonts w:hint="eastAsia" w:ascii="宋体" w:hAnsi="宋体"/>
          <w:b/>
          <w:bCs/>
          <w:color w:val="auto"/>
          <w:sz w:val="24"/>
          <w:szCs w:val="24"/>
          <w:highlight w:val="none"/>
        </w:rPr>
        <w:t>推荐中标候选人</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以上评审完成后，按投标人的综合得分从高到低进行排序，如果综合得分相等时，以投标报价低的优先；综合得分相同、投标报价均相同的，名次由评标委员会通过投票表决。任何人不得非法干预、影响投票表决过程，评标委员会以记名投票方式进行投票，按得票数量多的排名在前确定名次，并依此法排列确定其他中标候选人的顺序。评标委员会编写评标报告，并全体签字确认，推荐满足招标文件要求且总得分排序的名次最高者为第一中标候选人，推荐满足招标文件要求且总得分排序的名次次高者为第二中标候选人，推荐满足招标文件要求且总得分排序第三高者为第三中标候选人。</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7</w:t>
      </w:r>
      <w:r>
        <w:rPr>
          <w:rFonts w:ascii="宋体" w:hAnsi="宋体"/>
          <w:b/>
          <w:bCs/>
          <w:color w:val="auto"/>
          <w:sz w:val="24"/>
          <w:szCs w:val="24"/>
          <w:highlight w:val="none"/>
        </w:rPr>
        <w:t>.</w:t>
      </w:r>
      <w:r>
        <w:rPr>
          <w:rFonts w:hint="eastAsia" w:ascii="宋体" w:hAnsi="宋体"/>
          <w:b/>
          <w:bCs/>
          <w:color w:val="auto"/>
          <w:sz w:val="24"/>
          <w:szCs w:val="24"/>
          <w:highlight w:val="none"/>
        </w:rPr>
        <w:t>审定中标人</w:t>
      </w:r>
    </w:p>
    <w:p>
      <w:pPr>
        <w:adjustRightInd w:val="0"/>
        <w:snapToGrid w:val="0"/>
        <w:spacing w:line="360" w:lineRule="auto"/>
        <w:ind w:firstLine="480" w:firstLineChars="200"/>
        <w:rPr>
          <w:rFonts w:hint="eastAsia" w:cs="宋体"/>
          <w:b/>
          <w:color w:val="auto"/>
          <w:position w:val="12"/>
          <w:sz w:val="28"/>
          <w:szCs w:val="28"/>
          <w:highlight w:val="none"/>
        </w:rPr>
      </w:pPr>
      <w:r>
        <w:rPr>
          <w:rFonts w:hint="eastAsia" w:ascii="宋体" w:hAnsi="宋体" w:cs="宋体"/>
          <w:color w:val="auto"/>
          <w:sz w:val="24"/>
          <w:szCs w:val="24"/>
          <w:highlight w:val="none"/>
        </w:rPr>
        <w:t>招标人根据评标委员会递交的评标报告，最终依法审定中标人。但在签订合同前的任何时候，评委、招标人以及其他人员发现投标人在招标过程有弄虚作假行为、虚报资料情况，一经查实，立即取消其中标人资格。</w:t>
      </w:r>
      <w:r>
        <w:rPr>
          <w:rFonts w:hint="eastAsia" w:cs="宋体"/>
          <w:b/>
          <w:color w:val="auto"/>
          <w:position w:val="12"/>
          <w:sz w:val="28"/>
          <w:szCs w:val="28"/>
          <w:highlight w:val="none"/>
        </w:rPr>
        <w:br w:type="page"/>
      </w:r>
    </w:p>
    <w:p>
      <w:pPr>
        <w:adjustRightInd w:val="0"/>
        <w:snapToGrid w:val="0"/>
        <w:spacing w:line="360" w:lineRule="auto"/>
        <w:rPr>
          <w:b/>
          <w:color w:val="auto"/>
          <w:sz w:val="28"/>
          <w:szCs w:val="28"/>
          <w:highlight w:val="none"/>
        </w:rPr>
      </w:pPr>
      <w:r>
        <w:rPr>
          <w:rFonts w:hint="eastAsia" w:cs="宋体"/>
          <w:b/>
          <w:color w:val="auto"/>
          <w:position w:val="12"/>
          <w:sz w:val="28"/>
          <w:szCs w:val="28"/>
          <w:highlight w:val="none"/>
        </w:rPr>
        <w:t>附件一：</w:t>
      </w:r>
    </w:p>
    <w:p>
      <w:pPr>
        <w:tabs>
          <w:tab w:val="left" w:pos="720"/>
        </w:tabs>
        <w:snapToGrid w:val="0"/>
        <w:spacing w:line="360" w:lineRule="auto"/>
        <w:jc w:val="center"/>
        <w:outlineLvl w:val="1"/>
        <w:rPr>
          <w:b/>
          <w:bCs/>
          <w:color w:val="auto"/>
          <w:sz w:val="28"/>
          <w:szCs w:val="28"/>
          <w:highlight w:val="none"/>
        </w:rPr>
      </w:pPr>
      <w:bookmarkStart w:id="89" w:name="_Toc31151"/>
      <w:bookmarkStart w:id="90" w:name="_Toc20535"/>
      <w:bookmarkStart w:id="91" w:name="_Toc4816"/>
      <w:bookmarkStart w:id="92" w:name="_Toc28172"/>
      <w:bookmarkStart w:id="93" w:name="_Toc26790"/>
      <w:bookmarkStart w:id="94" w:name="_Toc981"/>
      <w:r>
        <w:rPr>
          <w:rFonts w:hint="eastAsia" w:cs="宋体"/>
          <w:b/>
          <w:bCs/>
          <w:color w:val="auto"/>
          <w:sz w:val="28"/>
          <w:szCs w:val="28"/>
          <w:highlight w:val="none"/>
        </w:rPr>
        <w:t>否决性条款汇总</w:t>
      </w:r>
      <w:bookmarkEnd w:id="89"/>
      <w:bookmarkEnd w:id="90"/>
      <w:bookmarkEnd w:id="91"/>
      <w:bookmarkEnd w:id="92"/>
      <w:bookmarkEnd w:id="93"/>
      <w:bookmarkEnd w:id="94"/>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否决性条款是指招标文件中规定的不予受理投标或者作无效标以及不合格标处理等否定投标文件效力的条款。</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一、若出现以下情况，招标人将拒绝接收其投标文件：</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1、在投标截止期后逾期或未在指定地点递交投标文件的；</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2、投标文件未按招标文件要求密封的；</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3、投标人代表未准时出席开标会或未按要求签到的；</w:t>
      </w:r>
    </w:p>
    <w:p>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在投标截止期前，投标人代表未凭法定代表人证明书原件、法定代表人授权委托证明书原件（仅限于法定代表人不出席而委托授权代表出席开标会的）、本人身份证原件、本人的加盖当地社保局(或税务局)印章的在投标单位缴纳社保证明原件(注：</w:t>
      </w:r>
      <w:r>
        <w:rPr>
          <w:rFonts w:hint="eastAsia" w:ascii="宋体" w:hAnsi="宋体" w:cs="宋体"/>
          <w:color w:val="auto"/>
          <w:sz w:val="24"/>
          <w:szCs w:val="24"/>
          <w:highlight w:val="none"/>
          <w:u w:val="none"/>
          <w:lang w:val="en-US" w:eastAsia="zh-CN"/>
        </w:rPr>
        <w:t>投标截止时间前三个月</w:t>
      </w:r>
      <w:r>
        <w:rPr>
          <w:rFonts w:hint="eastAsia" w:ascii="宋体" w:hAnsi="宋体" w:eastAsia="宋体" w:cs="宋体"/>
          <w:color w:val="auto"/>
          <w:sz w:val="24"/>
          <w:szCs w:val="24"/>
          <w:highlight w:val="none"/>
          <w:lang w:val="en-US" w:eastAsia="zh-CN"/>
        </w:rPr>
        <w:t>任意一</w:t>
      </w:r>
      <w:r>
        <w:rPr>
          <w:rFonts w:hint="eastAsia" w:ascii="宋体" w:hAnsi="宋体" w:eastAsia="宋体" w:cs="宋体"/>
          <w:color w:val="auto"/>
          <w:sz w:val="24"/>
          <w:szCs w:val="24"/>
          <w:highlight w:val="none"/>
        </w:rPr>
        <w:t>个月的缴费凭证)递交投标文件。</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7"/>
        <w:spacing w:after="0" w:line="360" w:lineRule="auto"/>
        <w:rPr>
          <w:rFonts w:hint="eastAsia"/>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凡不满足《资格审查表》中任何一项情形，作无效投标处理。</w:t>
      </w:r>
    </w:p>
    <w:p>
      <w:pPr>
        <w:tabs>
          <w:tab w:val="left" w:pos="720"/>
        </w:tabs>
        <w:snapToGrid w:val="0"/>
        <w:spacing w:line="360" w:lineRule="auto"/>
        <w:jc w:val="center"/>
        <w:outlineLvl w:val="1"/>
        <w:rPr>
          <w:rFonts w:hint="eastAsia"/>
          <w:b/>
          <w:bCs/>
          <w:color w:val="auto"/>
          <w:spacing w:val="20"/>
          <w:sz w:val="28"/>
          <w:szCs w:val="28"/>
          <w:highlight w:val="none"/>
        </w:rPr>
      </w:pPr>
      <w:bookmarkStart w:id="95" w:name="_Toc26257"/>
      <w:bookmarkStart w:id="96" w:name="_Toc13293"/>
      <w:bookmarkStart w:id="97" w:name="_Toc19148"/>
      <w:bookmarkStart w:id="98" w:name="_Toc12357"/>
      <w:r>
        <w:rPr>
          <w:rFonts w:hint="eastAsia" w:cs="宋体"/>
          <w:b/>
          <w:bCs/>
          <w:color w:val="auto"/>
          <w:spacing w:val="20"/>
          <w:sz w:val="28"/>
          <w:szCs w:val="28"/>
          <w:highlight w:val="none"/>
        </w:rPr>
        <w:t>资格审查表</w:t>
      </w:r>
      <w:bookmarkEnd w:id="95"/>
      <w:bookmarkEnd w:id="96"/>
      <w:bookmarkEnd w:id="97"/>
      <w:bookmarkEnd w:id="98"/>
    </w:p>
    <w:tbl>
      <w:tblPr>
        <w:tblStyle w:val="19"/>
        <w:tblpPr w:leftFromText="180" w:rightFromText="180" w:vertAnchor="text" w:horzAnchor="margin" w:tblpXSpec="center" w:tblpY="16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930"/>
        <w:gridCol w:w="405"/>
        <w:gridCol w:w="360"/>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43" w:type="dxa"/>
            <w:noWrap w:val="0"/>
            <w:vAlign w:val="center"/>
          </w:tcPr>
          <w:p>
            <w:pPr>
              <w:tabs>
                <w:tab w:val="left" w:pos="720"/>
              </w:tabs>
              <w:snapToGrid w:val="0"/>
              <w:spacing w:line="360" w:lineRule="auto"/>
              <w:jc w:val="center"/>
              <w:rPr>
                <w:color w:val="auto"/>
                <w:sz w:val="24"/>
                <w:szCs w:val="24"/>
                <w:highlight w:val="none"/>
              </w:rPr>
            </w:pPr>
            <w:r>
              <w:rPr>
                <w:rFonts w:hint="eastAsia" w:cs="宋体"/>
                <w:color w:val="auto"/>
                <w:sz w:val="24"/>
                <w:szCs w:val="24"/>
                <w:highlight w:val="none"/>
              </w:rPr>
              <w:t>编号</w:t>
            </w:r>
          </w:p>
        </w:tc>
        <w:tc>
          <w:tcPr>
            <w:tcW w:w="6930" w:type="dxa"/>
            <w:tcBorders>
              <w:tl2br w:val="single" w:color="auto" w:sz="4" w:space="0"/>
            </w:tcBorders>
            <w:noWrap w:val="0"/>
            <w:vAlign w:val="center"/>
          </w:tcPr>
          <w:p>
            <w:pPr>
              <w:tabs>
                <w:tab w:val="left" w:pos="720"/>
              </w:tabs>
              <w:snapToGrid w:val="0"/>
              <w:spacing w:line="360" w:lineRule="auto"/>
              <w:ind w:firstLine="2400" w:firstLineChars="1000"/>
              <w:rPr>
                <w:color w:val="auto"/>
                <w:sz w:val="24"/>
                <w:szCs w:val="24"/>
                <w:highlight w:val="none"/>
              </w:rPr>
            </w:pPr>
            <w:r>
              <w:rPr>
                <w:rFonts w:hint="eastAsia" w:cs="宋体"/>
                <w:color w:val="auto"/>
                <w:sz w:val="24"/>
                <w:szCs w:val="24"/>
                <w:highlight w:val="none"/>
              </w:rPr>
              <w:t>投标人名称</w:t>
            </w:r>
          </w:p>
          <w:p>
            <w:pPr>
              <w:tabs>
                <w:tab w:val="left" w:pos="720"/>
              </w:tabs>
              <w:snapToGrid w:val="0"/>
              <w:spacing w:line="360" w:lineRule="auto"/>
              <w:rPr>
                <w:color w:val="auto"/>
                <w:sz w:val="24"/>
                <w:szCs w:val="24"/>
                <w:highlight w:val="none"/>
              </w:rPr>
            </w:pPr>
            <w:r>
              <w:rPr>
                <w:rFonts w:hint="eastAsia" w:cs="宋体"/>
                <w:color w:val="auto"/>
                <w:sz w:val="24"/>
                <w:szCs w:val="24"/>
                <w:highlight w:val="none"/>
              </w:rPr>
              <w:t>审查项目</w:t>
            </w:r>
          </w:p>
        </w:tc>
        <w:tc>
          <w:tcPr>
            <w:tcW w:w="405" w:type="dxa"/>
            <w:noWrap w:val="0"/>
            <w:vAlign w:val="center"/>
          </w:tcPr>
          <w:p>
            <w:pPr>
              <w:tabs>
                <w:tab w:val="left" w:pos="720"/>
              </w:tabs>
              <w:snapToGrid w:val="0"/>
              <w:spacing w:line="360" w:lineRule="auto"/>
              <w:jc w:val="center"/>
              <w:rPr>
                <w:color w:val="auto"/>
                <w:sz w:val="24"/>
                <w:szCs w:val="24"/>
                <w:highlight w:val="none"/>
              </w:rPr>
            </w:pPr>
          </w:p>
        </w:tc>
        <w:tc>
          <w:tcPr>
            <w:tcW w:w="360" w:type="dxa"/>
            <w:noWrap w:val="0"/>
            <w:vAlign w:val="center"/>
          </w:tcPr>
          <w:p>
            <w:pPr>
              <w:tabs>
                <w:tab w:val="left" w:pos="720"/>
              </w:tabs>
              <w:snapToGrid w:val="0"/>
              <w:spacing w:line="360" w:lineRule="auto"/>
              <w:jc w:val="center"/>
              <w:rPr>
                <w:color w:val="auto"/>
                <w:sz w:val="24"/>
                <w:szCs w:val="24"/>
                <w:highlight w:val="none"/>
              </w:rPr>
            </w:pPr>
          </w:p>
        </w:tc>
        <w:tc>
          <w:tcPr>
            <w:tcW w:w="417" w:type="dxa"/>
            <w:noWrap w:val="0"/>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43" w:type="dxa"/>
            <w:noWrap w:val="0"/>
            <w:vAlign w:val="center"/>
          </w:tcPr>
          <w:p>
            <w:pPr>
              <w:tabs>
                <w:tab w:val="left" w:pos="720"/>
              </w:tabs>
              <w:snapToGrid w:val="0"/>
              <w:jc w:val="center"/>
              <w:rPr>
                <w:color w:val="auto"/>
                <w:sz w:val="24"/>
                <w:szCs w:val="24"/>
                <w:highlight w:val="none"/>
              </w:rPr>
            </w:pPr>
            <w:r>
              <w:rPr>
                <w:color w:val="auto"/>
                <w:sz w:val="24"/>
                <w:szCs w:val="24"/>
                <w:highlight w:val="none"/>
              </w:rPr>
              <w:t>1</w:t>
            </w:r>
          </w:p>
        </w:tc>
        <w:tc>
          <w:tcPr>
            <w:tcW w:w="6930" w:type="dxa"/>
            <w:noWrap w:val="0"/>
            <w:vAlign w:val="center"/>
          </w:tcPr>
          <w:p>
            <w:pPr>
              <w:rPr>
                <w:rFonts w:cs="宋体"/>
                <w:color w:val="auto"/>
                <w:kern w:val="0"/>
                <w:sz w:val="24"/>
                <w:szCs w:val="24"/>
                <w:highlight w:val="none"/>
              </w:rPr>
            </w:pPr>
            <w:r>
              <w:rPr>
                <w:rFonts w:hint="eastAsia" w:ascii="宋体" w:hAnsi="宋体" w:cs="宋体"/>
                <w:color w:val="auto"/>
                <w:sz w:val="24"/>
                <w:szCs w:val="24"/>
                <w:highlight w:val="none"/>
              </w:rPr>
              <w:t>投标人必须具有独立法人资格。具备工程监理综合资质或</w:t>
            </w:r>
            <w:r>
              <w:rPr>
                <w:rFonts w:hint="eastAsia" w:ascii="宋体" w:hAnsi="宋体" w:cs="宋体"/>
                <w:color w:val="auto"/>
                <w:sz w:val="24"/>
                <w:szCs w:val="24"/>
                <w:highlight w:val="none"/>
                <w:lang w:val="en-US" w:eastAsia="zh-CN"/>
              </w:rPr>
              <w:t>具备房屋建筑工程监理甲</w:t>
            </w:r>
            <w:r>
              <w:rPr>
                <w:rFonts w:hint="eastAsia" w:ascii="宋体" w:hAnsi="宋体" w:cs="宋体"/>
                <w:color w:val="auto"/>
                <w:sz w:val="24"/>
                <w:szCs w:val="24"/>
                <w:highlight w:val="none"/>
              </w:rPr>
              <w:t>级（或以上）级别资质</w:t>
            </w:r>
            <w:r>
              <w:rPr>
                <w:rFonts w:hint="eastAsia" w:ascii="宋体" w:hAnsi="宋体" w:cs="宋体"/>
                <w:color w:val="auto"/>
                <w:sz w:val="24"/>
                <w:szCs w:val="24"/>
                <w:highlight w:val="none"/>
                <w:shd w:val="clear" w:color="auto" w:fill="FFFFFF"/>
              </w:rPr>
              <w:t>，营业执照有效。</w:t>
            </w:r>
          </w:p>
        </w:tc>
        <w:tc>
          <w:tcPr>
            <w:tcW w:w="405" w:type="dxa"/>
            <w:noWrap w:val="0"/>
            <w:vAlign w:val="center"/>
          </w:tcPr>
          <w:p>
            <w:pPr>
              <w:tabs>
                <w:tab w:val="left" w:pos="720"/>
              </w:tabs>
              <w:snapToGrid w:val="0"/>
              <w:spacing w:line="360" w:lineRule="auto"/>
              <w:jc w:val="center"/>
              <w:rPr>
                <w:color w:val="auto"/>
                <w:sz w:val="24"/>
                <w:szCs w:val="24"/>
                <w:highlight w:val="none"/>
              </w:rPr>
            </w:pPr>
          </w:p>
        </w:tc>
        <w:tc>
          <w:tcPr>
            <w:tcW w:w="360" w:type="dxa"/>
            <w:noWrap w:val="0"/>
            <w:vAlign w:val="center"/>
          </w:tcPr>
          <w:p>
            <w:pPr>
              <w:tabs>
                <w:tab w:val="left" w:pos="720"/>
              </w:tabs>
              <w:snapToGrid w:val="0"/>
              <w:spacing w:line="360" w:lineRule="auto"/>
              <w:jc w:val="center"/>
              <w:rPr>
                <w:color w:val="auto"/>
                <w:sz w:val="24"/>
                <w:szCs w:val="24"/>
                <w:highlight w:val="none"/>
              </w:rPr>
            </w:pPr>
          </w:p>
        </w:tc>
        <w:tc>
          <w:tcPr>
            <w:tcW w:w="417" w:type="dxa"/>
            <w:noWrap w:val="0"/>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643" w:type="dxa"/>
            <w:noWrap w:val="0"/>
            <w:vAlign w:val="center"/>
          </w:tcPr>
          <w:p>
            <w:pPr>
              <w:tabs>
                <w:tab w:val="left" w:pos="720"/>
              </w:tabs>
              <w:snapToGrid w:val="0"/>
              <w:jc w:val="center"/>
              <w:rPr>
                <w:color w:val="auto"/>
                <w:sz w:val="24"/>
                <w:szCs w:val="24"/>
                <w:highlight w:val="none"/>
              </w:rPr>
            </w:pPr>
            <w:r>
              <w:rPr>
                <w:color w:val="auto"/>
                <w:sz w:val="24"/>
                <w:szCs w:val="24"/>
                <w:highlight w:val="none"/>
              </w:rPr>
              <w:t>2</w:t>
            </w:r>
          </w:p>
        </w:tc>
        <w:tc>
          <w:tcPr>
            <w:tcW w:w="6930" w:type="dxa"/>
            <w:noWrap w:val="0"/>
            <w:vAlign w:val="center"/>
          </w:tcPr>
          <w:p>
            <w:pP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投标人拟派总监理工程师，具备建设主管部门颁发的注册在投标企业的</w:t>
            </w:r>
            <w:r>
              <w:rPr>
                <w:rFonts w:hint="eastAsia" w:ascii="宋体" w:hAnsi="宋体"/>
                <w:color w:val="auto"/>
                <w:sz w:val="24"/>
                <w:szCs w:val="24"/>
                <w:highlight w:val="none"/>
                <w:lang w:val="en-US" w:eastAsia="zh-CN"/>
              </w:rPr>
              <w:t>房屋建筑工程</w:t>
            </w:r>
            <w:r>
              <w:rPr>
                <w:rFonts w:hint="eastAsia" w:ascii="宋体" w:hAnsi="宋体"/>
                <w:color w:val="auto"/>
                <w:sz w:val="24"/>
                <w:szCs w:val="24"/>
                <w:highlight w:val="none"/>
              </w:rPr>
              <w:t>监理工程师证书。（身份证复印件及</w:t>
            </w:r>
            <w:r>
              <w:rPr>
                <w:rFonts w:hint="eastAsia" w:ascii="宋体" w:hAnsi="宋体"/>
                <w:color w:val="auto"/>
                <w:sz w:val="24"/>
                <w:szCs w:val="24"/>
                <w:highlight w:val="none"/>
                <w:lang w:val="en-US" w:eastAsia="zh-CN"/>
              </w:rPr>
              <w:t>投标截止前</w:t>
            </w:r>
            <w:r>
              <w:rPr>
                <w:rFonts w:hint="eastAsia" w:ascii="宋体" w:hAnsi="宋体"/>
                <w:color w:val="auto"/>
                <w:sz w:val="24"/>
                <w:szCs w:val="24"/>
                <w:highlight w:val="none"/>
              </w:rPr>
              <w:t>近三个月任意一个月的社保缴纳证明复印件）自本项目投标之日起自本项目招标公告发布之日起，其最多只能同时担任3项(含本项目在内)工程的总监理工程师（兼任的其他项目必须在湛江范围内）</w:t>
            </w:r>
            <w:r>
              <w:rPr>
                <w:rFonts w:hint="eastAsia" w:ascii="宋体" w:hAnsi="宋体"/>
                <w:color w:val="auto"/>
                <w:sz w:val="24"/>
                <w:szCs w:val="24"/>
                <w:highlight w:val="none"/>
                <w:lang w:eastAsia="zh-CN"/>
              </w:rPr>
              <w:t>。</w:t>
            </w:r>
          </w:p>
        </w:tc>
        <w:tc>
          <w:tcPr>
            <w:tcW w:w="405" w:type="dxa"/>
            <w:noWrap w:val="0"/>
            <w:vAlign w:val="center"/>
          </w:tcPr>
          <w:p>
            <w:pPr>
              <w:tabs>
                <w:tab w:val="left" w:pos="720"/>
              </w:tabs>
              <w:snapToGrid w:val="0"/>
              <w:spacing w:line="360" w:lineRule="auto"/>
              <w:jc w:val="center"/>
              <w:rPr>
                <w:color w:val="auto"/>
                <w:sz w:val="24"/>
                <w:szCs w:val="24"/>
                <w:highlight w:val="none"/>
              </w:rPr>
            </w:pPr>
          </w:p>
        </w:tc>
        <w:tc>
          <w:tcPr>
            <w:tcW w:w="360" w:type="dxa"/>
            <w:noWrap w:val="0"/>
            <w:vAlign w:val="center"/>
          </w:tcPr>
          <w:p>
            <w:pPr>
              <w:tabs>
                <w:tab w:val="left" w:pos="720"/>
              </w:tabs>
              <w:snapToGrid w:val="0"/>
              <w:spacing w:line="360" w:lineRule="auto"/>
              <w:jc w:val="center"/>
              <w:rPr>
                <w:color w:val="auto"/>
                <w:sz w:val="24"/>
                <w:szCs w:val="24"/>
                <w:highlight w:val="none"/>
              </w:rPr>
            </w:pPr>
          </w:p>
        </w:tc>
        <w:tc>
          <w:tcPr>
            <w:tcW w:w="417" w:type="dxa"/>
            <w:noWrap w:val="0"/>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3" w:type="dxa"/>
            <w:noWrap w:val="0"/>
            <w:vAlign w:val="center"/>
          </w:tcPr>
          <w:p>
            <w:pPr>
              <w:tabs>
                <w:tab w:val="left" w:pos="720"/>
              </w:tabs>
              <w:snapToGrid w:val="0"/>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3</w:t>
            </w:r>
          </w:p>
        </w:tc>
        <w:tc>
          <w:tcPr>
            <w:tcW w:w="6930" w:type="dxa"/>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在“中国执</w:t>
            </w:r>
            <w:r>
              <w:rPr>
                <w:rFonts w:hint="eastAsia" w:ascii="宋体" w:hAnsi="宋体" w:cs="宋体"/>
                <w:color w:val="auto"/>
                <w:sz w:val="24"/>
                <w:szCs w:val="24"/>
                <w:highlight w:val="none"/>
                <w:lang w:eastAsia="zh-CN"/>
              </w:rPr>
              <w:t>行</w:t>
            </w:r>
            <w:r>
              <w:rPr>
                <w:rFonts w:hint="eastAsia" w:ascii="宋体" w:hAnsi="宋体" w:cs="宋体"/>
                <w:color w:val="auto"/>
                <w:sz w:val="24"/>
                <w:szCs w:val="24"/>
                <w:highlight w:val="none"/>
              </w:rPr>
              <w:t>信息公开网”网站</w:t>
            </w:r>
            <w:r>
              <w:rPr>
                <w:rFonts w:hint="eastAsia" w:ascii="宋体" w:hAnsi="宋体" w:cs="宋体"/>
                <w:color w:val="auto"/>
                <w:sz w:val="21"/>
                <w:szCs w:val="21"/>
                <w:highlight w:val="none"/>
              </w:rPr>
              <w:t>（http://zxgk.court.gov.cn/shixin/)</w:t>
            </w:r>
            <w:r>
              <w:rPr>
                <w:rFonts w:hint="eastAsia" w:ascii="宋体" w:hAnsi="宋体" w:cs="宋体"/>
                <w:color w:val="auto"/>
                <w:sz w:val="24"/>
                <w:szCs w:val="24"/>
                <w:highlight w:val="none"/>
              </w:rPr>
              <w:t>中被列入失信被执行人名单的投标人，在国家企业信用信息公示系统（www.gsxt.gov.cn）中被列入严重违法失信企业名单的投标人，均按否决投标处理。提供网页查询截图加盖单位公章。</w:t>
            </w:r>
          </w:p>
        </w:tc>
        <w:tc>
          <w:tcPr>
            <w:tcW w:w="405" w:type="dxa"/>
            <w:noWrap w:val="0"/>
            <w:vAlign w:val="center"/>
          </w:tcPr>
          <w:p>
            <w:pPr>
              <w:tabs>
                <w:tab w:val="left" w:pos="720"/>
              </w:tabs>
              <w:snapToGrid w:val="0"/>
              <w:spacing w:line="360" w:lineRule="auto"/>
              <w:jc w:val="center"/>
              <w:rPr>
                <w:color w:val="auto"/>
                <w:sz w:val="24"/>
                <w:szCs w:val="24"/>
                <w:highlight w:val="none"/>
              </w:rPr>
            </w:pPr>
          </w:p>
        </w:tc>
        <w:tc>
          <w:tcPr>
            <w:tcW w:w="360" w:type="dxa"/>
            <w:noWrap w:val="0"/>
            <w:vAlign w:val="center"/>
          </w:tcPr>
          <w:p>
            <w:pPr>
              <w:tabs>
                <w:tab w:val="left" w:pos="720"/>
              </w:tabs>
              <w:snapToGrid w:val="0"/>
              <w:spacing w:line="360" w:lineRule="auto"/>
              <w:jc w:val="center"/>
              <w:rPr>
                <w:color w:val="auto"/>
                <w:sz w:val="24"/>
                <w:szCs w:val="24"/>
                <w:highlight w:val="none"/>
              </w:rPr>
            </w:pPr>
          </w:p>
        </w:tc>
        <w:tc>
          <w:tcPr>
            <w:tcW w:w="417" w:type="dxa"/>
            <w:noWrap w:val="0"/>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3" w:type="dxa"/>
            <w:noWrap w:val="0"/>
            <w:vAlign w:val="center"/>
          </w:tcPr>
          <w:p>
            <w:pPr>
              <w:tabs>
                <w:tab w:val="left" w:pos="720"/>
              </w:tabs>
              <w:snapToGrid w:val="0"/>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6930" w:type="dxa"/>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提供承诺函，格式自拟）</w:t>
            </w:r>
          </w:p>
        </w:tc>
        <w:tc>
          <w:tcPr>
            <w:tcW w:w="405" w:type="dxa"/>
            <w:noWrap w:val="0"/>
            <w:vAlign w:val="center"/>
          </w:tcPr>
          <w:p>
            <w:pPr>
              <w:tabs>
                <w:tab w:val="left" w:pos="720"/>
              </w:tabs>
              <w:snapToGrid w:val="0"/>
              <w:spacing w:line="360" w:lineRule="auto"/>
              <w:jc w:val="center"/>
              <w:rPr>
                <w:color w:val="auto"/>
                <w:sz w:val="24"/>
                <w:szCs w:val="24"/>
                <w:highlight w:val="none"/>
              </w:rPr>
            </w:pPr>
          </w:p>
        </w:tc>
        <w:tc>
          <w:tcPr>
            <w:tcW w:w="360" w:type="dxa"/>
            <w:noWrap w:val="0"/>
            <w:vAlign w:val="center"/>
          </w:tcPr>
          <w:p>
            <w:pPr>
              <w:tabs>
                <w:tab w:val="left" w:pos="720"/>
              </w:tabs>
              <w:snapToGrid w:val="0"/>
              <w:spacing w:line="360" w:lineRule="auto"/>
              <w:jc w:val="center"/>
              <w:rPr>
                <w:color w:val="auto"/>
                <w:sz w:val="24"/>
                <w:szCs w:val="24"/>
                <w:highlight w:val="none"/>
              </w:rPr>
            </w:pPr>
          </w:p>
        </w:tc>
        <w:tc>
          <w:tcPr>
            <w:tcW w:w="417" w:type="dxa"/>
            <w:noWrap w:val="0"/>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3" w:type="dxa"/>
            <w:noWrap w:val="0"/>
            <w:vAlign w:val="center"/>
          </w:tcPr>
          <w:p>
            <w:pPr>
              <w:tabs>
                <w:tab w:val="left" w:pos="720"/>
              </w:tabs>
              <w:snapToGrid w:val="0"/>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5</w:t>
            </w:r>
          </w:p>
        </w:tc>
        <w:tc>
          <w:tcPr>
            <w:tcW w:w="6930" w:type="dxa"/>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本次招标</w:t>
            </w:r>
            <w:r>
              <w:rPr>
                <w:rFonts w:hint="eastAsia" w:ascii="华文行楷" w:hAnsi="华文行楷" w:eastAsia="华文行楷" w:cs="华文行楷"/>
                <w:color w:val="auto"/>
                <w:sz w:val="24"/>
                <w:szCs w:val="24"/>
                <w:highlight w:val="none"/>
                <w:u w:val="single"/>
              </w:rPr>
              <w:t>不接受</w:t>
            </w:r>
            <w:r>
              <w:rPr>
                <w:rFonts w:hint="eastAsia" w:ascii="宋体" w:hAnsi="宋体" w:cs="宋体"/>
                <w:color w:val="auto"/>
                <w:sz w:val="24"/>
                <w:szCs w:val="24"/>
                <w:highlight w:val="none"/>
              </w:rPr>
              <w:t>联合体投标。</w:t>
            </w:r>
          </w:p>
        </w:tc>
        <w:tc>
          <w:tcPr>
            <w:tcW w:w="405" w:type="dxa"/>
            <w:noWrap w:val="0"/>
            <w:vAlign w:val="center"/>
          </w:tcPr>
          <w:p>
            <w:pPr>
              <w:tabs>
                <w:tab w:val="left" w:pos="720"/>
              </w:tabs>
              <w:snapToGrid w:val="0"/>
              <w:spacing w:line="360" w:lineRule="auto"/>
              <w:jc w:val="center"/>
              <w:rPr>
                <w:color w:val="auto"/>
                <w:sz w:val="24"/>
                <w:szCs w:val="24"/>
                <w:highlight w:val="none"/>
              </w:rPr>
            </w:pPr>
          </w:p>
        </w:tc>
        <w:tc>
          <w:tcPr>
            <w:tcW w:w="360" w:type="dxa"/>
            <w:noWrap w:val="0"/>
            <w:vAlign w:val="center"/>
          </w:tcPr>
          <w:p>
            <w:pPr>
              <w:tabs>
                <w:tab w:val="left" w:pos="720"/>
              </w:tabs>
              <w:snapToGrid w:val="0"/>
              <w:spacing w:line="360" w:lineRule="auto"/>
              <w:jc w:val="center"/>
              <w:rPr>
                <w:color w:val="auto"/>
                <w:sz w:val="24"/>
                <w:szCs w:val="24"/>
                <w:highlight w:val="none"/>
              </w:rPr>
            </w:pPr>
          </w:p>
        </w:tc>
        <w:tc>
          <w:tcPr>
            <w:tcW w:w="417" w:type="dxa"/>
            <w:noWrap w:val="0"/>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3" w:type="dxa"/>
            <w:noWrap w:val="0"/>
            <w:vAlign w:val="center"/>
          </w:tcPr>
          <w:p>
            <w:pPr>
              <w:jc w:val="center"/>
              <w:rPr>
                <w:color w:val="auto"/>
                <w:sz w:val="24"/>
                <w:szCs w:val="24"/>
                <w:highlight w:val="none"/>
                <w:u w:val="single"/>
              </w:rPr>
            </w:pPr>
            <w:r>
              <w:rPr>
                <w:rFonts w:hint="eastAsia" w:cs="宋体"/>
                <w:color w:val="auto"/>
                <w:spacing w:val="15"/>
                <w:kern w:val="0"/>
                <w:sz w:val="24"/>
                <w:szCs w:val="24"/>
                <w:highlight w:val="none"/>
              </w:rPr>
              <w:t>结论</w:t>
            </w:r>
          </w:p>
        </w:tc>
        <w:tc>
          <w:tcPr>
            <w:tcW w:w="6930" w:type="dxa"/>
            <w:tcBorders>
              <w:bottom w:val="single" w:color="auto" w:sz="4" w:space="0"/>
            </w:tcBorders>
            <w:noWrap w:val="0"/>
            <w:vAlign w:val="center"/>
          </w:tcPr>
          <w:p>
            <w:pPr>
              <w:tabs>
                <w:tab w:val="left" w:pos="720"/>
              </w:tabs>
              <w:snapToGrid w:val="0"/>
              <w:jc w:val="left"/>
              <w:rPr>
                <w:color w:val="auto"/>
                <w:kern w:val="0"/>
                <w:sz w:val="24"/>
                <w:szCs w:val="24"/>
                <w:highlight w:val="none"/>
              </w:rPr>
            </w:pPr>
            <w:r>
              <w:rPr>
                <w:rFonts w:hint="eastAsia" w:cs="宋体"/>
                <w:color w:val="auto"/>
                <w:sz w:val="24"/>
                <w:szCs w:val="24"/>
                <w:highlight w:val="none"/>
              </w:rPr>
              <w:t>是否合格并进入下一阶段评审</w:t>
            </w:r>
          </w:p>
        </w:tc>
        <w:tc>
          <w:tcPr>
            <w:tcW w:w="405" w:type="dxa"/>
            <w:tcBorders>
              <w:bottom w:val="single" w:color="auto" w:sz="4" w:space="0"/>
            </w:tcBorders>
            <w:noWrap w:val="0"/>
            <w:vAlign w:val="center"/>
          </w:tcPr>
          <w:p>
            <w:pPr>
              <w:spacing w:line="360" w:lineRule="auto"/>
              <w:rPr>
                <w:color w:val="auto"/>
                <w:sz w:val="24"/>
                <w:szCs w:val="24"/>
                <w:highlight w:val="none"/>
                <w:u w:val="single"/>
              </w:rPr>
            </w:pPr>
          </w:p>
        </w:tc>
        <w:tc>
          <w:tcPr>
            <w:tcW w:w="360" w:type="dxa"/>
            <w:tcBorders>
              <w:bottom w:val="single" w:color="auto" w:sz="4" w:space="0"/>
            </w:tcBorders>
            <w:noWrap w:val="0"/>
            <w:vAlign w:val="center"/>
          </w:tcPr>
          <w:p>
            <w:pPr>
              <w:spacing w:line="360" w:lineRule="auto"/>
              <w:rPr>
                <w:color w:val="auto"/>
                <w:sz w:val="24"/>
                <w:szCs w:val="24"/>
                <w:highlight w:val="none"/>
                <w:u w:val="single"/>
              </w:rPr>
            </w:pPr>
          </w:p>
        </w:tc>
        <w:tc>
          <w:tcPr>
            <w:tcW w:w="417" w:type="dxa"/>
            <w:tcBorders>
              <w:bottom w:val="single" w:color="auto" w:sz="4" w:space="0"/>
            </w:tcBorders>
            <w:noWrap w:val="0"/>
            <w:vAlign w:val="center"/>
          </w:tcPr>
          <w:p>
            <w:pPr>
              <w:spacing w:line="360" w:lineRule="auto"/>
              <w:rPr>
                <w:color w:val="auto"/>
                <w:sz w:val="24"/>
                <w:szCs w:val="24"/>
                <w:highlight w:val="none"/>
                <w:u w:val="single"/>
              </w:rPr>
            </w:pPr>
          </w:p>
        </w:tc>
      </w:tr>
    </w:tbl>
    <w:p>
      <w:pPr>
        <w:tabs>
          <w:tab w:val="left" w:pos="720"/>
        </w:tabs>
        <w:adjustRightInd w:val="0"/>
        <w:snapToGrid w:val="0"/>
        <w:spacing w:before="120" w:beforeLines="50" w:line="360" w:lineRule="auto"/>
        <w:rPr>
          <w:color w:val="auto"/>
          <w:sz w:val="22"/>
          <w:szCs w:val="22"/>
          <w:highlight w:val="none"/>
        </w:rPr>
      </w:pPr>
      <w:r>
        <w:rPr>
          <w:rFonts w:hint="eastAsia" w:cs="宋体"/>
          <w:color w:val="auto"/>
          <w:sz w:val="22"/>
          <w:szCs w:val="22"/>
          <w:highlight w:val="none"/>
        </w:rPr>
        <w:t>备注：</w:t>
      </w:r>
    </w:p>
    <w:p>
      <w:pPr>
        <w:tabs>
          <w:tab w:val="left" w:pos="720"/>
        </w:tabs>
        <w:adjustRightInd w:val="0"/>
        <w:snapToGrid w:val="0"/>
        <w:spacing w:line="360" w:lineRule="auto"/>
        <w:ind w:firstLine="440" w:firstLineChars="200"/>
        <w:rPr>
          <w:color w:val="auto"/>
          <w:sz w:val="22"/>
          <w:szCs w:val="22"/>
          <w:highlight w:val="none"/>
        </w:rPr>
      </w:pPr>
      <w:r>
        <w:rPr>
          <w:color w:val="auto"/>
          <w:sz w:val="22"/>
          <w:szCs w:val="22"/>
          <w:highlight w:val="none"/>
        </w:rPr>
        <w:t>1</w:t>
      </w:r>
      <w:r>
        <w:rPr>
          <w:rFonts w:hint="eastAsia" w:cs="宋体"/>
          <w:color w:val="auto"/>
          <w:sz w:val="22"/>
          <w:szCs w:val="22"/>
          <w:highlight w:val="none"/>
        </w:rPr>
        <w:t>、</w:t>
      </w:r>
      <w:r>
        <w:rPr>
          <w:color w:val="auto"/>
          <w:sz w:val="22"/>
          <w:szCs w:val="22"/>
          <w:highlight w:val="none"/>
        </w:rPr>
        <w:t>“</w:t>
      </w:r>
      <w:r>
        <w:rPr>
          <w:rFonts w:hint="eastAsia" w:cs="宋体"/>
          <w:color w:val="auto"/>
          <w:sz w:val="22"/>
          <w:szCs w:val="22"/>
          <w:highlight w:val="none"/>
        </w:rPr>
        <w:t>是否合格并进入下一阶段评审</w:t>
      </w:r>
      <w:r>
        <w:rPr>
          <w:color w:val="auto"/>
          <w:sz w:val="22"/>
          <w:szCs w:val="22"/>
          <w:highlight w:val="none"/>
        </w:rPr>
        <w:t>”</w:t>
      </w:r>
      <w:r>
        <w:rPr>
          <w:rFonts w:hint="eastAsia" w:cs="宋体"/>
          <w:color w:val="auto"/>
          <w:sz w:val="22"/>
          <w:szCs w:val="22"/>
          <w:highlight w:val="none"/>
        </w:rPr>
        <w:t>一栏应写</w:t>
      </w:r>
      <w:r>
        <w:rPr>
          <w:color w:val="auto"/>
          <w:sz w:val="22"/>
          <w:szCs w:val="22"/>
          <w:highlight w:val="none"/>
        </w:rPr>
        <w:t>“</w:t>
      </w:r>
      <w:r>
        <w:rPr>
          <w:rFonts w:hint="eastAsia" w:cs="宋体"/>
          <w:color w:val="auto"/>
          <w:sz w:val="22"/>
          <w:szCs w:val="22"/>
          <w:highlight w:val="none"/>
        </w:rPr>
        <w:t>合格</w:t>
      </w:r>
      <w:r>
        <w:rPr>
          <w:color w:val="auto"/>
          <w:sz w:val="22"/>
          <w:szCs w:val="22"/>
          <w:highlight w:val="none"/>
        </w:rPr>
        <w:t>”</w:t>
      </w:r>
      <w:r>
        <w:rPr>
          <w:rFonts w:hint="eastAsia"/>
          <w:color w:val="auto"/>
          <w:sz w:val="22"/>
          <w:szCs w:val="22"/>
          <w:highlight w:val="none"/>
        </w:rPr>
        <w:t>、</w:t>
      </w:r>
      <w:r>
        <w:rPr>
          <w:color w:val="auto"/>
          <w:sz w:val="22"/>
          <w:szCs w:val="22"/>
          <w:highlight w:val="none"/>
        </w:rPr>
        <w:t>“</w:t>
      </w:r>
      <w:r>
        <w:rPr>
          <w:rFonts w:hint="eastAsia" w:cs="宋体"/>
          <w:color w:val="auto"/>
          <w:sz w:val="22"/>
          <w:szCs w:val="22"/>
          <w:highlight w:val="none"/>
        </w:rPr>
        <w:t>不合格</w:t>
      </w:r>
      <w:r>
        <w:rPr>
          <w:color w:val="auto"/>
          <w:sz w:val="22"/>
          <w:szCs w:val="22"/>
          <w:highlight w:val="none"/>
        </w:rPr>
        <w:t>”</w:t>
      </w:r>
      <w:r>
        <w:rPr>
          <w:rFonts w:hint="eastAsia" w:cs="宋体"/>
          <w:color w:val="auto"/>
          <w:sz w:val="22"/>
          <w:szCs w:val="22"/>
          <w:highlight w:val="none"/>
        </w:rPr>
        <w:t>。</w:t>
      </w:r>
    </w:p>
    <w:p>
      <w:pPr>
        <w:tabs>
          <w:tab w:val="left" w:pos="720"/>
        </w:tabs>
        <w:adjustRightInd w:val="0"/>
        <w:snapToGrid w:val="0"/>
        <w:spacing w:line="360" w:lineRule="auto"/>
        <w:ind w:firstLine="440" w:firstLineChars="200"/>
        <w:rPr>
          <w:color w:val="auto"/>
          <w:sz w:val="22"/>
          <w:szCs w:val="22"/>
          <w:highlight w:val="none"/>
        </w:rPr>
      </w:pPr>
      <w:r>
        <w:rPr>
          <w:color w:val="auto"/>
          <w:sz w:val="22"/>
          <w:szCs w:val="22"/>
          <w:highlight w:val="none"/>
        </w:rPr>
        <w:t>2</w:t>
      </w:r>
      <w:r>
        <w:rPr>
          <w:rFonts w:hint="eastAsia" w:cs="宋体"/>
          <w:color w:val="auto"/>
          <w:sz w:val="22"/>
          <w:szCs w:val="22"/>
          <w:highlight w:val="none"/>
        </w:rPr>
        <w:t>、满足以上情形的打</w:t>
      </w:r>
      <w:r>
        <w:rPr>
          <w:color w:val="auto"/>
          <w:sz w:val="22"/>
          <w:szCs w:val="22"/>
          <w:highlight w:val="none"/>
        </w:rPr>
        <w:t>“</w:t>
      </w:r>
      <w:r>
        <w:rPr>
          <w:rFonts w:hint="eastAsia" w:cs="宋体"/>
          <w:color w:val="auto"/>
          <w:sz w:val="22"/>
          <w:szCs w:val="22"/>
          <w:highlight w:val="none"/>
        </w:rPr>
        <w:t>√</w:t>
      </w:r>
      <w:r>
        <w:rPr>
          <w:color w:val="auto"/>
          <w:sz w:val="22"/>
          <w:szCs w:val="22"/>
          <w:highlight w:val="none"/>
        </w:rPr>
        <w:t>”</w:t>
      </w:r>
      <w:r>
        <w:rPr>
          <w:rFonts w:hint="eastAsia" w:cs="宋体"/>
          <w:color w:val="auto"/>
          <w:sz w:val="22"/>
          <w:szCs w:val="22"/>
          <w:highlight w:val="none"/>
        </w:rPr>
        <w:t>，不满足的打</w:t>
      </w:r>
      <w:r>
        <w:rPr>
          <w:color w:val="auto"/>
          <w:sz w:val="22"/>
          <w:szCs w:val="22"/>
          <w:highlight w:val="none"/>
        </w:rPr>
        <w:t>“×”</w:t>
      </w:r>
      <w:r>
        <w:rPr>
          <w:rFonts w:hint="eastAsia" w:cs="宋体"/>
          <w:color w:val="auto"/>
          <w:sz w:val="22"/>
          <w:szCs w:val="22"/>
          <w:highlight w:val="none"/>
        </w:rPr>
        <w:t>。</w:t>
      </w:r>
    </w:p>
    <w:p>
      <w:pPr>
        <w:tabs>
          <w:tab w:val="left" w:pos="720"/>
        </w:tabs>
        <w:adjustRightInd w:val="0"/>
        <w:snapToGrid w:val="0"/>
        <w:spacing w:line="360" w:lineRule="auto"/>
        <w:ind w:firstLine="440" w:firstLineChars="200"/>
        <w:rPr>
          <w:color w:val="auto"/>
          <w:sz w:val="22"/>
          <w:szCs w:val="22"/>
          <w:highlight w:val="none"/>
        </w:rPr>
      </w:pPr>
      <w:r>
        <w:rPr>
          <w:color w:val="auto"/>
          <w:sz w:val="22"/>
          <w:szCs w:val="22"/>
          <w:highlight w:val="none"/>
        </w:rPr>
        <w:t>3</w:t>
      </w:r>
      <w:r>
        <w:rPr>
          <w:rFonts w:hint="eastAsia" w:cs="宋体"/>
          <w:color w:val="auto"/>
          <w:sz w:val="22"/>
          <w:szCs w:val="22"/>
          <w:highlight w:val="none"/>
        </w:rPr>
        <w:t>、经评标委员会审核后，出现一个</w:t>
      </w:r>
      <w:r>
        <w:rPr>
          <w:color w:val="auto"/>
          <w:sz w:val="22"/>
          <w:szCs w:val="22"/>
          <w:highlight w:val="none"/>
        </w:rPr>
        <w:t>“×”</w:t>
      </w:r>
      <w:r>
        <w:rPr>
          <w:rFonts w:hint="eastAsia" w:cs="宋体"/>
          <w:color w:val="auto"/>
          <w:sz w:val="22"/>
          <w:szCs w:val="22"/>
          <w:highlight w:val="none"/>
        </w:rPr>
        <w:t>的结论为</w:t>
      </w:r>
      <w:r>
        <w:rPr>
          <w:color w:val="auto"/>
          <w:sz w:val="22"/>
          <w:szCs w:val="22"/>
          <w:highlight w:val="none"/>
        </w:rPr>
        <w:t>“</w:t>
      </w:r>
      <w:r>
        <w:rPr>
          <w:rFonts w:hint="eastAsia" w:cs="宋体"/>
          <w:color w:val="auto"/>
          <w:sz w:val="22"/>
          <w:szCs w:val="22"/>
          <w:highlight w:val="none"/>
        </w:rPr>
        <w:t>不合格</w:t>
      </w:r>
      <w:r>
        <w:rPr>
          <w:color w:val="auto"/>
          <w:sz w:val="22"/>
          <w:szCs w:val="22"/>
          <w:highlight w:val="none"/>
        </w:rPr>
        <w:t>”</w:t>
      </w:r>
      <w:r>
        <w:rPr>
          <w:rFonts w:hint="eastAsia" w:cs="宋体"/>
          <w:color w:val="auto"/>
          <w:sz w:val="22"/>
          <w:szCs w:val="22"/>
          <w:highlight w:val="none"/>
        </w:rPr>
        <w:t>。</w:t>
      </w:r>
    </w:p>
    <w:p>
      <w:pPr>
        <w:tabs>
          <w:tab w:val="left" w:pos="720"/>
        </w:tabs>
        <w:adjustRightInd w:val="0"/>
        <w:snapToGrid w:val="0"/>
        <w:spacing w:line="360" w:lineRule="auto"/>
        <w:ind w:firstLine="440" w:firstLineChars="200"/>
        <w:rPr>
          <w:color w:val="auto"/>
          <w:sz w:val="22"/>
          <w:szCs w:val="22"/>
          <w:highlight w:val="none"/>
        </w:rPr>
      </w:pPr>
      <w:r>
        <w:rPr>
          <w:color w:val="auto"/>
          <w:sz w:val="22"/>
          <w:szCs w:val="22"/>
          <w:highlight w:val="none"/>
        </w:rPr>
        <w:t>4</w:t>
      </w:r>
      <w:r>
        <w:rPr>
          <w:rFonts w:hint="eastAsia" w:cs="宋体"/>
          <w:color w:val="auto"/>
          <w:sz w:val="22"/>
          <w:szCs w:val="22"/>
          <w:highlight w:val="none"/>
        </w:rPr>
        <w:t>、表中全部条件满足为</w:t>
      </w:r>
      <w:r>
        <w:rPr>
          <w:color w:val="auto"/>
          <w:sz w:val="22"/>
          <w:szCs w:val="22"/>
          <w:highlight w:val="none"/>
        </w:rPr>
        <w:t>“</w:t>
      </w:r>
      <w:r>
        <w:rPr>
          <w:rFonts w:hint="eastAsia" w:cs="宋体"/>
          <w:color w:val="auto"/>
          <w:sz w:val="22"/>
          <w:szCs w:val="22"/>
          <w:highlight w:val="none"/>
        </w:rPr>
        <w:t>合格</w:t>
      </w:r>
      <w:r>
        <w:rPr>
          <w:color w:val="auto"/>
          <w:sz w:val="22"/>
          <w:szCs w:val="22"/>
          <w:highlight w:val="none"/>
        </w:rPr>
        <w:t>”</w:t>
      </w:r>
      <w:r>
        <w:rPr>
          <w:rFonts w:hint="eastAsia" w:cs="宋体"/>
          <w:color w:val="auto"/>
          <w:sz w:val="22"/>
          <w:szCs w:val="22"/>
          <w:highlight w:val="none"/>
        </w:rPr>
        <w:t>，同意进入下一阶段评审。</w:t>
      </w:r>
    </w:p>
    <w:p>
      <w:pPr>
        <w:tabs>
          <w:tab w:val="left" w:pos="720"/>
        </w:tabs>
        <w:adjustRightInd w:val="0"/>
        <w:snapToGrid w:val="0"/>
        <w:spacing w:line="360" w:lineRule="auto"/>
        <w:ind w:firstLine="440" w:firstLineChars="200"/>
        <w:rPr>
          <w:color w:val="auto"/>
          <w:sz w:val="22"/>
          <w:szCs w:val="22"/>
          <w:highlight w:val="none"/>
        </w:rPr>
      </w:pPr>
      <w:r>
        <w:rPr>
          <w:color w:val="auto"/>
          <w:sz w:val="22"/>
          <w:szCs w:val="22"/>
          <w:highlight w:val="none"/>
        </w:rPr>
        <w:t>5</w:t>
      </w:r>
      <w:r>
        <w:rPr>
          <w:rFonts w:hint="eastAsia" w:cs="宋体"/>
          <w:color w:val="auto"/>
          <w:sz w:val="22"/>
          <w:szCs w:val="22"/>
          <w:highlight w:val="none"/>
        </w:rPr>
        <w:t>、若评委意见不一致时，则按少数服从多数的原则，决定该投标人是否通过资格审查，进入下一阶段评审。</w:t>
      </w:r>
    </w:p>
    <w:p>
      <w:pPr>
        <w:pStyle w:val="34"/>
        <w:spacing w:line="360" w:lineRule="auto"/>
        <w:ind w:left="360" w:firstLine="560"/>
        <w:rPr>
          <w:rFonts w:hint="eastAsia" w:cs="宋体"/>
          <w:color w:val="auto"/>
          <w:sz w:val="22"/>
          <w:szCs w:val="22"/>
          <w:highlight w:val="none"/>
        </w:rPr>
      </w:pPr>
      <w:r>
        <w:rPr>
          <w:rFonts w:hint="eastAsia" w:cs="宋体"/>
          <w:color w:val="auto"/>
          <w:sz w:val="22"/>
          <w:szCs w:val="22"/>
          <w:highlight w:val="none"/>
        </w:rPr>
        <w:t xml:space="preserve">评委签名：        </w:t>
      </w:r>
      <w:r>
        <w:rPr>
          <w:rFonts w:hint="eastAsia" w:cs="宋体"/>
          <w:color w:val="auto"/>
          <w:sz w:val="22"/>
          <w:szCs w:val="22"/>
          <w:highlight w:val="none"/>
          <w:lang w:val="en-US" w:eastAsia="zh-CN"/>
        </w:rPr>
        <w:t xml:space="preserve">        </w:t>
      </w:r>
      <w:r>
        <w:rPr>
          <w:rFonts w:hint="eastAsia" w:cs="宋体"/>
          <w:color w:val="auto"/>
          <w:sz w:val="22"/>
          <w:szCs w:val="22"/>
          <w:highlight w:val="none"/>
        </w:rPr>
        <w:t xml:space="preserve">      日期：</w:t>
      </w:r>
      <w:r>
        <w:rPr>
          <w:color w:val="auto"/>
          <w:sz w:val="22"/>
          <w:szCs w:val="22"/>
          <w:highlight w:val="none"/>
          <w:u w:val="single"/>
        </w:rPr>
        <w:t xml:space="preserve">   </w:t>
      </w:r>
      <w:r>
        <w:rPr>
          <w:rFonts w:hint="eastAsia" w:cs="宋体"/>
          <w:color w:val="auto"/>
          <w:sz w:val="22"/>
          <w:szCs w:val="22"/>
          <w:highlight w:val="none"/>
        </w:rPr>
        <w:t>年</w:t>
      </w:r>
      <w:r>
        <w:rPr>
          <w:rFonts w:hint="eastAsia" w:cs="宋体"/>
          <w:color w:val="auto"/>
          <w:sz w:val="22"/>
          <w:szCs w:val="22"/>
          <w:highlight w:val="none"/>
          <w:u w:val="single"/>
        </w:rPr>
        <w:t xml:space="preserve">   </w:t>
      </w:r>
      <w:r>
        <w:rPr>
          <w:rFonts w:hint="eastAsia" w:cs="宋体"/>
          <w:color w:val="auto"/>
          <w:sz w:val="22"/>
          <w:szCs w:val="22"/>
          <w:highlight w:val="none"/>
        </w:rPr>
        <w:t>月</w:t>
      </w:r>
      <w:r>
        <w:rPr>
          <w:rFonts w:hint="eastAsia" w:cs="宋体"/>
          <w:color w:val="auto"/>
          <w:sz w:val="22"/>
          <w:szCs w:val="22"/>
          <w:highlight w:val="none"/>
          <w:u w:val="single"/>
        </w:rPr>
        <w:t xml:space="preserve">   </w:t>
      </w:r>
      <w:r>
        <w:rPr>
          <w:rFonts w:hint="eastAsia" w:cs="宋体"/>
          <w:color w:val="auto"/>
          <w:sz w:val="22"/>
          <w:szCs w:val="22"/>
          <w:highlight w:val="none"/>
        </w:rPr>
        <w:t>日</w:t>
      </w:r>
    </w:p>
    <w:p>
      <w:pPr>
        <w:pStyle w:val="18"/>
        <w:rPr>
          <w:rFonts w:hint="eastAsia"/>
          <w:color w:val="auto"/>
          <w:highlight w:val="none"/>
        </w:rPr>
      </w:pPr>
    </w:p>
    <w:p>
      <w:pPr>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br w:type="page"/>
      </w:r>
    </w:p>
    <w:p>
      <w:pPr>
        <w:tabs>
          <w:tab w:val="left" w:pos="720"/>
        </w:tabs>
        <w:snapToGrid w:val="0"/>
        <w:spacing w:line="460" w:lineRule="exact"/>
        <w:rPr>
          <w:rFonts w:cs="宋体"/>
          <w:color w:val="auto"/>
          <w:sz w:val="28"/>
          <w:szCs w:val="28"/>
          <w:highlight w:val="none"/>
        </w:rPr>
      </w:pPr>
      <w:r>
        <w:rPr>
          <w:rFonts w:hint="eastAsia" w:cs="宋体"/>
          <w:color w:val="auto"/>
          <w:sz w:val="28"/>
          <w:szCs w:val="28"/>
          <w:highlight w:val="none"/>
        </w:rPr>
        <w:t>四、</w:t>
      </w:r>
      <w:r>
        <w:rPr>
          <w:rFonts w:hint="eastAsia"/>
          <w:color w:val="auto"/>
          <w:sz w:val="28"/>
          <w:szCs w:val="28"/>
          <w:highlight w:val="none"/>
        </w:rPr>
        <w:t>凡不满足</w:t>
      </w:r>
      <w:r>
        <w:rPr>
          <w:rFonts w:hint="eastAsia" w:cs="宋体"/>
          <w:color w:val="auto"/>
          <w:sz w:val="28"/>
          <w:szCs w:val="28"/>
          <w:highlight w:val="none"/>
        </w:rPr>
        <w:t>《符合性审查表》中所列情形之一的，作无效投标处理。</w:t>
      </w:r>
    </w:p>
    <w:p>
      <w:pPr>
        <w:tabs>
          <w:tab w:val="left" w:pos="720"/>
        </w:tabs>
        <w:snapToGrid w:val="0"/>
        <w:spacing w:line="400" w:lineRule="exact"/>
        <w:jc w:val="center"/>
        <w:rPr>
          <w:rFonts w:hint="eastAsia" w:cs="宋体"/>
          <w:b/>
          <w:bCs/>
          <w:color w:val="auto"/>
          <w:spacing w:val="20"/>
          <w:sz w:val="32"/>
          <w:szCs w:val="32"/>
          <w:highlight w:val="none"/>
        </w:rPr>
      </w:pPr>
      <w:r>
        <w:rPr>
          <w:rFonts w:hint="eastAsia" w:cs="宋体"/>
          <w:b/>
          <w:bCs/>
          <w:color w:val="auto"/>
          <w:spacing w:val="20"/>
          <w:sz w:val="32"/>
          <w:szCs w:val="32"/>
          <w:highlight w:val="none"/>
        </w:rPr>
        <w:t>符合性审查表</w:t>
      </w:r>
    </w:p>
    <w:p>
      <w:pPr>
        <w:pStyle w:val="2"/>
        <w:spacing w:line="240" w:lineRule="auto"/>
        <w:jc w:val="center"/>
        <w:rPr>
          <w:rFonts w:hint="eastAsia"/>
          <w:color w:val="auto"/>
          <w:highlight w:val="none"/>
        </w:rPr>
      </w:pPr>
      <w:r>
        <w:rPr>
          <w:rFonts w:hint="eastAsia" w:cs="宋体"/>
          <w:b w:val="0"/>
          <w:bCs w:val="0"/>
          <w:color w:val="auto"/>
          <w:spacing w:val="20"/>
          <w:sz w:val="32"/>
          <w:szCs w:val="32"/>
          <w:highlight w:val="none"/>
        </w:rPr>
        <w:t>（商务文件）</w:t>
      </w:r>
    </w:p>
    <w:tbl>
      <w:tblPr>
        <w:tblStyle w:val="19"/>
        <w:tblpPr w:leftFromText="180" w:rightFromText="180" w:vertAnchor="text" w:horzAnchor="margin" w:tblpXSpec="center" w:tblpY="634"/>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475"/>
        <w:gridCol w:w="916"/>
        <w:gridCol w:w="589"/>
        <w:gridCol w:w="615"/>
        <w:gridCol w:w="958"/>
        <w:gridCol w:w="958"/>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6" w:type="dxa"/>
            <w:noWrap w:val="0"/>
            <w:vAlign w:val="center"/>
          </w:tcPr>
          <w:p>
            <w:pPr>
              <w:tabs>
                <w:tab w:val="left" w:pos="720"/>
              </w:tabs>
              <w:snapToGrid w:val="0"/>
              <w:spacing w:line="320" w:lineRule="exact"/>
              <w:jc w:val="center"/>
              <w:rPr>
                <w:color w:val="auto"/>
                <w:szCs w:val="21"/>
                <w:highlight w:val="none"/>
              </w:rPr>
            </w:pPr>
            <w:r>
              <w:rPr>
                <w:rFonts w:hint="eastAsia" w:cs="宋体"/>
                <w:color w:val="auto"/>
                <w:szCs w:val="21"/>
                <w:highlight w:val="none"/>
              </w:rPr>
              <w:t>编号</w:t>
            </w:r>
          </w:p>
        </w:tc>
        <w:tc>
          <w:tcPr>
            <w:tcW w:w="3475" w:type="dxa"/>
            <w:tcBorders>
              <w:tl2br w:val="single" w:color="auto" w:sz="4" w:space="0"/>
            </w:tcBorders>
            <w:noWrap w:val="0"/>
            <w:vAlign w:val="center"/>
          </w:tcPr>
          <w:p>
            <w:pPr>
              <w:tabs>
                <w:tab w:val="left" w:pos="720"/>
              </w:tabs>
              <w:snapToGrid w:val="0"/>
              <w:spacing w:line="320" w:lineRule="exact"/>
              <w:ind w:firstLine="2100" w:firstLineChars="1000"/>
              <w:rPr>
                <w:color w:val="auto"/>
                <w:szCs w:val="21"/>
                <w:highlight w:val="none"/>
              </w:rPr>
            </w:pPr>
            <w:r>
              <w:rPr>
                <w:rFonts w:hint="eastAsia" w:cs="宋体"/>
                <w:color w:val="auto"/>
                <w:szCs w:val="21"/>
                <w:highlight w:val="none"/>
              </w:rPr>
              <w:t>投标人名称</w:t>
            </w:r>
          </w:p>
          <w:p>
            <w:pPr>
              <w:tabs>
                <w:tab w:val="left" w:pos="720"/>
              </w:tabs>
              <w:snapToGrid w:val="0"/>
              <w:spacing w:line="320" w:lineRule="exact"/>
              <w:rPr>
                <w:color w:val="auto"/>
                <w:szCs w:val="21"/>
                <w:highlight w:val="none"/>
              </w:rPr>
            </w:pPr>
          </w:p>
          <w:p>
            <w:pPr>
              <w:tabs>
                <w:tab w:val="left" w:pos="720"/>
              </w:tabs>
              <w:snapToGrid w:val="0"/>
              <w:spacing w:line="320" w:lineRule="exact"/>
              <w:rPr>
                <w:color w:val="auto"/>
                <w:szCs w:val="21"/>
                <w:highlight w:val="none"/>
              </w:rPr>
            </w:pPr>
            <w:r>
              <w:rPr>
                <w:rFonts w:hint="eastAsia" w:cs="宋体"/>
                <w:color w:val="auto"/>
                <w:szCs w:val="21"/>
                <w:highlight w:val="none"/>
              </w:rPr>
              <w:t>审查项目</w:t>
            </w:r>
          </w:p>
        </w:tc>
        <w:tc>
          <w:tcPr>
            <w:tcW w:w="916" w:type="dxa"/>
            <w:noWrap w:val="0"/>
            <w:vAlign w:val="center"/>
          </w:tcPr>
          <w:p>
            <w:pPr>
              <w:tabs>
                <w:tab w:val="left" w:pos="720"/>
              </w:tabs>
              <w:snapToGrid w:val="0"/>
              <w:spacing w:line="320" w:lineRule="exact"/>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26" w:type="dxa"/>
            <w:noWrap w:val="0"/>
            <w:vAlign w:val="center"/>
          </w:tcPr>
          <w:p>
            <w:pPr>
              <w:tabs>
                <w:tab w:val="left" w:pos="720"/>
              </w:tabs>
              <w:snapToGrid w:val="0"/>
              <w:jc w:val="center"/>
              <w:rPr>
                <w:color w:val="auto"/>
                <w:szCs w:val="21"/>
                <w:highlight w:val="none"/>
              </w:rPr>
            </w:pPr>
            <w:r>
              <w:rPr>
                <w:rFonts w:hint="eastAsia"/>
                <w:color w:val="auto"/>
                <w:szCs w:val="21"/>
                <w:highlight w:val="none"/>
              </w:rPr>
              <w:t>1</w:t>
            </w:r>
          </w:p>
        </w:tc>
        <w:tc>
          <w:tcPr>
            <w:tcW w:w="3475" w:type="dxa"/>
            <w:noWrap w:val="0"/>
            <w:vAlign w:val="center"/>
          </w:tcPr>
          <w:p>
            <w:pPr>
              <w:tabs>
                <w:tab w:val="left" w:pos="720"/>
              </w:tabs>
              <w:snapToGrid w:val="0"/>
              <w:rPr>
                <w:rFonts w:eastAsia="宋体"/>
                <w:color w:val="auto"/>
                <w:szCs w:val="21"/>
                <w:highlight w:val="none"/>
              </w:rPr>
            </w:pPr>
            <w:r>
              <w:rPr>
                <w:rFonts w:hint="eastAsia" w:cs="宋体"/>
                <w:color w:val="auto"/>
                <w:szCs w:val="21"/>
                <w:highlight w:val="none"/>
              </w:rPr>
              <w:t>需要年审的证件到期未年审，不能提供有关行政主管部门未组织年审的说明；</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26" w:type="dxa"/>
            <w:noWrap w:val="0"/>
            <w:vAlign w:val="center"/>
          </w:tcPr>
          <w:p>
            <w:pPr>
              <w:tabs>
                <w:tab w:val="left" w:pos="720"/>
              </w:tabs>
              <w:snapToGrid w:val="0"/>
              <w:jc w:val="center"/>
              <w:rPr>
                <w:rFonts w:hint="eastAsia" w:eastAsia="宋体"/>
                <w:color w:val="auto"/>
                <w:szCs w:val="21"/>
                <w:highlight w:val="none"/>
              </w:rPr>
            </w:pPr>
            <w:r>
              <w:rPr>
                <w:rFonts w:hint="eastAsia"/>
                <w:color w:val="auto"/>
                <w:szCs w:val="21"/>
                <w:highlight w:val="none"/>
              </w:rPr>
              <w:t>2</w:t>
            </w:r>
          </w:p>
        </w:tc>
        <w:tc>
          <w:tcPr>
            <w:tcW w:w="3475" w:type="dxa"/>
            <w:noWrap w:val="0"/>
            <w:vAlign w:val="center"/>
          </w:tcPr>
          <w:p>
            <w:pPr>
              <w:tabs>
                <w:tab w:val="left" w:pos="720"/>
              </w:tabs>
              <w:snapToGrid w:val="0"/>
              <w:rPr>
                <w:rFonts w:hint="eastAsia" w:ascii="宋体" w:hAnsi="宋体" w:eastAsia="宋体" w:cs="宋体"/>
                <w:color w:val="auto"/>
                <w:szCs w:val="21"/>
                <w:highlight w:val="none"/>
              </w:rPr>
            </w:pPr>
            <w:r>
              <w:rPr>
                <w:rFonts w:hint="eastAsia" w:ascii="宋体" w:hAnsi="宋体" w:cs="宋体"/>
                <w:color w:val="auto"/>
                <w:szCs w:val="21"/>
                <w:highlight w:val="none"/>
              </w:rPr>
              <w:t>招标文件中注明要求签字盖章却没有按要求签字盖章的；</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6" w:type="dxa"/>
            <w:noWrap w:val="0"/>
            <w:vAlign w:val="center"/>
          </w:tcPr>
          <w:p>
            <w:pPr>
              <w:tabs>
                <w:tab w:val="left" w:pos="720"/>
              </w:tabs>
              <w:snapToGrid w:val="0"/>
              <w:jc w:val="center"/>
              <w:rPr>
                <w:rFonts w:hint="eastAsia" w:eastAsia="宋体"/>
                <w:color w:val="auto"/>
                <w:szCs w:val="21"/>
                <w:highlight w:val="none"/>
              </w:rPr>
            </w:pPr>
            <w:r>
              <w:rPr>
                <w:rFonts w:hint="eastAsia"/>
                <w:color w:val="auto"/>
                <w:szCs w:val="21"/>
                <w:highlight w:val="none"/>
              </w:rPr>
              <w:t>3</w:t>
            </w:r>
          </w:p>
        </w:tc>
        <w:tc>
          <w:tcPr>
            <w:tcW w:w="3475" w:type="dxa"/>
            <w:noWrap w:val="0"/>
            <w:vAlign w:val="center"/>
          </w:tcPr>
          <w:p>
            <w:pPr>
              <w:tabs>
                <w:tab w:val="left" w:pos="720"/>
              </w:tabs>
              <w:snapToGrid w:val="0"/>
              <w:rPr>
                <w:rFonts w:hint="eastAsia" w:ascii="宋体" w:hAnsi="宋体" w:cs="宋体"/>
                <w:color w:val="auto"/>
                <w:szCs w:val="21"/>
                <w:highlight w:val="none"/>
              </w:rPr>
            </w:pPr>
            <w:r>
              <w:rPr>
                <w:rFonts w:hint="eastAsia" w:ascii="宋体" w:hAnsi="宋体" w:cs="宋体"/>
                <w:color w:val="auto"/>
                <w:szCs w:val="21"/>
                <w:highlight w:val="none"/>
              </w:rPr>
              <w:t>投标文件附有招标人不能接受的条件；</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26" w:type="dxa"/>
            <w:noWrap w:val="0"/>
            <w:vAlign w:val="center"/>
          </w:tcPr>
          <w:p>
            <w:pPr>
              <w:tabs>
                <w:tab w:val="left" w:pos="720"/>
              </w:tabs>
              <w:snapToGrid w:val="0"/>
              <w:jc w:val="center"/>
              <w:rPr>
                <w:rFonts w:hint="eastAsia" w:eastAsia="宋体"/>
                <w:color w:val="auto"/>
                <w:szCs w:val="21"/>
                <w:highlight w:val="none"/>
              </w:rPr>
            </w:pPr>
            <w:r>
              <w:rPr>
                <w:rFonts w:hint="eastAsia"/>
                <w:color w:val="auto"/>
                <w:szCs w:val="21"/>
                <w:highlight w:val="none"/>
              </w:rPr>
              <w:t>4</w:t>
            </w:r>
          </w:p>
        </w:tc>
        <w:tc>
          <w:tcPr>
            <w:tcW w:w="3475" w:type="dxa"/>
            <w:noWrap w:val="0"/>
            <w:vAlign w:val="center"/>
          </w:tcPr>
          <w:p>
            <w:pPr>
              <w:tabs>
                <w:tab w:val="left" w:pos="720"/>
              </w:tabs>
              <w:snapToGrid w:val="0"/>
              <w:rPr>
                <w:rFonts w:hint="eastAsia" w:ascii="宋体" w:hAnsi="宋体" w:cs="宋体"/>
                <w:color w:val="auto"/>
                <w:szCs w:val="21"/>
                <w:highlight w:val="none"/>
              </w:rPr>
            </w:pPr>
            <w:r>
              <w:rPr>
                <w:rFonts w:hint="eastAsia" w:ascii="宋体" w:hAnsi="宋体" w:cs="宋体"/>
                <w:color w:val="auto"/>
                <w:szCs w:val="21"/>
                <w:highlight w:val="none"/>
              </w:rPr>
              <w:t>投标文件有两个或两个以上的报价；</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6" w:type="dxa"/>
            <w:noWrap w:val="0"/>
            <w:vAlign w:val="center"/>
          </w:tcPr>
          <w:p>
            <w:pPr>
              <w:tabs>
                <w:tab w:val="left" w:pos="720"/>
              </w:tabs>
              <w:snapToGrid w:val="0"/>
              <w:jc w:val="center"/>
              <w:rPr>
                <w:rFonts w:hint="eastAsia" w:eastAsia="宋体"/>
                <w:color w:val="auto"/>
                <w:szCs w:val="21"/>
                <w:highlight w:val="none"/>
              </w:rPr>
            </w:pPr>
            <w:r>
              <w:rPr>
                <w:rFonts w:hint="eastAsia"/>
                <w:color w:val="auto"/>
                <w:szCs w:val="21"/>
                <w:highlight w:val="none"/>
              </w:rPr>
              <w:t>5</w:t>
            </w:r>
          </w:p>
        </w:tc>
        <w:tc>
          <w:tcPr>
            <w:tcW w:w="3475" w:type="dxa"/>
            <w:noWrap w:val="0"/>
            <w:vAlign w:val="center"/>
          </w:tcPr>
          <w:p>
            <w:pPr>
              <w:tabs>
                <w:tab w:val="left" w:pos="720"/>
              </w:tabs>
              <w:snapToGrid w:val="0"/>
              <w:rPr>
                <w:rFonts w:hint="eastAsia" w:ascii="宋体" w:hAnsi="宋体" w:cs="宋体"/>
                <w:color w:val="auto"/>
                <w:szCs w:val="21"/>
                <w:highlight w:val="none"/>
              </w:rPr>
            </w:pPr>
            <w:r>
              <w:rPr>
                <w:rFonts w:hint="eastAsia" w:ascii="宋体" w:hAnsi="宋体" w:cs="宋体"/>
                <w:color w:val="auto"/>
                <w:szCs w:val="21"/>
                <w:highlight w:val="none"/>
              </w:rPr>
              <w:t>投标文件中关键字迹模糊，辨认不清的；</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6" w:type="dxa"/>
            <w:noWrap w:val="0"/>
            <w:vAlign w:val="center"/>
          </w:tcPr>
          <w:p>
            <w:pPr>
              <w:tabs>
                <w:tab w:val="left" w:pos="720"/>
              </w:tabs>
              <w:snapToGrid w:val="0"/>
              <w:jc w:val="center"/>
              <w:rPr>
                <w:rFonts w:hint="eastAsia" w:eastAsia="宋体"/>
                <w:color w:val="auto"/>
                <w:szCs w:val="21"/>
                <w:highlight w:val="none"/>
              </w:rPr>
            </w:pPr>
            <w:r>
              <w:rPr>
                <w:rFonts w:hint="eastAsia"/>
                <w:color w:val="auto"/>
                <w:szCs w:val="21"/>
                <w:highlight w:val="none"/>
              </w:rPr>
              <w:t>6</w:t>
            </w:r>
          </w:p>
        </w:tc>
        <w:tc>
          <w:tcPr>
            <w:tcW w:w="3475" w:type="dxa"/>
            <w:noWrap w:val="0"/>
            <w:vAlign w:val="center"/>
          </w:tcPr>
          <w:p>
            <w:pPr>
              <w:tabs>
                <w:tab w:val="left" w:pos="720"/>
              </w:tabs>
              <w:snapToGrid w:val="0"/>
              <w:rPr>
                <w:rFonts w:hint="eastAsia" w:ascii="宋体" w:hAnsi="宋体" w:cs="宋体"/>
                <w:color w:val="auto"/>
                <w:szCs w:val="21"/>
                <w:highlight w:val="none"/>
              </w:rPr>
            </w:pPr>
            <w:r>
              <w:rPr>
                <w:rFonts w:hint="eastAsia" w:ascii="宋体" w:hAnsi="宋体" w:cs="宋体"/>
                <w:color w:val="auto"/>
                <w:szCs w:val="21"/>
                <w:highlight w:val="none"/>
              </w:rPr>
              <w:t>监理费报价超出招标文件范围的；</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26" w:type="dxa"/>
            <w:noWrap w:val="0"/>
            <w:vAlign w:val="center"/>
          </w:tcPr>
          <w:p>
            <w:pPr>
              <w:tabs>
                <w:tab w:val="left" w:pos="720"/>
              </w:tabs>
              <w:snapToGrid w:val="0"/>
              <w:jc w:val="center"/>
              <w:rPr>
                <w:rFonts w:hint="eastAsia" w:eastAsia="宋体"/>
                <w:color w:val="auto"/>
                <w:szCs w:val="21"/>
                <w:highlight w:val="none"/>
              </w:rPr>
            </w:pPr>
            <w:r>
              <w:rPr>
                <w:rFonts w:hint="eastAsia"/>
                <w:color w:val="auto"/>
                <w:szCs w:val="21"/>
                <w:highlight w:val="none"/>
              </w:rPr>
              <w:t>7</w:t>
            </w:r>
          </w:p>
        </w:tc>
        <w:tc>
          <w:tcPr>
            <w:tcW w:w="3475" w:type="dxa"/>
            <w:noWrap w:val="0"/>
            <w:vAlign w:val="center"/>
          </w:tcPr>
          <w:p>
            <w:pPr>
              <w:tabs>
                <w:tab w:val="left" w:pos="720"/>
              </w:tabs>
              <w:snapToGrid w:val="0"/>
              <w:rPr>
                <w:rFonts w:hint="eastAsia" w:ascii="宋体" w:hAnsi="宋体" w:cs="宋体"/>
                <w:color w:val="auto"/>
                <w:szCs w:val="21"/>
                <w:highlight w:val="none"/>
              </w:rPr>
            </w:pPr>
            <w:r>
              <w:rPr>
                <w:rFonts w:hint="eastAsia" w:ascii="宋体" w:hAnsi="宋体" w:cs="宋体"/>
                <w:color w:val="auto"/>
                <w:szCs w:val="21"/>
                <w:highlight w:val="none"/>
              </w:rPr>
              <w:t>投标文件没有实质性响应招标文件的；</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26" w:type="dxa"/>
            <w:noWrap w:val="0"/>
            <w:vAlign w:val="center"/>
          </w:tcPr>
          <w:p>
            <w:pPr>
              <w:tabs>
                <w:tab w:val="left" w:pos="720"/>
              </w:tabs>
              <w:snapToGrid w:val="0"/>
              <w:jc w:val="center"/>
              <w:rPr>
                <w:rFonts w:hint="eastAsia" w:eastAsia="宋体"/>
                <w:color w:val="auto"/>
                <w:szCs w:val="21"/>
                <w:highlight w:val="none"/>
              </w:rPr>
            </w:pPr>
            <w:r>
              <w:rPr>
                <w:rFonts w:hint="eastAsia"/>
                <w:color w:val="auto"/>
                <w:szCs w:val="21"/>
                <w:highlight w:val="none"/>
              </w:rPr>
              <w:t>8</w:t>
            </w:r>
          </w:p>
        </w:tc>
        <w:tc>
          <w:tcPr>
            <w:tcW w:w="3475" w:type="dxa"/>
            <w:noWrap w:val="0"/>
            <w:vAlign w:val="center"/>
          </w:tcPr>
          <w:p>
            <w:pPr>
              <w:tabs>
                <w:tab w:val="left" w:pos="720"/>
              </w:tabs>
              <w:snapToGrid w:val="0"/>
              <w:rPr>
                <w:rFonts w:hint="eastAsia" w:ascii="宋体" w:hAnsi="宋体" w:cs="宋体"/>
                <w:color w:val="auto"/>
                <w:szCs w:val="21"/>
                <w:highlight w:val="none"/>
              </w:rPr>
            </w:pPr>
            <w:r>
              <w:rPr>
                <w:rFonts w:hint="eastAsia" w:ascii="宋体" w:hAnsi="宋体" w:cs="宋体"/>
                <w:color w:val="auto"/>
                <w:szCs w:val="21"/>
                <w:highlight w:val="none"/>
              </w:rPr>
              <w:t>未按照本招标文件要求编制投标文件，或在“投标文件的组成”中有缺项的；</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6" w:type="dxa"/>
            <w:noWrap w:val="0"/>
            <w:vAlign w:val="center"/>
          </w:tcPr>
          <w:p>
            <w:pPr>
              <w:tabs>
                <w:tab w:val="left" w:pos="720"/>
              </w:tabs>
              <w:snapToGrid w:val="0"/>
              <w:jc w:val="center"/>
              <w:rPr>
                <w:rFonts w:eastAsia="宋体"/>
                <w:color w:val="auto"/>
                <w:szCs w:val="21"/>
                <w:highlight w:val="none"/>
              </w:rPr>
            </w:pPr>
            <w:r>
              <w:rPr>
                <w:rFonts w:hint="eastAsia"/>
                <w:color w:val="auto"/>
                <w:szCs w:val="21"/>
                <w:highlight w:val="none"/>
              </w:rPr>
              <w:t>9</w:t>
            </w:r>
          </w:p>
        </w:tc>
        <w:tc>
          <w:tcPr>
            <w:tcW w:w="3475" w:type="dxa"/>
            <w:noWrap w:val="0"/>
            <w:vAlign w:val="center"/>
          </w:tcPr>
          <w:p>
            <w:pPr>
              <w:tabs>
                <w:tab w:val="left" w:pos="720"/>
              </w:tabs>
              <w:snapToGrid w:val="0"/>
              <w:rPr>
                <w:rFonts w:hint="eastAsia" w:ascii="宋体" w:hAnsi="宋体" w:cs="宋体"/>
                <w:color w:val="auto"/>
                <w:szCs w:val="21"/>
                <w:highlight w:val="none"/>
              </w:rPr>
            </w:pPr>
            <w:r>
              <w:rPr>
                <w:rFonts w:hint="eastAsia" w:ascii="宋体" w:hAnsi="宋体" w:cs="宋体"/>
                <w:color w:val="auto"/>
                <w:szCs w:val="21"/>
                <w:highlight w:val="none"/>
              </w:rPr>
              <w:t>未能按规定提交本项目投标保证金的；</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26" w:type="dxa"/>
            <w:noWrap w:val="0"/>
            <w:vAlign w:val="center"/>
          </w:tcPr>
          <w:p>
            <w:pPr>
              <w:tabs>
                <w:tab w:val="left" w:pos="720"/>
              </w:tabs>
              <w:snapToGrid w:val="0"/>
              <w:jc w:val="center"/>
              <w:rPr>
                <w:rFonts w:eastAsia="宋体"/>
                <w:color w:val="auto"/>
                <w:szCs w:val="21"/>
                <w:highlight w:val="none"/>
              </w:rPr>
            </w:pPr>
            <w:r>
              <w:rPr>
                <w:rFonts w:hint="eastAsia"/>
                <w:color w:val="auto"/>
                <w:szCs w:val="21"/>
                <w:highlight w:val="none"/>
              </w:rPr>
              <w:t>10</w:t>
            </w:r>
          </w:p>
        </w:tc>
        <w:tc>
          <w:tcPr>
            <w:tcW w:w="3475" w:type="dxa"/>
            <w:noWrap w:val="0"/>
            <w:vAlign w:val="center"/>
          </w:tcPr>
          <w:p>
            <w:pPr>
              <w:tabs>
                <w:tab w:val="left" w:pos="720"/>
              </w:tabs>
              <w:snapToGrid w:val="0"/>
              <w:rPr>
                <w:rFonts w:hint="eastAsia" w:ascii="宋体" w:hAnsi="宋体" w:cs="宋体"/>
                <w:color w:val="auto"/>
                <w:szCs w:val="21"/>
                <w:highlight w:val="none"/>
              </w:rPr>
            </w:pPr>
            <w:r>
              <w:rPr>
                <w:rFonts w:hint="eastAsia" w:ascii="宋体" w:hAnsi="宋体" w:cs="宋体"/>
                <w:color w:val="auto"/>
                <w:szCs w:val="21"/>
                <w:highlight w:val="none"/>
              </w:rPr>
              <w:t>总监理工程师没有按要求在投标文件中签字确认的；</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26" w:type="dxa"/>
            <w:noWrap w:val="0"/>
            <w:vAlign w:val="center"/>
          </w:tcPr>
          <w:p>
            <w:pPr>
              <w:tabs>
                <w:tab w:val="left" w:pos="720"/>
              </w:tabs>
              <w:snapToGrid w:val="0"/>
              <w:jc w:val="center"/>
              <w:rPr>
                <w:rFonts w:eastAsia="宋体"/>
                <w:color w:val="auto"/>
                <w:szCs w:val="21"/>
                <w:highlight w:val="none"/>
              </w:rPr>
            </w:pPr>
            <w:r>
              <w:rPr>
                <w:rFonts w:hint="eastAsia"/>
                <w:color w:val="auto"/>
                <w:szCs w:val="21"/>
                <w:highlight w:val="none"/>
              </w:rPr>
              <w:t>11</w:t>
            </w:r>
          </w:p>
        </w:tc>
        <w:tc>
          <w:tcPr>
            <w:tcW w:w="3475" w:type="dxa"/>
            <w:noWrap w:val="0"/>
            <w:vAlign w:val="center"/>
          </w:tcPr>
          <w:p>
            <w:pPr>
              <w:tabs>
                <w:tab w:val="left" w:pos="720"/>
              </w:tabs>
              <w:snapToGrid w:val="0"/>
              <w:rPr>
                <w:rFonts w:eastAsia="宋体"/>
                <w:color w:val="auto"/>
                <w:szCs w:val="21"/>
                <w:highlight w:val="none"/>
              </w:rPr>
            </w:pPr>
            <w:r>
              <w:rPr>
                <w:rFonts w:hint="eastAsia" w:ascii="宋体" w:hAnsi="宋体" w:cs="宋体"/>
                <w:color w:val="auto"/>
                <w:szCs w:val="21"/>
                <w:highlight w:val="none"/>
              </w:rPr>
              <w:t>违反有关法律法规及规定的。</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6" w:type="dxa"/>
            <w:noWrap w:val="0"/>
            <w:vAlign w:val="center"/>
          </w:tcPr>
          <w:p>
            <w:pPr>
              <w:tabs>
                <w:tab w:val="left" w:pos="720"/>
              </w:tabs>
              <w:snapToGrid w:val="0"/>
              <w:spacing w:line="320" w:lineRule="exact"/>
              <w:jc w:val="center"/>
              <w:rPr>
                <w:color w:val="auto"/>
                <w:szCs w:val="21"/>
                <w:highlight w:val="none"/>
              </w:rPr>
            </w:pPr>
            <w:r>
              <w:rPr>
                <w:rFonts w:hint="eastAsia" w:cs="宋体"/>
                <w:color w:val="auto"/>
                <w:szCs w:val="21"/>
                <w:highlight w:val="none"/>
              </w:rPr>
              <w:t>结论</w:t>
            </w:r>
          </w:p>
        </w:tc>
        <w:tc>
          <w:tcPr>
            <w:tcW w:w="3475" w:type="dxa"/>
            <w:noWrap w:val="0"/>
            <w:vAlign w:val="center"/>
          </w:tcPr>
          <w:p>
            <w:pPr>
              <w:tabs>
                <w:tab w:val="left" w:pos="720"/>
              </w:tabs>
              <w:snapToGrid w:val="0"/>
              <w:spacing w:line="320" w:lineRule="exact"/>
              <w:rPr>
                <w:rFonts w:eastAsia="宋体"/>
                <w:color w:val="auto"/>
                <w:szCs w:val="21"/>
                <w:highlight w:val="none"/>
              </w:rPr>
            </w:pPr>
            <w:r>
              <w:rPr>
                <w:rFonts w:hint="eastAsia" w:cs="宋体"/>
                <w:color w:val="auto"/>
                <w:szCs w:val="21"/>
                <w:highlight w:val="none"/>
              </w:rPr>
              <w:t>是否通过并进入下一阶段评审</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bl>
    <w:p>
      <w:pPr>
        <w:tabs>
          <w:tab w:val="left" w:pos="720"/>
        </w:tabs>
        <w:adjustRightInd w:val="0"/>
        <w:snapToGrid w:val="0"/>
        <w:spacing w:before="120" w:beforeLines="50" w:line="320" w:lineRule="exact"/>
        <w:rPr>
          <w:rFonts w:hint="default" w:eastAsia="宋体"/>
          <w:color w:val="auto"/>
          <w:highlight w:val="none"/>
          <w:lang w:val="en-US" w:eastAsia="zh-CN"/>
        </w:rPr>
      </w:pPr>
      <w:r>
        <w:rPr>
          <w:rFonts w:hint="eastAsia" w:cs="宋体"/>
          <w:color w:val="auto"/>
          <w:highlight w:val="none"/>
        </w:rPr>
        <w:t>项目名称：</w:t>
      </w:r>
      <w:r>
        <w:rPr>
          <w:rFonts w:hint="eastAsia" w:cs="宋体"/>
          <w:color w:val="auto"/>
          <w:highlight w:val="none"/>
          <w:lang w:val="en-US" w:eastAsia="zh-CN"/>
        </w:rPr>
        <w:t xml:space="preserve">                                             </w:t>
      </w:r>
      <w:r>
        <w:rPr>
          <w:rFonts w:hint="eastAsia" w:cs="宋体"/>
          <w:color w:val="auto"/>
          <w:szCs w:val="21"/>
          <w:highlight w:val="none"/>
        </w:rPr>
        <w:t>日期：</w:t>
      </w:r>
      <w:r>
        <w:rPr>
          <w:rFonts w:cs="宋体"/>
          <w:color w:val="auto"/>
          <w:szCs w:val="21"/>
          <w:highlight w:val="none"/>
        </w:rPr>
        <w:t xml:space="preserve">   </w:t>
      </w:r>
      <w:r>
        <w:rPr>
          <w:rFonts w:hint="eastAsia" w:cs="宋体"/>
          <w:color w:val="auto"/>
          <w:szCs w:val="21"/>
          <w:highlight w:val="none"/>
        </w:rPr>
        <w:t>年</w:t>
      </w:r>
      <w:r>
        <w:rPr>
          <w:rFonts w:cs="宋体"/>
          <w:color w:val="auto"/>
          <w:szCs w:val="21"/>
          <w:highlight w:val="none"/>
        </w:rPr>
        <w:t xml:space="preserve">   </w:t>
      </w:r>
      <w:r>
        <w:rPr>
          <w:rFonts w:hint="eastAsia" w:cs="宋体"/>
          <w:color w:val="auto"/>
          <w:szCs w:val="21"/>
          <w:highlight w:val="none"/>
        </w:rPr>
        <w:t>月</w:t>
      </w:r>
      <w:r>
        <w:rPr>
          <w:rFonts w:cs="宋体"/>
          <w:color w:val="auto"/>
          <w:szCs w:val="21"/>
          <w:highlight w:val="none"/>
        </w:rPr>
        <w:t xml:space="preserve">   </w:t>
      </w:r>
      <w:r>
        <w:rPr>
          <w:rFonts w:hint="eastAsia" w:cs="宋体"/>
          <w:color w:val="auto"/>
          <w:szCs w:val="21"/>
          <w:highlight w:val="none"/>
        </w:rPr>
        <w:t>日</w:t>
      </w:r>
    </w:p>
    <w:p>
      <w:pPr>
        <w:tabs>
          <w:tab w:val="left" w:pos="720"/>
        </w:tabs>
        <w:adjustRightInd w:val="0"/>
        <w:snapToGrid w:val="0"/>
        <w:spacing w:before="120" w:beforeLines="50" w:line="400" w:lineRule="exact"/>
        <w:rPr>
          <w:rFonts w:hint="default" w:eastAsia="宋体" w:cs="宋体"/>
          <w:color w:val="auto"/>
          <w:szCs w:val="21"/>
          <w:highlight w:val="none"/>
          <w:lang w:val="en-US" w:eastAsia="zh-CN"/>
        </w:rPr>
      </w:pPr>
      <w:r>
        <w:rPr>
          <w:rFonts w:hint="eastAsia" w:cs="宋体"/>
          <w:color w:val="auto"/>
          <w:szCs w:val="21"/>
          <w:highlight w:val="none"/>
        </w:rPr>
        <w:t>备注：</w:t>
      </w:r>
      <w:r>
        <w:rPr>
          <w:rFonts w:hint="eastAsia" w:cs="宋体"/>
          <w:color w:val="auto"/>
          <w:szCs w:val="21"/>
          <w:highlight w:val="none"/>
          <w:lang w:val="en-US" w:eastAsia="zh-CN"/>
        </w:rPr>
        <w:t xml:space="preserve">  </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1</w:t>
      </w:r>
      <w:r>
        <w:rPr>
          <w:rFonts w:hint="eastAsia" w:cs="宋体"/>
          <w:color w:val="auto"/>
          <w:szCs w:val="21"/>
          <w:highlight w:val="none"/>
        </w:rPr>
        <w:t>、“是否通过并进入下一阶段评审”一栏应写“通过”、“不通过”。</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2</w:t>
      </w:r>
      <w:r>
        <w:rPr>
          <w:rFonts w:hint="eastAsia" w:cs="宋体"/>
          <w:color w:val="auto"/>
          <w:szCs w:val="21"/>
          <w:highlight w:val="none"/>
        </w:rPr>
        <w:t>、未出现上述情况的打“○”，出现的打“×”。</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3</w:t>
      </w:r>
      <w:r>
        <w:rPr>
          <w:rFonts w:hint="eastAsia" w:cs="宋体"/>
          <w:color w:val="auto"/>
          <w:szCs w:val="21"/>
          <w:highlight w:val="none"/>
        </w:rPr>
        <w:t>、经评标委员会审核后，出现一个“×”的结论为“不通过”，即按无效投标处理。</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4</w:t>
      </w:r>
      <w:r>
        <w:rPr>
          <w:rFonts w:hint="eastAsia" w:cs="宋体"/>
          <w:color w:val="auto"/>
          <w:szCs w:val="21"/>
          <w:highlight w:val="none"/>
        </w:rPr>
        <w:t>、表中全部条件满足为“通过”，同意进入下一阶段评审。</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5</w:t>
      </w:r>
      <w:r>
        <w:rPr>
          <w:rFonts w:hint="eastAsia" w:cs="宋体"/>
          <w:color w:val="auto"/>
          <w:szCs w:val="21"/>
          <w:highlight w:val="none"/>
        </w:rPr>
        <w:t>、若评委意见不一致时，则按少数服从多数的原则，决定该投标人是否通过符合性审查，进入下一阶段评审。</w:t>
      </w:r>
    </w:p>
    <w:p>
      <w:pPr>
        <w:tabs>
          <w:tab w:val="left" w:pos="720"/>
        </w:tabs>
        <w:adjustRightInd w:val="0"/>
        <w:snapToGrid w:val="0"/>
        <w:spacing w:before="120" w:beforeLines="50" w:line="400" w:lineRule="exact"/>
        <w:rPr>
          <w:rFonts w:hint="eastAsia" w:cs="宋体"/>
          <w:color w:val="auto"/>
          <w:szCs w:val="21"/>
          <w:highlight w:val="none"/>
        </w:rPr>
      </w:pPr>
      <w:r>
        <w:rPr>
          <w:rFonts w:hint="eastAsia" w:cs="宋体"/>
          <w:color w:val="auto"/>
          <w:szCs w:val="21"/>
          <w:highlight w:val="none"/>
        </w:rPr>
        <w:t>评委签名：</w:t>
      </w:r>
    </w:p>
    <w:p>
      <w:pPr>
        <w:tabs>
          <w:tab w:val="left" w:pos="720"/>
        </w:tabs>
        <w:snapToGrid w:val="0"/>
        <w:spacing w:line="400" w:lineRule="exact"/>
        <w:jc w:val="center"/>
        <w:rPr>
          <w:rFonts w:hint="eastAsia" w:cs="宋体"/>
          <w:b/>
          <w:bCs/>
          <w:color w:val="auto"/>
          <w:spacing w:val="20"/>
          <w:sz w:val="32"/>
          <w:szCs w:val="32"/>
          <w:highlight w:val="none"/>
        </w:rPr>
      </w:pPr>
      <w:r>
        <w:rPr>
          <w:rFonts w:hint="eastAsia" w:cs="宋体"/>
          <w:color w:val="auto"/>
          <w:szCs w:val="21"/>
          <w:highlight w:val="none"/>
        </w:rPr>
        <w:br w:type="page"/>
      </w:r>
      <w:r>
        <w:rPr>
          <w:rFonts w:hint="eastAsia" w:cs="宋体"/>
          <w:b/>
          <w:bCs/>
          <w:color w:val="auto"/>
          <w:spacing w:val="20"/>
          <w:sz w:val="32"/>
          <w:szCs w:val="32"/>
          <w:highlight w:val="none"/>
        </w:rPr>
        <w:t>符合性审查表</w:t>
      </w:r>
    </w:p>
    <w:p>
      <w:pPr>
        <w:pStyle w:val="2"/>
        <w:jc w:val="center"/>
        <w:rPr>
          <w:rFonts w:hint="eastAsia"/>
          <w:color w:val="auto"/>
          <w:highlight w:val="none"/>
        </w:rPr>
      </w:pPr>
      <w:r>
        <w:rPr>
          <w:rFonts w:hint="eastAsia" w:cs="宋体"/>
          <w:b w:val="0"/>
          <w:bCs w:val="0"/>
          <w:color w:val="auto"/>
          <w:spacing w:val="20"/>
          <w:sz w:val="32"/>
          <w:szCs w:val="32"/>
          <w:highlight w:val="none"/>
        </w:rPr>
        <w:t>（技术文件）</w:t>
      </w:r>
    </w:p>
    <w:tbl>
      <w:tblPr>
        <w:tblStyle w:val="19"/>
        <w:tblpPr w:leftFromText="180" w:rightFromText="180" w:vertAnchor="text" w:horzAnchor="margin" w:tblpXSpec="center" w:tblpY="634"/>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475"/>
        <w:gridCol w:w="916"/>
        <w:gridCol w:w="589"/>
        <w:gridCol w:w="615"/>
        <w:gridCol w:w="958"/>
        <w:gridCol w:w="958"/>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6" w:type="dxa"/>
            <w:noWrap w:val="0"/>
            <w:vAlign w:val="center"/>
          </w:tcPr>
          <w:p>
            <w:pPr>
              <w:tabs>
                <w:tab w:val="left" w:pos="720"/>
              </w:tabs>
              <w:snapToGrid w:val="0"/>
              <w:spacing w:line="320" w:lineRule="exact"/>
              <w:jc w:val="center"/>
              <w:rPr>
                <w:color w:val="auto"/>
                <w:szCs w:val="21"/>
                <w:highlight w:val="none"/>
              </w:rPr>
            </w:pPr>
            <w:r>
              <w:rPr>
                <w:rFonts w:hint="eastAsia" w:cs="宋体"/>
                <w:color w:val="auto"/>
                <w:szCs w:val="21"/>
                <w:highlight w:val="none"/>
              </w:rPr>
              <w:t>编号</w:t>
            </w:r>
          </w:p>
        </w:tc>
        <w:tc>
          <w:tcPr>
            <w:tcW w:w="3475" w:type="dxa"/>
            <w:tcBorders>
              <w:tl2br w:val="single" w:color="auto" w:sz="4" w:space="0"/>
            </w:tcBorders>
            <w:noWrap w:val="0"/>
            <w:vAlign w:val="center"/>
          </w:tcPr>
          <w:p>
            <w:pPr>
              <w:tabs>
                <w:tab w:val="left" w:pos="720"/>
              </w:tabs>
              <w:snapToGrid w:val="0"/>
              <w:spacing w:line="320" w:lineRule="exact"/>
              <w:ind w:firstLine="840" w:firstLineChars="400"/>
              <w:rPr>
                <w:rFonts w:hint="eastAsia" w:eastAsia="宋体"/>
                <w:color w:val="auto"/>
                <w:szCs w:val="21"/>
                <w:highlight w:val="none"/>
              </w:rPr>
            </w:pPr>
            <w:r>
              <w:rPr>
                <w:rFonts w:hint="eastAsia" w:cs="宋体"/>
                <w:color w:val="auto"/>
                <w:szCs w:val="21"/>
                <w:highlight w:val="none"/>
              </w:rPr>
              <w:t>投标文件编号</w:t>
            </w:r>
          </w:p>
          <w:p>
            <w:pPr>
              <w:tabs>
                <w:tab w:val="left" w:pos="720"/>
              </w:tabs>
              <w:snapToGrid w:val="0"/>
              <w:spacing w:line="320" w:lineRule="exact"/>
              <w:rPr>
                <w:color w:val="auto"/>
                <w:szCs w:val="21"/>
                <w:highlight w:val="none"/>
              </w:rPr>
            </w:pPr>
          </w:p>
          <w:p>
            <w:pPr>
              <w:tabs>
                <w:tab w:val="left" w:pos="720"/>
              </w:tabs>
              <w:snapToGrid w:val="0"/>
              <w:spacing w:line="320" w:lineRule="exact"/>
              <w:rPr>
                <w:color w:val="auto"/>
                <w:szCs w:val="21"/>
                <w:highlight w:val="none"/>
              </w:rPr>
            </w:pPr>
            <w:r>
              <w:rPr>
                <w:rFonts w:hint="eastAsia" w:cs="宋体"/>
                <w:color w:val="auto"/>
                <w:szCs w:val="21"/>
                <w:highlight w:val="none"/>
              </w:rPr>
              <w:t>审查项目</w:t>
            </w:r>
          </w:p>
        </w:tc>
        <w:tc>
          <w:tcPr>
            <w:tcW w:w="916" w:type="dxa"/>
            <w:noWrap w:val="0"/>
            <w:vAlign w:val="center"/>
          </w:tcPr>
          <w:p>
            <w:pPr>
              <w:tabs>
                <w:tab w:val="left" w:pos="720"/>
              </w:tabs>
              <w:snapToGrid w:val="0"/>
              <w:spacing w:line="320" w:lineRule="exact"/>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26" w:type="dxa"/>
            <w:noWrap w:val="0"/>
            <w:vAlign w:val="center"/>
          </w:tcPr>
          <w:p>
            <w:pPr>
              <w:tabs>
                <w:tab w:val="left" w:pos="720"/>
              </w:tabs>
              <w:snapToGrid w:val="0"/>
              <w:jc w:val="center"/>
              <w:rPr>
                <w:color w:val="auto"/>
                <w:szCs w:val="21"/>
                <w:highlight w:val="none"/>
              </w:rPr>
            </w:pPr>
            <w:r>
              <w:rPr>
                <w:rFonts w:hint="eastAsia"/>
                <w:color w:val="auto"/>
                <w:szCs w:val="21"/>
                <w:highlight w:val="none"/>
              </w:rPr>
              <w:t>1</w:t>
            </w:r>
          </w:p>
        </w:tc>
        <w:tc>
          <w:tcPr>
            <w:tcW w:w="3475" w:type="dxa"/>
            <w:noWrap w:val="0"/>
            <w:vAlign w:val="center"/>
          </w:tcPr>
          <w:p>
            <w:pPr>
              <w:tabs>
                <w:tab w:val="left" w:pos="720"/>
              </w:tabs>
              <w:snapToGrid w:val="0"/>
              <w:rPr>
                <w:rFonts w:eastAsia="宋体"/>
                <w:color w:val="auto"/>
                <w:szCs w:val="21"/>
                <w:highlight w:val="none"/>
              </w:rPr>
            </w:pPr>
            <w:r>
              <w:rPr>
                <w:rFonts w:hint="eastAsia" w:cs="宋体"/>
                <w:color w:val="auto"/>
                <w:szCs w:val="21"/>
                <w:highlight w:val="none"/>
              </w:rPr>
              <w:t>投标人在技术文件上标注或做出可以辨认投标人及专业技术人员身份的名称、印章、商标等；</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26" w:type="dxa"/>
            <w:noWrap w:val="0"/>
            <w:vAlign w:val="center"/>
          </w:tcPr>
          <w:p>
            <w:pPr>
              <w:tabs>
                <w:tab w:val="left" w:pos="720"/>
              </w:tabs>
              <w:snapToGrid w:val="0"/>
              <w:jc w:val="center"/>
              <w:rPr>
                <w:color w:val="auto"/>
                <w:szCs w:val="21"/>
                <w:highlight w:val="none"/>
              </w:rPr>
            </w:pPr>
            <w:r>
              <w:rPr>
                <w:rFonts w:hint="eastAsia"/>
                <w:color w:val="auto"/>
                <w:szCs w:val="21"/>
                <w:highlight w:val="none"/>
              </w:rPr>
              <w:t>2</w:t>
            </w:r>
          </w:p>
        </w:tc>
        <w:tc>
          <w:tcPr>
            <w:tcW w:w="3475" w:type="dxa"/>
            <w:noWrap w:val="0"/>
            <w:vAlign w:val="center"/>
          </w:tcPr>
          <w:p>
            <w:pPr>
              <w:tabs>
                <w:tab w:val="left" w:pos="720"/>
              </w:tabs>
              <w:snapToGrid w:val="0"/>
              <w:rPr>
                <w:rFonts w:hint="eastAsia" w:eastAsia="宋体"/>
                <w:color w:val="auto"/>
                <w:szCs w:val="21"/>
                <w:highlight w:val="none"/>
              </w:rPr>
            </w:pPr>
            <w:r>
              <w:rPr>
                <w:rFonts w:hint="eastAsia" w:ascii="宋体" w:hAnsi="宋体" w:cs="宋体"/>
                <w:color w:val="auto"/>
                <w:szCs w:val="21"/>
                <w:highlight w:val="none"/>
              </w:rPr>
              <w:t>违反有关法律法规及规定的。</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26" w:type="dxa"/>
            <w:noWrap w:val="0"/>
            <w:vAlign w:val="center"/>
          </w:tcPr>
          <w:p>
            <w:pPr>
              <w:tabs>
                <w:tab w:val="left" w:pos="720"/>
              </w:tabs>
              <w:snapToGrid w:val="0"/>
              <w:spacing w:line="320" w:lineRule="exact"/>
              <w:jc w:val="center"/>
              <w:rPr>
                <w:color w:val="auto"/>
                <w:szCs w:val="21"/>
                <w:highlight w:val="none"/>
              </w:rPr>
            </w:pPr>
            <w:r>
              <w:rPr>
                <w:rFonts w:hint="eastAsia" w:cs="宋体"/>
                <w:color w:val="auto"/>
                <w:szCs w:val="21"/>
                <w:highlight w:val="none"/>
              </w:rPr>
              <w:t>结论</w:t>
            </w:r>
          </w:p>
        </w:tc>
        <w:tc>
          <w:tcPr>
            <w:tcW w:w="3475" w:type="dxa"/>
            <w:noWrap w:val="0"/>
            <w:vAlign w:val="center"/>
          </w:tcPr>
          <w:p>
            <w:pPr>
              <w:tabs>
                <w:tab w:val="left" w:pos="720"/>
              </w:tabs>
              <w:snapToGrid w:val="0"/>
              <w:spacing w:line="320" w:lineRule="exact"/>
              <w:rPr>
                <w:rFonts w:eastAsia="宋体"/>
                <w:color w:val="auto"/>
                <w:szCs w:val="21"/>
                <w:highlight w:val="none"/>
              </w:rPr>
            </w:pPr>
            <w:r>
              <w:rPr>
                <w:rFonts w:hint="eastAsia" w:cs="宋体"/>
                <w:color w:val="auto"/>
                <w:szCs w:val="21"/>
                <w:highlight w:val="none"/>
              </w:rPr>
              <w:t>是否通过并进入下一阶段评审</w:t>
            </w:r>
          </w:p>
        </w:tc>
        <w:tc>
          <w:tcPr>
            <w:tcW w:w="916" w:type="dxa"/>
            <w:noWrap w:val="0"/>
            <w:vAlign w:val="center"/>
          </w:tcPr>
          <w:p>
            <w:pPr>
              <w:tabs>
                <w:tab w:val="left" w:pos="720"/>
              </w:tabs>
              <w:snapToGrid w:val="0"/>
              <w:spacing w:line="320" w:lineRule="exact"/>
              <w:jc w:val="center"/>
              <w:rPr>
                <w:color w:val="auto"/>
                <w:highlight w:val="none"/>
              </w:rPr>
            </w:pPr>
          </w:p>
        </w:tc>
        <w:tc>
          <w:tcPr>
            <w:tcW w:w="589" w:type="dxa"/>
            <w:noWrap w:val="0"/>
            <w:vAlign w:val="center"/>
          </w:tcPr>
          <w:p>
            <w:pPr>
              <w:tabs>
                <w:tab w:val="left" w:pos="720"/>
              </w:tabs>
              <w:snapToGrid w:val="0"/>
              <w:spacing w:line="320" w:lineRule="exact"/>
              <w:jc w:val="center"/>
              <w:rPr>
                <w:color w:val="auto"/>
                <w:highlight w:val="none"/>
              </w:rPr>
            </w:pPr>
          </w:p>
        </w:tc>
        <w:tc>
          <w:tcPr>
            <w:tcW w:w="615"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58" w:type="dxa"/>
            <w:noWrap w:val="0"/>
            <w:vAlign w:val="center"/>
          </w:tcPr>
          <w:p>
            <w:pPr>
              <w:tabs>
                <w:tab w:val="left" w:pos="720"/>
              </w:tabs>
              <w:snapToGrid w:val="0"/>
              <w:spacing w:line="320" w:lineRule="exact"/>
              <w:jc w:val="center"/>
              <w:rPr>
                <w:color w:val="auto"/>
                <w:highlight w:val="none"/>
              </w:rPr>
            </w:pPr>
          </w:p>
        </w:tc>
        <w:tc>
          <w:tcPr>
            <w:tcW w:w="949" w:type="dxa"/>
            <w:noWrap w:val="0"/>
            <w:vAlign w:val="center"/>
          </w:tcPr>
          <w:p>
            <w:pPr>
              <w:tabs>
                <w:tab w:val="left" w:pos="720"/>
              </w:tabs>
              <w:snapToGrid w:val="0"/>
              <w:spacing w:line="320" w:lineRule="exact"/>
              <w:jc w:val="center"/>
              <w:rPr>
                <w:color w:val="auto"/>
                <w:highlight w:val="none"/>
              </w:rPr>
            </w:pPr>
          </w:p>
        </w:tc>
      </w:tr>
    </w:tbl>
    <w:p>
      <w:pPr>
        <w:tabs>
          <w:tab w:val="left" w:pos="720"/>
        </w:tabs>
        <w:adjustRightInd w:val="0"/>
        <w:snapToGrid w:val="0"/>
        <w:spacing w:before="120" w:beforeLines="50" w:line="320" w:lineRule="exact"/>
        <w:rPr>
          <w:rFonts w:hint="default" w:eastAsia="宋体"/>
          <w:color w:val="auto"/>
          <w:highlight w:val="none"/>
          <w:lang w:val="en-US" w:eastAsia="zh-CN"/>
        </w:rPr>
      </w:pPr>
      <w:r>
        <w:rPr>
          <w:rFonts w:hint="eastAsia" w:cs="宋体"/>
          <w:color w:val="auto"/>
          <w:highlight w:val="none"/>
        </w:rPr>
        <w:t>项目名称：</w:t>
      </w:r>
      <w:r>
        <w:rPr>
          <w:rFonts w:hint="eastAsia" w:cs="宋体"/>
          <w:color w:val="auto"/>
          <w:highlight w:val="none"/>
          <w:lang w:val="en-US" w:eastAsia="zh-CN"/>
        </w:rPr>
        <w:t xml:space="preserve">                                                 </w:t>
      </w:r>
      <w:r>
        <w:rPr>
          <w:rFonts w:hint="eastAsia" w:cs="宋体"/>
          <w:color w:val="auto"/>
          <w:szCs w:val="21"/>
          <w:highlight w:val="none"/>
        </w:rPr>
        <w:t>日期：</w:t>
      </w:r>
      <w:r>
        <w:rPr>
          <w:rFonts w:cs="宋体"/>
          <w:color w:val="auto"/>
          <w:szCs w:val="21"/>
          <w:highlight w:val="none"/>
        </w:rPr>
        <w:t xml:space="preserve">   </w:t>
      </w:r>
      <w:r>
        <w:rPr>
          <w:rFonts w:hint="eastAsia" w:cs="宋体"/>
          <w:color w:val="auto"/>
          <w:szCs w:val="21"/>
          <w:highlight w:val="none"/>
        </w:rPr>
        <w:t>年</w:t>
      </w:r>
      <w:r>
        <w:rPr>
          <w:rFonts w:cs="宋体"/>
          <w:color w:val="auto"/>
          <w:szCs w:val="21"/>
          <w:highlight w:val="none"/>
        </w:rPr>
        <w:t xml:space="preserve">   </w:t>
      </w:r>
      <w:r>
        <w:rPr>
          <w:rFonts w:hint="eastAsia" w:cs="宋体"/>
          <w:color w:val="auto"/>
          <w:szCs w:val="21"/>
          <w:highlight w:val="none"/>
        </w:rPr>
        <w:t>月</w:t>
      </w:r>
      <w:r>
        <w:rPr>
          <w:rFonts w:cs="宋体"/>
          <w:color w:val="auto"/>
          <w:szCs w:val="21"/>
          <w:highlight w:val="none"/>
        </w:rPr>
        <w:t xml:space="preserve">   </w:t>
      </w:r>
      <w:r>
        <w:rPr>
          <w:rFonts w:hint="eastAsia" w:cs="宋体"/>
          <w:color w:val="auto"/>
          <w:szCs w:val="21"/>
          <w:highlight w:val="none"/>
        </w:rPr>
        <w:t>日</w:t>
      </w:r>
    </w:p>
    <w:p>
      <w:pPr>
        <w:tabs>
          <w:tab w:val="left" w:pos="720"/>
        </w:tabs>
        <w:adjustRightInd w:val="0"/>
        <w:snapToGrid w:val="0"/>
        <w:spacing w:before="120" w:beforeLines="50" w:line="400" w:lineRule="exact"/>
        <w:rPr>
          <w:rFonts w:cs="宋体"/>
          <w:color w:val="auto"/>
          <w:szCs w:val="21"/>
          <w:highlight w:val="none"/>
        </w:rPr>
      </w:pPr>
      <w:r>
        <w:rPr>
          <w:rFonts w:hint="eastAsia" w:cs="宋体"/>
          <w:color w:val="auto"/>
          <w:szCs w:val="21"/>
          <w:highlight w:val="none"/>
        </w:rPr>
        <w:t>备注：</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1</w:t>
      </w:r>
      <w:r>
        <w:rPr>
          <w:rFonts w:hint="eastAsia" w:cs="宋体"/>
          <w:color w:val="auto"/>
          <w:szCs w:val="21"/>
          <w:highlight w:val="none"/>
        </w:rPr>
        <w:t>、“是否通过并进入下一阶段评审”一栏应写“通过”、“不通过”。</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2</w:t>
      </w:r>
      <w:r>
        <w:rPr>
          <w:rFonts w:hint="eastAsia" w:cs="宋体"/>
          <w:color w:val="auto"/>
          <w:szCs w:val="21"/>
          <w:highlight w:val="none"/>
        </w:rPr>
        <w:t>、未出现上述情况的打“○”，出现的打“×”。</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3</w:t>
      </w:r>
      <w:r>
        <w:rPr>
          <w:rFonts w:hint="eastAsia" w:cs="宋体"/>
          <w:color w:val="auto"/>
          <w:szCs w:val="21"/>
          <w:highlight w:val="none"/>
        </w:rPr>
        <w:t>、经评标委员会审核后，出现一个“×”的结论为“不通过”，即按无效投标处理。</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4</w:t>
      </w:r>
      <w:r>
        <w:rPr>
          <w:rFonts w:hint="eastAsia" w:cs="宋体"/>
          <w:color w:val="auto"/>
          <w:szCs w:val="21"/>
          <w:highlight w:val="none"/>
        </w:rPr>
        <w:t>、表中全部条件满足为“通过”，同意进入下一阶段评审。</w:t>
      </w:r>
    </w:p>
    <w:p>
      <w:pPr>
        <w:tabs>
          <w:tab w:val="left" w:pos="720"/>
        </w:tabs>
        <w:adjustRightInd w:val="0"/>
        <w:snapToGrid w:val="0"/>
        <w:spacing w:before="120" w:beforeLines="50" w:line="400" w:lineRule="exact"/>
        <w:rPr>
          <w:rFonts w:cs="宋体"/>
          <w:color w:val="auto"/>
          <w:szCs w:val="21"/>
          <w:highlight w:val="none"/>
        </w:rPr>
      </w:pPr>
      <w:r>
        <w:rPr>
          <w:rFonts w:cs="宋体"/>
          <w:color w:val="auto"/>
          <w:szCs w:val="21"/>
          <w:highlight w:val="none"/>
        </w:rPr>
        <w:t>5</w:t>
      </w:r>
      <w:r>
        <w:rPr>
          <w:rFonts w:hint="eastAsia" w:cs="宋体"/>
          <w:color w:val="auto"/>
          <w:szCs w:val="21"/>
          <w:highlight w:val="none"/>
        </w:rPr>
        <w:t>、若评委意见不一致时，则按少数服从多数的原则，决定该投标人是否通过符合性审查，进入下一阶段评审。</w:t>
      </w:r>
    </w:p>
    <w:p>
      <w:pPr>
        <w:tabs>
          <w:tab w:val="left" w:pos="720"/>
        </w:tabs>
        <w:adjustRightInd w:val="0"/>
        <w:snapToGrid w:val="0"/>
        <w:spacing w:before="120" w:beforeLines="50" w:line="400" w:lineRule="exact"/>
        <w:rPr>
          <w:rFonts w:hint="eastAsia" w:cs="宋体"/>
          <w:color w:val="auto"/>
          <w:szCs w:val="21"/>
          <w:highlight w:val="none"/>
        </w:rPr>
      </w:pPr>
      <w:r>
        <w:rPr>
          <w:rFonts w:hint="eastAsia" w:cs="宋体"/>
          <w:color w:val="auto"/>
          <w:szCs w:val="21"/>
          <w:highlight w:val="none"/>
        </w:rPr>
        <w:t>评委签名：</w:t>
      </w:r>
    </w:p>
    <w:p>
      <w:pPr>
        <w:rPr>
          <w:rFonts w:hint="eastAsia" w:ascii="宋体" w:hAnsi="宋体" w:eastAsia="宋体" w:cs="Times New Roman"/>
          <w:b/>
          <w:bCs/>
          <w:color w:val="auto"/>
          <w:sz w:val="28"/>
          <w:szCs w:val="28"/>
          <w:highlight w:val="none"/>
          <w:lang w:val="en-US" w:eastAsia="zh-CN"/>
        </w:rPr>
      </w:pPr>
    </w:p>
    <w:p>
      <w:pPr>
        <w:rPr>
          <w:rFonts w:hint="eastAsia" w:ascii="宋体" w:hAnsi="宋体" w:eastAsia="宋体" w:cs="Times New Roman"/>
          <w:b/>
          <w:bCs/>
          <w:color w:val="auto"/>
          <w:sz w:val="28"/>
          <w:szCs w:val="28"/>
          <w:highlight w:val="none"/>
          <w:lang w:val="en-US" w:eastAsia="zh-CN"/>
        </w:rPr>
      </w:pPr>
    </w:p>
    <w:p>
      <w:pPr>
        <w:rPr>
          <w:rFonts w:hint="eastAsia" w:ascii="宋体" w:hAnsi="宋体" w:eastAsia="宋体" w:cs="Times New Roman"/>
          <w:b/>
          <w:bCs/>
          <w:color w:val="auto"/>
          <w:sz w:val="28"/>
          <w:szCs w:val="28"/>
          <w:highlight w:val="none"/>
          <w:lang w:val="en-US" w:eastAsia="zh-CN"/>
        </w:rPr>
      </w:pPr>
    </w:p>
    <w:p>
      <w:pPr>
        <w:rPr>
          <w:rFonts w:hint="eastAsia" w:ascii="宋体" w:hAnsi="宋体" w:eastAsia="宋体" w:cs="Times New Roman"/>
          <w:b/>
          <w:bCs/>
          <w:color w:val="auto"/>
          <w:sz w:val="28"/>
          <w:szCs w:val="28"/>
          <w:highlight w:val="none"/>
          <w:lang w:val="en-US" w:eastAsia="zh-CN"/>
        </w:rPr>
      </w:pPr>
    </w:p>
    <w:p>
      <w:pPr>
        <w:rPr>
          <w:rFonts w:hint="eastAsia" w:ascii="宋体" w:hAnsi="宋体" w:eastAsia="宋体" w:cs="Times New Roman"/>
          <w:b/>
          <w:bCs/>
          <w:color w:val="auto"/>
          <w:sz w:val="28"/>
          <w:szCs w:val="28"/>
          <w:highlight w:val="none"/>
          <w:lang w:val="en-US" w:eastAsia="zh-CN"/>
        </w:rPr>
      </w:pPr>
    </w:p>
    <w:p>
      <w:pPr>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br w:type="page"/>
      </w:r>
    </w:p>
    <w:p>
      <w:pPr>
        <w:snapToGrid w:val="0"/>
        <w:spacing w:line="360" w:lineRule="auto"/>
        <w:jc w:val="both"/>
        <w:outlineLvl w:val="1"/>
        <w:rPr>
          <w:rFonts w:hint="default"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附件二</w:t>
      </w:r>
    </w:p>
    <w:p>
      <w:pPr>
        <w:jc w:val="center"/>
        <w:rPr>
          <w:rFonts w:hint="eastAsia"/>
          <w:b/>
          <w:color w:val="auto"/>
          <w:sz w:val="28"/>
          <w:highlight w:val="none"/>
        </w:rPr>
      </w:pPr>
      <w:r>
        <w:rPr>
          <w:rFonts w:hint="eastAsia"/>
          <w:b/>
          <w:color w:val="auto"/>
          <w:sz w:val="28"/>
          <w:highlight w:val="none"/>
        </w:rPr>
        <w:t>技术</w:t>
      </w:r>
      <w:r>
        <w:rPr>
          <w:rFonts w:hint="eastAsia"/>
          <w:b/>
          <w:color w:val="auto"/>
          <w:sz w:val="28"/>
          <w:highlight w:val="none"/>
          <w:lang w:val="en-US" w:eastAsia="zh-CN"/>
        </w:rPr>
        <w:t>文件</w:t>
      </w:r>
      <w:r>
        <w:rPr>
          <w:rFonts w:hint="eastAsia"/>
          <w:b/>
          <w:color w:val="auto"/>
          <w:sz w:val="28"/>
          <w:highlight w:val="none"/>
        </w:rPr>
        <w:t>评分表（10分）</w:t>
      </w:r>
    </w:p>
    <w:tbl>
      <w:tblPr>
        <w:tblStyle w:val="19"/>
        <w:tblW w:w="89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6"/>
        <w:gridCol w:w="1339"/>
        <w:gridCol w:w="6000"/>
        <w:gridCol w:w="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3" w:hRule="atLeast"/>
          <w:tblHeader/>
          <w:jc w:val="center"/>
        </w:trPr>
        <w:tc>
          <w:tcPr>
            <w:tcW w:w="746" w:type="dxa"/>
            <w:tcBorders>
              <w:right w:val="single" w:color="auto" w:sz="4" w:space="0"/>
            </w:tcBorders>
            <w:noWrap w:val="0"/>
            <w:vAlign w:val="center"/>
          </w:tcPr>
          <w:p>
            <w:pPr>
              <w:pStyle w:val="7"/>
              <w:snapToGrid w:val="0"/>
              <w:spacing w:before="61"/>
              <w:jc w:val="center"/>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序号</w:t>
            </w:r>
          </w:p>
        </w:tc>
        <w:tc>
          <w:tcPr>
            <w:tcW w:w="1339" w:type="dxa"/>
            <w:tcBorders>
              <w:left w:val="single" w:color="auto" w:sz="4" w:space="0"/>
            </w:tcBorders>
            <w:noWrap w:val="0"/>
            <w:vAlign w:val="center"/>
          </w:tcPr>
          <w:p>
            <w:pPr>
              <w:pStyle w:val="7"/>
              <w:snapToGrid w:val="0"/>
              <w:spacing w:before="61"/>
              <w:jc w:val="center"/>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评审内容</w:t>
            </w:r>
          </w:p>
        </w:tc>
        <w:tc>
          <w:tcPr>
            <w:tcW w:w="6000" w:type="dxa"/>
            <w:tcBorders>
              <w:top w:val="single" w:color="auto" w:sz="4" w:space="0"/>
              <w:left w:val="single" w:color="auto" w:sz="4" w:space="0"/>
            </w:tcBorders>
            <w:noWrap w:val="0"/>
            <w:vAlign w:val="center"/>
          </w:tcPr>
          <w:p>
            <w:pPr>
              <w:pStyle w:val="7"/>
              <w:snapToGrid w:val="0"/>
              <w:spacing w:before="61"/>
              <w:jc w:val="center"/>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评审标准</w:t>
            </w:r>
          </w:p>
        </w:tc>
        <w:tc>
          <w:tcPr>
            <w:tcW w:w="835" w:type="dxa"/>
            <w:tcBorders>
              <w:top w:val="single" w:color="auto" w:sz="4" w:space="0"/>
              <w:left w:val="single" w:color="auto" w:sz="4" w:space="0"/>
            </w:tcBorders>
            <w:noWrap w:val="0"/>
            <w:vAlign w:val="center"/>
          </w:tcPr>
          <w:p>
            <w:pPr>
              <w:pStyle w:val="7"/>
              <w:snapToGrid w:val="0"/>
              <w:spacing w:before="61"/>
              <w:jc w:val="center"/>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8" w:hRule="atLeast"/>
          <w:jc w:val="center"/>
        </w:trPr>
        <w:tc>
          <w:tcPr>
            <w:tcW w:w="746" w:type="dxa"/>
            <w:tcBorders>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1339" w:type="dxa"/>
            <w:tcBorders>
              <w:lef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投资控制措施</w:t>
            </w:r>
          </w:p>
        </w:tc>
        <w:tc>
          <w:tcPr>
            <w:tcW w:w="6000" w:type="dxa"/>
            <w:tcBorders>
              <w:top w:val="single" w:color="auto" w:sz="4" w:space="0"/>
              <w:left w:val="single" w:color="auto" w:sz="4" w:space="0"/>
            </w:tcBorders>
            <w:noWrap w:val="0"/>
            <w:vAlign w:val="center"/>
          </w:tcPr>
          <w:p>
            <w:pPr>
              <w:jc w:val="left"/>
              <w:rPr>
                <w:rFonts w:hint="eastAsia" w:ascii="宋体" w:hAnsi="宋体"/>
                <w:color w:val="auto"/>
                <w:sz w:val="24"/>
                <w:highlight w:val="none"/>
              </w:rPr>
            </w:pPr>
            <w:r>
              <w:rPr>
                <w:rFonts w:hint="eastAsia" w:ascii="宋体" w:hAnsi="宋体"/>
                <w:color w:val="auto"/>
                <w:sz w:val="24"/>
                <w:highlight w:val="none"/>
              </w:rPr>
              <w:t>要求明白明确、方法合理可行、措施具体、针对性强。</w:t>
            </w:r>
          </w:p>
          <w:p>
            <w:pPr>
              <w:jc w:val="left"/>
              <w:rPr>
                <w:rFonts w:hint="eastAsia" w:ascii="宋体" w:hAnsi="宋体"/>
                <w:color w:val="auto"/>
                <w:sz w:val="24"/>
                <w:highlight w:val="none"/>
              </w:rPr>
            </w:pPr>
            <w:r>
              <w:rPr>
                <w:rFonts w:hint="eastAsia" w:ascii="宋体" w:hAnsi="宋体"/>
                <w:color w:val="auto"/>
                <w:sz w:val="24"/>
                <w:highlight w:val="none"/>
              </w:rPr>
              <w:t>措施为优得1.5分；</w:t>
            </w:r>
          </w:p>
          <w:p>
            <w:pPr>
              <w:jc w:val="left"/>
              <w:rPr>
                <w:rFonts w:hint="eastAsia" w:ascii="宋体" w:hAnsi="宋体"/>
                <w:color w:val="auto"/>
                <w:sz w:val="24"/>
                <w:highlight w:val="none"/>
              </w:rPr>
            </w:pPr>
            <w:r>
              <w:rPr>
                <w:rFonts w:hint="eastAsia" w:ascii="宋体" w:hAnsi="宋体"/>
                <w:color w:val="auto"/>
                <w:sz w:val="24"/>
                <w:highlight w:val="none"/>
              </w:rPr>
              <w:t>措施为良得1分；</w:t>
            </w:r>
          </w:p>
          <w:p>
            <w:pPr>
              <w:jc w:val="left"/>
              <w:rPr>
                <w:rFonts w:hint="eastAsia" w:ascii="宋体" w:hAnsi="宋体"/>
                <w:color w:val="auto"/>
                <w:sz w:val="24"/>
                <w:highlight w:val="none"/>
              </w:rPr>
            </w:pPr>
            <w:r>
              <w:rPr>
                <w:rFonts w:hint="eastAsia" w:ascii="宋体" w:hAnsi="宋体"/>
                <w:color w:val="auto"/>
                <w:sz w:val="24"/>
                <w:highlight w:val="none"/>
              </w:rPr>
              <w:t>措施为一般得</w:t>
            </w:r>
            <w:r>
              <w:rPr>
                <w:rFonts w:hint="eastAsia" w:ascii="宋体" w:hAnsi="宋体"/>
                <w:color w:val="auto"/>
                <w:sz w:val="24"/>
                <w:highlight w:val="none"/>
                <w:lang w:val="en-US" w:eastAsia="zh-CN"/>
              </w:rPr>
              <w:t>0.5</w:t>
            </w:r>
            <w:r>
              <w:rPr>
                <w:rFonts w:hint="eastAsia" w:ascii="宋体" w:hAnsi="宋体"/>
                <w:color w:val="auto"/>
                <w:sz w:val="24"/>
                <w:highlight w:val="none"/>
              </w:rPr>
              <w:t>分；</w:t>
            </w:r>
          </w:p>
          <w:p>
            <w:pPr>
              <w:jc w:val="left"/>
              <w:rPr>
                <w:rFonts w:hint="eastAsia" w:ascii="宋体" w:hAnsi="宋体"/>
                <w:color w:val="auto"/>
                <w:sz w:val="24"/>
                <w:highlight w:val="none"/>
              </w:rPr>
            </w:pPr>
            <w:r>
              <w:rPr>
                <w:rFonts w:hint="eastAsia" w:ascii="宋体" w:hAnsi="宋体"/>
                <w:color w:val="auto"/>
                <w:sz w:val="24"/>
                <w:highlight w:val="none"/>
              </w:rPr>
              <w:t>不提供不得分。</w:t>
            </w:r>
          </w:p>
        </w:tc>
        <w:tc>
          <w:tcPr>
            <w:tcW w:w="835" w:type="dxa"/>
            <w:tcBorders>
              <w:top w:val="single" w:color="auto" w:sz="4" w:space="0"/>
              <w:lef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5" w:hRule="atLeast"/>
          <w:jc w:val="center"/>
        </w:trPr>
        <w:tc>
          <w:tcPr>
            <w:tcW w:w="746"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1339" w:type="dxa"/>
            <w:tcBorders>
              <w:lef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进度控制措施</w:t>
            </w:r>
          </w:p>
        </w:tc>
        <w:tc>
          <w:tcPr>
            <w:tcW w:w="6000" w:type="dxa"/>
            <w:noWrap w:val="0"/>
            <w:vAlign w:val="center"/>
          </w:tcPr>
          <w:p>
            <w:pPr>
              <w:jc w:val="left"/>
              <w:rPr>
                <w:rFonts w:hint="eastAsia" w:ascii="宋体" w:hAnsi="宋体"/>
                <w:color w:val="auto"/>
                <w:sz w:val="24"/>
                <w:highlight w:val="none"/>
              </w:rPr>
            </w:pPr>
            <w:r>
              <w:rPr>
                <w:rFonts w:hint="eastAsia" w:ascii="宋体" w:hAnsi="宋体"/>
                <w:color w:val="auto"/>
                <w:sz w:val="24"/>
                <w:highlight w:val="none"/>
              </w:rPr>
              <w:t>要求明白明确、方法合理可行、措施具体、针对性强。</w:t>
            </w:r>
          </w:p>
          <w:p>
            <w:pPr>
              <w:jc w:val="left"/>
              <w:rPr>
                <w:rFonts w:hint="eastAsia" w:ascii="宋体" w:hAnsi="宋体"/>
                <w:color w:val="auto"/>
                <w:sz w:val="24"/>
                <w:highlight w:val="none"/>
              </w:rPr>
            </w:pPr>
            <w:r>
              <w:rPr>
                <w:rFonts w:hint="eastAsia" w:ascii="宋体" w:hAnsi="宋体"/>
                <w:color w:val="auto"/>
                <w:sz w:val="24"/>
                <w:highlight w:val="none"/>
              </w:rPr>
              <w:t>措施为优得1.5分；</w:t>
            </w:r>
          </w:p>
          <w:p>
            <w:pPr>
              <w:jc w:val="left"/>
              <w:rPr>
                <w:rFonts w:hint="eastAsia" w:ascii="宋体" w:hAnsi="宋体"/>
                <w:color w:val="auto"/>
                <w:sz w:val="24"/>
                <w:highlight w:val="none"/>
              </w:rPr>
            </w:pPr>
            <w:r>
              <w:rPr>
                <w:rFonts w:hint="eastAsia" w:ascii="宋体" w:hAnsi="宋体"/>
                <w:color w:val="auto"/>
                <w:sz w:val="24"/>
                <w:highlight w:val="none"/>
              </w:rPr>
              <w:t>措施为良得1分；</w:t>
            </w:r>
          </w:p>
          <w:p>
            <w:pPr>
              <w:jc w:val="left"/>
              <w:rPr>
                <w:rFonts w:hint="eastAsia" w:ascii="宋体" w:hAnsi="宋体"/>
                <w:color w:val="auto"/>
                <w:sz w:val="24"/>
                <w:highlight w:val="none"/>
              </w:rPr>
            </w:pPr>
            <w:r>
              <w:rPr>
                <w:rFonts w:hint="eastAsia" w:ascii="宋体" w:hAnsi="宋体"/>
                <w:color w:val="auto"/>
                <w:sz w:val="24"/>
                <w:highlight w:val="none"/>
              </w:rPr>
              <w:t>措施为一般得</w:t>
            </w:r>
            <w:r>
              <w:rPr>
                <w:rFonts w:hint="eastAsia" w:ascii="宋体" w:hAnsi="宋体"/>
                <w:color w:val="auto"/>
                <w:sz w:val="24"/>
                <w:highlight w:val="none"/>
                <w:lang w:val="en-US" w:eastAsia="zh-CN"/>
              </w:rPr>
              <w:t>0.5</w:t>
            </w:r>
            <w:r>
              <w:rPr>
                <w:rFonts w:hint="eastAsia" w:ascii="宋体" w:hAnsi="宋体"/>
                <w:color w:val="auto"/>
                <w:sz w:val="24"/>
                <w:highlight w:val="none"/>
              </w:rPr>
              <w:t>分；</w:t>
            </w:r>
          </w:p>
          <w:p>
            <w:pPr>
              <w:jc w:val="left"/>
              <w:rPr>
                <w:rFonts w:hint="eastAsia" w:ascii="宋体" w:hAnsi="宋体"/>
                <w:color w:val="auto"/>
                <w:sz w:val="24"/>
                <w:highlight w:val="none"/>
              </w:rPr>
            </w:pPr>
            <w:r>
              <w:rPr>
                <w:rFonts w:hint="eastAsia" w:ascii="宋体" w:hAnsi="宋体"/>
                <w:color w:val="auto"/>
                <w:sz w:val="24"/>
                <w:highlight w:val="none"/>
              </w:rPr>
              <w:t>不提供不得分。</w:t>
            </w:r>
          </w:p>
        </w:tc>
        <w:tc>
          <w:tcPr>
            <w:tcW w:w="835"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5" w:hRule="atLeast"/>
          <w:jc w:val="center"/>
        </w:trPr>
        <w:tc>
          <w:tcPr>
            <w:tcW w:w="746"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1339" w:type="dxa"/>
            <w:tcBorders>
              <w:lef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质量控制措施</w:t>
            </w:r>
          </w:p>
        </w:tc>
        <w:tc>
          <w:tcPr>
            <w:tcW w:w="6000" w:type="dxa"/>
            <w:noWrap w:val="0"/>
            <w:vAlign w:val="center"/>
          </w:tcPr>
          <w:p>
            <w:pPr>
              <w:jc w:val="left"/>
              <w:rPr>
                <w:rFonts w:hint="eastAsia" w:ascii="宋体" w:hAnsi="宋体"/>
                <w:color w:val="auto"/>
                <w:sz w:val="24"/>
                <w:highlight w:val="none"/>
              </w:rPr>
            </w:pPr>
            <w:r>
              <w:rPr>
                <w:rFonts w:hint="eastAsia" w:ascii="宋体" w:hAnsi="宋体"/>
                <w:color w:val="auto"/>
                <w:sz w:val="24"/>
                <w:highlight w:val="none"/>
              </w:rPr>
              <w:t>要求明白明确、方法合理可行、措施具体、针对性强。</w:t>
            </w:r>
          </w:p>
          <w:p>
            <w:pPr>
              <w:jc w:val="left"/>
              <w:rPr>
                <w:rFonts w:hint="eastAsia" w:ascii="宋体" w:hAnsi="宋体"/>
                <w:color w:val="auto"/>
                <w:sz w:val="24"/>
                <w:highlight w:val="none"/>
              </w:rPr>
            </w:pPr>
            <w:r>
              <w:rPr>
                <w:rFonts w:hint="eastAsia" w:ascii="宋体" w:hAnsi="宋体"/>
                <w:color w:val="auto"/>
                <w:sz w:val="24"/>
                <w:highlight w:val="none"/>
              </w:rPr>
              <w:t>措施为优得1.5分；</w:t>
            </w:r>
          </w:p>
          <w:p>
            <w:pPr>
              <w:jc w:val="left"/>
              <w:rPr>
                <w:rFonts w:hint="eastAsia" w:ascii="宋体" w:hAnsi="宋体"/>
                <w:color w:val="auto"/>
                <w:sz w:val="24"/>
                <w:highlight w:val="none"/>
              </w:rPr>
            </w:pPr>
            <w:r>
              <w:rPr>
                <w:rFonts w:hint="eastAsia" w:ascii="宋体" w:hAnsi="宋体"/>
                <w:color w:val="auto"/>
                <w:sz w:val="24"/>
                <w:highlight w:val="none"/>
              </w:rPr>
              <w:t>措施为良得1分；</w:t>
            </w:r>
          </w:p>
          <w:p>
            <w:pPr>
              <w:jc w:val="left"/>
              <w:rPr>
                <w:rFonts w:hint="eastAsia" w:ascii="宋体" w:hAnsi="宋体"/>
                <w:color w:val="auto"/>
                <w:sz w:val="24"/>
                <w:highlight w:val="none"/>
              </w:rPr>
            </w:pPr>
            <w:r>
              <w:rPr>
                <w:rFonts w:hint="eastAsia" w:ascii="宋体" w:hAnsi="宋体"/>
                <w:color w:val="auto"/>
                <w:sz w:val="24"/>
                <w:highlight w:val="none"/>
              </w:rPr>
              <w:t>措施为一般得</w:t>
            </w:r>
            <w:r>
              <w:rPr>
                <w:rFonts w:hint="eastAsia" w:ascii="宋体" w:hAnsi="宋体"/>
                <w:color w:val="auto"/>
                <w:sz w:val="24"/>
                <w:highlight w:val="none"/>
                <w:lang w:val="en-US" w:eastAsia="zh-CN"/>
              </w:rPr>
              <w:t>0.5</w:t>
            </w:r>
            <w:r>
              <w:rPr>
                <w:rFonts w:hint="eastAsia" w:ascii="宋体" w:hAnsi="宋体"/>
                <w:color w:val="auto"/>
                <w:sz w:val="24"/>
                <w:highlight w:val="none"/>
              </w:rPr>
              <w:t>分；</w:t>
            </w:r>
          </w:p>
          <w:p>
            <w:pPr>
              <w:jc w:val="left"/>
              <w:rPr>
                <w:rFonts w:hint="eastAsia" w:ascii="宋体" w:hAnsi="宋体"/>
                <w:color w:val="auto"/>
                <w:sz w:val="24"/>
                <w:highlight w:val="none"/>
              </w:rPr>
            </w:pPr>
            <w:r>
              <w:rPr>
                <w:rFonts w:hint="eastAsia" w:ascii="宋体" w:hAnsi="宋体"/>
                <w:color w:val="auto"/>
                <w:sz w:val="24"/>
                <w:highlight w:val="none"/>
              </w:rPr>
              <w:t>不提供不得分。</w:t>
            </w:r>
          </w:p>
        </w:tc>
        <w:tc>
          <w:tcPr>
            <w:tcW w:w="835"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5" w:hRule="atLeast"/>
          <w:jc w:val="center"/>
        </w:trPr>
        <w:tc>
          <w:tcPr>
            <w:tcW w:w="746"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4</w:t>
            </w:r>
          </w:p>
        </w:tc>
        <w:tc>
          <w:tcPr>
            <w:tcW w:w="1339" w:type="dxa"/>
            <w:tcBorders>
              <w:lef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安全文明控制措施</w:t>
            </w:r>
          </w:p>
        </w:tc>
        <w:tc>
          <w:tcPr>
            <w:tcW w:w="6000" w:type="dxa"/>
            <w:noWrap w:val="0"/>
            <w:vAlign w:val="center"/>
          </w:tcPr>
          <w:p>
            <w:pPr>
              <w:jc w:val="left"/>
              <w:rPr>
                <w:rFonts w:hint="eastAsia" w:ascii="宋体" w:hAnsi="宋体"/>
                <w:color w:val="auto"/>
                <w:sz w:val="24"/>
                <w:highlight w:val="none"/>
              </w:rPr>
            </w:pPr>
            <w:r>
              <w:rPr>
                <w:rFonts w:hint="eastAsia" w:ascii="宋体" w:hAnsi="宋体"/>
                <w:color w:val="auto"/>
                <w:sz w:val="24"/>
                <w:highlight w:val="none"/>
              </w:rPr>
              <w:t>要求明白明确、方法合理可行、措施具体、针对性强。</w:t>
            </w:r>
          </w:p>
          <w:p>
            <w:pPr>
              <w:jc w:val="left"/>
              <w:rPr>
                <w:rFonts w:hint="eastAsia" w:ascii="宋体" w:hAnsi="宋体"/>
                <w:color w:val="auto"/>
                <w:sz w:val="24"/>
                <w:highlight w:val="none"/>
              </w:rPr>
            </w:pPr>
            <w:r>
              <w:rPr>
                <w:rFonts w:hint="eastAsia" w:ascii="宋体" w:hAnsi="宋体"/>
                <w:color w:val="auto"/>
                <w:sz w:val="24"/>
                <w:highlight w:val="none"/>
              </w:rPr>
              <w:t>措施为优得1.5分；</w:t>
            </w:r>
          </w:p>
          <w:p>
            <w:pPr>
              <w:jc w:val="left"/>
              <w:rPr>
                <w:rFonts w:hint="eastAsia" w:ascii="宋体" w:hAnsi="宋体"/>
                <w:color w:val="auto"/>
                <w:sz w:val="24"/>
                <w:highlight w:val="none"/>
              </w:rPr>
            </w:pPr>
            <w:r>
              <w:rPr>
                <w:rFonts w:hint="eastAsia" w:ascii="宋体" w:hAnsi="宋体"/>
                <w:color w:val="auto"/>
                <w:sz w:val="24"/>
                <w:highlight w:val="none"/>
              </w:rPr>
              <w:t>措施为良得1分；</w:t>
            </w:r>
          </w:p>
          <w:p>
            <w:pPr>
              <w:jc w:val="left"/>
              <w:rPr>
                <w:rFonts w:hint="eastAsia" w:ascii="宋体" w:hAnsi="宋体"/>
                <w:color w:val="auto"/>
                <w:sz w:val="24"/>
                <w:highlight w:val="none"/>
              </w:rPr>
            </w:pPr>
            <w:r>
              <w:rPr>
                <w:rFonts w:hint="eastAsia" w:ascii="宋体" w:hAnsi="宋体"/>
                <w:color w:val="auto"/>
                <w:sz w:val="24"/>
                <w:highlight w:val="none"/>
              </w:rPr>
              <w:t>措施为一般得</w:t>
            </w:r>
            <w:r>
              <w:rPr>
                <w:rFonts w:hint="eastAsia" w:ascii="宋体" w:hAnsi="宋体"/>
                <w:color w:val="auto"/>
                <w:sz w:val="24"/>
                <w:highlight w:val="none"/>
                <w:lang w:val="en-US" w:eastAsia="zh-CN"/>
              </w:rPr>
              <w:t>0.5</w:t>
            </w:r>
            <w:r>
              <w:rPr>
                <w:rFonts w:hint="eastAsia" w:ascii="宋体" w:hAnsi="宋体"/>
                <w:color w:val="auto"/>
                <w:sz w:val="24"/>
                <w:highlight w:val="none"/>
              </w:rPr>
              <w:t>分；</w:t>
            </w:r>
          </w:p>
          <w:p>
            <w:pPr>
              <w:jc w:val="left"/>
              <w:rPr>
                <w:rFonts w:hint="eastAsia" w:ascii="宋体" w:hAnsi="宋体"/>
                <w:color w:val="auto"/>
                <w:sz w:val="24"/>
                <w:highlight w:val="none"/>
              </w:rPr>
            </w:pPr>
            <w:r>
              <w:rPr>
                <w:rFonts w:hint="eastAsia" w:ascii="宋体" w:hAnsi="宋体"/>
                <w:color w:val="auto"/>
                <w:sz w:val="24"/>
                <w:highlight w:val="none"/>
              </w:rPr>
              <w:t>不提供不得分。</w:t>
            </w:r>
          </w:p>
        </w:tc>
        <w:tc>
          <w:tcPr>
            <w:tcW w:w="835"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5" w:hRule="atLeast"/>
          <w:jc w:val="center"/>
        </w:trPr>
        <w:tc>
          <w:tcPr>
            <w:tcW w:w="746"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5</w:t>
            </w:r>
          </w:p>
        </w:tc>
        <w:tc>
          <w:tcPr>
            <w:tcW w:w="1339"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合同管理、信息管理、组织协调</w:t>
            </w:r>
          </w:p>
        </w:tc>
        <w:tc>
          <w:tcPr>
            <w:tcW w:w="6000" w:type="dxa"/>
            <w:noWrap w:val="0"/>
            <w:vAlign w:val="center"/>
          </w:tcPr>
          <w:p>
            <w:pPr>
              <w:jc w:val="left"/>
              <w:rPr>
                <w:rFonts w:hint="eastAsia" w:ascii="宋体" w:hAnsi="宋体"/>
                <w:color w:val="auto"/>
                <w:sz w:val="24"/>
                <w:highlight w:val="none"/>
              </w:rPr>
            </w:pPr>
            <w:r>
              <w:rPr>
                <w:rFonts w:hint="eastAsia" w:ascii="宋体" w:hAnsi="宋体"/>
                <w:color w:val="auto"/>
                <w:sz w:val="24"/>
                <w:highlight w:val="none"/>
              </w:rPr>
              <w:t>要求明白明确、方法合理可行、措施具体、针对性强。</w:t>
            </w:r>
          </w:p>
          <w:p>
            <w:pPr>
              <w:jc w:val="left"/>
              <w:rPr>
                <w:rFonts w:hint="eastAsia" w:ascii="宋体" w:hAnsi="宋体"/>
                <w:color w:val="auto"/>
                <w:sz w:val="24"/>
                <w:highlight w:val="none"/>
              </w:rPr>
            </w:pPr>
            <w:r>
              <w:rPr>
                <w:rFonts w:hint="eastAsia" w:ascii="宋体" w:hAnsi="宋体"/>
                <w:color w:val="auto"/>
                <w:sz w:val="24"/>
                <w:highlight w:val="none"/>
              </w:rPr>
              <w:t>措施为优得1分；</w:t>
            </w:r>
          </w:p>
          <w:p>
            <w:pPr>
              <w:jc w:val="left"/>
              <w:rPr>
                <w:rFonts w:hint="eastAsia" w:ascii="宋体" w:hAnsi="宋体"/>
                <w:color w:val="auto"/>
                <w:sz w:val="24"/>
                <w:highlight w:val="none"/>
              </w:rPr>
            </w:pPr>
            <w:r>
              <w:rPr>
                <w:rFonts w:hint="eastAsia" w:ascii="宋体" w:hAnsi="宋体"/>
                <w:color w:val="auto"/>
                <w:sz w:val="24"/>
                <w:highlight w:val="none"/>
              </w:rPr>
              <w:t>措施为良得</w:t>
            </w:r>
            <w:r>
              <w:rPr>
                <w:rFonts w:hint="eastAsia" w:ascii="宋体" w:hAnsi="宋体"/>
                <w:color w:val="auto"/>
                <w:sz w:val="24"/>
                <w:highlight w:val="none"/>
                <w:lang w:val="en-US" w:eastAsia="zh-CN"/>
              </w:rPr>
              <w:t>0.6</w:t>
            </w:r>
            <w:r>
              <w:rPr>
                <w:rFonts w:hint="eastAsia" w:ascii="宋体" w:hAnsi="宋体"/>
                <w:color w:val="auto"/>
                <w:sz w:val="24"/>
                <w:highlight w:val="none"/>
              </w:rPr>
              <w:t>分；</w:t>
            </w:r>
          </w:p>
          <w:p>
            <w:pPr>
              <w:jc w:val="left"/>
              <w:rPr>
                <w:rFonts w:hint="eastAsia" w:ascii="宋体" w:hAnsi="宋体"/>
                <w:color w:val="auto"/>
                <w:sz w:val="24"/>
                <w:highlight w:val="none"/>
              </w:rPr>
            </w:pPr>
            <w:r>
              <w:rPr>
                <w:rFonts w:hint="eastAsia" w:ascii="宋体" w:hAnsi="宋体"/>
                <w:color w:val="auto"/>
                <w:sz w:val="24"/>
                <w:highlight w:val="none"/>
              </w:rPr>
              <w:t>措施为一般得</w:t>
            </w:r>
            <w:r>
              <w:rPr>
                <w:rFonts w:hint="eastAsia" w:ascii="宋体" w:hAnsi="宋体"/>
                <w:color w:val="auto"/>
                <w:sz w:val="24"/>
                <w:highlight w:val="none"/>
                <w:lang w:val="en-US" w:eastAsia="zh-CN"/>
              </w:rPr>
              <w:t>0.3</w:t>
            </w:r>
            <w:r>
              <w:rPr>
                <w:rFonts w:hint="eastAsia" w:ascii="宋体" w:hAnsi="宋体"/>
                <w:color w:val="auto"/>
                <w:sz w:val="24"/>
                <w:highlight w:val="none"/>
              </w:rPr>
              <w:t>分；</w:t>
            </w:r>
          </w:p>
          <w:p>
            <w:pPr>
              <w:jc w:val="left"/>
              <w:rPr>
                <w:rFonts w:hint="eastAsia" w:ascii="宋体" w:hAnsi="宋体"/>
                <w:color w:val="auto"/>
                <w:sz w:val="24"/>
                <w:highlight w:val="none"/>
              </w:rPr>
            </w:pPr>
            <w:r>
              <w:rPr>
                <w:rFonts w:hint="eastAsia" w:ascii="宋体" w:hAnsi="宋体"/>
                <w:color w:val="auto"/>
                <w:sz w:val="24"/>
                <w:highlight w:val="none"/>
              </w:rPr>
              <w:t>不提供不得分。</w:t>
            </w:r>
          </w:p>
        </w:tc>
        <w:tc>
          <w:tcPr>
            <w:tcW w:w="835"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5" w:hRule="atLeast"/>
          <w:jc w:val="center"/>
        </w:trPr>
        <w:tc>
          <w:tcPr>
            <w:tcW w:w="746"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6</w:t>
            </w:r>
          </w:p>
        </w:tc>
        <w:tc>
          <w:tcPr>
            <w:tcW w:w="1339"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重难点控制措施</w:t>
            </w:r>
          </w:p>
        </w:tc>
        <w:tc>
          <w:tcPr>
            <w:tcW w:w="6000" w:type="dxa"/>
            <w:noWrap w:val="0"/>
            <w:vAlign w:val="center"/>
          </w:tcPr>
          <w:p>
            <w:pPr>
              <w:jc w:val="left"/>
              <w:rPr>
                <w:rFonts w:hint="eastAsia" w:ascii="宋体" w:hAnsi="宋体"/>
                <w:color w:val="auto"/>
                <w:sz w:val="24"/>
                <w:highlight w:val="none"/>
              </w:rPr>
            </w:pPr>
            <w:r>
              <w:rPr>
                <w:rFonts w:hint="eastAsia" w:ascii="宋体" w:hAnsi="宋体"/>
                <w:color w:val="auto"/>
                <w:sz w:val="24"/>
                <w:highlight w:val="none"/>
              </w:rPr>
              <w:t>要求明白明确、方法合理可行、措施具体、针对性强。</w:t>
            </w:r>
          </w:p>
          <w:p>
            <w:pPr>
              <w:jc w:val="left"/>
              <w:rPr>
                <w:rFonts w:hint="eastAsia" w:ascii="宋体" w:hAnsi="宋体"/>
                <w:color w:val="auto"/>
                <w:sz w:val="24"/>
                <w:highlight w:val="none"/>
              </w:rPr>
            </w:pPr>
            <w:r>
              <w:rPr>
                <w:rFonts w:hint="eastAsia" w:ascii="宋体" w:hAnsi="宋体"/>
                <w:color w:val="auto"/>
                <w:sz w:val="24"/>
                <w:highlight w:val="none"/>
              </w:rPr>
              <w:t>措施为优得1.5分；</w:t>
            </w:r>
          </w:p>
          <w:p>
            <w:pPr>
              <w:jc w:val="left"/>
              <w:rPr>
                <w:rFonts w:hint="eastAsia" w:ascii="宋体" w:hAnsi="宋体"/>
                <w:color w:val="auto"/>
                <w:sz w:val="24"/>
                <w:highlight w:val="none"/>
              </w:rPr>
            </w:pPr>
            <w:r>
              <w:rPr>
                <w:rFonts w:hint="eastAsia" w:ascii="宋体" w:hAnsi="宋体"/>
                <w:color w:val="auto"/>
                <w:sz w:val="24"/>
                <w:highlight w:val="none"/>
              </w:rPr>
              <w:t>措施为良得1分；</w:t>
            </w:r>
          </w:p>
          <w:p>
            <w:pPr>
              <w:jc w:val="left"/>
              <w:rPr>
                <w:rFonts w:hint="eastAsia" w:ascii="宋体" w:hAnsi="宋体"/>
                <w:color w:val="auto"/>
                <w:sz w:val="24"/>
                <w:highlight w:val="none"/>
              </w:rPr>
            </w:pPr>
            <w:r>
              <w:rPr>
                <w:rFonts w:hint="eastAsia" w:ascii="宋体" w:hAnsi="宋体"/>
                <w:color w:val="auto"/>
                <w:sz w:val="24"/>
                <w:highlight w:val="none"/>
              </w:rPr>
              <w:t>措施为一般得</w:t>
            </w:r>
            <w:r>
              <w:rPr>
                <w:rFonts w:hint="eastAsia" w:ascii="宋体" w:hAnsi="宋体"/>
                <w:color w:val="auto"/>
                <w:sz w:val="24"/>
                <w:highlight w:val="none"/>
                <w:lang w:val="en-US" w:eastAsia="zh-CN"/>
              </w:rPr>
              <w:t>0.5</w:t>
            </w:r>
            <w:r>
              <w:rPr>
                <w:rFonts w:hint="eastAsia" w:ascii="宋体" w:hAnsi="宋体"/>
                <w:color w:val="auto"/>
                <w:sz w:val="24"/>
                <w:highlight w:val="none"/>
              </w:rPr>
              <w:t>分；</w:t>
            </w:r>
          </w:p>
          <w:p>
            <w:pPr>
              <w:jc w:val="left"/>
              <w:rPr>
                <w:rFonts w:hint="eastAsia" w:ascii="宋体" w:hAnsi="宋体"/>
                <w:color w:val="auto"/>
                <w:sz w:val="24"/>
                <w:highlight w:val="none"/>
              </w:rPr>
            </w:pPr>
            <w:r>
              <w:rPr>
                <w:rFonts w:hint="eastAsia" w:ascii="宋体" w:hAnsi="宋体"/>
                <w:color w:val="auto"/>
                <w:sz w:val="24"/>
                <w:highlight w:val="none"/>
              </w:rPr>
              <w:t>不提供不得分。</w:t>
            </w:r>
          </w:p>
        </w:tc>
        <w:tc>
          <w:tcPr>
            <w:tcW w:w="835"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5" w:hRule="atLeast"/>
          <w:jc w:val="center"/>
        </w:trPr>
        <w:tc>
          <w:tcPr>
            <w:tcW w:w="746"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7</w:t>
            </w:r>
          </w:p>
        </w:tc>
        <w:tc>
          <w:tcPr>
            <w:tcW w:w="1339"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合理化建议</w:t>
            </w:r>
          </w:p>
        </w:tc>
        <w:tc>
          <w:tcPr>
            <w:tcW w:w="6000" w:type="dxa"/>
            <w:noWrap w:val="0"/>
            <w:vAlign w:val="center"/>
          </w:tcPr>
          <w:p>
            <w:pPr>
              <w:jc w:val="left"/>
              <w:rPr>
                <w:rFonts w:hint="eastAsia" w:ascii="宋体" w:hAnsi="宋体"/>
                <w:color w:val="auto"/>
                <w:sz w:val="24"/>
                <w:highlight w:val="none"/>
              </w:rPr>
            </w:pPr>
            <w:r>
              <w:rPr>
                <w:rFonts w:hint="eastAsia" w:ascii="宋体" w:hAnsi="宋体"/>
                <w:color w:val="auto"/>
                <w:sz w:val="24"/>
                <w:highlight w:val="none"/>
              </w:rPr>
              <w:t>要求明白明确、方法合理可行、措施具体、针对性强。</w:t>
            </w:r>
          </w:p>
          <w:p>
            <w:pPr>
              <w:jc w:val="left"/>
              <w:rPr>
                <w:rFonts w:hint="eastAsia" w:ascii="宋体" w:hAnsi="宋体"/>
                <w:color w:val="auto"/>
                <w:sz w:val="24"/>
                <w:highlight w:val="none"/>
              </w:rPr>
            </w:pPr>
            <w:r>
              <w:rPr>
                <w:rFonts w:hint="eastAsia" w:ascii="宋体" w:hAnsi="宋体"/>
                <w:color w:val="auto"/>
                <w:sz w:val="24"/>
                <w:highlight w:val="none"/>
              </w:rPr>
              <w:t>措施为优得1.5分；</w:t>
            </w:r>
          </w:p>
          <w:p>
            <w:pPr>
              <w:jc w:val="left"/>
              <w:rPr>
                <w:rFonts w:hint="eastAsia" w:ascii="宋体" w:hAnsi="宋体"/>
                <w:color w:val="auto"/>
                <w:sz w:val="24"/>
                <w:highlight w:val="none"/>
              </w:rPr>
            </w:pPr>
            <w:r>
              <w:rPr>
                <w:rFonts w:hint="eastAsia" w:ascii="宋体" w:hAnsi="宋体"/>
                <w:color w:val="auto"/>
                <w:sz w:val="24"/>
                <w:highlight w:val="none"/>
              </w:rPr>
              <w:t>措施为良得1分；</w:t>
            </w:r>
          </w:p>
          <w:p>
            <w:pPr>
              <w:jc w:val="left"/>
              <w:rPr>
                <w:rFonts w:hint="eastAsia" w:ascii="宋体" w:hAnsi="宋体"/>
                <w:color w:val="auto"/>
                <w:sz w:val="24"/>
                <w:highlight w:val="none"/>
              </w:rPr>
            </w:pPr>
            <w:r>
              <w:rPr>
                <w:rFonts w:hint="eastAsia" w:ascii="宋体" w:hAnsi="宋体"/>
                <w:color w:val="auto"/>
                <w:sz w:val="24"/>
                <w:highlight w:val="none"/>
              </w:rPr>
              <w:t>措施为一般得</w:t>
            </w:r>
            <w:r>
              <w:rPr>
                <w:rFonts w:hint="eastAsia" w:ascii="宋体" w:hAnsi="宋体"/>
                <w:color w:val="auto"/>
                <w:sz w:val="24"/>
                <w:highlight w:val="none"/>
                <w:lang w:val="en-US" w:eastAsia="zh-CN"/>
              </w:rPr>
              <w:t>0.5</w:t>
            </w:r>
            <w:r>
              <w:rPr>
                <w:rFonts w:hint="eastAsia" w:ascii="宋体" w:hAnsi="宋体"/>
                <w:color w:val="auto"/>
                <w:sz w:val="24"/>
                <w:highlight w:val="none"/>
              </w:rPr>
              <w:t>分；</w:t>
            </w:r>
          </w:p>
          <w:p>
            <w:pPr>
              <w:jc w:val="left"/>
              <w:rPr>
                <w:rFonts w:hint="eastAsia" w:ascii="宋体" w:hAnsi="宋体"/>
                <w:color w:val="auto"/>
                <w:sz w:val="24"/>
                <w:highlight w:val="none"/>
              </w:rPr>
            </w:pPr>
            <w:r>
              <w:rPr>
                <w:rFonts w:hint="eastAsia" w:ascii="宋体" w:hAnsi="宋体"/>
                <w:color w:val="auto"/>
                <w:sz w:val="24"/>
                <w:highlight w:val="none"/>
              </w:rPr>
              <w:t>不提供不得分。</w:t>
            </w:r>
          </w:p>
        </w:tc>
        <w:tc>
          <w:tcPr>
            <w:tcW w:w="835"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8085" w:type="dxa"/>
            <w:gridSpan w:val="3"/>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合计</w:t>
            </w:r>
          </w:p>
        </w:tc>
        <w:tc>
          <w:tcPr>
            <w:tcW w:w="835"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10</w:t>
            </w:r>
          </w:p>
        </w:tc>
      </w:tr>
    </w:tbl>
    <w:p>
      <w:pPr>
        <w:snapToGrid w:val="0"/>
        <w:spacing w:line="360" w:lineRule="auto"/>
        <w:jc w:val="center"/>
        <w:outlineLvl w:val="1"/>
        <w:rPr>
          <w:rFonts w:hint="eastAsia" w:ascii="宋体" w:hAnsi="宋体"/>
          <w:b/>
          <w:bCs/>
          <w:color w:val="auto"/>
          <w:sz w:val="28"/>
          <w:szCs w:val="28"/>
          <w:highlight w:val="none"/>
        </w:rPr>
        <w:sectPr>
          <w:pgSz w:w="11906" w:h="16838"/>
          <w:pgMar w:top="1417" w:right="1417" w:bottom="1417" w:left="1417" w:header="851" w:footer="992" w:gutter="0"/>
          <w:cols w:space="720" w:num="1"/>
          <w:docGrid w:linePitch="312" w:charSpace="0"/>
        </w:sectPr>
      </w:pPr>
    </w:p>
    <w:p>
      <w:pPr>
        <w:snapToGrid w:val="0"/>
        <w:spacing w:line="360" w:lineRule="auto"/>
        <w:jc w:val="both"/>
        <w:outlineLvl w:val="1"/>
        <w:rPr>
          <w:rFonts w:hint="default" w:ascii="宋体" w:hAnsi="宋体" w:eastAsia="宋体"/>
          <w:b/>
          <w:bCs/>
          <w:color w:val="auto"/>
          <w:sz w:val="28"/>
          <w:szCs w:val="28"/>
          <w:highlight w:val="none"/>
          <w:lang w:val="en-US" w:eastAsia="zh-CN"/>
        </w:rPr>
      </w:pPr>
      <w:r>
        <w:rPr>
          <w:rFonts w:hint="eastAsia" w:ascii="宋体" w:hAnsi="宋体"/>
          <w:b/>
          <w:bCs/>
          <w:color w:val="auto"/>
          <w:sz w:val="28"/>
          <w:szCs w:val="28"/>
          <w:highlight w:val="none"/>
          <w:lang w:val="en-US" w:eastAsia="zh-CN"/>
        </w:rPr>
        <w:t>附件三</w:t>
      </w:r>
    </w:p>
    <w:p>
      <w:pPr>
        <w:snapToGrid w:val="0"/>
        <w:spacing w:line="360" w:lineRule="auto"/>
        <w:jc w:val="center"/>
        <w:outlineLvl w:val="1"/>
        <w:rPr>
          <w:rFonts w:hint="eastAsia" w:ascii="宋体" w:hAnsi="宋体"/>
          <w:b/>
          <w:bCs/>
          <w:color w:val="auto"/>
          <w:sz w:val="28"/>
          <w:szCs w:val="28"/>
          <w:highlight w:val="none"/>
        </w:rPr>
      </w:pPr>
      <w:r>
        <w:rPr>
          <w:rFonts w:hint="eastAsia" w:ascii="宋体" w:hAnsi="宋体"/>
          <w:b/>
          <w:bCs/>
          <w:color w:val="auto"/>
          <w:sz w:val="28"/>
          <w:szCs w:val="28"/>
          <w:highlight w:val="none"/>
        </w:rPr>
        <w:t>商务</w:t>
      </w:r>
      <w:r>
        <w:rPr>
          <w:rFonts w:hint="eastAsia" w:ascii="宋体" w:hAnsi="宋体"/>
          <w:b/>
          <w:bCs/>
          <w:color w:val="auto"/>
          <w:sz w:val="28"/>
          <w:szCs w:val="28"/>
          <w:highlight w:val="none"/>
          <w:lang w:val="en-US" w:eastAsia="zh-CN"/>
        </w:rPr>
        <w:t>文件</w:t>
      </w:r>
      <w:r>
        <w:rPr>
          <w:rFonts w:hint="eastAsia" w:ascii="宋体" w:hAnsi="宋体"/>
          <w:b/>
          <w:bCs/>
          <w:color w:val="auto"/>
          <w:sz w:val="28"/>
          <w:szCs w:val="28"/>
          <w:highlight w:val="none"/>
        </w:rPr>
        <w:t>评分表（</w:t>
      </w:r>
      <w:r>
        <w:rPr>
          <w:rFonts w:hint="eastAsia" w:ascii="宋体" w:hAnsi="宋体"/>
          <w:b/>
          <w:bCs/>
          <w:color w:val="auto"/>
          <w:sz w:val="28"/>
          <w:szCs w:val="28"/>
          <w:highlight w:val="none"/>
          <w:lang w:val="en-US" w:eastAsia="zh-CN"/>
        </w:rPr>
        <w:t>30</w:t>
      </w:r>
      <w:r>
        <w:rPr>
          <w:rFonts w:hint="eastAsia" w:ascii="宋体" w:hAnsi="宋体"/>
          <w:b/>
          <w:bCs/>
          <w:color w:val="auto"/>
          <w:sz w:val="28"/>
          <w:szCs w:val="28"/>
          <w:highlight w:val="none"/>
        </w:rPr>
        <w:t>分）</w:t>
      </w:r>
    </w:p>
    <w:tbl>
      <w:tblPr>
        <w:tblStyle w:val="1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07"/>
        <w:gridCol w:w="5929"/>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2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分项内容</w:t>
            </w:r>
          </w:p>
        </w:tc>
        <w:tc>
          <w:tcPr>
            <w:tcW w:w="592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评分说明</w:t>
            </w: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left"/>
              <w:rPr>
                <w:rFonts w:hint="eastAsia" w:ascii="宋体" w:hAnsi="宋体" w:eastAsia="宋体" w:cs="宋体"/>
                <w:color w:val="auto"/>
                <w:sz w:val="24"/>
                <w:szCs w:val="24"/>
                <w:highlight w:val="none"/>
              </w:rPr>
            </w:pPr>
          </w:p>
        </w:tc>
        <w:tc>
          <w:tcPr>
            <w:tcW w:w="12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left"/>
              <w:rPr>
                <w:rFonts w:hint="eastAsia" w:ascii="宋体" w:hAnsi="宋体" w:eastAsia="宋体" w:cs="宋体"/>
                <w:color w:val="auto"/>
                <w:sz w:val="24"/>
                <w:szCs w:val="24"/>
                <w:highlight w:val="none"/>
              </w:rPr>
            </w:pPr>
          </w:p>
        </w:tc>
        <w:tc>
          <w:tcPr>
            <w:tcW w:w="592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left"/>
              <w:rPr>
                <w:rFonts w:hint="eastAsia" w:ascii="宋体" w:hAnsi="宋体" w:eastAsia="宋体" w:cs="宋体"/>
                <w:color w:val="auto"/>
                <w:sz w:val="24"/>
                <w:szCs w:val="24"/>
                <w:highlight w:val="none"/>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2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企业业绩、企业奖项</w:t>
            </w:r>
          </w:p>
          <w:p>
            <w:pPr>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（18分）</w:t>
            </w:r>
          </w:p>
        </w:tc>
        <w:tc>
          <w:tcPr>
            <w:tcW w:w="12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tc>
        <w:tc>
          <w:tcPr>
            <w:tcW w:w="592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numPr>
                <w:ilvl w:val="0"/>
                <w:numId w:val="3"/>
              </w:numPr>
              <w:spacing w:line="360" w:lineRule="auto"/>
              <w:rPr>
                <w:rFonts w:hint="eastAsia"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近</w:t>
            </w:r>
            <w:r>
              <w:rPr>
                <w:rFonts w:hint="eastAsia" w:hAnsi="宋体" w:cs="宋体"/>
                <w:color w:val="auto"/>
                <w:kern w:val="2"/>
                <w:sz w:val="24"/>
                <w:szCs w:val="24"/>
                <w:highlight w:val="none"/>
                <w:u w:val="none"/>
                <w:lang w:val="en-US" w:eastAsia="zh-CN" w:bidi="ar-SA"/>
              </w:rPr>
              <w:t>五</w:t>
            </w:r>
            <w:r>
              <w:rPr>
                <w:rFonts w:hint="eastAsia" w:ascii="宋体" w:hAnsi="宋体" w:eastAsia="宋体" w:cs="宋体"/>
                <w:color w:val="auto"/>
                <w:kern w:val="2"/>
                <w:sz w:val="24"/>
                <w:szCs w:val="24"/>
                <w:highlight w:val="none"/>
                <w:u w:val="none"/>
                <w:lang w:val="en-US" w:eastAsia="zh-CN" w:bidi="ar-SA"/>
              </w:rPr>
              <w:t>年投标人完成过</w:t>
            </w:r>
            <w:r>
              <w:rPr>
                <w:rFonts w:hint="eastAsia" w:hAnsi="宋体" w:eastAsia="宋体" w:cs="宋体"/>
                <w:color w:val="auto"/>
                <w:kern w:val="2"/>
                <w:sz w:val="24"/>
                <w:szCs w:val="24"/>
                <w:highlight w:val="none"/>
                <w:u w:val="none"/>
                <w:lang w:val="en-US" w:eastAsia="zh-CN" w:bidi="ar-SA"/>
              </w:rPr>
              <w:t>工程造价在</w:t>
            </w:r>
            <w:r>
              <w:rPr>
                <w:rFonts w:hint="eastAsia" w:hAnsi="宋体" w:cs="宋体"/>
                <w:color w:val="auto"/>
                <w:kern w:val="2"/>
                <w:sz w:val="24"/>
                <w:szCs w:val="24"/>
                <w:highlight w:val="none"/>
                <w:u w:val="none"/>
                <w:lang w:val="en-US" w:eastAsia="zh-CN" w:bidi="ar-SA"/>
              </w:rPr>
              <w:t>5500万</w:t>
            </w:r>
            <w:r>
              <w:rPr>
                <w:rFonts w:hint="eastAsia" w:hAnsi="宋体" w:eastAsia="宋体" w:cs="宋体"/>
                <w:color w:val="auto"/>
                <w:kern w:val="2"/>
                <w:sz w:val="24"/>
                <w:szCs w:val="24"/>
                <w:highlight w:val="none"/>
                <w:u w:val="none"/>
                <w:lang w:val="en-US" w:eastAsia="zh-CN" w:bidi="ar-SA"/>
              </w:rPr>
              <w:t>元或以上</w:t>
            </w:r>
            <w:r>
              <w:rPr>
                <w:rFonts w:hint="eastAsia" w:ascii="宋体" w:hAnsi="宋体" w:eastAsia="宋体" w:cs="宋体"/>
                <w:color w:val="auto"/>
                <w:kern w:val="2"/>
                <w:sz w:val="24"/>
                <w:szCs w:val="24"/>
                <w:highlight w:val="none"/>
                <w:u w:val="none"/>
                <w:lang w:val="en-US" w:eastAsia="zh-CN" w:bidi="ar-SA"/>
              </w:rPr>
              <w:t>工程房屋建筑类业绩的</w:t>
            </w:r>
            <w:r>
              <w:rPr>
                <w:rFonts w:hint="eastAsia" w:hAnsi="宋体" w:cs="宋体"/>
                <w:color w:val="auto"/>
                <w:kern w:val="2"/>
                <w:sz w:val="24"/>
                <w:szCs w:val="24"/>
                <w:highlight w:val="none"/>
                <w:u w:val="none"/>
                <w:lang w:val="en-US" w:eastAsia="zh-CN" w:bidi="ar-SA"/>
              </w:rPr>
              <w:t>，</w:t>
            </w:r>
            <w:r>
              <w:rPr>
                <w:rFonts w:hint="eastAsia" w:hAnsi="宋体" w:eastAsia="宋体" w:cs="宋体"/>
                <w:color w:val="auto"/>
                <w:kern w:val="2"/>
                <w:sz w:val="24"/>
                <w:szCs w:val="24"/>
                <w:highlight w:val="none"/>
                <w:u w:val="none"/>
                <w:lang w:val="en-US" w:eastAsia="zh-CN" w:bidi="ar-SA"/>
              </w:rPr>
              <w:t>得</w:t>
            </w:r>
            <w:r>
              <w:rPr>
                <w:rFonts w:hint="eastAsia" w:hAnsi="宋体" w:cs="宋体"/>
                <w:color w:val="auto"/>
                <w:kern w:val="2"/>
                <w:sz w:val="24"/>
                <w:szCs w:val="24"/>
                <w:highlight w:val="none"/>
                <w:u w:val="none"/>
                <w:lang w:val="en-US" w:eastAsia="zh-CN" w:bidi="ar-SA"/>
              </w:rPr>
              <w:t>4</w:t>
            </w:r>
            <w:r>
              <w:rPr>
                <w:rFonts w:hint="eastAsia" w:hAnsi="宋体" w:eastAsia="宋体" w:cs="宋体"/>
                <w:color w:val="auto"/>
                <w:kern w:val="2"/>
                <w:sz w:val="24"/>
                <w:szCs w:val="24"/>
                <w:highlight w:val="none"/>
                <w:u w:val="none"/>
                <w:lang w:val="en-US" w:eastAsia="zh-CN" w:bidi="ar-SA"/>
              </w:rPr>
              <w:t>分，最</w:t>
            </w:r>
            <w:r>
              <w:rPr>
                <w:rFonts w:hint="eastAsia" w:hAnsi="宋体" w:cs="宋体"/>
                <w:color w:val="auto"/>
                <w:kern w:val="2"/>
                <w:sz w:val="24"/>
                <w:szCs w:val="24"/>
                <w:highlight w:val="none"/>
                <w:u w:val="none"/>
                <w:lang w:val="en-US" w:eastAsia="zh-CN" w:bidi="ar-SA"/>
              </w:rPr>
              <w:t>高</w:t>
            </w:r>
            <w:r>
              <w:rPr>
                <w:rFonts w:hint="eastAsia" w:hAnsi="宋体" w:eastAsia="宋体" w:cs="宋体"/>
                <w:color w:val="auto"/>
                <w:kern w:val="2"/>
                <w:sz w:val="24"/>
                <w:szCs w:val="24"/>
                <w:highlight w:val="none"/>
                <w:u w:val="none"/>
                <w:lang w:val="en-US" w:eastAsia="zh-CN" w:bidi="ar-SA"/>
              </w:rPr>
              <w:t>得</w:t>
            </w:r>
            <w:r>
              <w:rPr>
                <w:rFonts w:hint="eastAsia" w:hAnsi="宋体" w:cs="宋体"/>
                <w:color w:val="auto"/>
                <w:kern w:val="2"/>
                <w:sz w:val="24"/>
                <w:szCs w:val="24"/>
                <w:highlight w:val="none"/>
                <w:u w:val="none"/>
                <w:lang w:val="en-US" w:eastAsia="zh-CN" w:bidi="ar-SA"/>
              </w:rPr>
              <w:t>12</w:t>
            </w:r>
            <w:r>
              <w:rPr>
                <w:rFonts w:hint="eastAsia" w:hAnsi="宋体" w:eastAsia="宋体" w:cs="宋体"/>
                <w:color w:val="auto"/>
                <w:kern w:val="2"/>
                <w:sz w:val="24"/>
                <w:szCs w:val="24"/>
                <w:highlight w:val="none"/>
                <w:u w:val="none"/>
                <w:lang w:val="en-US" w:eastAsia="zh-CN" w:bidi="ar-SA"/>
              </w:rPr>
              <w:t>分；</w:t>
            </w:r>
          </w:p>
          <w:p>
            <w:pPr>
              <w:pStyle w:val="33"/>
              <w:spacing w:line="360" w:lineRule="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注：近</w:t>
            </w:r>
            <w:r>
              <w:rPr>
                <w:rFonts w:hint="eastAsia" w:hAnsi="宋体" w:cs="宋体"/>
                <w:color w:val="auto"/>
                <w:kern w:val="2"/>
                <w:sz w:val="24"/>
                <w:szCs w:val="24"/>
                <w:highlight w:val="none"/>
                <w:u w:val="none"/>
                <w:lang w:val="en-US" w:eastAsia="zh-CN" w:bidi="ar-SA"/>
              </w:rPr>
              <w:t>5</w:t>
            </w:r>
            <w:r>
              <w:rPr>
                <w:rFonts w:hint="eastAsia" w:ascii="宋体" w:hAnsi="宋体" w:eastAsia="宋体" w:cs="宋体"/>
                <w:color w:val="auto"/>
                <w:kern w:val="2"/>
                <w:sz w:val="24"/>
                <w:szCs w:val="24"/>
                <w:highlight w:val="none"/>
                <w:u w:val="none"/>
                <w:lang w:val="en-US" w:eastAsia="zh-CN" w:bidi="ar-SA"/>
              </w:rPr>
              <w:t>年是指以招标公告发布之日（含）为基准倒算</w:t>
            </w:r>
            <w:r>
              <w:rPr>
                <w:rFonts w:hint="eastAsia" w:hAnsi="宋体" w:cs="宋体"/>
                <w:color w:val="auto"/>
                <w:kern w:val="2"/>
                <w:sz w:val="24"/>
                <w:szCs w:val="24"/>
                <w:highlight w:val="none"/>
                <w:u w:val="none"/>
                <w:lang w:val="en-US" w:eastAsia="zh-CN" w:bidi="ar-SA"/>
              </w:rPr>
              <w:t>5</w:t>
            </w:r>
            <w:r>
              <w:rPr>
                <w:rFonts w:hint="eastAsia" w:ascii="宋体" w:hAnsi="宋体" w:eastAsia="宋体" w:cs="宋体"/>
                <w:color w:val="auto"/>
                <w:kern w:val="2"/>
                <w:sz w:val="24"/>
                <w:szCs w:val="24"/>
                <w:highlight w:val="none"/>
                <w:u w:val="none"/>
                <w:lang w:val="en-US" w:eastAsia="zh-CN" w:bidi="ar-SA"/>
              </w:rPr>
              <w:t>年期间；</w:t>
            </w:r>
            <w:r>
              <w:rPr>
                <w:rFonts w:hint="eastAsia" w:ascii="宋体" w:hAnsi="宋体" w:eastAsia="宋体" w:cs="宋体"/>
                <w:color w:val="auto"/>
                <w:kern w:val="2"/>
                <w:sz w:val="24"/>
                <w:szCs w:val="24"/>
                <w:highlight w:val="none"/>
                <w:u w:val="none"/>
                <w:lang w:val="zh-CN" w:eastAsia="zh-CN" w:bidi="ar-SA"/>
              </w:rPr>
              <w:t>提供监理合同</w:t>
            </w:r>
            <w:r>
              <w:rPr>
                <w:rFonts w:hint="eastAsia" w:ascii="宋体" w:hAnsi="宋体" w:eastAsia="宋体" w:cs="宋体"/>
                <w:color w:val="auto"/>
                <w:kern w:val="2"/>
                <w:sz w:val="24"/>
                <w:szCs w:val="24"/>
                <w:highlight w:val="none"/>
                <w:u w:val="none"/>
                <w:lang w:val="en-US" w:eastAsia="zh-CN" w:bidi="ar-SA"/>
              </w:rPr>
              <w:t>关键页</w:t>
            </w:r>
            <w:r>
              <w:rPr>
                <w:rFonts w:hint="eastAsia" w:ascii="宋体" w:hAnsi="宋体" w:eastAsia="宋体" w:cs="宋体"/>
                <w:color w:val="auto"/>
                <w:kern w:val="2"/>
                <w:sz w:val="24"/>
                <w:szCs w:val="24"/>
                <w:highlight w:val="none"/>
                <w:u w:val="none"/>
                <w:lang w:val="zh-CN" w:eastAsia="zh-CN" w:bidi="ar-SA"/>
              </w:rPr>
              <w:t>、</w:t>
            </w:r>
            <w:r>
              <w:rPr>
                <w:rFonts w:hint="eastAsia" w:ascii="宋体" w:hAnsi="宋体" w:eastAsia="宋体" w:cs="宋体"/>
                <w:color w:val="auto"/>
                <w:kern w:val="2"/>
                <w:sz w:val="24"/>
                <w:szCs w:val="24"/>
                <w:highlight w:val="none"/>
                <w:u w:val="none"/>
                <w:lang w:val="en-US" w:eastAsia="zh-CN" w:bidi="ar-SA"/>
              </w:rPr>
              <w:t>竣工验收报</w:t>
            </w:r>
            <w:r>
              <w:rPr>
                <w:rFonts w:hint="eastAsia" w:ascii="宋体" w:hAnsi="宋体" w:eastAsia="宋体" w:cs="宋体"/>
                <w:color w:val="auto"/>
                <w:kern w:val="2"/>
                <w:sz w:val="24"/>
                <w:szCs w:val="24"/>
                <w:highlight w:val="none"/>
                <w:u w:val="none"/>
                <w:shd w:val="clear"/>
                <w:lang w:val="en-US" w:eastAsia="zh-CN" w:bidi="ar-SA"/>
              </w:rPr>
              <w:t>告</w:t>
            </w:r>
            <w:r>
              <w:rPr>
                <w:rFonts w:hint="eastAsia" w:hAnsi="宋体" w:cs="宋体"/>
                <w:color w:val="auto"/>
                <w:kern w:val="2"/>
                <w:sz w:val="24"/>
                <w:szCs w:val="24"/>
                <w:highlight w:val="none"/>
                <w:u w:val="none"/>
                <w:shd w:val="clear"/>
                <w:lang w:val="en-US" w:eastAsia="zh-CN" w:bidi="ar-SA"/>
              </w:rPr>
              <w:t>（竣工验收备案表）</w:t>
            </w:r>
            <w:r>
              <w:rPr>
                <w:rFonts w:hint="eastAsia" w:ascii="宋体" w:hAnsi="宋体" w:eastAsia="宋体" w:cs="宋体"/>
                <w:color w:val="auto"/>
                <w:kern w:val="2"/>
                <w:sz w:val="24"/>
                <w:szCs w:val="24"/>
                <w:highlight w:val="none"/>
                <w:u w:val="none"/>
                <w:shd w:val="clear"/>
                <w:lang w:val="en-US" w:eastAsia="zh-CN" w:bidi="ar-SA"/>
              </w:rPr>
              <w:t>的复印件</w:t>
            </w:r>
            <w:r>
              <w:rPr>
                <w:rFonts w:hint="eastAsia" w:ascii="宋体" w:hAnsi="宋体" w:eastAsia="宋体" w:cs="宋体"/>
                <w:color w:val="auto"/>
                <w:kern w:val="2"/>
                <w:sz w:val="24"/>
                <w:szCs w:val="24"/>
                <w:highlight w:val="none"/>
                <w:u w:val="none"/>
                <w:shd w:val="clear"/>
                <w:lang w:val="zh-CN" w:eastAsia="zh-CN" w:bidi="ar-SA"/>
              </w:rPr>
              <w:t>并加盖投标人公章，</w:t>
            </w:r>
            <w:r>
              <w:rPr>
                <w:rFonts w:hint="eastAsia" w:ascii="宋体" w:hAnsi="宋体" w:eastAsia="宋体" w:cs="宋体"/>
                <w:color w:val="auto"/>
                <w:kern w:val="2"/>
                <w:sz w:val="24"/>
                <w:szCs w:val="24"/>
                <w:highlight w:val="none"/>
                <w:u w:val="none"/>
                <w:lang w:val="zh-CN" w:eastAsia="zh-CN" w:bidi="ar-SA"/>
              </w:rPr>
              <w:t>时间</w:t>
            </w:r>
            <w:r>
              <w:rPr>
                <w:rFonts w:hint="eastAsia" w:ascii="宋体" w:hAnsi="宋体" w:eastAsia="宋体" w:cs="宋体"/>
                <w:color w:val="auto"/>
                <w:kern w:val="2"/>
                <w:sz w:val="24"/>
                <w:szCs w:val="24"/>
                <w:highlight w:val="none"/>
                <w:u w:val="none"/>
                <w:lang w:val="en-US" w:eastAsia="zh-CN" w:bidi="ar-SA"/>
              </w:rPr>
              <w:t>及工程造价</w:t>
            </w:r>
            <w:r>
              <w:rPr>
                <w:rFonts w:hint="eastAsia" w:ascii="宋体" w:hAnsi="宋体" w:eastAsia="宋体" w:cs="宋体"/>
                <w:color w:val="auto"/>
                <w:kern w:val="2"/>
                <w:sz w:val="24"/>
                <w:szCs w:val="24"/>
                <w:highlight w:val="none"/>
                <w:u w:val="none"/>
                <w:lang w:val="zh-CN" w:eastAsia="zh-CN" w:bidi="ar-SA"/>
              </w:rPr>
              <w:t>以</w:t>
            </w:r>
            <w:r>
              <w:rPr>
                <w:rFonts w:hint="eastAsia" w:ascii="宋体" w:hAnsi="宋体" w:eastAsia="宋体" w:cs="宋体"/>
                <w:color w:val="auto"/>
                <w:kern w:val="2"/>
                <w:sz w:val="24"/>
                <w:szCs w:val="24"/>
                <w:highlight w:val="none"/>
                <w:u w:val="none"/>
                <w:lang w:val="en-US" w:eastAsia="zh-CN" w:bidi="ar-SA"/>
              </w:rPr>
              <w:t>竣工验收报告</w:t>
            </w:r>
            <w:r>
              <w:rPr>
                <w:rFonts w:hint="eastAsia" w:hAnsi="宋体" w:cs="宋体"/>
                <w:color w:val="auto"/>
                <w:kern w:val="2"/>
                <w:sz w:val="24"/>
                <w:szCs w:val="24"/>
                <w:highlight w:val="none"/>
                <w:u w:val="none"/>
                <w:shd w:val="clear"/>
                <w:lang w:val="en-US" w:eastAsia="zh-CN" w:bidi="ar-SA"/>
              </w:rPr>
              <w:t>（竣工验收备案表）</w:t>
            </w:r>
            <w:r>
              <w:rPr>
                <w:rFonts w:hint="eastAsia" w:ascii="宋体" w:hAnsi="宋体" w:eastAsia="宋体" w:cs="宋体"/>
                <w:color w:val="auto"/>
                <w:kern w:val="2"/>
                <w:sz w:val="24"/>
                <w:szCs w:val="24"/>
                <w:highlight w:val="none"/>
                <w:u w:val="none"/>
                <w:lang w:val="en-US" w:eastAsia="zh-CN" w:bidi="ar-SA"/>
              </w:rPr>
              <w:t>上记载</w:t>
            </w:r>
            <w:r>
              <w:rPr>
                <w:rFonts w:hint="eastAsia" w:ascii="宋体" w:hAnsi="宋体" w:eastAsia="宋体" w:cs="宋体"/>
                <w:color w:val="auto"/>
                <w:kern w:val="2"/>
                <w:sz w:val="24"/>
                <w:szCs w:val="24"/>
                <w:highlight w:val="none"/>
                <w:u w:val="none"/>
                <w:lang w:val="zh-CN" w:eastAsia="zh-CN" w:bidi="ar-SA"/>
              </w:rPr>
              <w:t>为准。</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left"/>
              <w:rPr>
                <w:rFonts w:hint="eastAsia" w:ascii="宋体" w:hAnsi="宋体" w:eastAsia="宋体" w:cs="宋体"/>
                <w:color w:val="auto"/>
                <w:sz w:val="24"/>
                <w:szCs w:val="24"/>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企业奖项</w:t>
            </w:r>
          </w:p>
        </w:tc>
        <w:tc>
          <w:tcPr>
            <w:tcW w:w="592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numPr>
                <w:ilvl w:val="0"/>
                <w:numId w:val="0"/>
              </w:numPr>
              <w:spacing w:line="360" w:lineRule="auto"/>
              <w:rPr>
                <w:rFonts w:hAnsi="宋体"/>
                <w:color w:val="auto"/>
                <w:sz w:val="24"/>
                <w:szCs w:val="24"/>
                <w:highlight w:val="none"/>
                <w:u w:val="none"/>
              </w:rPr>
            </w:pPr>
            <w:r>
              <w:rPr>
                <w:rFonts w:hint="eastAsia" w:hAnsi="宋体"/>
                <w:color w:val="auto"/>
                <w:sz w:val="24"/>
                <w:szCs w:val="24"/>
                <w:highlight w:val="none"/>
                <w:u w:val="none"/>
                <w:lang w:val="en-US" w:eastAsia="zh-CN"/>
              </w:rPr>
              <w:t>3、</w:t>
            </w:r>
            <w:r>
              <w:rPr>
                <w:rFonts w:hint="eastAsia" w:ascii="宋体" w:hAnsi="宋体" w:eastAsia="宋体" w:cs="宋体"/>
                <w:color w:val="auto"/>
                <w:kern w:val="2"/>
                <w:sz w:val="24"/>
                <w:szCs w:val="24"/>
                <w:highlight w:val="none"/>
                <w:u w:val="none"/>
                <w:lang w:val="en-US" w:eastAsia="zh-CN" w:bidi="ar-SA"/>
              </w:rPr>
              <w:t>近</w:t>
            </w:r>
            <w:r>
              <w:rPr>
                <w:rFonts w:hint="eastAsia" w:hAnsi="宋体" w:cs="宋体"/>
                <w:color w:val="auto"/>
                <w:kern w:val="2"/>
                <w:sz w:val="24"/>
                <w:szCs w:val="24"/>
                <w:highlight w:val="none"/>
                <w:u w:val="none"/>
                <w:lang w:val="en-US" w:eastAsia="zh-CN" w:bidi="ar-SA"/>
              </w:rPr>
              <w:t>五</w:t>
            </w:r>
            <w:r>
              <w:rPr>
                <w:rFonts w:hint="eastAsia" w:ascii="宋体" w:hAnsi="宋体" w:eastAsia="宋体" w:cs="宋体"/>
                <w:color w:val="auto"/>
                <w:kern w:val="2"/>
                <w:sz w:val="24"/>
                <w:szCs w:val="24"/>
                <w:highlight w:val="none"/>
                <w:u w:val="none"/>
                <w:lang w:val="en-US" w:eastAsia="zh-CN" w:bidi="ar-SA"/>
              </w:rPr>
              <w:t>年</w:t>
            </w:r>
            <w:r>
              <w:rPr>
                <w:rFonts w:hint="eastAsia" w:hAnsi="宋体"/>
                <w:color w:val="auto"/>
                <w:sz w:val="24"/>
                <w:szCs w:val="24"/>
                <w:highlight w:val="none"/>
                <w:u w:val="none"/>
              </w:rPr>
              <w:t>投标人承担过的房屋建筑</w:t>
            </w:r>
            <w:r>
              <w:rPr>
                <w:rFonts w:hint="eastAsia" w:hAnsi="宋体"/>
                <w:color w:val="auto"/>
                <w:sz w:val="24"/>
                <w:szCs w:val="24"/>
                <w:highlight w:val="none"/>
                <w:u w:val="none"/>
                <w:lang w:val="en-US" w:eastAsia="zh-CN"/>
              </w:rPr>
              <w:t>类项目</w:t>
            </w:r>
            <w:r>
              <w:rPr>
                <w:rFonts w:hint="eastAsia" w:hAnsi="宋体"/>
                <w:color w:val="auto"/>
                <w:sz w:val="24"/>
                <w:szCs w:val="24"/>
                <w:highlight w:val="none"/>
                <w:u w:val="none"/>
              </w:rPr>
              <w:t>获得</w:t>
            </w:r>
            <w:r>
              <w:rPr>
                <w:rFonts w:hint="eastAsia" w:hAnsi="宋体"/>
                <w:color w:val="auto"/>
                <w:sz w:val="24"/>
                <w:szCs w:val="24"/>
                <w:highlight w:val="none"/>
                <w:u w:val="none"/>
                <w:lang w:val="en-US" w:eastAsia="zh-CN"/>
              </w:rPr>
              <w:t>市</w:t>
            </w:r>
            <w:r>
              <w:rPr>
                <w:rFonts w:hint="eastAsia" w:hAnsi="宋体"/>
                <w:color w:val="auto"/>
                <w:sz w:val="24"/>
                <w:szCs w:val="24"/>
                <w:highlight w:val="none"/>
                <w:u w:val="none"/>
              </w:rPr>
              <w:t>级</w:t>
            </w:r>
            <w:r>
              <w:rPr>
                <w:rFonts w:hint="eastAsia" w:hAnsi="宋体"/>
                <w:color w:val="auto"/>
                <w:sz w:val="24"/>
                <w:szCs w:val="24"/>
                <w:highlight w:val="none"/>
                <w:u w:val="none"/>
                <w:lang w:eastAsia="zh-CN"/>
              </w:rPr>
              <w:t>（</w:t>
            </w:r>
            <w:r>
              <w:rPr>
                <w:rFonts w:hint="eastAsia" w:hAnsi="宋体"/>
                <w:color w:val="auto"/>
                <w:sz w:val="24"/>
                <w:szCs w:val="24"/>
                <w:highlight w:val="none"/>
                <w:u w:val="none"/>
                <w:lang w:val="en-US" w:eastAsia="zh-CN"/>
              </w:rPr>
              <w:t>含</w:t>
            </w:r>
            <w:r>
              <w:rPr>
                <w:rFonts w:hint="eastAsia" w:hAnsi="宋体"/>
                <w:color w:val="auto"/>
                <w:sz w:val="24"/>
                <w:szCs w:val="24"/>
                <w:highlight w:val="none"/>
                <w:u w:val="none"/>
                <w:lang w:eastAsia="zh-CN"/>
              </w:rPr>
              <w:t>）</w:t>
            </w:r>
            <w:r>
              <w:rPr>
                <w:rFonts w:hint="eastAsia" w:hAnsi="宋体"/>
                <w:color w:val="auto"/>
                <w:sz w:val="24"/>
                <w:szCs w:val="24"/>
                <w:highlight w:val="none"/>
                <w:u w:val="none"/>
                <w:lang w:val="en-US" w:eastAsia="zh-CN"/>
              </w:rPr>
              <w:t>及</w:t>
            </w:r>
            <w:r>
              <w:rPr>
                <w:rFonts w:hint="eastAsia" w:hAnsi="宋体"/>
                <w:color w:val="auto"/>
                <w:sz w:val="24"/>
                <w:szCs w:val="24"/>
                <w:highlight w:val="none"/>
                <w:u w:val="none"/>
              </w:rPr>
              <w:t>以上</w:t>
            </w:r>
            <w:r>
              <w:rPr>
                <w:rFonts w:hint="eastAsia" w:hAnsi="宋体"/>
                <w:color w:val="auto"/>
                <w:sz w:val="24"/>
                <w:szCs w:val="24"/>
                <w:highlight w:val="none"/>
                <w:u w:val="none"/>
                <w:lang w:val="en-US" w:eastAsia="zh-CN"/>
              </w:rPr>
              <w:t>奖项</w:t>
            </w:r>
            <w:r>
              <w:rPr>
                <w:rFonts w:hint="eastAsia" w:hAnsi="宋体"/>
                <w:color w:val="auto"/>
                <w:sz w:val="24"/>
                <w:szCs w:val="24"/>
                <w:highlight w:val="none"/>
                <w:u w:val="none"/>
              </w:rPr>
              <w:t>的</w:t>
            </w:r>
            <w:r>
              <w:rPr>
                <w:rFonts w:hint="eastAsia" w:hAnsi="宋体"/>
                <w:color w:val="auto"/>
                <w:sz w:val="24"/>
                <w:szCs w:val="24"/>
                <w:highlight w:val="none"/>
                <w:u w:val="none"/>
                <w:lang w:eastAsia="zh-CN"/>
              </w:rPr>
              <w:t>，</w:t>
            </w:r>
            <w:r>
              <w:rPr>
                <w:rFonts w:hint="eastAsia" w:hAnsi="宋体"/>
                <w:color w:val="auto"/>
                <w:sz w:val="24"/>
                <w:szCs w:val="24"/>
                <w:highlight w:val="none"/>
                <w:u w:val="none"/>
                <w:lang w:val="en-US" w:eastAsia="zh-CN"/>
              </w:rPr>
              <w:t>每项</w:t>
            </w:r>
            <w:r>
              <w:rPr>
                <w:rFonts w:hint="eastAsia" w:hAnsi="宋体"/>
                <w:color w:val="auto"/>
                <w:sz w:val="24"/>
                <w:szCs w:val="24"/>
                <w:highlight w:val="none"/>
                <w:u w:val="none"/>
              </w:rPr>
              <w:t>得</w:t>
            </w:r>
            <w:r>
              <w:rPr>
                <w:rFonts w:hint="eastAsia" w:hAnsi="宋体"/>
                <w:color w:val="auto"/>
                <w:sz w:val="24"/>
                <w:szCs w:val="24"/>
                <w:highlight w:val="none"/>
                <w:u w:val="none"/>
                <w:lang w:val="en-US" w:eastAsia="zh-CN"/>
              </w:rPr>
              <w:t>3</w:t>
            </w:r>
            <w:r>
              <w:rPr>
                <w:rFonts w:hint="eastAsia" w:hAnsi="宋体"/>
                <w:color w:val="auto"/>
                <w:sz w:val="24"/>
                <w:szCs w:val="24"/>
                <w:highlight w:val="none"/>
                <w:u w:val="none"/>
              </w:rPr>
              <w:t>分</w:t>
            </w:r>
            <w:r>
              <w:rPr>
                <w:rFonts w:hint="eastAsia" w:hAnsi="宋体"/>
                <w:color w:val="auto"/>
                <w:sz w:val="24"/>
                <w:szCs w:val="24"/>
                <w:highlight w:val="none"/>
                <w:u w:val="none"/>
                <w:lang w:eastAsia="zh-CN"/>
              </w:rPr>
              <w:t>，</w:t>
            </w:r>
            <w:r>
              <w:rPr>
                <w:rFonts w:hint="eastAsia" w:hAnsi="宋体"/>
                <w:color w:val="auto"/>
                <w:sz w:val="24"/>
                <w:szCs w:val="24"/>
                <w:highlight w:val="none"/>
                <w:u w:val="none"/>
                <w:lang w:val="en-US" w:eastAsia="zh-CN"/>
              </w:rPr>
              <w:t>最高得6分</w:t>
            </w:r>
            <w:r>
              <w:rPr>
                <w:rFonts w:hint="eastAsia" w:hAnsi="宋体"/>
                <w:color w:val="auto"/>
                <w:sz w:val="24"/>
                <w:szCs w:val="24"/>
                <w:highlight w:val="none"/>
                <w:u w:val="none"/>
              </w:rPr>
              <w:t>；</w:t>
            </w:r>
          </w:p>
          <w:p>
            <w:pPr>
              <w:pStyle w:val="33"/>
              <w:spacing w:line="360" w:lineRule="auto"/>
              <w:rPr>
                <w:rFonts w:hint="eastAsia" w:ascii="宋体" w:hAnsi="宋体" w:eastAsia="宋体" w:cs="宋体"/>
                <w:color w:val="auto"/>
                <w:sz w:val="24"/>
                <w:szCs w:val="24"/>
                <w:highlight w:val="none"/>
                <w:u w:val="none"/>
              </w:rPr>
            </w:pPr>
            <w:r>
              <w:rPr>
                <w:rFonts w:hint="eastAsia" w:hAnsi="宋体"/>
                <w:color w:val="auto"/>
                <w:sz w:val="24"/>
                <w:szCs w:val="24"/>
                <w:highlight w:val="none"/>
                <w:u w:val="none"/>
              </w:rPr>
              <w:t>注：</w:t>
            </w:r>
            <w:r>
              <w:rPr>
                <w:rFonts w:hint="eastAsia" w:ascii="宋体" w:hAnsi="宋体" w:cs="宋体"/>
                <w:color w:val="auto"/>
                <w:sz w:val="24"/>
                <w:szCs w:val="24"/>
                <w:highlight w:val="none"/>
                <w:u w:val="none"/>
              </w:rPr>
              <w:t>近</w:t>
            </w:r>
            <w:r>
              <w:rPr>
                <w:rFonts w:hint="eastAsia" w:hAnsi="宋体" w:cs="宋体"/>
                <w:color w:val="auto"/>
                <w:sz w:val="24"/>
                <w:szCs w:val="24"/>
                <w:highlight w:val="none"/>
                <w:u w:val="none"/>
                <w:lang w:val="en-US" w:eastAsia="zh-CN"/>
              </w:rPr>
              <w:t>5</w:t>
            </w:r>
            <w:r>
              <w:rPr>
                <w:rFonts w:hint="eastAsia" w:ascii="宋体" w:hAnsi="宋体" w:cs="宋体"/>
                <w:color w:val="auto"/>
                <w:sz w:val="24"/>
                <w:szCs w:val="24"/>
                <w:highlight w:val="none"/>
                <w:u w:val="none"/>
              </w:rPr>
              <w:t>年是指以招标公告发布之日（含）为基准倒算</w:t>
            </w:r>
            <w:r>
              <w:rPr>
                <w:rFonts w:hint="eastAsia" w:hAnsi="宋体" w:cs="宋体"/>
                <w:color w:val="auto"/>
                <w:sz w:val="24"/>
                <w:szCs w:val="24"/>
                <w:highlight w:val="none"/>
                <w:u w:val="none"/>
                <w:lang w:val="en-US" w:eastAsia="zh-CN"/>
              </w:rPr>
              <w:t>5</w:t>
            </w:r>
            <w:r>
              <w:rPr>
                <w:rFonts w:hint="eastAsia" w:ascii="宋体" w:hAnsi="宋体" w:cs="宋体"/>
                <w:color w:val="auto"/>
                <w:sz w:val="24"/>
                <w:szCs w:val="24"/>
                <w:highlight w:val="none"/>
                <w:u w:val="none"/>
              </w:rPr>
              <w:t>年期间；同一项目，只针对上述奖项中的一个最高奖项进行计分及加分。</w:t>
            </w:r>
            <w:r>
              <w:rPr>
                <w:rFonts w:hint="eastAsia" w:hAnsi="宋体" w:cs="宋体"/>
                <w:color w:val="auto"/>
                <w:sz w:val="24"/>
                <w:szCs w:val="24"/>
                <w:highlight w:val="none"/>
                <w:u w:val="none"/>
                <w:lang w:val="en-US" w:eastAsia="zh-CN"/>
              </w:rPr>
              <w:t>提供证书复印件加盖公章。</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240" w:type="dxa"/>
            <w:vMerge w:val="restart"/>
            <w:tcBorders>
              <w:top w:val="single" w:color="auto" w:sz="4" w:space="0"/>
              <w:left w:val="single" w:color="auto" w:sz="4" w:space="0"/>
              <w:right w:val="single" w:color="auto" w:sz="4" w:space="0"/>
              <w:tl2br w:val="nil"/>
              <w:tr2bl w:val="nil"/>
            </w:tcBorders>
            <w:shd w:val="clear" w:color="auto" w:fill="auto"/>
            <w:noWrap w:val="0"/>
            <w:vAlign w:val="center"/>
          </w:tcPr>
          <w:p>
            <w:pPr>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项目团队人员</w:t>
            </w:r>
          </w:p>
          <w:p>
            <w:pPr>
              <w:spacing w:beforeLines="0" w:afterLines="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olor w:val="auto"/>
                <w:sz w:val="24"/>
                <w:szCs w:val="24"/>
                <w:highlight w:val="none"/>
              </w:rPr>
              <w:t>项目</w:t>
            </w:r>
            <w:r>
              <w:rPr>
                <w:rFonts w:hint="eastAsia" w:hAnsi="宋体"/>
                <w:color w:val="auto"/>
                <w:sz w:val="24"/>
                <w:szCs w:val="24"/>
                <w:highlight w:val="none"/>
              </w:rPr>
              <w:t>总监理工程师</w:t>
            </w:r>
          </w:p>
        </w:tc>
        <w:tc>
          <w:tcPr>
            <w:tcW w:w="59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pStyle w:val="33"/>
              <w:numPr>
                <w:ilvl w:val="0"/>
                <w:numId w:val="0"/>
              </w:numPr>
              <w:spacing w:line="360" w:lineRule="auto"/>
              <w:rPr>
                <w:rFonts w:hint="eastAsia" w:ascii="宋体" w:hAnsi="宋体" w:eastAsia="宋体" w:cs="宋体"/>
                <w:color w:val="auto"/>
                <w:kern w:val="2"/>
                <w:sz w:val="24"/>
                <w:szCs w:val="24"/>
                <w:highlight w:val="none"/>
                <w:u w:val="none"/>
                <w:lang w:val="en-US" w:eastAsia="zh-CN" w:bidi="ar-SA"/>
              </w:rPr>
            </w:pPr>
            <w:r>
              <w:rPr>
                <w:rFonts w:hint="eastAsia" w:hAnsi="宋体" w:cs="宋体"/>
                <w:color w:val="auto"/>
                <w:kern w:val="2"/>
                <w:sz w:val="24"/>
                <w:szCs w:val="24"/>
                <w:highlight w:val="none"/>
                <w:u w:val="none"/>
                <w:lang w:val="en-US" w:eastAsia="zh-CN" w:bidi="ar-SA"/>
              </w:rPr>
              <w:t>1、</w:t>
            </w:r>
            <w:r>
              <w:rPr>
                <w:rFonts w:hint="eastAsia" w:ascii="宋体" w:hAnsi="宋体" w:eastAsia="宋体" w:cs="宋体"/>
                <w:color w:val="auto"/>
                <w:kern w:val="2"/>
                <w:sz w:val="24"/>
                <w:szCs w:val="24"/>
                <w:highlight w:val="none"/>
                <w:u w:val="none"/>
                <w:lang w:val="en-US" w:eastAsia="zh-CN" w:bidi="ar-SA"/>
              </w:rPr>
              <w:t>拟派项目总监近</w:t>
            </w:r>
            <w:r>
              <w:rPr>
                <w:rFonts w:hint="eastAsia" w:hAnsi="宋体" w:cs="宋体"/>
                <w:color w:val="auto"/>
                <w:kern w:val="2"/>
                <w:sz w:val="24"/>
                <w:szCs w:val="24"/>
                <w:highlight w:val="none"/>
                <w:u w:val="none"/>
                <w:lang w:val="en-US" w:eastAsia="zh-CN" w:bidi="ar-SA"/>
              </w:rPr>
              <w:t>五</w:t>
            </w:r>
            <w:r>
              <w:rPr>
                <w:rFonts w:hint="eastAsia" w:ascii="宋体" w:hAnsi="宋体" w:eastAsia="宋体" w:cs="宋体"/>
                <w:color w:val="auto"/>
                <w:kern w:val="2"/>
                <w:sz w:val="24"/>
                <w:szCs w:val="24"/>
                <w:highlight w:val="none"/>
                <w:u w:val="none"/>
                <w:lang w:val="en-US" w:eastAsia="zh-CN" w:bidi="ar-SA"/>
              </w:rPr>
              <w:t>年作为总监完成过</w:t>
            </w:r>
            <w:r>
              <w:rPr>
                <w:rFonts w:hint="eastAsia" w:hAnsi="宋体" w:eastAsia="宋体" w:cs="宋体"/>
                <w:color w:val="auto"/>
                <w:kern w:val="2"/>
                <w:sz w:val="24"/>
                <w:szCs w:val="24"/>
                <w:highlight w:val="none"/>
                <w:u w:val="none"/>
                <w:lang w:val="en-US" w:eastAsia="zh-CN" w:bidi="ar-SA"/>
              </w:rPr>
              <w:t>工程造价在</w:t>
            </w:r>
            <w:r>
              <w:rPr>
                <w:rFonts w:hint="eastAsia" w:hAnsi="宋体" w:cs="宋体"/>
                <w:color w:val="auto"/>
                <w:kern w:val="2"/>
                <w:sz w:val="24"/>
                <w:szCs w:val="24"/>
                <w:highlight w:val="none"/>
                <w:u w:val="none"/>
                <w:lang w:val="en-US" w:eastAsia="zh-CN" w:bidi="ar-SA"/>
              </w:rPr>
              <w:t>5500万</w:t>
            </w:r>
            <w:r>
              <w:rPr>
                <w:rFonts w:hint="eastAsia" w:hAnsi="宋体" w:eastAsia="宋体" w:cs="宋体"/>
                <w:color w:val="auto"/>
                <w:kern w:val="2"/>
                <w:sz w:val="24"/>
                <w:szCs w:val="24"/>
                <w:highlight w:val="none"/>
                <w:u w:val="none"/>
                <w:lang w:val="en-US" w:eastAsia="zh-CN" w:bidi="ar-SA"/>
              </w:rPr>
              <w:t>元或以上</w:t>
            </w:r>
            <w:r>
              <w:rPr>
                <w:rFonts w:hint="eastAsia" w:ascii="宋体" w:hAnsi="宋体" w:eastAsia="宋体" w:cs="宋体"/>
                <w:color w:val="auto"/>
                <w:kern w:val="2"/>
                <w:sz w:val="24"/>
                <w:szCs w:val="24"/>
                <w:highlight w:val="none"/>
                <w:u w:val="none"/>
                <w:lang w:val="en-US" w:eastAsia="zh-CN" w:bidi="ar-SA"/>
              </w:rPr>
              <w:t>工程房屋建筑类业绩的，</w:t>
            </w:r>
            <w:r>
              <w:rPr>
                <w:rFonts w:hint="eastAsia" w:hAnsi="宋体" w:eastAsia="宋体" w:cs="宋体"/>
                <w:color w:val="auto"/>
                <w:kern w:val="2"/>
                <w:sz w:val="24"/>
                <w:szCs w:val="24"/>
                <w:highlight w:val="none"/>
                <w:u w:val="none"/>
                <w:lang w:val="en-US" w:eastAsia="zh-CN" w:bidi="ar-SA"/>
              </w:rPr>
              <w:t>得</w:t>
            </w:r>
            <w:r>
              <w:rPr>
                <w:rFonts w:hint="eastAsia" w:hAnsi="宋体" w:cs="宋体"/>
                <w:color w:val="auto"/>
                <w:kern w:val="2"/>
                <w:sz w:val="24"/>
                <w:szCs w:val="24"/>
                <w:highlight w:val="none"/>
                <w:u w:val="none"/>
                <w:lang w:val="en-US" w:eastAsia="zh-CN" w:bidi="ar-SA"/>
              </w:rPr>
              <w:t>1</w:t>
            </w:r>
            <w:r>
              <w:rPr>
                <w:rFonts w:hint="eastAsia" w:hAnsi="宋体" w:eastAsia="宋体" w:cs="宋体"/>
                <w:color w:val="auto"/>
                <w:kern w:val="2"/>
                <w:sz w:val="24"/>
                <w:szCs w:val="24"/>
                <w:highlight w:val="none"/>
                <w:u w:val="none"/>
                <w:lang w:val="en-US" w:eastAsia="zh-CN" w:bidi="ar-SA"/>
              </w:rPr>
              <w:t>分，最</w:t>
            </w:r>
            <w:r>
              <w:rPr>
                <w:rFonts w:hint="eastAsia" w:hAnsi="宋体" w:cs="宋体"/>
                <w:color w:val="auto"/>
                <w:kern w:val="2"/>
                <w:sz w:val="24"/>
                <w:szCs w:val="24"/>
                <w:highlight w:val="none"/>
                <w:u w:val="none"/>
                <w:lang w:val="en-US" w:eastAsia="zh-CN" w:bidi="ar-SA"/>
              </w:rPr>
              <w:t>高</w:t>
            </w:r>
            <w:r>
              <w:rPr>
                <w:rFonts w:hint="eastAsia" w:hAnsi="宋体" w:eastAsia="宋体" w:cs="宋体"/>
                <w:color w:val="auto"/>
                <w:kern w:val="2"/>
                <w:sz w:val="24"/>
                <w:szCs w:val="24"/>
                <w:highlight w:val="none"/>
                <w:u w:val="none"/>
                <w:lang w:val="en-US" w:eastAsia="zh-CN" w:bidi="ar-SA"/>
              </w:rPr>
              <w:t>得</w:t>
            </w:r>
            <w:r>
              <w:rPr>
                <w:rFonts w:hint="eastAsia" w:hAnsi="宋体" w:cs="宋体"/>
                <w:color w:val="auto"/>
                <w:kern w:val="2"/>
                <w:sz w:val="24"/>
                <w:szCs w:val="24"/>
                <w:highlight w:val="none"/>
                <w:u w:val="none"/>
                <w:lang w:val="en-US" w:eastAsia="zh-CN" w:bidi="ar-SA"/>
              </w:rPr>
              <w:t>1</w:t>
            </w:r>
            <w:r>
              <w:rPr>
                <w:rFonts w:hint="eastAsia" w:hAnsi="宋体" w:eastAsia="宋体" w:cs="宋体"/>
                <w:color w:val="auto"/>
                <w:kern w:val="2"/>
                <w:sz w:val="24"/>
                <w:szCs w:val="24"/>
                <w:highlight w:val="none"/>
                <w:u w:val="none"/>
                <w:lang w:val="en-US" w:eastAsia="zh-CN" w:bidi="ar-SA"/>
              </w:rPr>
              <w:t>分</w:t>
            </w:r>
            <w:r>
              <w:rPr>
                <w:rFonts w:hint="eastAsia" w:ascii="宋体" w:hAnsi="宋体" w:eastAsia="宋体" w:cs="宋体"/>
                <w:color w:val="auto"/>
                <w:kern w:val="2"/>
                <w:sz w:val="24"/>
                <w:szCs w:val="24"/>
                <w:highlight w:val="none"/>
                <w:u w:val="none"/>
                <w:lang w:val="en-US" w:eastAsia="zh-CN" w:bidi="ar-SA"/>
              </w:rPr>
              <w:t>。</w:t>
            </w:r>
          </w:p>
          <w:p>
            <w:pPr>
              <w:pStyle w:val="33"/>
              <w:spacing w:line="360" w:lineRule="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注：近</w:t>
            </w:r>
            <w:r>
              <w:rPr>
                <w:rFonts w:hint="eastAsia" w:hAnsi="宋体" w:cs="宋体"/>
                <w:color w:val="auto"/>
                <w:kern w:val="2"/>
                <w:sz w:val="24"/>
                <w:szCs w:val="24"/>
                <w:highlight w:val="none"/>
                <w:u w:val="none"/>
                <w:lang w:val="en-US" w:eastAsia="zh-CN" w:bidi="ar-SA"/>
              </w:rPr>
              <w:t>5</w:t>
            </w:r>
            <w:r>
              <w:rPr>
                <w:rFonts w:hint="eastAsia" w:ascii="宋体" w:hAnsi="宋体" w:eastAsia="宋体" w:cs="宋体"/>
                <w:color w:val="auto"/>
                <w:kern w:val="2"/>
                <w:sz w:val="24"/>
                <w:szCs w:val="24"/>
                <w:highlight w:val="none"/>
                <w:u w:val="none"/>
                <w:lang w:val="en-US" w:eastAsia="zh-CN" w:bidi="ar-SA"/>
              </w:rPr>
              <w:t>年是指以招标公告发布之日（含）为基准倒算</w:t>
            </w:r>
            <w:r>
              <w:rPr>
                <w:rFonts w:hint="eastAsia" w:hAnsi="宋体" w:cs="宋体"/>
                <w:color w:val="auto"/>
                <w:kern w:val="2"/>
                <w:sz w:val="24"/>
                <w:szCs w:val="24"/>
                <w:highlight w:val="none"/>
                <w:u w:val="none"/>
                <w:lang w:val="en-US" w:eastAsia="zh-CN" w:bidi="ar-SA"/>
              </w:rPr>
              <w:t>5</w:t>
            </w:r>
            <w:r>
              <w:rPr>
                <w:rFonts w:hint="eastAsia" w:ascii="宋体" w:hAnsi="宋体" w:eastAsia="宋体" w:cs="宋体"/>
                <w:color w:val="auto"/>
                <w:kern w:val="2"/>
                <w:sz w:val="24"/>
                <w:szCs w:val="24"/>
                <w:highlight w:val="none"/>
                <w:u w:val="none"/>
                <w:lang w:val="en-US" w:eastAsia="zh-CN" w:bidi="ar-SA"/>
              </w:rPr>
              <w:t>年期间；</w:t>
            </w:r>
            <w:r>
              <w:rPr>
                <w:rFonts w:hint="eastAsia" w:ascii="宋体" w:hAnsi="宋体" w:eastAsia="宋体" w:cs="宋体"/>
                <w:color w:val="auto"/>
                <w:kern w:val="2"/>
                <w:sz w:val="24"/>
                <w:szCs w:val="24"/>
                <w:highlight w:val="none"/>
                <w:u w:val="none"/>
                <w:lang w:val="zh-CN" w:eastAsia="zh-CN" w:bidi="ar-SA"/>
              </w:rPr>
              <w:t>提供监理合同</w:t>
            </w:r>
            <w:r>
              <w:rPr>
                <w:rFonts w:hint="eastAsia" w:ascii="宋体" w:hAnsi="宋体" w:eastAsia="宋体" w:cs="宋体"/>
                <w:color w:val="auto"/>
                <w:kern w:val="2"/>
                <w:sz w:val="24"/>
                <w:szCs w:val="24"/>
                <w:highlight w:val="none"/>
                <w:u w:val="none"/>
                <w:lang w:val="en-US" w:eastAsia="zh-CN" w:bidi="ar-SA"/>
              </w:rPr>
              <w:t>关键页</w:t>
            </w:r>
            <w:r>
              <w:rPr>
                <w:rFonts w:hint="eastAsia" w:ascii="宋体" w:hAnsi="宋体" w:eastAsia="宋体" w:cs="宋体"/>
                <w:color w:val="auto"/>
                <w:kern w:val="2"/>
                <w:sz w:val="24"/>
                <w:szCs w:val="24"/>
                <w:highlight w:val="none"/>
                <w:u w:val="none"/>
                <w:lang w:val="zh-CN" w:eastAsia="zh-CN" w:bidi="ar-SA"/>
              </w:rPr>
              <w:t>、</w:t>
            </w:r>
            <w:r>
              <w:rPr>
                <w:rFonts w:hint="eastAsia" w:ascii="宋体" w:hAnsi="宋体" w:eastAsia="宋体" w:cs="宋体"/>
                <w:color w:val="auto"/>
                <w:kern w:val="2"/>
                <w:sz w:val="24"/>
                <w:szCs w:val="24"/>
                <w:highlight w:val="none"/>
                <w:u w:val="none"/>
                <w:lang w:val="en-US" w:eastAsia="zh-CN" w:bidi="ar-SA"/>
              </w:rPr>
              <w:t>竣工验收报告的复印件</w:t>
            </w:r>
            <w:r>
              <w:rPr>
                <w:rFonts w:hint="eastAsia" w:ascii="宋体" w:hAnsi="宋体" w:eastAsia="宋体" w:cs="宋体"/>
                <w:color w:val="auto"/>
                <w:kern w:val="2"/>
                <w:sz w:val="24"/>
                <w:szCs w:val="24"/>
                <w:highlight w:val="none"/>
                <w:u w:val="none"/>
                <w:lang w:val="zh-CN" w:eastAsia="zh-CN" w:bidi="ar-SA"/>
              </w:rPr>
              <w:t>并加盖投标人公章，时间</w:t>
            </w:r>
            <w:r>
              <w:rPr>
                <w:rFonts w:hint="eastAsia" w:hAnsi="宋体" w:cs="宋体"/>
                <w:color w:val="auto"/>
                <w:kern w:val="2"/>
                <w:sz w:val="24"/>
                <w:szCs w:val="24"/>
                <w:highlight w:val="none"/>
                <w:u w:val="none"/>
                <w:lang w:val="en-US" w:eastAsia="zh-CN" w:bidi="ar-SA"/>
              </w:rPr>
              <w:t>及</w:t>
            </w:r>
            <w:r>
              <w:rPr>
                <w:rFonts w:hint="eastAsia" w:ascii="宋体" w:hAnsi="宋体" w:eastAsia="宋体" w:cs="宋体"/>
                <w:color w:val="auto"/>
                <w:kern w:val="2"/>
                <w:sz w:val="24"/>
                <w:szCs w:val="24"/>
                <w:highlight w:val="none"/>
                <w:u w:val="none"/>
                <w:lang w:val="en-US" w:eastAsia="zh-CN" w:bidi="ar-SA"/>
              </w:rPr>
              <w:t>工程造价</w:t>
            </w:r>
            <w:r>
              <w:rPr>
                <w:rFonts w:hint="eastAsia" w:ascii="宋体" w:hAnsi="宋体" w:eastAsia="宋体" w:cs="宋体"/>
                <w:color w:val="auto"/>
                <w:kern w:val="2"/>
                <w:sz w:val="24"/>
                <w:szCs w:val="24"/>
                <w:highlight w:val="none"/>
                <w:u w:val="none"/>
                <w:lang w:val="zh-CN" w:eastAsia="zh-CN" w:bidi="ar-SA"/>
              </w:rPr>
              <w:t>以</w:t>
            </w:r>
            <w:r>
              <w:rPr>
                <w:rFonts w:hint="eastAsia" w:ascii="宋体" w:hAnsi="宋体" w:eastAsia="宋体" w:cs="宋体"/>
                <w:color w:val="auto"/>
                <w:kern w:val="2"/>
                <w:sz w:val="24"/>
                <w:szCs w:val="24"/>
                <w:highlight w:val="none"/>
                <w:u w:val="none"/>
                <w:lang w:val="en-US" w:eastAsia="zh-CN" w:bidi="ar-SA"/>
              </w:rPr>
              <w:t>竣工验收报告</w:t>
            </w:r>
            <w:r>
              <w:rPr>
                <w:rFonts w:hint="eastAsia" w:hAnsi="宋体" w:cs="宋体"/>
                <w:color w:val="auto"/>
                <w:kern w:val="2"/>
                <w:sz w:val="24"/>
                <w:szCs w:val="24"/>
                <w:highlight w:val="none"/>
                <w:u w:val="none"/>
                <w:lang w:val="en-US" w:eastAsia="zh-CN" w:bidi="ar-SA"/>
              </w:rPr>
              <w:t>或竣工验收备案表</w:t>
            </w:r>
            <w:r>
              <w:rPr>
                <w:rFonts w:hint="eastAsia" w:ascii="宋体" w:hAnsi="宋体" w:eastAsia="宋体" w:cs="宋体"/>
                <w:color w:val="auto"/>
                <w:kern w:val="2"/>
                <w:sz w:val="24"/>
                <w:szCs w:val="24"/>
                <w:highlight w:val="none"/>
                <w:u w:val="none"/>
                <w:lang w:val="en-US" w:eastAsia="zh-CN" w:bidi="ar-SA"/>
              </w:rPr>
              <w:t>上记载</w:t>
            </w:r>
            <w:r>
              <w:rPr>
                <w:rFonts w:hint="eastAsia" w:ascii="宋体" w:hAnsi="宋体" w:eastAsia="宋体" w:cs="宋体"/>
                <w:color w:val="auto"/>
                <w:kern w:val="2"/>
                <w:sz w:val="24"/>
                <w:szCs w:val="24"/>
                <w:highlight w:val="none"/>
                <w:u w:val="none"/>
                <w:lang w:val="zh-CN" w:eastAsia="zh-CN" w:bidi="ar-SA"/>
              </w:rPr>
              <w:t>为准。</w:t>
            </w:r>
          </w:p>
          <w:p>
            <w:pPr>
              <w:pStyle w:val="33"/>
              <w:spacing w:before="121" w:line="360" w:lineRule="auto"/>
              <w:ind w:right="197"/>
              <w:rPr>
                <w:rFonts w:hint="default" w:ascii="宋体" w:hAnsi="Times New Roman" w:eastAsia="宋体" w:cs="宋体"/>
                <w:color w:val="auto"/>
                <w:sz w:val="24"/>
                <w:szCs w:val="24"/>
                <w:highlight w:val="none"/>
                <w:u w:val="none"/>
                <w:lang w:val="en-US" w:eastAsia="zh-CN"/>
              </w:rPr>
            </w:pPr>
            <w:r>
              <w:rPr>
                <w:rFonts w:hint="eastAsia" w:hAnsi="宋体"/>
                <w:color w:val="auto"/>
                <w:sz w:val="24"/>
                <w:szCs w:val="24"/>
                <w:highlight w:val="none"/>
                <w:u w:val="none"/>
                <w:lang w:val="en-US" w:eastAsia="zh-CN"/>
              </w:rPr>
              <w:t>2、</w:t>
            </w:r>
            <w:r>
              <w:rPr>
                <w:rFonts w:hint="eastAsia" w:hAnsi="宋体"/>
                <w:color w:val="auto"/>
                <w:sz w:val="24"/>
                <w:szCs w:val="24"/>
                <w:highlight w:val="none"/>
                <w:u w:val="none"/>
              </w:rPr>
              <w:t>近</w:t>
            </w:r>
            <w:r>
              <w:rPr>
                <w:rFonts w:hint="eastAsia" w:hAnsi="宋体"/>
                <w:color w:val="auto"/>
                <w:sz w:val="24"/>
                <w:szCs w:val="24"/>
                <w:highlight w:val="none"/>
                <w:u w:val="none"/>
                <w:lang w:val="en-US" w:eastAsia="zh-CN"/>
              </w:rPr>
              <w:t>五</w:t>
            </w:r>
            <w:r>
              <w:rPr>
                <w:rFonts w:hint="eastAsia" w:hAnsi="宋体"/>
                <w:color w:val="auto"/>
                <w:sz w:val="24"/>
                <w:szCs w:val="24"/>
                <w:highlight w:val="none"/>
                <w:u w:val="none"/>
              </w:rPr>
              <w:t>年</w:t>
            </w:r>
            <w:r>
              <w:rPr>
                <w:rFonts w:hint="eastAsia" w:hAnsi="宋体"/>
                <w:color w:val="auto"/>
                <w:sz w:val="24"/>
                <w:szCs w:val="24"/>
                <w:highlight w:val="none"/>
                <w:u w:val="none"/>
                <w:lang w:val="en-US" w:eastAsia="zh-CN"/>
              </w:rPr>
              <w:t>拟派</w:t>
            </w:r>
            <w:r>
              <w:rPr>
                <w:rFonts w:hint="eastAsia" w:hAnsi="宋体"/>
                <w:color w:val="auto"/>
                <w:sz w:val="24"/>
                <w:szCs w:val="24"/>
                <w:highlight w:val="none"/>
                <w:u w:val="none"/>
              </w:rPr>
              <w:t>项目总监</w:t>
            </w:r>
            <w:r>
              <w:rPr>
                <w:rFonts w:hint="eastAsia" w:ascii="宋体" w:hAnsi="宋体" w:eastAsia="宋体" w:cs="宋体"/>
                <w:color w:val="auto"/>
                <w:kern w:val="2"/>
                <w:sz w:val="24"/>
                <w:szCs w:val="24"/>
                <w:highlight w:val="none"/>
                <w:u w:val="none"/>
                <w:lang w:val="en-US" w:eastAsia="zh-CN" w:bidi="ar-SA"/>
              </w:rPr>
              <w:t>作为总监</w:t>
            </w:r>
            <w:r>
              <w:rPr>
                <w:rFonts w:hint="eastAsia" w:hAnsi="宋体"/>
                <w:color w:val="auto"/>
                <w:sz w:val="24"/>
                <w:szCs w:val="24"/>
                <w:highlight w:val="none"/>
                <w:u w:val="none"/>
                <w:lang w:val="en-US" w:eastAsia="zh-CN"/>
              </w:rPr>
              <w:t>承担过</w:t>
            </w:r>
            <w:r>
              <w:rPr>
                <w:rFonts w:hint="eastAsia" w:hAnsi="宋体"/>
                <w:color w:val="auto"/>
                <w:sz w:val="24"/>
                <w:szCs w:val="24"/>
                <w:highlight w:val="none"/>
                <w:u w:val="none"/>
              </w:rPr>
              <w:t>的房屋建筑</w:t>
            </w:r>
            <w:r>
              <w:rPr>
                <w:rFonts w:hint="eastAsia" w:hAnsi="宋体"/>
                <w:color w:val="auto"/>
                <w:sz w:val="24"/>
                <w:szCs w:val="24"/>
                <w:highlight w:val="none"/>
                <w:u w:val="none"/>
                <w:lang w:val="en-US" w:eastAsia="zh-CN"/>
              </w:rPr>
              <w:t>工程</w:t>
            </w:r>
            <w:r>
              <w:rPr>
                <w:rFonts w:hint="eastAsia" w:hAnsi="宋体"/>
                <w:color w:val="auto"/>
                <w:sz w:val="24"/>
                <w:szCs w:val="24"/>
                <w:highlight w:val="none"/>
                <w:u w:val="none"/>
              </w:rPr>
              <w:t>获得过</w:t>
            </w:r>
            <w:r>
              <w:rPr>
                <w:rFonts w:hint="eastAsia" w:hAnsi="宋体"/>
                <w:color w:val="auto"/>
                <w:sz w:val="24"/>
                <w:szCs w:val="24"/>
                <w:highlight w:val="none"/>
                <w:u w:val="none"/>
                <w:lang w:val="en-US" w:eastAsia="zh-CN"/>
              </w:rPr>
              <w:t>市</w:t>
            </w:r>
            <w:r>
              <w:rPr>
                <w:rFonts w:hint="eastAsia" w:hAnsi="宋体"/>
                <w:color w:val="auto"/>
                <w:sz w:val="24"/>
                <w:szCs w:val="24"/>
                <w:highlight w:val="none"/>
                <w:u w:val="none"/>
              </w:rPr>
              <w:t>级</w:t>
            </w:r>
            <w:r>
              <w:rPr>
                <w:rFonts w:hint="eastAsia" w:hAnsi="宋体"/>
                <w:color w:val="auto"/>
                <w:sz w:val="24"/>
                <w:szCs w:val="24"/>
                <w:highlight w:val="none"/>
                <w:u w:val="none"/>
                <w:lang w:eastAsia="zh-CN"/>
              </w:rPr>
              <w:t>（</w:t>
            </w:r>
            <w:r>
              <w:rPr>
                <w:rFonts w:hint="eastAsia" w:hAnsi="宋体"/>
                <w:color w:val="auto"/>
                <w:sz w:val="24"/>
                <w:szCs w:val="24"/>
                <w:highlight w:val="none"/>
                <w:u w:val="none"/>
                <w:lang w:val="en-US" w:eastAsia="zh-CN"/>
              </w:rPr>
              <w:t>含</w:t>
            </w:r>
            <w:r>
              <w:rPr>
                <w:rFonts w:hint="eastAsia" w:hAnsi="宋体"/>
                <w:color w:val="auto"/>
                <w:sz w:val="24"/>
                <w:szCs w:val="24"/>
                <w:highlight w:val="none"/>
                <w:u w:val="none"/>
                <w:lang w:eastAsia="zh-CN"/>
              </w:rPr>
              <w:t>）</w:t>
            </w:r>
            <w:r>
              <w:rPr>
                <w:rFonts w:hint="eastAsia" w:hAnsi="宋体"/>
                <w:color w:val="auto"/>
                <w:sz w:val="24"/>
                <w:szCs w:val="24"/>
                <w:highlight w:val="none"/>
                <w:u w:val="none"/>
              </w:rPr>
              <w:t>及以上</w:t>
            </w:r>
            <w:r>
              <w:rPr>
                <w:rFonts w:hint="eastAsia" w:hAnsi="宋体"/>
                <w:color w:val="auto"/>
                <w:sz w:val="24"/>
                <w:szCs w:val="24"/>
                <w:highlight w:val="none"/>
                <w:u w:val="none"/>
                <w:lang w:val="en-US" w:eastAsia="zh-CN"/>
              </w:rPr>
              <w:t>奖项的，</w:t>
            </w:r>
            <w:r>
              <w:rPr>
                <w:rFonts w:hint="eastAsia" w:hAnsi="宋体"/>
                <w:color w:val="auto"/>
                <w:sz w:val="24"/>
                <w:szCs w:val="24"/>
                <w:highlight w:val="none"/>
                <w:u w:val="none"/>
              </w:rPr>
              <w:t>得</w:t>
            </w:r>
            <w:r>
              <w:rPr>
                <w:rFonts w:hint="eastAsia" w:hAnsi="宋体"/>
                <w:color w:val="auto"/>
                <w:sz w:val="24"/>
                <w:szCs w:val="24"/>
                <w:highlight w:val="none"/>
                <w:u w:val="none"/>
                <w:lang w:val="en-US" w:eastAsia="zh-CN"/>
              </w:rPr>
              <w:t>1</w:t>
            </w:r>
            <w:r>
              <w:rPr>
                <w:rFonts w:hint="eastAsia" w:hAnsi="宋体"/>
                <w:color w:val="auto"/>
                <w:sz w:val="24"/>
                <w:szCs w:val="24"/>
                <w:highlight w:val="none"/>
                <w:u w:val="none"/>
              </w:rPr>
              <w:t>分</w:t>
            </w:r>
            <w:r>
              <w:rPr>
                <w:rFonts w:hint="eastAsia" w:hAnsi="宋体"/>
                <w:color w:val="auto"/>
                <w:sz w:val="24"/>
                <w:szCs w:val="24"/>
                <w:highlight w:val="none"/>
                <w:u w:val="none"/>
                <w:lang w:eastAsia="zh-CN"/>
              </w:rPr>
              <w:t>，</w:t>
            </w:r>
            <w:r>
              <w:rPr>
                <w:rFonts w:hint="eastAsia" w:hAnsi="宋体"/>
                <w:color w:val="auto"/>
                <w:sz w:val="24"/>
                <w:szCs w:val="24"/>
                <w:highlight w:val="none"/>
                <w:u w:val="none"/>
                <w:lang w:val="en-US" w:eastAsia="zh-CN"/>
              </w:rPr>
              <w:t>最高得1分</w:t>
            </w:r>
            <w:r>
              <w:rPr>
                <w:rFonts w:hint="eastAsia" w:hAnsi="宋体"/>
                <w:color w:val="auto"/>
                <w:sz w:val="24"/>
                <w:szCs w:val="24"/>
                <w:highlight w:val="none"/>
                <w:u w:val="none"/>
              </w:rPr>
              <w:t>。</w:t>
            </w:r>
            <w:r>
              <w:rPr>
                <w:color w:val="auto"/>
                <w:sz w:val="24"/>
                <w:szCs w:val="24"/>
                <w:highlight w:val="none"/>
                <w:u w:val="none"/>
              </w:rPr>
              <w:t>注：</w:t>
            </w:r>
            <w:r>
              <w:rPr>
                <w:rFonts w:hint="eastAsia"/>
                <w:color w:val="auto"/>
                <w:sz w:val="24"/>
                <w:szCs w:val="24"/>
                <w:highlight w:val="none"/>
                <w:u w:val="none"/>
              </w:rPr>
              <w:t>近</w:t>
            </w:r>
            <w:r>
              <w:rPr>
                <w:rFonts w:hint="eastAsia"/>
                <w:color w:val="auto"/>
                <w:sz w:val="24"/>
                <w:szCs w:val="24"/>
                <w:highlight w:val="none"/>
                <w:u w:val="none"/>
                <w:lang w:val="en-US" w:eastAsia="zh-CN"/>
              </w:rPr>
              <w:t>5</w:t>
            </w:r>
            <w:r>
              <w:rPr>
                <w:rFonts w:hint="eastAsia"/>
                <w:color w:val="auto"/>
                <w:sz w:val="24"/>
                <w:szCs w:val="24"/>
                <w:highlight w:val="none"/>
                <w:u w:val="none"/>
              </w:rPr>
              <w:t>年是指以招标公告发布之日（含）为基准倒算</w:t>
            </w:r>
            <w:r>
              <w:rPr>
                <w:rFonts w:hint="eastAsia"/>
                <w:color w:val="auto"/>
                <w:sz w:val="24"/>
                <w:szCs w:val="24"/>
                <w:highlight w:val="none"/>
                <w:u w:val="none"/>
                <w:lang w:val="en-US" w:eastAsia="zh-CN"/>
              </w:rPr>
              <w:t>5</w:t>
            </w:r>
            <w:r>
              <w:rPr>
                <w:rFonts w:hint="eastAsia"/>
                <w:color w:val="auto"/>
                <w:sz w:val="24"/>
                <w:szCs w:val="24"/>
                <w:highlight w:val="none"/>
                <w:u w:val="none"/>
              </w:rPr>
              <w:t>年期间；</w:t>
            </w:r>
            <w:r>
              <w:rPr>
                <w:rFonts w:hint="eastAsia"/>
                <w:color w:val="auto"/>
                <w:sz w:val="24"/>
                <w:szCs w:val="24"/>
                <w:highlight w:val="none"/>
                <w:u w:val="none"/>
                <w:lang w:val="en-US" w:eastAsia="zh-CN"/>
              </w:rPr>
              <w:t>获奖须提供获奖证书复印件或获奖公示截图证明复印件</w:t>
            </w:r>
            <w:r>
              <w:rPr>
                <w:rFonts w:hint="eastAsia" w:ascii="宋体" w:hAnsi="Times New Roman" w:eastAsia="宋体" w:cs="宋体"/>
                <w:color w:val="auto"/>
                <w:sz w:val="24"/>
                <w:szCs w:val="24"/>
                <w:highlight w:val="none"/>
                <w:u w:val="none"/>
                <w:lang w:val="en-US" w:eastAsia="zh-CN"/>
              </w:rPr>
              <w:t>加盖公章。如果证书或公示上未能体现总监姓名则提供</w:t>
            </w:r>
            <w:r>
              <w:rPr>
                <w:rFonts w:hint="eastAsia" w:cs="宋体"/>
                <w:color w:val="auto"/>
                <w:sz w:val="24"/>
                <w:szCs w:val="24"/>
                <w:highlight w:val="none"/>
                <w:u w:val="none"/>
                <w:lang w:val="en-US" w:eastAsia="zh-CN"/>
              </w:rPr>
              <w:t>相关</w:t>
            </w:r>
            <w:r>
              <w:rPr>
                <w:rFonts w:hint="eastAsia" w:ascii="宋体" w:hAnsi="Times New Roman" w:eastAsia="宋体" w:cs="宋体"/>
                <w:color w:val="auto"/>
                <w:sz w:val="24"/>
                <w:szCs w:val="24"/>
                <w:highlight w:val="none"/>
                <w:u w:val="none"/>
                <w:lang w:val="en-US" w:eastAsia="zh-CN"/>
              </w:rPr>
              <w:t>合同证明复印件加盖公章。</w:t>
            </w:r>
          </w:p>
          <w:p>
            <w:pPr>
              <w:pStyle w:val="33"/>
              <w:numPr>
                <w:ilvl w:val="0"/>
                <w:numId w:val="0"/>
              </w:numPr>
              <w:spacing w:before="121" w:line="360" w:lineRule="auto"/>
              <w:ind w:right="197" w:rightChars="0"/>
              <w:rPr>
                <w:rFonts w:hint="default" w:hAnsi="宋体"/>
                <w:color w:val="auto"/>
                <w:sz w:val="24"/>
                <w:szCs w:val="24"/>
                <w:highlight w:val="none"/>
                <w:u w:val="none"/>
                <w:lang w:val="en-US" w:eastAsia="zh-CN"/>
              </w:rPr>
            </w:pPr>
            <w:r>
              <w:rPr>
                <w:rFonts w:hint="eastAsia" w:hAnsi="宋体"/>
                <w:color w:val="auto"/>
                <w:sz w:val="24"/>
                <w:szCs w:val="24"/>
                <w:highlight w:val="none"/>
                <w:u w:val="none"/>
                <w:lang w:val="en-US" w:eastAsia="zh-CN"/>
              </w:rPr>
              <w:t>3、项目总监具有工程类专业的</w:t>
            </w:r>
            <w:r>
              <w:rPr>
                <w:rFonts w:hint="eastAsia" w:hAnsi="宋体"/>
                <w:color w:val="auto"/>
                <w:sz w:val="24"/>
                <w:szCs w:val="24"/>
                <w:highlight w:val="none"/>
                <w:u w:val="none"/>
              </w:rPr>
              <w:t>高级工程师或以上职称</w:t>
            </w:r>
            <w:r>
              <w:rPr>
                <w:rFonts w:hint="eastAsia" w:hAnsi="宋体"/>
                <w:color w:val="auto"/>
                <w:sz w:val="24"/>
                <w:szCs w:val="24"/>
                <w:highlight w:val="none"/>
                <w:u w:val="none"/>
                <w:lang w:val="en-US" w:eastAsia="zh-CN"/>
              </w:rPr>
              <w:t>的，</w:t>
            </w:r>
            <w:r>
              <w:rPr>
                <w:rFonts w:hint="eastAsia" w:hAnsi="宋体"/>
                <w:color w:val="auto"/>
                <w:sz w:val="24"/>
                <w:szCs w:val="24"/>
                <w:highlight w:val="none"/>
                <w:lang w:val="en-US" w:eastAsia="zh-CN"/>
              </w:rPr>
              <w:t>得1分；具有</w:t>
            </w:r>
            <w:r>
              <w:rPr>
                <w:rFonts w:hint="eastAsia" w:ascii="宋体" w:hAnsi="宋体" w:eastAsia="宋体" w:cs="宋体"/>
                <w:color w:val="auto"/>
                <w:sz w:val="24"/>
                <w:szCs w:val="24"/>
                <w:highlight w:val="none"/>
                <w:lang w:val="en-US" w:eastAsia="zh-CN"/>
              </w:rPr>
              <w:t>建筑工程专业</w:t>
            </w:r>
            <w:r>
              <w:rPr>
                <w:rFonts w:hint="eastAsia" w:hAnsi="宋体"/>
                <w:color w:val="auto"/>
                <w:sz w:val="24"/>
                <w:szCs w:val="24"/>
                <w:highlight w:val="none"/>
                <w:u w:val="none"/>
                <w:lang w:val="en-US" w:eastAsia="zh-CN"/>
              </w:rPr>
              <w:t>一级建造师注册证书</w:t>
            </w:r>
            <w:r>
              <w:rPr>
                <w:rFonts w:hint="eastAsia" w:hAnsi="宋体"/>
                <w:color w:val="auto"/>
                <w:sz w:val="24"/>
                <w:szCs w:val="24"/>
                <w:highlight w:val="none"/>
                <w:lang w:val="en-US" w:eastAsia="zh-CN"/>
              </w:rPr>
              <w:t>的，得1分；</w:t>
            </w:r>
            <w:r>
              <w:rPr>
                <w:rFonts w:hint="eastAsia" w:ascii="宋体" w:hAnsi="宋体" w:eastAsia="宋体" w:cs="宋体"/>
                <w:color w:val="auto"/>
                <w:sz w:val="24"/>
                <w:szCs w:val="24"/>
                <w:highlight w:val="none"/>
                <w:u w:val="none"/>
                <w:lang w:val="en-US" w:eastAsia="zh-CN"/>
              </w:rPr>
              <w:t>最高得</w:t>
            </w:r>
            <w:r>
              <w:rPr>
                <w:rFonts w:hint="eastAsia"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分</w:t>
            </w:r>
            <w:r>
              <w:rPr>
                <w:rFonts w:hint="eastAsia" w:hAnsi="宋体" w:cs="宋体"/>
                <w:color w:val="auto"/>
                <w:sz w:val="24"/>
                <w:szCs w:val="24"/>
                <w:highlight w:val="none"/>
                <w:u w:val="none"/>
                <w:lang w:val="en-US" w:eastAsia="zh-CN"/>
              </w:rPr>
              <w:t>。</w:t>
            </w:r>
          </w:p>
          <w:p>
            <w:pPr>
              <w:pStyle w:val="33"/>
              <w:numPr>
                <w:ilvl w:val="0"/>
                <w:numId w:val="0"/>
              </w:numPr>
              <w:spacing w:before="121" w:line="360" w:lineRule="auto"/>
              <w:ind w:right="197" w:rightChars="0"/>
              <w:rPr>
                <w:rFonts w:hint="eastAsia" w:ascii="宋体" w:hAnsi="宋体" w:eastAsia="宋体" w:cs="宋体"/>
                <w:color w:val="auto"/>
                <w:sz w:val="24"/>
                <w:szCs w:val="24"/>
                <w:highlight w:val="none"/>
                <w:u w:val="none"/>
              </w:rPr>
            </w:pPr>
            <w:r>
              <w:rPr>
                <w:rFonts w:hint="eastAsia" w:hAnsi="宋体"/>
                <w:color w:val="auto"/>
                <w:sz w:val="24"/>
                <w:szCs w:val="24"/>
                <w:highlight w:val="none"/>
                <w:u w:val="none"/>
                <w:lang w:val="en-US" w:eastAsia="zh-CN"/>
              </w:rPr>
              <w:t>注：提供以上人员符合要求的相关证书复印件及投标截止前近三个月任意一个月的社保缴纳证明复印件（已退休人员提供退休证件或证明及企业聘书）加盖投标人公章。</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240"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olor w:val="auto"/>
                <w:sz w:val="24"/>
                <w:szCs w:val="24"/>
                <w:highlight w:val="none"/>
              </w:rPr>
              <w:t>现场驻地监理机构中监理人员配备（总监理工程师除外）</w:t>
            </w:r>
          </w:p>
        </w:tc>
        <w:tc>
          <w:tcPr>
            <w:tcW w:w="592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1、项目技术负责人：具有工程类专业</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lang w:val="en-US" w:eastAsia="zh-CN"/>
              </w:rPr>
              <w:t>高级工程师或以上职称的，得1分；具有注册安全工程师</w:t>
            </w:r>
            <w:r>
              <w:rPr>
                <w:rFonts w:hint="eastAsia" w:ascii="宋体" w:hAnsi="宋体" w:cs="宋体"/>
                <w:color w:val="auto"/>
                <w:sz w:val="24"/>
                <w:szCs w:val="24"/>
                <w:highlight w:val="none"/>
                <w:u w:val="none"/>
                <w:lang w:val="en-US" w:eastAsia="zh-CN"/>
              </w:rPr>
              <w:t>证书</w:t>
            </w:r>
            <w:r>
              <w:rPr>
                <w:rFonts w:hint="eastAsia" w:ascii="宋体" w:hAnsi="宋体" w:eastAsia="宋体" w:cs="宋体"/>
                <w:color w:val="auto"/>
                <w:sz w:val="24"/>
                <w:szCs w:val="24"/>
                <w:highlight w:val="none"/>
                <w:u w:val="none"/>
                <w:lang w:val="en-US" w:eastAsia="zh-CN"/>
              </w:rPr>
              <w:t>的得1分、具有一级注册消防工程师证</w:t>
            </w:r>
            <w:r>
              <w:rPr>
                <w:rFonts w:hint="eastAsia" w:ascii="宋体" w:hAnsi="宋体" w:cs="宋体"/>
                <w:color w:val="auto"/>
                <w:sz w:val="24"/>
                <w:szCs w:val="24"/>
                <w:highlight w:val="none"/>
                <w:u w:val="none"/>
                <w:lang w:val="en-US" w:eastAsia="zh-CN"/>
              </w:rPr>
              <w:t>书</w:t>
            </w:r>
            <w:r>
              <w:rPr>
                <w:rFonts w:hint="eastAsia" w:ascii="宋体" w:hAnsi="宋体" w:eastAsia="宋体" w:cs="宋体"/>
                <w:color w:val="auto"/>
                <w:sz w:val="24"/>
                <w:szCs w:val="24"/>
                <w:highlight w:val="none"/>
                <w:u w:val="none"/>
                <w:lang w:val="en-US" w:eastAsia="zh-CN"/>
              </w:rPr>
              <w:t>的得1分，最高得3分。</w:t>
            </w:r>
          </w:p>
          <w:p>
            <w:pPr>
              <w:numPr>
                <w:ilvl w:val="0"/>
                <w:numId w:val="0"/>
              </w:numPr>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2、建筑专业负责人：具有工程类</w:t>
            </w:r>
            <w:r>
              <w:rPr>
                <w:rFonts w:hint="eastAsia" w:ascii="宋体" w:hAnsi="宋体" w:cs="宋体"/>
                <w:color w:val="auto"/>
                <w:sz w:val="24"/>
                <w:szCs w:val="24"/>
                <w:highlight w:val="none"/>
                <w:u w:val="none"/>
                <w:lang w:val="en-US" w:eastAsia="zh-CN"/>
              </w:rPr>
              <w:t>专业的</w:t>
            </w:r>
            <w:r>
              <w:rPr>
                <w:rFonts w:hint="eastAsia" w:ascii="宋体" w:hAnsi="宋体" w:eastAsia="宋体" w:cs="宋体"/>
                <w:color w:val="auto"/>
                <w:sz w:val="24"/>
                <w:szCs w:val="24"/>
                <w:highlight w:val="none"/>
                <w:u w:val="none"/>
                <w:lang w:val="en-US" w:eastAsia="zh-CN"/>
              </w:rPr>
              <w:t>高级工程师或以上职称的，得0.5分；具有房屋建筑工程专业注册监理工程师证书的，得0.5分；最高得1分。</w:t>
            </w:r>
          </w:p>
          <w:p>
            <w:pPr>
              <w:numPr>
                <w:ilvl w:val="0"/>
                <w:numId w:val="0"/>
              </w:numPr>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3、结构专业负责人：具有工程类</w:t>
            </w:r>
            <w:r>
              <w:rPr>
                <w:rFonts w:hint="eastAsia" w:ascii="宋体" w:hAnsi="宋体" w:cs="宋体"/>
                <w:color w:val="auto"/>
                <w:sz w:val="24"/>
                <w:szCs w:val="24"/>
                <w:highlight w:val="none"/>
                <w:u w:val="none"/>
                <w:lang w:val="en-US" w:eastAsia="zh-CN"/>
              </w:rPr>
              <w:t>专业的</w:t>
            </w:r>
            <w:r>
              <w:rPr>
                <w:rFonts w:hint="eastAsia" w:ascii="宋体" w:hAnsi="宋体" w:eastAsia="宋体" w:cs="宋体"/>
                <w:color w:val="auto"/>
                <w:sz w:val="24"/>
                <w:szCs w:val="24"/>
                <w:highlight w:val="none"/>
                <w:u w:val="none"/>
                <w:lang w:val="en-US" w:eastAsia="zh-CN"/>
              </w:rPr>
              <w:t>高级工程师或以上职称的，得0.5分；具有注册结构工程师资格证</w:t>
            </w:r>
            <w:r>
              <w:rPr>
                <w:rFonts w:hint="eastAsia" w:ascii="宋体" w:hAnsi="宋体" w:cs="宋体"/>
                <w:color w:val="auto"/>
                <w:sz w:val="24"/>
                <w:szCs w:val="24"/>
                <w:highlight w:val="none"/>
                <w:u w:val="none"/>
                <w:lang w:val="en-US" w:eastAsia="zh-CN"/>
              </w:rPr>
              <w:t>书</w:t>
            </w:r>
            <w:r>
              <w:rPr>
                <w:rFonts w:hint="eastAsia" w:ascii="宋体" w:hAnsi="宋体" w:eastAsia="宋体" w:cs="宋体"/>
                <w:color w:val="auto"/>
                <w:sz w:val="24"/>
                <w:szCs w:val="24"/>
                <w:highlight w:val="none"/>
                <w:u w:val="none"/>
                <w:lang w:val="en-US" w:eastAsia="zh-CN"/>
              </w:rPr>
              <w:t>的，得0.5分，最</w:t>
            </w:r>
            <w:r>
              <w:rPr>
                <w:rFonts w:hint="eastAsia" w:ascii="宋体" w:hAnsi="宋体" w:cs="宋体"/>
                <w:color w:val="auto"/>
                <w:sz w:val="24"/>
                <w:szCs w:val="24"/>
                <w:highlight w:val="none"/>
                <w:u w:val="none"/>
                <w:lang w:val="en-US" w:eastAsia="zh-CN"/>
              </w:rPr>
              <w:t>高</w:t>
            </w:r>
            <w:r>
              <w:rPr>
                <w:rFonts w:hint="eastAsia" w:ascii="宋体" w:hAnsi="宋体" w:eastAsia="宋体" w:cs="宋体"/>
                <w:color w:val="auto"/>
                <w:sz w:val="24"/>
                <w:szCs w:val="24"/>
                <w:highlight w:val="none"/>
                <w:u w:val="none"/>
                <w:lang w:val="en-US" w:eastAsia="zh-CN"/>
              </w:rPr>
              <w:t>得1分。</w:t>
            </w:r>
          </w:p>
          <w:p>
            <w:pPr>
              <w:numPr>
                <w:ilvl w:val="0"/>
                <w:numId w:val="0"/>
              </w:numPr>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4、电力专业负责人：具有工程类专业</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lang w:val="en-US" w:eastAsia="zh-CN"/>
              </w:rPr>
              <w:t>高级工程师或以上职称的，得0.5分；具有电力工程</w:t>
            </w:r>
            <w:r>
              <w:rPr>
                <w:rFonts w:hint="eastAsia" w:ascii="宋体" w:hAnsi="宋体" w:cs="宋体"/>
                <w:color w:val="auto"/>
                <w:sz w:val="24"/>
                <w:szCs w:val="24"/>
                <w:highlight w:val="none"/>
                <w:u w:val="none"/>
                <w:lang w:val="en-US" w:eastAsia="zh-CN"/>
              </w:rPr>
              <w:t>专业</w:t>
            </w:r>
            <w:r>
              <w:rPr>
                <w:rFonts w:hint="eastAsia" w:ascii="宋体" w:hAnsi="宋体" w:eastAsia="宋体" w:cs="宋体"/>
                <w:color w:val="auto"/>
                <w:sz w:val="24"/>
                <w:szCs w:val="24"/>
                <w:highlight w:val="none"/>
                <w:u w:val="none"/>
                <w:lang w:val="en-US" w:eastAsia="zh-CN"/>
              </w:rPr>
              <w:t>注册监理工程师</w:t>
            </w:r>
            <w:r>
              <w:rPr>
                <w:rFonts w:hint="eastAsia" w:ascii="宋体" w:hAnsi="宋体" w:cs="宋体"/>
                <w:color w:val="auto"/>
                <w:sz w:val="24"/>
                <w:szCs w:val="24"/>
                <w:highlight w:val="none"/>
                <w:u w:val="none"/>
                <w:lang w:val="en-US" w:eastAsia="zh-CN"/>
              </w:rPr>
              <w:t>证书</w:t>
            </w:r>
            <w:r>
              <w:rPr>
                <w:rFonts w:hint="eastAsia" w:ascii="宋体" w:hAnsi="宋体" w:eastAsia="宋体" w:cs="宋体"/>
                <w:color w:val="auto"/>
                <w:sz w:val="24"/>
                <w:szCs w:val="24"/>
                <w:highlight w:val="none"/>
                <w:u w:val="none"/>
                <w:lang w:val="en-US" w:eastAsia="zh-CN"/>
              </w:rPr>
              <w:t>的，得0.5分；最高得1分。</w:t>
            </w:r>
          </w:p>
          <w:p>
            <w:pPr>
              <w:numPr>
                <w:ilvl w:val="0"/>
                <w:numId w:val="0"/>
              </w:numPr>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注：提供以上人员符合要求的相关证书复印件及投标截止前近三个月任意一个月在投标单位缴纳的社保证明复印件（已退休人员提供退休证件或证明及企业聘书）加盖</w:t>
            </w:r>
            <w:r>
              <w:rPr>
                <w:rFonts w:hint="eastAsia" w:ascii="宋体" w:hAnsi="宋体" w:eastAsia="宋体" w:cs="宋体"/>
                <w:color w:val="auto"/>
                <w:sz w:val="24"/>
                <w:szCs w:val="24"/>
                <w:highlight w:val="none"/>
                <w:u w:val="none"/>
                <w:lang w:val="zh-CN" w:eastAsia="zh-CN"/>
              </w:rPr>
              <w:t>投标人</w:t>
            </w:r>
            <w:r>
              <w:rPr>
                <w:rFonts w:hint="eastAsia" w:ascii="宋体" w:hAnsi="宋体" w:eastAsia="宋体" w:cs="宋体"/>
                <w:color w:val="auto"/>
                <w:sz w:val="24"/>
                <w:szCs w:val="24"/>
                <w:highlight w:val="none"/>
                <w:u w:val="none"/>
                <w:lang w:val="en-US" w:eastAsia="zh-CN"/>
              </w:rPr>
              <w:t>公章。</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企业信誉（2分）</w:t>
            </w:r>
          </w:p>
        </w:tc>
        <w:tc>
          <w:tcPr>
            <w:tcW w:w="592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4"/>
              </w:numPr>
              <w:adjustRightInd w:val="0"/>
              <w:spacing w:line="360" w:lineRule="auto"/>
              <w:rPr>
                <w:color w:val="auto"/>
                <w:sz w:val="24"/>
                <w:szCs w:val="24"/>
                <w:highlight w:val="none"/>
                <w:u w:val="none"/>
              </w:rPr>
            </w:pPr>
            <w:r>
              <w:rPr>
                <w:rFonts w:hint="eastAsia" w:ascii="宋体" w:hAnsi="宋体" w:cs="宋体"/>
                <w:color w:val="auto"/>
                <w:sz w:val="24"/>
                <w:szCs w:val="24"/>
                <w:highlight w:val="none"/>
                <w:u w:val="none"/>
                <w:lang w:val="en-US" w:eastAsia="zh-CN"/>
              </w:rPr>
              <w:t>投标人上年度</w:t>
            </w:r>
            <w:r>
              <w:rPr>
                <w:rFonts w:hint="eastAsia" w:ascii="宋体" w:hAnsi="宋体" w:cs="宋体"/>
                <w:color w:val="auto"/>
                <w:sz w:val="24"/>
                <w:szCs w:val="24"/>
                <w:highlight w:val="none"/>
                <w:u w:val="none"/>
              </w:rPr>
              <w:t>年获得“纳税信用A级纳税人”</w:t>
            </w:r>
            <w:r>
              <w:rPr>
                <w:rFonts w:hint="eastAsia" w:ascii="宋体" w:hAnsi="宋体" w:cs="宋体"/>
                <w:color w:val="auto"/>
                <w:sz w:val="24"/>
                <w:szCs w:val="24"/>
                <w:highlight w:val="none"/>
                <w:u w:val="none"/>
                <w:lang w:val="en-US" w:eastAsia="zh-CN"/>
              </w:rPr>
              <w:t>的，</w:t>
            </w:r>
            <w:r>
              <w:rPr>
                <w:rFonts w:hint="eastAsia" w:ascii="宋体" w:hAnsi="宋体" w:cs="宋体"/>
                <w:color w:val="auto"/>
                <w:sz w:val="24"/>
                <w:szCs w:val="24"/>
                <w:highlight w:val="none"/>
                <w:u w:val="none"/>
              </w:rPr>
              <w:t>得</w:t>
            </w:r>
            <w:r>
              <w:rPr>
                <w:rFonts w:hint="eastAsia" w:ascii="宋体" w:hAnsi="宋体" w:cs="宋体"/>
                <w:color w:val="auto"/>
                <w:sz w:val="24"/>
                <w:szCs w:val="24"/>
                <w:highlight w:val="none"/>
                <w:u w:val="none"/>
                <w:lang w:val="en-US" w:eastAsia="zh-CN"/>
              </w:rPr>
              <w:t>1</w:t>
            </w:r>
            <w:r>
              <w:rPr>
                <w:rFonts w:hint="eastAsia" w:ascii="宋体" w:hAnsi="宋体" w:cs="宋体"/>
                <w:color w:val="auto"/>
                <w:sz w:val="24"/>
                <w:szCs w:val="24"/>
                <w:highlight w:val="none"/>
                <w:u w:val="none"/>
              </w:rPr>
              <w:t>分</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注：“纳税信用A级纳税人”须提供在“国家税务总局”官网的查询结果网页的打印页或证书复印件（必须涵盖2021年度），纳税人只计投标人自身（注：上级公司、分公司或子公司等的纳税等级不计）。投标人没有提供或者不按以上要求提供证明材料的，不得分。</w:t>
            </w:r>
          </w:p>
          <w:p>
            <w:pPr>
              <w:numPr>
                <w:ilvl w:val="0"/>
                <w:numId w:val="4"/>
              </w:numPr>
              <w:adjustRightInd w:val="0"/>
              <w:spacing w:line="360" w:lineRule="auto"/>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sz w:val="24"/>
                <w:szCs w:val="24"/>
                <w:highlight w:val="none"/>
                <w:u w:val="none"/>
                <w:lang w:eastAsia="zh-CN"/>
              </w:rPr>
              <w:t>投标人履约能力良好，达到国家标准的，并获得相对应的履约能力评价体系认证证书的，</w:t>
            </w:r>
            <w:r>
              <w:rPr>
                <w:rFonts w:hint="eastAsia" w:ascii="宋体" w:hAnsi="宋体" w:cs="宋体"/>
                <w:color w:val="auto"/>
                <w:sz w:val="24"/>
                <w:szCs w:val="24"/>
                <w:highlight w:val="none"/>
                <w:u w:val="none"/>
                <w:lang w:val="en-US" w:eastAsia="zh-CN"/>
              </w:rPr>
              <w:t>得1分；注：证书颁证日期需在招标公告发布日之前，国家认证认可监督管理委员会官方网站www.cnca.gov.cn查询，提供查询截图及证书复印件加盖公章。。</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bl>
    <w:p>
      <w:pPr>
        <w:rPr>
          <w:rFonts w:hint="eastAsia" w:ascii="宋体" w:hAnsi="宋体"/>
          <w:b/>
          <w:bCs/>
          <w:color w:val="auto"/>
          <w:sz w:val="28"/>
          <w:szCs w:val="28"/>
          <w:highlight w:val="none"/>
        </w:rPr>
      </w:pPr>
    </w:p>
    <w:p>
      <w:pPr>
        <w:spacing w:line="360" w:lineRule="auto"/>
        <w:ind w:firstLine="442" w:firstLineChars="200"/>
        <w:rPr>
          <w:rFonts w:hint="eastAsia" w:ascii="仿宋_GB2312" w:hAnsi="仿宋_GB2312" w:eastAsia="宋体" w:cs="仿宋_GB2312"/>
          <w:b/>
          <w:color w:val="auto"/>
          <w:sz w:val="22"/>
          <w:szCs w:val="36"/>
          <w:highlight w:val="none"/>
          <w:lang w:val="en-US" w:eastAsia="zh-CN"/>
        </w:rPr>
      </w:pPr>
      <w:r>
        <w:rPr>
          <w:rFonts w:hint="eastAsia" w:ascii="仿宋_GB2312" w:hAnsi="仿宋_GB2312" w:cs="仿宋_GB2312"/>
          <w:b/>
          <w:color w:val="auto"/>
          <w:sz w:val="22"/>
          <w:szCs w:val="36"/>
          <w:highlight w:val="none"/>
          <w:lang w:val="en-US" w:eastAsia="zh-CN"/>
        </w:rPr>
        <w:t>注：</w:t>
      </w:r>
    </w:p>
    <w:tbl>
      <w:tblPr>
        <w:tblStyle w:val="19"/>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2910"/>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964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auto"/>
                <w:sz w:val="22"/>
                <w:szCs w:val="22"/>
                <w:highlight w:val="none"/>
              </w:rPr>
            </w:pPr>
            <w:r>
              <w:rPr>
                <w:rFonts w:hint="eastAsia" w:ascii="仿宋_GB2312" w:hAnsi="仿宋_GB2312" w:cs="仿宋_GB2312"/>
                <w:b/>
                <w:bCs/>
                <w:color w:val="auto"/>
                <w:sz w:val="22"/>
                <w:szCs w:val="22"/>
                <w:highlight w:val="none"/>
              </w:rPr>
              <w:t>国奖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鲁班奖</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国家优质工程奖</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中国土木工程詹天佑大奖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全国建筑工程装饰奖</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中国安装之星</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中国钢结构金奖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全国市政金杯示范工程</w:t>
            </w:r>
          </w:p>
        </w:tc>
        <w:tc>
          <w:tcPr>
            <w:tcW w:w="663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64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auto"/>
                <w:sz w:val="22"/>
                <w:szCs w:val="22"/>
                <w:highlight w:val="none"/>
              </w:rPr>
            </w:pPr>
            <w:r>
              <w:rPr>
                <w:rFonts w:hint="eastAsia" w:ascii="仿宋_GB2312" w:hAnsi="仿宋_GB2312" w:cs="仿宋_GB2312"/>
                <w:b/>
                <w:bCs/>
                <w:color w:val="auto"/>
                <w:sz w:val="22"/>
                <w:szCs w:val="22"/>
                <w:highlight w:val="none"/>
              </w:rPr>
              <w:t>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长城杯（北京）</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阿房宫奖（陕西）</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钱江杯（浙江）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白玉兰杯（上海）</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西夏杯（宁夏）</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杜鹃花杯（江西）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海河杯（天津）</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飞天奖（甘肃）</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楚天杯（湖北）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巴渝杯（重庆）</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江河源杯（青海）</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芙蓉奖（湖南）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龙江杯（黑龙江）</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天山奖（新疆）</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天府杯（四川）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长白山杯（吉林）</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雪莲杯（西藏）</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云南省优质工程（云南）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世纪杯（辽宁）</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安济杯（河北）</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黄果树杯（贵州）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草原杯（内蒙古）</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中州杯（河南）</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金匠奖（广东）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汾水杯（山西）</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扬子杯（江苏）</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广西优质工程奖（广西）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泰山杯（山东）</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黄山杯（安徽）</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闽江杯（福建）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绿岛杯（海南）</w:t>
            </w: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省建设工程优质奖</w:t>
            </w:r>
          </w:p>
        </w:tc>
        <w:tc>
          <w:tcPr>
            <w:tcW w:w="37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auto"/>
                <w:sz w:val="22"/>
                <w:szCs w:val="22"/>
                <w:highlight w:val="none"/>
              </w:rPr>
            </w:pPr>
            <w:r>
              <w:rPr>
                <w:rFonts w:hint="eastAsia" w:ascii="仿宋_GB2312" w:hAnsi="仿宋_GB2312" w:cs="仿宋_GB2312"/>
                <w:color w:val="auto"/>
                <w:sz w:val="22"/>
                <w:szCs w:val="22"/>
                <w:highlight w:val="none"/>
              </w:rPr>
              <w:t>省市政优良样板工程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auto"/>
                <w:sz w:val="22"/>
                <w:szCs w:val="22"/>
                <w:highlight w:val="none"/>
              </w:rPr>
            </w:pPr>
            <w:r>
              <w:rPr>
                <w:rFonts w:hint="eastAsia" w:ascii="仿宋_GB2312" w:hAnsi="仿宋_GB2312" w:cs="仿宋_GB2312"/>
                <w:b/>
                <w:bCs/>
                <w:color w:val="auto"/>
                <w:sz w:val="22"/>
                <w:szCs w:val="22"/>
                <w:highlight w:val="none"/>
              </w:rPr>
              <w:t>市奖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宋体" w:cs="仿宋_GB2312"/>
                <w:color w:val="auto"/>
                <w:sz w:val="22"/>
                <w:szCs w:val="22"/>
                <w:highlight w:val="none"/>
                <w:lang w:eastAsia="zh-CN"/>
              </w:rPr>
            </w:pPr>
            <w:r>
              <w:rPr>
                <w:rFonts w:hint="eastAsia" w:ascii="仿宋_GB2312" w:hAnsi="仿宋_GB2312" w:cs="仿宋_GB2312"/>
                <w:color w:val="auto"/>
                <w:sz w:val="22"/>
                <w:szCs w:val="22"/>
                <w:highlight w:val="none"/>
              </w:rPr>
              <w:t>市建设工程优质奖</w:t>
            </w:r>
          </w:p>
        </w:tc>
      </w:tr>
    </w:tbl>
    <w:p>
      <w:pPr>
        <w:pStyle w:val="23"/>
        <w:jc w:val="both"/>
        <w:rPr>
          <w:color w:val="auto"/>
          <w:sz w:val="28"/>
          <w:highlight w:val="none"/>
        </w:rPr>
      </w:pPr>
    </w:p>
    <w:p>
      <w:pPr>
        <w:snapToGrid w:val="0"/>
        <w:spacing w:line="360" w:lineRule="auto"/>
        <w:jc w:val="center"/>
        <w:outlineLvl w:val="1"/>
        <w:rPr>
          <w:rFonts w:ascii="宋体" w:hAnsi="宋体" w:cs="宋体"/>
          <w:bCs/>
          <w:color w:val="auto"/>
          <w:kern w:val="0"/>
          <w:sz w:val="24"/>
          <w:szCs w:val="22"/>
          <w:highlight w:val="none"/>
          <w:shd w:val="clear" w:color="auto" w:fill="FFFFFF"/>
          <w:lang w:bidi="zh-CN"/>
        </w:rPr>
        <w:sectPr>
          <w:pgSz w:w="11906" w:h="16838"/>
          <w:pgMar w:top="1440" w:right="1588" w:bottom="1440" w:left="1701" w:header="851" w:footer="992" w:gutter="0"/>
          <w:cols w:space="720" w:num="1"/>
          <w:docGrid w:linePitch="312" w:charSpace="0"/>
        </w:sectPr>
      </w:pPr>
      <w:r>
        <w:rPr>
          <w:rFonts w:hint="eastAsia" w:ascii="仿宋_GB2312" w:hAnsi="仿宋_GB2312" w:cs="仿宋_GB2312"/>
          <w:color w:val="auto"/>
          <w:sz w:val="24"/>
          <w:highlight w:val="none"/>
        </w:rPr>
        <w:t>注：本附表所述奖项如变更奖项名称或用另一奖项取代的，需提供奖项颁发机构的证明文件。</w:t>
      </w:r>
    </w:p>
    <w:p>
      <w:pPr>
        <w:pStyle w:val="7"/>
        <w:spacing w:after="0"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附件四</w:t>
      </w:r>
    </w:p>
    <w:p>
      <w:pPr>
        <w:pStyle w:val="7"/>
        <w:jc w:val="center"/>
        <w:outlineLvl w:val="1"/>
        <w:rPr>
          <w:rFonts w:hint="eastAsia" w:ascii="宋体" w:hAnsi="宋体" w:cs="宋体"/>
          <w:color w:val="auto"/>
          <w:highlight w:val="none"/>
        </w:rPr>
      </w:pPr>
      <w:bookmarkStart w:id="99" w:name="_Toc25879"/>
      <w:bookmarkStart w:id="100" w:name="_Toc6215"/>
      <w:bookmarkStart w:id="101" w:name="_Toc23797"/>
      <w:bookmarkStart w:id="102" w:name="_Toc9702"/>
      <w:bookmarkStart w:id="103" w:name="_Toc10279"/>
      <w:bookmarkStart w:id="104" w:name="_Toc15533"/>
      <w:r>
        <w:rPr>
          <w:rFonts w:hint="eastAsia" w:ascii="宋体" w:hAnsi="宋体" w:cs="宋体"/>
          <w:b/>
          <w:bCs/>
          <w:color w:val="auto"/>
          <w:sz w:val="28"/>
          <w:szCs w:val="28"/>
          <w:highlight w:val="none"/>
        </w:rPr>
        <w:t>报价评分表（</w:t>
      </w:r>
      <w:r>
        <w:rPr>
          <w:rFonts w:hint="eastAsia" w:ascii="宋体" w:hAnsi="宋体" w:cs="宋体"/>
          <w:b/>
          <w:bCs/>
          <w:color w:val="auto"/>
          <w:sz w:val="28"/>
          <w:szCs w:val="28"/>
          <w:highlight w:val="none"/>
          <w:lang w:val="en-US" w:eastAsia="zh-CN"/>
        </w:rPr>
        <w:t>60</w:t>
      </w:r>
      <w:r>
        <w:rPr>
          <w:rFonts w:hint="eastAsia" w:ascii="宋体" w:hAnsi="宋体" w:cs="宋体"/>
          <w:b/>
          <w:bCs/>
          <w:color w:val="auto"/>
          <w:sz w:val="28"/>
          <w:szCs w:val="28"/>
          <w:highlight w:val="none"/>
        </w:rPr>
        <w:t>分）</w:t>
      </w:r>
      <w:bookmarkEnd w:id="99"/>
      <w:bookmarkEnd w:id="100"/>
      <w:bookmarkEnd w:id="101"/>
      <w:bookmarkEnd w:id="102"/>
      <w:bookmarkEnd w:id="103"/>
      <w:bookmarkEnd w:id="104"/>
    </w:p>
    <w:tbl>
      <w:tblPr>
        <w:tblStyle w:val="1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50"/>
        <w:gridCol w:w="6118"/>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83" w:type="dxa"/>
            <w:noWrap w:val="0"/>
            <w:vAlign w:val="center"/>
          </w:tcPr>
          <w:p>
            <w:pPr>
              <w:pStyle w:val="7"/>
              <w:snapToGrid w:val="0"/>
              <w:spacing w:before="61"/>
              <w:jc w:val="center"/>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序号</w:t>
            </w:r>
          </w:p>
        </w:tc>
        <w:tc>
          <w:tcPr>
            <w:tcW w:w="1150" w:type="dxa"/>
            <w:noWrap w:val="0"/>
            <w:vAlign w:val="center"/>
          </w:tcPr>
          <w:p>
            <w:pPr>
              <w:pStyle w:val="7"/>
              <w:snapToGrid w:val="0"/>
              <w:spacing w:before="61"/>
              <w:jc w:val="center"/>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评审</w:t>
            </w:r>
          </w:p>
          <w:p>
            <w:pPr>
              <w:pStyle w:val="7"/>
              <w:snapToGrid w:val="0"/>
              <w:spacing w:before="61"/>
              <w:jc w:val="center"/>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项目</w:t>
            </w:r>
          </w:p>
        </w:tc>
        <w:tc>
          <w:tcPr>
            <w:tcW w:w="6118" w:type="dxa"/>
            <w:noWrap w:val="0"/>
            <w:vAlign w:val="center"/>
          </w:tcPr>
          <w:p>
            <w:pPr>
              <w:pStyle w:val="7"/>
              <w:snapToGrid w:val="0"/>
              <w:spacing w:before="61"/>
              <w:jc w:val="center"/>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评审标准</w:t>
            </w:r>
          </w:p>
        </w:tc>
        <w:tc>
          <w:tcPr>
            <w:tcW w:w="849" w:type="dxa"/>
            <w:noWrap w:val="0"/>
            <w:vAlign w:val="center"/>
          </w:tcPr>
          <w:p>
            <w:pPr>
              <w:pStyle w:val="7"/>
              <w:snapToGrid w:val="0"/>
              <w:spacing w:before="61"/>
              <w:jc w:val="center"/>
              <w:rPr>
                <w:rFonts w:hint="default"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trPr>
        <w:tc>
          <w:tcPr>
            <w:tcW w:w="883" w:type="dxa"/>
            <w:noWrap w:val="0"/>
            <w:vAlign w:val="center"/>
          </w:tcPr>
          <w:p>
            <w:pPr>
              <w:pStyle w:val="7"/>
              <w:snapToGrid w:val="0"/>
              <w:spacing w:before="61"/>
              <w:jc w:val="center"/>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1</w:t>
            </w:r>
          </w:p>
        </w:tc>
        <w:tc>
          <w:tcPr>
            <w:tcW w:w="1150" w:type="dxa"/>
            <w:noWrap w:val="0"/>
            <w:vAlign w:val="center"/>
          </w:tcPr>
          <w:p>
            <w:pPr>
              <w:jc w:val="center"/>
              <w:rPr>
                <w:rFonts w:hint="eastAsia" w:ascii="宋体" w:hAnsi="宋体" w:cs="宋体"/>
                <w:color w:val="auto"/>
                <w:spacing w:val="2"/>
                <w:sz w:val="24"/>
                <w:highlight w:val="none"/>
                <w:lang w:val="en-US" w:eastAsia="zh-CN"/>
              </w:rPr>
            </w:pPr>
            <w:r>
              <w:rPr>
                <w:rStyle w:val="28"/>
                <w:color w:val="auto"/>
                <w:sz w:val="24"/>
                <w:highlight w:val="none"/>
              </w:rPr>
              <w:t>投标报价评分</w:t>
            </w:r>
          </w:p>
        </w:tc>
        <w:tc>
          <w:tcPr>
            <w:tcW w:w="6118" w:type="dxa"/>
            <w:noWrap w:val="0"/>
            <w:vAlign w:val="top"/>
          </w:tcPr>
          <w:p>
            <w:pPr>
              <w:rPr>
                <w:rStyle w:val="28"/>
                <w:rFonts w:hint="eastAsia" w:ascii="宋体"/>
                <w:color w:val="auto"/>
                <w:sz w:val="24"/>
                <w:highlight w:val="none"/>
              </w:rPr>
            </w:pPr>
            <w:r>
              <w:rPr>
                <w:rStyle w:val="28"/>
                <w:rFonts w:hint="eastAsia" w:ascii="宋体"/>
                <w:color w:val="auto"/>
                <w:sz w:val="24"/>
                <w:highlight w:val="none"/>
              </w:rPr>
              <w:t>投监理费报价（用百分比表示），投标单位投标报价只报投标</w:t>
            </w:r>
            <w:r>
              <w:rPr>
                <w:rStyle w:val="28"/>
                <w:rFonts w:hint="eastAsia" w:ascii="宋体"/>
                <w:color w:val="auto"/>
                <w:sz w:val="24"/>
                <w:highlight w:val="none"/>
                <w:lang w:val="en-US" w:eastAsia="zh-CN"/>
              </w:rPr>
              <w:t>监理费浮动系数</w:t>
            </w:r>
            <w:r>
              <w:rPr>
                <w:rStyle w:val="28"/>
                <w:rFonts w:hint="eastAsia" w:ascii="宋体"/>
                <w:color w:val="auto"/>
                <w:sz w:val="24"/>
                <w:highlight w:val="none"/>
              </w:rPr>
              <w:t>，</w:t>
            </w:r>
            <w:r>
              <w:rPr>
                <w:rStyle w:val="28"/>
                <w:rFonts w:hint="eastAsia" w:ascii="宋体"/>
                <w:color w:val="auto"/>
                <w:sz w:val="24"/>
                <w:highlight w:val="none"/>
                <w:lang w:val="en-US" w:eastAsia="zh-CN"/>
              </w:rPr>
              <w:t>监理费浮动系数</w:t>
            </w:r>
            <w:r>
              <w:rPr>
                <w:rStyle w:val="28"/>
                <w:rFonts w:hint="eastAsia" w:ascii="宋体"/>
                <w:color w:val="auto"/>
                <w:sz w:val="24"/>
                <w:highlight w:val="none"/>
              </w:rPr>
              <w:t>范围为（-</w:t>
            </w:r>
            <w:r>
              <w:rPr>
                <w:rStyle w:val="28"/>
                <w:rFonts w:hint="eastAsia" w:ascii="宋体"/>
                <w:color w:val="auto"/>
                <w:sz w:val="24"/>
                <w:highlight w:val="none"/>
                <w:lang w:val="en-US" w:eastAsia="zh-CN"/>
              </w:rPr>
              <w:t>15</w:t>
            </w:r>
            <w:r>
              <w:rPr>
                <w:rStyle w:val="28"/>
                <w:rFonts w:hint="eastAsia" w:ascii="宋体"/>
                <w:color w:val="auto"/>
                <w:sz w:val="24"/>
                <w:highlight w:val="none"/>
              </w:rPr>
              <w:t>%≤a≤0%），超出此报价范围的投标报价将</w:t>
            </w:r>
            <w:r>
              <w:rPr>
                <w:rStyle w:val="28"/>
                <w:rFonts w:hint="eastAsia" w:ascii="宋体"/>
                <w:color w:val="auto"/>
                <w:sz w:val="24"/>
                <w:highlight w:val="none"/>
                <w:lang w:val="en-US" w:eastAsia="zh-CN"/>
              </w:rPr>
              <w:t>不参与评标</w:t>
            </w:r>
            <w:r>
              <w:rPr>
                <w:rStyle w:val="28"/>
                <w:rFonts w:hint="eastAsia" w:ascii="宋体"/>
                <w:color w:val="auto"/>
                <w:sz w:val="24"/>
                <w:highlight w:val="none"/>
              </w:rPr>
              <w:t>。</w:t>
            </w:r>
          </w:p>
          <w:p>
            <w:pPr>
              <w:rPr>
                <w:rStyle w:val="28"/>
                <w:rFonts w:hint="eastAsia" w:ascii="宋体"/>
                <w:color w:val="auto"/>
                <w:sz w:val="24"/>
                <w:highlight w:val="none"/>
              </w:rPr>
            </w:pPr>
            <w:r>
              <w:rPr>
                <w:rStyle w:val="28"/>
                <w:rFonts w:hint="eastAsia" w:ascii="宋体"/>
                <w:color w:val="auto"/>
                <w:sz w:val="24"/>
                <w:highlight w:val="none"/>
              </w:rPr>
              <w:t>评标参考价=取所有有效投标人的投标报价（大于五家投标单位时，去掉一个最高投标报价和一个最低投标报价。小于等于五家投标单位时，全数计算）的算术平均值作为评标参考价，投标报价得分以评标参考价作为计算各有效投标报价得分的基础，当有效投标报价等于评标参考价时得</w:t>
            </w:r>
            <w:r>
              <w:rPr>
                <w:rStyle w:val="28"/>
                <w:rFonts w:hint="eastAsia" w:ascii="宋体"/>
                <w:color w:val="auto"/>
                <w:sz w:val="24"/>
                <w:highlight w:val="none"/>
                <w:lang w:val="en-US" w:eastAsia="zh-CN"/>
              </w:rPr>
              <w:t>60</w:t>
            </w:r>
            <w:r>
              <w:rPr>
                <w:rStyle w:val="28"/>
                <w:rFonts w:hint="eastAsia" w:ascii="宋体"/>
                <w:color w:val="auto"/>
                <w:sz w:val="24"/>
                <w:highlight w:val="none"/>
              </w:rPr>
              <w:t>分，有效投标报价与评标参考价相比，每上偏 1 %扣0.</w:t>
            </w:r>
            <w:r>
              <w:rPr>
                <w:rStyle w:val="28"/>
                <w:rFonts w:hint="eastAsia" w:ascii="宋体"/>
                <w:color w:val="auto"/>
                <w:sz w:val="24"/>
                <w:highlight w:val="none"/>
                <w:lang w:val="en-US"/>
              </w:rPr>
              <w:t>3</w:t>
            </w:r>
            <w:r>
              <w:rPr>
                <w:rStyle w:val="28"/>
                <w:rFonts w:hint="eastAsia" w:ascii="宋体"/>
                <w:color w:val="auto"/>
                <w:sz w:val="24"/>
                <w:highlight w:val="none"/>
              </w:rPr>
              <w:t>分，每下偏1%扣0.</w:t>
            </w:r>
            <w:r>
              <w:rPr>
                <w:rStyle w:val="28"/>
                <w:rFonts w:hint="eastAsia" w:ascii="宋体"/>
                <w:color w:val="auto"/>
                <w:sz w:val="24"/>
                <w:highlight w:val="none"/>
                <w:lang w:val="en-US"/>
              </w:rPr>
              <w:t>2</w:t>
            </w:r>
            <w:r>
              <w:rPr>
                <w:rStyle w:val="28"/>
                <w:rFonts w:hint="eastAsia" w:ascii="宋体"/>
                <w:color w:val="auto"/>
                <w:sz w:val="24"/>
                <w:highlight w:val="none"/>
              </w:rPr>
              <w:t>分。（评分如出现小数点，则保留小数点后两位，第三位四舍五入）报价得分计算公式：</w:t>
            </w:r>
          </w:p>
          <w:p>
            <w:pPr>
              <w:rPr>
                <w:rStyle w:val="28"/>
                <w:rFonts w:hint="default" w:ascii="宋体" w:eastAsia="宋体"/>
                <w:color w:val="auto"/>
                <w:sz w:val="24"/>
                <w:highlight w:val="none"/>
                <w:lang w:val="en-US" w:eastAsia="zh-CN"/>
              </w:rPr>
            </w:pPr>
            <w:r>
              <w:rPr>
                <w:rStyle w:val="28"/>
                <w:rFonts w:hint="eastAsia" w:ascii="宋体"/>
                <w:color w:val="auto"/>
                <w:sz w:val="24"/>
                <w:highlight w:val="none"/>
                <w:lang w:val="en-US" w:eastAsia="zh-CN"/>
              </w:rPr>
              <w:t xml:space="preserve">   </w:t>
            </w:r>
            <w:r>
              <w:rPr>
                <w:rFonts w:hint="eastAsia" w:ascii="宋体" w:hAnsi="宋体"/>
                <w:b/>
                <w:color w:val="auto"/>
                <w:sz w:val="28"/>
                <w:highlight w:val="none"/>
              </w:rPr>
              <w:drawing>
                <wp:inline distT="0" distB="0" distL="114300" distR="114300">
                  <wp:extent cx="1562100" cy="257175"/>
                  <wp:effectExtent l="0" t="0" r="0" b="9525"/>
                  <wp:docPr id="4" name="图片 2" descr="7f856b9094463f7aa74948c9c3611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7f856b9094463f7aa74948c9c3611d8"/>
                          <pic:cNvPicPr>
                            <a:picLocks noChangeAspect="1"/>
                          </pic:cNvPicPr>
                        </pic:nvPicPr>
                        <pic:blipFill>
                          <a:blip r:embed="rId11"/>
                          <a:stretch>
                            <a:fillRect/>
                          </a:stretch>
                        </pic:blipFill>
                        <pic:spPr>
                          <a:xfrm>
                            <a:off x="0" y="0"/>
                            <a:ext cx="1562100" cy="257175"/>
                          </a:xfrm>
                          <a:prstGeom prst="rect">
                            <a:avLst/>
                          </a:prstGeom>
                          <a:noFill/>
                          <a:ln>
                            <a:noFill/>
                          </a:ln>
                        </pic:spPr>
                      </pic:pic>
                    </a:graphicData>
                  </a:graphic>
                </wp:inline>
              </w:drawing>
            </w:r>
          </w:p>
          <w:p>
            <w:pPr>
              <w:rPr>
                <w:rStyle w:val="28"/>
                <w:rFonts w:hint="eastAsia" w:ascii="宋体"/>
                <w:color w:val="auto"/>
                <w:sz w:val="24"/>
                <w:highlight w:val="none"/>
              </w:rPr>
            </w:pPr>
            <w:r>
              <w:rPr>
                <w:rStyle w:val="28"/>
                <w:rFonts w:hint="eastAsia" w:ascii="宋体"/>
                <w:color w:val="auto"/>
                <w:sz w:val="24"/>
                <w:highlight w:val="none"/>
              </w:rPr>
              <w:t>其中  M:投标人投标报价得分</w:t>
            </w:r>
          </w:p>
          <w:p>
            <w:pPr>
              <w:rPr>
                <w:rStyle w:val="28"/>
                <w:rFonts w:hint="eastAsia" w:ascii="宋体"/>
                <w:color w:val="auto"/>
                <w:sz w:val="24"/>
                <w:highlight w:val="none"/>
              </w:rPr>
            </w:pPr>
            <w:r>
              <w:rPr>
                <w:rStyle w:val="28"/>
                <w:rFonts w:hint="eastAsia" w:ascii="宋体"/>
                <w:color w:val="auto"/>
                <w:sz w:val="24"/>
                <w:highlight w:val="none"/>
              </w:rPr>
              <w:t>N（分）：</w:t>
            </w:r>
            <w:r>
              <w:rPr>
                <w:rStyle w:val="28"/>
                <w:rFonts w:hint="eastAsia" w:ascii="宋体"/>
                <w:color w:val="auto"/>
                <w:sz w:val="24"/>
                <w:highlight w:val="none"/>
                <w:lang w:val="en-US" w:eastAsia="zh-CN"/>
              </w:rPr>
              <w:t>60</w:t>
            </w:r>
            <w:r>
              <w:rPr>
                <w:rStyle w:val="28"/>
                <w:rFonts w:hint="eastAsia" w:ascii="宋体"/>
                <w:color w:val="auto"/>
                <w:sz w:val="24"/>
                <w:highlight w:val="none"/>
              </w:rPr>
              <w:t>分；</w:t>
            </w:r>
          </w:p>
          <w:p>
            <w:pPr>
              <w:rPr>
                <w:rStyle w:val="28"/>
                <w:rFonts w:hint="eastAsia" w:ascii="宋体"/>
                <w:color w:val="auto"/>
                <w:sz w:val="24"/>
                <w:highlight w:val="none"/>
              </w:rPr>
            </w:pPr>
            <w:r>
              <w:rPr>
                <w:rStyle w:val="28"/>
                <w:rFonts w:hint="eastAsia" w:ascii="宋体"/>
                <w:color w:val="auto"/>
                <w:sz w:val="24"/>
                <w:highlight w:val="none"/>
              </w:rPr>
              <w:t>P（%）：投标文件通过初步评审的有效投标报价；</w:t>
            </w:r>
          </w:p>
          <w:p>
            <w:pPr>
              <w:rPr>
                <w:rStyle w:val="28"/>
                <w:rFonts w:hint="eastAsia" w:ascii="宋体"/>
                <w:color w:val="auto"/>
                <w:sz w:val="24"/>
                <w:highlight w:val="none"/>
              </w:rPr>
            </w:pPr>
            <w:r>
              <w:rPr>
                <w:rStyle w:val="28"/>
                <w:rFonts w:hint="eastAsia" w:ascii="宋体"/>
                <w:color w:val="auto"/>
                <w:sz w:val="24"/>
                <w:highlight w:val="none"/>
              </w:rPr>
              <w:t xml:space="preserve">Q（%）：评标参考价； </w:t>
            </w:r>
          </w:p>
          <w:p>
            <w:pPr>
              <w:rPr>
                <w:rStyle w:val="28"/>
                <w:rFonts w:hint="eastAsia" w:ascii="宋体"/>
                <w:color w:val="auto"/>
                <w:sz w:val="24"/>
                <w:highlight w:val="none"/>
              </w:rPr>
            </w:pPr>
            <w:r>
              <w:rPr>
                <w:rStyle w:val="28"/>
                <w:rFonts w:hint="eastAsia" w:ascii="宋体"/>
                <w:color w:val="auto"/>
                <w:sz w:val="24"/>
                <w:highlight w:val="none"/>
              </w:rPr>
              <w:t>F：偏离扣分分值，当 P≥Q，F=0.</w:t>
            </w:r>
            <w:r>
              <w:rPr>
                <w:rStyle w:val="28"/>
                <w:rFonts w:hint="eastAsia" w:ascii="宋体"/>
                <w:color w:val="auto"/>
                <w:sz w:val="24"/>
                <w:highlight w:val="none"/>
                <w:lang w:val="en-US"/>
              </w:rPr>
              <w:t>3</w:t>
            </w:r>
            <w:r>
              <w:rPr>
                <w:rStyle w:val="28"/>
                <w:rFonts w:hint="eastAsia" w:ascii="宋体"/>
                <w:color w:val="auto"/>
                <w:sz w:val="24"/>
                <w:highlight w:val="none"/>
              </w:rPr>
              <w:t>；当 P＜Q，F=0.</w:t>
            </w:r>
            <w:r>
              <w:rPr>
                <w:rStyle w:val="28"/>
                <w:rFonts w:hint="eastAsia" w:ascii="宋体"/>
                <w:color w:val="auto"/>
                <w:sz w:val="24"/>
                <w:highlight w:val="none"/>
                <w:lang w:val="en-US"/>
              </w:rPr>
              <w:t>2</w:t>
            </w:r>
            <w:r>
              <w:rPr>
                <w:rStyle w:val="28"/>
                <w:rFonts w:hint="eastAsia" w:ascii="宋体"/>
                <w:color w:val="auto"/>
                <w:sz w:val="24"/>
                <w:highlight w:val="none"/>
              </w:rPr>
              <w:t xml:space="preserve">。 </w:t>
            </w:r>
          </w:p>
          <w:p>
            <w:pPr>
              <w:rPr>
                <w:rFonts w:hint="eastAsia" w:ascii="宋体" w:hAnsi="宋体" w:cs="宋体"/>
                <w:color w:val="auto"/>
                <w:spacing w:val="2"/>
                <w:sz w:val="24"/>
                <w:highlight w:val="none"/>
                <w:lang w:val="en-US" w:eastAsia="zh-CN"/>
              </w:rPr>
            </w:pPr>
            <w:r>
              <w:rPr>
                <w:rStyle w:val="28"/>
                <w:rFonts w:hint="eastAsia" w:ascii="宋体"/>
                <w:color w:val="auto"/>
                <w:sz w:val="24"/>
                <w:highlight w:val="none"/>
              </w:rPr>
              <w:t>注：计算值按四舍五入法保留两位有效小数，本项最低得分为0分。</w:t>
            </w:r>
          </w:p>
        </w:tc>
        <w:tc>
          <w:tcPr>
            <w:tcW w:w="849" w:type="dxa"/>
            <w:noWrap w:val="0"/>
            <w:vAlign w:val="center"/>
          </w:tcPr>
          <w:p>
            <w:pPr>
              <w:pStyle w:val="7"/>
              <w:autoSpaceDE w:val="0"/>
              <w:autoSpaceDN w:val="0"/>
              <w:snapToGrid w:val="0"/>
              <w:spacing w:before="61" w:line="460" w:lineRule="atLeast"/>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60</w:t>
            </w:r>
          </w:p>
        </w:tc>
      </w:tr>
    </w:tbl>
    <w:p>
      <w:pPr>
        <w:rPr>
          <w:color w:val="auto"/>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sectPr>
          <w:footerReference r:id="rId7" w:type="default"/>
          <w:pgSz w:w="11906" w:h="16838"/>
          <w:pgMar w:top="1417" w:right="1417" w:bottom="1417" w:left="1417" w:header="851" w:footer="992" w:gutter="0"/>
          <w:cols w:space="720" w:num="1"/>
          <w:docGrid w:linePitch="312" w:charSpace="0"/>
        </w:sectPr>
      </w:pPr>
    </w:p>
    <w:p>
      <w:pPr>
        <w:rPr>
          <w:rFonts w:ascii="方正小标宋简体" w:hAnsi="方正小标宋简体" w:eastAsia="方正小标宋简体" w:cs="方正小标宋简体"/>
          <w:color w:val="auto"/>
          <w:kern w:val="0"/>
          <w:sz w:val="36"/>
          <w:szCs w:val="44"/>
          <w:highlight w:val="none"/>
        </w:rPr>
      </w:pPr>
    </w:p>
    <w:p>
      <w:pPr>
        <w:jc w:val="center"/>
        <w:outlineLvl w:val="0"/>
        <w:rPr>
          <w:rFonts w:eastAsia="方正小标宋简体"/>
          <w:color w:val="auto"/>
          <w:sz w:val="36"/>
          <w:szCs w:val="44"/>
          <w:highlight w:val="none"/>
        </w:rPr>
      </w:pPr>
      <w:bookmarkStart w:id="105" w:name="_Toc931"/>
      <w:r>
        <w:rPr>
          <w:rFonts w:hint="eastAsia" w:ascii="方正小标宋简体" w:hAnsi="方正小标宋简体" w:eastAsia="方正小标宋简体" w:cs="方正小标宋简体"/>
          <w:color w:val="auto"/>
          <w:kern w:val="0"/>
          <w:sz w:val="36"/>
          <w:szCs w:val="44"/>
          <w:highlight w:val="none"/>
        </w:rPr>
        <w:t>第五部分 监理合同</w:t>
      </w:r>
      <w:bookmarkEnd w:id="105"/>
    </w:p>
    <w:p>
      <w:pPr>
        <w:spacing w:line="360" w:lineRule="auto"/>
        <w:rPr>
          <w:rFonts w:hint="eastAsia" w:ascii="仿宋_GB2312" w:hAnsi="宋体" w:eastAsia="仿宋_GB2312"/>
          <w:b/>
          <w:bCs/>
          <w:color w:val="auto"/>
          <w:sz w:val="30"/>
          <w:szCs w:val="30"/>
          <w:highlight w:val="none"/>
        </w:rPr>
      </w:pPr>
      <w:r>
        <w:rPr>
          <w:rFonts w:hint="eastAsia" w:ascii="仿宋_GB2312" w:eastAsia="仿宋_GB2312"/>
          <w:b/>
          <w:color w:val="auto"/>
          <w:sz w:val="32"/>
          <w:szCs w:val="32"/>
          <w:highlight w:val="none"/>
        </w:rPr>
        <w:t>（ＧＦ－2012－0202）</w:t>
      </w:r>
    </w:p>
    <w:p>
      <w:pPr>
        <w:spacing w:line="360" w:lineRule="auto"/>
        <w:jc w:val="center"/>
        <w:rPr>
          <w:rFonts w:hint="eastAsia" w:ascii="华文中宋" w:hAnsi="华文中宋" w:eastAsia="华文中宋"/>
          <w:b/>
          <w:bCs/>
          <w:color w:val="auto"/>
          <w:sz w:val="48"/>
          <w:szCs w:val="48"/>
          <w:highlight w:val="none"/>
        </w:rPr>
      </w:pPr>
    </w:p>
    <w:p>
      <w:pPr>
        <w:spacing w:line="360" w:lineRule="auto"/>
        <w:jc w:val="center"/>
        <w:rPr>
          <w:rFonts w:hint="eastAsia"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建设工程监理合同</w:t>
      </w:r>
    </w:p>
    <w:p>
      <w:pPr>
        <w:spacing w:line="360" w:lineRule="auto"/>
        <w:jc w:val="center"/>
        <w:rPr>
          <w:rFonts w:hint="eastAsia" w:ascii="宋体" w:hAnsi="宋体" w:cs="宋体"/>
          <w:b/>
          <w:bCs/>
          <w:color w:val="auto"/>
          <w:sz w:val="36"/>
          <w:szCs w:val="36"/>
          <w:highlight w:val="none"/>
        </w:rPr>
      </w:pPr>
    </w:p>
    <w:p>
      <w:pPr>
        <w:spacing w:line="360" w:lineRule="auto"/>
        <w:jc w:val="center"/>
        <w:rPr>
          <w:rFonts w:hint="eastAsia" w:ascii="宋体" w:hAnsi="宋体" w:cs="宋体"/>
          <w:b/>
          <w:bCs/>
          <w:color w:val="auto"/>
          <w:sz w:val="36"/>
          <w:szCs w:val="36"/>
          <w:highlight w:val="none"/>
        </w:rPr>
      </w:pPr>
    </w:p>
    <w:p>
      <w:pPr>
        <w:spacing w:line="360" w:lineRule="auto"/>
        <w:jc w:val="center"/>
        <w:rPr>
          <w:rFonts w:hint="eastAsia" w:ascii="宋体" w:hAnsi="宋体" w:cs="宋体"/>
          <w:b/>
          <w:bCs/>
          <w:color w:val="auto"/>
          <w:sz w:val="36"/>
          <w:szCs w:val="36"/>
          <w:highlight w:val="none"/>
        </w:rPr>
      </w:pPr>
    </w:p>
    <w:p>
      <w:pPr>
        <w:spacing w:line="360" w:lineRule="auto"/>
        <w:jc w:val="center"/>
        <w:rPr>
          <w:rFonts w:hint="eastAsia" w:ascii="华文楷体" w:hAnsi="华文楷体" w:eastAsia="华文楷体"/>
          <w:b/>
          <w:bCs/>
          <w:color w:val="auto"/>
          <w:sz w:val="52"/>
          <w:szCs w:val="52"/>
          <w:highlight w:val="none"/>
        </w:rPr>
      </w:pPr>
      <w:r>
        <w:rPr>
          <w:rFonts w:hint="eastAsia" w:ascii="宋体" w:hAnsi="宋体" w:cs="宋体"/>
          <w:b/>
          <w:bCs/>
          <w:color w:val="auto"/>
          <w:sz w:val="36"/>
          <w:szCs w:val="36"/>
          <w:highlight w:val="none"/>
        </w:rPr>
        <w:t>湛江经开区</w:t>
      </w:r>
      <w:r>
        <w:rPr>
          <w:rFonts w:hint="eastAsia" w:ascii="宋体" w:hAnsi="宋体" w:cs="宋体"/>
          <w:b/>
          <w:bCs/>
          <w:color w:val="auto"/>
          <w:sz w:val="36"/>
          <w:szCs w:val="36"/>
          <w:highlight w:val="none"/>
          <w:lang w:val="en-US" w:eastAsia="zh-CN"/>
        </w:rPr>
        <w:t>老旧小区改造</w:t>
      </w:r>
      <w:r>
        <w:rPr>
          <w:rFonts w:hint="eastAsia" w:ascii="宋体" w:hAnsi="宋体" w:cs="宋体"/>
          <w:b/>
          <w:bCs/>
          <w:color w:val="auto"/>
          <w:sz w:val="36"/>
          <w:szCs w:val="36"/>
          <w:highlight w:val="none"/>
        </w:rPr>
        <w:t>项目（</w:t>
      </w:r>
      <w:r>
        <w:rPr>
          <w:rFonts w:hint="eastAsia" w:ascii="宋体" w:hAnsi="宋体" w:cs="宋体"/>
          <w:b/>
          <w:bCs/>
          <w:color w:val="auto"/>
          <w:sz w:val="36"/>
          <w:szCs w:val="36"/>
          <w:highlight w:val="none"/>
          <w:lang w:val="en-US" w:eastAsia="zh-CN"/>
        </w:rPr>
        <w:t>一期一标</w:t>
      </w:r>
      <w:r>
        <w:rPr>
          <w:rFonts w:hint="eastAsia" w:ascii="宋体" w:hAnsi="宋体" w:cs="宋体"/>
          <w:b/>
          <w:bCs/>
          <w:color w:val="auto"/>
          <w:sz w:val="36"/>
          <w:szCs w:val="36"/>
          <w:highlight w:val="none"/>
        </w:rPr>
        <w:t>）</w:t>
      </w:r>
    </w:p>
    <w:p>
      <w:pPr>
        <w:spacing w:line="360" w:lineRule="auto"/>
        <w:jc w:val="center"/>
        <w:rPr>
          <w:rFonts w:hint="eastAsia" w:ascii="仿宋_GB2312" w:hAnsi="宋体" w:eastAsia="仿宋_GB2312"/>
          <w:bCs/>
          <w:color w:val="auto"/>
          <w:sz w:val="48"/>
          <w:szCs w:val="48"/>
          <w:highlight w:val="none"/>
        </w:rPr>
      </w:pPr>
    </w:p>
    <w:p>
      <w:pPr>
        <w:spacing w:line="360" w:lineRule="auto"/>
        <w:jc w:val="center"/>
        <w:rPr>
          <w:rFonts w:hint="eastAsia" w:ascii="仿宋_GB2312" w:hAnsi="宋体" w:eastAsia="仿宋_GB2312"/>
          <w:b/>
          <w:bCs/>
          <w:color w:val="auto"/>
          <w:sz w:val="24"/>
          <w:highlight w:val="none"/>
        </w:rPr>
      </w:pPr>
    </w:p>
    <w:p>
      <w:pPr>
        <w:spacing w:line="360" w:lineRule="auto"/>
        <w:jc w:val="center"/>
        <w:rPr>
          <w:rFonts w:hint="eastAsia" w:ascii="仿宋_GB2312" w:hAnsi="宋体" w:eastAsia="仿宋_GB2312"/>
          <w:b/>
          <w:bCs/>
          <w:color w:val="auto"/>
          <w:sz w:val="24"/>
          <w:highlight w:val="none"/>
        </w:rPr>
      </w:pPr>
    </w:p>
    <w:p>
      <w:pPr>
        <w:spacing w:line="360" w:lineRule="auto"/>
        <w:jc w:val="center"/>
        <w:rPr>
          <w:rFonts w:hint="eastAsia" w:ascii="仿宋_GB2312" w:hAnsi="宋体" w:eastAsia="仿宋_GB2312"/>
          <w:b/>
          <w:bCs/>
          <w:color w:val="auto"/>
          <w:sz w:val="24"/>
          <w:highlight w:val="none"/>
        </w:rPr>
      </w:pPr>
    </w:p>
    <w:p>
      <w:pPr>
        <w:spacing w:line="360" w:lineRule="auto"/>
        <w:rPr>
          <w:rFonts w:hint="eastAsia" w:ascii="仿宋_GB2312" w:hAnsi="宋体" w:eastAsia="仿宋_GB2312"/>
          <w:b/>
          <w:bCs/>
          <w:color w:val="auto"/>
          <w:sz w:val="24"/>
          <w:highlight w:val="none"/>
        </w:rPr>
      </w:pPr>
    </w:p>
    <w:p>
      <w:pPr>
        <w:spacing w:line="360" w:lineRule="auto"/>
        <w:rPr>
          <w:rFonts w:hint="eastAsia" w:ascii="仿宋_GB2312" w:hAnsi="宋体" w:eastAsia="仿宋_GB2312"/>
          <w:b/>
          <w:bCs/>
          <w:color w:val="auto"/>
          <w:sz w:val="24"/>
          <w:highlight w:val="none"/>
        </w:rPr>
      </w:pPr>
    </w:p>
    <w:p>
      <w:pPr>
        <w:spacing w:line="360" w:lineRule="auto"/>
        <w:rPr>
          <w:rFonts w:hint="eastAsia" w:ascii="仿宋_GB2312" w:hAnsi="宋体" w:eastAsia="仿宋_GB2312"/>
          <w:b/>
          <w:bCs/>
          <w:color w:val="auto"/>
          <w:sz w:val="24"/>
          <w:highlight w:val="none"/>
        </w:rPr>
      </w:pPr>
    </w:p>
    <w:p>
      <w:pPr>
        <w:spacing w:line="360" w:lineRule="auto"/>
        <w:jc w:val="center"/>
        <w:rPr>
          <w:rFonts w:hint="eastAsia" w:ascii="华文中宋" w:hAnsi="华文中宋" w:eastAsia="华文中宋"/>
          <w:b/>
          <w:color w:val="auto"/>
          <w:highlight w:val="none"/>
        </w:rPr>
      </w:pPr>
      <w:r>
        <w:rPr>
          <w:rFonts w:hint="eastAsia" w:ascii="仿宋_GB2312" w:hAnsi="宋体" w:eastAsia="仿宋_GB2312"/>
          <w:b/>
          <w:bCs/>
          <w:color w:val="auto"/>
          <w:sz w:val="32"/>
          <w:szCs w:val="32"/>
          <w:highlight w:val="none"/>
        </w:rPr>
        <w:t xml:space="preserve">  </w:t>
      </w:r>
      <w:r>
        <w:rPr>
          <w:rFonts w:hint="eastAsia" w:ascii="华文中宋" w:hAnsi="华文中宋" w:eastAsia="华文中宋"/>
          <w:b/>
          <w:bCs/>
          <w:color w:val="auto"/>
          <w:sz w:val="32"/>
          <w:szCs w:val="32"/>
          <w:highlight w:val="none"/>
        </w:rPr>
        <w:t>住房和城乡建设部</w:t>
      </w:r>
    </w:p>
    <w:p>
      <w:pPr>
        <w:spacing w:line="360" w:lineRule="auto"/>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highlight w:val="none"/>
        </w:rPr>
        <w:t xml:space="preserve">                                                          </w:t>
      </w:r>
      <w:r>
        <w:rPr>
          <w:rFonts w:hint="eastAsia" w:ascii="华文中宋" w:hAnsi="华文中宋" w:eastAsia="华文中宋"/>
          <w:b/>
          <w:color w:val="auto"/>
          <w:sz w:val="32"/>
          <w:szCs w:val="32"/>
          <w:highlight w:val="none"/>
        </w:rPr>
        <w:t>制定</w:t>
      </w:r>
    </w:p>
    <w:p>
      <w:pPr>
        <w:spacing w:line="360" w:lineRule="auto"/>
        <w:jc w:val="center"/>
        <w:rPr>
          <w:rFonts w:hint="eastAsia" w:ascii="华文中宋" w:hAnsi="华文中宋" w:eastAsia="华文中宋"/>
          <w:b/>
          <w:color w:val="auto"/>
          <w:highlight w:val="none"/>
        </w:rPr>
      </w:pPr>
      <w:r>
        <w:rPr>
          <w:rFonts w:hint="eastAsia" w:ascii="华文中宋" w:hAnsi="华文中宋" w:eastAsia="华文中宋"/>
          <w:b/>
          <w:bCs/>
          <w:color w:val="auto"/>
          <w:sz w:val="32"/>
          <w:szCs w:val="32"/>
          <w:highlight w:val="none"/>
        </w:rPr>
        <w:t xml:space="preserve">   国家工商行政管理总局</w:t>
      </w:r>
    </w:p>
    <w:p>
      <w:pPr>
        <w:spacing w:line="360" w:lineRule="auto"/>
        <w:jc w:val="center"/>
        <w:rPr>
          <w:rFonts w:hint="eastAsia" w:ascii="华文中宋" w:hAnsi="华文中宋" w:eastAsia="华文中宋"/>
          <w:b/>
          <w:bCs/>
          <w:color w:val="auto"/>
          <w:sz w:val="24"/>
          <w:highlight w:val="none"/>
        </w:rPr>
      </w:pPr>
    </w:p>
    <w:p>
      <w:pPr>
        <w:spacing w:line="360" w:lineRule="auto"/>
        <w:jc w:val="center"/>
        <w:rPr>
          <w:rFonts w:hint="eastAsia" w:ascii="仿宋_GB2312" w:hAnsi="宋体" w:eastAsia="仿宋_GB2312"/>
          <w:b/>
          <w:bCs/>
          <w:color w:val="auto"/>
          <w:sz w:val="32"/>
          <w:szCs w:val="32"/>
          <w:highlight w:val="none"/>
        </w:rPr>
      </w:pPr>
      <w:r>
        <w:rPr>
          <w:rFonts w:hint="eastAsia" w:ascii="华文中宋" w:hAnsi="华文中宋" w:eastAsia="华文中宋"/>
          <w:b/>
          <w:bCs/>
          <w:color w:val="auto"/>
          <w:sz w:val="32"/>
          <w:szCs w:val="32"/>
          <w:highlight w:val="none"/>
        </w:rPr>
        <w:t xml:space="preserve"> </w:t>
      </w:r>
    </w:p>
    <w:p>
      <w:pPr>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br w:type="page"/>
      </w:r>
    </w:p>
    <w:p>
      <w:pPr>
        <w:tabs>
          <w:tab w:val="left" w:pos="1950"/>
        </w:tabs>
        <w:spacing w:before="104" w:line="360" w:lineRule="auto"/>
        <w:jc w:val="center"/>
        <w:rPr>
          <w:rFonts w:ascii="宋体" w:hAnsi="宋体"/>
          <w:b/>
          <w:color w:val="auto"/>
          <w:sz w:val="32"/>
          <w:highlight w:val="none"/>
        </w:rPr>
      </w:pPr>
      <w:r>
        <w:rPr>
          <w:rFonts w:hint="eastAsia" w:ascii="宋体" w:hAnsi="宋体"/>
          <w:b/>
          <w:color w:val="auto"/>
          <w:sz w:val="32"/>
          <w:highlight w:val="none"/>
        </w:rPr>
        <w:t>第一部分</w:t>
      </w:r>
      <w:r>
        <w:rPr>
          <w:rFonts w:hint="eastAsia" w:ascii="宋体" w:hAnsi="宋体"/>
          <w:b/>
          <w:color w:val="auto"/>
          <w:sz w:val="32"/>
          <w:highlight w:val="none"/>
        </w:rPr>
        <w:tab/>
      </w:r>
      <w:r>
        <w:rPr>
          <w:rFonts w:hint="eastAsia" w:ascii="宋体" w:hAnsi="宋体"/>
          <w:b/>
          <w:color w:val="auto"/>
          <w:sz w:val="32"/>
          <w:highlight w:val="none"/>
        </w:rPr>
        <w:t>协议书</w:t>
      </w:r>
    </w:p>
    <w:p>
      <w:pPr>
        <w:keepNext w:val="0"/>
        <w:keepLines w:val="0"/>
        <w:pageBreakBefore w:val="0"/>
        <w:kinsoku/>
        <w:wordWrap/>
        <w:overflowPunct/>
        <w:topLinePunct w:val="0"/>
        <w:bidi w:val="0"/>
        <w:adjustRightInd w:val="0"/>
        <w:snapToGrid w:val="0"/>
        <w:spacing w:line="480" w:lineRule="exact"/>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委托人（全称）：</w:t>
      </w:r>
      <w:r>
        <w:rPr>
          <w:rFonts w:hint="eastAsia" w:ascii="宋体" w:hAnsi="宋体" w:cs="宋体"/>
          <w:color w:val="auto"/>
          <w:sz w:val="28"/>
          <w:szCs w:val="28"/>
          <w:highlight w:val="none"/>
          <w:u w:val="single"/>
        </w:rPr>
        <w:t>湛江经济技术开发区城市综合管理局</w:t>
      </w:r>
    </w:p>
    <w:p>
      <w:pPr>
        <w:keepNext w:val="0"/>
        <w:keepLines w:val="0"/>
        <w:pageBreakBefore w:val="0"/>
        <w:kinsoku/>
        <w:wordWrap/>
        <w:overflowPunct/>
        <w:topLinePunct w:val="0"/>
        <w:bidi w:val="0"/>
        <w:adjustRightInd w:val="0"/>
        <w:snapToGrid w:val="0"/>
        <w:spacing w:after="62" w:afterLines="20" w:line="480" w:lineRule="exact"/>
        <w:textAlignment w:val="auto"/>
        <w:rPr>
          <w:rFonts w:hint="eastAsia" w:ascii="宋体" w:hAnsi="宋体" w:cs="宋体"/>
          <w:color w:val="auto"/>
          <w:sz w:val="28"/>
          <w:szCs w:val="28"/>
          <w:highlight w:val="none"/>
        </w:rPr>
      </w:pPr>
      <w:r>
        <w:rPr>
          <w:rFonts w:hint="eastAsia" w:ascii="宋体" w:hAnsi="宋体" w:cs="宋体"/>
          <w:b/>
          <w:color w:val="auto"/>
          <w:sz w:val="28"/>
          <w:szCs w:val="28"/>
          <w:highlight w:val="none"/>
        </w:rPr>
        <w:t>监理人（全称）：</w:t>
      </w:r>
      <w:r>
        <w:rPr>
          <w:rFonts w:hint="eastAsia" w:ascii="宋体" w:hAnsi="宋体" w:cs="宋体"/>
          <w:b/>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p>
    <w:p>
      <w:pPr>
        <w:keepNext w:val="0"/>
        <w:keepLines w:val="0"/>
        <w:pageBreakBefore w:val="0"/>
        <w:kinsoku/>
        <w:wordWrap/>
        <w:overflowPunct/>
        <w:topLinePunct w:val="0"/>
        <w:bidi w:val="0"/>
        <w:spacing w:line="480" w:lineRule="exact"/>
        <w:ind w:firstLine="492" w:firstLineChars="200"/>
        <w:textAlignment w:val="auto"/>
        <w:rPr>
          <w:rFonts w:ascii="宋体" w:hAnsi="宋体"/>
          <w:color w:val="auto"/>
          <w:sz w:val="28"/>
          <w:szCs w:val="28"/>
          <w:highlight w:val="none"/>
        </w:rPr>
      </w:pPr>
      <w:r>
        <w:rPr>
          <w:rFonts w:hint="eastAsia" w:ascii="宋体" w:hAnsi="宋体"/>
          <w:color w:val="auto"/>
          <w:spacing w:val="-17"/>
          <w:sz w:val="28"/>
          <w:szCs w:val="28"/>
          <w:highlight w:val="none"/>
        </w:rPr>
        <w:t>根据《中华人民共和国民法典》、《中华人民共和国建筑法》及其他有关法律、</w:t>
      </w:r>
      <w:r>
        <w:rPr>
          <w:rFonts w:hint="eastAsia" w:ascii="宋体" w:hAnsi="宋体"/>
          <w:color w:val="auto"/>
          <w:spacing w:val="-10"/>
          <w:sz w:val="28"/>
          <w:szCs w:val="28"/>
          <w:highlight w:val="none"/>
        </w:rPr>
        <w:t>法规，遵循平等、自愿、公平和诚信的原则，双方就下述工程委托监理与相关服务事项协商一致，订立本合同。</w:t>
      </w:r>
    </w:p>
    <w:p>
      <w:pPr>
        <w:keepNext w:val="0"/>
        <w:keepLines w:val="0"/>
        <w:pageBreakBefore w:val="0"/>
        <w:kinsoku/>
        <w:wordWrap/>
        <w:overflowPunct/>
        <w:topLinePunct w:val="0"/>
        <w:bidi w:val="0"/>
        <w:spacing w:line="48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rPr>
        <w:t>一、工程概况</w:t>
      </w:r>
    </w:p>
    <w:p>
      <w:pPr>
        <w:pStyle w:val="29"/>
        <w:keepNext w:val="0"/>
        <w:keepLines w:val="0"/>
        <w:pageBreakBefore w:val="0"/>
        <w:tabs>
          <w:tab w:val="left" w:pos="1232"/>
        </w:tabs>
        <w:kinsoku/>
        <w:wordWrap/>
        <w:overflowPunct/>
        <w:topLinePunct w:val="0"/>
        <w:autoSpaceDE w:val="0"/>
        <w:autoSpaceDN w:val="0"/>
        <w:bidi w:val="0"/>
        <w:spacing w:line="480" w:lineRule="exact"/>
        <w:ind w:firstLine="56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color w:val="auto"/>
          <w:sz w:val="28"/>
          <w:szCs w:val="28"/>
          <w:highlight w:val="none"/>
        </w:rPr>
        <w:t>1.</w:t>
      </w:r>
      <w:r>
        <w:rPr>
          <w:rFonts w:hint="eastAsia" w:ascii="宋体" w:hAnsi="宋体" w:eastAsia="宋体" w:cs="宋体"/>
          <w:color w:val="auto"/>
          <w:kern w:val="0"/>
          <w:sz w:val="28"/>
          <w:szCs w:val="28"/>
          <w:highlight w:val="none"/>
          <w:lang w:val="en-US" w:eastAsia="zh-CN" w:bidi="ar-SA"/>
        </w:rPr>
        <w:t>工程名称：湛江经开区老旧小区改造项目（一期一标）。</w:t>
      </w:r>
    </w:p>
    <w:p>
      <w:pPr>
        <w:pStyle w:val="29"/>
        <w:keepNext w:val="0"/>
        <w:keepLines w:val="0"/>
        <w:pageBreakBefore w:val="0"/>
        <w:tabs>
          <w:tab w:val="left" w:pos="1232"/>
        </w:tabs>
        <w:kinsoku/>
        <w:wordWrap/>
        <w:overflowPunct/>
        <w:topLinePunct w:val="0"/>
        <w:autoSpaceDE w:val="0"/>
        <w:autoSpaceDN w:val="0"/>
        <w:bidi w:val="0"/>
        <w:spacing w:line="480" w:lineRule="exact"/>
        <w:ind w:firstLine="56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2.工程地点：湛江经开区建成区。</w:t>
      </w:r>
    </w:p>
    <w:p>
      <w:pPr>
        <w:pStyle w:val="29"/>
        <w:keepNext w:val="0"/>
        <w:keepLines w:val="0"/>
        <w:pageBreakBefore w:val="0"/>
        <w:tabs>
          <w:tab w:val="left" w:pos="1232"/>
        </w:tabs>
        <w:kinsoku/>
        <w:wordWrap/>
        <w:overflowPunct/>
        <w:topLinePunct w:val="0"/>
        <w:autoSpaceDE w:val="0"/>
        <w:autoSpaceDN w:val="0"/>
        <w:bidi w:val="0"/>
        <w:spacing w:line="480" w:lineRule="exact"/>
        <w:ind w:firstLine="56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3.工程投资额及工程规模：</w:t>
      </w:r>
    </w:p>
    <w:p>
      <w:pPr>
        <w:keepNext w:val="0"/>
        <w:keepLines w:val="0"/>
        <w:pageBreakBefore w:val="0"/>
        <w:kinsoku/>
        <w:wordWrap/>
        <w:overflowPunct/>
        <w:topLinePunct w:val="0"/>
        <w:bidi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3.1本工程估算总投资为12213.27万元。对观海片区金地花园周边21栋楼及片区内总体进行改造升级。</w:t>
      </w:r>
    </w:p>
    <w:p>
      <w:pPr>
        <w:keepNext w:val="0"/>
        <w:keepLines w:val="0"/>
        <w:pageBreakBefore w:val="0"/>
        <w:kinsoku/>
        <w:wordWrap/>
        <w:overflowPunct/>
        <w:topLinePunct w:val="0"/>
        <w:bidi w:val="0"/>
        <w:snapToGrid w:val="0"/>
        <w:spacing w:line="480" w:lineRule="exact"/>
        <w:ind w:firstLine="560" w:firstLineChars="200"/>
        <w:textAlignment w:val="auto"/>
        <w:rPr>
          <w:rFonts w:ascii="宋体" w:hAnsi="宋体" w:cs="宋体"/>
          <w:color w:val="auto"/>
          <w:sz w:val="28"/>
          <w:szCs w:val="28"/>
          <w:highlight w:val="none"/>
        </w:rPr>
      </w:pPr>
      <w:r>
        <w:rPr>
          <w:rFonts w:hint="eastAsia" w:ascii="宋体" w:hAnsi="宋体" w:eastAsia="宋体" w:cs="宋体"/>
          <w:color w:val="auto"/>
          <w:sz w:val="28"/>
          <w:szCs w:val="28"/>
          <w:highlight w:val="none"/>
        </w:rPr>
        <w:t>3.2建设内容：</w:t>
      </w:r>
      <w:r>
        <w:rPr>
          <w:rFonts w:hint="eastAsia" w:ascii="宋体" w:hAnsi="宋体" w:eastAsia="宋体" w:cs="宋体"/>
          <w:color w:val="auto"/>
          <w:sz w:val="28"/>
          <w:szCs w:val="28"/>
          <w:highlight w:val="none"/>
          <w:lang w:val="en-US" w:eastAsia="zh-CN"/>
        </w:rPr>
        <w:t>主要建设内容包括改造提</w:t>
      </w:r>
      <w:r>
        <w:rPr>
          <w:rFonts w:hint="eastAsia" w:ascii="宋体" w:hAnsi="宋体" w:eastAsia="宋体" w:cs="宋体"/>
          <w:color w:val="auto"/>
          <w:sz w:val="28"/>
          <w:szCs w:val="28"/>
          <w:highlight w:val="none"/>
        </w:rPr>
        <w:t>升小区内部及与小区联系的供水、排水、供电、弱电、道路、粉刷规范、三线规整</w:t>
      </w:r>
      <w:r>
        <w:rPr>
          <w:rFonts w:hint="eastAsia" w:ascii="宋体" w:hAnsi="宋体" w:cs="宋体"/>
          <w:color w:val="auto"/>
          <w:sz w:val="28"/>
          <w:szCs w:val="28"/>
          <w:highlight w:val="none"/>
        </w:rPr>
        <w:t>（入地），增设非机动车泊位、非机动充电桩等。</w:t>
      </w:r>
    </w:p>
    <w:p>
      <w:pPr>
        <w:keepNext w:val="0"/>
        <w:keepLines w:val="0"/>
        <w:pageBreakBefore w:val="0"/>
        <w:tabs>
          <w:tab w:val="left" w:pos="1232"/>
        </w:tabs>
        <w:kinsoku/>
        <w:wordWrap/>
        <w:overflowPunct/>
        <w:topLinePunct w:val="0"/>
        <w:bidi w:val="0"/>
        <w:spacing w:line="48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4. 工程建筑安装工程费：￥</w:t>
      </w:r>
      <w:r>
        <w:rPr>
          <w:rFonts w:hint="eastAsia" w:ascii="宋体" w:hAnsi="宋体" w:eastAsia="宋体" w:cs="宋体"/>
          <w:color w:val="auto"/>
          <w:sz w:val="28"/>
          <w:szCs w:val="28"/>
          <w:highlight w:val="none"/>
        </w:rPr>
        <w:t>：</w:t>
      </w:r>
      <w:r>
        <w:rPr>
          <w:rFonts w:hint="eastAsia" w:ascii="宋体" w:hAnsi="宋体" w:eastAsia="宋体" w:cs="宋体"/>
          <w:i w:val="0"/>
          <w:iCs w:val="0"/>
          <w:caps w:val="0"/>
          <w:color w:val="auto"/>
          <w:spacing w:val="0"/>
          <w:sz w:val="28"/>
          <w:szCs w:val="28"/>
          <w:highlight w:val="none"/>
          <w:u w:val="single"/>
          <w:shd w:val="clear" w:color="auto" w:fill="FFFFFF"/>
          <w:lang w:val="en-US" w:eastAsia="zh-CN"/>
        </w:rPr>
        <w:t>9987.99</w:t>
      </w:r>
      <w:r>
        <w:rPr>
          <w:rFonts w:hint="eastAsia" w:ascii="宋体" w:hAnsi="宋体" w:eastAsia="宋体" w:cs="宋体"/>
          <w:i w:val="0"/>
          <w:iCs w:val="0"/>
          <w:caps w:val="0"/>
          <w:color w:val="auto"/>
          <w:spacing w:val="0"/>
          <w:sz w:val="28"/>
          <w:szCs w:val="28"/>
          <w:highlight w:val="none"/>
          <w:u w:val="none"/>
          <w:shd w:val="clear" w:color="auto" w:fill="FFFFFF"/>
          <w:lang w:val="en-US" w:eastAsia="zh-CN"/>
        </w:rPr>
        <w:t>万</w:t>
      </w:r>
      <w:r>
        <w:rPr>
          <w:rFonts w:hint="eastAsia" w:ascii="宋体" w:hAnsi="宋体" w:cs="宋体"/>
          <w:color w:val="auto"/>
          <w:sz w:val="28"/>
          <w:szCs w:val="28"/>
          <w:highlight w:val="none"/>
        </w:rPr>
        <w:t>元。</w:t>
      </w:r>
    </w:p>
    <w:p>
      <w:pPr>
        <w:keepNext w:val="0"/>
        <w:keepLines w:val="0"/>
        <w:pageBreakBefore w:val="0"/>
        <w:kinsoku/>
        <w:wordWrap/>
        <w:overflowPunct/>
        <w:topLinePunct w:val="0"/>
        <w:bidi w:val="0"/>
        <w:spacing w:line="48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rPr>
        <w:t>二、词语限定</w:t>
      </w:r>
    </w:p>
    <w:p>
      <w:pPr>
        <w:keepNext w:val="0"/>
        <w:keepLines w:val="0"/>
        <w:pageBreakBefore w:val="0"/>
        <w:kinsoku/>
        <w:wordWrap/>
        <w:overflowPunct/>
        <w:topLinePunct w:val="0"/>
        <w:bidi w:val="0"/>
        <w:spacing w:line="48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协议书中相关词语的含义与通用条件中的定义与解释相同。</w:t>
      </w:r>
    </w:p>
    <w:p>
      <w:pPr>
        <w:keepNext w:val="0"/>
        <w:keepLines w:val="0"/>
        <w:pageBreakBefore w:val="0"/>
        <w:kinsoku/>
        <w:wordWrap/>
        <w:overflowPunct/>
        <w:topLinePunct w:val="0"/>
        <w:bidi w:val="0"/>
        <w:spacing w:line="48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rPr>
        <w:t>三、组成本合同的文件</w:t>
      </w:r>
    </w:p>
    <w:p>
      <w:pPr>
        <w:pStyle w:val="29"/>
        <w:keepNext w:val="0"/>
        <w:keepLines w:val="0"/>
        <w:pageBreakBefore w:val="0"/>
        <w:tabs>
          <w:tab w:val="left" w:pos="1232"/>
        </w:tabs>
        <w:kinsoku/>
        <w:wordWrap/>
        <w:overflowPunct/>
        <w:topLinePunct w:val="0"/>
        <w:autoSpaceDE w:val="0"/>
        <w:autoSpaceDN w:val="0"/>
        <w:bidi w:val="0"/>
        <w:spacing w:line="480" w:lineRule="exact"/>
        <w:ind w:left="420" w:leftChars="200" w:firstLine="280" w:firstLineChars="100"/>
        <w:jc w:val="left"/>
        <w:textAlignment w:val="auto"/>
        <w:rPr>
          <w:rFonts w:ascii="宋体" w:hAnsi="宋体"/>
          <w:color w:val="auto"/>
          <w:sz w:val="28"/>
          <w:szCs w:val="28"/>
          <w:highlight w:val="none"/>
        </w:rPr>
      </w:pPr>
      <w:r>
        <w:rPr>
          <w:rFonts w:hint="eastAsia" w:ascii="宋体" w:hAnsi="宋体"/>
          <w:color w:val="auto"/>
          <w:sz w:val="28"/>
          <w:szCs w:val="28"/>
          <w:highlight w:val="none"/>
        </w:rPr>
        <w:t>1.协议书；</w:t>
      </w:r>
    </w:p>
    <w:p>
      <w:pPr>
        <w:pStyle w:val="29"/>
        <w:keepNext w:val="0"/>
        <w:keepLines w:val="0"/>
        <w:pageBreakBefore w:val="0"/>
        <w:tabs>
          <w:tab w:val="left" w:pos="1235"/>
        </w:tabs>
        <w:kinsoku/>
        <w:wordWrap/>
        <w:overflowPunct/>
        <w:topLinePunct w:val="0"/>
        <w:autoSpaceDE w:val="0"/>
        <w:autoSpaceDN w:val="0"/>
        <w:bidi w:val="0"/>
        <w:spacing w:line="480" w:lineRule="exact"/>
        <w:ind w:left="420" w:leftChars="200" w:firstLine="280" w:firstLineChars="100"/>
        <w:jc w:val="left"/>
        <w:textAlignment w:val="auto"/>
        <w:rPr>
          <w:rFonts w:ascii="宋体" w:hAnsi="宋体"/>
          <w:color w:val="auto"/>
          <w:sz w:val="28"/>
          <w:szCs w:val="28"/>
          <w:highlight w:val="none"/>
        </w:rPr>
      </w:pPr>
      <w:r>
        <w:rPr>
          <w:rFonts w:hint="eastAsia" w:ascii="宋体" w:hAnsi="宋体"/>
          <w:color w:val="auto"/>
          <w:sz w:val="28"/>
          <w:szCs w:val="28"/>
          <w:highlight w:val="none"/>
        </w:rPr>
        <w:t>2.中标通知书（适用于招标工程）或委托书（适用于非招标工程）及招标文件；</w:t>
      </w:r>
    </w:p>
    <w:p>
      <w:pPr>
        <w:pStyle w:val="29"/>
        <w:keepNext w:val="0"/>
        <w:keepLines w:val="0"/>
        <w:pageBreakBefore w:val="0"/>
        <w:tabs>
          <w:tab w:val="left" w:pos="1235"/>
        </w:tabs>
        <w:kinsoku/>
        <w:wordWrap/>
        <w:overflowPunct/>
        <w:topLinePunct w:val="0"/>
        <w:autoSpaceDE w:val="0"/>
        <w:autoSpaceDN w:val="0"/>
        <w:bidi w:val="0"/>
        <w:spacing w:line="480" w:lineRule="exact"/>
        <w:ind w:left="420" w:leftChars="200" w:firstLine="280" w:firstLineChars="100"/>
        <w:jc w:val="left"/>
        <w:textAlignment w:val="auto"/>
        <w:rPr>
          <w:rFonts w:hint="eastAsia" w:ascii="宋体" w:hAnsi="宋体"/>
          <w:color w:val="auto"/>
          <w:spacing w:val="-120"/>
          <w:sz w:val="28"/>
          <w:szCs w:val="28"/>
          <w:highlight w:val="none"/>
        </w:rPr>
      </w:pPr>
      <w:r>
        <w:rPr>
          <w:rFonts w:hint="eastAsia" w:ascii="宋体" w:hAnsi="宋体"/>
          <w:color w:val="auto"/>
          <w:sz w:val="28"/>
          <w:szCs w:val="28"/>
          <w:highlight w:val="none"/>
        </w:rPr>
        <w:t>3.投标文件（适用于招标工程）或监理与相关服务建议书（适用于非招标工程）；</w:t>
      </w:r>
    </w:p>
    <w:p>
      <w:pPr>
        <w:pStyle w:val="29"/>
        <w:keepNext w:val="0"/>
        <w:keepLines w:val="0"/>
        <w:pageBreakBefore w:val="0"/>
        <w:tabs>
          <w:tab w:val="left" w:pos="1235"/>
        </w:tabs>
        <w:kinsoku/>
        <w:wordWrap/>
        <w:overflowPunct/>
        <w:topLinePunct w:val="0"/>
        <w:autoSpaceDE w:val="0"/>
        <w:autoSpaceDN w:val="0"/>
        <w:bidi w:val="0"/>
        <w:spacing w:line="480" w:lineRule="exact"/>
        <w:ind w:left="420" w:leftChars="200" w:firstLine="280" w:firstLineChars="100"/>
        <w:jc w:val="left"/>
        <w:textAlignment w:val="auto"/>
        <w:rPr>
          <w:rFonts w:ascii="宋体" w:hAnsi="宋体"/>
          <w:color w:val="auto"/>
          <w:sz w:val="28"/>
          <w:szCs w:val="28"/>
          <w:highlight w:val="none"/>
        </w:rPr>
      </w:pPr>
      <w:r>
        <w:rPr>
          <w:rFonts w:hint="eastAsia" w:ascii="宋体" w:hAnsi="宋体"/>
          <w:color w:val="auto"/>
          <w:sz w:val="28"/>
          <w:szCs w:val="28"/>
          <w:highlight w:val="none"/>
        </w:rPr>
        <w:t>4.专用条件；</w:t>
      </w:r>
    </w:p>
    <w:p>
      <w:pPr>
        <w:pStyle w:val="29"/>
        <w:keepNext w:val="0"/>
        <w:keepLines w:val="0"/>
        <w:pageBreakBefore w:val="0"/>
        <w:tabs>
          <w:tab w:val="left" w:pos="1232"/>
        </w:tabs>
        <w:kinsoku/>
        <w:wordWrap/>
        <w:overflowPunct/>
        <w:topLinePunct w:val="0"/>
        <w:autoSpaceDE w:val="0"/>
        <w:autoSpaceDN w:val="0"/>
        <w:bidi w:val="0"/>
        <w:spacing w:line="480" w:lineRule="exact"/>
        <w:ind w:left="420" w:leftChars="200" w:firstLine="280" w:firstLineChars="100"/>
        <w:jc w:val="left"/>
        <w:textAlignment w:val="auto"/>
        <w:rPr>
          <w:rFonts w:ascii="宋体" w:hAnsi="宋体"/>
          <w:color w:val="auto"/>
          <w:sz w:val="28"/>
          <w:szCs w:val="28"/>
          <w:highlight w:val="none"/>
        </w:rPr>
      </w:pPr>
      <w:r>
        <w:rPr>
          <w:rFonts w:hint="eastAsia" w:ascii="宋体" w:hAnsi="宋体"/>
          <w:color w:val="auto"/>
          <w:sz w:val="28"/>
          <w:szCs w:val="28"/>
          <w:highlight w:val="none"/>
        </w:rPr>
        <w:t>5.通用条件；</w:t>
      </w:r>
    </w:p>
    <w:p>
      <w:pPr>
        <w:pStyle w:val="29"/>
        <w:keepNext w:val="0"/>
        <w:keepLines w:val="0"/>
        <w:pageBreakBefore w:val="0"/>
        <w:tabs>
          <w:tab w:val="left" w:pos="1232"/>
        </w:tabs>
        <w:kinsoku/>
        <w:wordWrap/>
        <w:overflowPunct/>
        <w:topLinePunct w:val="0"/>
        <w:autoSpaceDE w:val="0"/>
        <w:autoSpaceDN w:val="0"/>
        <w:bidi w:val="0"/>
        <w:spacing w:line="480" w:lineRule="exact"/>
        <w:ind w:left="420" w:leftChars="200" w:firstLine="280" w:firstLineChars="100"/>
        <w:jc w:val="left"/>
        <w:textAlignment w:val="auto"/>
        <w:rPr>
          <w:rFonts w:ascii="宋体" w:hAnsi="宋体"/>
          <w:color w:val="auto"/>
          <w:sz w:val="28"/>
          <w:szCs w:val="28"/>
          <w:highlight w:val="none"/>
        </w:rPr>
      </w:pPr>
      <w:r>
        <w:rPr>
          <w:rFonts w:hint="eastAsia" w:ascii="宋体" w:hAnsi="宋体"/>
          <w:color w:val="auto"/>
          <w:sz w:val="28"/>
          <w:szCs w:val="28"/>
          <w:highlight w:val="none"/>
        </w:rPr>
        <w:t>6.招标文件；</w:t>
      </w:r>
    </w:p>
    <w:p>
      <w:pPr>
        <w:pStyle w:val="29"/>
        <w:keepNext w:val="0"/>
        <w:keepLines w:val="0"/>
        <w:pageBreakBefore w:val="0"/>
        <w:tabs>
          <w:tab w:val="left" w:pos="1232"/>
        </w:tabs>
        <w:kinsoku/>
        <w:wordWrap/>
        <w:overflowPunct/>
        <w:topLinePunct w:val="0"/>
        <w:autoSpaceDE w:val="0"/>
        <w:autoSpaceDN w:val="0"/>
        <w:bidi w:val="0"/>
        <w:spacing w:line="480" w:lineRule="exact"/>
        <w:ind w:left="420" w:leftChars="200" w:firstLine="0" w:firstLineChars="0"/>
        <w:jc w:val="left"/>
        <w:textAlignment w:val="auto"/>
        <w:rPr>
          <w:rFonts w:ascii="宋体" w:hAnsi="宋体"/>
          <w:color w:val="auto"/>
          <w:sz w:val="28"/>
          <w:szCs w:val="28"/>
          <w:highlight w:val="none"/>
        </w:rPr>
      </w:pPr>
      <w:r>
        <w:rPr>
          <w:rFonts w:hint="eastAsia" w:ascii="宋体" w:hAnsi="宋体"/>
          <w:color w:val="auto"/>
          <w:sz w:val="28"/>
          <w:szCs w:val="28"/>
          <w:highlight w:val="none"/>
        </w:rPr>
        <w:t>附录，即：</w:t>
      </w:r>
    </w:p>
    <w:p>
      <w:pPr>
        <w:keepNext w:val="0"/>
        <w:keepLines w:val="0"/>
        <w:pageBreakBefore w:val="0"/>
        <w:tabs>
          <w:tab w:val="left" w:pos="1771"/>
        </w:tabs>
        <w:kinsoku/>
        <w:wordWrap/>
        <w:overflowPunct/>
        <w:topLinePunct w:val="0"/>
        <w:bidi w:val="0"/>
        <w:spacing w:line="48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附录A</w:t>
      </w:r>
      <w:r>
        <w:rPr>
          <w:rFonts w:hint="eastAsia" w:ascii="宋体" w:hAnsi="宋体"/>
          <w:color w:val="auto"/>
          <w:sz w:val="28"/>
          <w:szCs w:val="28"/>
          <w:highlight w:val="none"/>
        </w:rPr>
        <w:tab/>
      </w:r>
      <w:r>
        <w:rPr>
          <w:rFonts w:hint="eastAsia" w:ascii="宋体" w:hAnsi="宋体"/>
          <w:color w:val="auto"/>
          <w:sz w:val="28"/>
          <w:szCs w:val="28"/>
          <w:highlight w:val="none"/>
        </w:rPr>
        <w:t>相关服务的范围和内容</w:t>
      </w:r>
    </w:p>
    <w:p>
      <w:pPr>
        <w:keepNext w:val="0"/>
        <w:keepLines w:val="0"/>
        <w:pageBreakBefore w:val="0"/>
        <w:tabs>
          <w:tab w:val="left" w:pos="1776"/>
        </w:tabs>
        <w:kinsoku/>
        <w:wordWrap/>
        <w:overflowPunct/>
        <w:topLinePunct w:val="0"/>
        <w:bidi w:val="0"/>
        <w:spacing w:line="48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附录B</w:t>
      </w:r>
      <w:r>
        <w:rPr>
          <w:rFonts w:hint="eastAsia" w:ascii="宋体" w:hAnsi="宋体"/>
          <w:color w:val="auto"/>
          <w:sz w:val="28"/>
          <w:szCs w:val="28"/>
          <w:highlight w:val="none"/>
        </w:rPr>
        <w:tab/>
      </w:r>
      <w:r>
        <w:rPr>
          <w:rFonts w:hint="eastAsia" w:ascii="宋体" w:hAnsi="宋体"/>
          <w:color w:val="auto"/>
          <w:sz w:val="28"/>
          <w:szCs w:val="28"/>
          <w:highlight w:val="none"/>
        </w:rPr>
        <w:t>委托人派遣的人员和提供的房屋、资料、设备</w:t>
      </w:r>
    </w:p>
    <w:p>
      <w:pPr>
        <w:keepNext w:val="0"/>
        <w:keepLines w:val="0"/>
        <w:pageBreakBefore w:val="0"/>
        <w:kinsoku/>
        <w:wordWrap/>
        <w:overflowPunct/>
        <w:topLinePunct w:val="0"/>
        <w:bidi w:val="0"/>
        <w:spacing w:line="48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本合同签订后，双方依法签订的补充协议也是本合同文件的组成部分。</w:t>
      </w:r>
    </w:p>
    <w:p>
      <w:pPr>
        <w:keepNext w:val="0"/>
        <w:keepLines w:val="0"/>
        <w:pageBreakBefore w:val="0"/>
        <w:kinsoku/>
        <w:wordWrap/>
        <w:overflowPunct/>
        <w:topLinePunct w:val="0"/>
        <w:bidi w:val="0"/>
        <w:spacing w:line="48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rPr>
        <w:t>四、总监理工程师</w:t>
      </w:r>
    </w:p>
    <w:p>
      <w:pPr>
        <w:keepNext w:val="0"/>
        <w:keepLines w:val="0"/>
        <w:pageBreakBefore w:val="0"/>
        <w:tabs>
          <w:tab w:val="left" w:pos="2916"/>
          <w:tab w:val="left" w:pos="4726"/>
          <w:tab w:val="left" w:pos="8199"/>
        </w:tabs>
        <w:kinsoku/>
        <w:wordWrap/>
        <w:overflowPunct/>
        <w:topLinePunct w:val="0"/>
        <w:bidi w:val="0"/>
        <w:spacing w:line="480" w:lineRule="exact"/>
        <w:ind w:left="559" w:leftChars="266" w:firstLine="0" w:firstLineChars="0"/>
        <w:textAlignment w:val="auto"/>
        <w:rPr>
          <w:rFonts w:ascii="宋体" w:hAnsi="宋体"/>
          <w:color w:val="auto"/>
          <w:sz w:val="28"/>
          <w:szCs w:val="28"/>
          <w:highlight w:val="none"/>
          <w:u w:val="single"/>
        </w:rPr>
      </w:pPr>
      <w:r>
        <w:rPr>
          <w:rFonts w:hint="eastAsia" w:ascii="宋体" w:hAnsi="宋体"/>
          <w:color w:val="auto"/>
          <w:spacing w:val="19"/>
          <w:sz w:val="28"/>
          <w:szCs w:val="28"/>
          <w:highlight w:val="none"/>
        </w:rPr>
        <w:t>总监</w:t>
      </w:r>
      <w:r>
        <w:rPr>
          <w:rFonts w:hint="eastAsia" w:ascii="宋体" w:hAnsi="宋体"/>
          <w:color w:val="auto"/>
          <w:spacing w:val="16"/>
          <w:sz w:val="28"/>
          <w:szCs w:val="28"/>
          <w:highlight w:val="none"/>
        </w:rPr>
        <w:t>理</w:t>
      </w:r>
      <w:r>
        <w:rPr>
          <w:rFonts w:hint="eastAsia" w:ascii="宋体" w:hAnsi="宋体"/>
          <w:color w:val="auto"/>
          <w:spacing w:val="19"/>
          <w:sz w:val="28"/>
          <w:szCs w:val="28"/>
          <w:highlight w:val="none"/>
        </w:rPr>
        <w:t>工程师</w:t>
      </w:r>
      <w:r>
        <w:rPr>
          <w:rFonts w:hint="eastAsia" w:ascii="宋体" w:hAnsi="宋体"/>
          <w:color w:val="auto"/>
          <w:spacing w:val="16"/>
          <w:sz w:val="28"/>
          <w:szCs w:val="28"/>
          <w:highlight w:val="none"/>
        </w:rPr>
        <w:t>姓</w:t>
      </w:r>
      <w:r>
        <w:rPr>
          <w:rFonts w:hint="eastAsia" w:ascii="宋体" w:hAnsi="宋体"/>
          <w:color w:val="auto"/>
          <w:spacing w:val="19"/>
          <w:sz w:val="28"/>
          <w:szCs w:val="28"/>
          <w:highlight w:val="none"/>
        </w:rPr>
        <w:t>名：</w:t>
      </w:r>
      <w:r>
        <w:rPr>
          <w:rFonts w:hint="eastAsia" w:ascii="宋体" w:hAnsi="宋体"/>
          <w:color w:val="auto"/>
          <w:spacing w:val="19"/>
          <w:sz w:val="28"/>
          <w:szCs w:val="28"/>
          <w:highlight w:val="none"/>
          <w:u w:val="single"/>
          <w:lang w:val="en-US" w:eastAsia="zh-CN"/>
        </w:rPr>
        <w:t xml:space="preserve">    </w:t>
      </w:r>
      <w:r>
        <w:rPr>
          <w:rFonts w:hint="eastAsia" w:ascii="宋体" w:hAnsi="宋体"/>
          <w:color w:val="auto"/>
          <w:spacing w:val="19"/>
          <w:sz w:val="28"/>
          <w:szCs w:val="28"/>
          <w:highlight w:val="none"/>
        </w:rPr>
        <w:t>，身</w:t>
      </w:r>
      <w:r>
        <w:rPr>
          <w:rFonts w:hint="eastAsia" w:ascii="宋体" w:hAnsi="宋体"/>
          <w:color w:val="auto"/>
          <w:spacing w:val="16"/>
          <w:sz w:val="28"/>
          <w:szCs w:val="28"/>
          <w:highlight w:val="none"/>
        </w:rPr>
        <w:t>份</w:t>
      </w:r>
      <w:r>
        <w:rPr>
          <w:rFonts w:hint="eastAsia" w:ascii="宋体" w:hAnsi="宋体"/>
          <w:color w:val="auto"/>
          <w:spacing w:val="19"/>
          <w:sz w:val="28"/>
          <w:szCs w:val="28"/>
          <w:highlight w:val="none"/>
        </w:rPr>
        <w:t>证号码</w:t>
      </w:r>
      <w:r>
        <w:rPr>
          <w:rFonts w:hint="eastAsia" w:ascii="宋体" w:hAnsi="宋体"/>
          <w:color w:val="auto"/>
          <w:spacing w:val="16"/>
          <w:sz w:val="28"/>
          <w:szCs w:val="28"/>
          <w:highlight w:val="none"/>
        </w:rPr>
        <w:t>：</w:t>
      </w:r>
      <w:r>
        <w:rPr>
          <w:rFonts w:hint="eastAsia" w:ascii="宋体" w:hAnsi="宋体"/>
          <w:color w:val="auto"/>
          <w:spacing w:val="16"/>
          <w:sz w:val="28"/>
          <w:szCs w:val="28"/>
          <w:highlight w:val="none"/>
          <w:u w:val="single"/>
          <w:lang w:val="en-US" w:eastAsia="zh-CN"/>
        </w:rPr>
        <w:t xml:space="preserve">                </w:t>
      </w:r>
      <w:r>
        <w:rPr>
          <w:rFonts w:hint="eastAsia" w:ascii="宋体" w:hAnsi="宋体"/>
          <w:color w:val="auto"/>
          <w:spacing w:val="19"/>
          <w:sz w:val="28"/>
          <w:szCs w:val="28"/>
          <w:highlight w:val="none"/>
        </w:rPr>
        <w:t>，注</w:t>
      </w:r>
      <w:r>
        <w:rPr>
          <w:rFonts w:hint="eastAsia" w:ascii="宋体" w:hAnsi="宋体"/>
          <w:color w:val="auto"/>
          <w:spacing w:val="-17"/>
          <w:sz w:val="28"/>
          <w:szCs w:val="28"/>
          <w:highlight w:val="none"/>
        </w:rPr>
        <w:t>册</w:t>
      </w:r>
      <w:r>
        <w:rPr>
          <w:rFonts w:hint="eastAsia" w:ascii="宋体" w:hAnsi="宋体"/>
          <w:color w:val="auto"/>
          <w:sz w:val="28"/>
          <w:szCs w:val="28"/>
          <w:highlight w:val="none"/>
        </w:rPr>
        <w:t>号：</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keepNext w:val="0"/>
        <w:keepLines w:val="0"/>
        <w:pageBreakBefore w:val="0"/>
        <w:kinsoku/>
        <w:wordWrap/>
        <w:overflowPunct/>
        <w:topLinePunct w:val="0"/>
        <w:bidi w:val="0"/>
        <w:spacing w:line="48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rPr>
        <w:t>五、签约酬金</w:t>
      </w:r>
    </w:p>
    <w:p>
      <w:pPr>
        <w:keepNext w:val="0"/>
        <w:keepLines w:val="0"/>
        <w:pageBreakBefore w:val="0"/>
        <w:widowControl/>
        <w:tabs>
          <w:tab w:val="left" w:pos="5556"/>
          <w:tab w:val="left" w:pos="6876"/>
        </w:tabs>
        <w:kinsoku/>
        <w:wordWrap/>
        <w:overflowPunct/>
        <w:topLinePunct w:val="0"/>
        <w:autoSpaceDE/>
        <w:autoSpaceDN/>
        <w:bidi w:val="0"/>
        <w:adjustRightInd/>
        <w:snapToGrid w:val="0"/>
        <w:spacing w:line="480" w:lineRule="exact"/>
        <w:ind w:firstLine="624" w:firstLineChars="200"/>
        <w:textAlignment w:val="auto"/>
        <w:rPr>
          <w:rFonts w:ascii="宋体" w:hAnsi="宋体"/>
          <w:color w:val="auto"/>
          <w:sz w:val="28"/>
          <w:szCs w:val="28"/>
          <w:highlight w:val="none"/>
        </w:rPr>
      </w:pPr>
      <w:r>
        <w:rPr>
          <w:rFonts w:hint="eastAsia" w:ascii="宋体" w:hAnsi="宋体"/>
          <w:color w:val="auto"/>
          <w:spacing w:val="16"/>
          <w:sz w:val="28"/>
          <w:szCs w:val="28"/>
          <w:highlight w:val="none"/>
        </w:rPr>
        <w:t>签约酬金（大写）：</w:t>
      </w:r>
      <w:r>
        <w:rPr>
          <w:rFonts w:hint="eastAsia" w:ascii="宋体" w:hAnsi="宋体"/>
          <w:color w:val="auto"/>
          <w:spacing w:val="16"/>
          <w:sz w:val="28"/>
          <w:szCs w:val="28"/>
          <w:highlight w:val="none"/>
          <w:u w:val="single"/>
          <w:lang w:val="en-US" w:eastAsia="zh-CN"/>
        </w:rPr>
        <w:t xml:space="preserve">                </w:t>
      </w:r>
      <w:r>
        <w:rPr>
          <w:rFonts w:hint="eastAsia" w:ascii="宋体" w:hAnsi="宋体"/>
          <w:color w:val="auto"/>
          <w:spacing w:val="16"/>
          <w:sz w:val="28"/>
          <w:szCs w:val="28"/>
          <w:highlight w:val="none"/>
          <w:u w:val="single"/>
        </w:rPr>
        <w:t>（</w:t>
      </w:r>
      <w:r>
        <w:rPr>
          <w:rFonts w:ascii="宋体" w:hAnsi="宋体"/>
          <w:color w:val="auto"/>
          <w:sz w:val="28"/>
          <w:szCs w:val="28"/>
          <w:highlight w:val="none"/>
          <w:u w:val="single"/>
        </w:rPr>
        <w:t>¥</w:t>
      </w:r>
      <w:r>
        <w:rPr>
          <w:rFonts w:hint="eastAsia" w:ascii="宋体" w:hAnsi="宋体"/>
          <w:color w:val="auto"/>
          <w:spacing w:val="16"/>
          <w:sz w:val="28"/>
          <w:szCs w:val="28"/>
          <w:highlight w:val="none"/>
          <w:u w:val="single"/>
          <w:lang w:val="en-US" w:eastAsia="zh-CN"/>
        </w:rPr>
        <w:t xml:space="preserve">        </w:t>
      </w:r>
      <w:r>
        <w:rPr>
          <w:rFonts w:hint="eastAsia" w:ascii="宋体" w:hAnsi="宋体"/>
          <w:color w:val="auto"/>
          <w:spacing w:val="16"/>
          <w:sz w:val="28"/>
          <w:szCs w:val="28"/>
          <w:highlight w:val="none"/>
          <w:u w:val="single"/>
        </w:rPr>
        <w:t>元</w:t>
      </w:r>
      <w:r>
        <w:rPr>
          <w:rFonts w:hint="eastAsia" w:ascii="宋体" w:hAnsi="宋体"/>
          <w:color w:val="auto"/>
          <w:spacing w:val="16"/>
          <w:sz w:val="28"/>
          <w:szCs w:val="28"/>
          <w:highlight w:val="none"/>
          <w:u w:val="single"/>
          <w:lang w:eastAsia="zh-CN"/>
        </w:rPr>
        <w:t>）</w:t>
      </w:r>
      <w:r>
        <w:rPr>
          <w:rFonts w:hint="eastAsia" w:ascii="宋体" w:hAnsi="宋体" w:eastAsia="宋体" w:cs="Times New Roman"/>
          <w:color w:val="auto"/>
          <w:sz w:val="28"/>
          <w:szCs w:val="28"/>
          <w:highlight w:val="none"/>
          <w:lang w:eastAsia="zh-CN"/>
        </w:rPr>
        <w:t>，</w:t>
      </w:r>
      <w:r>
        <w:rPr>
          <w:rFonts w:hint="eastAsia" w:ascii="宋体" w:hAnsi="宋体"/>
          <w:color w:val="auto"/>
          <w:sz w:val="28"/>
          <w:szCs w:val="28"/>
          <w:highlight w:val="none"/>
        </w:rPr>
        <w:t>最终结算价</w:t>
      </w:r>
      <w:r>
        <w:rPr>
          <w:rFonts w:hint="eastAsia" w:ascii="宋体" w:hAnsi="宋体"/>
          <w:color w:val="auto"/>
          <w:spacing w:val="-39"/>
          <w:sz w:val="28"/>
          <w:szCs w:val="28"/>
          <w:highlight w:val="none"/>
        </w:rPr>
        <w:t>按</w:t>
      </w:r>
      <w:r>
        <w:rPr>
          <w:rFonts w:hint="eastAsia" w:ascii="宋体" w:hAnsi="宋体"/>
          <w:color w:val="auto"/>
          <w:sz w:val="28"/>
          <w:szCs w:val="28"/>
          <w:highlight w:val="none"/>
        </w:rPr>
        <w:t>《</w:t>
      </w:r>
      <w:r>
        <w:rPr>
          <w:rFonts w:hint="eastAsia" w:ascii="宋体" w:hAnsi="宋体"/>
          <w:color w:val="auto"/>
          <w:spacing w:val="-16"/>
          <w:sz w:val="28"/>
          <w:szCs w:val="28"/>
          <w:highlight w:val="none"/>
        </w:rPr>
        <w:t>建</w:t>
      </w:r>
      <w:r>
        <w:rPr>
          <w:rFonts w:hint="eastAsia" w:ascii="宋体" w:hAnsi="宋体"/>
          <w:color w:val="auto"/>
          <w:sz w:val="28"/>
          <w:szCs w:val="28"/>
          <w:highlight w:val="none"/>
        </w:rPr>
        <w:t>设工程监理与相关服务收费标准》及经开区财政局审核结果进行结算。</w:t>
      </w:r>
    </w:p>
    <w:p>
      <w:pPr>
        <w:keepNext w:val="0"/>
        <w:keepLines w:val="0"/>
        <w:pageBreakBefore w:val="0"/>
        <w:numPr>
          <w:ilvl w:val="0"/>
          <w:numId w:val="0"/>
        </w:numPr>
        <w:kinsoku/>
        <w:wordWrap/>
        <w:overflowPunct/>
        <w:topLinePunct w:val="0"/>
        <w:bidi w:val="0"/>
        <w:snapToGrid w:val="0"/>
        <w:spacing w:line="48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最终结算监理费计算基数以区财政部门最终审定的建安工程结算价为准，按国家发改委价格【2007】670号文标准计算出项目监理服务费基准价×60%×</w:t>
      </w:r>
      <w:r>
        <w:rPr>
          <w:rFonts w:hint="eastAsia" w:ascii="宋体" w:hAnsi="宋体" w:cs="宋体"/>
          <w:color w:val="auto"/>
          <w:spacing w:val="0"/>
          <w:sz w:val="28"/>
          <w:szCs w:val="28"/>
          <w:highlight w:val="none"/>
        </w:rPr>
        <w:t>（1－</w:t>
      </w:r>
      <w:r>
        <w:rPr>
          <w:rFonts w:hint="eastAsia" w:ascii="宋体" w:hAnsi="宋体" w:cs="宋体"/>
          <w:color w:val="auto"/>
          <w:spacing w:val="0"/>
          <w:sz w:val="28"/>
          <w:szCs w:val="28"/>
          <w:highlight w:val="none"/>
          <w:u w:val="single"/>
          <w:lang w:val="en-US" w:eastAsia="zh-CN"/>
        </w:rPr>
        <w:t xml:space="preserve">   </w:t>
      </w:r>
      <w:r>
        <w:rPr>
          <w:rFonts w:hint="eastAsia" w:ascii="宋体" w:hAnsi="宋体" w:cs="宋体"/>
          <w:color w:val="auto"/>
          <w:spacing w:val="0"/>
          <w:sz w:val="28"/>
          <w:szCs w:val="28"/>
          <w:highlight w:val="none"/>
        </w:rPr>
        <w:t>%）</w:t>
      </w:r>
      <w:r>
        <w:rPr>
          <w:rFonts w:hint="eastAsia" w:ascii="宋体" w:hAnsi="宋体" w:cs="宋体"/>
          <w:color w:val="auto"/>
          <w:sz w:val="28"/>
          <w:szCs w:val="28"/>
          <w:highlight w:val="none"/>
        </w:rPr>
        <w:t>,监理服务费最高限额为</w:t>
      </w:r>
      <w:r>
        <w:rPr>
          <w:rFonts w:hint="eastAsia" w:ascii="宋体" w:hAnsi="宋体" w:cs="宋体"/>
          <w:color w:val="auto"/>
          <w:sz w:val="28"/>
          <w:szCs w:val="28"/>
          <w:highlight w:val="none"/>
          <w:u w:val="single"/>
          <w:lang w:val="en-US" w:eastAsia="zh-CN"/>
        </w:rPr>
        <w:t xml:space="preserve"> 111.37 </w:t>
      </w:r>
      <w:r>
        <w:rPr>
          <w:rFonts w:hint="eastAsia" w:ascii="宋体" w:hAnsi="宋体" w:cs="宋体"/>
          <w:color w:val="auto"/>
          <w:sz w:val="28"/>
          <w:szCs w:val="28"/>
          <w:highlight w:val="none"/>
        </w:rPr>
        <w:t>万元，结算若高于</w:t>
      </w:r>
      <w:r>
        <w:rPr>
          <w:rFonts w:hint="eastAsia" w:ascii="宋体" w:hAnsi="宋体" w:cs="宋体"/>
          <w:color w:val="auto"/>
          <w:sz w:val="28"/>
          <w:szCs w:val="28"/>
          <w:highlight w:val="none"/>
          <w:u w:val="single"/>
          <w:lang w:val="en-US" w:eastAsia="zh-CN"/>
        </w:rPr>
        <w:t>111.37</w:t>
      </w:r>
      <w:r>
        <w:rPr>
          <w:rFonts w:hint="eastAsia" w:ascii="宋体" w:hAnsi="宋体" w:cs="宋体"/>
          <w:color w:val="auto"/>
          <w:sz w:val="28"/>
          <w:szCs w:val="28"/>
          <w:highlight w:val="none"/>
        </w:rPr>
        <w:t>万元则以</w:t>
      </w:r>
      <w:r>
        <w:rPr>
          <w:rFonts w:hint="eastAsia" w:ascii="宋体" w:hAnsi="宋体" w:cs="宋体"/>
          <w:color w:val="auto"/>
          <w:sz w:val="28"/>
          <w:szCs w:val="28"/>
          <w:highlight w:val="none"/>
          <w:lang w:val="en-US" w:eastAsia="zh-CN"/>
        </w:rPr>
        <w:t>111.37</w:t>
      </w:r>
      <w:r>
        <w:rPr>
          <w:rFonts w:hint="eastAsia" w:ascii="宋体" w:hAnsi="宋体" w:cs="宋体"/>
          <w:color w:val="auto"/>
          <w:sz w:val="28"/>
          <w:szCs w:val="28"/>
          <w:highlight w:val="none"/>
        </w:rPr>
        <w:t>万元作为最终结算价。监理服务费最高限额不因建安费的增加而调整。a是监理人投报监理费浮动系数</w:t>
      </w:r>
      <w:r>
        <w:rPr>
          <w:rFonts w:hint="eastAsia" w:ascii="宋体" w:hAnsi="宋体" w:cs="宋体"/>
          <w:color w:val="auto"/>
          <w:spacing w:val="0"/>
          <w:sz w:val="28"/>
          <w:szCs w:val="28"/>
          <w:highlight w:val="none"/>
        </w:rPr>
        <w:t>（用百分比表示）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监理人所投的报价为本工程监理收费及签订合同依据。</w:t>
      </w:r>
    </w:p>
    <w:p>
      <w:pPr>
        <w:keepNext w:val="0"/>
        <w:keepLines w:val="0"/>
        <w:pageBreakBefore w:val="0"/>
        <w:kinsoku/>
        <w:wordWrap/>
        <w:overflowPunct/>
        <w:topLinePunct w:val="0"/>
        <w:bidi w:val="0"/>
        <w:snapToGrid w:val="0"/>
        <w:spacing w:line="48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（2）专业调整系数、复杂程度调整系数及高程调整系数均按“1.0”计算，不予调整。</w:t>
      </w:r>
    </w:p>
    <w:p>
      <w:pPr>
        <w:keepNext w:val="0"/>
        <w:keepLines w:val="0"/>
        <w:pageBreakBefore w:val="0"/>
        <w:kinsoku/>
        <w:wordWrap/>
        <w:overflowPunct/>
        <w:topLinePunct w:val="0"/>
        <w:bidi w:val="0"/>
        <w:snapToGrid w:val="0"/>
        <w:spacing w:line="48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包括：</w:t>
      </w:r>
    </w:p>
    <w:p>
      <w:pPr>
        <w:keepNext w:val="0"/>
        <w:keepLines w:val="0"/>
        <w:pageBreakBefore w:val="0"/>
        <w:widowControl w:val="0"/>
        <w:numPr>
          <w:ilvl w:val="0"/>
          <w:numId w:val="5"/>
        </w:numPr>
        <w:kinsoku/>
        <w:wordWrap/>
        <w:overflowPunct/>
        <w:topLinePunct w:val="0"/>
        <w:bidi w:val="0"/>
        <w:adjustRightInd w:val="0"/>
        <w:snapToGrid w:val="0"/>
        <w:spacing w:line="480" w:lineRule="exact"/>
        <w:ind w:firstLine="560" w:firstLineChars="200"/>
        <w:jc w:val="both"/>
        <w:textAlignment w:val="auto"/>
        <w:rPr>
          <w:rFonts w:ascii="宋体" w:hAnsi="宋体" w:cs="宋体"/>
          <w:color w:val="auto"/>
          <w:sz w:val="28"/>
          <w:szCs w:val="28"/>
          <w:highlight w:val="none"/>
          <w:u w:val="single"/>
        </w:rPr>
      </w:pPr>
      <w:r>
        <w:rPr>
          <w:rFonts w:hint="eastAsia" w:ascii="宋体" w:hAnsi="宋体" w:cs="宋体"/>
          <w:color w:val="auto"/>
          <w:sz w:val="28"/>
          <w:szCs w:val="28"/>
          <w:highlight w:val="none"/>
        </w:rPr>
        <w:t>监理酬金：</w:t>
      </w:r>
      <w:r>
        <w:rPr>
          <w:rFonts w:hint="eastAsia" w:ascii="宋体" w:hAnsi="宋体" w:cs="宋体"/>
          <w:color w:val="auto"/>
          <w:sz w:val="28"/>
          <w:szCs w:val="28"/>
          <w:highlight w:val="none"/>
          <w:u w:val="single"/>
        </w:rPr>
        <w:t xml:space="preserve">施工阶段及保修阶段的监理服务费。 </w:t>
      </w:r>
    </w:p>
    <w:p>
      <w:pPr>
        <w:keepNext w:val="0"/>
        <w:keepLines w:val="0"/>
        <w:pageBreakBefore w:val="0"/>
        <w:kinsoku/>
        <w:wordWrap/>
        <w:overflowPunct/>
        <w:topLinePunct w:val="0"/>
        <w:bidi w:val="0"/>
        <w:spacing w:line="48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rPr>
        <w:t>六、期限</w:t>
      </w:r>
    </w:p>
    <w:p>
      <w:pPr>
        <w:keepNext w:val="0"/>
        <w:keepLines w:val="0"/>
        <w:pageBreakBefore w:val="0"/>
        <w:kinsoku/>
        <w:wordWrap/>
        <w:overflowPunct/>
        <w:topLinePunct w:val="0"/>
        <w:bidi w:val="0"/>
        <w:snapToGrid w:val="0"/>
        <w:spacing w:line="480" w:lineRule="exact"/>
        <w:ind w:firstLine="560" w:firstLineChars="200"/>
        <w:textAlignment w:val="auto"/>
        <w:rPr>
          <w:rFonts w:ascii="宋体" w:hAnsi="宋体" w:cs="宋体"/>
          <w:color w:val="auto"/>
          <w:sz w:val="28"/>
          <w:szCs w:val="28"/>
          <w:highlight w:val="none"/>
        </w:rPr>
      </w:pPr>
      <w:r>
        <w:rPr>
          <w:rFonts w:hint="eastAsia" w:ascii="宋体" w:hAnsi="宋体"/>
          <w:color w:val="auto"/>
          <w:sz w:val="28"/>
          <w:szCs w:val="28"/>
          <w:highlight w:val="none"/>
        </w:rPr>
        <w:t>1.监理期限：</w:t>
      </w:r>
      <w:r>
        <w:rPr>
          <w:rFonts w:hint="eastAsia" w:ascii="宋体" w:hAnsi="宋体" w:cs="宋体"/>
          <w:color w:val="auto"/>
          <w:sz w:val="28"/>
          <w:szCs w:val="28"/>
          <w:highlight w:val="none"/>
          <w:u w:val="single"/>
          <w:shd w:val="clear" w:color="auto" w:fill="FFFFFF"/>
        </w:rPr>
        <w:t>自签订本合同之日始，至工程验收合格并完成移交、施工合同约定的工程质量缺陷责任期满止。其中，</w:t>
      </w:r>
      <w:r>
        <w:rPr>
          <w:rFonts w:hint="eastAsia" w:ascii="宋体" w:hAnsi="宋体" w:cs="宋体"/>
          <w:color w:val="auto"/>
          <w:sz w:val="28"/>
          <w:szCs w:val="28"/>
          <w:highlight w:val="none"/>
          <w:u w:val="single"/>
        </w:rPr>
        <w:t xml:space="preserve">施工工期为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日历天</w:t>
      </w:r>
      <w:r>
        <w:rPr>
          <w:rFonts w:hint="eastAsia" w:ascii="宋体" w:hAnsi="宋体" w:cs="宋体"/>
          <w:color w:val="auto"/>
          <w:sz w:val="28"/>
          <w:szCs w:val="28"/>
          <w:highlight w:val="none"/>
          <w:u w:val="single"/>
          <w:shd w:val="clear" w:color="auto" w:fill="FFFFFF"/>
        </w:rPr>
        <w:t>。</w:t>
      </w:r>
    </w:p>
    <w:p>
      <w:pPr>
        <w:pStyle w:val="29"/>
        <w:keepNext w:val="0"/>
        <w:keepLines w:val="0"/>
        <w:pageBreakBefore w:val="0"/>
        <w:tabs>
          <w:tab w:val="left" w:pos="1357"/>
        </w:tabs>
        <w:kinsoku/>
        <w:wordWrap/>
        <w:overflowPunct/>
        <w:topLinePunct w:val="0"/>
        <w:autoSpaceDE w:val="0"/>
        <w:autoSpaceDN w:val="0"/>
        <w:bidi w:val="0"/>
        <w:spacing w:line="480" w:lineRule="exact"/>
        <w:ind w:left="480" w:firstLine="0" w:firstLineChars="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施工工期计划自</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日始，至</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日</w:t>
      </w:r>
    </w:p>
    <w:p>
      <w:pPr>
        <w:pStyle w:val="29"/>
        <w:keepNext w:val="0"/>
        <w:keepLines w:val="0"/>
        <w:pageBreakBefore w:val="0"/>
        <w:tabs>
          <w:tab w:val="left" w:pos="1357"/>
        </w:tabs>
        <w:kinsoku/>
        <w:wordWrap/>
        <w:overflowPunct/>
        <w:topLinePunct w:val="0"/>
        <w:autoSpaceDE w:val="0"/>
        <w:autoSpaceDN w:val="0"/>
        <w:bidi w:val="0"/>
        <w:spacing w:line="480" w:lineRule="exact"/>
        <w:ind w:firstLine="0" w:firstLineChars="0"/>
        <w:jc w:val="left"/>
        <w:textAlignment w:val="auto"/>
        <w:rPr>
          <w:rFonts w:ascii="宋体" w:hAnsi="宋体"/>
          <w:color w:val="auto"/>
          <w:sz w:val="28"/>
          <w:szCs w:val="28"/>
          <w:highlight w:val="none"/>
        </w:rPr>
      </w:pPr>
      <w:r>
        <w:rPr>
          <w:rFonts w:hint="eastAsia" w:ascii="宋体" w:hAnsi="宋体" w:cs="宋体"/>
          <w:color w:val="auto"/>
          <w:sz w:val="28"/>
          <w:szCs w:val="28"/>
          <w:highlight w:val="none"/>
        </w:rPr>
        <w:t>止。具体开工时间，以开工令中署名的开工时间为准，竣工时间以实际施工完成验收合格</w:t>
      </w:r>
      <w:r>
        <w:rPr>
          <w:rFonts w:hint="eastAsia" w:ascii="宋体" w:hAnsi="宋体" w:cs="宋体"/>
          <w:color w:val="auto"/>
          <w:sz w:val="28"/>
          <w:szCs w:val="28"/>
          <w:highlight w:val="none"/>
          <w:lang w:val="en-US" w:eastAsia="zh-CN"/>
        </w:rPr>
        <w:t>为止</w:t>
      </w:r>
      <w:r>
        <w:rPr>
          <w:rFonts w:hint="eastAsia" w:ascii="宋体" w:hAnsi="宋体" w:cs="宋体"/>
          <w:color w:val="auto"/>
          <w:sz w:val="28"/>
          <w:szCs w:val="28"/>
          <w:highlight w:val="none"/>
        </w:rPr>
        <w:t>。</w:t>
      </w:r>
    </w:p>
    <w:p>
      <w:pPr>
        <w:pStyle w:val="29"/>
        <w:keepNext w:val="0"/>
        <w:keepLines w:val="0"/>
        <w:pageBreakBefore w:val="0"/>
        <w:tabs>
          <w:tab w:val="left" w:pos="1357"/>
        </w:tabs>
        <w:kinsoku/>
        <w:wordWrap/>
        <w:overflowPunct/>
        <w:topLinePunct w:val="0"/>
        <w:autoSpaceDE w:val="0"/>
        <w:autoSpaceDN w:val="0"/>
        <w:bidi w:val="0"/>
        <w:spacing w:line="480" w:lineRule="exact"/>
        <w:ind w:left="468" w:firstLine="0" w:firstLineChars="0"/>
        <w:jc w:val="left"/>
        <w:textAlignment w:val="auto"/>
        <w:rPr>
          <w:rFonts w:ascii="宋体" w:hAnsi="宋体"/>
          <w:b/>
          <w:color w:val="auto"/>
          <w:sz w:val="28"/>
          <w:szCs w:val="28"/>
          <w:highlight w:val="none"/>
        </w:rPr>
      </w:pPr>
      <w:r>
        <w:rPr>
          <w:rFonts w:hint="eastAsia" w:ascii="宋体" w:hAnsi="宋体"/>
          <w:color w:val="auto"/>
          <w:spacing w:val="-3"/>
          <w:sz w:val="28"/>
          <w:szCs w:val="28"/>
          <w:highlight w:val="none"/>
        </w:rPr>
        <w:t>2.相关服务期限：</w:t>
      </w:r>
      <w:r>
        <w:rPr>
          <w:rFonts w:hint="eastAsia" w:ascii="宋体" w:hAnsi="宋体" w:eastAsia="宋体" w:cs="Times New Roman"/>
          <w:color w:val="auto"/>
          <w:spacing w:val="-3"/>
          <w:sz w:val="28"/>
          <w:szCs w:val="28"/>
          <w:highlight w:val="none"/>
          <w:lang w:val="en-US" w:eastAsia="zh-CN"/>
        </w:rPr>
        <w:t>保修阶段服务期限自工程竣工验收合格日起满2年。</w:t>
      </w:r>
      <w:r>
        <w:rPr>
          <w:rFonts w:hint="eastAsia" w:ascii="宋体" w:hAnsi="宋体" w:eastAsia="宋体" w:cs="Times New Roman"/>
          <w:color w:val="auto"/>
          <w:spacing w:val="-3"/>
          <w:sz w:val="28"/>
          <w:szCs w:val="28"/>
          <w:highlight w:val="none"/>
        </w:rPr>
        <w:t xml:space="preserve"> </w:t>
      </w:r>
    </w:p>
    <w:p>
      <w:pPr>
        <w:pStyle w:val="29"/>
        <w:keepNext w:val="0"/>
        <w:keepLines w:val="0"/>
        <w:pageBreakBefore w:val="0"/>
        <w:tabs>
          <w:tab w:val="left" w:pos="1357"/>
        </w:tabs>
        <w:kinsoku/>
        <w:wordWrap/>
        <w:overflowPunct/>
        <w:topLinePunct w:val="0"/>
        <w:autoSpaceDE w:val="0"/>
        <w:autoSpaceDN w:val="0"/>
        <w:bidi w:val="0"/>
        <w:spacing w:line="480" w:lineRule="exact"/>
        <w:ind w:left="482" w:firstLine="0" w:firstLineChars="0"/>
        <w:jc w:val="left"/>
        <w:textAlignment w:val="auto"/>
        <w:rPr>
          <w:rFonts w:ascii="宋体" w:hAnsi="宋体"/>
          <w:b/>
          <w:color w:val="auto"/>
          <w:sz w:val="28"/>
          <w:szCs w:val="28"/>
          <w:highlight w:val="none"/>
        </w:rPr>
      </w:pPr>
      <w:r>
        <w:rPr>
          <w:rFonts w:hint="eastAsia" w:ascii="宋体" w:hAnsi="宋体"/>
          <w:b/>
          <w:color w:val="auto"/>
          <w:sz w:val="28"/>
          <w:szCs w:val="28"/>
          <w:highlight w:val="none"/>
        </w:rPr>
        <w:t>七、双方承诺</w:t>
      </w:r>
    </w:p>
    <w:p>
      <w:pPr>
        <w:pStyle w:val="29"/>
        <w:keepNext w:val="0"/>
        <w:keepLines w:val="0"/>
        <w:pageBreakBefore w:val="0"/>
        <w:tabs>
          <w:tab w:val="left" w:pos="1357"/>
        </w:tabs>
        <w:kinsoku/>
        <w:wordWrap/>
        <w:overflowPunct/>
        <w:topLinePunct w:val="0"/>
        <w:autoSpaceDE w:val="0"/>
        <w:autoSpaceDN w:val="0"/>
        <w:bidi w:val="0"/>
        <w:spacing w:line="480" w:lineRule="exact"/>
        <w:ind w:left="420" w:leftChars="200" w:firstLine="0" w:firstLineChars="0"/>
        <w:jc w:val="left"/>
        <w:textAlignment w:val="auto"/>
        <w:rPr>
          <w:rFonts w:ascii="宋体" w:hAnsi="宋体"/>
          <w:color w:val="auto"/>
          <w:sz w:val="28"/>
          <w:szCs w:val="28"/>
          <w:highlight w:val="none"/>
        </w:rPr>
      </w:pPr>
      <w:r>
        <w:rPr>
          <w:rFonts w:hint="eastAsia" w:ascii="宋体" w:hAnsi="宋体"/>
          <w:color w:val="auto"/>
          <w:sz w:val="28"/>
          <w:szCs w:val="28"/>
          <w:highlight w:val="none"/>
        </w:rPr>
        <w:t>1.监理人向委托人承诺，按照本合同约定提供监理与相关服务。</w:t>
      </w:r>
    </w:p>
    <w:p>
      <w:pPr>
        <w:pStyle w:val="29"/>
        <w:keepNext w:val="0"/>
        <w:keepLines w:val="0"/>
        <w:pageBreakBefore w:val="0"/>
        <w:tabs>
          <w:tab w:val="left" w:pos="1357"/>
        </w:tabs>
        <w:kinsoku/>
        <w:wordWrap/>
        <w:overflowPunct/>
        <w:topLinePunct w:val="0"/>
        <w:autoSpaceDE w:val="0"/>
        <w:autoSpaceDN w:val="0"/>
        <w:bidi w:val="0"/>
        <w:spacing w:line="480" w:lineRule="exact"/>
        <w:ind w:left="420" w:leftChars="200" w:firstLine="0" w:firstLineChars="0"/>
        <w:jc w:val="left"/>
        <w:textAlignment w:val="auto"/>
        <w:rPr>
          <w:rFonts w:ascii="宋体" w:hAnsi="宋体"/>
          <w:color w:val="auto"/>
          <w:sz w:val="28"/>
          <w:szCs w:val="28"/>
          <w:highlight w:val="none"/>
        </w:rPr>
      </w:pPr>
      <w:r>
        <w:rPr>
          <w:rFonts w:hint="eastAsia" w:ascii="宋体" w:hAnsi="宋体"/>
          <w:color w:val="auto"/>
          <w:spacing w:val="-13"/>
          <w:sz w:val="28"/>
          <w:szCs w:val="28"/>
          <w:highlight w:val="none"/>
        </w:rPr>
        <w:t>2.委托人向监理人承诺，按照本合同约定派遣相应的人员，提供房屋、资料、</w:t>
      </w:r>
      <w:r>
        <w:rPr>
          <w:rFonts w:hint="eastAsia" w:ascii="宋体" w:hAnsi="宋体"/>
          <w:color w:val="auto"/>
          <w:sz w:val="28"/>
          <w:szCs w:val="28"/>
          <w:highlight w:val="none"/>
        </w:rPr>
        <w:t>设备，并按本合同约定支付酬金。</w:t>
      </w:r>
    </w:p>
    <w:p>
      <w:pPr>
        <w:keepNext w:val="0"/>
        <w:keepLines w:val="0"/>
        <w:pageBreakBefore w:val="0"/>
        <w:kinsoku/>
        <w:wordWrap/>
        <w:overflowPunct/>
        <w:topLinePunct w:val="0"/>
        <w:bidi w:val="0"/>
        <w:spacing w:line="48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rPr>
        <w:t>八、合同订立</w:t>
      </w:r>
    </w:p>
    <w:p>
      <w:pPr>
        <w:pStyle w:val="29"/>
        <w:keepNext w:val="0"/>
        <w:keepLines w:val="0"/>
        <w:pageBreakBefore w:val="0"/>
        <w:tabs>
          <w:tab w:val="left" w:pos="1232"/>
          <w:tab w:val="left" w:pos="3631"/>
          <w:tab w:val="left" w:pos="4711"/>
          <w:tab w:val="left" w:pos="5671"/>
        </w:tabs>
        <w:kinsoku/>
        <w:wordWrap/>
        <w:overflowPunct/>
        <w:topLinePunct w:val="0"/>
        <w:autoSpaceDE w:val="0"/>
        <w:autoSpaceDN w:val="0"/>
        <w:bidi w:val="0"/>
        <w:spacing w:line="480" w:lineRule="exact"/>
        <w:ind w:left="420" w:leftChars="200" w:firstLine="0" w:firstLineChars="0"/>
        <w:jc w:val="left"/>
        <w:textAlignment w:val="auto"/>
        <w:rPr>
          <w:rFonts w:ascii="宋体" w:hAnsi="宋体"/>
          <w:color w:val="auto"/>
          <w:sz w:val="28"/>
          <w:szCs w:val="28"/>
          <w:highlight w:val="none"/>
        </w:rPr>
      </w:pPr>
      <w:r>
        <w:rPr>
          <w:rFonts w:hint="eastAsia" w:ascii="宋体" w:hAnsi="宋体"/>
          <w:color w:val="auto"/>
          <w:sz w:val="28"/>
          <w:szCs w:val="28"/>
          <w:highlight w:val="none"/>
        </w:rPr>
        <w:t>1.订立时间：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2023</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pStyle w:val="29"/>
        <w:keepNext w:val="0"/>
        <w:keepLines w:val="0"/>
        <w:pageBreakBefore w:val="0"/>
        <w:tabs>
          <w:tab w:val="left" w:pos="1232"/>
          <w:tab w:val="left" w:pos="6391"/>
        </w:tabs>
        <w:kinsoku/>
        <w:wordWrap/>
        <w:overflowPunct/>
        <w:topLinePunct w:val="0"/>
        <w:autoSpaceDE w:val="0"/>
        <w:autoSpaceDN w:val="0"/>
        <w:bidi w:val="0"/>
        <w:adjustRightInd w:val="0"/>
        <w:snapToGrid w:val="0"/>
        <w:spacing w:line="480" w:lineRule="exact"/>
        <w:ind w:left="420" w:leftChars="200" w:firstLine="0" w:firstLineChars="0"/>
        <w:jc w:val="left"/>
        <w:textAlignment w:val="auto"/>
        <w:rPr>
          <w:rFonts w:ascii="宋体" w:hAnsi="宋体"/>
          <w:color w:val="auto"/>
          <w:sz w:val="28"/>
          <w:szCs w:val="28"/>
          <w:highlight w:val="none"/>
        </w:rPr>
      </w:pPr>
      <w:r>
        <w:rPr>
          <w:rFonts w:hint="eastAsia" w:ascii="宋体" w:hAnsi="宋体"/>
          <w:color w:val="auto"/>
          <w:sz w:val="28"/>
          <w:szCs w:val="28"/>
          <w:highlight w:val="none"/>
        </w:rPr>
        <w:t>2.订立地点：</w:t>
      </w:r>
      <w:r>
        <w:rPr>
          <w:rFonts w:hint="eastAsia" w:ascii="宋体" w:hAnsi="宋体" w:cs="宋体"/>
          <w:color w:val="auto"/>
          <w:sz w:val="28"/>
          <w:szCs w:val="28"/>
          <w:highlight w:val="none"/>
          <w:u w:val="single"/>
        </w:rPr>
        <w:t xml:space="preserve">湛江经济技术开发区 </w:t>
      </w:r>
      <w:r>
        <w:rPr>
          <w:rFonts w:hint="eastAsia" w:ascii="宋体" w:hAnsi="宋体"/>
          <w:color w:val="auto"/>
          <w:sz w:val="28"/>
          <w:szCs w:val="28"/>
          <w:highlight w:val="none"/>
        </w:rPr>
        <w:t xml:space="preserve"> 。</w:t>
      </w:r>
    </w:p>
    <w:p>
      <w:pPr>
        <w:pStyle w:val="29"/>
        <w:keepNext w:val="0"/>
        <w:keepLines w:val="0"/>
        <w:pageBreakBefore w:val="0"/>
        <w:tabs>
          <w:tab w:val="left" w:pos="1232"/>
          <w:tab w:val="left" w:pos="6391"/>
        </w:tabs>
        <w:kinsoku/>
        <w:wordWrap/>
        <w:overflowPunct/>
        <w:topLinePunct w:val="0"/>
        <w:autoSpaceDE w:val="0"/>
        <w:autoSpaceDN w:val="0"/>
        <w:bidi w:val="0"/>
        <w:adjustRightInd w:val="0"/>
        <w:snapToGrid w:val="0"/>
        <w:spacing w:line="480" w:lineRule="exact"/>
        <w:ind w:left="420" w:leftChars="200" w:firstLine="0" w:firstLineChars="0"/>
        <w:jc w:val="left"/>
        <w:textAlignment w:val="auto"/>
        <w:rPr>
          <w:rFonts w:hint="eastAsia" w:ascii="宋体" w:hAnsi="宋体"/>
          <w:color w:val="auto"/>
          <w:spacing w:val="-18"/>
          <w:sz w:val="28"/>
          <w:szCs w:val="28"/>
          <w:highlight w:val="none"/>
        </w:rPr>
      </w:pPr>
      <w:r>
        <w:rPr>
          <w:rFonts w:hint="eastAsia" w:ascii="宋体" w:hAnsi="宋体" w:cs="宋体"/>
          <w:color w:val="auto"/>
          <w:sz w:val="28"/>
          <w:szCs w:val="28"/>
          <w:highlight w:val="none"/>
        </w:rPr>
        <w:t>3.本合同一式</w:t>
      </w:r>
      <w:r>
        <w:rPr>
          <w:rFonts w:hint="eastAsia" w:ascii="宋体" w:hAnsi="宋体" w:cs="宋体"/>
          <w:color w:val="auto"/>
          <w:sz w:val="28"/>
          <w:szCs w:val="28"/>
          <w:highlight w:val="none"/>
          <w:u w:val="single"/>
        </w:rPr>
        <w:t xml:space="preserve"> 捌 </w:t>
      </w:r>
      <w:r>
        <w:rPr>
          <w:rFonts w:hint="eastAsia" w:ascii="宋体" w:hAnsi="宋体" w:cs="宋体"/>
          <w:color w:val="auto"/>
          <w:sz w:val="28"/>
          <w:szCs w:val="28"/>
          <w:highlight w:val="none"/>
        </w:rPr>
        <w:t>份，具有同等法律效力，委托人</w:t>
      </w:r>
      <w:r>
        <w:rPr>
          <w:rFonts w:hint="eastAsia" w:ascii="宋体" w:hAnsi="宋体" w:cs="宋体"/>
          <w:color w:val="auto"/>
          <w:sz w:val="28"/>
          <w:szCs w:val="28"/>
          <w:highlight w:val="none"/>
          <w:u w:val="single"/>
        </w:rPr>
        <w:t xml:space="preserve"> 伍 </w:t>
      </w:r>
      <w:r>
        <w:rPr>
          <w:rFonts w:hint="eastAsia" w:ascii="宋体" w:hAnsi="宋体" w:cs="宋体"/>
          <w:color w:val="auto"/>
          <w:sz w:val="28"/>
          <w:szCs w:val="28"/>
          <w:highlight w:val="none"/>
        </w:rPr>
        <w:t>份，监理人</w:t>
      </w:r>
      <w:r>
        <w:rPr>
          <w:rFonts w:hint="eastAsia" w:ascii="宋体" w:hAnsi="宋体" w:cs="宋体"/>
          <w:color w:val="auto"/>
          <w:sz w:val="28"/>
          <w:szCs w:val="28"/>
          <w:highlight w:val="none"/>
          <w:u w:val="single"/>
        </w:rPr>
        <w:t xml:space="preserve"> 叁 </w:t>
      </w:r>
      <w:r>
        <w:rPr>
          <w:rFonts w:hint="eastAsia" w:ascii="宋体" w:hAnsi="宋体" w:cs="宋体"/>
          <w:color w:val="auto"/>
          <w:sz w:val="28"/>
          <w:szCs w:val="28"/>
          <w:highlight w:val="none"/>
        </w:rPr>
        <w:t>份。本合同自双方签名盖章之日起生效</w:t>
      </w:r>
      <w:r>
        <w:rPr>
          <w:rFonts w:hint="eastAsia" w:ascii="宋体" w:hAnsi="宋体"/>
          <w:color w:val="auto"/>
          <w:spacing w:val="-18"/>
          <w:sz w:val="28"/>
          <w:szCs w:val="28"/>
          <w:highlight w:val="none"/>
        </w:rPr>
        <w:t>。</w:t>
      </w:r>
    </w:p>
    <w:p>
      <w:pPr>
        <w:pStyle w:val="29"/>
        <w:keepNext w:val="0"/>
        <w:keepLines w:val="0"/>
        <w:pageBreakBefore w:val="0"/>
        <w:tabs>
          <w:tab w:val="left" w:pos="1232"/>
          <w:tab w:val="left" w:pos="6391"/>
        </w:tabs>
        <w:kinsoku/>
        <w:wordWrap/>
        <w:overflowPunct/>
        <w:topLinePunct w:val="0"/>
        <w:autoSpaceDE w:val="0"/>
        <w:autoSpaceDN w:val="0"/>
        <w:bidi w:val="0"/>
        <w:adjustRightInd w:val="0"/>
        <w:snapToGrid w:val="0"/>
        <w:spacing w:line="480" w:lineRule="exact"/>
        <w:ind w:left="420" w:leftChars="200" w:firstLine="0" w:firstLineChars="0"/>
        <w:jc w:val="left"/>
        <w:textAlignment w:val="auto"/>
        <w:rPr>
          <w:rFonts w:hint="eastAsia" w:ascii="宋体" w:hAnsi="宋体"/>
          <w:color w:val="auto"/>
          <w:spacing w:val="-18"/>
          <w:sz w:val="28"/>
          <w:szCs w:val="28"/>
          <w:highlight w:val="none"/>
        </w:rPr>
      </w:pPr>
    </w:p>
    <w:p>
      <w:pPr>
        <w:pStyle w:val="29"/>
        <w:keepNext w:val="0"/>
        <w:keepLines w:val="0"/>
        <w:pageBreakBefore w:val="0"/>
        <w:tabs>
          <w:tab w:val="left" w:pos="1232"/>
          <w:tab w:val="left" w:pos="2191"/>
          <w:tab w:val="left" w:pos="2911"/>
          <w:tab w:val="left" w:pos="3751"/>
          <w:tab w:val="left" w:pos="4711"/>
          <w:tab w:val="left" w:pos="6031"/>
          <w:tab w:val="left" w:pos="7111"/>
        </w:tabs>
        <w:kinsoku/>
        <w:wordWrap/>
        <w:overflowPunct/>
        <w:topLinePunct w:val="0"/>
        <w:autoSpaceDE w:val="0"/>
        <w:autoSpaceDN w:val="0"/>
        <w:bidi w:val="0"/>
        <w:adjustRightInd/>
        <w:snapToGrid/>
        <w:spacing w:line="520" w:lineRule="exact"/>
        <w:ind w:left="1680" w:hanging="1680" w:hangingChars="600"/>
        <w:jc w:val="left"/>
        <w:textAlignment w:val="auto"/>
        <w:rPr>
          <w:rFonts w:hint="default" w:ascii="宋体" w:hAnsi="宋体"/>
          <w:color w:val="auto"/>
          <w:sz w:val="28"/>
          <w:szCs w:val="28"/>
          <w:highlight w:val="none"/>
          <w:lang w:val="en-US"/>
        </w:rPr>
      </w:pPr>
      <w:r>
        <w:rPr>
          <w:rFonts w:hint="eastAsia" w:ascii="宋体" w:hAnsi="宋体"/>
          <w:color w:val="auto"/>
          <w:sz w:val="28"/>
          <w:szCs w:val="28"/>
          <w:highlight w:val="none"/>
        </w:rPr>
        <w:t>委委托</w:t>
      </w:r>
      <w:r>
        <w:rPr>
          <w:rFonts w:hint="eastAsia" w:ascii="宋体" w:hAnsi="宋体" w:eastAsia="宋体" w:cs="Times New Roman"/>
          <w:color w:val="auto"/>
          <w:sz w:val="28"/>
          <w:szCs w:val="28"/>
          <w:highlight w:val="none"/>
        </w:rPr>
        <w:t>人（盖章）</w:t>
      </w:r>
      <w:r>
        <w:rPr>
          <w:rFonts w:hint="eastAsia" w:ascii="宋体" w:hAnsi="宋体"/>
          <w:color w:val="auto"/>
          <w:sz w:val="28"/>
          <w:szCs w:val="28"/>
          <w:highlight w:val="none"/>
        </w:rPr>
        <w:t>：</w:t>
      </w:r>
      <w:r>
        <w:rPr>
          <w:rFonts w:hint="eastAsia" w:ascii="宋体" w:hAnsi="宋体" w:cs="宋体"/>
          <w:color w:val="auto"/>
          <w:sz w:val="28"/>
          <w:szCs w:val="28"/>
          <w:highlight w:val="none"/>
          <w:u w:val="single"/>
        </w:rPr>
        <w:t>湛江经济技术</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 xml:space="preserve">  </w:t>
      </w:r>
      <w:r>
        <w:rPr>
          <w:rFonts w:hint="eastAsia" w:ascii="宋体" w:hAnsi="宋体"/>
          <w:color w:val="auto"/>
          <w:sz w:val="28"/>
          <w:szCs w:val="28"/>
          <w:highlight w:val="none"/>
        </w:rPr>
        <w:t>监理人</w:t>
      </w:r>
      <w:r>
        <w:rPr>
          <w:rFonts w:hint="eastAsia" w:ascii="宋体" w:hAnsi="宋体" w:eastAsia="宋体" w:cs="Times New Roman"/>
          <w:color w:val="auto"/>
          <w:sz w:val="28"/>
          <w:szCs w:val="28"/>
          <w:highlight w:val="none"/>
        </w:rPr>
        <w:t>（盖章）</w:t>
      </w:r>
      <w:r>
        <w:rPr>
          <w:rFonts w:hint="eastAsia" w:ascii="宋体" w:hAnsi="宋体"/>
          <w:color w:val="auto"/>
          <w:sz w:val="28"/>
          <w:szCs w:val="28"/>
          <w:highlight w:val="none"/>
        </w:rPr>
        <w:t>：</w:t>
      </w:r>
      <w:r>
        <w:rPr>
          <w:rFonts w:hint="eastAsia" w:ascii="宋体" w:hAnsi="宋体"/>
          <w:color w:val="auto"/>
          <w:sz w:val="28"/>
          <w:szCs w:val="28"/>
          <w:highlight w:val="none"/>
          <w:u w:val="single"/>
          <w:lang w:val="en-US" w:eastAsia="zh-CN"/>
        </w:rPr>
        <w:t xml:space="preserve">              </w:t>
      </w:r>
    </w:p>
    <w:p>
      <w:pPr>
        <w:pStyle w:val="29"/>
        <w:keepNext w:val="0"/>
        <w:keepLines w:val="0"/>
        <w:pageBreakBefore w:val="0"/>
        <w:tabs>
          <w:tab w:val="left" w:pos="1232"/>
          <w:tab w:val="left" w:pos="2191"/>
          <w:tab w:val="left" w:pos="2911"/>
          <w:tab w:val="left" w:pos="3751"/>
          <w:tab w:val="left" w:pos="4711"/>
          <w:tab w:val="left" w:pos="6031"/>
          <w:tab w:val="left" w:pos="7111"/>
        </w:tabs>
        <w:kinsoku/>
        <w:wordWrap/>
        <w:overflowPunct/>
        <w:topLinePunct w:val="0"/>
        <w:autoSpaceDE w:val="0"/>
        <w:autoSpaceDN w:val="0"/>
        <w:bidi w:val="0"/>
        <w:adjustRightInd/>
        <w:snapToGrid/>
        <w:spacing w:line="520" w:lineRule="exact"/>
        <w:ind w:left="1677" w:leftChars="532" w:hanging="560" w:hangingChars="200"/>
        <w:jc w:val="left"/>
        <w:textAlignment w:val="auto"/>
        <w:rPr>
          <w:rFonts w:hint="default" w:ascii="宋体" w:hAnsi="宋体"/>
          <w:color w:val="auto"/>
          <w:sz w:val="28"/>
          <w:szCs w:val="28"/>
          <w:highlight w:val="none"/>
          <w:lang w:val="en-US"/>
        </w:rPr>
      </w:pPr>
      <w:r>
        <w:rPr>
          <w:rFonts w:hint="eastAsia" w:ascii="宋体" w:hAnsi="宋体" w:cs="宋体"/>
          <w:color w:val="auto"/>
          <w:sz w:val="28"/>
          <w:szCs w:val="28"/>
          <w:highlight w:val="none"/>
          <w:u w:val="single"/>
        </w:rPr>
        <w:t>开发区城市综合管理局</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pPr>
        <w:keepNext w:val="0"/>
        <w:keepLines w:val="0"/>
        <w:pageBreakBefore w:val="0"/>
        <w:tabs>
          <w:tab w:val="left" w:pos="3631"/>
          <w:tab w:val="left" w:pos="4171"/>
          <w:tab w:val="left" w:pos="4711"/>
        </w:tabs>
        <w:kinsoku/>
        <w:wordWrap/>
        <w:overflowPunct/>
        <w:topLinePunct w:val="0"/>
        <w:bidi w:val="0"/>
        <w:adjustRightInd/>
        <w:snapToGrid/>
        <w:spacing w:line="520" w:lineRule="exact"/>
        <w:textAlignment w:val="auto"/>
        <w:rPr>
          <w:rFonts w:hint="eastAsia" w:ascii="宋体" w:hAnsi="宋体"/>
          <w:color w:val="auto"/>
          <w:sz w:val="28"/>
          <w:szCs w:val="28"/>
          <w:highlight w:val="none"/>
        </w:rPr>
      </w:pPr>
      <w:r>
        <w:rPr>
          <w:rFonts w:hint="eastAsia" w:ascii="宋体" w:hAnsi="宋体"/>
          <w:color w:val="auto"/>
          <w:sz w:val="28"/>
          <w:szCs w:val="28"/>
          <w:highlight w:val="none"/>
        </w:rPr>
        <w:t>法定代表人或其</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法定代表人或其</w:t>
      </w:r>
    </w:p>
    <w:p>
      <w:pPr>
        <w:keepNext w:val="0"/>
        <w:keepLines w:val="0"/>
        <w:pageBreakBefore w:val="0"/>
        <w:tabs>
          <w:tab w:val="left" w:pos="3631"/>
          <w:tab w:val="left" w:pos="4171"/>
          <w:tab w:val="left" w:pos="4711"/>
        </w:tabs>
        <w:kinsoku/>
        <w:wordWrap/>
        <w:overflowPunct/>
        <w:topLinePunct w:val="0"/>
        <w:bidi w:val="0"/>
        <w:adjustRightInd/>
        <w:snapToGrid/>
        <w:spacing w:line="520" w:lineRule="exact"/>
        <w:textAlignment w:val="auto"/>
        <w:rPr>
          <w:rFonts w:hint="eastAsia" w:ascii="宋体" w:hAnsi="宋体"/>
          <w:color w:val="auto"/>
          <w:sz w:val="28"/>
          <w:szCs w:val="28"/>
          <w:highlight w:val="none"/>
        </w:rPr>
      </w:pPr>
      <w:r>
        <w:rPr>
          <w:rFonts w:hint="eastAsia" w:ascii="宋体" w:hAnsi="宋体"/>
          <w:color w:val="auto"/>
          <w:sz w:val="28"/>
          <w:szCs w:val="28"/>
          <w:highlight w:val="none"/>
        </w:rPr>
        <w:t>授权的代理人</w:t>
      </w:r>
      <w:r>
        <w:rPr>
          <w:rFonts w:hint="eastAsia" w:ascii="宋体" w:hAnsi="宋体"/>
          <w:color w:val="auto"/>
          <w:spacing w:val="-120"/>
          <w:sz w:val="28"/>
          <w:szCs w:val="28"/>
          <w:highlight w:val="none"/>
        </w:rPr>
        <w:t>：</w:t>
      </w:r>
      <w:r>
        <w:rPr>
          <w:rFonts w:hint="eastAsia" w:ascii="宋体" w:hAnsi="宋体"/>
          <w:color w:val="auto"/>
          <w:spacing w:val="-120"/>
          <w:sz w:val="28"/>
          <w:szCs w:val="28"/>
          <w:highlight w:val="non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授权的代理人</w:t>
      </w:r>
      <w:r>
        <w:rPr>
          <w:rFonts w:hint="eastAsia" w:ascii="宋体" w:hAnsi="宋体"/>
          <w:color w:val="auto"/>
          <w:spacing w:val="-120"/>
          <w:sz w:val="28"/>
          <w:szCs w:val="28"/>
          <w:highlight w:val="none"/>
        </w:rPr>
        <w:t>：</w:t>
      </w:r>
      <w:r>
        <w:rPr>
          <w:rFonts w:hint="eastAsia" w:ascii="宋体" w:hAnsi="宋体"/>
          <w:color w:val="auto"/>
          <w:spacing w:val="-120"/>
          <w:sz w:val="28"/>
          <w:szCs w:val="28"/>
          <w:highlight w:val="non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keepNext w:val="0"/>
        <w:keepLines w:val="0"/>
        <w:pageBreakBefore w:val="0"/>
        <w:tabs>
          <w:tab w:val="left" w:pos="3631"/>
          <w:tab w:val="left" w:pos="4171"/>
          <w:tab w:val="left" w:pos="4711"/>
        </w:tabs>
        <w:kinsoku/>
        <w:wordWrap/>
        <w:overflowPunct/>
        <w:topLinePunct w:val="0"/>
        <w:bidi w:val="0"/>
        <w:adjustRightInd/>
        <w:snapToGrid/>
        <w:spacing w:line="520" w:lineRule="exact"/>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开户银行：                      开户银行：</w:t>
      </w:r>
    </w:p>
    <w:p>
      <w:pPr>
        <w:keepNext w:val="0"/>
        <w:keepLines w:val="0"/>
        <w:pageBreakBefore w:val="0"/>
        <w:tabs>
          <w:tab w:val="left" w:pos="4291"/>
        </w:tabs>
        <w:kinsoku/>
        <w:wordWrap/>
        <w:overflowPunct/>
        <w:topLinePunct w:val="0"/>
        <w:bidi w:val="0"/>
        <w:adjustRightInd/>
        <w:snapToGrid/>
        <w:spacing w:line="520" w:lineRule="exact"/>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账号：                          账号：</w:t>
      </w:r>
    </w:p>
    <w:p>
      <w:pPr>
        <w:keepNext w:val="0"/>
        <w:keepLines w:val="0"/>
        <w:pageBreakBefore w:val="0"/>
        <w:tabs>
          <w:tab w:val="left" w:pos="4291"/>
        </w:tabs>
        <w:kinsoku/>
        <w:wordWrap/>
        <w:overflowPunct/>
        <w:topLinePunct w:val="0"/>
        <w:bidi w:val="0"/>
        <w:adjustRightInd/>
        <w:snapToGrid/>
        <w:spacing w:line="520" w:lineRule="exact"/>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电话：                          电话：</w:t>
      </w:r>
    </w:p>
    <w:p>
      <w:pPr>
        <w:keepNext w:val="0"/>
        <w:keepLines w:val="0"/>
        <w:pageBreakBefore w:val="0"/>
        <w:tabs>
          <w:tab w:val="left" w:pos="4291"/>
        </w:tabs>
        <w:kinsoku/>
        <w:wordWrap/>
        <w:overflowPunct/>
        <w:topLinePunct w:val="0"/>
        <w:bidi w:val="0"/>
        <w:adjustRightInd/>
        <w:snapToGrid/>
        <w:spacing w:line="520" w:lineRule="exact"/>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传真：                          传真：</w:t>
      </w:r>
    </w:p>
    <w:p>
      <w:pPr>
        <w:keepNext w:val="0"/>
        <w:keepLines w:val="0"/>
        <w:pageBreakBefore w:val="0"/>
        <w:kinsoku/>
        <w:wordWrap/>
        <w:overflowPunct/>
        <w:topLinePunct w:val="0"/>
        <w:bidi w:val="0"/>
        <w:adjustRightInd/>
        <w:snapToGrid/>
        <w:spacing w:line="520" w:lineRule="exact"/>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电子邮箱：                      电子邮箱：</w:t>
      </w:r>
    </w:p>
    <w:p>
      <w:pPr>
        <w:keepNext w:val="0"/>
        <w:keepLines w:val="0"/>
        <w:pageBreakBefore w:val="0"/>
        <w:kinsoku/>
        <w:wordWrap/>
        <w:overflowPunct/>
        <w:topLinePunct w:val="0"/>
        <w:bidi w:val="0"/>
        <w:spacing w:line="440" w:lineRule="exact"/>
        <w:jc w:val="center"/>
        <w:textAlignment w:val="auto"/>
        <w:rPr>
          <w:rFonts w:ascii="宋体" w:hAnsi="宋体"/>
          <w:b/>
          <w:color w:val="auto"/>
          <w:sz w:val="32"/>
          <w:highlight w:val="none"/>
        </w:rPr>
      </w:pPr>
      <w:r>
        <w:rPr>
          <w:color w:val="auto"/>
          <w:highlight w:val="none"/>
        </w:rPr>
        <w:br w:type="page"/>
      </w:r>
      <w:r>
        <w:rPr>
          <w:rFonts w:hint="eastAsia" w:ascii="宋体" w:hAnsi="宋体"/>
          <w:b/>
          <w:color w:val="auto"/>
          <w:sz w:val="32"/>
          <w:highlight w:val="none"/>
        </w:rPr>
        <w:t>第二部分</w:t>
      </w:r>
      <w:r>
        <w:rPr>
          <w:rFonts w:hint="eastAsia" w:ascii="宋体" w:hAnsi="宋体"/>
          <w:b/>
          <w:color w:val="auto"/>
          <w:sz w:val="32"/>
          <w:highlight w:val="none"/>
        </w:rPr>
        <w:tab/>
      </w:r>
      <w:r>
        <w:rPr>
          <w:rFonts w:hint="eastAsia" w:ascii="宋体" w:hAnsi="宋体"/>
          <w:b/>
          <w:color w:val="auto"/>
          <w:sz w:val="32"/>
          <w:highlight w:val="none"/>
        </w:rPr>
        <w:t>通用条件</w:t>
      </w:r>
    </w:p>
    <w:p>
      <w:pPr>
        <w:spacing w:line="480" w:lineRule="exact"/>
        <w:ind w:firstLine="600" w:firstLineChars="200"/>
        <w:jc w:val="center"/>
        <w:rPr>
          <w:color w:val="auto"/>
          <w:sz w:val="28"/>
          <w:szCs w:val="28"/>
          <w:highlight w:val="none"/>
        </w:rPr>
      </w:pPr>
      <w:r>
        <w:rPr>
          <w:rFonts w:ascii="Bold" w:hAnsi="Bold" w:eastAsia="Bold" w:cs="Bold"/>
          <w:bCs/>
          <w:color w:val="auto"/>
          <w:sz w:val="30"/>
          <w:szCs w:val="30"/>
          <w:highlight w:val="none"/>
        </w:rPr>
        <w:t>通用合同条款部分参见</w:t>
      </w:r>
      <w:r>
        <w:rPr>
          <w:rFonts w:hint="eastAsia" w:ascii="Bold" w:hAnsi="Bold" w:eastAsia="Bold" w:cs="Bold"/>
          <w:bCs/>
          <w:color w:val="auto"/>
          <w:sz w:val="30"/>
          <w:szCs w:val="30"/>
          <w:highlight w:val="none"/>
        </w:rPr>
        <w:t>《建设工程监理合同（示范文本）》（GF－2012－0202）</w:t>
      </w:r>
    </w:p>
    <w:p>
      <w:pPr>
        <w:ind w:firstLine="420" w:firstLineChars="200"/>
        <w:jc w:val="center"/>
        <w:rPr>
          <w:rFonts w:ascii="宋体" w:hAnsi="宋体"/>
          <w:b/>
          <w:color w:val="auto"/>
          <w:sz w:val="32"/>
          <w:highlight w:val="none"/>
        </w:rPr>
      </w:pPr>
      <w:r>
        <w:rPr>
          <w:color w:val="auto"/>
          <w:highlight w:val="none"/>
        </w:rPr>
        <w:br w:type="page"/>
      </w:r>
      <w:r>
        <w:rPr>
          <w:rFonts w:hint="eastAsia" w:ascii="宋体" w:hAnsi="宋体"/>
          <w:b/>
          <w:color w:val="auto"/>
          <w:sz w:val="32"/>
          <w:highlight w:val="none"/>
        </w:rPr>
        <w:t>第三部分</w:t>
      </w:r>
      <w:r>
        <w:rPr>
          <w:rFonts w:hint="eastAsia" w:ascii="宋体" w:hAnsi="宋体"/>
          <w:b/>
          <w:color w:val="auto"/>
          <w:sz w:val="32"/>
          <w:highlight w:val="none"/>
        </w:rPr>
        <w:tab/>
      </w:r>
      <w:r>
        <w:rPr>
          <w:rFonts w:hint="eastAsia" w:ascii="宋体" w:hAnsi="宋体"/>
          <w:b/>
          <w:color w:val="auto"/>
          <w:sz w:val="32"/>
          <w:highlight w:val="none"/>
        </w:rPr>
        <w:t>专用条件</w:t>
      </w:r>
    </w:p>
    <w:p>
      <w:pPr>
        <w:spacing w:line="48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t>定义与解释</w:t>
      </w:r>
    </w:p>
    <w:p>
      <w:pPr>
        <w:spacing w:line="480" w:lineRule="exact"/>
        <w:ind w:firstLine="562"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1.2</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t>解释</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1.2.1</w:t>
      </w:r>
      <w:r>
        <w:rPr>
          <w:rFonts w:hint="eastAsia" w:ascii="宋体" w:hAnsi="宋体" w:cs="宋体"/>
          <w:color w:val="auto"/>
          <w:sz w:val="28"/>
          <w:szCs w:val="28"/>
          <w:highlight w:val="none"/>
        </w:rPr>
        <w:tab/>
      </w:r>
      <w:r>
        <w:rPr>
          <w:rFonts w:hint="eastAsia" w:ascii="宋体" w:hAnsi="宋体" w:cs="宋体"/>
          <w:color w:val="auto"/>
          <w:sz w:val="28"/>
          <w:szCs w:val="28"/>
          <w:highlight w:val="none"/>
        </w:rPr>
        <w:t>本合同文件须使用中文。</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1.2.2</w:t>
      </w:r>
      <w:r>
        <w:rPr>
          <w:rFonts w:hint="eastAsia" w:ascii="宋体" w:hAnsi="宋体" w:cs="宋体"/>
          <w:color w:val="auto"/>
          <w:sz w:val="28"/>
          <w:szCs w:val="28"/>
          <w:highlight w:val="none"/>
        </w:rPr>
        <w:tab/>
      </w:r>
      <w:r>
        <w:rPr>
          <w:rFonts w:hint="eastAsia" w:ascii="宋体" w:hAnsi="宋体" w:cs="宋体"/>
          <w:color w:val="auto"/>
          <w:sz w:val="28"/>
          <w:szCs w:val="28"/>
          <w:highlight w:val="none"/>
        </w:rPr>
        <w:t>约定本合同文件的解释顺序为：</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（1）协议书；</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（2）履行本合同的相关补充协议（含双方洽商记录、会议纪要、索赔、监理费用等修正文件）；</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（3）中标通知书；</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（4）专用条件及附录A、附录B；</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（5）通用条件；</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（6）投标文件及其附件（含评标期间的澄清文件和补充资料）。</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（7）招标文件及其附件（含招标期间澄清、补充修改的文件及答疑纪要等）</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（8）工程监理相关的标准、规范及有关监理大纲；</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双方签订的补充协议与其他文件发生矛盾或歧义时，属于同一类内容的文件，应以最新签署的为准。</w:t>
      </w:r>
    </w:p>
    <w:p>
      <w:pPr>
        <w:spacing w:line="48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2.监理目标</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2.1.1、投资控制目标：不超过项目批复概算。</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2.1.2、进度控制目标：施工期为招标人下达开工令或开工报告审批之日起按施工进度要求控制。</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2.1.3、质量控制目标：工程质量符合现行国家施工验收规范合格标准。</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2.1.4、安全文明控制目标：确保项目无重大安全事故。</w:t>
      </w:r>
    </w:p>
    <w:p>
      <w:pPr>
        <w:snapToGrid w:val="0"/>
        <w:spacing w:line="48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 .监理的范围和内容</w:t>
      </w:r>
    </w:p>
    <w:p>
      <w:pPr>
        <w:snapToGrid w:val="0"/>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3.1 监理范围包括：</w:t>
      </w:r>
      <w:r>
        <w:rPr>
          <w:rFonts w:hint="eastAsia" w:ascii="宋体" w:hAnsi="宋体" w:cs="宋体"/>
          <w:b w:val="0"/>
          <w:bCs w:val="0"/>
          <w:color w:val="auto"/>
          <w:sz w:val="28"/>
          <w:szCs w:val="28"/>
          <w:highlight w:val="none"/>
          <w:u w:val="single"/>
        </w:rPr>
        <w:t>对施工合同约定的施工图文件、设计变更和招标清单报价所包含的工程内容进行全过程监理及保修阶段监理</w:t>
      </w:r>
      <w:r>
        <w:rPr>
          <w:rFonts w:hint="eastAsia" w:ascii="宋体" w:hAnsi="宋体" w:cs="宋体"/>
          <w:b w:val="0"/>
          <w:bCs w:val="0"/>
          <w:color w:val="auto"/>
          <w:sz w:val="28"/>
          <w:szCs w:val="28"/>
          <w:highlight w:val="none"/>
        </w:rPr>
        <w:t>。</w:t>
      </w:r>
      <w:r>
        <w:rPr>
          <w:rFonts w:hint="eastAsia" w:ascii="宋体" w:hAnsi="宋体" w:cs="宋体"/>
          <w:b w:val="0"/>
          <w:bCs w:val="0"/>
          <w:color w:val="auto"/>
          <w:sz w:val="28"/>
          <w:szCs w:val="28"/>
          <w:highlight w:val="none"/>
          <w:u w:val="single"/>
        </w:rPr>
        <w:t>施工阶段的“三控三管一协调”，施工过程中的质量、进度、费用控制，安全生产监督管理、合同、信息等方面的协调管理，施工现场组织协调工作。保修阶段检查和记录工程质量缺陷，对缺陷原因进行调查分析并确定责任归属，审核修复方案，监督修复过程并验收，审核修复费用。</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3.2 监理工作内容还包括：1）</w:t>
      </w:r>
      <w:r>
        <w:rPr>
          <w:rFonts w:hint="eastAsia" w:ascii="宋体" w:hAnsi="宋体" w:cs="宋体"/>
          <w:b w:val="0"/>
          <w:bCs w:val="0"/>
          <w:color w:val="auto"/>
          <w:sz w:val="28"/>
          <w:szCs w:val="28"/>
          <w:highlight w:val="none"/>
          <w:u w:val="single"/>
        </w:rPr>
        <w:t>按照本合同要求及《建设工程监理规范》（GB50319-2013）的规定对本项目工程进行监理：审查设计文件和施工组织设计文件、施工技术方案、安全文明施工措施和专项安全技术方案并督促实施，控制工程质量、投资、工期，监督、管理建设工程合同的履行，以及组织协调建设单位与工程建设有关各方的工作关系等</w:t>
      </w:r>
      <w:r>
        <w:rPr>
          <w:rFonts w:hint="eastAsia" w:ascii="宋体" w:hAnsi="宋体" w:cs="宋体"/>
          <w:b w:val="0"/>
          <w:bCs w:val="0"/>
          <w:color w:val="auto"/>
          <w:sz w:val="28"/>
          <w:szCs w:val="28"/>
          <w:highlight w:val="none"/>
        </w:rPr>
        <w:t>。</w:t>
      </w:r>
    </w:p>
    <w:p>
      <w:pPr>
        <w:spacing w:line="480" w:lineRule="exact"/>
        <w:ind w:firstLine="560" w:firstLineChars="200"/>
        <w:rPr>
          <w:rFonts w:hint="eastAsia" w:ascii="宋体" w:hAnsi="宋体" w:cs="宋体"/>
          <w:b w:val="0"/>
          <w:bCs w:val="0"/>
          <w:color w:val="auto"/>
          <w:sz w:val="28"/>
          <w:szCs w:val="28"/>
          <w:highlight w:val="none"/>
          <w:u w:val="single"/>
        </w:rPr>
      </w:pPr>
      <w:r>
        <w:rPr>
          <w:rFonts w:hint="eastAsia" w:ascii="宋体" w:hAnsi="宋体" w:cs="宋体"/>
          <w:b w:val="0"/>
          <w:bCs w:val="0"/>
          <w:color w:val="auto"/>
          <w:sz w:val="28"/>
          <w:szCs w:val="28"/>
          <w:highlight w:val="none"/>
          <w:u w:val="single"/>
        </w:rPr>
        <w:t>2）监理人员对本工程使用的材料及设备的检查验收、负责对拟进场的材料、构配件和设备的质量证明资料进行检查审核并签认。审查工程使用的原材料、半成品、成品、构配件和设备的实物质量和质量证明资料，并按规定进行检测和监控，对有疑问的必须进行复测；施工质量要进行质量检验监督。对工程建设施工的竣工预验收，对工程质量验收签证必须严格把关，杜绝随意对工程质量验收签证的现象。不能未经建设单位或及有关部门包括财政部门的同意就授意施工单位搞设计范围之外的建设和现场签证等增加工程造价现象、降低工程施工质量标准、延长工期。</w:t>
      </w:r>
    </w:p>
    <w:p>
      <w:pPr>
        <w:shd w:val="clear" w:color="auto" w:fill="FFFFFF"/>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u w:val="single"/>
        </w:rPr>
        <w:t>3）监理人发现承包人的人员不能胜任本职工作的，报告委托人并经委托人书面同意后有权要求承包人予以调换。</w:t>
      </w:r>
    </w:p>
    <w:p>
      <w:pPr>
        <w:snapToGrid w:val="0"/>
        <w:spacing w:line="480" w:lineRule="exact"/>
        <w:ind w:firstLine="560" w:firstLineChars="200"/>
        <w:rPr>
          <w:rFonts w:hint="eastAsia" w:ascii="宋体" w:hAnsi="宋体" w:cs="宋体"/>
          <w:b w:val="0"/>
          <w:bCs w:val="0"/>
          <w:color w:val="auto"/>
          <w:sz w:val="28"/>
          <w:szCs w:val="28"/>
          <w:highlight w:val="none"/>
          <w:u w:val="single"/>
        </w:rPr>
      </w:pPr>
      <w:r>
        <w:rPr>
          <w:rFonts w:hint="eastAsia" w:ascii="宋体" w:hAnsi="宋体" w:cs="宋体"/>
          <w:b w:val="0"/>
          <w:bCs w:val="0"/>
          <w:color w:val="auto"/>
          <w:sz w:val="28"/>
          <w:szCs w:val="28"/>
          <w:highlight w:val="none"/>
          <w:u w:val="single"/>
        </w:rPr>
        <w:t>4）协助建设单位正确编制竣工结算；正确核定项目建设新增固定资产价位，分析考核项目的投资效果；进行项目后评价和工程竣工结算的审核；监督承包商对项目进行保修和回访。</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5）审查承包人提交的开工报告、批准开工报告，审查承包人各项施工准备工作，经招标人批准后，负责向承包人下达开工令；</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6）督促承包人施工管理制度和质量保证体系的建立、健全与实施；</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7）编制进度目标控制计划、审查承包人编制的网络进度计划，经委托人批准后组织实施；</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8）组织设计交底，图纸会审，审查设计变更；根据施工合同约定，审核承包人进度款，出具付款凭证；</w:t>
      </w:r>
    </w:p>
    <w:p>
      <w:pPr>
        <w:spacing w:line="480" w:lineRule="exact"/>
        <w:ind w:firstLine="560" w:firstLineChars="200"/>
        <w:rPr>
          <w:rFonts w:hint="eastAsia"/>
          <w:color w:val="auto"/>
          <w:sz w:val="28"/>
          <w:szCs w:val="28"/>
          <w:highlight w:val="none"/>
          <w:lang w:val="en-US" w:eastAsia="zh-CN"/>
        </w:rPr>
      </w:pPr>
      <w:r>
        <w:rPr>
          <w:rFonts w:hint="eastAsia" w:ascii="宋体" w:hAnsi="宋体" w:cs="宋体"/>
          <w:b w:val="0"/>
          <w:bCs w:val="0"/>
          <w:color w:val="auto"/>
          <w:sz w:val="28"/>
          <w:szCs w:val="28"/>
          <w:highlight w:val="none"/>
        </w:rPr>
        <w:t>9）监督承包人严格按国家有关技术规范、标准和设计文件施工；</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10）对施工过程要进行巡视和检查，抽查工程施工质量，必须对隐蔽工程、重点部位实施旁站监理，与委托人现场代表共同对隐蔽工程进行复验签证，主持工程质量事故的调查、分折及处理；</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11）对工程承发包合同实施管理，处理合同纠纷和索赔事宜，协调委托人与承包人之间的争议；督促检查安全生产，文明施工；</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12）现场监理工程师如实真写监理日志并报总监审核，如实编制监理工作月报、监理工作总结和质检运行报告，做好资料归档。</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13）督促承包人按相关规定及要求整理施工技术档案，认真审核竣工图纸和其他技术文件资料；</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14）组织对工程初验，参与工程竣工验收，对施工质量提出评价意见，对工程使用中出现的缺陷及时调查原因，确定相应责任方和整改方案并督促承包人进行整改；</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15）严格按照《建筑工程安全施工管理条例》、《安全生产法》等国家、地方和行业颂布的安全法律、法规开展安全监理工作，认真履行监理的安全责任；</w:t>
      </w:r>
    </w:p>
    <w:p>
      <w:pPr>
        <w:spacing w:line="480" w:lineRule="exact"/>
        <w:ind w:firstLine="560" w:firstLineChars="200"/>
        <w:rPr>
          <w:rFonts w:hint="eastAsia" w:ascii="宋体" w:hAnsi="宋体" w:cs="宋体"/>
          <w:b/>
          <w:bCs/>
          <w:color w:val="auto"/>
          <w:sz w:val="28"/>
          <w:szCs w:val="28"/>
          <w:highlight w:val="none"/>
        </w:rPr>
      </w:pPr>
      <w:r>
        <w:rPr>
          <w:rFonts w:hint="eastAsia" w:ascii="宋体" w:hAnsi="宋体" w:cs="宋体"/>
          <w:b w:val="0"/>
          <w:bCs w:val="0"/>
          <w:color w:val="auto"/>
          <w:sz w:val="28"/>
          <w:szCs w:val="28"/>
          <w:highlight w:val="none"/>
        </w:rPr>
        <w:t>16）完成《建设工程监理规范》规定的其他相应监理工作内容。</w:t>
      </w:r>
    </w:p>
    <w:p>
      <w:pPr>
        <w:spacing w:line="48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4. 监理与相关服务依据</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4.1 监理依据包括：</w:t>
      </w:r>
      <w:r>
        <w:rPr>
          <w:rFonts w:hint="eastAsia" w:ascii="宋体" w:hAnsi="宋体" w:cs="宋体"/>
          <w:color w:val="auto"/>
          <w:sz w:val="28"/>
          <w:szCs w:val="28"/>
          <w:highlight w:val="none"/>
          <w:u w:val="single"/>
        </w:rPr>
        <w:t>《建设工程监理规范》（GB/T50319-2013）</w:t>
      </w:r>
      <w:r>
        <w:rPr>
          <w:rFonts w:hint="eastAsia" w:ascii="宋体" w:hAnsi="宋体" w:cs="宋体"/>
          <w:b/>
          <w:bCs/>
          <w:color w:val="auto"/>
          <w:sz w:val="28"/>
          <w:szCs w:val="28"/>
          <w:highlight w:val="none"/>
          <w:u w:val="single"/>
        </w:rPr>
        <w:t>、</w:t>
      </w:r>
      <w:r>
        <w:rPr>
          <w:rFonts w:hint="eastAsia" w:ascii="宋体" w:hAnsi="宋体" w:cs="宋体"/>
          <w:color w:val="auto"/>
          <w:sz w:val="28"/>
          <w:szCs w:val="28"/>
          <w:highlight w:val="none"/>
          <w:u w:val="single"/>
        </w:rPr>
        <w:t>国家、广东省有关法律、行政法规，有关工程建设规范、技术标准；财政资金管理制度；本工程经上级部门和业主批准的设计文件资料和经财政审核的工程预算书；建设工程施工合同</w:t>
      </w:r>
      <w:r>
        <w:rPr>
          <w:rFonts w:hint="eastAsia" w:ascii="宋体" w:hAnsi="宋体" w:cs="宋体"/>
          <w:color w:val="auto"/>
          <w:sz w:val="28"/>
          <w:szCs w:val="28"/>
          <w:highlight w:val="none"/>
        </w:rPr>
        <w:t>。</w:t>
      </w:r>
    </w:p>
    <w:p>
      <w:pPr>
        <w:snapToGrid w:val="0"/>
        <w:spacing w:line="480" w:lineRule="exact"/>
        <w:ind w:firstLine="560" w:firstLineChars="200"/>
        <w:rPr>
          <w:rFonts w:hint="eastAsia" w:ascii="宋体" w:hAnsi="宋体" w:cs="宋体"/>
          <w:b w:val="0"/>
          <w:bCs w:val="0"/>
          <w:dstrike/>
          <w:color w:val="auto"/>
          <w:sz w:val="28"/>
          <w:szCs w:val="28"/>
          <w:highlight w:val="none"/>
        </w:rPr>
      </w:pPr>
      <w:r>
        <w:rPr>
          <w:rFonts w:hint="eastAsia" w:ascii="宋体" w:hAnsi="宋体" w:cs="宋体"/>
          <w:color w:val="auto"/>
          <w:sz w:val="28"/>
          <w:szCs w:val="28"/>
          <w:highlight w:val="none"/>
        </w:rPr>
        <w:t>4.2 相关服务依据包括</w:t>
      </w:r>
      <w:r>
        <w:rPr>
          <w:rFonts w:hint="eastAsia" w:ascii="宋体" w:hAnsi="宋体" w:cs="宋体"/>
          <w:b w:val="0"/>
          <w:bCs w:val="0"/>
          <w:color w:val="auto"/>
          <w:sz w:val="28"/>
          <w:szCs w:val="28"/>
          <w:highlight w:val="none"/>
        </w:rPr>
        <w:t>：</w:t>
      </w:r>
      <w:r>
        <w:rPr>
          <w:rFonts w:hint="eastAsia" w:ascii="宋体" w:hAnsi="宋体" w:cs="宋体"/>
          <w:b w:val="0"/>
          <w:bCs w:val="0"/>
          <w:color w:val="auto"/>
          <w:sz w:val="28"/>
          <w:szCs w:val="28"/>
          <w:highlight w:val="none"/>
          <w:u w:val="single"/>
        </w:rPr>
        <w:t>保修监理自竣工验收之日起，保修期按本工程项目施工合同和执行国务院令第279号《建设工程质量管理条例》</w:t>
      </w:r>
      <w:r>
        <w:rPr>
          <w:rFonts w:hint="eastAsia" w:ascii="宋体" w:hAnsi="宋体" w:cs="宋体"/>
          <w:b w:val="0"/>
          <w:bCs w:val="0"/>
          <w:color w:val="auto"/>
          <w:sz w:val="28"/>
          <w:szCs w:val="28"/>
          <w:highlight w:val="none"/>
        </w:rPr>
        <w:t>。</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5.项目监理机构和人员</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5.1</w:t>
      </w:r>
      <w:r>
        <w:rPr>
          <w:rFonts w:hint="eastAsia" w:ascii="宋体" w:hAnsi="宋体" w:cs="宋体"/>
          <w:b w:val="0"/>
          <w:bCs w:val="0"/>
          <w:color w:val="auto"/>
          <w:sz w:val="28"/>
          <w:szCs w:val="28"/>
          <w:highlight w:val="none"/>
          <w:u w:val="single"/>
        </w:rPr>
        <w:t>该项目总监必须按投标文件提供人员到位，除此外需配备1名具有市政排水工程师及以上监理人员，配备1名具有绿化工程师及以上监理人员。</w:t>
      </w:r>
    </w:p>
    <w:p>
      <w:pPr>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5.2 更换监理人员的其他情形：</w:t>
      </w:r>
      <w:r>
        <w:rPr>
          <w:rFonts w:hint="eastAsia" w:ascii="宋体" w:hAnsi="宋体" w:cs="宋体"/>
          <w:b w:val="0"/>
          <w:bCs w:val="0"/>
          <w:color w:val="auto"/>
          <w:sz w:val="28"/>
          <w:szCs w:val="28"/>
          <w:highlight w:val="none"/>
          <w:u w:val="single"/>
        </w:rPr>
        <w:t>监理机构保持人员稳定，如更换项目监理机构其他监理人员，应以相当资格与能力的人员，必须征得建设单位书面的同意方可更换，否则不能更换。项目总监和专业监理到场签到时间不能少于总工期天数的90％，到场签到时间少于总工期90％的，项目总监每少签到一天的违约金为2000元、项目专业监理每少签到一天的违约金为1000元。委托人有权直接在建立报酬扣除相应的违约金。</w:t>
      </w:r>
    </w:p>
    <w:p>
      <w:pPr>
        <w:snapToGrid w:val="0"/>
        <w:spacing w:line="480" w:lineRule="exact"/>
        <w:ind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5.3 更换监理人员的其他情形：</w:t>
      </w:r>
      <w:r>
        <w:rPr>
          <w:rFonts w:hint="eastAsia" w:ascii="宋体" w:hAnsi="宋体" w:cs="宋体"/>
          <w:b w:val="0"/>
          <w:bCs w:val="0"/>
          <w:color w:val="auto"/>
          <w:sz w:val="28"/>
          <w:szCs w:val="28"/>
          <w:highlight w:val="none"/>
          <w:u w:val="single"/>
        </w:rPr>
        <w:t xml:space="preserve">按补充条款的约定执行 </w:t>
      </w:r>
      <w:r>
        <w:rPr>
          <w:rFonts w:hint="eastAsia" w:ascii="宋体" w:hAnsi="宋体" w:cs="宋体"/>
          <w:b w:val="0"/>
          <w:bCs w:val="0"/>
          <w:color w:val="auto"/>
          <w:sz w:val="28"/>
          <w:szCs w:val="28"/>
          <w:highlight w:val="none"/>
        </w:rPr>
        <w:t>。</w:t>
      </w:r>
    </w:p>
    <w:p>
      <w:pPr>
        <w:spacing w:line="48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6. 履行职责</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 对监理人的授权范围：</w:t>
      </w:r>
      <w:r>
        <w:rPr>
          <w:rFonts w:hint="eastAsia" w:ascii="宋体" w:hAnsi="宋体" w:cs="宋体"/>
          <w:b w:val="0"/>
          <w:bCs w:val="0"/>
          <w:color w:val="auto"/>
          <w:sz w:val="28"/>
          <w:szCs w:val="28"/>
          <w:highlight w:val="none"/>
          <w:u w:val="single"/>
        </w:rPr>
        <w:t>对工程质量、工期、工程进度、工程资金使用等进行监理，安全生产监督管理、合同、信息等方面的协调管理，组织工程验收、施工例会以及协调施工现场相关工作。</w:t>
      </w:r>
      <w:r>
        <w:rPr>
          <w:rFonts w:hint="eastAsia" w:ascii="宋体" w:hAnsi="宋体" w:cs="宋体"/>
          <w:color w:val="auto"/>
          <w:sz w:val="28"/>
          <w:szCs w:val="28"/>
          <w:highlight w:val="none"/>
        </w:rPr>
        <w:t xml:space="preserve"> </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6.1.1选择工程总承包人的建议权 ；</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6.1.2选择工程分包人的认可权；</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6.1.3对工程建设有关事项包括工程规模、设计标准、规划设计、生产工艺设计和使用功能要求，向委托人的建议权；</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6.1.4对工程设计中的技术问题，按照安全和优化的原则，向设计人提交建议；如果拟提出的建议可能会提高工程造价，或延长工期，应当事先征得委托人的同意。当发现工程设计不符合国家颁布的建设工程质量标准或设计合同约定的质量准时，监理人应当书面报告委托人并要求设计人更正。</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6.1.5审批工程施工组织设计和技术方案，按照保质量、保工期和降低成本的原则，向承包人提出建议，并向委托人提出书面报告。</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6.1.6主持工程建设有关协作单位的组织协调，重要协调事项应当事先向委托人报告。</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6.1.7征得委托人同意，监理人有权发布停工令、复工令，但应当事先向委托人报告。如在紧急情况下未能事先报告时，则应在24小时内向委托人作出书面报告。</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6.1.8工程上使用的材料和施工质量的检验权。对于不符合设计要求和合同约定及国家质量标准的材料、构配件、设备，有权通知承包人停止使用；对于不符合规范和质量标准的工序、分部分项工程和不安全的施工作业，有权通知承包人停工整改、返工。承包人得到监理机构复工令后才能复工。</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6.1.9工程施工进度的检查、监督权，征得委托人同意后工程实际竣工日期提前或超过工程施工合同规定的竣工期限的签认权。</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6.1.10在工程施工合同约定的工程价格范围内，工程进度款支付的审核和签认权。未经总监理工程师签字确认，委托人不支付工程款。</w:t>
      </w:r>
    </w:p>
    <w:p>
      <w:pPr>
        <w:spacing w:line="48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6.1.11监理人在委托人授权下，可对任何承包人合同规定的义务提出变更。如果由此影响了工程费用或质量、或进度，则变更须经委托人事先批准。在监理过程中如发现工程承包人人员工作不力，监理机构征得委托人书面同意后可要求承包人调换有关人员。</w:t>
      </w:r>
    </w:p>
    <w:p>
      <w:pPr>
        <w:snapToGrid w:val="0"/>
        <w:spacing w:line="480" w:lineRule="exact"/>
        <w:ind w:firstLine="560" w:firstLineChars="200"/>
        <w:rPr>
          <w:rFonts w:hint="eastAsia" w:ascii="宋体" w:hAnsi="宋体" w:cs="宋体"/>
          <w:color w:val="auto"/>
          <w:sz w:val="28"/>
          <w:szCs w:val="28"/>
          <w:highlight w:val="none"/>
        </w:rPr>
      </w:pPr>
      <w:bookmarkStart w:id="106" w:name="_Toc359408415"/>
      <w:bookmarkStart w:id="107" w:name="_Toc359855084"/>
      <w:bookmarkStart w:id="108" w:name="_Toc335917549"/>
      <w:bookmarkStart w:id="109" w:name="_Toc534480411"/>
      <w:bookmarkStart w:id="110" w:name="_Toc342033844"/>
      <w:r>
        <w:rPr>
          <w:rFonts w:hint="eastAsia" w:ascii="宋体" w:hAnsi="宋体" w:cs="宋体"/>
          <w:color w:val="auto"/>
          <w:sz w:val="28"/>
          <w:szCs w:val="28"/>
          <w:highlight w:val="none"/>
        </w:rPr>
        <w:t>在涉及工程延期</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天内和（或）金额</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万元内的变更，监理人不需请示委托人即可向承包人发布变更通知。</w:t>
      </w:r>
      <w:bookmarkEnd w:id="106"/>
      <w:bookmarkEnd w:id="107"/>
      <w:bookmarkEnd w:id="108"/>
      <w:bookmarkEnd w:id="109"/>
      <w:bookmarkEnd w:id="110"/>
    </w:p>
    <w:p>
      <w:pPr>
        <w:snapToGrid w:val="0"/>
        <w:spacing w:line="480" w:lineRule="exact"/>
        <w:ind w:firstLine="560" w:firstLineChars="200"/>
        <w:rPr>
          <w:rFonts w:hint="eastAsia" w:ascii="宋体" w:hAnsi="宋体" w:cs="宋体"/>
          <w:color w:val="auto"/>
          <w:sz w:val="28"/>
          <w:szCs w:val="28"/>
          <w:highlight w:val="none"/>
        </w:rPr>
      </w:pPr>
      <w:bookmarkStart w:id="111" w:name="_Toc335917550"/>
      <w:bookmarkStart w:id="112" w:name="_Toc359408416"/>
      <w:bookmarkStart w:id="113" w:name="_Toc359855085"/>
      <w:bookmarkStart w:id="114" w:name="_Toc342033845"/>
      <w:bookmarkStart w:id="115" w:name="_Toc534480412"/>
      <w:r>
        <w:rPr>
          <w:rFonts w:hint="eastAsia" w:ascii="宋体" w:hAnsi="宋体" w:cs="宋体"/>
          <w:color w:val="auto"/>
          <w:sz w:val="28"/>
          <w:szCs w:val="28"/>
          <w:highlight w:val="none"/>
        </w:rPr>
        <w:t>6.2监理人有权要求承包人调换其人员的限制条件：</w:t>
      </w:r>
      <w:bookmarkEnd w:id="111"/>
      <w:bookmarkEnd w:id="112"/>
      <w:bookmarkEnd w:id="113"/>
      <w:bookmarkEnd w:id="114"/>
      <w:bookmarkEnd w:id="115"/>
      <w:r>
        <w:rPr>
          <w:rFonts w:hint="eastAsia" w:ascii="宋体" w:hAnsi="宋体" w:cs="宋体"/>
          <w:color w:val="auto"/>
          <w:sz w:val="28"/>
          <w:szCs w:val="28"/>
          <w:highlight w:val="none"/>
          <w:u w:val="single"/>
        </w:rPr>
        <w:t>若承包人项目班子不到位、不履行职责、不持证上岗等影响工程施工质量、安全、进度的行为，监理人发现承包人的人员不能胜任本职工作的，报告委托人并经委托人书面同意后有权要求承包人调换给予调换</w:t>
      </w:r>
      <w:r>
        <w:rPr>
          <w:rFonts w:hint="eastAsia" w:ascii="宋体" w:hAnsi="宋体" w:cs="宋体"/>
          <w:color w:val="auto"/>
          <w:sz w:val="28"/>
          <w:szCs w:val="28"/>
          <w:highlight w:val="none"/>
        </w:rPr>
        <w:t xml:space="preserve">。  </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6.3提交报告</w:t>
      </w:r>
    </w:p>
    <w:p>
      <w:pPr>
        <w:snapToGrid w:val="0"/>
        <w:spacing w:line="48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监理人应提交报告的种类(包括监理规划、监理月报及约定的专项报告)、时间和份数：</w:t>
      </w:r>
      <w:r>
        <w:rPr>
          <w:rFonts w:hint="eastAsia" w:ascii="宋体" w:hAnsi="宋体" w:cs="宋体"/>
          <w:color w:val="auto"/>
          <w:sz w:val="28"/>
          <w:szCs w:val="28"/>
          <w:highlight w:val="none"/>
          <w:u w:val="single"/>
        </w:rPr>
        <w:t>编制监理月报、监理工作总结各一式五份，报业主和市有关主管部门。监理人在每月5日前提交上月的监理月报表，工程竣工后20日内向委托人出具工程监理工作总结报告及监理过程汇编资料</w:t>
      </w:r>
      <w:r>
        <w:rPr>
          <w:rFonts w:hint="eastAsia" w:ascii="宋体" w:hAnsi="宋体" w:cs="宋体"/>
          <w:color w:val="auto"/>
          <w:sz w:val="28"/>
          <w:szCs w:val="28"/>
          <w:highlight w:val="none"/>
        </w:rPr>
        <w:t>。</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6.4使用委托人的财产</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附录B中由委托人无偿提供的房屋的所有权属于：委托人，监理工程所需使用的一切办公、交通、通讯、测量、气象检测试验、照相录相、电脑、打字复印等设备和生活设施由监理人负责解决。</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监理人应在本合同终止后</w:t>
      </w:r>
      <w:r>
        <w:rPr>
          <w:rFonts w:hint="eastAsia" w:ascii="宋体" w:hAnsi="宋体" w:cs="宋体"/>
          <w:color w:val="auto"/>
          <w:sz w:val="28"/>
          <w:szCs w:val="28"/>
          <w:highlight w:val="none"/>
          <w:u w:val="single"/>
        </w:rPr>
        <w:t xml:space="preserve">  10  </w:t>
      </w:r>
      <w:r>
        <w:rPr>
          <w:rFonts w:hint="eastAsia" w:ascii="宋体" w:hAnsi="宋体" w:cs="宋体"/>
          <w:color w:val="auto"/>
          <w:sz w:val="28"/>
          <w:szCs w:val="28"/>
          <w:highlight w:val="none"/>
        </w:rPr>
        <w:t>天内移交委托人无偿提供的房屋，移交的时间和方式为：</w:t>
      </w:r>
      <w:r>
        <w:rPr>
          <w:rFonts w:hint="eastAsia" w:ascii="宋体" w:hAnsi="宋体" w:cs="宋体"/>
          <w:color w:val="auto"/>
          <w:sz w:val="28"/>
          <w:szCs w:val="28"/>
          <w:highlight w:val="none"/>
          <w:u w:val="single"/>
        </w:rPr>
        <w:t xml:space="preserve"> 时间：本合同终止后10天内；方式：由双方在工地现场办理房屋、设备交接手续</w:t>
      </w:r>
      <w:r>
        <w:rPr>
          <w:rFonts w:hint="eastAsia" w:ascii="宋体" w:hAnsi="宋体" w:cs="宋体"/>
          <w:color w:val="auto"/>
          <w:sz w:val="28"/>
          <w:szCs w:val="28"/>
          <w:highlight w:val="none"/>
        </w:rPr>
        <w:t>。</w:t>
      </w:r>
    </w:p>
    <w:p>
      <w:pPr>
        <w:snapToGrid w:val="0"/>
        <w:spacing w:line="48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7. 委托人义务  </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7.1 委托人代表</w:t>
      </w:r>
    </w:p>
    <w:p>
      <w:pPr>
        <w:snapToGrid w:val="0"/>
        <w:spacing w:line="48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委托人代表为：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7.2答复</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委托人同意在</w:t>
      </w:r>
      <w:r>
        <w:rPr>
          <w:rFonts w:hint="eastAsia" w:ascii="宋体" w:hAnsi="宋体" w:cs="宋体"/>
          <w:color w:val="auto"/>
          <w:sz w:val="28"/>
          <w:szCs w:val="28"/>
          <w:highlight w:val="none"/>
          <w:u w:val="single"/>
        </w:rPr>
        <w:t xml:space="preserve">  7  </w:t>
      </w:r>
      <w:r>
        <w:rPr>
          <w:rFonts w:hint="eastAsia" w:ascii="宋体" w:hAnsi="宋体" w:cs="宋体"/>
          <w:color w:val="auto"/>
          <w:sz w:val="28"/>
          <w:szCs w:val="28"/>
          <w:highlight w:val="none"/>
        </w:rPr>
        <w:t>天内，对监理人书面提交并要求做出决定的事宜给予书面答复。</w:t>
      </w:r>
    </w:p>
    <w:p>
      <w:pPr>
        <w:snapToGrid w:val="0"/>
        <w:spacing w:line="48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8. 违约责任</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8.1 监理人的违约责任</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8.1.1监理人赔偿金额按下列方法确定：</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赔偿金＝直接经济损失×</w:t>
      </w:r>
      <w:r>
        <w:rPr>
          <w:rFonts w:hint="eastAsia" w:ascii="宋体" w:hAnsi="宋体" w:eastAsia="宋体" w:cs="宋体"/>
          <w:color w:val="auto"/>
          <w:sz w:val="28"/>
          <w:szCs w:val="28"/>
          <w:highlight w:val="none"/>
          <w:lang w:eastAsia="zh-CN"/>
        </w:rPr>
        <w:t>100%</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8.1.2监理人未按时、按质提供监理服务的，</w:t>
      </w:r>
      <w:r>
        <w:rPr>
          <w:rFonts w:hint="eastAsia" w:ascii="宋体" w:hAnsi="宋体" w:cs="宋体"/>
          <w:color w:val="auto"/>
          <w:sz w:val="28"/>
          <w:szCs w:val="28"/>
          <w:highlight w:val="none"/>
          <w:lang w:eastAsia="zh-CN"/>
        </w:rPr>
        <w:t>对照《建设工程监理规范》（</w:t>
      </w:r>
      <w:r>
        <w:rPr>
          <w:rFonts w:hint="eastAsia" w:ascii="宋体" w:hAnsi="宋体" w:cs="宋体"/>
          <w:color w:val="auto"/>
          <w:sz w:val="28"/>
          <w:szCs w:val="28"/>
          <w:highlight w:val="none"/>
          <w:lang w:val="en-US" w:eastAsia="zh-CN"/>
        </w:rPr>
        <w:t>GB50319-2013</w:t>
      </w:r>
      <w:r>
        <w:rPr>
          <w:rFonts w:hint="eastAsia" w:ascii="宋体" w:hAnsi="宋体" w:cs="宋体"/>
          <w:color w:val="auto"/>
          <w:sz w:val="28"/>
          <w:szCs w:val="28"/>
          <w:highlight w:val="none"/>
          <w:lang w:eastAsia="zh-CN"/>
        </w:rPr>
        <w:t>）相关条款给予认定，每次罚款</w:t>
      </w:r>
      <w:r>
        <w:rPr>
          <w:rFonts w:hint="eastAsia" w:ascii="宋体" w:hAnsi="宋体" w:cs="宋体"/>
          <w:color w:val="auto"/>
          <w:sz w:val="28"/>
          <w:szCs w:val="28"/>
          <w:highlight w:val="none"/>
          <w:lang w:val="en-US" w:eastAsia="zh-CN"/>
        </w:rPr>
        <w:t>2000元，直接从当期监理费用中扣除，</w:t>
      </w:r>
      <w:r>
        <w:rPr>
          <w:rFonts w:hint="eastAsia" w:ascii="宋体" w:hAnsi="宋体" w:cs="宋体"/>
          <w:color w:val="auto"/>
          <w:sz w:val="28"/>
          <w:szCs w:val="28"/>
          <w:highlight w:val="none"/>
          <w:lang w:eastAsia="zh-CN"/>
        </w:rPr>
        <w:t>造成委托人经济损失的</w:t>
      </w:r>
      <w:r>
        <w:rPr>
          <w:rFonts w:hint="eastAsia" w:ascii="宋体" w:hAnsi="宋体" w:cs="宋体"/>
          <w:color w:val="auto"/>
          <w:sz w:val="28"/>
          <w:szCs w:val="28"/>
          <w:highlight w:val="none"/>
        </w:rPr>
        <w:t>按专项条款第8.1.1条执行。</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8.2 委托人的违约责任</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8.2.1 委托人逾期付款利息按下列方法确定（当委托人未能按期支付酬金超过60天）：</w:t>
      </w:r>
      <w:r>
        <w:rPr>
          <w:rFonts w:hint="eastAsia" w:ascii="宋体" w:hAnsi="宋体" w:cs="宋体"/>
          <w:color w:val="auto"/>
          <w:sz w:val="28"/>
          <w:szCs w:val="28"/>
          <w:highlight w:val="none"/>
          <w:u w:val="single"/>
        </w:rPr>
        <w:t xml:space="preserve"> ／ </w:t>
      </w:r>
    </w:p>
    <w:p>
      <w:pPr>
        <w:snapToGrid w:val="0"/>
        <w:spacing w:line="480" w:lineRule="exact"/>
        <w:ind w:firstLine="562" w:firstLineChars="200"/>
        <w:rPr>
          <w:rFonts w:hint="eastAsia" w:ascii="宋体" w:hAnsi="宋体" w:cs="宋体"/>
          <w:b/>
          <w:color w:val="auto"/>
          <w:sz w:val="28"/>
          <w:szCs w:val="28"/>
          <w:highlight w:val="none"/>
        </w:rPr>
      </w:pPr>
      <w:r>
        <w:rPr>
          <w:rFonts w:hint="eastAsia" w:ascii="宋体" w:hAnsi="宋体" w:cs="宋体"/>
          <w:b/>
          <w:bCs/>
          <w:color w:val="auto"/>
          <w:sz w:val="28"/>
          <w:szCs w:val="28"/>
          <w:highlight w:val="none"/>
        </w:rPr>
        <w:t>9. 支付</w:t>
      </w:r>
    </w:p>
    <w:p>
      <w:pPr>
        <w:snapToGrid w:val="0"/>
        <w:spacing w:line="480" w:lineRule="exact"/>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 xml:space="preserve">9.1 </w:t>
      </w:r>
      <w:r>
        <w:rPr>
          <w:rFonts w:hint="eastAsia" w:ascii="宋体" w:hAnsi="宋体" w:cs="宋体"/>
          <w:bCs/>
          <w:color w:val="auto"/>
          <w:sz w:val="28"/>
          <w:szCs w:val="28"/>
          <w:highlight w:val="none"/>
        </w:rPr>
        <w:t>支付货币</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币种为：</w:t>
      </w:r>
      <w:r>
        <w:rPr>
          <w:rFonts w:hint="eastAsia" w:ascii="宋体" w:hAnsi="宋体" w:cs="宋体"/>
          <w:color w:val="auto"/>
          <w:sz w:val="28"/>
          <w:szCs w:val="28"/>
          <w:highlight w:val="none"/>
          <w:u w:val="single"/>
        </w:rPr>
        <w:t xml:space="preserve"> 人民币  </w:t>
      </w:r>
      <w:r>
        <w:rPr>
          <w:rFonts w:hint="eastAsia" w:ascii="宋体" w:hAnsi="宋体" w:cs="宋体"/>
          <w:color w:val="auto"/>
          <w:sz w:val="28"/>
          <w:szCs w:val="28"/>
          <w:highlight w:val="none"/>
        </w:rPr>
        <w:t>，比例为：</w:t>
      </w:r>
      <w:r>
        <w:rPr>
          <w:rFonts w:hint="eastAsia" w:ascii="宋体" w:hAnsi="宋体" w:cs="宋体"/>
          <w:color w:val="auto"/>
          <w:sz w:val="28"/>
          <w:szCs w:val="28"/>
          <w:highlight w:val="none"/>
          <w:u w:val="single"/>
        </w:rPr>
        <w:t xml:space="preserve">   无   </w:t>
      </w:r>
      <w:r>
        <w:rPr>
          <w:rFonts w:hint="eastAsia" w:ascii="宋体" w:hAnsi="宋体" w:cs="宋体"/>
          <w:color w:val="auto"/>
          <w:sz w:val="28"/>
          <w:szCs w:val="28"/>
          <w:highlight w:val="none"/>
        </w:rPr>
        <w:t>，汇率为：</w:t>
      </w:r>
      <w:r>
        <w:rPr>
          <w:rFonts w:hint="eastAsia" w:ascii="宋体" w:hAnsi="宋体" w:cs="宋体"/>
          <w:color w:val="auto"/>
          <w:sz w:val="28"/>
          <w:szCs w:val="28"/>
          <w:highlight w:val="none"/>
          <w:u w:val="single"/>
        </w:rPr>
        <w:t xml:space="preserve">  无</w:t>
      </w:r>
      <w:r>
        <w:rPr>
          <w:rFonts w:hint="eastAsia" w:ascii="宋体" w:hAnsi="宋体" w:cs="宋体"/>
          <w:b/>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9.2 支付酬金</w:t>
      </w:r>
    </w:p>
    <w:p>
      <w:pPr>
        <w:snapToGrid w:val="0"/>
        <w:spacing w:line="360" w:lineRule="auto"/>
        <w:ind w:firstLine="420" w:firstLineChars="200"/>
        <w:rPr>
          <w:rFonts w:hint="eastAsia" w:ascii="宋体" w:hAnsi="宋体" w:cs="宋体"/>
          <w:color w:val="auto"/>
          <w:sz w:val="28"/>
          <w:szCs w:val="28"/>
          <w:highlight w:val="non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9.2.1本工程以实际施工道路工程相应的湛江经开区财政部门审定的竣工算总造价为基数计算的最终监理服务费为付款依据。即最终结算监理费计算基数以区财政部门最终审定的建安工程结算价为准，按国家发改委价格【2007】670号文标准计算出项目监理服务费基准价×60%×（1－</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%）,监理服务费最高限额为</w:t>
      </w:r>
      <w:r>
        <w:rPr>
          <w:rFonts w:hint="eastAsia" w:ascii="宋体" w:hAnsi="宋体" w:cs="宋体"/>
          <w:color w:val="auto"/>
          <w:sz w:val="28"/>
          <w:szCs w:val="28"/>
          <w:highlight w:val="none"/>
          <w:lang w:val="en-US" w:eastAsia="zh-CN"/>
        </w:rPr>
        <w:t>111.37</w:t>
      </w:r>
      <w:r>
        <w:rPr>
          <w:rFonts w:hint="eastAsia" w:ascii="宋体" w:hAnsi="宋体" w:cs="宋体"/>
          <w:color w:val="auto"/>
          <w:sz w:val="28"/>
          <w:szCs w:val="28"/>
          <w:highlight w:val="none"/>
        </w:rPr>
        <w:t>万元，结算若高于</w:t>
      </w:r>
      <w:r>
        <w:rPr>
          <w:rFonts w:hint="eastAsia" w:ascii="宋体" w:hAnsi="宋体" w:cs="宋体"/>
          <w:color w:val="auto"/>
          <w:sz w:val="28"/>
          <w:szCs w:val="28"/>
          <w:highlight w:val="none"/>
          <w:lang w:val="en-US" w:eastAsia="zh-CN"/>
        </w:rPr>
        <w:t>111.37</w:t>
      </w:r>
      <w:r>
        <w:rPr>
          <w:rFonts w:hint="eastAsia" w:ascii="宋体" w:hAnsi="宋体" w:cs="宋体"/>
          <w:color w:val="auto"/>
          <w:sz w:val="28"/>
          <w:szCs w:val="28"/>
          <w:highlight w:val="none"/>
        </w:rPr>
        <w:t>万元则以</w:t>
      </w:r>
      <w:r>
        <w:rPr>
          <w:rFonts w:hint="eastAsia" w:ascii="宋体" w:hAnsi="宋体" w:cs="宋体"/>
          <w:color w:val="auto"/>
          <w:sz w:val="28"/>
          <w:szCs w:val="28"/>
          <w:highlight w:val="none"/>
          <w:lang w:val="en-US" w:eastAsia="zh-CN"/>
        </w:rPr>
        <w:t>111.37</w:t>
      </w:r>
      <w:r>
        <w:rPr>
          <w:rFonts w:hint="eastAsia" w:ascii="宋体" w:hAnsi="宋体" w:cs="宋体"/>
          <w:color w:val="auto"/>
          <w:sz w:val="28"/>
          <w:szCs w:val="28"/>
          <w:highlight w:val="none"/>
        </w:rPr>
        <w:t>万元作为最终结算价。监理服务费最高限额不因建安费的增加而调整。a是监理人投报监理费浮动系数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用百分比表示）。监理人的报价为本工程监理收费及签订合同依据。监理服务费包括了承担全部工程的实施、完成及其缺陷修复等监理合同责任的总花费和监理人因监理本合同工程需缴纳的一切税费，并包括为工程顺利进行按照国家现行有关建设工程规范、规程和技术标准要求必须配套完成的工作内容所需的费用。</w:t>
      </w:r>
    </w:p>
    <w:p>
      <w:pPr>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9.2.2监理报酬的支付：监理费按进度款支付，在工程竣工之前按照工程进度付至合同价85%，施工期间监理费按进度款支付，每期支付监理费按（委托人核准的累计施工完成价款/ 本工程签约合同价的工程建安费×签约酬金×85%-累计已支付监理费）计算，至累计付款达到签约酬金的85%时停止支付；每次申报监理进度款前，先把该阶段的监理人员到位情况及监理工作情况报发包人考核合格后，才能申请支付监理进度款，每次进度款按规定计算应支付监理费≥5万元，委托人方可考虑支付当期的监理费，否则委托人不考虑支付当期监理费，工程完工结算后视监理质量的考核情况，</w:t>
      </w:r>
      <w:r>
        <w:rPr>
          <w:rFonts w:hint="eastAsia" w:ascii="宋体" w:hAnsi="宋体" w:cs="宋体"/>
          <w:color w:val="auto"/>
          <w:sz w:val="28"/>
          <w:szCs w:val="28"/>
          <w:highlight w:val="none"/>
          <w:lang w:val="en-US" w:eastAsia="zh-CN"/>
        </w:rPr>
        <w:t>一次性支付至监理费用的100%，支付前中标人需提供结算价</w:t>
      </w: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的银行保函，</w:t>
      </w: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的银行保函</w:t>
      </w:r>
      <w:r>
        <w:rPr>
          <w:rFonts w:hint="eastAsia" w:ascii="宋体" w:hAnsi="宋体" w:cs="宋体"/>
          <w:color w:val="auto"/>
          <w:sz w:val="28"/>
          <w:szCs w:val="28"/>
          <w:highlight w:val="none"/>
        </w:rPr>
        <w:t>至竣工验收合格之日起满两年且缺陷责任期满后30个日历天内</w:t>
      </w:r>
      <w:r>
        <w:rPr>
          <w:rFonts w:hint="eastAsia" w:ascii="宋体" w:hAnsi="宋体" w:cs="宋体"/>
          <w:color w:val="auto"/>
          <w:sz w:val="28"/>
          <w:szCs w:val="28"/>
          <w:highlight w:val="none"/>
          <w:lang w:val="en-US" w:eastAsia="zh-CN"/>
        </w:rPr>
        <w:t>应监理人的申请退还监理人。</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9.3.3对附加工作报酬按补充条款计算附加工作酬金。</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9.3.3.1由监理人提出确保质量、节约投资的工程变更方案并经委托人确认的，按所节约投资金额的2%奖励给监理单位；无论哪方提出的工程变更方案而增加投资额的，均不给予计算增加部分的监理费用。</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9.3.3.2本工程因不可抗力原因造成工程延期的，施工监理工期自然顺延，但不增加工程监理报酬。</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9.3.3.3由于监理人失职而造成监理工作内容、工作量和持续时间的增加，不得计取附加工作报酬。</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9.3.3.4监理附加工作报酬在工程竣工验收后与工程监理报酬总额一并结算。</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9.4额外工作报酬计取：监理人免收额外工作报酬。</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“工程监理的额外工作”是指正常工作和附加工作以外或非监理人自己的原因而暂停或终止监理业务，其善后工作及恢复监理业务的工作。</w:t>
      </w:r>
    </w:p>
    <w:p>
      <w:pPr>
        <w:pStyle w:val="25"/>
        <w:spacing w:line="480" w:lineRule="exact"/>
        <w:ind w:firstLine="560" w:firstLineChars="200"/>
        <w:rPr>
          <w:rFonts w:hint="eastAsia" w:ascii="宋体" w:hAnsi="宋体" w:cs="宋体"/>
          <w:color w:val="auto"/>
          <w:kern w:val="0"/>
          <w:szCs w:val="28"/>
          <w:highlight w:val="none"/>
        </w:rPr>
      </w:pPr>
      <w:r>
        <w:rPr>
          <w:rFonts w:hint="eastAsia" w:ascii="宋体" w:hAnsi="宋体" w:cs="宋体"/>
          <w:color w:val="auto"/>
          <w:kern w:val="0"/>
          <w:szCs w:val="28"/>
          <w:highlight w:val="none"/>
        </w:rPr>
        <w:t>10 履约保证金</w:t>
      </w:r>
    </w:p>
    <w:p>
      <w:pPr>
        <w:pStyle w:val="25"/>
        <w:spacing w:line="480" w:lineRule="exact"/>
        <w:ind w:firstLine="560" w:firstLineChars="200"/>
        <w:rPr>
          <w:rFonts w:hint="eastAsia" w:ascii="宋体" w:hAnsi="宋体" w:cs="宋体"/>
          <w:bCs/>
          <w:color w:val="auto"/>
          <w:szCs w:val="28"/>
          <w:highlight w:val="none"/>
        </w:rPr>
      </w:pPr>
      <w:r>
        <w:rPr>
          <w:rFonts w:hint="eastAsia" w:ascii="宋体" w:hAnsi="宋体" w:cs="宋体"/>
          <w:color w:val="auto"/>
          <w:szCs w:val="28"/>
          <w:highlight w:val="none"/>
        </w:rPr>
        <w:t>为了保证本工程施工的顺利进行，监理人必须提供</w:t>
      </w:r>
      <w:r>
        <w:rPr>
          <w:rFonts w:hint="eastAsia" w:ascii="宋体" w:hAnsi="宋体" w:cs="宋体"/>
          <w:color w:val="auto"/>
          <w:szCs w:val="28"/>
          <w:highlight w:val="none"/>
          <w:u w:val="single"/>
        </w:rPr>
        <w:t xml:space="preserve"> 中标价的5% </w:t>
      </w:r>
      <w:r>
        <w:rPr>
          <w:rFonts w:hint="eastAsia" w:ascii="宋体" w:hAnsi="宋体" w:cs="宋体"/>
          <w:color w:val="auto"/>
          <w:szCs w:val="28"/>
          <w:highlight w:val="none"/>
        </w:rPr>
        <w:t>人民币履约保证金</w:t>
      </w:r>
      <w:r>
        <w:rPr>
          <w:rFonts w:hint="eastAsia" w:ascii="宋体" w:hAnsi="宋体" w:cs="宋体"/>
          <w:b/>
          <w:color w:val="auto"/>
          <w:szCs w:val="28"/>
          <w:highlight w:val="none"/>
          <w:lang w:eastAsia="zh-CN"/>
        </w:rPr>
        <w:t>，</w:t>
      </w:r>
      <w:r>
        <w:rPr>
          <w:rFonts w:hint="eastAsia" w:ascii="宋体" w:hAnsi="宋体" w:cs="宋体"/>
          <w:b/>
          <w:color w:val="auto"/>
          <w:szCs w:val="28"/>
          <w:highlight w:val="none"/>
          <w:lang w:val="en-US" w:eastAsia="zh-CN"/>
        </w:rPr>
        <w:t>履约保证金采用</w:t>
      </w:r>
      <w:r>
        <w:rPr>
          <w:rFonts w:hint="eastAsia" w:ascii="宋体" w:hAnsi="宋体" w:cs="宋体"/>
          <w:color w:val="auto"/>
          <w:szCs w:val="28"/>
          <w:highlight w:val="none"/>
        </w:rPr>
        <w:t>银行保函</w:t>
      </w:r>
      <w:r>
        <w:rPr>
          <w:rFonts w:hint="eastAsia" w:ascii="宋体" w:hAnsi="宋体" w:cs="宋体"/>
          <w:color w:val="auto"/>
          <w:szCs w:val="28"/>
          <w:highlight w:val="none"/>
          <w:lang w:val="en-US" w:eastAsia="zh-CN"/>
        </w:rPr>
        <w:t>的方式</w:t>
      </w:r>
      <w:r>
        <w:rPr>
          <w:rFonts w:hint="eastAsia" w:ascii="宋体" w:hAnsi="宋体" w:cs="宋体"/>
          <w:bCs/>
          <w:color w:val="auto"/>
          <w:szCs w:val="28"/>
          <w:highlight w:val="none"/>
        </w:rPr>
        <w:t>：</w:t>
      </w:r>
    </w:p>
    <w:p>
      <w:pPr>
        <w:pStyle w:val="25"/>
        <w:spacing w:line="480" w:lineRule="exact"/>
        <w:ind w:firstLine="560" w:firstLineChars="200"/>
        <w:rPr>
          <w:rFonts w:hint="eastAsia" w:ascii="宋体" w:hAnsi="宋体" w:cs="宋体"/>
          <w:color w:val="auto"/>
          <w:kern w:val="0"/>
          <w:szCs w:val="28"/>
          <w:highlight w:val="none"/>
        </w:rPr>
      </w:pPr>
      <w:r>
        <w:rPr>
          <w:rFonts w:hint="eastAsia" w:ascii="宋体" w:hAnsi="宋体" w:cs="宋体"/>
          <w:color w:val="auto"/>
          <w:szCs w:val="28"/>
          <w:highlight w:val="none"/>
        </w:rPr>
        <w:t>10.1监理人交纳的履约保证金通过银行保函方式执行的，在委托人和监理人签订监理合同之日起10天内向委托人提供有效的保函, 担保期限自委托人与监理人签订的合同生效之日起至工程竣工验收合格并交付使用、完成工程结算且提交符合要求的工程竣工资料之日止。委托人在工程竣工验收合格并交付使用、完成工程结算且提交符合要求的工程竣工资料后5个工作日内应监理人的要求解除履约担保。具体担保责任形式、担保范围在监理人提供的担保人出具的担保函中进行约定，该约定应经委托人同意后方可作为有效担保。</w:t>
      </w:r>
      <w:r>
        <w:rPr>
          <w:rFonts w:hint="eastAsia" w:ascii="宋体" w:hAnsi="宋体" w:cs="宋体"/>
          <w:color w:val="auto"/>
          <w:kern w:val="0"/>
          <w:szCs w:val="28"/>
          <w:highlight w:val="none"/>
        </w:rPr>
        <w:t>若监理人未在上述约定时间内向委托人提供有效银行保函的，委托人即取消本次监理单位的中标资格，没收其投标保证金，且本协议自动解除，同时委托人将按照评标委员会提出的中标候选人名单排序依次确定其他中标候选人为中标人</w:t>
      </w:r>
      <w:r>
        <w:rPr>
          <w:rFonts w:hint="eastAsia" w:ascii="宋体" w:hAnsi="宋体" w:cs="宋体"/>
          <w:color w:val="auto"/>
          <w:szCs w:val="28"/>
          <w:highlight w:val="none"/>
        </w:rPr>
        <w:t>。</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10.2监理人在合同履行过程中如有违约行为，委托人可视情况全部或部分没收其履约保证金，并按合同有关条款追究其违约责任。如监理人在合同履行过程中没有违约责任，委托人在工程竣工验收合格并交付使用、完成工程结算且提交符合要求的工程竣工资料后5个工作日内应监理人的要求全额无息退还履约保证金或退还履约保函原件。</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10.3如果履约保函的有效期到期，但本工程还没有施工完成并竣工验收，监理人需重新提供新履约保函，担保有效期至本工程竣工验收合格并交付使用为止。</w:t>
      </w:r>
    </w:p>
    <w:p>
      <w:pPr>
        <w:snapToGrid w:val="0"/>
        <w:spacing w:line="480" w:lineRule="exact"/>
        <w:ind w:firstLine="560" w:firstLineChars="200"/>
        <w:rPr>
          <w:rFonts w:hint="eastAsia" w:ascii="宋体" w:hAnsi="宋体" w:cs="宋体"/>
          <w:b/>
          <w:bCs/>
          <w:color w:val="auto"/>
          <w:sz w:val="28"/>
          <w:szCs w:val="28"/>
          <w:highlight w:val="none"/>
        </w:rPr>
      </w:pPr>
      <w:r>
        <w:rPr>
          <w:rFonts w:hint="eastAsia" w:ascii="宋体" w:hAnsi="宋体" w:cs="宋体"/>
          <w:bCs/>
          <w:color w:val="auto"/>
          <w:sz w:val="28"/>
          <w:szCs w:val="28"/>
          <w:highlight w:val="none"/>
        </w:rPr>
        <w:t>11</w:t>
      </w:r>
      <w:r>
        <w:rPr>
          <w:rFonts w:hint="eastAsia" w:ascii="宋体" w:hAnsi="宋体" w:cs="宋体"/>
          <w:b/>
          <w:bCs/>
          <w:color w:val="auto"/>
          <w:sz w:val="28"/>
          <w:szCs w:val="28"/>
          <w:highlight w:val="none"/>
        </w:rPr>
        <w:t>. 合同生效、变更、暂停、解除与终止</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11.1 生效</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本合同生效条件：</w:t>
      </w:r>
      <w:r>
        <w:rPr>
          <w:rFonts w:hint="eastAsia" w:ascii="宋体" w:hAnsi="宋体" w:cs="宋体"/>
          <w:color w:val="auto"/>
          <w:sz w:val="28"/>
          <w:szCs w:val="28"/>
          <w:highlight w:val="none"/>
          <w:u w:val="single"/>
        </w:rPr>
        <w:t>自双方签字盖章之日起生效</w:t>
      </w:r>
      <w:r>
        <w:rPr>
          <w:rFonts w:hint="eastAsia" w:ascii="宋体" w:hAnsi="宋体" w:cs="宋体"/>
          <w:color w:val="auto"/>
          <w:sz w:val="28"/>
          <w:szCs w:val="28"/>
          <w:highlight w:val="none"/>
        </w:rPr>
        <w:t>。</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11.2 变更</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11.2.2 除不可抗力外， 因非监理人原因导致本合同期限延长时，附加工作酬金按下列方法确定：</w:t>
      </w:r>
      <w:r>
        <w:rPr>
          <w:rFonts w:hint="eastAsia" w:ascii="宋体" w:hAnsi="宋体" w:cs="宋体"/>
          <w:color w:val="auto"/>
          <w:sz w:val="28"/>
          <w:szCs w:val="28"/>
          <w:highlight w:val="none"/>
          <w:u w:val="single"/>
        </w:rPr>
        <w:t>按</w:t>
      </w:r>
      <w:r>
        <w:rPr>
          <w:rFonts w:hint="eastAsia" w:ascii="宋体" w:hAnsi="宋体" w:cs="宋体"/>
          <w:color w:val="auto"/>
          <w:sz w:val="28"/>
          <w:szCs w:val="28"/>
          <w:highlight w:val="none"/>
          <w:u w:val="single"/>
          <w:lang w:val="en-US" w:eastAsia="zh-CN"/>
        </w:rPr>
        <w:t>9</w:t>
      </w:r>
      <w:r>
        <w:rPr>
          <w:rFonts w:hint="eastAsia" w:ascii="宋体" w:hAnsi="宋体" w:cs="宋体"/>
          <w:color w:val="auto"/>
          <w:sz w:val="28"/>
          <w:szCs w:val="28"/>
          <w:highlight w:val="none"/>
          <w:u w:val="single"/>
        </w:rPr>
        <w:t>.3.3的约定执行</w:t>
      </w:r>
      <w:r>
        <w:rPr>
          <w:rFonts w:hint="eastAsia" w:ascii="宋体" w:hAnsi="宋体" w:cs="宋体"/>
          <w:color w:val="auto"/>
          <w:sz w:val="28"/>
          <w:szCs w:val="28"/>
          <w:highlight w:val="none"/>
        </w:rPr>
        <w:t>。</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11.2.3附加工作酬金按下列方法确定：</w:t>
      </w:r>
      <w:r>
        <w:rPr>
          <w:rFonts w:hint="eastAsia" w:ascii="宋体" w:hAnsi="宋体" w:cs="宋体"/>
          <w:color w:val="auto"/>
          <w:sz w:val="28"/>
          <w:szCs w:val="28"/>
          <w:highlight w:val="none"/>
          <w:u w:val="single"/>
        </w:rPr>
        <w:t>按</w:t>
      </w:r>
      <w:r>
        <w:rPr>
          <w:rFonts w:hint="eastAsia" w:ascii="宋体" w:hAnsi="宋体" w:cs="宋体"/>
          <w:color w:val="auto"/>
          <w:sz w:val="28"/>
          <w:szCs w:val="28"/>
          <w:highlight w:val="none"/>
          <w:u w:val="single"/>
          <w:lang w:val="en-US" w:eastAsia="zh-CN"/>
        </w:rPr>
        <w:t>9</w:t>
      </w:r>
      <w:r>
        <w:rPr>
          <w:rFonts w:hint="eastAsia" w:ascii="宋体" w:hAnsi="宋体" w:cs="宋体"/>
          <w:color w:val="auto"/>
          <w:sz w:val="28"/>
          <w:szCs w:val="28"/>
          <w:highlight w:val="none"/>
          <w:u w:val="single"/>
        </w:rPr>
        <w:t>.3.3的约定执行</w:t>
      </w:r>
      <w:r>
        <w:rPr>
          <w:rFonts w:hint="eastAsia" w:ascii="宋体" w:hAnsi="宋体" w:cs="宋体"/>
          <w:color w:val="auto"/>
          <w:sz w:val="28"/>
          <w:szCs w:val="28"/>
          <w:highlight w:val="none"/>
        </w:rPr>
        <w:t>。</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11.2.6 因工程规模、监理范围的变化导致监理人的正常工作量减少时，按减少工作量的比例从协议书约定的正常工作酬金中扣减相同比例的酬金。</w:t>
      </w:r>
    </w:p>
    <w:p>
      <w:pPr>
        <w:snapToGrid w:val="0"/>
        <w:spacing w:line="480" w:lineRule="exact"/>
        <w:ind w:firstLine="562" w:firstLineChars="200"/>
        <w:rPr>
          <w:rFonts w:hint="eastAsia" w:ascii="宋体" w:hAnsi="宋体" w:cs="宋体"/>
          <w:b/>
          <w:color w:val="auto"/>
          <w:sz w:val="28"/>
          <w:szCs w:val="28"/>
          <w:highlight w:val="none"/>
        </w:rPr>
      </w:pPr>
      <w:r>
        <w:rPr>
          <w:rFonts w:hint="eastAsia" w:ascii="宋体" w:hAnsi="宋体" w:cs="宋体"/>
          <w:b/>
          <w:bCs/>
          <w:color w:val="auto"/>
          <w:sz w:val="28"/>
          <w:szCs w:val="28"/>
          <w:highlight w:val="none"/>
        </w:rPr>
        <w:t>12. 争议解决</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12.1 </w:t>
      </w:r>
      <w:r>
        <w:rPr>
          <w:rFonts w:hint="eastAsia" w:ascii="宋体" w:hAnsi="宋体" w:cs="宋体"/>
          <w:bCs/>
          <w:color w:val="auto"/>
          <w:sz w:val="28"/>
          <w:szCs w:val="28"/>
          <w:highlight w:val="none"/>
        </w:rPr>
        <w:t>调解</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本合同争议进行调解时，可提交</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进行调解。</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12.2</w:t>
      </w:r>
      <w:r>
        <w:rPr>
          <w:rFonts w:hint="eastAsia" w:ascii="宋体" w:hAnsi="宋体" w:cs="宋体"/>
          <w:bCs/>
          <w:color w:val="auto"/>
          <w:sz w:val="28"/>
          <w:szCs w:val="28"/>
          <w:highlight w:val="none"/>
        </w:rPr>
        <w:t>仲裁或诉讼</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合同争议的最终解决方式为下列第</w:t>
      </w:r>
      <w:r>
        <w:rPr>
          <w:rFonts w:hint="eastAsia" w:ascii="宋体" w:hAnsi="宋体" w:cs="宋体"/>
          <w:color w:val="auto"/>
          <w:sz w:val="28"/>
          <w:szCs w:val="28"/>
          <w:highlight w:val="none"/>
          <w:u w:val="single"/>
        </w:rPr>
        <w:t xml:space="preserve">  （2）</w:t>
      </w:r>
      <w:r>
        <w:rPr>
          <w:rFonts w:hint="eastAsia" w:ascii="宋体" w:hAnsi="宋体" w:cs="宋体"/>
          <w:b/>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种方式：</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（1）提请</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仲裁委员会进行仲裁。</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（2）依法向</w:t>
      </w:r>
      <w:r>
        <w:rPr>
          <w:rFonts w:hint="eastAsia" w:ascii="宋体" w:hAnsi="宋体" w:cs="宋体"/>
          <w:color w:val="auto"/>
          <w:sz w:val="28"/>
          <w:szCs w:val="28"/>
          <w:highlight w:val="none"/>
          <w:u w:val="single"/>
        </w:rPr>
        <w:t xml:space="preserve">湛江经济技术开发区 </w:t>
      </w:r>
      <w:r>
        <w:rPr>
          <w:rFonts w:hint="eastAsia" w:ascii="宋体" w:hAnsi="宋体" w:cs="宋体"/>
          <w:color w:val="auto"/>
          <w:sz w:val="28"/>
          <w:szCs w:val="28"/>
          <w:highlight w:val="none"/>
        </w:rPr>
        <w:t>人民法院提起诉讼。</w:t>
      </w:r>
    </w:p>
    <w:p>
      <w:pPr>
        <w:snapToGrid w:val="0"/>
        <w:spacing w:line="48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13. 其他</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13.1奖励</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合理化建议的奖励金额按下列方法确定为：</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奖励金额＝工程投资节省额×奖励金额的比率；</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奖励金额的比率为</w:t>
      </w:r>
      <w:r>
        <w:rPr>
          <w:rFonts w:hint="eastAsia" w:ascii="宋体" w:hAnsi="宋体" w:cs="宋体"/>
          <w:color w:val="auto"/>
          <w:sz w:val="28"/>
          <w:szCs w:val="28"/>
          <w:highlight w:val="none"/>
          <w:u w:val="single"/>
        </w:rPr>
        <w:t xml:space="preserve">   2   </w:t>
      </w:r>
      <w:r>
        <w:rPr>
          <w:rFonts w:hint="eastAsia" w:ascii="宋体" w:hAnsi="宋体" w:cs="宋体"/>
          <w:color w:val="auto"/>
          <w:sz w:val="28"/>
          <w:szCs w:val="28"/>
          <w:highlight w:val="none"/>
        </w:rPr>
        <w:t>%。</w:t>
      </w:r>
    </w:p>
    <w:p>
      <w:pPr>
        <w:snapToGrid w:val="0"/>
        <w:spacing w:line="48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13.2 检测费用</w:t>
      </w:r>
    </w:p>
    <w:p>
      <w:pPr>
        <w:snapToGrid w:val="0"/>
        <w:spacing w:line="48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委托人应在检测工作完成后</w:t>
      </w:r>
      <w:r>
        <w:rPr>
          <w:rFonts w:hint="eastAsia" w:ascii="宋体" w:hAnsi="宋体" w:cs="宋体"/>
          <w:color w:val="auto"/>
          <w:sz w:val="28"/>
          <w:szCs w:val="28"/>
          <w:highlight w:val="none"/>
          <w:u w:val="single"/>
        </w:rPr>
        <w:t xml:space="preserve">   /   </w:t>
      </w:r>
      <w:r>
        <w:rPr>
          <w:rFonts w:hint="eastAsia" w:ascii="宋体" w:hAnsi="宋体" w:cs="宋体"/>
          <w:bCs/>
          <w:color w:val="auto"/>
          <w:sz w:val="28"/>
          <w:szCs w:val="28"/>
          <w:highlight w:val="none"/>
        </w:rPr>
        <w:t>天内支付检测费用。</w:t>
      </w:r>
    </w:p>
    <w:p>
      <w:pPr>
        <w:snapToGrid w:val="0"/>
        <w:spacing w:line="48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13.3 咨询费用</w:t>
      </w:r>
    </w:p>
    <w:p>
      <w:pPr>
        <w:snapToGrid w:val="0"/>
        <w:spacing w:line="48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委托人应在咨询工作完成后</w:t>
      </w:r>
      <w:r>
        <w:rPr>
          <w:rFonts w:hint="eastAsia" w:ascii="宋体" w:hAnsi="宋体" w:cs="宋体"/>
          <w:color w:val="auto"/>
          <w:sz w:val="28"/>
          <w:szCs w:val="28"/>
          <w:highlight w:val="none"/>
          <w:u w:val="single"/>
        </w:rPr>
        <w:t xml:space="preserve">   /   </w:t>
      </w:r>
      <w:r>
        <w:rPr>
          <w:rFonts w:hint="eastAsia" w:ascii="宋体" w:hAnsi="宋体" w:cs="宋体"/>
          <w:bCs/>
          <w:color w:val="auto"/>
          <w:sz w:val="28"/>
          <w:szCs w:val="28"/>
          <w:highlight w:val="none"/>
        </w:rPr>
        <w:t>天内支付咨询费用。</w:t>
      </w:r>
    </w:p>
    <w:p>
      <w:pPr>
        <w:snapToGrid w:val="0"/>
        <w:spacing w:line="480" w:lineRule="exact"/>
        <w:ind w:firstLine="560" w:firstLineChars="200"/>
        <w:rPr>
          <w:rFonts w:hint="eastAsia" w:ascii="宋体" w:hAnsi="宋体" w:cs="宋体"/>
          <w:color w:val="auto"/>
          <w:sz w:val="28"/>
          <w:szCs w:val="28"/>
          <w:highlight w:val="none"/>
        </w:rPr>
      </w:pP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13.4 奖励</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合理化建议的奖励金额按下列方法确定为：</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奖励金额＝工程投资节省额×奖励金额的比率；</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由监理单位提出确保质量、节约投资的工程变更方案并经招标人确认的，按所节约投资金额的2%奖励给监理单位，奖励金待工程竣工结算后15天内审核支付。</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13.5保密</w:t>
      </w:r>
    </w:p>
    <w:p>
      <w:pPr>
        <w:snapToGrid w:val="0"/>
        <w:spacing w:line="48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委托人申明的保密事项和期限：</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w:t>
      </w:r>
    </w:p>
    <w:p>
      <w:pPr>
        <w:snapToGrid w:val="0"/>
        <w:spacing w:line="48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监理人申明的保密事项和期限：</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w:t>
      </w:r>
    </w:p>
    <w:p>
      <w:pPr>
        <w:snapToGrid w:val="0"/>
        <w:spacing w:line="48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第三方申明的保密事项和期限：</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w:t>
      </w:r>
    </w:p>
    <w:p>
      <w:pPr>
        <w:snapToGrid w:val="0"/>
        <w:spacing w:line="480" w:lineRule="exact"/>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13.6</w:t>
      </w:r>
      <w:r>
        <w:rPr>
          <w:rFonts w:hint="eastAsia" w:ascii="宋体" w:hAnsi="宋体" w:cs="宋体"/>
          <w:bCs/>
          <w:color w:val="auto"/>
          <w:sz w:val="28"/>
          <w:szCs w:val="28"/>
          <w:highlight w:val="none"/>
        </w:rPr>
        <w:t>著作权</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监理人在本合同履行期间及本合同终止后两年内出版涉及本工程的有关监理与相关服务的资料的限制条件：</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w:t>
      </w:r>
    </w:p>
    <w:p>
      <w:pPr>
        <w:snapToGrid w:val="0"/>
        <w:spacing w:line="48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14. 附加协议条款：</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该项目总监必须按投标文件提供人员到位，其他监理工程师必须按本工程需要配备1名具有市政排水工程师及以上监理人员，配备1名具有绿化工程师及以上监理人员。如监理人在项目施工期间未按投标文件确定的监理人员到位，将承担人民币1万元/人的违约金，在应支付的总监理费中扣除。</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14.2如果本工程监理单位不执行或只是部分执行专用条款规定的监理业务和监理工作内容，监理委托人将</w:t>
      </w:r>
      <w:r>
        <w:rPr>
          <w:rFonts w:hint="eastAsia" w:ascii="宋体" w:hAnsi="宋体" w:cs="宋体"/>
          <w:color w:val="auto"/>
          <w:sz w:val="28"/>
          <w:szCs w:val="28"/>
          <w:highlight w:val="none"/>
          <w:lang w:val="en-US" w:eastAsia="zh-CN"/>
        </w:rPr>
        <w:t>罚处</w:t>
      </w:r>
      <w:r>
        <w:rPr>
          <w:rFonts w:hint="eastAsia" w:ascii="宋体" w:hAnsi="宋体" w:cs="宋体"/>
          <w:color w:val="auto"/>
          <w:sz w:val="28"/>
          <w:szCs w:val="28"/>
          <w:highlight w:val="none"/>
        </w:rPr>
        <w:t>预留的3%的</w:t>
      </w:r>
      <w:r>
        <w:rPr>
          <w:rFonts w:hint="eastAsia" w:ascii="宋体" w:hAnsi="宋体" w:cs="宋体"/>
          <w:color w:val="auto"/>
          <w:sz w:val="28"/>
          <w:szCs w:val="28"/>
          <w:highlight w:val="none"/>
          <w:lang w:val="en-US" w:eastAsia="zh-CN"/>
        </w:rPr>
        <w:t>银行保函金额</w:t>
      </w:r>
      <w:r>
        <w:rPr>
          <w:rFonts w:hint="eastAsia" w:ascii="宋体" w:hAnsi="宋体" w:cs="宋体"/>
          <w:color w:val="auto"/>
          <w:sz w:val="28"/>
          <w:szCs w:val="28"/>
          <w:highlight w:val="none"/>
        </w:rPr>
        <w:t>。</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14.3在工程施工期间，每月5日前将上月的监理周报、工程例会纪要、监理月报和施工单位项目负责人签到情况报送委托人现场代表，否则，每次扣除监理费人民币2000元。</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14.4保修监理自竣工验收之日起，保修期按本工程施工合同和执行国务院令第279号《建设工程质量管理条例》。</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14.5监理单位必须加强工程变更和索赔费用的管理，有效地控制工程造价。</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14.5.1凡涉及需要调整预算（施工合同）的工程变更，监理单位在对工程变更方案的必要性、经济性和合理性作出评估后，报经委托人认可；所有现场签证必须符合湛江经济技术开发区建设工程签证变更管理实施意见的规定执行才能生效，由湛江经开区财政部门和委托人按规定程序报批后，方能调整预算和实施工程变更，并按实施工程变更实际核定追加合同价款。否则，不能计量和追加施工合同价款。</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14.5.2监理单位要客观合理地处理承包单位向委托人提出的索赔费用，在对索赔费用作出评价和审查后，须将工程索赔费用报经湛江经开区财政部门审定，方能追加合同价款。</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14.5.3监理单位不按上述规定而批准实施的工程变更和审批索赔费用，扣罚监理费人民币1万元/次。</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14.6施工阶段监理工作结束后30个日历天内，监理人向委托人提交监理工作总结和监理档案资料各五份。</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14.7需要取得委托人批准才能行使的职权：对设计单位和施工单位提出优化设计的认可；开工、停工、复工令的签发；对工程变更及工程签证的签认；对工期提前或延误的签认；对工程款和合同价款支付的批准；本合同约定的承包人的任何权利与义务的变更。</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iCs/>
          <w:color w:val="auto"/>
          <w:sz w:val="28"/>
          <w:szCs w:val="28"/>
          <w:highlight w:val="none"/>
        </w:rPr>
        <w:t>14.8</w:t>
      </w:r>
      <w:r>
        <w:rPr>
          <w:rFonts w:hint="eastAsia" w:ascii="宋体" w:hAnsi="宋体" w:cs="宋体"/>
          <w:color w:val="auto"/>
          <w:sz w:val="28"/>
          <w:szCs w:val="28"/>
          <w:highlight w:val="none"/>
        </w:rPr>
        <w:t>对工程监理单位与施工单位或者材料供应商虚报工程量，弄虚作假、降低工程质量，将不合格的建设工程、建筑材料、建筑构配件和设备按照合格签字的，严格按照有关规定严肃处理。一经发现，由假签证所发生的一切费用由监理单位负责，从本工程的监理费中扣除。委托人有权登报声明该监理单位在三年内不得在湛江市范围参加财政性投资建设项目的监理。</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14.9总监理工程师和配备现场专业监理人员的更换：</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14.9.1若监理人项目班子不到位、不履行职责、不持证上岗等影响工程监理工作，委托人要求监理人更换的，监理人应按规定更换，否则监理人承担人民币</w:t>
      </w:r>
      <w:r>
        <w:rPr>
          <w:rFonts w:hint="eastAsia" w:ascii="宋体" w:hAnsi="宋体" w:cs="宋体"/>
          <w:color w:val="auto"/>
          <w:sz w:val="28"/>
          <w:szCs w:val="28"/>
          <w:highlight w:val="none"/>
          <w:u w:val="single"/>
        </w:rPr>
        <w:t>10000</w:t>
      </w:r>
      <w:r>
        <w:rPr>
          <w:rFonts w:hint="eastAsia" w:ascii="宋体" w:hAnsi="宋体" w:cs="宋体"/>
          <w:color w:val="auto"/>
          <w:sz w:val="28"/>
          <w:szCs w:val="28"/>
          <w:highlight w:val="none"/>
        </w:rPr>
        <w:t>元/次的违约金。</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14.9.2本工程的总监理工程师经确认后，监理人未经委托人书面同意，擅自更换工程总监理工程师的，将承担人民币</w:t>
      </w:r>
      <w:r>
        <w:rPr>
          <w:rFonts w:hint="eastAsia" w:ascii="宋体" w:hAnsi="宋体" w:cs="宋体"/>
          <w:color w:val="auto"/>
          <w:sz w:val="28"/>
          <w:szCs w:val="28"/>
          <w:highlight w:val="none"/>
          <w:u w:val="single"/>
        </w:rPr>
        <w:t>10000</w:t>
      </w:r>
      <w:r>
        <w:rPr>
          <w:rFonts w:hint="eastAsia" w:ascii="宋体" w:hAnsi="宋体" w:cs="宋体"/>
          <w:color w:val="auto"/>
          <w:sz w:val="28"/>
          <w:szCs w:val="28"/>
          <w:highlight w:val="none"/>
        </w:rPr>
        <w:t>元/次的违约金（仅刑拘、身亡可免责，或委托人要求更换的可免责）；委托人有权暂停支付监理费，甚至终止监理合同，并保留索赔的权利。</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14.9.3监理人投标时承诺拟派配备现场专业监理人员（在监理承诺书中标明，除总监理工程师以外），未经委托人同意不得更换，擅自更换配备现场专业监理人员的，将承担人民币</w:t>
      </w:r>
      <w:r>
        <w:rPr>
          <w:rFonts w:hint="eastAsia" w:ascii="宋体" w:hAnsi="宋体" w:cs="宋体"/>
          <w:color w:val="auto"/>
          <w:sz w:val="28"/>
          <w:szCs w:val="28"/>
          <w:highlight w:val="none"/>
          <w:u w:val="single"/>
        </w:rPr>
        <w:t>10000</w:t>
      </w:r>
      <w:r>
        <w:rPr>
          <w:rFonts w:hint="eastAsia" w:ascii="宋体" w:hAnsi="宋体" w:cs="宋体"/>
          <w:color w:val="auto"/>
          <w:sz w:val="28"/>
          <w:szCs w:val="28"/>
          <w:highlight w:val="none"/>
        </w:rPr>
        <w:t>元/人﹒次的违约金（仅刑拘、身亡可免责，或委托人要求更换的可免责）。</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14.9.4监理人新委派的总监理工程师、配备现场专业监理人员在职称、职业资格、工作经验等方面均不得低于原来所承诺的人员。监理人变更人员所须承担的违约金在变更当期监理费中扣除。</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14.10监理人在工程施工期间，总监理工程师在一个月内签到时间不能少于27天，每少签到一天扣罚监理费人民币2000元；专业监理工程师和现场旁站监理员（配备现场专业监理人员）按委托人的要求及工程进度进驻施工现场，且在一个月内签到时间不能少于27天，每少签到一天扣罚监理费人民币1000元/人。所有人员缺勤的罚款均在当月监理费中扣除。主要人员的每个月签到时间均以照相考勤机的实际考勤记录为准，照相考勤机由发包人负责统一管理。当月缺勤的罚款在当月进度款中扣除。</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14.11总监理工程师及其他应参会管理人员未经委托人批准，无故缺席工程例会，总监理工程师按人民币2000元/次扣罚监理费，其他人员按1000元/人﹒次扣罚监理费，所有罚款均在当月监理费中扣除。</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14.12对于难以胜任工作的监理人管理人员，委托人有权要求监理人进行更换，直至委托人满意为止，且更换人员应在接到书面通知后的3个工作日内到位。</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14.13如工程实施过程中，委托人发现总监理工程师不具备管理素质，并因此原因无力推进工程实施者，委托人有权就此中止监理合同，并上报湛江市建设行政主管部门处罚，监理人承担相应的责任。</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14.14施工单位每月同时向委托人和监理人申报上月已完工的工程进度，监理工程师在收到进度报告5个工作日内审核确定工程进度款并交委托人。</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14.15监理人须及时做好现场签证及记录，督促施工单位及时报送竣工结算报告及完整的竣工结算资料，协助委托人、施工单位进行工程结算，避免施工单位结算滞后及工程移交延迟的问题。</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14.16监理人负责支付本工程监理招标的全部代理费，委托人不以任何方式给监理人支付监理招标代理费。</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附安全承包条款：</w:t>
      </w:r>
    </w:p>
    <w:p>
      <w:pPr>
        <w:snapToGrid w:val="0"/>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14.17建设工程安全生产的监理责任</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14.17.1监理单位应对施工组织设计中的安全技术措施或专项施工方案进行审查，未进行审查的，监理单位应承担《建设工程安全生产管理条例》第五十七条规定的法律责任。施工组织设计中的安全技术措施或专项施工方案未经监理单位审查签字认可，施工单位擅自施工的，监理单位应及时下达书面指令予以制止，并将情况及时书面报告建设单位。监理单位未及时制止并报告的，监理单位应承担《建设工程安全生产管理条例》第五十七条规定的法律责任。</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14.17.2监理单位在监理巡视检查过程中，发现存在安全隐患的，监理单位应按照法律法规和《建设工程监理规范》有关规定动作及时下达书面指令要求施工单位进行整改或停止施工。若监理单位没有及时下达书面指令要求施工单位进行整改或停止施工的，监理单位应承担《建设工程安全生产管理条例》第五十七条规定的法律责任。</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14.17.3施工单位拒绝按照监理单位的要求进行整改或者停止施工的，监理单位应及时将情况向当地建设主管部门报告。如果监理单位没有及时将情况向当地建设主管部门报告的，监理单位应承担《建设工程安全生产管理条例》第五十七条规定的法律责任。</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14.17.4监理单位未依照法律、法规和工程建设强制性标准实施监理的，应当承担《建设工程安全生产管理条例》第五十七条规定的法律责任。</w:t>
      </w:r>
    </w:p>
    <w:p>
      <w:pPr>
        <w:spacing w:line="4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14.17.5如果监理单位已履行了上述规定的职责，施工单位的违法行为仍不能得到有效制止，继续施工发生安全事故的，应依法追究其他相关单位和人员的法律责任。</w:t>
      </w:r>
    </w:p>
    <w:p>
      <w:pPr>
        <w:tabs>
          <w:tab w:val="left" w:pos="1950"/>
        </w:tabs>
        <w:spacing w:before="104" w:line="360" w:lineRule="auto"/>
        <w:ind w:left="349"/>
        <w:jc w:val="center"/>
        <w:rPr>
          <w:rFonts w:hint="eastAsia" w:ascii="宋体" w:hAnsi="宋体"/>
          <w:color w:val="auto"/>
          <w:highlight w:val="none"/>
        </w:rPr>
      </w:pPr>
    </w:p>
    <w:p>
      <w:pPr>
        <w:tabs>
          <w:tab w:val="left" w:pos="1950"/>
        </w:tabs>
        <w:spacing w:before="104" w:line="360" w:lineRule="auto"/>
        <w:ind w:left="349"/>
        <w:jc w:val="center"/>
        <w:rPr>
          <w:rFonts w:hint="eastAsia" w:ascii="宋体" w:hAnsi="宋体"/>
          <w:color w:val="auto"/>
          <w:highlight w:val="none"/>
        </w:rPr>
      </w:pPr>
    </w:p>
    <w:p>
      <w:pPr>
        <w:tabs>
          <w:tab w:val="left" w:pos="1950"/>
        </w:tabs>
        <w:spacing w:before="104" w:line="360" w:lineRule="auto"/>
        <w:ind w:left="349"/>
        <w:jc w:val="center"/>
        <w:rPr>
          <w:rFonts w:hint="eastAsia" w:ascii="宋体" w:hAnsi="宋体"/>
          <w:color w:val="auto"/>
          <w:sz w:val="28"/>
          <w:szCs w:val="28"/>
          <w:highlight w:val="none"/>
        </w:rPr>
      </w:pPr>
    </w:p>
    <w:p>
      <w:pPr>
        <w:tabs>
          <w:tab w:val="left" w:pos="1950"/>
        </w:tabs>
        <w:spacing w:before="104" w:line="360" w:lineRule="auto"/>
        <w:ind w:left="349"/>
        <w:jc w:val="center"/>
        <w:rPr>
          <w:rFonts w:hint="eastAsia" w:ascii="宋体" w:hAnsi="宋体"/>
          <w:color w:val="auto"/>
          <w:sz w:val="28"/>
          <w:szCs w:val="28"/>
          <w:highlight w:val="none"/>
        </w:rPr>
      </w:pPr>
    </w:p>
    <w:p>
      <w:pPr>
        <w:tabs>
          <w:tab w:val="left" w:pos="1950"/>
        </w:tabs>
        <w:spacing w:before="104" w:line="360" w:lineRule="auto"/>
        <w:ind w:left="349"/>
        <w:jc w:val="center"/>
        <w:rPr>
          <w:rFonts w:hint="eastAsia" w:ascii="宋体" w:hAnsi="宋体"/>
          <w:color w:val="auto"/>
          <w:sz w:val="28"/>
          <w:szCs w:val="28"/>
          <w:highlight w:val="none"/>
        </w:rPr>
      </w:pPr>
    </w:p>
    <w:p>
      <w:pPr>
        <w:tabs>
          <w:tab w:val="left" w:pos="1950"/>
        </w:tabs>
        <w:spacing w:before="104" w:line="360" w:lineRule="auto"/>
        <w:ind w:left="349"/>
        <w:jc w:val="center"/>
        <w:rPr>
          <w:rFonts w:hint="eastAsia" w:ascii="宋体" w:hAnsi="宋体"/>
          <w:color w:val="auto"/>
          <w:sz w:val="28"/>
          <w:szCs w:val="28"/>
          <w:highlight w:val="none"/>
        </w:rPr>
      </w:pPr>
    </w:p>
    <w:p>
      <w:pPr>
        <w:tabs>
          <w:tab w:val="left" w:pos="1950"/>
        </w:tabs>
        <w:spacing w:before="104" w:line="360" w:lineRule="auto"/>
        <w:jc w:val="both"/>
        <w:rPr>
          <w:rFonts w:hint="eastAsia" w:ascii="宋体" w:hAnsi="宋体"/>
          <w:b/>
          <w:bCs/>
          <w:color w:val="auto"/>
          <w:sz w:val="28"/>
          <w:szCs w:val="28"/>
          <w:highlight w:val="none"/>
        </w:rPr>
      </w:pPr>
    </w:p>
    <w:p>
      <w:pPr>
        <w:tabs>
          <w:tab w:val="left" w:pos="1950"/>
        </w:tabs>
        <w:spacing w:before="104" w:line="360" w:lineRule="auto"/>
        <w:jc w:val="both"/>
        <w:rPr>
          <w:rFonts w:hint="eastAsia" w:ascii="宋体" w:hAnsi="宋体"/>
          <w:b/>
          <w:bCs/>
          <w:color w:val="auto"/>
          <w:sz w:val="28"/>
          <w:szCs w:val="28"/>
          <w:highlight w:val="none"/>
        </w:rPr>
      </w:pPr>
    </w:p>
    <w:p>
      <w:pPr>
        <w:pStyle w:val="2"/>
        <w:rPr>
          <w:rFonts w:hint="eastAsia"/>
          <w:color w:val="auto"/>
          <w:highlight w:val="none"/>
        </w:rPr>
      </w:pPr>
    </w:p>
    <w:p>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pPr>
        <w:tabs>
          <w:tab w:val="left" w:pos="1950"/>
        </w:tabs>
        <w:spacing w:before="104" w:line="360" w:lineRule="auto"/>
        <w:jc w:val="both"/>
        <w:rPr>
          <w:rFonts w:ascii="宋体" w:hAnsi="宋体"/>
          <w:b/>
          <w:bCs/>
          <w:color w:val="auto"/>
          <w:sz w:val="28"/>
          <w:szCs w:val="28"/>
          <w:highlight w:val="none"/>
        </w:rPr>
      </w:pPr>
      <w:r>
        <w:rPr>
          <w:rFonts w:hint="eastAsia" w:ascii="宋体" w:hAnsi="宋体"/>
          <w:b/>
          <w:bCs/>
          <w:color w:val="auto"/>
          <w:sz w:val="28"/>
          <w:szCs w:val="28"/>
          <w:highlight w:val="none"/>
        </w:rPr>
        <w:t>附</w:t>
      </w:r>
      <w:r>
        <w:rPr>
          <w:rFonts w:hint="eastAsia" w:ascii="宋体" w:hAnsi="宋体"/>
          <w:b/>
          <w:bCs/>
          <w:color w:val="auto"/>
          <w:spacing w:val="69"/>
          <w:sz w:val="28"/>
          <w:szCs w:val="28"/>
          <w:highlight w:val="none"/>
        </w:rPr>
        <w:t>录</w:t>
      </w:r>
      <w:r>
        <w:rPr>
          <w:rFonts w:hint="eastAsia" w:ascii="宋体" w:hAnsi="宋体"/>
          <w:b/>
          <w:bCs/>
          <w:color w:val="auto"/>
          <w:sz w:val="28"/>
          <w:szCs w:val="28"/>
          <w:highlight w:val="none"/>
        </w:rPr>
        <w:t>A</w:t>
      </w:r>
      <w:r>
        <w:rPr>
          <w:rFonts w:hint="eastAsia" w:ascii="宋体" w:hAnsi="宋体"/>
          <w:b/>
          <w:bCs/>
          <w:color w:val="auto"/>
          <w:sz w:val="28"/>
          <w:szCs w:val="28"/>
          <w:highlight w:val="none"/>
        </w:rPr>
        <w:tab/>
      </w:r>
      <w:r>
        <w:rPr>
          <w:rFonts w:hint="eastAsia" w:ascii="宋体" w:hAnsi="宋体"/>
          <w:b/>
          <w:bCs/>
          <w:color w:val="auto"/>
          <w:sz w:val="28"/>
          <w:szCs w:val="28"/>
          <w:highlight w:val="none"/>
        </w:rPr>
        <w:t>相关服务的范围和内容</w:t>
      </w:r>
    </w:p>
    <w:p>
      <w:pPr>
        <w:pStyle w:val="29"/>
        <w:numPr>
          <w:ilvl w:val="1"/>
          <w:numId w:val="6"/>
        </w:numPr>
        <w:tabs>
          <w:tab w:val="left" w:pos="877"/>
          <w:tab w:val="left" w:pos="2796"/>
        </w:tabs>
        <w:autoSpaceDE w:val="0"/>
        <w:autoSpaceDN w:val="0"/>
        <w:spacing w:before="1" w:line="360" w:lineRule="auto"/>
        <w:ind w:hanging="481" w:firstLineChars="0"/>
        <w:jc w:val="left"/>
        <w:rPr>
          <w:rFonts w:ascii="宋体" w:hAnsi="宋体"/>
          <w:color w:val="auto"/>
          <w:sz w:val="28"/>
          <w:szCs w:val="28"/>
          <w:highlight w:val="none"/>
          <w:u w:val="single"/>
        </w:rPr>
      </w:pPr>
      <w:r>
        <w:rPr>
          <w:rFonts w:hint="eastAsia" w:ascii="宋体" w:hAnsi="宋体"/>
          <w:color w:val="auto"/>
          <w:sz w:val="28"/>
          <w:szCs w:val="28"/>
          <w:highlight w:val="none"/>
        </w:rPr>
        <w:t>勘察阶段：</w:t>
      </w:r>
      <w:r>
        <w:rPr>
          <w:rFonts w:hint="eastAsia" w:ascii="宋体" w:hAnsi="宋体"/>
          <w:color w:val="auto"/>
          <w:sz w:val="28"/>
          <w:szCs w:val="28"/>
          <w:highlight w:val="none"/>
          <w:u w:val="single"/>
        </w:rPr>
        <w:t xml:space="preserve">        /       </w:t>
      </w:r>
      <w:r>
        <w:rPr>
          <w:rFonts w:hint="eastAsia" w:ascii="宋体" w:hAnsi="宋体"/>
          <w:color w:val="auto"/>
          <w:sz w:val="28"/>
          <w:szCs w:val="28"/>
          <w:highlight w:val="none"/>
        </w:rPr>
        <w:t>。</w:t>
      </w:r>
    </w:p>
    <w:p>
      <w:pPr>
        <w:pStyle w:val="29"/>
        <w:numPr>
          <w:ilvl w:val="1"/>
          <w:numId w:val="6"/>
        </w:numPr>
        <w:tabs>
          <w:tab w:val="left" w:pos="877"/>
          <w:tab w:val="left" w:pos="2676"/>
        </w:tabs>
        <w:autoSpaceDE w:val="0"/>
        <w:autoSpaceDN w:val="0"/>
        <w:spacing w:before="74" w:line="360" w:lineRule="auto"/>
        <w:ind w:hanging="481" w:firstLineChars="0"/>
        <w:jc w:val="left"/>
        <w:rPr>
          <w:rFonts w:ascii="宋体" w:hAnsi="宋体"/>
          <w:color w:val="auto"/>
          <w:sz w:val="28"/>
          <w:szCs w:val="28"/>
          <w:highlight w:val="none"/>
        </w:rPr>
      </w:pPr>
      <w:r>
        <w:rPr>
          <w:rFonts w:hint="eastAsia" w:ascii="宋体" w:hAnsi="宋体"/>
          <w:color w:val="auto"/>
          <w:sz w:val="28"/>
          <w:szCs w:val="28"/>
          <w:highlight w:val="none"/>
        </w:rPr>
        <w:t>设计阶段：</w:t>
      </w:r>
      <w:r>
        <w:rPr>
          <w:rFonts w:hint="eastAsia" w:ascii="宋体" w:hAnsi="宋体"/>
          <w:color w:val="auto"/>
          <w:sz w:val="28"/>
          <w:szCs w:val="28"/>
          <w:highlight w:val="none"/>
          <w:u w:val="single"/>
        </w:rPr>
        <w:t xml:space="preserve">        /       </w:t>
      </w:r>
      <w:r>
        <w:rPr>
          <w:rFonts w:hint="eastAsia" w:ascii="宋体" w:hAnsi="宋体"/>
          <w:color w:val="auto"/>
          <w:sz w:val="28"/>
          <w:szCs w:val="28"/>
          <w:highlight w:val="none"/>
        </w:rPr>
        <w:t>。</w:t>
      </w:r>
    </w:p>
    <w:p>
      <w:pPr>
        <w:pStyle w:val="29"/>
        <w:numPr>
          <w:ilvl w:val="1"/>
          <w:numId w:val="6"/>
        </w:numPr>
        <w:tabs>
          <w:tab w:val="left" w:pos="877"/>
          <w:tab w:val="left" w:pos="2676"/>
        </w:tabs>
        <w:autoSpaceDE w:val="0"/>
        <w:autoSpaceDN w:val="0"/>
        <w:spacing w:before="74" w:line="360" w:lineRule="auto"/>
        <w:ind w:hanging="481" w:firstLineChars="0"/>
        <w:jc w:val="left"/>
        <w:rPr>
          <w:rFonts w:ascii="宋体" w:hAnsi="宋体"/>
          <w:color w:val="auto"/>
          <w:sz w:val="28"/>
          <w:szCs w:val="28"/>
          <w:highlight w:val="none"/>
        </w:rPr>
      </w:pPr>
      <w:r>
        <w:rPr>
          <w:rFonts w:hint="eastAsia" w:ascii="宋体" w:hAnsi="宋体"/>
          <w:color w:val="auto"/>
          <w:sz w:val="28"/>
          <w:szCs w:val="28"/>
          <w:highlight w:val="none"/>
        </w:rPr>
        <w:t>保修阶段：</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pStyle w:val="29"/>
        <w:numPr>
          <w:ilvl w:val="1"/>
          <w:numId w:val="6"/>
        </w:numPr>
        <w:tabs>
          <w:tab w:val="left" w:pos="877"/>
          <w:tab w:val="left" w:pos="5916"/>
        </w:tabs>
        <w:autoSpaceDE w:val="0"/>
        <w:autoSpaceDN w:val="0"/>
        <w:spacing w:before="74" w:line="360" w:lineRule="auto"/>
        <w:ind w:hanging="481" w:firstLineChars="0"/>
        <w:jc w:val="left"/>
        <w:rPr>
          <w:rFonts w:hint="eastAsia" w:ascii="宋体" w:hAnsi="宋体"/>
          <w:color w:val="auto"/>
          <w:sz w:val="28"/>
          <w:szCs w:val="28"/>
          <w:highlight w:val="none"/>
        </w:rPr>
      </w:pPr>
      <w:r>
        <w:rPr>
          <w:rFonts w:hint="eastAsia" w:ascii="宋体" w:hAnsi="宋体"/>
          <w:color w:val="auto"/>
          <w:sz w:val="28"/>
          <w:szCs w:val="28"/>
          <w:highlight w:val="none"/>
        </w:rPr>
        <w:t>其他（专业技术咨询、外部协调工作等</w:t>
      </w:r>
      <w:r>
        <w:rPr>
          <w:rFonts w:hint="eastAsia" w:ascii="宋体" w:hAnsi="宋体"/>
          <w:color w:val="auto"/>
          <w:spacing w:val="-120"/>
          <w:sz w:val="28"/>
          <w:szCs w:val="28"/>
          <w:highlight w:val="none"/>
        </w:rPr>
        <w:t>）</w:t>
      </w: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       </w:t>
      </w:r>
      <w:r>
        <w:rPr>
          <w:rFonts w:hint="eastAsia" w:ascii="宋体" w:hAnsi="宋体"/>
          <w:color w:val="auto"/>
          <w:sz w:val="28"/>
          <w:szCs w:val="28"/>
          <w:highlight w:val="none"/>
        </w:rPr>
        <w:t>。</w:t>
      </w:r>
    </w:p>
    <w:p>
      <w:pPr>
        <w:pStyle w:val="35"/>
        <w:rPr>
          <w:rFonts w:ascii="宋体" w:hAnsi="宋体"/>
          <w:color w:val="auto"/>
          <w:sz w:val="17"/>
          <w:highlight w:val="none"/>
        </w:rPr>
      </w:pPr>
    </w:p>
    <w:p>
      <w:pPr>
        <w:pStyle w:val="5"/>
        <w:tabs>
          <w:tab w:val="left" w:pos="354"/>
          <w:tab w:val="left" w:pos="864"/>
          <w:tab w:val="left" w:pos="1102"/>
          <w:tab w:val="left" w:pos="1452"/>
        </w:tabs>
        <w:spacing w:before="62" w:line="360" w:lineRule="auto"/>
        <w:ind w:left="281" w:right="2490" w:hanging="240" w:hangingChars="100"/>
        <w:rPr>
          <w:rFonts w:hint="eastAsia" w:ascii="宋体" w:hAnsi="宋体" w:eastAsia="宋体"/>
          <w:color w:val="auto"/>
          <w:highlight w:val="none"/>
        </w:rPr>
      </w:pPr>
      <w:bookmarkStart w:id="116" w:name="附录B  委托人派遣的人员和提供的房屋、资料、设备"/>
      <w:bookmarkEnd w:id="116"/>
      <w:r>
        <w:rPr>
          <w:rFonts w:hint="eastAsia" w:ascii="宋体" w:hAnsi="宋体" w:eastAsia="宋体"/>
          <w:color w:val="auto"/>
          <w:highlight w:val="none"/>
        </w:rPr>
        <w:t>附录</w:t>
      </w:r>
      <w:r>
        <w:rPr>
          <w:rFonts w:hint="eastAsia" w:ascii="宋体" w:hAnsi="宋体" w:eastAsia="宋体"/>
          <w:color w:val="auto"/>
          <w:highlight w:val="none"/>
          <w:lang w:val="en-US" w:eastAsia="zh-CN"/>
        </w:rPr>
        <w:t xml:space="preserve"> </w:t>
      </w:r>
      <w:r>
        <w:rPr>
          <w:rFonts w:hint="eastAsia" w:ascii="宋体" w:hAnsi="宋体" w:eastAsia="宋体"/>
          <w:color w:val="auto"/>
          <w:spacing w:val="-71"/>
          <w:highlight w:val="none"/>
        </w:rPr>
        <w:t xml:space="preserve"> </w:t>
      </w:r>
      <w:r>
        <w:rPr>
          <w:rFonts w:hint="eastAsia" w:ascii="宋体" w:hAnsi="宋体" w:eastAsia="宋体"/>
          <w:color w:val="auto"/>
          <w:highlight w:val="none"/>
        </w:rPr>
        <w:t>B</w:t>
      </w:r>
      <w:r>
        <w:rPr>
          <w:rFonts w:hint="eastAsia" w:ascii="宋体" w:hAnsi="宋体" w:eastAsia="宋体"/>
          <w:color w:val="auto"/>
          <w:highlight w:val="none"/>
        </w:rPr>
        <w:tab/>
      </w:r>
      <w:r>
        <w:rPr>
          <w:rFonts w:hint="eastAsia" w:ascii="宋体" w:hAnsi="宋体" w:eastAsia="宋体"/>
          <w:color w:val="auto"/>
          <w:highlight w:val="none"/>
          <w:lang w:val="en-US" w:eastAsia="zh-CN"/>
        </w:rPr>
        <w:t xml:space="preserve">  </w:t>
      </w:r>
      <w:r>
        <w:rPr>
          <w:rFonts w:hint="eastAsia" w:ascii="宋体" w:hAnsi="宋体" w:eastAsia="宋体"/>
          <w:color w:val="auto"/>
          <w:w w:val="95"/>
          <w:highlight w:val="none"/>
        </w:rPr>
        <w:t>委托人派遣的人员和提供的房屋、资料、设备</w:t>
      </w:r>
      <w:r>
        <w:rPr>
          <w:rFonts w:hint="eastAsia" w:ascii="宋体" w:hAnsi="宋体" w:eastAsia="宋体"/>
          <w:color w:val="auto"/>
          <w:highlight w:val="none"/>
        </w:rPr>
        <w:t>B-1</w:t>
      </w:r>
      <w:r>
        <w:rPr>
          <w:rFonts w:hint="eastAsia" w:ascii="宋体" w:hAnsi="宋体" w:eastAsia="宋体"/>
          <w:color w:val="auto"/>
          <w:highlight w:val="none"/>
        </w:rPr>
        <w:tab/>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委托人派遣的人员</w:t>
      </w:r>
    </w:p>
    <w:p>
      <w:pPr>
        <w:pStyle w:val="7"/>
        <w:rPr>
          <w:rFonts w:ascii="宋体" w:hAnsi="宋体"/>
          <w:b/>
          <w:color w:val="auto"/>
          <w:highlight w:val="none"/>
        </w:rPr>
      </w:pPr>
      <w:r>
        <w:rPr>
          <w:rFonts w:ascii="宋体" w:hAnsi="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1033780</wp:posOffset>
                </wp:positionH>
                <wp:positionV relativeFrom="paragraph">
                  <wp:posOffset>8890</wp:posOffset>
                </wp:positionV>
                <wp:extent cx="5532755" cy="25247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32755" cy="1923415"/>
                        </a:xfrm>
                        <a:prstGeom prst="rect">
                          <a:avLst/>
                        </a:prstGeom>
                        <a:noFill/>
                        <a:ln>
                          <a:noFill/>
                        </a:ln>
                        <a:effectLst/>
                      </wps:spPr>
                      <wps:txbx>
                        <w:txbxContent>
                          <w:tbl>
                            <w:tblPr>
                              <w:tblStyle w:val="19"/>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7"/>
                              <w:gridCol w:w="1850"/>
                              <w:gridCol w:w="2100"/>
                              <w:gridCol w:w="1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567" w:type="dxa"/>
                                  <w:noWrap w:val="0"/>
                                  <w:vAlign w:val="top"/>
                                </w:tcPr>
                                <w:p>
                                  <w:pPr>
                                    <w:pStyle w:val="33"/>
                                    <w:spacing w:before="163"/>
                                    <w:ind w:right="1137"/>
                                    <w:jc w:val="center"/>
                                    <w:rPr>
                                      <w:rFonts w:hint="eastAsia" w:ascii="宋体" w:hAnsi="宋体" w:cs="宋体"/>
                                      <w:sz w:val="24"/>
                                      <w:szCs w:val="24"/>
                                    </w:rPr>
                                  </w:pPr>
                                  <w:r>
                                    <w:rPr>
                                      <w:rFonts w:hint="eastAsia" w:ascii="宋体" w:hAnsi="宋体" w:cs="宋体"/>
                                      <w:sz w:val="24"/>
                                      <w:szCs w:val="24"/>
                                    </w:rPr>
                                    <w:t xml:space="preserve">       名称</w:t>
                                  </w:r>
                                </w:p>
                              </w:tc>
                              <w:tc>
                                <w:tcPr>
                                  <w:tcW w:w="1850" w:type="dxa"/>
                                  <w:noWrap w:val="0"/>
                                  <w:vAlign w:val="top"/>
                                </w:tcPr>
                                <w:p>
                                  <w:pPr>
                                    <w:pStyle w:val="33"/>
                                    <w:spacing w:before="163"/>
                                    <w:ind w:right="617"/>
                                    <w:jc w:val="center"/>
                                    <w:rPr>
                                      <w:rFonts w:hint="eastAsia" w:ascii="宋体" w:hAnsi="宋体" w:cs="宋体"/>
                                      <w:sz w:val="24"/>
                                      <w:szCs w:val="24"/>
                                    </w:rPr>
                                  </w:pPr>
                                  <w:r>
                                    <w:rPr>
                                      <w:rFonts w:hint="eastAsia" w:ascii="宋体" w:hAnsi="宋体" w:cs="宋体"/>
                                      <w:sz w:val="24"/>
                                      <w:szCs w:val="24"/>
                                    </w:rPr>
                                    <w:t xml:space="preserve">    数量</w:t>
                                  </w:r>
                                </w:p>
                              </w:tc>
                              <w:tc>
                                <w:tcPr>
                                  <w:tcW w:w="2100" w:type="dxa"/>
                                  <w:noWrap w:val="0"/>
                                  <w:vAlign w:val="top"/>
                                </w:tcPr>
                                <w:p>
                                  <w:pPr>
                                    <w:pStyle w:val="33"/>
                                    <w:spacing w:before="163"/>
                                    <w:ind w:left="586"/>
                                    <w:rPr>
                                      <w:rFonts w:hint="eastAsia" w:ascii="宋体" w:hAnsi="宋体" w:cs="宋体"/>
                                      <w:sz w:val="24"/>
                                      <w:szCs w:val="24"/>
                                    </w:rPr>
                                  </w:pPr>
                                  <w:r>
                                    <w:rPr>
                                      <w:rFonts w:hint="eastAsia" w:ascii="宋体" w:hAnsi="宋体" w:cs="宋体"/>
                                      <w:sz w:val="24"/>
                                      <w:szCs w:val="24"/>
                                    </w:rPr>
                                    <w:t>工作要求</w:t>
                                  </w:r>
                                </w:p>
                              </w:tc>
                              <w:tc>
                                <w:tcPr>
                                  <w:tcW w:w="1818" w:type="dxa"/>
                                  <w:noWrap w:val="0"/>
                                  <w:vAlign w:val="top"/>
                                </w:tcPr>
                                <w:p>
                                  <w:pPr>
                                    <w:pStyle w:val="33"/>
                                    <w:spacing w:before="163"/>
                                    <w:ind w:left="450"/>
                                    <w:rPr>
                                      <w:rFonts w:hint="eastAsia" w:ascii="宋体" w:hAnsi="宋体" w:cs="宋体"/>
                                      <w:sz w:val="24"/>
                                      <w:szCs w:val="24"/>
                                    </w:rPr>
                                  </w:pPr>
                                  <w:r>
                                    <w:rPr>
                                      <w:rFonts w:hint="eastAsia" w:ascii="宋体" w:hAnsi="宋体" w:cs="宋体"/>
                                      <w:sz w:val="24"/>
                                      <w:szCs w:val="24"/>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567" w:type="dxa"/>
                                  <w:noWrap w:val="0"/>
                                  <w:vAlign w:val="top"/>
                                </w:tcPr>
                                <w:p>
                                  <w:pPr>
                                    <w:pStyle w:val="33"/>
                                    <w:spacing w:before="163"/>
                                    <w:ind w:left="106"/>
                                    <w:rPr>
                                      <w:rFonts w:hint="eastAsia" w:ascii="宋体" w:hAnsi="宋体" w:cs="宋体"/>
                                      <w:sz w:val="24"/>
                                      <w:szCs w:val="24"/>
                                    </w:rPr>
                                  </w:pPr>
                                  <w:r>
                                    <w:rPr>
                                      <w:rFonts w:hint="eastAsia" w:ascii="宋体" w:hAnsi="宋体" w:cs="宋体"/>
                                      <w:sz w:val="24"/>
                                      <w:szCs w:val="24"/>
                                    </w:rPr>
                                    <w:t>1. 工程技术人员</w:t>
                                  </w:r>
                                </w:p>
                              </w:tc>
                              <w:tc>
                                <w:tcPr>
                                  <w:tcW w:w="1850" w:type="dxa"/>
                                  <w:noWrap w:val="0"/>
                                  <w:vAlign w:val="top"/>
                                </w:tcPr>
                                <w:p>
                                  <w:pPr>
                                    <w:pStyle w:val="33"/>
                                    <w:rPr>
                                      <w:rFonts w:hint="eastAsia" w:ascii="宋体" w:hAnsi="宋体" w:cs="宋体"/>
                                      <w:sz w:val="24"/>
                                      <w:szCs w:val="24"/>
                                    </w:rPr>
                                  </w:pPr>
                                </w:p>
                              </w:tc>
                              <w:tc>
                                <w:tcPr>
                                  <w:tcW w:w="2100" w:type="dxa"/>
                                  <w:noWrap w:val="0"/>
                                  <w:vAlign w:val="top"/>
                                </w:tcPr>
                                <w:p>
                                  <w:pPr>
                                    <w:pStyle w:val="33"/>
                                    <w:rPr>
                                      <w:rFonts w:hint="eastAsia" w:ascii="宋体" w:hAnsi="宋体" w:cs="宋体"/>
                                      <w:sz w:val="24"/>
                                      <w:szCs w:val="24"/>
                                    </w:rPr>
                                  </w:pPr>
                                </w:p>
                              </w:tc>
                              <w:tc>
                                <w:tcPr>
                                  <w:tcW w:w="1818" w:type="dxa"/>
                                  <w:noWrap w:val="0"/>
                                  <w:vAlign w:val="top"/>
                                </w:tcPr>
                                <w:p>
                                  <w:pPr>
                                    <w:pStyle w:val="33"/>
                                    <w:rPr>
                                      <w:rFonts w:hint="eastAsia"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567" w:type="dxa"/>
                                  <w:noWrap w:val="0"/>
                                  <w:vAlign w:val="top"/>
                                </w:tcPr>
                                <w:p>
                                  <w:pPr>
                                    <w:pStyle w:val="33"/>
                                    <w:spacing w:before="165"/>
                                    <w:ind w:left="106"/>
                                    <w:rPr>
                                      <w:rFonts w:hint="eastAsia" w:ascii="宋体" w:hAnsi="宋体" w:cs="宋体"/>
                                      <w:sz w:val="24"/>
                                      <w:szCs w:val="24"/>
                                    </w:rPr>
                                  </w:pPr>
                                  <w:r>
                                    <w:rPr>
                                      <w:rFonts w:hint="eastAsia" w:ascii="宋体" w:hAnsi="宋体" w:cs="宋体"/>
                                      <w:sz w:val="24"/>
                                      <w:szCs w:val="24"/>
                                    </w:rPr>
                                    <w:t>2. 辅助工作人员</w:t>
                                  </w:r>
                                </w:p>
                              </w:tc>
                              <w:tc>
                                <w:tcPr>
                                  <w:tcW w:w="1850" w:type="dxa"/>
                                  <w:noWrap w:val="0"/>
                                  <w:vAlign w:val="top"/>
                                </w:tcPr>
                                <w:p>
                                  <w:pPr>
                                    <w:pStyle w:val="33"/>
                                    <w:rPr>
                                      <w:rFonts w:hint="eastAsia" w:ascii="宋体" w:hAnsi="宋体" w:cs="宋体"/>
                                      <w:sz w:val="24"/>
                                      <w:szCs w:val="24"/>
                                    </w:rPr>
                                  </w:pPr>
                                </w:p>
                              </w:tc>
                              <w:tc>
                                <w:tcPr>
                                  <w:tcW w:w="2100" w:type="dxa"/>
                                  <w:noWrap w:val="0"/>
                                  <w:vAlign w:val="top"/>
                                </w:tcPr>
                                <w:p>
                                  <w:pPr>
                                    <w:pStyle w:val="33"/>
                                    <w:rPr>
                                      <w:rFonts w:hint="eastAsia" w:ascii="宋体" w:hAnsi="宋体" w:cs="宋体"/>
                                      <w:sz w:val="24"/>
                                      <w:szCs w:val="24"/>
                                    </w:rPr>
                                  </w:pPr>
                                </w:p>
                              </w:tc>
                              <w:tc>
                                <w:tcPr>
                                  <w:tcW w:w="1818" w:type="dxa"/>
                                  <w:noWrap w:val="0"/>
                                  <w:vAlign w:val="top"/>
                                </w:tcPr>
                                <w:p>
                                  <w:pPr>
                                    <w:pStyle w:val="33"/>
                                    <w:rPr>
                                      <w:rFonts w:hint="eastAsia"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2567" w:type="dxa"/>
                                  <w:noWrap w:val="0"/>
                                  <w:vAlign w:val="top"/>
                                </w:tcPr>
                                <w:p>
                                  <w:pPr>
                                    <w:pStyle w:val="33"/>
                                    <w:spacing w:before="164"/>
                                    <w:ind w:left="106"/>
                                    <w:rPr>
                                      <w:rFonts w:hint="eastAsia" w:ascii="宋体" w:hAnsi="宋体" w:cs="宋体"/>
                                      <w:sz w:val="24"/>
                                      <w:szCs w:val="24"/>
                                    </w:rPr>
                                  </w:pPr>
                                  <w:r>
                                    <w:rPr>
                                      <w:rFonts w:hint="eastAsia" w:ascii="宋体" w:hAnsi="宋体" w:cs="宋体"/>
                                      <w:sz w:val="24"/>
                                      <w:szCs w:val="24"/>
                                    </w:rPr>
                                    <w:t>3. 其他人员</w:t>
                                  </w:r>
                                </w:p>
                              </w:tc>
                              <w:tc>
                                <w:tcPr>
                                  <w:tcW w:w="1850" w:type="dxa"/>
                                  <w:noWrap w:val="0"/>
                                  <w:vAlign w:val="top"/>
                                </w:tcPr>
                                <w:p>
                                  <w:pPr>
                                    <w:pStyle w:val="33"/>
                                    <w:rPr>
                                      <w:rFonts w:hint="eastAsia" w:ascii="宋体" w:hAnsi="宋体" w:cs="宋体"/>
                                      <w:sz w:val="24"/>
                                      <w:szCs w:val="24"/>
                                    </w:rPr>
                                  </w:pPr>
                                </w:p>
                              </w:tc>
                              <w:tc>
                                <w:tcPr>
                                  <w:tcW w:w="2100" w:type="dxa"/>
                                  <w:tcBorders>
                                    <w:bottom w:val="single" w:color="auto" w:sz="4" w:space="0"/>
                                  </w:tcBorders>
                                  <w:noWrap w:val="0"/>
                                  <w:vAlign w:val="top"/>
                                </w:tcPr>
                                <w:p>
                                  <w:pPr>
                                    <w:pStyle w:val="33"/>
                                    <w:rPr>
                                      <w:rFonts w:hint="eastAsia" w:ascii="宋体" w:hAnsi="宋体" w:cs="宋体"/>
                                      <w:sz w:val="24"/>
                                      <w:szCs w:val="24"/>
                                    </w:rPr>
                                  </w:pPr>
                                </w:p>
                              </w:tc>
                              <w:tc>
                                <w:tcPr>
                                  <w:tcW w:w="1818" w:type="dxa"/>
                                  <w:noWrap w:val="0"/>
                                  <w:vAlign w:val="top"/>
                                </w:tcPr>
                                <w:p>
                                  <w:pPr>
                                    <w:pStyle w:val="33"/>
                                    <w:rPr>
                                      <w:rFonts w:hint="eastAsia"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567" w:type="dxa"/>
                                  <w:noWrap w:val="0"/>
                                  <w:vAlign w:val="top"/>
                                </w:tcPr>
                                <w:p>
                                  <w:pPr>
                                    <w:pStyle w:val="33"/>
                                    <w:rPr>
                                      <w:rFonts w:hint="eastAsia" w:ascii="宋体" w:hAnsi="宋体" w:cs="宋体"/>
                                      <w:sz w:val="24"/>
                                      <w:szCs w:val="24"/>
                                    </w:rPr>
                                  </w:pPr>
                                </w:p>
                              </w:tc>
                              <w:tc>
                                <w:tcPr>
                                  <w:tcW w:w="1850" w:type="dxa"/>
                                  <w:tcBorders>
                                    <w:right w:val="single" w:color="auto" w:sz="4" w:space="0"/>
                                  </w:tcBorders>
                                  <w:noWrap w:val="0"/>
                                  <w:vAlign w:val="top"/>
                                </w:tcPr>
                                <w:p>
                                  <w:pPr>
                                    <w:pStyle w:val="33"/>
                                    <w:rPr>
                                      <w:rFonts w:hint="eastAsia" w:ascii="宋体" w:hAnsi="宋体" w:cs="宋体"/>
                                      <w:sz w:val="24"/>
                                      <w:szCs w:val="24"/>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pStyle w:val="33"/>
                                    <w:rPr>
                                      <w:rFonts w:hint="eastAsia" w:ascii="宋体" w:hAnsi="宋体" w:cs="宋体"/>
                                      <w:sz w:val="24"/>
                                      <w:szCs w:val="24"/>
                                    </w:rPr>
                                  </w:pPr>
                                </w:p>
                              </w:tc>
                              <w:tc>
                                <w:tcPr>
                                  <w:tcW w:w="1818" w:type="dxa"/>
                                  <w:tcBorders>
                                    <w:left w:val="single" w:color="auto" w:sz="4" w:space="0"/>
                                  </w:tcBorders>
                                  <w:noWrap w:val="0"/>
                                  <w:vAlign w:val="top"/>
                                </w:tcPr>
                                <w:p>
                                  <w:pPr>
                                    <w:pStyle w:val="33"/>
                                    <w:rPr>
                                      <w:rFonts w:hint="eastAsia" w:ascii="宋体" w:hAnsi="宋体" w:cs="宋体"/>
                                      <w:sz w:val="24"/>
                                      <w:szCs w:val="24"/>
                                    </w:rPr>
                                  </w:pPr>
                                </w:p>
                              </w:tc>
                            </w:tr>
                          </w:tbl>
                          <w:p>
                            <w:pPr>
                              <w:pStyle w:val="7"/>
                            </w:pPr>
                          </w:p>
                          <w:p/>
                          <w:p>
                            <w:pPr>
                              <w:pStyle w:val="35"/>
                            </w:pPr>
                          </w:p>
                          <w:p>
                            <w:pPr>
                              <w:pStyle w:val="35"/>
                            </w:pPr>
                          </w:p>
                        </w:txbxContent>
                      </wps:txbx>
                      <wps:bodyPr lIns="0" tIns="0" rIns="0" bIns="0" upright="1"/>
                    </wps:wsp>
                  </a:graphicData>
                </a:graphic>
              </wp:anchor>
            </w:drawing>
          </mc:Choice>
          <mc:Fallback>
            <w:pict>
              <v:shape id="_x0000_s1026" o:spid="_x0000_s1026" o:spt="202" type="#_x0000_t202" style="position:absolute;left:0pt;margin-left:81.4pt;margin-top:0.7pt;height:198.8pt;width:435.65pt;mso-position-horizontal-relative:page;z-index:251661312;mso-width-relative:page;mso-height-relative:page;" filled="f" stroked="f" coordsize="21600,21600" o:gfxdata="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bRwrYAAAACgEAAA8AAAAAAAAAAQAgAAAAIgAAAGRycy9kb3ducmV2Lnht&#10;bFBLAQIUABQAAAAIAIdO4kDkom3dwAEAAIEDAAAOAAAAAAAAAAEAIAAAACcBAABkcnMvZTJvRG9j&#10;LnhtbFBLBQYAAAAABgAGAFkBAABZBQAAAAA=&#10;">
                <v:fill on="f" focussize="0,0"/>
                <v:stroke on="f"/>
                <v:imagedata o:title=""/>
                <o:lock v:ext="edit" aspectratio="f"/>
                <v:textbox inset="0mm,0mm,0mm,0mm">
                  <w:txbxContent>
                    <w:tbl>
                      <w:tblPr>
                        <w:tblStyle w:val="19"/>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7"/>
                        <w:gridCol w:w="1850"/>
                        <w:gridCol w:w="2100"/>
                        <w:gridCol w:w="1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567" w:type="dxa"/>
                            <w:noWrap w:val="0"/>
                            <w:vAlign w:val="top"/>
                          </w:tcPr>
                          <w:p>
                            <w:pPr>
                              <w:pStyle w:val="33"/>
                              <w:spacing w:before="163"/>
                              <w:ind w:right="1137"/>
                              <w:jc w:val="center"/>
                              <w:rPr>
                                <w:rFonts w:hint="eastAsia" w:ascii="宋体" w:hAnsi="宋体" w:cs="宋体"/>
                                <w:sz w:val="24"/>
                                <w:szCs w:val="24"/>
                              </w:rPr>
                            </w:pPr>
                            <w:r>
                              <w:rPr>
                                <w:rFonts w:hint="eastAsia" w:ascii="宋体" w:hAnsi="宋体" w:cs="宋体"/>
                                <w:sz w:val="24"/>
                                <w:szCs w:val="24"/>
                              </w:rPr>
                              <w:t xml:space="preserve">       名称</w:t>
                            </w:r>
                          </w:p>
                        </w:tc>
                        <w:tc>
                          <w:tcPr>
                            <w:tcW w:w="1850" w:type="dxa"/>
                            <w:noWrap w:val="0"/>
                            <w:vAlign w:val="top"/>
                          </w:tcPr>
                          <w:p>
                            <w:pPr>
                              <w:pStyle w:val="33"/>
                              <w:spacing w:before="163"/>
                              <w:ind w:right="617"/>
                              <w:jc w:val="center"/>
                              <w:rPr>
                                <w:rFonts w:hint="eastAsia" w:ascii="宋体" w:hAnsi="宋体" w:cs="宋体"/>
                                <w:sz w:val="24"/>
                                <w:szCs w:val="24"/>
                              </w:rPr>
                            </w:pPr>
                            <w:r>
                              <w:rPr>
                                <w:rFonts w:hint="eastAsia" w:ascii="宋体" w:hAnsi="宋体" w:cs="宋体"/>
                                <w:sz w:val="24"/>
                                <w:szCs w:val="24"/>
                              </w:rPr>
                              <w:t xml:space="preserve">    数量</w:t>
                            </w:r>
                          </w:p>
                        </w:tc>
                        <w:tc>
                          <w:tcPr>
                            <w:tcW w:w="2100" w:type="dxa"/>
                            <w:noWrap w:val="0"/>
                            <w:vAlign w:val="top"/>
                          </w:tcPr>
                          <w:p>
                            <w:pPr>
                              <w:pStyle w:val="33"/>
                              <w:spacing w:before="163"/>
                              <w:ind w:left="586"/>
                              <w:rPr>
                                <w:rFonts w:hint="eastAsia" w:ascii="宋体" w:hAnsi="宋体" w:cs="宋体"/>
                                <w:sz w:val="24"/>
                                <w:szCs w:val="24"/>
                              </w:rPr>
                            </w:pPr>
                            <w:r>
                              <w:rPr>
                                <w:rFonts w:hint="eastAsia" w:ascii="宋体" w:hAnsi="宋体" w:cs="宋体"/>
                                <w:sz w:val="24"/>
                                <w:szCs w:val="24"/>
                              </w:rPr>
                              <w:t>工作要求</w:t>
                            </w:r>
                          </w:p>
                        </w:tc>
                        <w:tc>
                          <w:tcPr>
                            <w:tcW w:w="1818" w:type="dxa"/>
                            <w:noWrap w:val="0"/>
                            <w:vAlign w:val="top"/>
                          </w:tcPr>
                          <w:p>
                            <w:pPr>
                              <w:pStyle w:val="33"/>
                              <w:spacing w:before="163"/>
                              <w:ind w:left="450"/>
                              <w:rPr>
                                <w:rFonts w:hint="eastAsia" w:ascii="宋体" w:hAnsi="宋体" w:cs="宋体"/>
                                <w:sz w:val="24"/>
                                <w:szCs w:val="24"/>
                              </w:rPr>
                            </w:pPr>
                            <w:r>
                              <w:rPr>
                                <w:rFonts w:hint="eastAsia" w:ascii="宋体" w:hAnsi="宋体" w:cs="宋体"/>
                                <w:sz w:val="24"/>
                                <w:szCs w:val="24"/>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567" w:type="dxa"/>
                            <w:noWrap w:val="0"/>
                            <w:vAlign w:val="top"/>
                          </w:tcPr>
                          <w:p>
                            <w:pPr>
                              <w:pStyle w:val="33"/>
                              <w:spacing w:before="163"/>
                              <w:ind w:left="106"/>
                              <w:rPr>
                                <w:rFonts w:hint="eastAsia" w:ascii="宋体" w:hAnsi="宋体" w:cs="宋体"/>
                                <w:sz w:val="24"/>
                                <w:szCs w:val="24"/>
                              </w:rPr>
                            </w:pPr>
                            <w:r>
                              <w:rPr>
                                <w:rFonts w:hint="eastAsia" w:ascii="宋体" w:hAnsi="宋体" w:cs="宋体"/>
                                <w:sz w:val="24"/>
                                <w:szCs w:val="24"/>
                              </w:rPr>
                              <w:t>1. 工程技术人员</w:t>
                            </w:r>
                          </w:p>
                        </w:tc>
                        <w:tc>
                          <w:tcPr>
                            <w:tcW w:w="1850" w:type="dxa"/>
                            <w:noWrap w:val="0"/>
                            <w:vAlign w:val="top"/>
                          </w:tcPr>
                          <w:p>
                            <w:pPr>
                              <w:pStyle w:val="33"/>
                              <w:rPr>
                                <w:rFonts w:hint="eastAsia" w:ascii="宋体" w:hAnsi="宋体" w:cs="宋体"/>
                                <w:sz w:val="24"/>
                                <w:szCs w:val="24"/>
                              </w:rPr>
                            </w:pPr>
                          </w:p>
                        </w:tc>
                        <w:tc>
                          <w:tcPr>
                            <w:tcW w:w="2100" w:type="dxa"/>
                            <w:noWrap w:val="0"/>
                            <w:vAlign w:val="top"/>
                          </w:tcPr>
                          <w:p>
                            <w:pPr>
                              <w:pStyle w:val="33"/>
                              <w:rPr>
                                <w:rFonts w:hint="eastAsia" w:ascii="宋体" w:hAnsi="宋体" w:cs="宋体"/>
                                <w:sz w:val="24"/>
                                <w:szCs w:val="24"/>
                              </w:rPr>
                            </w:pPr>
                          </w:p>
                        </w:tc>
                        <w:tc>
                          <w:tcPr>
                            <w:tcW w:w="1818" w:type="dxa"/>
                            <w:noWrap w:val="0"/>
                            <w:vAlign w:val="top"/>
                          </w:tcPr>
                          <w:p>
                            <w:pPr>
                              <w:pStyle w:val="33"/>
                              <w:rPr>
                                <w:rFonts w:hint="eastAsia"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567" w:type="dxa"/>
                            <w:noWrap w:val="0"/>
                            <w:vAlign w:val="top"/>
                          </w:tcPr>
                          <w:p>
                            <w:pPr>
                              <w:pStyle w:val="33"/>
                              <w:spacing w:before="165"/>
                              <w:ind w:left="106"/>
                              <w:rPr>
                                <w:rFonts w:hint="eastAsia" w:ascii="宋体" w:hAnsi="宋体" w:cs="宋体"/>
                                <w:sz w:val="24"/>
                                <w:szCs w:val="24"/>
                              </w:rPr>
                            </w:pPr>
                            <w:r>
                              <w:rPr>
                                <w:rFonts w:hint="eastAsia" w:ascii="宋体" w:hAnsi="宋体" w:cs="宋体"/>
                                <w:sz w:val="24"/>
                                <w:szCs w:val="24"/>
                              </w:rPr>
                              <w:t>2. 辅助工作人员</w:t>
                            </w:r>
                          </w:p>
                        </w:tc>
                        <w:tc>
                          <w:tcPr>
                            <w:tcW w:w="1850" w:type="dxa"/>
                            <w:noWrap w:val="0"/>
                            <w:vAlign w:val="top"/>
                          </w:tcPr>
                          <w:p>
                            <w:pPr>
                              <w:pStyle w:val="33"/>
                              <w:rPr>
                                <w:rFonts w:hint="eastAsia" w:ascii="宋体" w:hAnsi="宋体" w:cs="宋体"/>
                                <w:sz w:val="24"/>
                                <w:szCs w:val="24"/>
                              </w:rPr>
                            </w:pPr>
                          </w:p>
                        </w:tc>
                        <w:tc>
                          <w:tcPr>
                            <w:tcW w:w="2100" w:type="dxa"/>
                            <w:noWrap w:val="0"/>
                            <w:vAlign w:val="top"/>
                          </w:tcPr>
                          <w:p>
                            <w:pPr>
                              <w:pStyle w:val="33"/>
                              <w:rPr>
                                <w:rFonts w:hint="eastAsia" w:ascii="宋体" w:hAnsi="宋体" w:cs="宋体"/>
                                <w:sz w:val="24"/>
                                <w:szCs w:val="24"/>
                              </w:rPr>
                            </w:pPr>
                          </w:p>
                        </w:tc>
                        <w:tc>
                          <w:tcPr>
                            <w:tcW w:w="1818" w:type="dxa"/>
                            <w:noWrap w:val="0"/>
                            <w:vAlign w:val="top"/>
                          </w:tcPr>
                          <w:p>
                            <w:pPr>
                              <w:pStyle w:val="33"/>
                              <w:rPr>
                                <w:rFonts w:hint="eastAsia"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2567" w:type="dxa"/>
                            <w:noWrap w:val="0"/>
                            <w:vAlign w:val="top"/>
                          </w:tcPr>
                          <w:p>
                            <w:pPr>
                              <w:pStyle w:val="33"/>
                              <w:spacing w:before="164"/>
                              <w:ind w:left="106"/>
                              <w:rPr>
                                <w:rFonts w:hint="eastAsia" w:ascii="宋体" w:hAnsi="宋体" w:cs="宋体"/>
                                <w:sz w:val="24"/>
                                <w:szCs w:val="24"/>
                              </w:rPr>
                            </w:pPr>
                            <w:r>
                              <w:rPr>
                                <w:rFonts w:hint="eastAsia" w:ascii="宋体" w:hAnsi="宋体" w:cs="宋体"/>
                                <w:sz w:val="24"/>
                                <w:szCs w:val="24"/>
                              </w:rPr>
                              <w:t>3. 其他人员</w:t>
                            </w:r>
                          </w:p>
                        </w:tc>
                        <w:tc>
                          <w:tcPr>
                            <w:tcW w:w="1850" w:type="dxa"/>
                            <w:noWrap w:val="0"/>
                            <w:vAlign w:val="top"/>
                          </w:tcPr>
                          <w:p>
                            <w:pPr>
                              <w:pStyle w:val="33"/>
                              <w:rPr>
                                <w:rFonts w:hint="eastAsia" w:ascii="宋体" w:hAnsi="宋体" w:cs="宋体"/>
                                <w:sz w:val="24"/>
                                <w:szCs w:val="24"/>
                              </w:rPr>
                            </w:pPr>
                          </w:p>
                        </w:tc>
                        <w:tc>
                          <w:tcPr>
                            <w:tcW w:w="2100" w:type="dxa"/>
                            <w:tcBorders>
                              <w:bottom w:val="single" w:color="auto" w:sz="4" w:space="0"/>
                            </w:tcBorders>
                            <w:noWrap w:val="0"/>
                            <w:vAlign w:val="top"/>
                          </w:tcPr>
                          <w:p>
                            <w:pPr>
                              <w:pStyle w:val="33"/>
                              <w:rPr>
                                <w:rFonts w:hint="eastAsia" w:ascii="宋体" w:hAnsi="宋体" w:cs="宋体"/>
                                <w:sz w:val="24"/>
                                <w:szCs w:val="24"/>
                              </w:rPr>
                            </w:pPr>
                          </w:p>
                        </w:tc>
                        <w:tc>
                          <w:tcPr>
                            <w:tcW w:w="1818" w:type="dxa"/>
                            <w:noWrap w:val="0"/>
                            <w:vAlign w:val="top"/>
                          </w:tcPr>
                          <w:p>
                            <w:pPr>
                              <w:pStyle w:val="33"/>
                              <w:rPr>
                                <w:rFonts w:hint="eastAsia"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567" w:type="dxa"/>
                            <w:noWrap w:val="0"/>
                            <w:vAlign w:val="top"/>
                          </w:tcPr>
                          <w:p>
                            <w:pPr>
                              <w:pStyle w:val="33"/>
                              <w:rPr>
                                <w:rFonts w:hint="eastAsia" w:ascii="宋体" w:hAnsi="宋体" w:cs="宋体"/>
                                <w:sz w:val="24"/>
                                <w:szCs w:val="24"/>
                              </w:rPr>
                            </w:pPr>
                          </w:p>
                        </w:tc>
                        <w:tc>
                          <w:tcPr>
                            <w:tcW w:w="1850" w:type="dxa"/>
                            <w:tcBorders>
                              <w:right w:val="single" w:color="auto" w:sz="4" w:space="0"/>
                            </w:tcBorders>
                            <w:noWrap w:val="0"/>
                            <w:vAlign w:val="top"/>
                          </w:tcPr>
                          <w:p>
                            <w:pPr>
                              <w:pStyle w:val="33"/>
                              <w:rPr>
                                <w:rFonts w:hint="eastAsia" w:ascii="宋体" w:hAnsi="宋体" w:cs="宋体"/>
                                <w:sz w:val="24"/>
                                <w:szCs w:val="24"/>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pStyle w:val="33"/>
                              <w:rPr>
                                <w:rFonts w:hint="eastAsia" w:ascii="宋体" w:hAnsi="宋体" w:cs="宋体"/>
                                <w:sz w:val="24"/>
                                <w:szCs w:val="24"/>
                              </w:rPr>
                            </w:pPr>
                          </w:p>
                        </w:tc>
                        <w:tc>
                          <w:tcPr>
                            <w:tcW w:w="1818" w:type="dxa"/>
                            <w:tcBorders>
                              <w:left w:val="single" w:color="auto" w:sz="4" w:space="0"/>
                            </w:tcBorders>
                            <w:noWrap w:val="0"/>
                            <w:vAlign w:val="top"/>
                          </w:tcPr>
                          <w:p>
                            <w:pPr>
                              <w:pStyle w:val="33"/>
                              <w:rPr>
                                <w:rFonts w:hint="eastAsia" w:ascii="宋体" w:hAnsi="宋体" w:cs="宋体"/>
                                <w:sz w:val="24"/>
                                <w:szCs w:val="24"/>
                              </w:rPr>
                            </w:pPr>
                          </w:p>
                        </w:tc>
                      </w:tr>
                    </w:tbl>
                    <w:p>
                      <w:pPr>
                        <w:pStyle w:val="7"/>
                      </w:pPr>
                    </w:p>
                    <w:p/>
                    <w:p>
                      <w:pPr>
                        <w:pStyle w:val="35"/>
                      </w:pPr>
                    </w:p>
                    <w:p>
                      <w:pPr>
                        <w:pStyle w:val="35"/>
                      </w:pPr>
                    </w:p>
                  </w:txbxContent>
                </v:textbox>
              </v:shape>
            </w:pict>
          </mc:Fallback>
        </mc:AlternateContent>
      </w:r>
    </w:p>
    <w:p>
      <w:pPr>
        <w:pStyle w:val="7"/>
        <w:rPr>
          <w:rFonts w:ascii="宋体" w:hAnsi="宋体"/>
          <w:b/>
          <w:color w:val="auto"/>
          <w:highlight w:val="none"/>
        </w:rPr>
      </w:pPr>
    </w:p>
    <w:p>
      <w:pPr>
        <w:pStyle w:val="7"/>
        <w:rPr>
          <w:rFonts w:ascii="宋体" w:hAnsi="宋体"/>
          <w:b/>
          <w:color w:val="auto"/>
          <w:highlight w:val="none"/>
        </w:rPr>
      </w:pPr>
    </w:p>
    <w:p>
      <w:pPr>
        <w:pStyle w:val="7"/>
        <w:rPr>
          <w:rFonts w:ascii="宋体" w:hAnsi="宋体"/>
          <w:b/>
          <w:color w:val="auto"/>
          <w:highlight w:val="none"/>
        </w:rPr>
      </w:pPr>
    </w:p>
    <w:p>
      <w:pPr>
        <w:pStyle w:val="7"/>
        <w:rPr>
          <w:rFonts w:ascii="宋体" w:hAnsi="宋体"/>
          <w:b/>
          <w:color w:val="auto"/>
          <w:highlight w:val="none"/>
        </w:rPr>
      </w:pPr>
    </w:p>
    <w:p>
      <w:pPr>
        <w:pStyle w:val="7"/>
        <w:rPr>
          <w:rFonts w:ascii="宋体" w:hAnsi="宋体"/>
          <w:b/>
          <w:color w:val="auto"/>
          <w:highlight w:val="none"/>
        </w:rPr>
      </w:pPr>
    </w:p>
    <w:p>
      <w:pPr>
        <w:pStyle w:val="35"/>
        <w:rPr>
          <w:color w:val="auto"/>
          <w:highlight w:val="none"/>
        </w:rPr>
      </w:pPr>
    </w:p>
    <w:p>
      <w:pPr>
        <w:pStyle w:val="35"/>
        <w:rPr>
          <w:color w:val="auto"/>
          <w:highlight w:val="none"/>
        </w:rPr>
      </w:pPr>
    </w:p>
    <w:p>
      <w:pPr>
        <w:pStyle w:val="5"/>
        <w:keepNext w:val="0"/>
        <w:keepLines w:val="0"/>
        <w:widowControl w:val="0"/>
        <w:numPr>
          <w:ilvl w:val="1"/>
          <w:numId w:val="7"/>
        </w:numPr>
        <w:tabs>
          <w:tab w:val="left" w:pos="1102"/>
          <w:tab w:val="left" w:pos="1103"/>
        </w:tabs>
        <w:autoSpaceDE w:val="0"/>
        <w:autoSpaceDN w:val="0"/>
        <w:spacing w:before="0" w:after="0" w:line="360" w:lineRule="auto"/>
        <w:ind w:hanging="707"/>
        <w:rPr>
          <w:rFonts w:hint="eastAsia" w:ascii="宋体" w:hAnsi="宋体" w:eastAsia="宋体"/>
          <w:color w:val="auto"/>
          <w:highlight w:val="none"/>
        </w:rPr>
      </w:pPr>
      <w:r>
        <w:rPr>
          <w:rFonts w:hint="eastAsia" w:ascii="宋体" w:hAnsi="宋体" w:eastAsia="宋体"/>
          <w:color w:val="auto"/>
          <w:highlight w:val="none"/>
        </w:rPr>
        <w:t>委托人提供的房屋</w:t>
      </w:r>
    </w:p>
    <w:p>
      <w:pPr>
        <w:pStyle w:val="7"/>
        <w:spacing w:before="3"/>
        <w:rPr>
          <w:rFonts w:ascii="宋体" w:hAnsi="宋体"/>
          <w:b/>
          <w:color w:val="auto"/>
          <w:sz w:val="14"/>
          <w:highlight w:val="none"/>
        </w:rPr>
      </w:pPr>
    </w:p>
    <w:tbl>
      <w:tblPr>
        <w:tblStyle w:val="19"/>
        <w:tblW w:w="8363" w:type="dxa"/>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0"/>
        <w:gridCol w:w="1963"/>
        <w:gridCol w:w="2100"/>
        <w:gridCol w:w="1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450" w:type="dxa"/>
            <w:noWrap w:val="0"/>
            <w:vAlign w:val="top"/>
          </w:tcPr>
          <w:p>
            <w:pPr>
              <w:pStyle w:val="33"/>
              <w:spacing w:before="165" w:line="360" w:lineRule="auto"/>
              <w:ind w:left="964" w:right="955"/>
              <w:jc w:val="center"/>
              <w:rPr>
                <w:rFonts w:hint="eastAsia" w:ascii="宋体" w:hAnsi="宋体"/>
                <w:color w:val="auto"/>
                <w:sz w:val="24"/>
                <w:highlight w:val="none"/>
              </w:rPr>
            </w:pPr>
            <w:r>
              <w:rPr>
                <w:rFonts w:hint="eastAsia" w:ascii="宋体" w:hAnsi="宋体"/>
                <w:color w:val="auto"/>
                <w:sz w:val="24"/>
                <w:highlight w:val="none"/>
              </w:rPr>
              <w:t>名称</w:t>
            </w:r>
          </w:p>
        </w:tc>
        <w:tc>
          <w:tcPr>
            <w:tcW w:w="1963" w:type="dxa"/>
            <w:noWrap w:val="0"/>
            <w:vAlign w:val="top"/>
          </w:tcPr>
          <w:p>
            <w:pPr>
              <w:pStyle w:val="33"/>
              <w:spacing w:before="165" w:line="360" w:lineRule="auto"/>
              <w:ind w:right="796"/>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数量</w:t>
            </w:r>
          </w:p>
        </w:tc>
        <w:tc>
          <w:tcPr>
            <w:tcW w:w="2100" w:type="dxa"/>
            <w:noWrap w:val="0"/>
            <w:vAlign w:val="top"/>
          </w:tcPr>
          <w:p>
            <w:pPr>
              <w:pStyle w:val="33"/>
              <w:spacing w:before="165" w:line="360" w:lineRule="auto"/>
              <w:ind w:left="804" w:right="794"/>
              <w:jc w:val="center"/>
              <w:rPr>
                <w:rFonts w:hint="eastAsia" w:ascii="宋体" w:hAnsi="宋体"/>
                <w:color w:val="auto"/>
                <w:sz w:val="24"/>
                <w:highlight w:val="none"/>
              </w:rPr>
            </w:pPr>
            <w:r>
              <w:rPr>
                <w:rFonts w:hint="eastAsia" w:ascii="宋体" w:hAnsi="宋体"/>
                <w:color w:val="auto"/>
                <w:sz w:val="24"/>
                <w:highlight w:val="none"/>
              </w:rPr>
              <w:t>面积</w:t>
            </w:r>
          </w:p>
        </w:tc>
        <w:tc>
          <w:tcPr>
            <w:tcW w:w="1850" w:type="dxa"/>
            <w:noWrap w:val="0"/>
            <w:vAlign w:val="top"/>
          </w:tcPr>
          <w:p>
            <w:pPr>
              <w:pStyle w:val="33"/>
              <w:spacing w:before="165" w:line="360" w:lineRule="auto"/>
              <w:ind w:left="430" w:right="422"/>
              <w:jc w:val="center"/>
              <w:rPr>
                <w:rFonts w:hint="eastAsia" w:ascii="宋体" w:hAnsi="宋体"/>
                <w:color w:val="auto"/>
                <w:sz w:val="24"/>
                <w:highlight w:val="none"/>
              </w:rPr>
            </w:pPr>
            <w:r>
              <w:rPr>
                <w:rFonts w:hint="eastAsia" w:ascii="宋体" w:hAnsi="宋体"/>
                <w:color w:val="auto"/>
                <w:sz w:val="24"/>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450" w:type="dxa"/>
            <w:noWrap w:val="0"/>
            <w:vAlign w:val="top"/>
          </w:tcPr>
          <w:p>
            <w:pPr>
              <w:pStyle w:val="33"/>
              <w:spacing w:before="165" w:line="360" w:lineRule="auto"/>
              <w:ind w:left="106"/>
              <w:rPr>
                <w:rFonts w:hint="eastAsia" w:ascii="宋体" w:hAnsi="宋体"/>
                <w:color w:val="auto"/>
                <w:sz w:val="24"/>
                <w:highlight w:val="none"/>
              </w:rPr>
            </w:pPr>
            <w:r>
              <w:rPr>
                <w:rFonts w:hint="eastAsia" w:ascii="宋体" w:hAnsi="宋体"/>
                <w:color w:val="auto"/>
                <w:sz w:val="24"/>
                <w:highlight w:val="none"/>
              </w:rPr>
              <w:t>1. 办公用房</w:t>
            </w:r>
          </w:p>
        </w:tc>
        <w:tc>
          <w:tcPr>
            <w:tcW w:w="1963" w:type="dxa"/>
            <w:noWrap w:val="0"/>
            <w:vAlign w:val="top"/>
          </w:tcPr>
          <w:p>
            <w:pPr>
              <w:pStyle w:val="33"/>
              <w:spacing w:before="165" w:line="360" w:lineRule="auto"/>
              <w:ind w:right="106"/>
              <w:jc w:val="center"/>
              <w:rPr>
                <w:rFonts w:ascii="宋体" w:hAnsi="宋体"/>
                <w:color w:val="auto"/>
                <w:sz w:val="24"/>
                <w:highlight w:val="none"/>
              </w:rPr>
            </w:pPr>
            <w:r>
              <w:rPr>
                <w:rFonts w:ascii="宋体" w:hAnsi="宋体"/>
                <w:color w:val="auto"/>
                <w:sz w:val="24"/>
                <w:highlight w:val="none"/>
              </w:rPr>
              <w:t>1</w:t>
            </w:r>
          </w:p>
        </w:tc>
        <w:tc>
          <w:tcPr>
            <w:tcW w:w="2100" w:type="dxa"/>
            <w:noWrap w:val="0"/>
            <w:vAlign w:val="top"/>
          </w:tcPr>
          <w:p>
            <w:pPr>
              <w:pStyle w:val="33"/>
              <w:spacing w:line="360" w:lineRule="auto"/>
              <w:rPr>
                <w:rFonts w:ascii="宋体" w:hAnsi="宋体"/>
                <w:color w:val="auto"/>
                <w:sz w:val="24"/>
                <w:highlight w:val="none"/>
              </w:rPr>
            </w:pPr>
          </w:p>
        </w:tc>
        <w:tc>
          <w:tcPr>
            <w:tcW w:w="1850" w:type="dxa"/>
            <w:noWrap w:val="0"/>
            <w:vAlign w:val="top"/>
          </w:tcPr>
          <w:p>
            <w:pPr>
              <w:pStyle w:val="33"/>
              <w:spacing w:before="165" w:line="360" w:lineRule="auto"/>
              <w:ind w:left="430" w:right="422"/>
              <w:jc w:val="center"/>
              <w:rPr>
                <w:rFonts w:hint="eastAsia" w:ascii="宋体" w:hAnsi="宋体"/>
                <w:color w:val="auto"/>
                <w:sz w:val="24"/>
                <w:highlight w:val="none"/>
              </w:rPr>
            </w:pPr>
            <w:r>
              <w:rPr>
                <w:rFonts w:hint="eastAsia" w:ascii="宋体" w:hAnsi="宋体"/>
                <w:color w:val="auto"/>
                <w:sz w:val="24"/>
                <w:highlight w:val="none"/>
              </w:rPr>
              <w:t>开工时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450" w:type="dxa"/>
            <w:noWrap w:val="0"/>
            <w:vAlign w:val="top"/>
          </w:tcPr>
          <w:p>
            <w:pPr>
              <w:pStyle w:val="33"/>
              <w:spacing w:before="164" w:line="360" w:lineRule="auto"/>
              <w:ind w:left="106"/>
              <w:rPr>
                <w:rFonts w:hint="eastAsia" w:ascii="宋体" w:hAnsi="宋体"/>
                <w:color w:val="auto"/>
                <w:sz w:val="24"/>
                <w:highlight w:val="none"/>
              </w:rPr>
            </w:pPr>
            <w:r>
              <w:rPr>
                <w:rFonts w:hint="eastAsia" w:ascii="宋体" w:hAnsi="宋体"/>
                <w:color w:val="auto"/>
                <w:sz w:val="24"/>
                <w:highlight w:val="none"/>
              </w:rPr>
              <w:t>2. 现场值班用房</w:t>
            </w:r>
          </w:p>
        </w:tc>
        <w:tc>
          <w:tcPr>
            <w:tcW w:w="1963" w:type="dxa"/>
            <w:noWrap w:val="0"/>
            <w:vAlign w:val="top"/>
          </w:tcPr>
          <w:p>
            <w:pPr>
              <w:pStyle w:val="33"/>
              <w:spacing w:before="164" w:line="360" w:lineRule="auto"/>
              <w:jc w:val="center"/>
              <w:rPr>
                <w:rFonts w:ascii="宋体" w:hAnsi="宋体"/>
                <w:color w:val="auto"/>
                <w:sz w:val="24"/>
                <w:highlight w:val="none"/>
              </w:rPr>
            </w:pPr>
            <w:r>
              <w:rPr>
                <w:rFonts w:ascii="宋体" w:hAnsi="宋体"/>
                <w:color w:val="auto"/>
                <w:sz w:val="24"/>
                <w:highlight w:val="none"/>
              </w:rPr>
              <w:t>1</w:t>
            </w:r>
          </w:p>
        </w:tc>
        <w:tc>
          <w:tcPr>
            <w:tcW w:w="2100" w:type="dxa"/>
            <w:noWrap w:val="0"/>
            <w:vAlign w:val="top"/>
          </w:tcPr>
          <w:p>
            <w:pPr>
              <w:pStyle w:val="33"/>
              <w:spacing w:line="360" w:lineRule="auto"/>
              <w:rPr>
                <w:rFonts w:ascii="宋体" w:hAnsi="宋体"/>
                <w:color w:val="auto"/>
                <w:sz w:val="24"/>
                <w:highlight w:val="none"/>
              </w:rPr>
            </w:pPr>
          </w:p>
        </w:tc>
        <w:tc>
          <w:tcPr>
            <w:tcW w:w="1850" w:type="dxa"/>
            <w:noWrap w:val="0"/>
            <w:vAlign w:val="top"/>
          </w:tcPr>
          <w:p>
            <w:pPr>
              <w:pStyle w:val="33"/>
              <w:spacing w:before="164" w:line="360" w:lineRule="auto"/>
              <w:ind w:left="430" w:right="422"/>
              <w:jc w:val="center"/>
              <w:rPr>
                <w:rFonts w:hint="eastAsia" w:ascii="宋体" w:hAnsi="宋体"/>
                <w:color w:val="auto"/>
                <w:sz w:val="24"/>
                <w:highlight w:val="none"/>
              </w:rPr>
            </w:pPr>
            <w:r>
              <w:rPr>
                <w:rFonts w:hint="eastAsia" w:ascii="宋体" w:hAnsi="宋体"/>
                <w:color w:val="auto"/>
                <w:sz w:val="24"/>
                <w:highlight w:val="none"/>
              </w:rPr>
              <w:t>开工时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450" w:type="dxa"/>
            <w:noWrap w:val="0"/>
            <w:vAlign w:val="top"/>
          </w:tcPr>
          <w:p>
            <w:pPr>
              <w:pStyle w:val="33"/>
              <w:spacing w:before="164" w:line="360" w:lineRule="auto"/>
              <w:ind w:left="106"/>
              <w:rPr>
                <w:rFonts w:hint="eastAsia" w:ascii="宋体" w:hAnsi="宋体"/>
                <w:color w:val="auto"/>
                <w:sz w:val="24"/>
                <w:highlight w:val="none"/>
              </w:rPr>
            </w:pPr>
            <w:r>
              <w:rPr>
                <w:rFonts w:hint="eastAsia" w:ascii="宋体" w:hAnsi="宋体"/>
                <w:color w:val="auto"/>
                <w:sz w:val="24"/>
                <w:highlight w:val="none"/>
              </w:rPr>
              <w:t>3. 试验用房</w:t>
            </w:r>
          </w:p>
        </w:tc>
        <w:tc>
          <w:tcPr>
            <w:tcW w:w="1963" w:type="dxa"/>
            <w:noWrap w:val="0"/>
            <w:vAlign w:val="top"/>
          </w:tcPr>
          <w:p>
            <w:pPr>
              <w:pStyle w:val="33"/>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00" w:type="dxa"/>
            <w:noWrap w:val="0"/>
            <w:vAlign w:val="top"/>
          </w:tcPr>
          <w:p>
            <w:pPr>
              <w:pStyle w:val="33"/>
              <w:spacing w:line="360" w:lineRule="auto"/>
              <w:rPr>
                <w:rFonts w:ascii="宋体" w:hAnsi="宋体"/>
                <w:color w:val="auto"/>
                <w:sz w:val="24"/>
                <w:highlight w:val="none"/>
              </w:rPr>
            </w:pPr>
          </w:p>
        </w:tc>
        <w:tc>
          <w:tcPr>
            <w:tcW w:w="1850"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50" w:type="dxa"/>
            <w:noWrap w:val="0"/>
            <w:vAlign w:val="top"/>
          </w:tcPr>
          <w:p>
            <w:pPr>
              <w:pStyle w:val="33"/>
              <w:spacing w:before="166" w:line="360" w:lineRule="auto"/>
              <w:ind w:left="106"/>
              <w:rPr>
                <w:rFonts w:hint="eastAsia" w:ascii="宋体" w:hAnsi="宋体"/>
                <w:color w:val="auto"/>
                <w:sz w:val="24"/>
                <w:highlight w:val="none"/>
              </w:rPr>
            </w:pPr>
            <w:r>
              <w:rPr>
                <w:rFonts w:hint="eastAsia" w:ascii="宋体" w:hAnsi="宋体"/>
                <w:color w:val="auto"/>
                <w:sz w:val="24"/>
                <w:highlight w:val="none"/>
              </w:rPr>
              <w:t>4. 样品用房</w:t>
            </w:r>
          </w:p>
        </w:tc>
        <w:tc>
          <w:tcPr>
            <w:tcW w:w="1963" w:type="dxa"/>
            <w:noWrap w:val="0"/>
            <w:vAlign w:val="top"/>
          </w:tcPr>
          <w:p>
            <w:pPr>
              <w:pStyle w:val="33"/>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00" w:type="dxa"/>
            <w:noWrap w:val="0"/>
            <w:vAlign w:val="top"/>
          </w:tcPr>
          <w:p>
            <w:pPr>
              <w:pStyle w:val="33"/>
              <w:spacing w:line="360" w:lineRule="auto"/>
              <w:rPr>
                <w:rFonts w:ascii="宋体" w:hAnsi="宋体"/>
                <w:color w:val="auto"/>
                <w:sz w:val="24"/>
                <w:highlight w:val="none"/>
              </w:rPr>
            </w:pPr>
          </w:p>
        </w:tc>
        <w:tc>
          <w:tcPr>
            <w:tcW w:w="1850"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450" w:type="dxa"/>
            <w:noWrap w:val="0"/>
            <w:vAlign w:val="top"/>
          </w:tcPr>
          <w:p>
            <w:pPr>
              <w:pStyle w:val="33"/>
              <w:spacing w:before="164" w:line="360" w:lineRule="auto"/>
              <w:ind w:left="106"/>
              <w:rPr>
                <w:rFonts w:hint="eastAsia" w:ascii="宋体" w:hAnsi="宋体"/>
                <w:color w:val="auto"/>
                <w:sz w:val="24"/>
                <w:highlight w:val="none"/>
              </w:rPr>
            </w:pPr>
            <w:r>
              <w:rPr>
                <w:rFonts w:hint="eastAsia" w:ascii="宋体" w:hAnsi="宋体"/>
                <w:color w:val="auto"/>
                <w:sz w:val="24"/>
                <w:highlight w:val="none"/>
              </w:rPr>
              <w:t>用餐及其他生活条件</w:t>
            </w:r>
          </w:p>
        </w:tc>
        <w:tc>
          <w:tcPr>
            <w:tcW w:w="5913" w:type="dxa"/>
            <w:gridSpan w:val="3"/>
            <w:noWrap w:val="0"/>
            <w:vAlign w:val="top"/>
          </w:tcPr>
          <w:p>
            <w:pPr>
              <w:pStyle w:val="33"/>
              <w:spacing w:before="164" w:line="360" w:lineRule="auto"/>
              <w:ind w:left="883" w:right="873"/>
              <w:jc w:val="center"/>
              <w:rPr>
                <w:rFonts w:hint="eastAsia" w:ascii="宋体" w:hAnsi="宋体"/>
                <w:color w:val="auto"/>
                <w:sz w:val="24"/>
                <w:highlight w:val="none"/>
              </w:rPr>
            </w:pPr>
            <w:r>
              <w:rPr>
                <w:rFonts w:hint="eastAsia" w:ascii="宋体" w:hAnsi="宋体"/>
                <w:color w:val="auto"/>
                <w:sz w:val="24"/>
                <w:highlight w:val="none"/>
              </w:rPr>
              <w:t>工地用餐，现场提供办公桌及值班用床。</w:t>
            </w:r>
          </w:p>
        </w:tc>
      </w:tr>
    </w:tbl>
    <w:p>
      <w:pPr>
        <w:pStyle w:val="35"/>
        <w:rPr>
          <w:rFonts w:ascii="宋体" w:hAnsi="宋体"/>
          <w:color w:val="auto"/>
          <w:highlight w:val="none"/>
        </w:rPr>
      </w:pPr>
    </w:p>
    <w:p>
      <w:pPr>
        <w:pStyle w:val="5"/>
        <w:keepNext w:val="0"/>
        <w:keepLines w:val="0"/>
        <w:widowControl w:val="0"/>
        <w:numPr>
          <w:ilvl w:val="1"/>
          <w:numId w:val="7"/>
        </w:numPr>
        <w:tabs>
          <w:tab w:val="left" w:pos="1102"/>
          <w:tab w:val="left" w:pos="1103"/>
        </w:tabs>
        <w:autoSpaceDE w:val="0"/>
        <w:autoSpaceDN w:val="0"/>
        <w:spacing w:before="44" w:after="0" w:line="360" w:lineRule="auto"/>
        <w:ind w:hanging="707"/>
        <w:rPr>
          <w:rFonts w:hint="eastAsia" w:ascii="宋体" w:hAnsi="宋体" w:eastAsia="宋体"/>
          <w:color w:val="auto"/>
          <w:highlight w:val="none"/>
        </w:rPr>
      </w:pPr>
      <w:r>
        <w:rPr>
          <w:rFonts w:hint="eastAsia" w:ascii="宋体" w:hAnsi="宋体" w:eastAsia="宋体"/>
          <w:color w:val="auto"/>
          <w:highlight w:val="none"/>
        </w:rPr>
        <w:t xml:space="preserve"> 委托人提供的资料</w:t>
      </w:r>
    </w:p>
    <w:p>
      <w:pPr>
        <w:pStyle w:val="7"/>
        <w:spacing w:before="4" w:after="1"/>
        <w:rPr>
          <w:rFonts w:ascii="宋体" w:hAnsi="宋体"/>
          <w:b/>
          <w:color w:val="auto"/>
          <w:sz w:val="14"/>
          <w:highlight w:val="none"/>
        </w:rPr>
      </w:pPr>
    </w:p>
    <w:tbl>
      <w:tblPr>
        <w:tblStyle w:val="19"/>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0"/>
        <w:gridCol w:w="1500"/>
        <w:gridCol w:w="2160"/>
        <w:gridCol w:w="2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820" w:type="dxa"/>
            <w:noWrap w:val="0"/>
            <w:vAlign w:val="top"/>
          </w:tcPr>
          <w:p>
            <w:pPr>
              <w:pStyle w:val="33"/>
              <w:spacing w:before="164" w:line="360" w:lineRule="auto"/>
              <w:ind w:left="1149" w:right="1140"/>
              <w:jc w:val="center"/>
              <w:rPr>
                <w:rFonts w:hint="eastAsia" w:ascii="宋体" w:hAnsi="宋体"/>
                <w:color w:val="auto"/>
                <w:sz w:val="24"/>
                <w:highlight w:val="none"/>
              </w:rPr>
            </w:pPr>
            <w:r>
              <w:rPr>
                <w:rFonts w:hint="eastAsia" w:ascii="宋体" w:hAnsi="宋体"/>
                <w:color w:val="auto"/>
                <w:sz w:val="24"/>
                <w:highlight w:val="none"/>
              </w:rPr>
              <w:t>名称</w:t>
            </w:r>
          </w:p>
        </w:tc>
        <w:tc>
          <w:tcPr>
            <w:tcW w:w="1500" w:type="dxa"/>
            <w:noWrap w:val="0"/>
            <w:vAlign w:val="top"/>
          </w:tcPr>
          <w:p>
            <w:pPr>
              <w:pStyle w:val="33"/>
              <w:spacing w:before="164" w:line="360" w:lineRule="auto"/>
              <w:ind w:left="489" w:right="480"/>
              <w:jc w:val="center"/>
              <w:rPr>
                <w:rFonts w:hint="eastAsia" w:ascii="宋体" w:hAnsi="宋体"/>
                <w:color w:val="auto"/>
                <w:sz w:val="24"/>
                <w:highlight w:val="none"/>
              </w:rPr>
            </w:pPr>
            <w:r>
              <w:rPr>
                <w:rFonts w:hint="eastAsia" w:ascii="宋体" w:hAnsi="宋体"/>
                <w:color w:val="auto"/>
                <w:sz w:val="24"/>
                <w:highlight w:val="none"/>
              </w:rPr>
              <w:t>份数</w:t>
            </w:r>
          </w:p>
        </w:tc>
        <w:tc>
          <w:tcPr>
            <w:tcW w:w="2160" w:type="dxa"/>
            <w:noWrap w:val="0"/>
            <w:vAlign w:val="top"/>
          </w:tcPr>
          <w:p>
            <w:pPr>
              <w:pStyle w:val="33"/>
              <w:spacing w:before="164" w:line="360" w:lineRule="auto"/>
              <w:ind w:left="578" w:right="571"/>
              <w:jc w:val="center"/>
              <w:rPr>
                <w:rFonts w:hint="eastAsia" w:ascii="宋体" w:hAnsi="宋体"/>
                <w:color w:val="auto"/>
                <w:sz w:val="24"/>
                <w:highlight w:val="none"/>
              </w:rPr>
            </w:pPr>
            <w:r>
              <w:rPr>
                <w:rFonts w:hint="eastAsia" w:ascii="宋体" w:hAnsi="宋体"/>
                <w:color w:val="auto"/>
                <w:sz w:val="24"/>
                <w:highlight w:val="none"/>
              </w:rPr>
              <w:t>提供时间</w:t>
            </w:r>
          </w:p>
        </w:tc>
        <w:tc>
          <w:tcPr>
            <w:tcW w:w="2095" w:type="dxa"/>
            <w:noWrap w:val="0"/>
            <w:vAlign w:val="top"/>
          </w:tcPr>
          <w:p>
            <w:pPr>
              <w:pStyle w:val="33"/>
              <w:spacing w:before="164" w:line="360" w:lineRule="auto"/>
              <w:ind w:left="787" w:right="778"/>
              <w:jc w:val="center"/>
              <w:rPr>
                <w:rFonts w:hint="eastAsia" w:ascii="宋体" w:hAnsi="宋体"/>
                <w:color w:val="auto"/>
                <w:sz w:val="24"/>
                <w:highlight w:val="none"/>
              </w:rPr>
            </w:pPr>
            <w:r>
              <w:rPr>
                <w:rFonts w:hint="eastAsia" w:ascii="宋体" w:hAnsi="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820" w:type="dxa"/>
            <w:noWrap w:val="0"/>
            <w:vAlign w:val="top"/>
          </w:tcPr>
          <w:p>
            <w:pPr>
              <w:pStyle w:val="33"/>
              <w:spacing w:before="163" w:line="360" w:lineRule="auto"/>
              <w:ind w:left="106"/>
              <w:rPr>
                <w:rFonts w:hint="eastAsia" w:ascii="宋体" w:hAnsi="宋体"/>
                <w:color w:val="auto"/>
                <w:sz w:val="24"/>
                <w:highlight w:val="none"/>
              </w:rPr>
            </w:pPr>
            <w:r>
              <w:rPr>
                <w:rFonts w:hint="eastAsia" w:ascii="宋体" w:hAnsi="宋体"/>
                <w:color w:val="auto"/>
                <w:sz w:val="24"/>
                <w:highlight w:val="none"/>
              </w:rPr>
              <w:t>1. 工程立项文件</w:t>
            </w:r>
          </w:p>
        </w:tc>
        <w:tc>
          <w:tcPr>
            <w:tcW w:w="1500" w:type="dxa"/>
            <w:noWrap w:val="0"/>
            <w:vAlign w:val="top"/>
          </w:tcPr>
          <w:p>
            <w:pPr>
              <w:pStyle w:val="33"/>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60" w:type="dxa"/>
            <w:noWrap w:val="0"/>
            <w:vAlign w:val="top"/>
          </w:tcPr>
          <w:p>
            <w:pPr>
              <w:pStyle w:val="33"/>
              <w:spacing w:line="360" w:lineRule="auto"/>
              <w:rPr>
                <w:rFonts w:ascii="宋体" w:hAnsi="宋体"/>
                <w:color w:val="auto"/>
                <w:sz w:val="24"/>
                <w:highlight w:val="none"/>
              </w:rPr>
            </w:pPr>
          </w:p>
        </w:tc>
        <w:tc>
          <w:tcPr>
            <w:tcW w:w="2095"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820" w:type="dxa"/>
            <w:noWrap w:val="0"/>
            <w:vAlign w:val="top"/>
          </w:tcPr>
          <w:p>
            <w:pPr>
              <w:pStyle w:val="33"/>
              <w:spacing w:before="165" w:line="360" w:lineRule="auto"/>
              <w:ind w:left="106"/>
              <w:rPr>
                <w:rFonts w:hint="eastAsia" w:ascii="宋体" w:hAnsi="宋体"/>
                <w:color w:val="auto"/>
                <w:sz w:val="24"/>
                <w:highlight w:val="none"/>
              </w:rPr>
            </w:pPr>
            <w:r>
              <w:rPr>
                <w:rFonts w:hint="eastAsia" w:ascii="宋体" w:hAnsi="宋体"/>
                <w:color w:val="auto"/>
                <w:sz w:val="24"/>
                <w:highlight w:val="none"/>
              </w:rPr>
              <w:t>2. 工程勘察文件</w:t>
            </w:r>
          </w:p>
        </w:tc>
        <w:tc>
          <w:tcPr>
            <w:tcW w:w="1500" w:type="dxa"/>
            <w:noWrap w:val="0"/>
            <w:vAlign w:val="top"/>
          </w:tcPr>
          <w:p>
            <w:pPr>
              <w:pStyle w:val="33"/>
              <w:spacing w:before="164" w:line="360" w:lineRule="auto"/>
              <w:ind w:left="9" w:leftChars="0"/>
              <w:jc w:val="center"/>
              <w:rPr>
                <w:rFonts w:hint="eastAsia" w:ascii="宋体" w:hAnsi="宋体"/>
                <w:color w:val="auto"/>
                <w:sz w:val="24"/>
                <w:highlight w:val="none"/>
                <w:lang w:val="en-US" w:eastAsia="zh-CN" w:bidi="ar-SA"/>
              </w:rPr>
            </w:pPr>
            <w:r>
              <w:rPr>
                <w:rFonts w:ascii="宋体" w:hAnsi="宋体"/>
                <w:color w:val="auto"/>
                <w:sz w:val="24"/>
                <w:highlight w:val="none"/>
              </w:rPr>
              <w:t>1</w:t>
            </w:r>
          </w:p>
        </w:tc>
        <w:tc>
          <w:tcPr>
            <w:tcW w:w="2160" w:type="dxa"/>
            <w:noWrap w:val="0"/>
            <w:vAlign w:val="top"/>
          </w:tcPr>
          <w:p>
            <w:pPr>
              <w:pStyle w:val="33"/>
              <w:spacing w:before="164" w:line="360" w:lineRule="auto"/>
              <w:ind w:left="578" w:leftChars="0" w:right="571" w:rightChars="0"/>
              <w:jc w:val="center"/>
              <w:rPr>
                <w:rFonts w:hint="eastAsia" w:ascii="宋体" w:hAnsi="宋体"/>
                <w:color w:val="auto"/>
                <w:sz w:val="24"/>
                <w:highlight w:val="none"/>
                <w:lang w:val="en-US" w:eastAsia="zh-CN" w:bidi="ar-SA"/>
              </w:rPr>
            </w:pPr>
            <w:r>
              <w:rPr>
                <w:rFonts w:hint="eastAsia" w:ascii="宋体" w:hAnsi="宋体"/>
                <w:color w:val="auto"/>
                <w:sz w:val="24"/>
                <w:highlight w:val="none"/>
              </w:rPr>
              <w:t>开工时</w:t>
            </w:r>
          </w:p>
        </w:tc>
        <w:tc>
          <w:tcPr>
            <w:tcW w:w="2095"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820" w:type="dxa"/>
            <w:noWrap w:val="0"/>
            <w:vAlign w:val="top"/>
          </w:tcPr>
          <w:p>
            <w:pPr>
              <w:pStyle w:val="33"/>
              <w:spacing w:before="164" w:line="360" w:lineRule="auto"/>
              <w:ind w:left="106"/>
              <w:rPr>
                <w:rFonts w:hint="eastAsia" w:ascii="宋体" w:hAnsi="宋体"/>
                <w:color w:val="auto"/>
                <w:sz w:val="24"/>
                <w:highlight w:val="none"/>
              </w:rPr>
            </w:pPr>
            <w:r>
              <w:rPr>
                <w:rFonts w:hint="eastAsia" w:ascii="宋体" w:hAnsi="宋体"/>
                <w:color w:val="auto"/>
                <w:sz w:val="24"/>
                <w:highlight w:val="none"/>
              </w:rPr>
              <w:t>3. 工程设计及施工图纸</w:t>
            </w:r>
          </w:p>
        </w:tc>
        <w:tc>
          <w:tcPr>
            <w:tcW w:w="1500" w:type="dxa"/>
            <w:noWrap w:val="0"/>
            <w:vAlign w:val="top"/>
          </w:tcPr>
          <w:p>
            <w:pPr>
              <w:pStyle w:val="33"/>
              <w:spacing w:before="164" w:line="360" w:lineRule="auto"/>
              <w:ind w:left="9"/>
              <w:jc w:val="center"/>
              <w:rPr>
                <w:rFonts w:ascii="宋体" w:hAnsi="宋体"/>
                <w:color w:val="auto"/>
                <w:sz w:val="24"/>
                <w:highlight w:val="none"/>
              </w:rPr>
            </w:pPr>
            <w:r>
              <w:rPr>
                <w:rFonts w:ascii="宋体" w:hAnsi="宋体"/>
                <w:color w:val="auto"/>
                <w:sz w:val="24"/>
                <w:highlight w:val="none"/>
              </w:rPr>
              <w:t>1</w:t>
            </w:r>
          </w:p>
        </w:tc>
        <w:tc>
          <w:tcPr>
            <w:tcW w:w="2160" w:type="dxa"/>
            <w:noWrap w:val="0"/>
            <w:vAlign w:val="top"/>
          </w:tcPr>
          <w:p>
            <w:pPr>
              <w:pStyle w:val="33"/>
              <w:spacing w:before="164" w:line="360" w:lineRule="auto"/>
              <w:ind w:left="578" w:right="571"/>
              <w:jc w:val="center"/>
              <w:rPr>
                <w:rFonts w:hint="eastAsia" w:ascii="宋体" w:hAnsi="宋体"/>
                <w:color w:val="auto"/>
                <w:sz w:val="24"/>
                <w:highlight w:val="none"/>
              </w:rPr>
            </w:pPr>
            <w:r>
              <w:rPr>
                <w:rFonts w:hint="eastAsia" w:ascii="宋体" w:hAnsi="宋体"/>
                <w:color w:val="auto"/>
                <w:sz w:val="24"/>
                <w:highlight w:val="none"/>
              </w:rPr>
              <w:t>开工时</w:t>
            </w:r>
          </w:p>
        </w:tc>
        <w:tc>
          <w:tcPr>
            <w:tcW w:w="2095"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820" w:type="dxa"/>
            <w:noWrap w:val="0"/>
            <w:vAlign w:val="top"/>
          </w:tcPr>
          <w:p>
            <w:pPr>
              <w:pStyle w:val="33"/>
              <w:spacing w:before="96" w:line="360" w:lineRule="auto"/>
              <w:ind w:left="106"/>
              <w:rPr>
                <w:rFonts w:hint="eastAsia" w:ascii="宋体" w:hAnsi="宋体"/>
                <w:color w:val="auto"/>
                <w:sz w:val="24"/>
                <w:highlight w:val="none"/>
              </w:rPr>
            </w:pPr>
            <w:r>
              <w:rPr>
                <w:rFonts w:hint="eastAsia" w:ascii="宋体" w:hAnsi="宋体"/>
                <w:color w:val="auto"/>
                <w:sz w:val="24"/>
                <w:highlight w:val="none"/>
              </w:rPr>
              <w:t>4. 工程承包合同及其他</w:t>
            </w:r>
          </w:p>
        </w:tc>
        <w:tc>
          <w:tcPr>
            <w:tcW w:w="1500" w:type="dxa"/>
            <w:noWrap w:val="0"/>
            <w:vAlign w:val="top"/>
          </w:tcPr>
          <w:p>
            <w:pPr>
              <w:pStyle w:val="33"/>
              <w:spacing w:before="163" w:line="360" w:lineRule="auto"/>
              <w:ind w:left="9"/>
              <w:jc w:val="center"/>
              <w:rPr>
                <w:rFonts w:ascii="宋体" w:hAnsi="宋体"/>
                <w:color w:val="auto"/>
                <w:sz w:val="24"/>
                <w:highlight w:val="none"/>
              </w:rPr>
            </w:pPr>
            <w:r>
              <w:rPr>
                <w:rFonts w:ascii="宋体" w:hAnsi="宋体"/>
                <w:color w:val="auto"/>
                <w:sz w:val="24"/>
                <w:highlight w:val="none"/>
              </w:rPr>
              <w:t>1</w:t>
            </w:r>
          </w:p>
        </w:tc>
        <w:tc>
          <w:tcPr>
            <w:tcW w:w="2160" w:type="dxa"/>
            <w:noWrap w:val="0"/>
            <w:vAlign w:val="top"/>
          </w:tcPr>
          <w:p>
            <w:pPr>
              <w:pStyle w:val="33"/>
              <w:spacing w:before="163" w:line="360" w:lineRule="auto"/>
              <w:ind w:left="578" w:right="571"/>
              <w:jc w:val="center"/>
              <w:rPr>
                <w:rFonts w:hint="eastAsia" w:ascii="宋体" w:hAnsi="宋体"/>
                <w:color w:val="auto"/>
                <w:sz w:val="24"/>
                <w:highlight w:val="none"/>
              </w:rPr>
            </w:pPr>
            <w:r>
              <w:rPr>
                <w:rFonts w:hint="eastAsia" w:ascii="宋体" w:hAnsi="宋体"/>
                <w:color w:val="auto"/>
                <w:sz w:val="24"/>
                <w:highlight w:val="none"/>
              </w:rPr>
              <w:t>开工时</w:t>
            </w:r>
          </w:p>
        </w:tc>
        <w:tc>
          <w:tcPr>
            <w:tcW w:w="2095"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820" w:type="dxa"/>
            <w:noWrap w:val="0"/>
            <w:vAlign w:val="top"/>
          </w:tcPr>
          <w:p>
            <w:pPr>
              <w:pStyle w:val="33"/>
              <w:spacing w:before="163" w:line="360" w:lineRule="auto"/>
              <w:ind w:left="106"/>
              <w:rPr>
                <w:rFonts w:hint="eastAsia" w:ascii="宋体" w:hAnsi="宋体"/>
                <w:color w:val="auto"/>
                <w:sz w:val="24"/>
                <w:highlight w:val="none"/>
              </w:rPr>
            </w:pPr>
            <w:r>
              <w:rPr>
                <w:rFonts w:hint="eastAsia" w:ascii="宋体" w:hAnsi="宋体"/>
                <w:color w:val="auto"/>
                <w:sz w:val="24"/>
                <w:highlight w:val="none"/>
              </w:rPr>
              <w:t>5. 施工许可文件</w:t>
            </w:r>
          </w:p>
        </w:tc>
        <w:tc>
          <w:tcPr>
            <w:tcW w:w="1500" w:type="dxa"/>
            <w:noWrap w:val="0"/>
            <w:vAlign w:val="top"/>
          </w:tcPr>
          <w:p>
            <w:pPr>
              <w:pStyle w:val="33"/>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60" w:type="dxa"/>
            <w:noWrap w:val="0"/>
            <w:vAlign w:val="top"/>
          </w:tcPr>
          <w:p>
            <w:pPr>
              <w:pStyle w:val="33"/>
              <w:spacing w:line="360" w:lineRule="auto"/>
              <w:rPr>
                <w:rFonts w:ascii="宋体" w:hAnsi="宋体"/>
                <w:color w:val="auto"/>
                <w:sz w:val="24"/>
                <w:highlight w:val="none"/>
              </w:rPr>
            </w:pPr>
          </w:p>
        </w:tc>
        <w:tc>
          <w:tcPr>
            <w:tcW w:w="2095"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820" w:type="dxa"/>
            <w:noWrap w:val="0"/>
            <w:vAlign w:val="top"/>
          </w:tcPr>
          <w:p>
            <w:pPr>
              <w:pStyle w:val="33"/>
              <w:spacing w:before="165" w:line="360" w:lineRule="auto"/>
              <w:ind w:left="106"/>
              <w:rPr>
                <w:rFonts w:hint="eastAsia" w:ascii="宋体" w:hAnsi="宋体"/>
                <w:color w:val="auto"/>
                <w:sz w:val="24"/>
                <w:highlight w:val="none"/>
              </w:rPr>
            </w:pPr>
            <w:r>
              <w:rPr>
                <w:rFonts w:hint="eastAsia" w:ascii="宋体" w:hAnsi="宋体"/>
                <w:color w:val="auto"/>
                <w:sz w:val="24"/>
                <w:highlight w:val="none"/>
              </w:rPr>
              <w:t>6. 其他文件</w:t>
            </w:r>
          </w:p>
        </w:tc>
        <w:tc>
          <w:tcPr>
            <w:tcW w:w="1500" w:type="dxa"/>
            <w:noWrap w:val="0"/>
            <w:vAlign w:val="top"/>
          </w:tcPr>
          <w:p>
            <w:pPr>
              <w:pStyle w:val="33"/>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60" w:type="dxa"/>
            <w:noWrap w:val="0"/>
            <w:vAlign w:val="top"/>
          </w:tcPr>
          <w:p>
            <w:pPr>
              <w:pStyle w:val="33"/>
              <w:spacing w:line="360" w:lineRule="auto"/>
              <w:rPr>
                <w:rFonts w:ascii="宋体" w:hAnsi="宋体"/>
                <w:color w:val="auto"/>
                <w:sz w:val="24"/>
                <w:highlight w:val="none"/>
              </w:rPr>
            </w:pPr>
          </w:p>
        </w:tc>
        <w:tc>
          <w:tcPr>
            <w:tcW w:w="2095"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820" w:type="dxa"/>
            <w:noWrap w:val="0"/>
            <w:vAlign w:val="top"/>
          </w:tcPr>
          <w:p>
            <w:pPr>
              <w:pStyle w:val="33"/>
              <w:spacing w:line="360" w:lineRule="auto"/>
              <w:rPr>
                <w:rFonts w:ascii="宋体" w:hAnsi="宋体"/>
                <w:color w:val="auto"/>
                <w:sz w:val="24"/>
                <w:highlight w:val="none"/>
              </w:rPr>
            </w:pPr>
          </w:p>
        </w:tc>
        <w:tc>
          <w:tcPr>
            <w:tcW w:w="1500" w:type="dxa"/>
            <w:noWrap w:val="0"/>
            <w:vAlign w:val="top"/>
          </w:tcPr>
          <w:p>
            <w:pPr>
              <w:pStyle w:val="33"/>
              <w:spacing w:line="360" w:lineRule="auto"/>
              <w:rPr>
                <w:rFonts w:ascii="宋体" w:hAnsi="宋体"/>
                <w:color w:val="auto"/>
                <w:sz w:val="24"/>
                <w:highlight w:val="none"/>
              </w:rPr>
            </w:pPr>
          </w:p>
        </w:tc>
        <w:tc>
          <w:tcPr>
            <w:tcW w:w="2160" w:type="dxa"/>
            <w:noWrap w:val="0"/>
            <w:vAlign w:val="top"/>
          </w:tcPr>
          <w:p>
            <w:pPr>
              <w:pStyle w:val="33"/>
              <w:spacing w:line="360" w:lineRule="auto"/>
              <w:rPr>
                <w:rFonts w:ascii="宋体" w:hAnsi="宋体"/>
                <w:color w:val="auto"/>
                <w:sz w:val="24"/>
                <w:highlight w:val="none"/>
              </w:rPr>
            </w:pPr>
          </w:p>
        </w:tc>
        <w:tc>
          <w:tcPr>
            <w:tcW w:w="2095" w:type="dxa"/>
            <w:noWrap w:val="0"/>
            <w:vAlign w:val="top"/>
          </w:tcPr>
          <w:p>
            <w:pPr>
              <w:pStyle w:val="33"/>
              <w:spacing w:line="360" w:lineRule="auto"/>
              <w:rPr>
                <w:rFonts w:ascii="宋体" w:hAnsi="宋体"/>
                <w:color w:val="auto"/>
                <w:sz w:val="24"/>
                <w:highlight w:val="none"/>
              </w:rPr>
            </w:pPr>
          </w:p>
        </w:tc>
      </w:tr>
    </w:tbl>
    <w:p>
      <w:pPr>
        <w:pStyle w:val="5"/>
        <w:keepNext w:val="0"/>
        <w:keepLines w:val="0"/>
        <w:widowControl w:val="0"/>
        <w:tabs>
          <w:tab w:val="left" w:pos="961"/>
        </w:tabs>
        <w:autoSpaceDE w:val="0"/>
        <w:autoSpaceDN w:val="0"/>
        <w:spacing w:before="121" w:after="0" w:line="360" w:lineRule="auto"/>
        <w:ind w:left="395" w:firstLine="0"/>
        <w:rPr>
          <w:rFonts w:hint="eastAsia" w:ascii="宋体" w:hAnsi="宋体" w:eastAsia="宋体"/>
          <w:color w:val="auto"/>
          <w:highlight w:val="none"/>
        </w:rPr>
      </w:pPr>
    </w:p>
    <w:p>
      <w:pPr>
        <w:pStyle w:val="5"/>
        <w:keepNext w:val="0"/>
        <w:keepLines w:val="0"/>
        <w:widowControl w:val="0"/>
        <w:tabs>
          <w:tab w:val="left" w:pos="961"/>
        </w:tabs>
        <w:autoSpaceDE w:val="0"/>
        <w:autoSpaceDN w:val="0"/>
        <w:spacing w:before="121" w:after="0" w:line="360" w:lineRule="auto"/>
        <w:ind w:left="395" w:firstLine="0"/>
        <w:rPr>
          <w:rFonts w:hint="eastAsia" w:ascii="宋体" w:hAnsi="宋体" w:eastAsia="宋体"/>
          <w:color w:val="auto"/>
          <w:highlight w:val="none"/>
        </w:rPr>
      </w:pPr>
    </w:p>
    <w:p>
      <w:pPr>
        <w:pStyle w:val="5"/>
        <w:keepNext w:val="0"/>
        <w:keepLines w:val="0"/>
        <w:widowControl w:val="0"/>
        <w:tabs>
          <w:tab w:val="left" w:pos="961"/>
        </w:tabs>
        <w:autoSpaceDE w:val="0"/>
        <w:autoSpaceDN w:val="0"/>
        <w:spacing w:before="121" w:after="0" w:line="360" w:lineRule="auto"/>
        <w:ind w:left="395" w:firstLine="0"/>
        <w:rPr>
          <w:rFonts w:hint="eastAsia" w:ascii="宋体" w:hAnsi="宋体" w:eastAsia="宋体"/>
          <w:color w:val="auto"/>
          <w:highlight w:val="none"/>
        </w:rPr>
      </w:pPr>
      <w:r>
        <w:rPr>
          <w:rFonts w:hint="eastAsia" w:ascii="宋体" w:hAnsi="宋体" w:eastAsia="宋体"/>
          <w:color w:val="auto"/>
          <w:highlight w:val="none"/>
        </w:rPr>
        <w:t>B-</w:t>
      </w:r>
      <w:r>
        <w:rPr>
          <w:rFonts w:hint="eastAsia" w:ascii="宋体" w:hAnsi="宋体" w:eastAsia="宋体"/>
          <w:color w:val="auto"/>
          <w:highlight w:val="none"/>
          <w:lang w:val="en-US" w:eastAsia="zh-CN"/>
        </w:rPr>
        <w:t>4</w:t>
      </w:r>
      <w:r>
        <w:rPr>
          <w:rFonts w:hint="eastAsia" w:ascii="宋体" w:hAnsi="宋体" w:eastAsia="宋体"/>
          <w:color w:val="auto"/>
          <w:highlight w:val="none"/>
        </w:rPr>
        <w:t xml:space="preserve">   委托人提供的设备</w:t>
      </w:r>
    </w:p>
    <w:p>
      <w:pPr>
        <w:pStyle w:val="7"/>
        <w:spacing w:before="5"/>
        <w:rPr>
          <w:rFonts w:ascii="宋体" w:hAnsi="宋体"/>
          <w:b/>
          <w:color w:val="auto"/>
          <w:sz w:val="14"/>
          <w:highlight w:val="none"/>
        </w:rPr>
      </w:pPr>
    </w:p>
    <w:tbl>
      <w:tblPr>
        <w:tblStyle w:val="19"/>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5"/>
        <w:gridCol w:w="1626"/>
        <w:gridCol w:w="2178"/>
        <w:gridCol w:w="1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3055" w:type="dxa"/>
            <w:noWrap w:val="0"/>
            <w:vAlign w:val="top"/>
          </w:tcPr>
          <w:p>
            <w:pPr>
              <w:pStyle w:val="33"/>
              <w:spacing w:before="157" w:line="360" w:lineRule="auto"/>
              <w:ind w:left="1267" w:right="1258"/>
              <w:jc w:val="center"/>
              <w:rPr>
                <w:rFonts w:hint="eastAsia" w:ascii="宋体" w:hAnsi="宋体"/>
                <w:color w:val="auto"/>
                <w:sz w:val="24"/>
                <w:highlight w:val="none"/>
              </w:rPr>
            </w:pPr>
            <w:r>
              <w:rPr>
                <w:rFonts w:hint="eastAsia" w:ascii="宋体" w:hAnsi="宋体"/>
                <w:color w:val="auto"/>
                <w:sz w:val="24"/>
                <w:highlight w:val="none"/>
              </w:rPr>
              <w:t>名称</w:t>
            </w:r>
          </w:p>
        </w:tc>
        <w:tc>
          <w:tcPr>
            <w:tcW w:w="1626" w:type="dxa"/>
            <w:noWrap w:val="0"/>
            <w:vAlign w:val="top"/>
          </w:tcPr>
          <w:p>
            <w:pPr>
              <w:pStyle w:val="33"/>
              <w:spacing w:before="157" w:line="360" w:lineRule="auto"/>
              <w:ind w:left="552" w:right="544"/>
              <w:jc w:val="center"/>
              <w:rPr>
                <w:rFonts w:hint="eastAsia" w:ascii="宋体" w:hAnsi="宋体"/>
                <w:color w:val="auto"/>
                <w:sz w:val="24"/>
                <w:highlight w:val="none"/>
              </w:rPr>
            </w:pPr>
            <w:r>
              <w:rPr>
                <w:rFonts w:hint="eastAsia" w:ascii="宋体" w:hAnsi="宋体"/>
                <w:color w:val="auto"/>
                <w:sz w:val="24"/>
                <w:highlight w:val="none"/>
              </w:rPr>
              <w:t>数量</w:t>
            </w:r>
          </w:p>
        </w:tc>
        <w:tc>
          <w:tcPr>
            <w:tcW w:w="2178" w:type="dxa"/>
            <w:noWrap w:val="0"/>
            <w:vAlign w:val="top"/>
          </w:tcPr>
          <w:p>
            <w:pPr>
              <w:pStyle w:val="33"/>
              <w:spacing w:before="157" w:line="360" w:lineRule="auto"/>
              <w:ind w:left="489"/>
              <w:rPr>
                <w:rFonts w:hint="eastAsia" w:ascii="宋体" w:hAnsi="宋体"/>
                <w:color w:val="auto"/>
                <w:sz w:val="24"/>
                <w:highlight w:val="none"/>
              </w:rPr>
            </w:pPr>
            <w:r>
              <w:rPr>
                <w:rFonts w:hint="eastAsia" w:ascii="宋体" w:hAnsi="宋体"/>
                <w:color w:val="auto"/>
                <w:sz w:val="24"/>
                <w:highlight w:val="none"/>
              </w:rPr>
              <w:t>型号与规格</w:t>
            </w:r>
          </w:p>
        </w:tc>
        <w:tc>
          <w:tcPr>
            <w:tcW w:w="1902" w:type="dxa"/>
            <w:noWrap w:val="0"/>
            <w:vAlign w:val="top"/>
          </w:tcPr>
          <w:p>
            <w:pPr>
              <w:pStyle w:val="33"/>
              <w:spacing w:before="157" w:line="360" w:lineRule="auto"/>
              <w:ind w:left="471"/>
              <w:rPr>
                <w:rFonts w:hint="eastAsia" w:ascii="宋体" w:hAnsi="宋体"/>
                <w:color w:val="auto"/>
                <w:sz w:val="24"/>
                <w:highlight w:val="none"/>
              </w:rPr>
            </w:pPr>
            <w:r>
              <w:rPr>
                <w:rFonts w:hint="eastAsia" w:ascii="宋体" w:hAnsi="宋体"/>
                <w:color w:val="auto"/>
                <w:sz w:val="24"/>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3055" w:type="dxa"/>
            <w:noWrap w:val="0"/>
            <w:vAlign w:val="top"/>
          </w:tcPr>
          <w:p>
            <w:pPr>
              <w:pStyle w:val="33"/>
              <w:spacing w:before="158" w:line="360" w:lineRule="auto"/>
              <w:ind w:left="106"/>
              <w:rPr>
                <w:rFonts w:hint="eastAsia" w:ascii="宋体" w:hAnsi="宋体"/>
                <w:color w:val="auto"/>
                <w:sz w:val="24"/>
                <w:highlight w:val="none"/>
              </w:rPr>
            </w:pPr>
            <w:r>
              <w:rPr>
                <w:rFonts w:hint="eastAsia" w:ascii="宋体" w:hAnsi="宋体"/>
                <w:color w:val="auto"/>
                <w:sz w:val="24"/>
                <w:highlight w:val="none"/>
              </w:rPr>
              <w:t>1. 通讯设备</w:t>
            </w:r>
          </w:p>
        </w:tc>
        <w:tc>
          <w:tcPr>
            <w:tcW w:w="1626" w:type="dxa"/>
            <w:noWrap w:val="0"/>
            <w:vAlign w:val="top"/>
          </w:tcPr>
          <w:p>
            <w:pPr>
              <w:pStyle w:val="33"/>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78" w:type="dxa"/>
            <w:noWrap w:val="0"/>
            <w:vAlign w:val="top"/>
          </w:tcPr>
          <w:p>
            <w:pPr>
              <w:pStyle w:val="33"/>
              <w:spacing w:line="360" w:lineRule="auto"/>
              <w:rPr>
                <w:rFonts w:ascii="宋体" w:hAnsi="宋体"/>
                <w:color w:val="auto"/>
                <w:sz w:val="24"/>
                <w:highlight w:val="none"/>
              </w:rPr>
            </w:pPr>
          </w:p>
        </w:tc>
        <w:tc>
          <w:tcPr>
            <w:tcW w:w="1902"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3055" w:type="dxa"/>
            <w:noWrap w:val="0"/>
            <w:vAlign w:val="top"/>
          </w:tcPr>
          <w:p>
            <w:pPr>
              <w:pStyle w:val="33"/>
              <w:spacing w:before="157" w:line="360" w:lineRule="auto"/>
              <w:ind w:left="106"/>
              <w:rPr>
                <w:rFonts w:hint="eastAsia" w:ascii="宋体" w:hAnsi="宋体"/>
                <w:color w:val="auto"/>
                <w:sz w:val="24"/>
                <w:highlight w:val="none"/>
              </w:rPr>
            </w:pPr>
            <w:r>
              <w:rPr>
                <w:rFonts w:hint="eastAsia" w:ascii="宋体" w:hAnsi="宋体"/>
                <w:color w:val="auto"/>
                <w:sz w:val="24"/>
                <w:highlight w:val="none"/>
              </w:rPr>
              <w:t>2. 办公设备</w:t>
            </w:r>
          </w:p>
        </w:tc>
        <w:tc>
          <w:tcPr>
            <w:tcW w:w="1626" w:type="dxa"/>
            <w:noWrap w:val="0"/>
            <w:vAlign w:val="top"/>
          </w:tcPr>
          <w:p>
            <w:pPr>
              <w:pStyle w:val="33"/>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78" w:type="dxa"/>
            <w:noWrap w:val="0"/>
            <w:vAlign w:val="top"/>
          </w:tcPr>
          <w:p>
            <w:pPr>
              <w:pStyle w:val="33"/>
              <w:spacing w:line="360" w:lineRule="auto"/>
              <w:rPr>
                <w:rFonts w:ascii="宋体" w:hAnsi="宋体"/>
                <w:color w:val="auto"/>
                <w:sz w:val="24"/>
                <w:highlight w:val="none"/>
              </w:rPr>
            </w:pPr>
          </w:p>
        </w:tc>
        <w:tc>
          <w:tcPr>
            <w:tcW w:w="1902"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3055" w:type="dxa"/>
            <w:noWrap w:val="0"/>
            <w:vAlign w:val="top"/>
          </w:tcPr>
          <w:p>
            <w:pPr>
              <w:pStyle w:val="33"/>
              <w:spacing w:before="159" w:line="360" w:lineRule="auto"/>
              <w:ind w:left="106"/>
              <w:rPr>
                <w:rFonts w:hint="eastAsia" w:ascii="宋体" w:hAnsi="宋体"/>
                <w:color w:val="auto"/>
                <w:sz w:val="24"/>
                <w:highlight w:val="none"/>
              </w:rPr>
            </w:pPr>
            <w:r>
              <w:rPr>
                <w:rFonts w:hint="eastAsia" w:ascii="宋体" w:hAnsi="宋体"/>
                <w:color w:val="auto"/>
                <w:sz w:val="24"/>
                <w:highlight w:val="none"/>
              </w:rPr>
              <w:t>3. 交通工具</w:t>
            </w:r>
          </w:p>
        </w:tc>
        <w:tc>
          <w:tcPr>
            <w:tcW w:w="1626" w:type="dxa"/>
            <w:noWrap w:val="0"/>
            <w:vAlign w:val="top"/>
          </w:tcPr>
          <w:p>
            <w:pPr>
              <w:pStyle w:val="33"/>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78" w:type="dxa"/>
            <w:noWrap w:val="0"/>
            <w:vAlign w:val="top"/>
          </w:tcPr>
          <w:p>
            <w:pPr>
              <w:pStyle w:val="33"/>
              <w:spacing w:line="360" w:lineRule="auto"/>
              <w:rPr>
                <w:rFonts w:ascii="宋体" w:hAnsi="宋体"/>
                <w:color w:val="auto"/>
                <w:sz w:val="24"/>
                <w:highlight w:val="none"/>
              </w:rPr>
            </w:pPr>
          </w:p>
        </w:tc>
        <w:tc>
          <w:tcPr>
            <w:tcW w:w="1902"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3055" w:type="dxa"/>
            <w:noWrap w:val="0"/>
            <w:vAlign w:val="top"/>
          </w:tcPr>
          <w:p>
            <w:pPr>
              <w:pStyle w:val="33"/>
              <w:spacing w:before="157" w:line="360" w:lineRule="auto"/>
              <w:ind w:left="106"/>
              <w:rPr>
                <w:rFonts w:hint="eastAsia" w:ascii="宋体" w:hAnsi="宋体"/>
                <w:color w:val="auto"/>
                <w:sz w:val="24"/>
                <w:highlight w:val="none"/>
              </w:rPr>
            </w:pPr>
            <w:r>
              <w:rPr>
                <w:rFonts w:hint="eastAsia" w:ascii="宋体" w:hAnsi="宋体"/>
                <w:color w:val="auto"/>
                <w:sz w:val="24"/>
                <w:highlight w:val="none"/>
              </w:rPr>
              <w:t>4. 检测和试验设备</w:t>
            </w:r>
          </w:p>
        </w:tc>
        <w:tc>
          <w:tcPr>
            <w:tcW w:w="1626" w:type="dxa"/>
            <w:noWrap w:val="0"/>
            <w:vAlign w:val="top"/>
          </w:tcPr>
          <w:p>
            <w:pPr>
              <w:pStyle w:val="33"/>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78" w:type="dxa"/>
            <w:noWrap w:val="0"/>
            <w:vAlign w:val="top"/>
          </w:tcPr>
          <w:p>
            <w:pPr>
              <w:pStyle w:val="33"/>
              <w:spacing w:line="360" w:lineRule="auto"/>
              <w:rPr>
                <w:rFonts w:ascii="宋体" w:hAnsi="宋体"/>
                <w:color w:val="auto"/>
                <w:sz w:val="24"/>
                <w:highlight w:val="none"/>
              </w:rPr>
            </w:pPr>
          </w:p>
        </w:tc>
        <w:tc>
          <w:tcPr>
            <w:tcW w:w="1902" w:type="dxa"/>
            <w:noWrap w:val="0"/>
            <w:vAlign w:val="top"/>
          </w:tcPr>
          <w:p>
            <w:pPr>
              <w:pStyle w:val="33"/>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3055" w:type="dxa"/>
            <w:noWrap w:val="0"/>
            <w:vAlign w:val="top"/>
          </w:tcPr>
          <w:p>
            <w:pPr>
              <w:pStyle w:val="33"/>
              <w:spacing w:line="360" w:lineRule="auto"/>
              <w:rPr>
                <w:rFonts w:ascii="宋体" w:hAnsi="宋体"/>
                <w:color w:val="auto"/>
                <w:sz w:val="24"/>
                <w:highlight w:val="none"/>
              </w:rPr>
            </w:pPr>
          </w:p>
        </w:tc>
        <w:tc>
          <w:tcPr>
            <w:tcW w:w="1626" w:type="dxa"/>
            <w:noWrap w:val="0"/>
            <w:vAlign w:val="top"/>
          </w:tcPr>
          <w:p>
            <w:pPr>
              <w:pStyle w:val="33"/>
              <w:spacing w:line="360" w:lineRule="auto"/>
              <w:rPr>
                <w:rFonts w:ascii="宋体" w:hAnsi="宋体"/>
                <w:color w:val="auto"/>
                <w:sz w:val="24"/>
                <w:highlight w:val="none"/>
              </w:rPr>
            </w:pPr>
          </w:p>
        </w:tc>
        <w:tc>
          <w:tcPr>
            <w:tcW w:w="2178" w:type="dxa"/>
            <w:noWrap w:val="0"/>
            <w:vAlign w:val="top"/>
          </w:tcPr>
          <w:p>
            <w:pPr>
              <w:pStyle w:val="33"/>
              <w:spacing w:line="360" w:lineRule="auto"/>
              <w:rPr>
                <w:rFonts w:ascii="宋体" w:hAnsi="宋体"/>
                <w:color w:val="auto"/>
                <w:sz w:val="24"/>
                <w:highlight w:val="none"/>
              </w:rPr>
            </w:pPr>
          </w:p>
        </w:tc>
        <w:tc>
          <w:tcPr>
            <w:tcW w:w="1902" w:type="dxa"/>
            <w:noWrap w:val="0"/>
            <w:vAlign w:val="top"/>
          </w:tcPr>
          <w:p>
            <w:pPr>
              <w:pStyle w:val="33"/>
              <w:spacing w:line="360" w:lineRule="auto"/>
              <w:rPr>
                <w:rFonts w:ascii="宋体" w:hAnsi="宋体"/>
                <w:color w:val="auto"/>
                <w:sz w:val="24"/>
                <w:highlight w:val="none"/>
              </w:rPr>
            </w:pPr>
          </w:p>
        </w:tc>
      </w:tr>
    </w:tbl>
    <w:p>
      <w:pPr>
        <w:spacing w:line="360" w:lineRule="auto"/>
        <w:rPr>
          <w:color w:val="auto"/>
          <w:highlight w:val="none"/>
        </w:rPr>
      </w:pPr>
    </w:p>
    <w:p>
      <w:pPr>
        <w:rPr>
          <w:color w:val="auto"/>
          <w:highlight w:val="none"/>
        </w:rPr>
      </w:pPr>
    </w:p>
    <w:p>
      <w:pPr>
        <w:rPr>
          <w:rFonts w:hint="eastAsia" w:ascii="宋体" w:hAnsi="宋体" w:eastAsia="宋体" w:cs="宋体"/>
          <w:color w:val="auto"/>
          <w:sz w:val="28"/>
          <w:szCs w:val="28"/>
          <w:highlight w:val="none"/>
        </w:rPr>
      </w:pPr>
    </w:p>
    <w:sectPr>
      <w:headerReference r:id="rId8" w:type="default"/>
      <w:footerReference r:id="rId9" w:type="default"/>
      <w:pgSz w:w="11906" w:h="16838"/>
      <w:pgMar w:top="1417" w:right="1417" w:bottom="1417"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Bold">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SzwjswBAACgAwAADgAAAAAAAAABACAAAAAfAQAAZHJzL2Uy&#10;b0RvYy54bWxQSwUGAAAAAAYABgBZAQAAX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Y57hZywEAAKADAAAOAAAAAAAAAAEAIAAAAB8BAABkcnMvZTJv&#10;RG9jLnhtbFBLBQYAAAAABgAGAFkBAABc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2"/>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ndu9gMwBAACgAwAADgAAAAAAAAABACAAAAAfAQAAZHJzL2Uy&#10;b0RvYy54bWxQSwUGAAAAAAYABgBZAQAAX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p3tBaywEAAKADAAAOAAAAAAAAAAEAIAAAAB8BAABkcnMvZTJv&#10;RG9jLnhtbFBLBQYAAAAABgAGAFkBAABc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4CFA9"/>
    <w:multiLevelType w:val="multilevel"/>
    <w:tmpl w:val="BB64CFA9"/>
    <w:lvl w:ilvl="0" w:tentative="0">
      <w:start w:val="2"/>
      <w:numFmt w:val="upperLetter"/>
      <w:lvlText w:val="%1"/>
      <w:lvlJc w:val="left"/>
      <w:pPr>
        <w:ind w:left="1102" w:hanging="706"/>
      </w:pPr>
      <w:rPr>
        <w:rFonts w:hint="default"/>
        <w:lang w:val="zh-CN" w:eastAsia="zh-CN" w:bidi="zh-CN"/>
      </w:rPr>
    </w:lvl>
    <w:lvl w:ilvl="1" w:tentative="0">
      <w:start w:val="2"/>
      <w:numFmt w:val="decimal"/>
      <w:lvlText w:val="%1-%2"/>
      <w:lvlJc w:val="left"/>
      <w:pPr>
        <w:ind w:left="1102" w:hanging="706"/>
      </w:pPr>
      <w:rPr>
        <w:rFonts w:hint="default" w:ascii="仿宋_GB2312" w:hAnsi="仿宋_GB2312" w:eastAsia="仿宋_GB2312" w:cs="仿宋_GB2312"/>
        <w:b/>
        <w:bCs/>
        <w:spacing w:val="0"/>
        <w:w w:val="99"/>
        <w:sz w:val="28"/>
        <w:szCs w:val="28"/>
        <w:lang w:val="zh-CN" w:eastAsia="zh-CN" w:bidi="zh-CN"/>
      </w:rPr>
    </w:lvl>
    <w:lvl w:ilvl="2" w:tentative="0">
      <w:start w:val="0"/>
      <w:numFmt w:val="bullet"/>
      <w:lvlText w:val="•"/>
      <w:lvlJc w:val="left"/>
      <w:pPr>
        <w:ind w:left="2793" w:hanging="706"/>
      </w:pPr>
      <w:rPr>
        <w:rFonts w:hint="default"/>
        <w:lang w:val="zh-CN" w:eastAsia="zh-CN" w:bidi="zh-CN"/>
      </w:rPr>
    </w:lvl>
    <w:lvl w:ilvl="3" w:tentative="0">
      <w:start w:val="0"/>
      <w:numFmt w:val="bullet"/>
      <w:lvlText w:val="•"/>
      <w:lvlJc w:val="left"/>
      <w:pPr>
        <w:ind w:left="3639" w:hanging="706"/>
      </w:pPr>
      <w:rPr>
        <w:rFonts w:hint="default"/>
        <w:lang w:val="zh-CN" w:eastAsia="zh-CN" w:bidi="zh-CN"/>
      </w:rPr>
    </w:lvl>
    <w:lvl w:ilvl="4" w:tentative="0">
      <w:start w:val="0"/>
      <w:numFmt w:val="bullet"/>
      <w:lvlText w:val="•"/>
      <w:lvlJc w:val="left"/>
      <w:pPr>
        <w:ind w:left="4486" w:hanging="706"/>
      </w:pPr>
      <w:rPr>
        <w:rFonts w:hint="default"/>
        <w:lang w:val="zh-CN" w:eastAsia="zh-CN" w:bidi="zh-CN"/>
      </w:rPr>
    </w:lvl>
    <w:lvl w:ilvl="5" w:tentative="0">
      <w:start w:val="0"/>
      <w:numFmt w:val="bullet"/>
      <w:lvlText w:val="•"/>
      <w:lvlJc w:val="left"/>
      <w:pPr>
        <w:ind w:left="5333" w:hanging="706"/>
      </w:pPr>
      <w:rPr>
        <w:rFonts w:hint="default"/>
        <w:lang w:val="zh-CN" w:eastAsia="zh-CN" w:bidi="zh-CN"/>
      </w:rPr>
    </w:lvl>
    <w:lvl w:ilvl="6" w:tentative="0">
      <w:start w:val="0"/>
      <w:numFmt w:val="bullet"/>
      <w:lvlText w:val="•"/>
      <w:lvlJc w:val="left"/>
      <w:pPr>
        <w:ind w:left="6179" w:hanging="706"/>
      </w:pPr>
      <w:rPr>
        <w:rFonts w:hint="default"/>
        <w:lang w:val="zh-CN" w:eastAsia="zh-CN" w:bidi="zh-CN"/>
      </w:rPr>
    </w:lvl>
    <w:lvl w:ilvl="7" w:tentative="0">
      <w:start w:val="0"/>
      <w:numFmt w:val="bullet"/>
      <w:lvlText w:val="•"/>
      <w:lvlJc w:val="left"/>
      <w:pPr>
        <w:ind w:left="7026" w:hanging="706"/>
      </w:pPr>
      <w:rPr>
        <w:rFonts w:hint="default"/>
        <w:lang w:val="zh-CN" w:eastAsia="zh-CN" w:bidi="zh-CN"/>
      </w:rPr>
    </w:lvl>
    <w:lvl w:ilvl="8" w:tentative="0">
      <w:start w:val="0"/>
      <w:numFmt w:val="bullet"/>
      <w:lvlText w:val="•"/>
      <w:lvlJc w:val="left"/>
      <w:pPr>
        <w:ind w:left="7872" w:hanging="706"/>
      </w:pPr>
      <w:rPr>
        <w:rFonts w:hint="default"/>
        <w:lang w:val="zh-CN" w:eastAsia="zh-CN" w:bidi="zh-CN"/>
      </w:rPr>
    </w:lvl>
  </w:abstractNum>
  <w:abstractNum w:abstractNumId="1">
    <w:nsid w:val="0000000B"/>
    <w:multiLevelType w:val="multilevel"/>
    <w:tmpl w:val="0000000B"/>
    <w:lvl w:ilvl="0" w:tentative="0">
      <w:start w:val="1"/>
      <w:numFmt w:val="decimal"/>
      <w:lvlText w:val="%1."/>
      <w:lvlJc w:val="left"/>
      <w:pPr>
        <w:ind w:left="955" w:hanging="281"/>
      </w:pPr>
      <w:rPr>
        <w:rFonts w:hint="default" w:ascii="宋体" w:hAnsi="宋体" w:eastAsia="宋体" w:cs="宋体"/>
        <w:w w:val="100"/>
        <w:sz w:val="26"/>
        <w:szCs w:val="26"/>
        <w:lang w:val="zh-CN" w:eastAsia="zh-CN" w:bidi="zh-CN"/>
      </w:rPr>
    </w:lvl>
    <w:lvl w:ilvl="1" w:tentative="0">
      <w:start w:val="0"/>
      <w:numFmt w:val="bullet"/>
      <w:lvlText w:val="•"/>
      <w:lvlJc w:val="left"/>
      <w:pPr>
        <w:ind w:left="1866" w:hanging="281"/>
      </w:pPr>
      <w:rPr>
        <w:rFonts w:hint="default"/>
        <w:lang w:val="zh-CN" w:eastAsia="zh-CN" w:bidi="zh-CN"/>
      </w:rPr>
    </w:lvl>
    <w:lvl w:ilvl="2" w:tentative="0">
      <w:start w:val="0"/>
      <w:numFmt w:val="bullet"/>
      <w:lvlText w:val="•"/>
      <w:lvlJc w:val="left"/>
      <w:pPr>
        <w:ind w:left="2773" w:hanging="281"/>
      </w:pPr>
      <w:rPr>
        <w:rFonts w:hint="default"/>
        <w:lang w:val="zh-CN" w:eastAsia="zh-CN" w:bidi="zh-CN"/>
      </w:rPr>
    </w:lvl>
    <w:lvl w:ilvl="3" w:tentative="0">
      <w:start w:val="0"/>
      <w:numFmt w:val="bullet"/>
      <w:lvlText w:val="•"/>
      <w:lvlJc w:val="left"/>
      <w:pPr>
        <w:ind w:left="3680" w:hanging="281"/>
      </w:pPr>
      <w:rPr>
        <w:rFonts w:hint="default"/>
        <w:lang w:val="zh-CN" w:eastAsia="zh-CN" w:bidi="zh-CN"/>
      </w:rPr>
    </w:lvl>
    <w:lvl w:ilvl="4" w:tentative="0">
      <w:start w:val="0"/>
      <w:numFmt w:val="bullet"/>
      <w:lvlText w:val="•"/>
      <w:lvlJc w:val="left"/>
      <w:pPr>
        <w:ind w:left="4586" w:hanging="281"/>
      </w:pPr>
      <w:rPr>
        <w:rFonts w:hint="default"/>
        <w:lang w:val="zh-CN" w:eastAsia="zh-CN" w:bidi="zh-CN"/>
      </w:rPr>
    </w:lvl>
    <w:lvl w:ilvl="5" w:tentative="0">
      <w:start w:val="0"/>
      <w:numFmt w:val="bullet"/>
      <w:lvlText w:val="•"/>
      <w:lvlJc w:val="left"/>
      <w:pPr>
        <w:ind w:left="5493" w:hanging="281"/>
      </w:pPr>
      <w:rPr>
        <w:rFonts w:hint="default"/>
        <w:lang w:val="zh-CN" w:eastAsia="zh-CN" w:bidi="zh-CN"/>
      </w:rPr>
    </w:lvl>
    <w:lvl w:ilvl="6" w:tentative="0">
      <w:start w:val="0"/>
      <w:numFmt w:val="bullet"/>
      <w:lvlText w:val="•"/>
      <w:lvlJc w:val="left"/>
      <w:pPr>
        <w:ind w:left="6400" w:hanging="281"/>
      </w:pPr>
      <w:rPr>
        <w:rFonts w:hint="default"/>
        <w:lang w:val="zh-CN" w:eastAsia="zh-CN" w:bidi="zh-CN"/>
      </w:rPr>
    </w:lvl>
    <w:lvl w:ilvl="7" w:tentative="0">
      <w:start w:val="0"/>
      <w:numFmt w:val="bullet"/>
      <w:lvlText w:val="•"/>
      <w:lvlJc w:val="left"/>
      <w:pPr>
        <w:ind w:left="7306" w:hanging="281"/>
      </w:pPr>
      <w:rPr>
        <w:rFonts w:hint="default"/>
        <w:lang w:val="zh-CN" w:eastAsia="zh-CN" w:bidi="zh-CN"/>
      </w:rPr>
    </w:lvl>
    <w:lvl w:ilvl="8" w:tentative="0">
      <w:start w:val="0"/>
      <w:numFmt w:val="bullet"/>
      <w:lvlText w:val="•"/>
      <w:lvlJc w:val="left"/>
      <w:pPr>
        <w:ind w:left="8213" w:hanging="281"/>
      </w:pPr>
      <w:rPr>
        <w:rFonts w:hint="default"/>
        <w:lang w:val="zh-CN" w:eastAsia="zh-CN" w:bidi="zh-CN"/>
      </w:rPr>
    </w:lvl>
  </w:abstractNum>
  <w:abstractNum w:abstractNumId="2">
    <w:nsid w:val="00000014"/>
    <w:multiLevelType w:val="singleLevel"/>
    <w:tmpl w:val="00000014"/>
    <w:lvl w:ilvl="0" w:tentative="0">
      <w:start w:val="1"/>
      <w:numFmt w:val="decimal"/>
      <w:suff w:val="nothing"/>
      <w:lvlText w:val="%1、"/>
      <w:lvlJc w:val="left"/>
    </w:lvl>
  </w:abstractNum>
  <w:abstractNum w:abstractNumId="3">
    <w:nsid w:val="03A6A9F3"/>
    <w:multiLevelType w:val="singleLevel"/>
    <w:tmpl w:val="03A6A9F3"/>
    <w:lvl w:ilvl="0" w:tentative="0">
      <w:start w:val="1"/>
      <w:numFmt w:val="decimal"/>
      <w:suff w:val="space"/>
      <w:lvlText w:val="%1."/>
      <w:lvlJc w:val="left"/>
      <w:pPr>
        <w:ind w:left="0" w:firstLine="0"/>
      </w:pPr>
    </w:lvl>
  </w:abstractNum>
  <w:abstractNum w:abstractNumId="4">
    <w:nsid w:val="5960126F"/>
    <w:multiLevelType w:val="singleLevel"/>
    <w:tmpl w:val="5960126F"/>
    <w:lvl w:ilvl="0" w:tentative="0">
      <w:start w:val="1"/>
      <w:numFmt w:val="decimal"/>
      <w:suff w:val="nothing"/>
      <w:lvlText w:val="%1、"/>
      <w:lvlJc w:val="left"/>
    </w:lvl>
  </w:abstractNum>
  <w:abstractNum w:abstractNumId="5">
    <w:nsid w:val="72AA8685"/>
    <w:multiLevelType w:val="singleLevel"/>
    <w:tmpl w:val="72AA8685"/>
    <w:lvl w:ilvl="0" w:tentative="0">
      <w:start w:val="1"/>
      <w:numFmt w:val="decimal"/>
      <w:suff w:val="nothing"/>
      <w:lvlText w:val="%1、"/>
      <w:lvlJc w:val="left"/>
    </w:lvl>
  </w:abstractNum>
  <w:abstractNum w:abstractNumId="6">
    <w:nsid w:val="79AA4FA4"/>
    <w:multiLevelType w:val="multilevel"/>
    <w:tmpl w:val="79AA4FA4"/>
    <w:lvl w:ilvl="0" w:tentative="0">
      <w:start w:val="1"/>
      <w:numFmt w:val="upperLetter"/>
      <w:lvlText w:val="%1"/>
      <w:lvlJc w:val="left"/>
      <w:pPr>
        <w:ind w:left="876" w:hanging="480"/>
      </w:pPr>
      <w:rPr>
        <w:rFonts w:hint="default"/>
        <w:lang w:val="zh-CN" w:eastAsia="zh-CN" w:bidi="zh-CN"/>
      </w:rPr>
    </w:lvl>
    <w:lvl w:ilvl="1" w:tentative="0">
      <w:start w:val="1"/>
      <w:numFmt w:val="decimal"/>
      <w:lvlText w:val="%1-%2"/>
      <w:lvlJc w:val="left"/>
      <w:pPr>
        <w:ind w:left="876" w:hanging="480"/>
      </w:pPr>
      <w:rPr>
        <w:rFonts w:hint="default" w:ascii="仿宋_GB2312" w:hAnsi="仿宋_GB2312" w:eastAsia="仿宋_GB2312" w:cs="仿宋_GB2312"/>
        <w:spacing w:val="-1"/>
        <w:w w:val="100"/>
        <w:sz w:val="24"/>
        <w:szCs w:val="24"/>
        <w:lang w:val="zh-CN" w:eastAsia="zh-CN" w:bidi="zh-CN"/>
      </w:rPr>
    </w:lvl>
    <w:lvl w:ilvl="2" w:tentative="0">
      <w:start w:val="0"/>
      <w:numFmt w:val="bullet"/>
      <w:lvlText w:val="•"/>
      <w:lvlJc w:val="left"/>
      <w:pPr>
        <w:ind w:left="2617" w:hanging="480"/>
      </w:pPr>
      <w:rPr>
        <w:rFonts w:hint="default"/>
        <w:lang w:val="zh-CN" w:eastAsia="zh-CN" w:bidi="zh-CN"/>
      </w:rPr>
    </w:lvl>
    <w:lvl w:ilvl="3" w:tentative="0">
      <w:start w:val="0"/>
      <w:numFmt w:val="bullet"/>
      <w:lvlText w:val="•"/>
      <w:lvlJc w:val="left"/>
      <w:pPr>
        <w:ind w:left="3485" w:hanging="480"/>
      </w:pPr>
      <w:rPr>
        <w:rFonts w:hint="default"/>
        <w:lang w:val="zh-CN" w:eastAsia="zh-CN" w:bidi="zh-CN"/>
      </w:rPr>
    </w:lvl>
    <w:lvl w:ilvl="4" w:tentative="0">
      <w:start w:val="0"/>
      <w:numFmt w:val="bullet"/>
      <w:lvlText w:val="•"/>
      <w:lvlJc w:val="left"/>
      <w:pPr>
        <w:ind w:left="4354" w:hanging="480"/>
      </w:pPr>
      <w:rPr>
        <w:rFonts w:hint="default"/>
        <w:lang w:val="zh-CN" w:eastAsia="zh-CN" w:bidi="zh-CN"/>
      </w:rPr>
    </w:lvl>
    <w:lvl w:ilvl="5" w:tentative="0">
      <w:start w:val="0"/>
      <w:numFmt w:val="bullet"/>
      <w:lvlText w:val="•"/>
      <w:lvlJc w:val="left"/>
      <w:pPr>
        <w:ind w:left="5223" w:hanging="480"/>
      </w:pPr>
      <w:rPr>
        <w:rFonts w:hint="default"/>
        <w:lang w:val="zh-CN" w:eastAsia="zh-CN" w:bidi="zh-CN"/>
      </w:rPr>
    </w:lvl>
    <w:lvl w:ilvl="6" w:tentative="0">
      <w:start w:val="0"/>
      <w:numFmt w:val="bullet"/>
      <w:lvlText w:val="•"/>
      <w:lvlJc w:val="left"/>
      <w:pPr>
        <w:ind w:left="6091" w:hanging="480"/>
      </w:pPr>
      <w:rPr>
        <w:rFonts w:hint="default"/>
        <w:lang w:val="zh-CN" w:eastAsia="zh-CN" w:bidi="zh-CN"/>
      </w:rPr>
    </w:lvl>
    <w:lvl w:ilvl="7" w:tentative="0">
      <w:start w:val="0"/>
      <w:numFmt w:val="bullet"/>
      <w:lvlText w:val="•"/>
      <w:lvlJc w:val="left"/>
      <w:pPr>
        <w:ind w:left="6960" w:hanging="480"/>
      </w:pPr>
      <w:rPr>
        <w:rFonts w:hint="default"/>
        <w:lang w:val="zh-CN" w:eastAsia="zh-CN" w:bidi="zh-CN"/>
      </w:rPr>
    </w:lvl>
    <w:lvl w:ilvl="8" w:tentative="0">
      <w:start w:val="0"/>
      <w:numFmt w:val="bullet"/>
      <w:lvlText w:val="•"/>
      <w:lvlJc w:val="left"/>
      <w:pPr>
        <w:ind w:left="7828" w:hanging="480"/>
      </w:pPr>
      <w:rPr>
        <w:rFonts w:hint="default"/>
        <w:lang w:val="zh-CN" w:eastAsia="zh-CN" w:bidi="zh-CN"/>
      </w:rPr>
    </w:lvl>
  </w:abstractNum>
  <w:num w:numId="1">
    <w:abstractNumId w:val="2"/>
  </w:num>
  <w:num w:numId="2">
    <w:abstractNumId w:val="1"/>
  </w:num>
  <w:num w:numId="3">
    <w:abstractNumId w:val="4"/>
  </w:num>
  <w:num w:numId="4">
    <w:abstractNumId w:val="5"/>
  </w:num>
  <w:num w:numId="5">
    <w:abstractNumId w:val="3"/>
    <w:lvlOverride w:ilvl="0">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NjYzMjdmMDEwNmJmODIyOGU3M2QxNjFkNmNjMzYifQ=="/>
  </w:docVars>
  <w:rsids>
    <w:rsidRoot w:val="00172A27"/>
    <w:rsid w:val="00DF24BC"/>
    <w:rsid w:val="00F51C27"/>
    <w:rsid w:val="016D4A00"/>
    <w:rsid w:val="037F653F"/>
    <w:rsid w:val="038A07F6"/>
    <w:rsid w:val="04854128"/>
    <w:rsid w:val="075C3D40"/>
    <w:rsid w:val="0DCB6F3C"/>
    <w:rsid w:val="0DCD726B"/>
    <w:rsid w:val="111D6EEB"/>
    <w:rsid w:val="122B27B2"/>
    <w:rsid w:val="142E6CC3"/>
    <w:rsid w:val="15C56B16"/>
    <w:rsid w:val="17143C88"/>
    <w:rsid w:val="200A4CF6"/>
    <w:rsid w:val="203647FC"/>
    <w:rsid w:val="210154D7"/>
    <w:rsid w:val="210A6583"/>
    <w:rsid w:val="216E67A3"/>
    <w:rsid w:val="22E27404"/>
    <w:rsid w:val="22EE60D2"/>
    <w:rsid w:val="252B1C45"/>
    <w:rsid w:val="27CC6DBD"/>
    <w:rsid w:val="29852351"/>
    <w:rsid w:val="29D540E4"/>
    <w:rsid w:val="2A357EAC"/>
    <w:rsid w:val="2DAA0390"/>
    <w:rsid w:val="2DAB4903"/>
    <w:rsid w:val="2E5869AA"/>
    <w:rsid w:val="306058C5"/>
    <w:rsid w:val="30683D24"/>
    <w:rsid w:val="32621AB0"/>
    <w:rsid w:val="32E91732"/>
    <w:rsid w:val="330F3ADF"/>
    <w:rsid w:val="337146B8"/>
    <w:rsid w:val="3585754C"/>
    <w:rsid w:val="362829E1"/>
    <w:rsid w:val="36553227"/>
    <w:rsid w:val="399414F1"/>
    <w:rsid w:val="3AE77FD3"/>
    <w:rsid w:val="3AF37A62"/>
    <w:rsid w:val="3B1C5830"/>
    <w:rsid w:val="3B2D3D7F"/>
    <w:rsid w:val="3BE46223"/>
    <w:rsid w:val="3C02567B"/>
    <w:rsid w:val="3CF24274"/>
    <w:rsid w:val="404A3A19"/>
    <w:rsid w:val="40503CB2"/>
    <w:rsid w:val="40E85247"/>
    <w:rsid w:val="435337B4"/>
    <w:rsid w:val="451D3742"/>
    <w:rsid w:val="47A3011A"/>
    <w:rsid w:val="47C8683F"/>
    <w:rsid w:val="48777B4E"/>
    <w:rsid w:val="4A4A53AA"/>
    <w:rsid w:val="4B3A6FE7"/>
    <w:rsid w:val="4BBF1920"/>
    <w:rsid w:val="4CC15B22"/>
    <w:rsid w:val="4CFD207A"/>
    <w:rsid w:val="4E374C54"/>
    <w:rsid w:val="4FC155E1"/>
    <w:rsid w:val="501A07D0"/>
    <w:rsid w:val="50206CD9"/>
    <w:rsid w:val="515822E3"/>
    <w:rsid w:val="51AF02A8"/>
    <w:rsid w:val="51C8124A"/>
    <w:rsid w:val="529E7801"/>
    <w:rsid w:val="5380194B"/>
    <w:rsid w:val="544467E1"/>
    <w:rsid w:val="55BC1BAE"/>
    <w:rsid w:val="55F02CD0"/>
    <w:rsid w:val="57444266"/>
    <w:rsid w:val="592C15FD"/>
    <w:rsid w:val="59E11281"/>
    <w:rsid w:val="5B6013AC"/>
    <w:rsid w:val="5BE664D3"/>
    <w:rsid w:val="5C4A461E"/>
    <w:rsid w:val="5EB117F3"/>
    <w:rsid w:val="5F61005D"/>
    <w:rsid w:val="65B110B3"/>
    <w:rsid w:val="68A5046E"/>
    <w:rsid w:val="69036813"/>
    <w:rsid w:val="6E470F4F"/>
    <w:rsid w:val="6F306745"/>
    <w:rsid w:val="71017ADB"/>
    <w:rsid w:val="75422471"/>
    <w:rsid w:val="76872181"/>
    <w:rsid w:val="773E29D8"/>
    <w:rsid w:val="79925D61"/>
    <w:rsid w:val="7B51635B"/>
    <w:rsid w:val="7BDF2246"/>
    <w:rsid w:val="7CC70469"/>
    <w:rsid w:val="7D137FE8"/>
    <w:rsid w:val="7DA24802"/>
    <w:rsid w:val="7ECE33D6"/>
    <w:rsid w:val="7F8A3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576" w:lineRule="auto"/>
      <w:outlineLvl w:val="0"/>
    </w:pPr>
    <w:rPr>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1"/>
    <w:pPr>
      <w:spacing w:line="468" w:lineRule="exact"/>
      <w:ind w:left="363"/>
      <w:outlineLvl w:val="3"/>
    </w:pPr>
    <w:rPr>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szCs w:val="20"/>
    </w:rPr>
  </w:style>
  <w:style w:type="paragraph" w:styleId="11">
    <w:name w:val="Balloon Text"/>
    <w:basedOn w:val="1"/>
    <w:link w:val="3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Body Text 2"/>
    <w:basedOn w:val="1"/>
    <w:next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w:basedOn w:val="1"/>
    <w:qFormat/>
    <w:uiPriority w:val="0"/>
    <w:pPr>
      <w:ind w:firstLine="200" w:firstLineChars="200"/>
    </w:pPr>
    <w:rPr>
      <w:kern w:val="44"/>
    </w:rPr>
  </w:style>
  <w:style w:type="paragraph" w:styleId="18">
    <w:name w:val="Body Text First Indent 2"/>
    <w:basedOn w:val="8"/>
    <w:next w:val="7"/>
    <w:qFormat/>
    <w:uiPriority w:val="99"/>
    <w:rPr>
      <w:rFonts w:eastAsia="仿宋_GB2312"/>
      <w:sz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rFonts w:hint="eastAsia" w:ascii="宋体" w:hAnsi="宋体" w:eastAsia="宋体" w:cs="宋体"/>
      <w:color w:val="000000"/>
      <w:u w:val="none"/>
    </w:rPr>
  </w:style>
  <w:style w:type="paragraph" w:customStyle="1" w:styleId="23">
    <w:name w:val="BodyText"/>
    <w:basedOn w:val="1"/>
    <w:qFormat/>
    <w:uiPriority w:val="0"/>
    <w:pPr>
      <w:jc w:val="center"/>
    </w:pPr>
    <w:rPr>
      <w:rFonts w:eastAsia="黑体"/>
      <w:sz w:val="44"/>
    </w:rPr>
  </w:style>
  <w:style w:type="paragraph" w:customStyle="1" w:styleId="24">
    <w:name w:val="正文11"/>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5">
    <w:name w:val="正文4"/>
    <w:basedOn w:val="1"/>
    <w:qFormat/>
    <w:uiPriority w:val="0"/>
    <w:pPr>
      <w:ind w:firstLine="630"/>
    </w:pPr>
    <w:rPr>
      <w:sz w:val="28"/>
      <w:szCs w:val="20"/>
    </w:rPr>
  </w:style>
  <w:style w:type="paragraph" w:customStyle="1" w:styleId="26">
    <w:name w:val="正文2"/>
    <w:basedOn w:val="1"/>
    <w:qFormat/>
    <w:uiPriority w:val="0"/>
    <w:pPr>
      <w:ind w:firstLine="735"/>
    </w:pPr>
    <w:rPr>
      <w:b/>
      <w:sz w:val="32"/>
      <w:szCs w:val="20"/>
    </w:rPr>
  </w:style>
  <w:style w:type="paragraph" w:customStyle="1" w:styleId="27">
    <w:name w:val="_Style 2"/>
    <w:basedOn w:val="1"/>
    <w:qFormat/>
    <w:uiPriority w:val="1"/>
    <w:pPr>
      <w:ind w:left="238" w:firstLine="560"/>
    </w:pPr>
    <w:rPr>
      <w:rFonts w:ascii="宋体" w:hAnsi="宋体" w:cs="宋体"/>
      <w:lang w:val="zh-CN" w:bidi="zh-CN"/>
    </w:rPr>
  </w:style>
  <w:style w:type="character" w:customStyle="1" w:styleId="28">
    <w:name w:val="NormalCharacter"/>
    <w:qFormat/>
    <w:uiPriority w:val="0"/>
    <w:rPr>
      <w:kern w:val="2"/>
      <w:sz w:val="21"/>
      <w:szCs w:val="24"/>
      <w:lang w:val="en-US" w:eastAsia="zh-CN" w:bidi="ar-SA"/>
    </w:rPr>
  </w:style>
  <w:style w:type="paragraph" w:styleId="29">
    <w:name w:val="List Paragraph"/>
    <w:basedOn w:val="1"/>
    <w:qFormat/>
    <w:uiPriority w:val="1"/>
    <w:pPr>
      <w:ind w:left="363" w:firstLine="420"/>
    </w:pPr>
  </w:style>
  <w:style w:type="character" w:customStyle="1" w:styleId="30">
    <w:name w:val="fontstyle01"/>
    <w:qFormat/>
    <w:uiPriority w:val="0"/>
    <w:rPr>
      <w:rFonts w:hint="eastAsia" w:ascii="宋体" w:hAnsi="宋体" w:eastAsia="宋体"/>
      <w:color w:val="000000"/>
      <w:sz w:val="44"/>
      <w:szCs w:val="44"/>
    </w:rPr>
  </w:style>
  <w:style w:type="character" w:customStyle="1" w:styleId="31">
    <w:name w:val="批注框文本 Char"/>
    <w:basedOn w:val="21"/>
    <w:link w:val="11"/>
    <w:qFormat/>
    <w:uiPriority w:val="0"/>
    <w:rPr>
      <w:kern w:val="2"/>
      <w:sz w:val="18"/>
      <w:szCs w:val="1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Table Paragraph"/>
    <w:basedOn w:val="1"/>
    <w:qFormat/>
    <w:uiPriority w:val="0"/>
    <w:pPr>
      <w:autoSpaceDE w:val="0"/>
      <w:autoSpaceDN w:val="0"/>
      <w:adjustRightInd w:val="0"/>
      <w:jc w:val="left"/>
    </w:pPr>
    <w:rPr>
      <w:rFonts w:ascii="宋体" w:cs="宋体"/>
      <w:kern w:val="0"/>
      <w:sz w:val="24"/>
    </w:rPr>
  </w:style>
  <w:style w:type="paragraph" w:customStyle="1" w:styleId="34">
    <w:name w:val="List Paragraph1"/>
    <w:basedOn w:val="1"/>
    <w:qFormat/>
    <w:uiPriority w:val="0"/>
    <w:pPr>
      <w:ind w:firstLine="420" w:firstLineChars="200"/>
    </w:pPr>
    <w:rPr>
      <w:szCs w:val="21"/>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30553</Words>
  <Characters>32535</Characters>
  <Lines>34</Lines>
  <Paragraphs>59</Paragraphs>
  <TotalTime>18</TotalTime>
  <ScaleCrop>false</ScaleCrop>
  <LinksUpToDate>false</LinksUpToDate>
  <CharactersWithSpaces>34043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2022-04-27T13:06:00Z</dcterms:created>
  <dc:creator>Administrator</dc:creator>
  <cp:lastModifiedBy>win10</cp:lastModifiedBy>
  <cp:lastPrinted>2023-04-27T21:54:00Z</cp:lastPrinted>
  <dcterms:modified xsi:type="dcterms:W3CDTF">2023-04-28T10:55:40Z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7DC14ABEF7D548F5BC9AAE5A648168AA</vt:lpwstr>
  </property>
</Properties>
</file>