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360" w:lineRule="auto"/>
        <w:jc w:val="center"/>
        <w:rPr>
          <w:rFonts w:eastAsia="宋体" w:cs="宋体"/>
          <w:b/>
          <w:sz w:val="44"/>
          <w:szCs w:val="44"/>
          <w:highlight w:val="none"/>
        </w:rPr>
      </w:pPr>
      <w:r>
        <w:rPr>
          <w:rFonts w:hint="eastAsia" w:eastAsia="宋体"/>
          <w:b/>
          <w:sz w:val="48"/>
          <w:szCs w:val="48"/>
          <w:highlight w:val="none"/>
          <w:u w:val="none"/>
        </w:rPr>
        <w:t>广州北站至广州白云国际机场快速通道(二期)自来水管线迁改施工</w:t>
      </w:r>
    </w:p>
    <w:p>
      <w:pPr>
        <w:pStyle w:val="11"/>
        <w:spacing w:line="360" w:lineRule="auto"/>
        <w:jc w:val="center"/>
        <w:rPr>
          <w:rFonts w:eastAsia="宋体" w:cs="宋体"/>
          <w:b/>
          <w:sz w:val="44"/>
          <w:szCs w:val="44"/>
          <w:highlight w:val="none"/>
        </w:rPr>
      </w:pPr>
    </w:p>
    <w:p>
      <w:pPr>
        <w:pStyle w:val="11"/>
        <w:spacing w:line="360" w:lineRule="auto"/>
        <w:jc w:val="center"/>
        <w:rPr>
          <w:rFonts w:eastAsia="宋体" w:cs="宋体"/>
          <w:b/>
          <w:sz w:val="44"/>
          <w:szCs w:val="44"/>
          <w:highlight w:val="none"/>
        </w:rPr>
      </w:pPr>
    </w:p>
    <w:p>
      <w:pPr>
        <w:pStyle w:val="11"/>
        <w:spacing w:line="360" w:lineRule="auto"/>
        <w:jc w:val="center"/>
        <w:rPr>
          <w:rFonts w:eastAsia="宋体" w:cs="宋体"/>
          <w:b/>
          <w:sz w:val="44"/>
          <w:szCs w:val="44"/>
          <w:highlight w:val="none"/>
        </w:rPr>
      </w:pPr>
    </w:p>
    <w:p>
      <w:pPr>
        <w:spacing w:line="360" w:lineRule="auto"/>
        <w:jc w:val="center"/>
        <w:rPr>
          <w:rFonts w:ascii="宋体" w:hAnsi="宋体" w:cs="宋体"/>
          <w:b/>
          <w:bCs/>
          <w:spacing w:val="26"/>
          <w:sz w:val="110"/>
          <w:szCs w:val="110"/>
          <w:highlight w:val="none"/>
        </w:rPr>
      </w:pPr>
      <w:r>
        <w:rPr>
          <w:rFonts w:hint="eastAsia" w:ascii="宋体" w:hAnsi="宋体" w:cs="宋体"/>
          <w:b/>
          <w:bCs/>
          <w:spacing w:val="26"/>
          <w:sz w:val="110"/>
          <w:szCs w:val="110"/>
          <w:highlight w:val="none"/>
        </w:rPr>
        <w:t>招标公告</w:t>
      </w:r>
    </w:p>
    <w:p>
      <w:pPr>
        <w:pStyle w:val="11"/>
        <w:spacing w:line="360" w:lineRule="auto"/>
        <w:jc w:val="center"/>
        <w:rPr>
          <w:rFonts w:eastAsia="宋体" w:cs="宋体"/>
          <w:b/>
          <w:sz w:val="44"/>
          <w:szCs w:val="44"/>
          <w:highlight w:val="none"/>
        </w:rPr>
      </w:pPr>
    </w:p>
    <w:p>
      <w:pPr>
        <w:pStyle w:val="11"/>
        <w:spacing w:line="360" w:lineRule="auto"/>
        <w:jc w:val="center"/>
        <w:rPr>
          <w:rFonts w:eastAsia="宋体" w:cs="宋体"/>
          <w:b/>
          <w:sz w:val="44"/>
          <w:szCs w:val="44"/>
          <w:highlight w:val="none"/>
        </w:rPr>
      </w:pPr>
    </w:p>
    <w:p>
      <w:pPr>
        <w:pStyle w:val="11"/>
        <w:spacing w:line="360" w:lineRule="auto"/>
        <w:jc w:val="center"/>
        <w:rPr>
          <w:rFonts w:eastAsia="宋体" w:cs="宋体"/>
          <w:b/>
          <w:sz w:val="44"/>
          <w:szCs w:val="44"/>
          <w:highlight w:val="none"/>
        </w:rPr>
      </w:pPr>
    </w:p>
    <w:p>
      <w:pPr>
        <w:pStyle w:val="11"/>
        <w:spacing w:line="360" w:lineRule="auto"/>
        <w:jc w:val="center"/>
        <w:rPr>
          <w:rFonts w:eastAsia="宋体" w:cs="宋体"/>
          <w:b/>
          <w:sz w:val="44"/>
          <w:szCs w:val="44"/>
          <w:highlight w:val="none"/>
        </w:rPr>
      </w:pPr>
    </w:p>
    <w:p>
      <w:pPr>
        <w:pStyle w:val="11"/>
        <w:spacing w:line="360" w:lineRule="auto"/>
        <w:jc w:val="center"/>
        <w:rPr>
          <w:rFonts w:eastAsia="宋体" w:cs="宋体"/>
          <w:b/>
          <w:sz w:val="44"/>
          <w:szCs w:val="44"/>
          <w:highlight w:val="none"/>
        </w:rPr>
      </w:pPr>
    </w:p>
    <w:p>
      <w:pPr>
        <w:spacing w:line="360" w:lineRule="auto"/>
        <w:ind w:firstLine="640" w:firstLineChars="200"/>
        <w:rPr>
          <w:rFonts w:ascii="宋体" w:hAnsi="宋体"/>
          <w:sz w:val="32"/>
          <w:szCs w:val="32"/>
          <w:highlight w:val="none"/>
        </w:rPr>
      </w:pPr>
      <w:r>
        <w:rPr>
          <w:rFonts w:hint="eastAsia" w:ascii="宋体" w:hAnsi="宋体"/>
          <w:sz w:val="32"/>
          <w:szCs w:val="32"/>
          <w:highlight w:val="none"/>
        </w:rPr>
        <w:t>招  标 单 位：</w:t>
      </w:r>
      <w:r>
        <w:rPr>
          <w:rFonts w:hint="eastAsia" w:ascii="宋体" w:hAnsi="宋体"/>
          <w:sz w:val="32"/>
          <w:szCs w:val="32"/>
          <w:highlight w:val="none"/>
          <w:u w:val="single"/>
        </w:rPr>
        <w:t>广州市花都区交通运输局</w:t>
      </w:r>
    </w:p>
    <w:p>
      <w:pPr>
        <w:spacing w:line="360" w:lineRule="auto"/>
        <w:ind w:firstLine="640" w:firstLineChars="200"/>
        <w:rPr>
          <w:rFonts w:ascii="宋体" w:hAnsi="宋体"/>
          <w:sz w:val="32"/>
          <w:szCs w:val="32"/>
          <w:highlight w:val="none"/>
        </w:rPr>
      </w:pPr>
      <w:r>
        <w:rPr>
          <w:rFonts w:hint="eastAsia" w:ascii="宋体" w:hAnsi="宋体"/>
          <w:sz w:val="32"/>
          <w:szCs w:val="32"/>
          <w:highlight w:val="none"/>
        </w:rPr>
        <w:t>招标代理单位：</w:t>
      </w:r>
      <w:r>
        <w:rPr>
          <w:rFonts w:hint="eastAsia" w:ascii="宋体" w:hAnsi="宋体"/>
          <w:sz w:val="32"/>
          <w:szCs w:val="32"/>
          <w:highlight w:val="none"/>
          <w:u w:val="single"/>
        </w:rPr>
        <w:t>建成工程咨询股份有限公司</w:t>
      </w:r>
    </w:p>
    <w:p>
      <w:pPr>
        <w:widowControl/>
        <w:ind w:firstLine="640" w:firstLineChars="200"/>
        <w:rPr>
          <w:rFonts w:ascii="宋体" w:hAnsi="宋体"/>
          <w:sz w:val="32"/>
          <w:szCs w:val="32"/>
          <w:highlight w:val="none"/>
        </w:rPr>
      </w:pPr>
      <w:r>
        <w:rPr>
          <w:rFonts w:hint="eastAsia" w:ascii="宋体" w:hAnsi="宋体"/>
          <w:sz w:val="32"/>
          <w:szCs w:val="32"/>
          <w:highlight w:val="none"/>
        </w:rPr>
        <w:t>日        期：2023年</w:t>
      </w:r>
      <w:r>
        <w:rPr>
          <w:rFonts w:hint="eastAsia" w:ascii="宋体" w:hAnsi="宋体"/>
          <w:sz w:val="32"/>
          <w:szCs w:val="32"/>
          <w:highlight w:val="none"/>
          <w:u w:val="single"/>
        </w:rPr>
        <w:t>4</w:t>
      </w:r>
      <w:r>
        <w:rPr>
          <w:rFonts w:hint="eastAsia" w:ascii="宋体" w:hAnsi="宋体"/>
          <w:sz w:val="32"/>
          <w:szCs w:val="32"/>
          <w:highlight w:val="none"/>
        </w:rPr>
        <w:t>月</w:t>
      </w:r>
    </w:p>
    <w:p>
      <w:pPr>
        <w:pStyle w:val="2"/>
        <w:rPr>
          <w:highlight w:val="none"/>
        </w:rPr>
      </w:pPr>
    </w:p>
    <w:p>
      <w:pPr>
        <w:pStyle w:val="11"/>
        <w:spacing w:line="360" w:lineRule="auto"/>
        <w:jc w:val="center"/>
        <w:rPr>
          <w:rFonts w:eastAsia="宋体"/>
          <w:b/>
          <w:sz w:val="32"/>
          <w:szCs w:val="32"/>
          <w:highlight w:val="none"/>
          <w:u w:val="none"/>
        </w:rPr>
        <w:sectPr>
          <w:headerReference r:id="rId3" w:type="default"/>
          <w:pgSz w:w="11906" w:h="16838"/>
          <w:pgMar w:top="1440" w:right="1080" w:bottom="1440" w:left="1080" w:header="851" w:footer="992" w:gutter="0"/>
          <w:cols w:space="720" w:num="1"/>
          <w:docGrid w:linePitch="312" w:charSpace="0"/>
        </w:sectPr>
      </w:pPr>
    </w:p>
    <w:p>
      <w:pPr>
        <w:pStyle w:val="11"/>
        <w:spacing w:line="360" w:lineRule="auto"/>
        <w:jc w:val="center"/>
        <w:rPr>
          <w:rFonts w:hint="eastAsia" w:eastAsia="宋体"/>
          <w:b/>
          <w:sz w:val="32"/>
          <w:szCs w:val="32"/>
          <w:highlight w:val="none"/>
          <w:u w:val="none"/>
        </w:rPr>
      </w:pPr>
      <w:r>
        <w:rPr>
          <w:rFonts w:hint="eastAsia" w:eastAsia="宋体"/>
          <w:b/>
          <w:sz w:val="32"/>
          <w:szCs w:val="32"/>
          <w:highlight w:val="none"/>
          <w:u w:val="none"/>
        </w:rPr>
        <w:t>广州北站至广州白云国际机场快速通道(二期)自来水管线迁改施工</w:t>
      </w:r>
    </w:p>
    <w:p>
      <w:pPr>
        <w:pStyle w:val="11"/>
        <w:spacing w:line="360" w:lineRule="auto"/>
        <w:jc w:val="center"/>
        <w:rPr>
          <w:rFonts w:eastAsia="宋体" w:cs="宋体"/>
          <w:b/>
          <w:sz w:val="32"/>
          <w:szCs w:val="32"/>
          <w:highlight w:val="none"/>
          <w:u w:val="none"/>
        </w:rPr>
      </w:pPr>
      <w:r>
        <w:rPr>
          <w:rFonts w:hint="eastAsia" w:eastAsia="宋体" w:cs="宋体"/>
          <w:b/>
          <w:sz w:val="32"/>
          <w:szCs w:val="32"/>
          <w:highlight w:val="none"/>
          <w:u w:val="none"/>
        </w:rPr>
        <w:t>招标公告</w:t>
      </w:r>
    </w:p>
    <w:p>
      <w:pPr>
        <w:spacing w:line="360" w:lineRule="auto"/>
        <w:ind w:firstLine="540" w:firstLineChars="224"/>
        <w:rPr>
          <w:rFonts w:ascii="宋体" w:hAnsi="宋体" w:cs="宋体"/>
          <w:b/>
          <w:sz w:val="24"/>
          <w:szCs w:val="24"/>
          <w:highlight w:val="none"/>
        </w:rPr>
      </w:pPr>
      <w:bookmarkStart w:id="0" w:name="_Toc221949923"/>
      <w:r>
        <w:rPr>
          <w:rFonts w:hint="eastAsia" w:ascii="宋体" w:hAnsi="宋体" w:cs="宋体"/>
          <w:b/>
          <w:sz w:val="24"/>
          <w:szCs w:val="24"/>
          <w:highlight w:val="none"/>
        </w:rPr>
        <w:t>1.招标条件</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本招标项目</w:t>
      </w:r>
      <w:r>
        <w:rPr>
          <w:rFonts w:hint="eastAsia" w:ascii="宋体" w:hAnsi="宋体"/>
          <w:sz w:val="24"/>
          <w:szCs w:val="24"/>
          <w:highlight w:val="none"/>
          <w:u w:val="single"/>
        </w:rPr>
        <w:t>广州北站至广州白云国际机场快速通道(二期)自来水管线迁改施工</w:t>
      </w:r>
      <w:r>
        <w:rPr>
          <w:rFonts w:hint="eastAsia" w:ascii="宋体" w:hAnsi="宋体" w:cs="宋体"/>
          <w:sz w:val="24"/>
          <w:szCs w:val="24"/>
          <w:highlight w:val="none"/>
        </w:rPr>
        <w:t>已由</w:t>
      </w:r>
      <w:r>
        <w:rPr>
          <w:rFonts w:hint="eastAsia" w:ascii="宋体" w:hAnsi="宋体"/>
          <w:sz w:val="24"/>
          <w:highlight w:val="none"/>
          <w:u w:val="single"/>
        </w:rPr>
        <w:t>穗发改投批〔2021〕105号</w:t>
      </w:r>
      <w:r>
        <w:rPr>
          <w:rFonts w:hint="eastAsia" w:ascii="宋体" w:hAnsi="宋体" w:cs="宋体"/>
          <w:sz w:val="24"/>
          <w:szCs w:val="24"/>
          <w:highlight w:val="none"/>
        </w:rPr>
        <w:t>批准建设，项目业主为</w:t>
      </w:r>
      <w:r>
        <w:rPr>
          <w:rFonts w:hint="eastAsia" w:ascii="宋体" w:hAnsi="宋体" w:cs="宋体"/>
          <w:sz w:val="24"/>
          <w:szCs w:val="24"/>
          <w:highlight w:val="none"/>
          <w:u w:val="single"/>
        </w:rPr>
        <w:t>广州市花都区交通运输局</w:t>
      </w:r>
      <w:r>
        <w:rPr>
          <w:rFonts w:hint="eastAsia" w:ascii="宋体" w:hAnsi="宋体" w:cs="宋体"/>
          <w:sz w:val="24"/>
          <w:szCs w:val="24"/>
          <w:highlight w:val="none"/>
        </w:rPr>
        <w:t>，建设资金来自</w:t>
      </w:r>
      <w:r>
        <w:rPr>
          <w:rFonts w:hint="eastAsia" w:ascii="宋体" w:hAnsi="宋体" w:cs="宋体"/>
          <w:sz w:val="24"/>
          <w:szCs w:val="24"/>
          <w:highlight w:val="none"/>
          <w:u w:val="single"/>
        </w:rPr>
        <w:t>财政投资</w:t>
      </w:r>
      <w:r>
        <w:rPr>
          <w:rFonts w:hint="eastAsia" w:ascii="宋体" w:hAnsi="宋体" w:cs="宋体"/>
          <w:sz w:val="24"/>
          <w:szCs w:val="24"/>
          <w:highlight w:val="none"/>
        </w:rPr>
        <w:t>，项目出资比例为</w:t>
      </w:r>
      <w:r>
        <w:rPr>
          <w:rFonts w:hint="eastAsia" w:ascii="宋体" w:hAnsi="宋体" w:cs="宋体"/>
          <w:sz w:val="24"/>
          <w:szCs w:val="24"/>
          <w:highlight w:val="none"/>
          <w:u w:val="single"/>
        </w:rPr>
        <w:t>100%</w:t>
      </w:r>
      <w:r>
        <w:rPr>
          <w:rFonts w:hint="eastAsia" w:ascii="宋体" w:hAnsi="宋体" w:cs="宋体"/>
          <w:sz w:val="24"/>
          <w:szCs w:val="24"/>
          <w:highlight w:val="none"/>
        </w:rPr>
        <w:t>,招标人为</w:t>
      </w:r>
      <w:r>
        <w:rPr>
          <w:rFonts w:hint="eastAsia" w:ascii="宋体" w:hAnsi="宋体" w:cs="宋体"/>
          <w:sz w:val="24"/>
          <w:szCs w:val="24"/>
          <w:highlight w:val="none"/>
          <w:u w:val="single"/>
        </w:rPr>
        <w:t>广州市花都区交通运输局</w:t>
      </w:r>
      <w:r>
        <w:rPr>
          <w:rFonts w:hint="eastAsia" w:ascii="宋体" w:hAnsi="宋体" w:cs="宋体"/>
          <w:sz w:val="24"/>
          <w:szCs w:val="24"/>
          <w:highlight w:val="none"/>
        </w:rPr>
        <w:t>。项目已具备招标条件，现对该项目施工进行公开招标。</w:t>
      </w:r>
      <w:bookmarkEnd w:id="0"/>
    </w:p>
    <w:p>
      <w:pPr>
        <w:spacing w:line="360" w:lineRule="auto"/>
        <w:ind w:firstLine="540" w:firstLineChars="224"/>
        <w:rPr>
          <w:rFonts w:ascii="宋体" w:hAnsi="宋体" w:cs="宋体"/>
          <w:b/>
          <w:sz w:val="24"/>
          <w:szCs w:val="24"/>
          <w:highlight w:val="none"/>
        </w:rPr>
      </w:pPr>
      <w:bookmarkStart w:id="1" w:name="_Toc168475627"/>
      <w:bookmarkStart w:id="2" w:name="_Toc229305324"/>
      <w:bookmarkStart w:id="3" w:name="_Toc222033815"/>
      <w:bookmarkStart w:id="4" w:name="_Toc259524297"/>
      <w:bookmarkStart w:id="5" w:name="_Toc221949924"/>
      <w:bookmarkStart w:id="6" w:name="_Toc222029464"/>
      <w:bookmarkStart w:id="7" w:name="_Toc144974481"/>
      <w:bookmarkStart w:id="8" w:name="_Toc222030966"/>
      <w:bookmarkStart w:id="9" w:name="_Toc168476030"/>
      <w:bookmarkStart w:id="10" w:name="_Toc222032633"/>
      <w:r>
        <w:rPr>
          <w:rFonts w:hint="eastAsia" w:ascii="宋体" w:hAnsi="宋体" w:cs="宋体"/>
          <w:b/>
          <w:sz w:val="24"/>
          <w:szCs w:val="24"/>
          <w:highlight w:val="none"/>
        </w:rPr>
        <w:t>2. 项目概况与招标范围</w:t>
      </w:r>
      <w:bookmarkEnd w:id="1"/>
      <w:bookmarkEnd w:id="2"/>
      <w:bookmarkEnd w:id="3"/>
      <w:bookmarkEnd w:id="4"/>
      <w:bookmarkEnd w:id="5"/>
      <w:bookmarkEnd w:id="6"/>
      <w:bookmarkEnd w:id="7"/>
      <w:bookmarkEnd w:id="8"/>
      <w:bookmarkEnd w:id="9"/>
      <w:bookmarkEnd w:id="10"/>
    </w:p>
    <w:p>
      <w:pPr>
        <w:spacing w:line="360" w:lineRule="auto"/>
        <w:ind w:firstLine="537" w:firstLineChars="224"/>
        <w:jc w:val="left"/>
        <w:rPr>
          <w:rFonts w:ascii="宋体" w:hAnsi="宋体" w:cs="宋体"/>
          <w:sz w:val="24"/>
          <w:szCs w:val="24"/>
          <w:highlight w:val="none"/>
          <w:u w:val="single"/>
        </w:rPr>
      </w:pPr>
      <w:r>
        <w:rPr>
          <w:rFonts w:hint="eastAsia" w:ascii="宋体" w:hAnsi="宋体" w:cs="宋体"/>
          <w:sz w:val="24"/>
          <w:szCs w:val="24"/>
          <w:highlight w:val="none"/>
        </w:rPr>
        <w:t>2.1建设地点：</w:t>
      </w:r>
      <w:r>
        <w:rPr>
          <w:rFonts w:hint="eastAsia" w:ascii="宋体" w:hAnsi="宋体"/>
          <w:sz w:val="24"/>
          <w:szCs w:val="24"/>
          <w:highlight w:val="none"/>
          <w:u w:val="single"/>
        </w:rPr>
        <w:t>广州市花都区</w:t>
      </w:r>
    </w:p>
    <w:p>
      <w:pPr>
        <w:spacing w:line="360" w:lineRule="auto"/>
        <w:ind w:firstLine="537" w:firstLineChars="224"/>
        <w:rPr>
          <w:rFonts w:ascii="宋体" w:hAnsi="宋体"/>
          <w:sz w:val="24"/>
          <w:highlight w:val="none"/>
          <w:u w:val="single"/>
        </w:rPr>
      </w:pPr>
      <w:r>
        <w:rPr>
          <w:rFonts w:hint="eastAsia" w:ascii="宋体" w:hAnsi="宋体" w:cs="宋体"/>
          <w:sz w:val="24"/>
          <w:szCs w:val="24"/>
          <w:highlight w:val="none"/>
        </w:rPr>
        <w:t>2.2项目规模：</w:t>
      </w:r>
      <w:r>
        <w:rPr>
          <w:rFonts w:hint="eastAsia" w:ascii="宋体" w:hAnsi="宋体"/>
          <w:sz w:val="24"/>
          <w:highlight w:val="none"/>
          <w:u w:val="single"/>
        </w:rPr>
        <w:t>本项目为广州北站至广州白云国际机场快速通道（二期）自来水管线迁改工程。广州北站至广州白云国际机场快速通道（二期）基本呈南北走向，北起花都大道，南至迎宾大道立交。线路全长8.65公里，规划为城市快速路，采取主辅分离，规划红线为60米。</w:t>
      </w:r>
    </w:p>
    <w:p>
      <w:pPr>
        <w:spacing w:line="360" w:lineRule="auto"/>
        <w:rPr>
          <w:rFonts w:ascii="宋体" w:hAnsi="宋体"/>
          <w:sz w:val="24"/>
          <w:szCs w:val="24"/>
          <w:highlight w:val="none"/>
        </w:rPr>
      </w:pPr>
      <w:r>
        <w:rPr>
          <w:rFonts w:hint="eastAsia" w:ascii="宋体" w:hAnsi="宋体"/>
          <w:sz w:val="24"/>
          <w:highlight w:val="none"/>
          <w:u w:val="single"/>
        </w:rPr>
        <w:t>本项目对位于广州北站至广州白云国际机场快速通道（二期）建设范围内受影响的自来水管线进行迁改，随主体结构施工而进行自来水管线永久迁改。结合本次道路建设情况，新街大道桩号XJK0+000~K0+680范围内迁改DN200~DN400自来水管线约906m，工业大道范围内迁改DN200~DN400自来水管线约354m，雅源中路桩号K0+100~K0+320范围内迁改DN200~DN800自来水管线约520m，雅瑶路桩号K2+210~K2+460范围内新建DN200自来水管线约308m，大岭北路范围内迁改DN200~DN300自来水管线约774m，沿线接驳现状自来水支管，并按规划为主要路口预留自来水管线。相应配套阀门、排气、排泥、消火栓等附属设施，并对路面、人行道等破除进行恢复。(具体建设内容以招标人发出的图纸和清单为准）</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2.3本次最高投标限价（招标控制价）：</w:t>
      </w:r>
      <w:r>
        <w:rPr>
          <w:rFonts w:hint="eastAsia" w:ascii="宋体" w:hAnsi="宋体"/>
          <w:sz w:val="24"/>
          <w:highlight w:val="none"/>
          <w:u w:val="single"/>
          <w:lang w:val="en-US" w:eastAsia="zh-CN"/>
        </w:rPr>
        <w:t>12384356.09元。</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2.4计划工期：</w:t>
      </w:r>
      <w:r>
        <w:rPr>
          <w:rFonts w:hint="eastAsia" w:ascii="宋体" w:hAnsi="宋体"/>
          <w:sz w:val="24"/>
          <w:szCs w:val="24"/>
          <w:highlight w:val="none"/>
          <w:u w:val="single"/>
        </w:rPr>
        <w:t xml:space="preserve">240 </w:t>
      </w:r>
      <w:r>
        <w:rPr>
          <w:rFonts w:hint="eastAsia" w:ascii="宋体" w:hAnsi="宋体"/>
          <w:sz w:val="24"/>
          <w:szCs w:val="24"/>
          <w:highlight w:val="none"/>
        </w:rPr>
        <w:t>日历天</w:t>
      </w:r>
    </w:p>
    <w:p>
      <w:pPr>
        <w:spacing w:line="360" w:lineRule="auto"/>
        <w:ind w:right="-468" w:rightChars="-223" w:firstLine="537" w:firstLineChars="224"/>
        <w:rPr>
          <w:rFonts w:ascii="宋体" w:hAnsi="宋体"/>
          <w:sz w:val="24"/>
          <w:highlight w:val="none"/>
          <w:u w:val="single"/>
        </w:rPr>
      </w:pPr>
      <w:r>
        <w:rPr>
          <w:rFonts w:hint="eastAsia" w:ascii="宋体" w:hAnsi="宋体" w:cs="宋体"/>
          <w:sz w:val="24"/>
          <w:szCs w:val="24"/>
          <w:highlight w:val="none"/>
        </w:rPr>
        <w:t>2.5招标内容：</w:t>
      </w:r>
      <w:r>
        <w:rPr>
          <w:rFonts w:hint="eastAsia" w:ascii="宋体" w:hAnsi="宋体"/>
          <w:sz w:val="24"/>
          <w:highlight w:val="none"/>
          <w:u w:val="single"/>
        </w:rPr>
        <w:t>项目位于花都区新街大道至雅源中路，自来水管线迁改为一期施工，随主体结构施工而进行自来水管永久迁改。新街大道至雅源中路范围内迁改约2841米，沿线接驳现状给水支管，明挖施工段采用铁马围蔽，并按规划为主要路口预留给水管。相应配套阀门、排气、排泥、消火栓等附属设施，并对路面、人行道、绿化等破除进行恢复。具体内容以发布的招标公告为准。(具体建设内容以招标人发出的图纸和清单为准）</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2.6标段划分：</w:t>
      </w:r>
      <w:r>
        <w:rPr>
          <w:rFonts w:hint="eastAsia" w:ascii="宋体" w:hAnsi="宋体" w:cs="宋体"/>
          <w:sz w:val="24"/>
          <w:szCs w:val="24"/>
          <w:highlight w:val="none"/>
          <w:u w:val="single"/>
        </w:rPr>
        <w:t>1</w:t>
      </w:r>
      <w:r>
        <w:rPr>
          <w:rFonts w:hint="eastAsia" w:ascii="宋体" w:hAnsi="宋体" w:cs="宋体"/>
          <w:sz w:val="24"/>
          <w:szCs w:val="24"/>
          <w:highlight w:val="none"/>
        </w:rPr>
        <w:t>个标段。</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 xml:space="preserve">2.7承包方式： </w:t>
      </w:r>
      <w:r>
        <w:rPr>
          <w:rFonts w:hint="eastAsia" w:ascii="宋体" w:hAnsi="宋体"/>
          <w:sz w:val="24"/>
          <w:highlight w:val="none"/>
          <w:u w:val="single"/>
        </w:rPr>
        <w:t>包工、包料、包工期、包质量、包安全、包文明施工。综合单价包干、项目措施费总价包干（具体以合同为准）。</w:t>
      </w:r>
    </w:p>
    <w:p>
      <w:pPr>
        <w:pStyle w:val="21"/>
        <w:spacing w:before="0" w:after="0" w:line="360" w:lineRule="auto"/>
        <w:ind w:firstLine="540" w:firstLineChars="224"/>
        <w:rPr>
          <w:sz w:val="21"/>
          <w:szCs w:val="21"/>
          <w:highlight w:val="none"/>
        </w:rPr>
      </w:pPr>
      <w:bookmarkStart w:id="11" w:name="_Toc222032634"/>
      <w:bookmarkStart w:id="12" w:name="_Toc222030967"/>
      <w:bookmarkStart w:id="13" w:name="_Toc221949926"/>
      <w:bookmarkStart w:id="14" w:name="_Toc222033816"/>
      <w:bookmarkStart w:id="15" w:name="_Toc144974482"/>
      <w:bookmarkStart w:id="16" w:name="_Toc229305325"/>
      <w:bookmarkStart w:id="17" w:name="_Toc222029465"/>
      <w:bookmarkStart w:id="18" w:name="_Toc259524298"/>
      <w:bookmarkStart w:id="19" w:name="_Toc168475628"/>
      <w:bookmarkStart w:id="20" w:name="_Toc168476031"/>
      <w:r>
        <w:rPr>
          <w:rFonts w:hint="eastAsia"/>
          <w:b/>
          <w:highlight w:val="none"/>
        </w:rPr>
        <w:t>3. 投标人资格要求</w:t>
      </w:r>
      <w:bookmarkEnd w:id="11"/>
      <w:bookmarkEnd w:id="12"/>
      <w:bookmarkEnd w:id="13"/>
      <w:bookmarkEnd w:id="14"/>
      <w:bookmarkEnd w:id="15"/>
      <w:bookmarkEnd w:id="16"/>
      <w:bookmarkEnd w:id="17"/>
      <w:bookmarkEnd w:id="18"/>
      <w:bookmarkEnd w:id="19"/>
      <w:bookmarkEnd w:id="20"/>
    </w:p>
    <w:p>
      <w:pPr>
        <w:spacing w:line="360" w:lineRule="auto"/>
        <w:ind w:firstLine="537" w:firstLineChars="224"/>
        <w:rPr>
          <w:rFonts w:ascii="宋体" w:hAnsi="宋体" w:cs="宋体"/>
          <w:bCs/>
          <w:sz w:val="24"/>
          <w:highlight w:val="none"/>
        </w:rPr>
      </w:pPr>
      <w:r>
        <w:rPr>
          <w:rFonts w:hint="eastAsia" w:ascii="宋体" w:hAnsi="宋体" w:cs="宋体"/>
          <w:sz w:val="24"/>
          <w:szCs w:val="24"/>
          <w:highlight w:val="none"/>
        </w:rPr>
        <w:t>3.1</w:t>
      </w:r>
      <w:r>
        <w:rPr>
          <w:rFonts w:hint="eastAsia" w:ascii="宋体" w:hAnsi="宋体" w:cs="宋体"/>
          <w:bCs/>
          <w:sz w:val="24"/>
          <w:highlight w:val="none"/>
        </w:rPr>
        <w:t>投标人应具备承担本项目施工的资质条件、能力和信誉。</w:t>
      </w:r>
    </w:p>
    <w:p>
      <w:pPr>
        <w:pStyle w:val="21"/>
        <w:spacing w:before="0" w:after="0" w:line="360" w:lineRule="auto"/>
        <w:ind w:firstLine="537" w:firstLineChars="224"/>
        <w:rPr>
          <w:highlight w:val="none"/>
        </w:rPr>
      </w:pPr>
      <w:r>
        <w:rPr>
          <w:rFonts w:hint="eastAsia"/>
          <w:highlight w:val="none"/>
        </w:rPr>
        <w:t>3.1.1本次招标要求申请人具有独立法人资格，需提供营业执照，投标人具有承接本工程所需的</w:t>
      </w:r>
      <w:r>
        <w:rPr>
          <w:rFonts w:hint="eastAsia"/>
          <w:bCs/>
          <w:highlight w:val="none"/>
          <w:u w:val="single"/>
        </w:rPr>
        <w:t>市政公用工程施工总承包三</w:t>
      </w:r>
      <w:r>
        <w:rPr>
          <w:rFonts w:hint="eastAsia"/>
          <w:highlight w:val="none"/>
          <w:u w:val="single"/>
        </w:rPr>
        <w:t>级或以上</w:t>
      </w:r>
      <w:r>
        <w:rPr>
          <w:rFonts w:hint="eastAsia"/>
          <w:highlight w:val="none"/>
        </w:rPr>
        <w:t>级别施工总承包资质。</w:t>
      </w:r>
    </w:p>
    <w:p>
      <w:pPr>
        <w:pStyle w:val="21"/>
        <w:spacing w:before="0" w:after="0" w:line="360" w:lineRule="auto"/>
        <w:ind w:firstLine="537" w:firstLineChars="224"/>
        <w:rPr>
          <w:highlight w:val="none"/>
        </w:rPr>
      </w:pPr>
      <w:r>
        <w:rPr>
          <w:rFonts w:hint="eastAsia"/>
          <w:highlight w:val="non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w:t>
      </w:r>
      <w:r>
        <w:rPr>
          <w:rFonts w:hint="eastAsia"/>
          <w:b/>
          <w:bCs/>
          <w:highlight w:val="none"/>
        </w:rPr>
        <w:t>《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有关事宜的通知（建办市函〔2022〕361号）、《广东省住房和城乡建设厅关于建设工程企业资质有关事宜的通知》（粤建许函〔2022〕846号）</w:t>
      </w:r>
      <w:r>
        <w:rPr>
          <w:rFonts w:hint="eastAsia"/>
          <w:highlight w:val="none"/>
        </w:rPr>
        <w:t>的要求设置。招标内容含有设计要求，且设计要求仅为深化设计的，在投标人的资质设置要求中，不允许设置设计资质。</w:t>
      </w:r>
    </w:p>
    <w:p>
      <w:pPr>
        <w:pStyle w:val="21"/>
        <w:spacing w:before="0" w:after="0" w:line="360" w:lineRule="auto"/>
        <w:ind w:firstLine="537" w:firstLineChars="224"/>
        <w:rPr>
          <w:highlight w:val="none"/>
        </w:rPr>
      </w:pPr>
      <w:r>
        <w:rPr>
          <w:rFonts w:hint="eastAsia"/>
          <w:highlight w:val="none"/>
        </w:rPr>
        <w:t>3.1.2安全生产许可证：</w:t>
      </w:r>
      <w:r>
        <w:rPr>
          <w:rFonts w:hint="eastAsia"/>
          <w:highlight w:val="none"/>
          <w:u w:val="single"/>
        </w:rPr>
        <w:t>投标人需具有有效的建设行政主管部门颁发的安全生产许可证。</w:t>
      </w:r>
    </w:p>
    <w:p>
      <w:pPr>
        <w:spacing w:line="360" w:lineRule="auto"/>
        <w:ind w:firstLine="537" w:firstLineChars="224"/>
        <w:rPr>
          <w:rFonts w:ascii="宋体" w:hAnsi="宋体" w:cs="宋体"/>
          <w:highlight w:val="none"/>
        </w:rPr>
      </w:pPr>
      <w:r>
        <w:rPr>
          <w:rFonts w:hint="eastAsia" w:ascii="宋体" w:hAnsi="宋体" w:cs="宋体"/>
          <w:sz w:val="24"/>
          <w:szCs w:val="24"/>
          <w:highlight w:val="none"/>
        </w:rPr>
        <w:t>3.1.3项目负责人资格：</w:t>
      </w:r>
      <w:r>
        <w:rPr>
          <w:rFonts w:hint="eastAsia" w:ascii="宋体" w:hAnsi="宋体" w:cs="宋体"/>
          <w:sz w:val="24"/>
          <w:szCs w:val="24"/>
          <w:highlight w:val="none"/>
          <w:u w:val="single"/>
        </w:rPr>
        <w:t>具有市政公用工程专业二级或以上注册建造师，为投标申请人本企业信息登记中的在册人员；同时具有有效的建设行政主管部门颁发的安全培训考核合格证（B类）或提供广东省建筑施工企业管理人员安全生产考核信息系统相应人员信息资料的网页打印页。</w:t>
      </w:r>
    </w:p>
    <w:p>
      <w:pPr>
        <w:pStyle w:val="21"/>
        <w:spacing w:before="0" w:after="0" w:line="360" w:lineRule="auto"/>
        <w:ind w:firstLine="492" w:firstLineChars="224"/>
        <w:rPr>
          <w:sz w:val="22"/>
          <w:szCs w:val="20"/>
          <w:highlight w:val="none"/>
          <w:u w:val="single"/>
        </w:rPr>
      </w:pPr>
      <w:r>
        <w:rPr>
          <w:rFonts w:hint="eastAsia"/>
          <w:sz w:val="22"/>
          <w:szCs w:val="20"/>
          <w:highlight w:val="none"/>
          <w:u w:val="single"/>
        </w:rPr>
        <w:t>注：①根据广东省建设厅《关于明确省外二级建造师入粤注册和执业有关问题的通知》（粤建市函〔2011〕218号），二级建造师执业资格证书、注册证书仅限所在行政区域内有效，不得跨省执业。投标人应提供有效的二级建造师执业资格证书或提供省建设执业资格注册中心“广东省二级注册建造师、二级注册结构工程师、二级注册建筑师注册管理信息系统”上有效的电子注册证书。</w:t>
      </w:r>
    </w:p>
    <w:p>
      <w:pPr>
        <w:pStyle w:val="21"/>
        <w:spacing w:before="0" w:after="0" w:line="360" w:lineRule="auto"/>
        <w:ind w:firstLine="492" w:firstLineChars="224"/>
        <w:rPr>
          <w:sz w:val="22"/>
          <w:szCs w:val="20"/>
          <w:highlight w:val="none"/>
          <w:u w:val="single"/>
        </w:rPr>
      </w:pPr>
      <w:r>
        <w:rPr>
          <w:rFonts w:hint="eastAsia"/>
          <w:sz w:val="22"/>
          <w:szCs w:val="20"/>
          <w:highlight w:val="none"/>
          <w:u w:val="single"/>
        </w:rPr>
        <w:t>②项目负责人在任职期间不得担任专职安全员，项目专职安全员在任职期间也不得担任项目负责人，项目负责人和安全员不为同一人。</w:t>
      </w:r>
    </w:p>
    <w:p>
      <w:pPr>
        <w:pStyle w:val="21"/>
        <w:spacing w:before="0" w:after="0" w:line="360" w:lineRule="auto"/>
        <w:ind w:firstLine="470" w:firstLineChars="224"/>
        <w:rPr>
          <w:sz w:val="20"/>
          <w:szCs w:val="20"/>
          <w:highlight w:val="none"/>
        </w:rPr>
      </w:pPr>
      <w:r>
        <w:rPr>
          <w:rFonts w:hint="eastAsia" w:cs="Arial Unicode MS"/>
          <w:sz w:val="21"/>
          <w:szCs w:val="21"/>
          <w:highlight w:val="none"/>
          <w:u w:val="single"/>
        </w:rPr>
        <w:t>③</w:t>
      </w:r>
      <w:r>
        <w:rPr>
          <w:rFonts w:hint="eastAsia"/>
          <w:sz w:val="22"/>
          <w:szCs w:val="20"/>
          <w:highlight w:val="none"/>
          <w:u w:val="single"/>
        </w:rPr>
        <w:t>投标人拟派的项目负责人应未被广州公共资源交易中心锁定，投标人办理网上投标登记时，拟派项目负责人将被锁定。若在评标时发现该项目负责人已被其他项目锁定，则投标人将不可被推荐为中标候选人。项目负责人的解锁和更换按《广州市水务工程建设项目负责人更换与解锁办事指引》办理。</w:t>
      </w:r>
    </w:p>
    <w:p>
      <w:pPr>
        <w:pStyle w:val="21"/>
        <w:spacing w:before="0" w:after="0" w:line="360" w:lineRule="auto"/>
        <w:ind w:firstLine="537" w:firstLineChars="224"/>
        <w:rPr>
          <w:i/>
          <w:sz w:val="21"/>
          <w:szCs w:val="21"/>
          <w:highlight w:val="none"/>
        </w:rPr>
      </w:pPr>
      <w:r>
        <w:rPr>
          <w:rFonts w:hint="eastAsia"/>
          <w:highlight w:val="none"/>
        </w:rPr>
        <w:t>3.1.4专职安全员资格要求：</w:t>
      </w:r>
      <w:r>
        <w:rPr>
          <w:rFonts w:hint="eastAsia"/>
          <w:highlight w:val="none"/>
          <w:u w:val="single"/>
        </w:rPr>
        <w:t>具有有效的建设行政主管部门颁发的安全培训考核合格证（C类或C3类）或提供广东省建筑施工企业管理人员安全生产考核信息系统相应人员信息资料的网页打印页，专职安全员和项目负责人不得为同一人。</w:t>
      </w:r>
    </w:p>
    <w:p>
      <w:pPr>
        <w:pStyle w:val="21"/>
        <w:spacing w:before="0" w:after="0" w:line="360" w:lineRule="auto"/>
        <w:ind w:firstLine="537" w:firstLineChars="224"/>
        <w:rPr>
          <w:highlight w:val="none"/>
        </w:rPr>
      </w:pPr>
      <w:r>
        <w:rPr>
          <w:rFonts w:hint="eastAsia"/>
          <w:highlight w:val="none"/>
        </w:rPr>
        <w:t>3.1.5类似项目业绩要求：</w:t>
      </w:r>
      <w:r>
        <w:rPr>
          <w:rFonts w:hint="eastAsia"/>
          <w:bCs/>
          <w:highlight w:val="none"/>
          <w:u w:val="single"/>
        </w:rPr>
        <w:t>无。</w:t>
      </w:r>
    </w:p>
    <w:p>
      <w:pPr>
        <w:pStyle w:val="21"/>
        <w:spacing w:before="0" w:after="0" w:line="360" w:lineRule="auto"/>
        <w:ind w:firstLine="537" w:firstLineChars="224"/>
        <w:rPr>
          <w:highlight w:val="none"/>
        </w:rPr>
      </w:pPr>
      <w:r>
        <w:rPr>
          <w:rFonts w:hint="eastAsia"/>
          <w:highlight w:val="none"/>
        </w:rPr>
        <w:t>3.1.6 提交社保文件的要求：</w:t>
      </w:r>
      <w:r>
        <w:rPr>
          <w:rFonts w:hint="eastAsia"/>
          <w:highlight w:val="none"/>
          <w:u w:val="single"/>
        </w:rPr>
        <w:t>投标申请人须保证授权的委托代理人及项目部主要组成人员（项目负责人、专职安全员）均为本单位的正式职工，必须具有离投标截止时间最近一个月（时间为：2023年4月）在本单位交纳的社保证明文件（以加盖社会保险基金管理中心印章的《投保单》或《社会保险参保人员证明》资料为准）。</w:t>
      </w:r>
    </w:p>
    <w:p>
      <w:pPr>
        <w:pStyle w:val="21"/>
        <w:spacing w:before="0" w:after="0" w:line="360" w:lineRule="auto"/>
        <w:ind w:firstLine="537" w:firstLineChars="224"/>
        <w:rPr>
          <w:highlight w:val="none"/>
        </w:rPr>
      </w:pPr>
      <w:r>
        <w:rPr>
          <w:rFonts w:hint="eastAsia"/>
          <w:highlight w:val="none"/>
        </w:rPr>
        <w:t>3.1.</w:t>
      </w:r>
      <w:r>
        <w:rPr>
          <w:highlight w:val="none"/>
        </w:rPr>
        <w:t>7</w:t>
      </w:r>
      <w:r>
        <w:rPr>
          <w:rFonts w:hint="eastAsia"/>
          <w:highlight w:val="none"/>
        </w:rPr>
        <w:t>投标人不得存在下列情形之一（投标人须在投标文件中就有关内容做出声明，除非另有要求，不需要在投标文件中提供证明材料）：</w:t>
      </w:r>
    </w:p>
    <w:p>
      <w:pPr>
        <w:pStyle w:val="21"/>
        <w:spacing w:before="0" w:after="0" w:line="360" w:lineRule="auto"/>
        <w:ind w:firstLine="537" w:firstLineChars="224"/>
        <w:rPr>
          <w:highlight w:val="none"/>
        </w:rPr>
      </w:pPr>
      <w:r>
        <w:rPr>
          <w:rFonts w:hint="eastAsia"/>
          <w:highlight w:val="none"/>
        </w:rPr>
        <w:t>（1）为招标人不具有独立法人资格的附属机构（单位）；</w:t>
      </w:r>
    </w:p>
    <w:p>
      <w:pPr>
        <w:pStyle w:val="21"/>
        <w:spacing w:before="0" w:after="0" w:line="360" w:lineRule="auto"/>
        <w:ind w:firstLine="537" w:firstLineChars="224"/>
        <w:rPr>
          <w:highlight w:val="none"/>
        </w:rPr>
      </w:pPr>
      <w:r>
        <w:rPr>
          <w:rFonts w:hint="eastAsia"/>
          <w:highlight w:val="none"/>
        </w:rPr>
        <w:t>（2）为本次招标项目前期准备提供设计或咨询服务的；</w:t>
      </w:r>
    </w:p>
    <w:p>
      <w:pPr>
        <w:pStyle w:val="21"/>
        <w:spacing w:before="0" w:after="0" w:line="360" w:lineRule="auto"/>
        <w:ind w:firstLine="537" w:firstLineChars="224"/>
        <w:rPr>
          <w:highlight w:val="none"/>
        </w:rPr>
      </w:pPr>
      <w:r>
        <w:rPr>
          <w:rFonts w:hint="eastAsia"/>
          <w:highlight w:val="none"/>
        </w:rPr>
        <w:t>（3）为本次招标项目的监理人；</w:t>
      </w:r>
    </w:p>
    <w:p>
      <w:pPr>
        <w:pStyle w:val="21"/>
        <w:spacing w:before="0" w:after="0" w:line="360" w:lineRule="auto"/>
        <w:ind w:firstLine="537" w:firstLineChars="224"/>
        <w:rPr>
          <w:highlight w:val="none"/>
        </w:rPr>
      </w:pPr>
      <w:r>
        <w:rPr>
          <w:rFonts w:hint="eastAsia"/>
          <w:highlight w:val="none"/>
        </w:rPr>
        <w:t>（4）为本次招标项目的代建人；</w:t>
      </w:r>
    </w:p>
    <w:p>
      <w:pPr>
        <w:pStyle w:val="21"/>
        <w:spacing w:before="0" w:after="0" w:line="360" w:lineRule="auto"/>
        <w:ind w:firstLine="537" w:firstLineChars="224"/>
        <w:rPr>
          <w:highlight w:val="none"/>
        </w:rPr>
      </w:pPr>
      <w:r>
        <w:rPr>
          <w:rFonts w:hint="eastAsia"/>
          <w:highlight w:val="none"/>
        </w:rPr>
        <w:t>（5）为本次招标项目提供招标代理服务的； </w:t>
      </w:r>
    </w:p>
    <w:p>
      <w:pPr>
        <w:pStyle w:val="21"/>
        <w:spacing w:before="0" w:after="0" w:line="360" w:lineRule="auto"/>
        <w:ind w:firstLine="537" w:firstLineChars="224"/>
        <w:rPr>
          <w:highlight w:val="none"/>
        </w:rPr>
      </w:pPr>
      <w:r>
        <w:rPr>
          <w:rFonts w:hint="eastAsia"/>
          <w:highlight w:val="none"/>
        </w:rPr>
        <w:t>（6）与本次招标项目的监理人或代建人或招标代理机构同为一个法定代表人的；</w:t>
      </w:r>
    </w:p>
    <w:p>
      <w:pPr>
        <w:pStyle w:val="21"/>
        <w:spacing w:before="0" w:after="0" w:line="360" w:lineRule="auto"/>
        <w:ind w:firstLine="537" w:firstLineChars="224"/>
        <w:rPr>
          <w:highlight w:val="none"/>
        </w:rPr>
      </w:pPr>
      <w:r>
        <w:rPr>
          <w:rFonts w:hint="eastAsia"/>
          <w:highlight w:val="none"/>
        </w:rPr>
        <w:t>（7）与本次招标项目的监理人或代建人或招标代理机构相互控股或参股的；</w:t>
      </w:r>
    </w:p>
    <w:p>
      <w:pPr>
        <w:pStyle w:val="21"/>
        <w:spacing w:before="0" w:after="0" w:line="360" w:lineRule="auto"/>
        <w:ind w:firstLine="537" w:firstLineChars="224"/>
        <w:rPr>
          <w:highlight w:val="none"/>
        </w:rPr>
      </w:pPr>
      <w:r>
        <w:rPr>
          <w:rFonts w:hint="eastAsia"/>
          <w:highlight w:val="none"/>
        </w:rPr>
        <w:t>（8）与本次招标项目的监理人或代建人或招标代理机构相互任职或工作的；</w:t>
      </w:r>
    </w:p>
    <w:p>
      <w:pPr>
        <w:pStyle w:val="21"/>
        <w:spacing w:before="0" w:after="0" w:line="360" w:lineRule="auto"/>
        <w:ind w:firstLine="537" w:firstLineChars="224"/>
        <w:rPr>
          <w:highlight w:val="none"/>
        </w:rPr>
      </w:pPr>
      <w:r>
        <w:rPr>
          <w:rFonts w:hint="eastAsia"/>
          <w:highlight w:val="none"/>
        </w:rPr>
        <w:t>（9）被责令停业的；</w:t>
      </w:r>
    </w:p>
    <w:p>
      <w:pPr>
        <w:pStyle w:val="21"/>
        <w:spacing w:before="0" w:after="0" w:line="360" w:lineRule="auto"/>
        <w:ind w:firstLine="537" w:firstLineChars="224"/>
        <w:rPr>
          <w:highlight w:val="none"/>
        </w:rPr>
      </w:pPr>
      <w:r>
        <w:rPr>
          <w:rFonts w:hint="eastAsia"/>
          <w:highlight w:val="none"/>
        </w:rPr>
        <w:t>（10）被暂停或取消投标资格的；</w:t>
      </w:r>
    </w:p>
    <w:p>
      <w:pPr>
        <w:pStyle w:val="21"/>
        <w:spacing w:before="0" w:after="0" w:line="360" w:lineRule="auto"/>
        <w:ind w:firstLine="537" w:firstLineChars="224"/>
        <w:rPr>
          <w:highlight w:val="none"/>
        </w:rPr>
      </w:pPr>
      <w:r>
        <w:rPr>
          <w:rFonts w:hint="eastAsia"/>
          <w:highlight w:val="none"/>
        </w:rPr>
        <w:t>（11）财产被接管或冻结的；</w:t>
      </w:r>
    </w:p>
    <w:p>
      <w:pPr>
        <w:pStyle w:val="21"/>
        <w:spacing w:before="0" w:after="0" w:line="360" w:lineRule="auto"/>
        <w:ind w:firstLine="537" w:firstLineChars="224"/>
        <w:rPr>
          <w:highlight w:val="none"/>
        </w:rPr>
      </w:pPr>
      <w:r>
        <w:rPr>
          <w:rFonts w:hint="eastAsia"/>
          <w:highlight w:val="none"/>
        </w:rPr>
        <w:t>（12）单位负责人为同一人或者存在控股、管理关系的不同单位，同时参加本招标项目投标。</w:t>
      </w:r>
    </w:p>
    <w:p>
      <w:pPr>
        <w:pStyle w:val="21"/>
        <w:spacing w:before="0" w:after="0" w:line="360" w:lineRule="auto"/>
        <w:ind w:firstLine="537" w:firstLineChars="224"/>
        <w:rPr>
          <w:highlight w:val="none"/>
        </w:rPr>
      </w:pPr>
      <w:r>
        <w:rPr>
          <w:rFonts w:hint="eastAsia"/>
          <w:highlight w:val="none"/>
        </w:rPr>
        <w:t>（13）投标人、投标人主要负责人及拟投入人员在招标投标、合同履行、安全事故方面因违反有关法律、法规规定受到相关行政管理部门的行政处罚，被取消投标资格的。</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3.2本次招标</w:t>
      </w:r>
      <w:r>
        <w:rPr>
          <w:rFonts w:hint="eastAsia" w:ascii="宋体" w:hAnsi="宋体" w:cs="宋体"/>
          <w:sz w:val="24"/>
          <w:szCs w:val="24"/>
          <w:highlight w:val="none"/>
          <w:u w:val="single"/>
        </w:rPr>
        <w:t>不接受</w:t>
      </w:r>
      <w:r>
        <w:rPr>
          <w:rFonts w:hint="eastAsia" w:ascii="宋体" w:hAnsi="宋体" w:cs="宋体"/>
          <w:sz w:val="24"/>
          <w:szCs w:val="24"/>
          <w:highlight w:val="none"/>
        </w:rPr>
        <w:t>联合体投标。</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3.3本次招标要求投标人已在广州公共资源交易中心办理信息登记等相关投标登记手续。</w:t>
      </w:r>
    </w:p>
    <w:p>
      <w:pPr>
        <w:spacing w:line="360" w:lineRule="auto"/>
        <w:ind w:firstLine="537" w:firstLineChars="224"/>
        <w:rPr>
          <w:rFonts w:ascii="宋体" w:hAnsi="宋体" w:cs="宋体"/>
          <w:sz w:val="24"/>
          <w:szCs w:val="24"/>
          <w:highlight w:val="none"/>
        </w:rPr>
      </w:pPr>
      <w:bookmarkStart w:id="21" w:name="_Toc221949929"/>
      <w:r>
        <w:rPr>
          <w:rFonts w:hint="eastAsia" w:ascii="宋体" w:hAnsi="宋体" w:cs="宋体"/>
          <w:sz w:val="24"/>
          <w:szCs w:val="24"/>
          <w:highlight w:val="none"/>
        </w:rPr>
        <w:t>3.4投标文件中投标人声明有按招标文件要求提交且有项目负责人、技术负责人签字，没有签字不予通过资格审查</w:t>
      </w:r>
      <w:bookmarkEnd w:id="21"/>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3.5本次招标实行资格后审,资格审查不合格的投标人投标文件将按无效投标处理被否决。</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3.6 落实失信联合惩戒措施</w:t>
      </w:r>
    </w:p>
    <w:p>
      <w:pPr>
        <w:spacing w:line="360" w:lineRule="auto"/>
        <w:ind w:firstLine="537" w:firstLineChars="224"/>
        <w:rPr>
          <w:rFonts w:ascii="宋体" w:hAnsi="宋体"/>
          <w:sz w:val="24"/>
          <w:szCs w:val="24"/>
          <w:highlight w:val="none"/>
          <w:u w:val="single"/>
        </w:rPr>
      </w:pPr>
      <w:r>
        <w:rPr>
          <w:rFonts w:hint="eastAsia" w:ascii="宋体" w:hAnsi="宋体" w:cs="宋体"/>
          <w:sz w:val="24"/>
          <w:szCs w:val="24"/>
          <w:highlight w:val="none"/>
        </w:rPr>
        <w:t xml:space="preserve"> 未被纳入失信联合惩戒名单，失信联合惩戒名单以 “信用广州”网站公布的“失信联合惩戒黑名单”为准。</w:t>
      </w:r>
    </w:p>
    <w:p>
      <w:pPr>
        <w:spacing w:line="360" w:lineRule="auto"/>
        <w:ind w:firstLine="540" w:firstLineChars="224"/>
        <w:rPr>
          <w:rFonts w:ascii="宋体" w:hAnsi="宋体" w:cs="宋体"/>
          <w:b/>
          <w:sz w:val="24"/>
          <w:szCs w:val="24"/>
          <w:highlight w:val="none"/>
        </w:rPr>
      </w:pPr>
      <w:bookmarkStart w:id="22" w:name="_Toc168475629"/>
      <w:bookmarkStart w:id="23" w:name="_Toc259524299"/>
      <w:bookmarkStart w:id="24" w:name="_Toc222030968"/>
      <w:bookmarkStart w:id="25" w:name="_Toc229305326"/>
      <w:bookmarkStart w:id="26" w:name="_Toc222032635"/>
      <w:bookmarkStart w:id="27" w:name="_Toc221949930"/>
      <w:bookmarkStart w:id="28" w:name="_Toc144974483"/>
      <w:bookmarkStart w:id="29" w:name="_Toc222033817"/>
      <w:bookmarkStart w:id="30" w:name="_Toc222029466"/>
      <w:bookmarkStart w:id="31" w:name="_Toc168476032"/>
      <w:r>
        <w:rPr>
          <w:rFonts w:hint="eastAsia" w:ascii="宋体" w:hAnsi="宋体" w:cs="宋体"/>
          <w:b/>
          <w:sz w:val="24"/>
          <w:szCs w:val="24"/>
          <w:highlight w:val="none"/>
        </w:rPr>
        <w:t>4. 招标文件的获取</w:t>
      </w:r>
      <w:bookmarkEnd w:id="22"/>
      <w:bookmarkEnd w:id="23"/>
      <w:bookmarkEnd w:id="24"/>
      <w:bookmarkEnd w:id="25"/>
      <w:bookmarkEnd w:id="26"/>
      <w:bookmarkEnd w:id="27"/>
      <w:bookmarkEnd w:id="28"/>
      <w:bookmarkEnd w:id="29"/>
      <w:bookmarkEnd w:id="30"/>
      <w:bookmarkEnd w:id="31"/>
    </w:p>
    <w:p>
      <w:pPr>
        <w:spacing w:line="360" w:lineRule="auto"/>
        <w:ind w:firstLine="537" w:firstLineChars="224"/>
        <w:rPr>
          <w:rFonts w:ascii="宋体" w:hAnsi="宋体" w:cs="宋体"/>
          <w:sz w:val="24"/>
          <w:szCs w:val="24"/>
          <w:highlight w:val="none"/>
        </w:rPr>
      </w:pPr>
      <w:bookmarkStart w:id="32" w:name="_Toc221949931"/>
      <w:r>
        <w:rPr>
          <w:rFonts w:hint="eastAsia" w:ascii="宋体" w:hAnsi="宋体" w:cs="宋体"/>
          <w:sz w:val="24"/>
          <w:szCs w:val="24"/>
          <w:highlight w:val="none"/>
        </w:rPr>
        <w:t>4.1招标文件通过广州公共资源交易中心网站获取。</w:t>
      </w:r>
    </w:p>
    <w:bookmarkEnd w:id="32"/>
    <w:p>
      <w:pPr>
        <w:spacing w:line="360" w:lineRule="auto"/>
        <w:ind w:firstLine="537" w:firstLineChars="224"/>
        <w:rPr>
          <w:rFonts w:ascii="宋体" w:hAnsi="宋体" w:cs="宋体"/>
          <w:sz w:val="24"/>
          <w:szCs w:val="24"/>
          <w:highlight w:val="none"/>
        </w:rPr>
      </w:pPr>
      <w:bookmarkStart w:id="33" w:name="_Toc221949933"/>
      <w:r>
        <w:rPr>
          <w:rFonts w:hint="eastAsia" w:ascii="宋体" w:hAnsi="宋体" w:cs="宋体"/>
          <w:sz w:val="24"/>
          <w:szCs w:val="24"/>
          <w:highlight w:val="none"/>
        </w:rPr>
        <w:t>招标公告网上发布的同时，通过广州公共资源交易中心网站发布电子招标文件、施工图纸、招标控制价。</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4.2如招标人需发布补充公告的，以最后发布的补充公告的时间起计算编制投标文件时间，并需在招标答疑中明确说明。</w:t>
      </w:r>
      <w:bookmarkEnd w:id="33"/>
    </w:p>
    <w:p>
      <w:pPr>
        <w:spacing w:line="360" w:lineRule="auto"/>
        <w:ind w:firstLine="540" w:firstLineChars="224"/>
        <w:rPr>
          <w:rFonts w:ascii="宋体" w:hAnsi="宋体" w:cs="宋体"/>
          <w:b/>
          <w:sz w:val="24"/>
          <w:szCs w:val="24"/>
          <w:highlight w:val="none"/>
        </w:rPr>
      </w:pPr>
      <w:bookmarkStart w:id="34" w:name="_Toc222033818"/>
      <w:bookmarkStart w:id="35" w:name="_Toc144974484"/>
      <w:bookmarkStart w:id="36" w:name="_Toc222032636"/>
      <w:bookmarkStart w:id="37" w:name="_Toc168475630"/>
      <w:bookmarkStart w:id="38" w:name="_Toc222030969"/>
      <w:bookmarkStart w:id="39" w:name="_Toc222029467"/>
      <w:bookmarkStart w:id="40" w:name="_Toc168476033"/>
      <w:bookmarkStart w:id="41" w:name="_Toc221949934"/>
      <w:bookmarkStart w:id="42" w:name="_Toc229305327"/>
      <w:bookmarkStart w:id="43" w:name="_Toc259524300"/>
      <w:r>
        <w:rPr>
          <w:rFonts w:hint="eastAsia" w:ascii="宋体" w:hAnsi="宋体" w:cs="宋体"/>
          <w:b/>
          <w:sz w:val="24"/>
          <w:szCs w:val="24"/>
          <w:highlight w:val="none"/>
        </w:rPr>
        <w:t>5. 投标文件的递交</w:t>
      </w:r>
      <w:bookmarkEnd w:id="34"/>
      <w:bookmarkEnd w:id="35"/>
      <w:bookmarkEnd w:id="36"/>
      <w:bookmarkEnd w:id="37"/>
      <w:bookmarkEnd w:id="38"/>
      <w:bookmarkEnd w:id="39"/>
      <w:bookmarkEnd w:id="40"/>
      <w:bookmarkEnd w:id="41"/>
      <w:bookmarkEnd w:id="42"/>
      <w:bookmarkEnd w:id="43"/>
    </w:p>
    <w:p>
      <w:pPr>
        <w:widowControl/>
        <w:shd w:val="clear" w:color="auto" w:fill="FFFFFF"/>
        <w:spacing w:line="360" w:lineRule="auto"/>
        <w:ind w:left="239" w:leftChars="114" w:firstLine="297" w:firstLineChars="124"/>
        <w:jc w:val="left"/>
        <w:rPr>
          <w:rFonts w:ascii="宋体" w:hAnsi="宋体" w:cs="宋体"/>
          <w:sz w:val="24"/>
          <w:szCs w:val="24"/>
          <w:highlight w:val="none"/>
        </w:rPr>
      </w:pPr>
      <w:r>
        <w:rPr>
          <w:rFonts w:hint="eastAsia" w:ascii="宋体" w:hAnsi="宋体" w:cs="宋体"/>
          <w:sz w:val="24"/>
          <w:szCs w:val="24"/>
          <w:highlight w:val="none"/>
        </w:rPr>
        <w:t>5.1本项目采用电子投标，投标文件递交的截止时间（投标截止时间，下同）为</w:t>
      </w:r>
      <w:r>
        <w:rPr>
          <w:rFonts w:hint="eastAsia" w:ascii="宋体" w:hAnsi="宋体" w:cs="宋体"/>
          <w:sz w:val="24"/>
          <w:szCs w:val="24"/>
          <w:highlight w:val="none"/>
          <w:u w:val="single"/>
        </w:rPr>
        <w:t>2023</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22</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10 </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0</w:t>
      </w:r>
      <w:r>
        <w:rPr>
          <w:rFonts w:ascii="宋体" w:hAnsi="宋体" w:cs="宋体"/>
          <w:sz w:val="24"/>
          <w:szCs w:val="24"/>
          <w:highlight w:val="none"/>
          <w:u w:val="single"/>
        </w:rPr>
        <w:t>0</w:t>
      </w:r>
      <w:r>
        <w:rPr>
          <w:rFonts w:hint="eastAsia" w:ascii="宋体" w:hAnsi="宋体" w:cs="宋体"/>
          <w:sz w:val="24"/>
          <w:szCs w:val="24"/>
          <w:highlight w:val="none"/>
        </w:rPr>
        <w:t>分，具体递交要求以招标文件为准。有关广州水务工程（给排水专业）电子投标的帮助文件可自行在广州公共资源交易中心网站相关栏目下载。路径为</w:t>
      </w:r>
      <w:r>
        <w:rPr>
          <w:rFonts w:hint="eastAsia" w:ascii="宋体" w:hAnsi="宋体" w:cs="宋体"/>
          <w:kern w:val="0"/>
          <w:sz w:val="24"/>
          <w:szCs w:val="24"/>
          <w:highlight w:val="none"/>
        </w:rPr>
        <w:t>广州公共资源交易中心网站服务指南》系统帮助》工具下载》新数字交易平台（建设工程）系统工具及驱动包：</w:t>
      </w:r>
      <w:r>
        <w:rPr>
          <w:rFonts w:ascii="宋体" w:hAnsi="宋体" w:cs="宋体"/>
          <w:highlight w:val="none"/>
        </w:rPr>
        <w:t>http://www.gzggzy.cn/fwznxtbzgjxz/731073.jhtml</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5.2开标开始时间和地点：</w:t>
      </w:r>
      <w:r>
        <w:rPr>
          <w:rFonts w:hint="eastAsia" w:ascii="宋体" w:hAnsi="宋体" w:cs="宋体"/>
          <w:sz w:val="24"/>
          <w:szCs w:val="24"/>
          <w:highlight w:val="none"/>
          <w:u w:val="single"/>
        </w:rPr>
        <w:t>2023年</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22</w:t>
      </w:r>
      <w:r>
        <w:rPr>
          <w:rFonts w:hint="eastAsia" w:ascii="宋体" w:hAnsi="宋体" w:cs="宋体"/>
          <w:sz w:val="24"/>
          <w:szCs w:val="24"/>
          <w:highlight w:val="none"/>
          <w:u w:val="single"/>
        </w:rPr>
        <w:t>日10时</w:t>
      </w:r>
      <w:r>
        <w:rPr>
          <w:rFonts w:hint="eastAsia" w:ascii="宋体" w:hAnsi="宋体" w:cs="宋体"/>
          <w:sz w:val="24"/>
          <w:szCs w:val="24"/>
          <w:highlight w:val="none"/>
          <w:u w:val="single"/>
          <w:lang w:val="en-US" w:eastAsia="zh-CN"/>
        </w:rPr>
        <w:t>0</w:t>
      </w:r>
      <w:r>
        <w:rPr>
          <w:rFonts w:hint="eastAsia" w:ascii="宋体" w:hAnsi="宋体" w:cs="宋体"/>
          <w:sz w:val="24"/>
          <w:szCs w:val="24"/>
          <w:highlight w:val="none"/>
          <w:u w:val="single"/>
        </w:rPr>
        <w:t>0分在广州公共资源交易中心花都交易部第</w:t>
      </w:r>
      <w:r>
        <w:rPr>
          <w:rFonts w:hint="eastAsia" w:ascii="宋体" w:hAnsi="宋体" w:cs="宋体"/>
          <w:sz w:val="24"/>
          <w:szCs w:val="24"/>
          <w:highlight w:val="none"/>
          <w:u w:val="single"/>
          <w:lang w:val="en-US" w:eastAsia="zh-CN"/>
        </w:rPr>
        <w:t>4</w:t>
      </w:r>
      <w:r>
        <w:rPr>
          <w:rFonts w:hint="eastAsia" w:ascii="宋体" w:hAnsi="宋体" w:cs="宋体"/>
          <w:sz w:val="24"/>
          <w:szCs w:val="24"/>
          <w:highlight w:val="none"/>
          <w:u w:val="single"/>
        </w:rPr>
        <w:t>开标室。</w:t>
      </w:r>
      <w:r>
        <w:rPr>
          <w:rFonts w:hint="eastAsia" w:ascii="宋体" w:hAnsi="宋体" w:cs="宋体"/>
          <w:sz w:val="24"/>
          <w:szCs w:val="24"/>
          <w:highlight w:val="none"/>
        </w:rPr>
        <w:t>(注：开标开始时间为投标人解密投标文件的结束时间之后，解密时间以招标文件规定为准。)</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5.3投标截止时间与开标开始时间是否有变化，请密切留意招标答疑中的相关信息。递交投标文件截止时间后，开标开始时间因故推迟的，相关评标信息仍以原递交投标文件截止时间的信息为准。</w:t>
      </w:r>
    </w:p>
    <w:p>
      <w:pPr>
        <w:spacing w:line="360" w:lineRule="auto"/>
        <w:ind w:firstLine="537" w:firstLineChars="224"/>
        <w:rPr>
          <w:rFonts w:ascii="宋体" w:hAnsi="宋体" w:cs="宋体"/>
          <w:sz w:val="24"/>
          <w:szCs w:val="24"/>
          <w:highlight w:val="none"/>
        </w:rPr>
      </w:pPr>
      <w:bookmarkStart w:id="44" w:name="_Toc221949936"/>
      <w:r>
        <w:rPr>
          <w:rFonts w:hint="eastAsia" w:ascii="宋体" w:hAnsi="宋体" w:cs="宋体"/>
          <w:sz w:val="24"/>
          <w:szCs w:val="24"/>
          <w:highlight w:val="none"/>
        </w:rPr>
        <w:t>5.4逾期送达的或者未送达指定地点的投标文件，招标人不予受理。</w:t>
      </w:r>
      <w:bookmarkEnd w:id="44"/>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5.5 投标人在递交投标文件前，应按广州公共资源交易中心要求办理进场和投标登记手续，否则后果自负。</w:t>
      </w:r>
    </w:p>
    <w:p>
      <w:pPr>
        <w:widowControl/>
        <w:spacing w:line="360" w:lineRule="auto"/>
        <w:ind w:firstLine="537" w:firstLineChars="224"/>
        <w:jc w:val="left"/>
        <w:rPr>
          <w:rFonts w:ascii="宋体" w:hAnsi="宋体" w:cs="宋体"/>
          <w:highlight w:val="none"/>
        </w:rPr>
      </w:pPr>
      <w:r>
        <w:rPr>
          <w:rFonts w:hint="eastAsia" w:ascii="宋体" w:hAnsi="宋体" w:cs="宋体"/>
          <w:kern w:val="0"/>
          <w:sz w:val="24"/>
          <w:szCs w:val="24"/>
          <w:highlight w:val="none"/>
        </w:rPr>
        <w:t>5.6</w:t>
      </w:r>
      <w:r>
        <w:rPr>
          <w:rFonts w:hint="eastAsia" w:ascii="宋体" w:hAnsi="宋体" w:cs="宋体"/>
          <w:sz w:val="24"/>
          <w:szCs w:val="24"/>
          <w:highlight w:val="none"/>
        </w:rPr>
        <w:t>工程量清单报价表应使用符合广东省标准《建设工程政府投资项目造价数据标准（DBJ/T15-145-2018）》及后续版本的有关规定。</w:t>
      </w:r>
    </w:p>
    <w:p>
      <w:pPr>
        <w:widowControl/>
        <w:spacing w:line="360" w:lineRule="auto"/>
        <w:ind w:firstLine="537" w:firstLineChars="224"/>
        <w:jc w:val="left"/>
        <w:rPr>
          <w:rFonts w:ascii="宋体" w:hAnsi="宋体" w:cs="宋体"/>
          <w:sz w:val="24"/>
          <w:szCs w:val="24"/>
          <w:highlight w:val="none"/>
        </w:rPr>
      </w:pPr>
      <w:r>
        <w:rPr>
          <w:rFonts w:hint="eastAsia" w:ascii="宋体" w:hAnsi="宋体" w:cs="宋体"/>
          <w:sz w:val="24"/>
          <w:szCs w:val="24"/>
          <w:highlight w:val="none"/>
        </w:rPr>
        <w:t>5.7投标人应自行检查广州公共资源交易中心信息登记中的企业基础信息扫描件（包括企业资质证书、企业营业执照、企业安全生产许可证、项目负责人相关证书、安全员安全培训考核合格证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pPr>
        <w:spacing w:line="360" w:lineRule="auto"/>
        <w:ind w:firstLine="540" w:firstLineChars="224"/>
        <w:rPr>
          <w:rFonts w:ascii="宋体" w:hAnsi="宋体" w:cs="宋体"/>
          <w:b/>
          <w:sz w:val="24"/>
          <w:szCs w:val="24"/>
          <w:highlight w:val="none"/>
        </w:rPr>
      </w:pPr>
      <w:bookmarkStart w:id="45" w:name="_Toc222032637"/>
      <w:bookmarkStart w:id="46" w:name="_Toc259524301"/>
      <w:bookmarkStart w:id="47" w:name="_Toc222030970"/>
      <w:bookmarkStart w:id="48" w:name="_Toc221949937"/>
      <w:bookmarkStart w:id="49" w:name="_Toc222029468"/>
      <w:bookmarkStart w:id="50" w:name="_Toc229305328"/>
      <w:bookmarkStart w:id="51" w:name="_Toc222033819"/>
      <w:r>
        <w:rPr>
          <w:rFonts w:hint="eastAsia" w:ascii="宋体" w:hAnsi="宋体" w:cs="宋体"/>
          <w:b/>
          <w:sz w:val="24"/>
          <w:szCs w:val="24"/>
          <w:highlight w:val="none"/>
        </w:rPr>
        <w:t>6、办理投标登记手续</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投标人应在投标截止时间前，登录广州公共资源交易中心网站办理网上投标登记手续。</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6.1投标人应遵循以下程序完成网上投标登记手续：</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（1）登录广州公共资源交易中心网站投标人服务专区完成的相关信息录入。</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2）核对并确认投标信息无误后，上传带有电子签章的加密投标文件。在投标截止时间前，投标人可以替换投标文件。投标文件须于投标截止时间前完整上传并保存到交易中心的电子评标系统。如果投标文件于投标截止时间未能上传完毕，该投标文件将视为无效投标文件。</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6.2项目负责人的使用状态按投标文件提交截止时间，以在广州公共资源交易中心信息登记的为准。如出现拟报项目负责人不能被使用而造成投标信息无法录入广州公共资源交易中心交易服务系统的，其投标文件将视为无效投标文件。</w:t>
      </w:r>
    </w:p>
    <w:p>
      <w:pPr>
        <w:spacing w:line="360" w:lineRule="auto"/>
        <w:ind w:firstLine="540" w:firstLineChars="224"/>
        <w:rPr>
          <w:rFonts w:ascii="宋体" w:hAnsi="宋体" w:cs="宋体"/>
          <w:b/>
          <w:sz w:val="24"/>
          <w:szCs w:val="24"/>
          <w:highlight w:val="none"/>
        </w:rPr>
      </w:pPr>
      <w:r>
        <w:rPr>
          <w:rFonts w:hint="eastAsia" w:ascii="宋体" w:hAnsi="宋体" w:cs="宋体"/>
          <w:b/>
          <w:sz w:val="24"/>
          <w:szCs w:val="24"/>
          <w:highlight w:val="none"/>
        </w:rPr>
        <w:t>7.诚信得分</w:t>
      </w:r>
    </w:p>
    <w:p>
      <w:pPr>
        <w:spacing w:line="360" w:lineRule="auto"/>
        <w:ind w:firstLine="537" w:firstLineChars="224"/>
        <w:rPr>
          <w:rFonts w:ascii="宋体" w:hAnsi="宋体"/>
          <w:sz w:val="24"/>
          <w:szCs w:val="24"/>
          <w:highlight w:val="none"/>
        </w:rPr>
      </w:pPr>
      <w:r>
        <w:rPr>
          <w:rFonts w:hint="eastAsia" w:ascii="宋体" w:hAnsi="宋体"/>
          <w:sz w:val="24"/>
          <w:szCs w:val="24"/>
          <w:highlight w:val="none"/>
        </w:rPr>
        <w:t>投标人诚信评价分取自本项目招标公告发布第一天所在季度的上一季度广州市水务工程企业库及诚信评价系统网站（</w:t>
      </w:r>
      <w:bookmarkStart w:id="52" w:name="OLE_LINK1"/>
      <w:r>
        <w:rPr>
          <w:rFonts w:hint="eastAsia" w:ascii="宋体" w:hAnsi="宋体"/>
          <w:sz w:val="24"/>
          <w:szCs w:val="24"/>
          <w:highlight w:val="none"/>
        </w:rPr>
        <w:t>http://120.236.111.11:8001/#/website</w:t>
      </w:r>
      <w:bookmarkEnd w:id="52"/>
      <w:r>
        <w:rPr>
          <w:rFonts w:hint="eastAsia" w:ascii="宋体" w:hAnsi="宋体"/>
          <w:sz w:val="24"/>
          <w:szCs w:val="24"/>
          <w:highlight w:val="none"/>
        </w:rPr>
        <w:t>）中的“企业诚信排名&gt;&gt;施工—给排水”中“诚信综合评价”分，未入库企业或在广州市水务工程企业库及诚信评价系统网站中尚无诚信排名“施工－给排水”得分的投标人，其诚信评价分按40分计算。</w:t>
      </w:r>
    </w:p>
    <w:p>
      <w:pPr>
        <w:spacing w:line="360" w:lineRule="auto"/>
        <w:ind w:firstLine="537" w:firstLineChars="224"/>
        <w:rPr>
          <w:rFonts w:ascii="宋体" w:hAnsi="宋体"/>
          <w:sz w:val="24"/>
          <w:szCs w:val="24"/>
          <w:highlight w:val="none"/>
        </w:rPr>
      </w:pPr>
    </w:p>
    <w:p>
      <w:pPr>
        <w:spacing w:line="360" w:lineRule="auto"/>
        <w:ind w:firstLine="540" w:firstLineChars="224"/>
        <w:rPr>
          <w:rFonts w:ascii="宋体" w:hAnsi="宋体" w:cs="宋体"/>
          <w:b/>
          <w:kern w:val="0"/>
          <w:sz w:val="24"/>
          <w:szCs w:val="24"/>
          <w:highlight w:val="none"/>
        </w:rPr>
      </w:pPr>
      <w:r>
        <w:rPr>
          <w:rFonts w:hint="eastAsia" w:ascii="宋体" w:hAnsi="宋体" w:cs="宋体"/>
          <w:b/>
          <w:kern w:val="0"/>
          <w:sz w:val="24"/>
          <w:szCs w:val="24"/>
          <w:highlight w:val="none"/>
        </w:rPr>
        <w:t>8. 疑问、异议和投诉处理</w:t>
      </w:r>
    </w:p>
    <w:p>
      <w:pPr>
        <w:widowControl/>
        <w:spacing w:line="360" w:lineRule="auto"/>
        <w:ind w:firstLine="537" w:firstLineChars="224"/>
        <w:jc w:val="left"/>
        <w:rPr>
          <w:rFonts w:ascii="宋体" w:hAnsi="宋体" w:cs="宋体"/>
          <w:kern w:val="0"/>
          <w:sz w:val="24"/>
          <w:szCs w:val="24"/>
          <w:highlight w:val="none"/>
        </w:rPr>
      </w:pPr>
      <w:r>
        <w:rPr>
          <w:rFonts w:hint="eastAsia" w:ascii="宋体" w:hAnsi="宋体" w:cs="宋体"/>
          <w:kern w:val="0"/>
          <w:sz w:val="24"/>
          <w:szCs w:val="24"/>
          <w:highlight w:val="none"/>
        </w:rPr>
        <w:t>8.1</w:t>
      </w:r>
      <w:r>
        <w:rPr>
          <w:rFonts w:hint="eastAsia" w:ascii="宋体" w:hAnsi="宋体" w:cs="宋体"/>
          <w:sz w:val="24"/>
          <w:highlight w:val="none"/>
        </w:rPr>
        <w:t>关于疑问、异议、投诉的基本概念和处理程序详见《广州市水务局关于明确市属水务工程招标投标活动中疑问、异议和投诉有关事项的通知》（穗水建设〔2017〕31号，以下简称《通知》）。《通知》可通过广州市水务局门户网站或广州公共资源交易中心网站获取。</w:t>
      </w:r>
    </w:p>
    <w:p>
      <w:pPr>
        <w:widowControl/>
        <w:spacing w:line="360" w:lineRule="auto"/>
        <w:ind w:firstLine="537" w:firstLineChars="224"/>
        <w:jc w:val="left"/>
        <w:rPr>
          <w:rFonts w:ascii="宋体" w:hAnsi="宋体" w:cs="宋体"/>
          <w:kern w:val="0"/>
          <w:sz w:val="24"/>
          <w:szCs w:val="24"/>
          <w:highlight w:val="none"/>
        </w:rPr>
      </w:pPr>
      <w:r>
        <w:rPr>
          <w:rFonts w:hint="eastAsia" w:ascii="宋体" w:hAnsi="宋体" w:cs="宋体"/>
          <w:kern w:val="0"/>
          <w:sz w:val="24"/>
          <w:szCs w:val="24"/>
          <w:highlight w:val="none"/>
        </w:rPr>
        <w:t>8.2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widowControl/>
        <w:spacing w:line="360" w:lineRule="auto"/>
        <w:ind w:firstLine="537" w:firstLineChars="224"/>
        <w:jc w:val="left"/>
        <w:rPr>
          <w:rFonts w:ascii="宋体" w:hAnsi="宋体" w:cs="宋体"/>
          <w:kern w:val="0"/>
          <w:sz w:val="24"/>
          <w:szCs w:val="24"/>
          <w:highlight w:val="none"/>
        </w:rPr>
      </w:pPr>
      <w:r>
        <w:rPr>
          <w:rFonts w:hint="eastAsia" w:ascii="宋体" w:hAnsi="宋体" w:cs="宋体"/>
          <w:kern w:val="0"/>
          <w:sz w:val="24"/>
          <w:szCs w:val="24"/>
          <w:highlight w:val="none"/>
        </w:rPr>
        <w:t>8.3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pPr>
        <w:widowControl/>
        <w:spacing w:line="360" w:lineRule="auto"/>
        <w:ind w:firstLine="537" w:firstLineChars="224"/>
        <w:jc w:val="left"/>
        <w:rPr>
          <w:rFonts w:ascii="宋体" w:hAnsi="宋体" w:cs="宋体"/>
          <w:kern w:val="0"/>
          <w:sz w:val="24"/>
          <w:szCs w:val="24"/>
          <w:highlight w:val="none"/>
        </w:rPr>
      </w:pPr>
      <w:r>
        <w:rPr>
          <w:rFonts w:hint="eastAsia" w:ascii="宋体" w:hAnsi="宋体" w:cs="宋体"/>
          <w:kern w:val="0"/>
          <w:sz w:val="24"/>
          <w:szCs w:val="24"/>
          <w:highlight w:val="none"/>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bookmarkEnd w:id="45"/>
    <w:bookmarkEnd w:id="46"/>
    <w:bookmarkEnd w:id="47"/>
    <w:bookmarkEnd w:id="48"/>
    <w:bookmarkEnd w:id="49"/>
    <w:bookmarkEnd w:id="50"/>
    <w:bookmarkEnd w:id="51"/>
    <w:p>
      <w:pPr>
        <w:spacing w:line="360" w:lineRule="auto"/>
        <w:ind w:firstLine="540" w:firstLineChars="224"/>
        <w:rPr>
          <w:rFonts w:ascii="宋体" w:hAnsi="宋体" w:cs="宋体"/>
          <w:b/>
          <w:sz w:val="24"/>
          <w:szCs w:val="24"/>
          <w:highlight w:val="none"/>
        </w:rPr>
      </w:pPr>
      <w:bookmarkStart w:id="53" w:name="_Toc222033820"/>
      <w:bookmarkStart w:id="54" w:name="_Toc168475631"/>
      <w:bookmarkStart w:id="55" w:name="_Toc221949939"/>
      <w:bookmarkStart w:id="56" w:name="_Toc259524302"/>
      <w:bookmarkStart w:id="57" w:name="_Toc222030971"/>
      <w:bookmarkStart w:id="58" w:name="_Toc222032638"/>
      <w:bookmarkStart w:id="59" w:name="_Toc168476034"/>
      <w:bookmarkStart w:id="60" w:name="_Toc229305329"/>
      <w:bookmarkStart w:id="61" w:name="_Toc222029469"/>
      <w:r>
        <w:rPr>
          <w:rFonts w:hint="eastAsia" w:ascii="宋体" w:hAnsi="宋体" w:cs="宋体"/>
          <w:b/>
          <w:sz w:val="24"/>
          <w:szCs w:val="24"/>
          <w:highlight w:val="none"/>
        </w:rPr>
        <w:t>9. 发布公告的媒介</w:t>
      </w:r>
      <w:bookmarkEnd w:id="53"/>
      <w:bookmarkEnd w:id="54"/>
      <w:bookmarkEnd w:id="55"/>
      <w:bookmarkEnd w:id="56"/>
      <w:bookmarkEnd w:id="57"/>
      <w:bookmarkEnd w:id="58"/>
      <w:bookmarkEnd w:id="59"/>
      <w:bookmarkEnd w:id="60"/>
      <w:bookmarkEnd w:id="61"/>
    </w:p>
    <w:p>
      <w:pPr>
        <w:spacing w:line="360" w:lineRule="auto"/>
        <w:ind w:firstLine="537" w:firstLineChars="224"/>
        <w:rPr>
          <w:rFonts w:ascii="宋体" w:hAnsi="宋体" w:cs="宋体"/>
          <w:sz w:val="24"/>
          <w:szCs w:val="24"/>
          <w:highlight w:val="none"/>
        </w:rPr>
      </w:pPr>
      <w:r>
        <w:rPr>
          <w:rFonts w:ascii="宋体" w:hAnsi="宋体" w:cs="宋体"/>
          <w:sz w:val="24"/>
          <w:szCs w:val="24"/>
          <w:highlight w:val="none"/>
        </w:rPr>
        <w:t>9</w:t>
      </w:r>
      <w:r>
        <w:rPr>
          <w:rFonts w:hint="eastAsia" w:ascii="宋体" w:hAnsi="宋体" w:cs="宋体"/>
          <w:sz w:val="24"/>
          <w:szCs w:val="24"/>
          <w:highlight w:val="none"/>
        </w:rPr>
        <w:t>.1招标公告发布时间：从</w:t>
      </w:r>
      <w:r>
        <w:rPr>
          <w:rFonts w:hint="eastAsia" w:ascii="宋体" w:hAnsi="宋体" w:cs="宋体"/>
          <w:sz w:val="24"/>
          <w:szCs w:val="24"/>
          <w:highlight w:val="none"/>
          <w:u w:val="single"/>
        </w:rPr>
        <w:t>2023年</w:t>
      </w:r>
      <w:r>
        <w:rPr>
          <w:rFonts w:hint="eastAsia" w:ascii="宋体" w:hAnsi="宋体" w:cs="宋体"/>
          <w:sz w:val="24"/>
          <w:szCs w:val="24"/>
          <w:highlight w:val="none"/>
          <w:u w:val="single"/>
          <w:lang w:val="en-US" w:eastAsia="zh-CN"/>
        </w:rPr>
        <w:t>4</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29</w:t>
      </w:r>
      <w:r>
        <w:rPr>
          <w:rFonts w:hint="eastAsia" w:ascii="宋体" w:hAnsi="宋体" w:cs="宋体"/>
          <w:sz w:val="24"/>
          <w:szCs w:val="24"/>
          <w:highlight w:val="none"/>
          <w:u w:val="single"/>
        </w:rPr>
        <w:t>日至2023年</w:t>
      </w:r>
      <w:r>
        <w:rPr>
          <w:rFonts w:hint="eastAsia" w:ascii="宋体" w:hAnsi="宋体" w:cs="宋体"/>
          <w:sz w:val="24"/>
          <w:szCs w:val="24"/>
          <w:highlight w:val="none"/>
          <w:u w:val="single"/>
          <w:lang w:val="en-US" w:eastAsia="zh-CN"/>
        </w:rPr>
        <w:t>5月22</w:t>
      </w:r>
      <w:r>
        <w:rPr>
          <w:rFonts w:hint="eastAsia" w:ascii="宋体" w:hAnsi="宋体" w:cs="宋体"/>
          <w:sz w:val="24"/>
          <w:szCs w:val="24"/>
          <w:highlight w:val="none"/>
          <w:u w:val="single"/>
        </w:rPr>
        <w:t>日10时00分</w:t>
      </w:r>
      <w:r>
        <w:rPr>
          <w:rFonts w:hint="eastAsia" w:ascii="宋体" w:hAnsi="宋体" w:cs="宋体"/>
          <w:sz w:val="24"/>
          <w:szCs w:val="24"/>
          <w:highlight w:val="none"/>
        </w:rPr>
        <w:t>。</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注：发布招标公告的时间为招标公告发出之日起至投标截止时间止。</w:t>
      </w:r>
    </w:p>
    <w:p>
      <w:pPr>
        <w:spacing w:line="360" w:lineRule="auto"/>
        <w:ind w:firstLine="537" w:firstLineChars="224"/>
        <w:rPr>
          <w:rFonts w:ascii="宋体" w:hAnsi="宋体" w:cs="宋体"/>
          <w:sz w:val="24"/>
          <w:szCs w:val="24"/>
          <w:highlight w:val="none"/>
        </w:rPr>
      </w:pPr>
      <w:bookmarkStart w:id="62" w:name="_Toc221949940"/>
      <w:r>
        <w:rPr>
          <w:rFonts w:ascii="宋体" w:hAnsi="宋体" w:cs="宋体"/>
          <w:sz w:val="24"/>
          <w:szCs w:val="24"/>
          <w:highlight w:val="none"/>
        </w:rPr>
        <w:t>9</w:t>
      </w:r>
      <w:r>
        <w:rPr>
          <w:rFonts w:hint="eastAsia" w:ascii="宋体" w:hAnsi="宋体" w:cs="宋体"/>
          <w:sz w:val="24"/>
          <w:szCs w:val="24"/>
          <w:highlight w:val="none"/>
        </w:rPr>
        <w:t>.2本次招标公告同时在广州公共资源交易中心网站、广东省</w:t>
      </w:r>
      <w:bookmarkStart w:id="73" w:name="_GoBack"/>
      <w:bookmarkEnd w:id="73"/>
      <w:r>
        <w:rPr>
          <w:rFonts w:hint="eastAsia" w:ascii="宋体" w:hAnsi="宋体" w:cs="宋体"/>
          <w:sz w:val="24"/>
          <w:szCs w:val="24"/>
          <w:highlight w:val="none"/>
        </w:rPr>
        <w:t>招标投标监管网和</w:t>
      </w:r>
      <w:r>
        <w:rPr>
          <w:rFonts w:hint="eastAsia" w:ascii="宋体" w:hAnsi="宋体" w:cs="宋体"/>
          <w:kern w:val="0"/>
          <w:sz w:val="24"/>
          <w:szCs w:val="24"/>
          <w:highlight w:val="none"/>
        </w:rPr>
        <w:t xml:space="preserve">中国招标投标公共服务平台（网址：http://www.cebpubservice.com/） </w:t>
      </w:r>
      <w:r>
        <w:rPr>
          <w:rFonts w:hint="eastAsia" w:ascii="宋体" w:hAnsi="宋体" w:cs="宋体"/>
          <w:sz w:val="24"/>
          <w:szCs w:val="24"/>
          <w:highlight w:val="none"/>
        </w:rPr>
        <w:t>上发布。有关本公告的修改、补充以广州公共资源交易中心网站发布为准。</w:t>
      </w:r>
      <w:bookmarkEnd w:id="62"/>
    </w:p>
    <w:p>
      <w:pPr>
        <w:spacing w:line="360" w:lineRule="auto"/>
        <w:ind w:firstLine="540" w:firstLineChars="224"/>
        <w:rPr>
          <w:rFonts w:ascii="宋体" w:hAnsi="宋体" w:cs="宋体"/>
          <w:b/>
          <w:sz w:val="24"/>
          <w:szCs w:val="24"/>
          <w:highlight w:val="none"/>
        </w:rPr>
      </w:pPr>
      <w:bookmarkStart w:id="63" w:name="_Toc221949941"/>
      <w:bookmarkStart w:id="64" w:name="_Toc222029470"/>
      <w:bookmarkStart w:id="65" w:name="_Toc229305330"/>
      <w:bookmarkStart w:id="66" w:name="_Toc168475632"/>
      <w:bookmarkStart w:id="67" w:name="_Toc222032639"/>
      <w:bookmarkStart w:id="68" w:name="_Toc222033821"/>
      <w:bookmarkStart w:id="69" w:name="_Toc259524303"/>
      <w:bookmarkStart w:id="70" w:name="_Toc168476035"/>
      <w:bookmarkStart w:id="71" w:name="_Toc222030972"/>
      <w:bookmarkStart w:id="72" w:name="_Toc144974485"/>
      <w:r>
        <w:rPr>
          <w:rFonts w:hint="eastAsia" w:ascii="宋体" w:hAnsi="宋体" w:cs="宋体"/>
          <w:b/>
          <w:sz w:val="24"/>
          <w:szCs w:val="24"/>
          <w:highlight w:val="none"/>
        </w:rPr>
        <w:t>10. 联系方式</w:t>
      </w:r>
      <w:bookmarkEnd w:id="63"/>
      <w:bookmarkEnd w:id="64"/>
      <w:bookmarkEnd w:id="65"/>
      <w:bookmarkEnd w:id="66"/>
      <w:bookmarkEnd w:id="67"/>
      <w:bookmarkEnd w:id="68"/>
      <w:bookmarkEnd w:id="69"/>
      <w:bookmarkEnd w:id="70"/>
      <w:bookmarkEnd w:id="71"/>
      <w:bookmarkEnd w:id="72"/>
    </w:p>
    <w:p>
      <w:pPr>
        <w:topLinePunct/>
        <w:spacing w:line="360" w:lineRule="auto"/>
        <w:ind w:left="6480" w:hanging="6480" w:hangingChars="2700"/>
        <w:jc w:val="left"/>
        <w:rPr>
          <w:rFonts w:ascii="宋体" w:hAnsi="宋体" w:cs="宋体"/>
          <w:sz w:val="24"/>
          <w:szCs w:val="24"/>
          <w:highlight w:val="none"/>
          <w:u w:val="single"/>
        </w:rPr>
      </w:pPr>
      <w:r>
        <w:rPr>
          <w:rFonts w:hint="eastAsia" w:ascii="宋体" w:hAnsi="宋体" w:cs="宋体"/>
          <w:sz w:val="24"/>
          <w:szCs w:val="24"/>
          <w:highlight w:val="none"/>
        </w:rPr>
        <w:t>招 标 人：</w:t>
      </w:r>
      <w:r>
        <w:rPr>
          <w:rFonts w:hint="eastAsia" w:ascii="宋体" w:hAnsi="宋体" w:cs="宋体"/>
          <w:sz w:val="24"/>
          <w:szCs w:val="24"/>
          <w:highlight w:val="none"/>
          <w:u w:val="single"/>
        </w:rPr>
        <w:t>广州市花都区交通运输局</w:t>
      </w:r>
      <w:r>
        <w:rPr>
          <w:rFonts w:hint="eastAsia" w:ascii="宋体" w:hAnsi="宋体" w:cs="宋体"/>
          <w:sz w:val="24"/>
          <w:szCs w:val="24"/>
          <w:highlight w:val="none"/>
        </w:rPr>
        <w:t>招标代理机构：</w:t>
      </w:r>
      <w:r>
        <w:rPr>
          <w:rFonts w:hint="eastAsia" w:ascii="宋体" w:hAnsi="宋体"/>
          <w:sz w:val="24"/>
          <w:szCs w:val="24"/>
          <w:highlight w:val="none"/>
          <w:u w:val="single"/>
        </w:rPr>
        <w:t>建成工程咨询股份有限公司</w:t>
      </w:r>
    </w:p>
    <w:p>
      <w:pPr>
        <w:topLinePunct/>
        <w:spacing w:line="360" w:lineRule="auto"/>
        <w:ind w:left="6000" w:hanging="6000" w:hangingChars="2500"/>
        <w:jc w:val="left"/>
        <w:rPr>
          <w:rFonts w:ascii="宋体" w:hAnsi="宋体" w:cs="宋体"/>
          <w:sz w:val="24"/>
          <w:szCs w:val="24"/>
          <w:highlight w:val="none"/>
        </w:rPr>
      </w:pPr>
      <w:r>
        <w:rPr>
          <w:rFonts w:hint="eastAsia" w:ascii="宋体" w:hAnsi="宋体" w:cs="宋体"/>
          <w:sz w:val="24"/>
          <w:szCs w:val="24"/>
          <w:highlight w:val="none"/>
        </w:rPr>
        <w:t>地    址：</w:t>
      </w:r>
      <w:r>
        <w:rPr>
          <w:rFonts w:hint="eastAsia" w:ascii="宋体" w:hAnsi="宋体" w:cs="宋体"/>
          <w:sz w:val="24"/>
          <w:szCs w:val="24"/>
          <w:highlight w:val="none"/>
          <w:u w:val="single"/>
        </w:rPr>
        <w:t>广州市花都区紫薇路23号紫薇苑3号楼</w:t>
      </w:r>
      <w:r>
        <w:rPr>
          <w:rFonts w:hint="eastAsia" w:ascii="宋体" w:hAnsi="宋体" w:cs="宋体"/>
          <w:sz w:val="24"/>
          <w:szCs w:val="24"/>
          <w:highlight w:val="none"/>
        </w:rPr>
        <w:t>地    址：</w:t>
      </w:r>
      <w:r>
        <w:rPr>
          <w:rFonts w:hint="eastAsia" w:ascii="宋体" w:hAnsi="宋体" w:cs="宋体"/>
          <w:sz w:val="24"/>
          <w:szCs w:val="24"/>
          <w:highlight w:val="none"/>
          <w:u w:val="single"/>
        </w:rPr>
        <w:t>广州市越秀区东风中路318号22层</w:t>
      </w:r>
    </w:p>
    <w:p>
      <w:pPr>
        <w:topLinePunct/>
        <w:spacing w:line="360" w:lineRule="auto"/>
        <w:rPr>
          <w:rFonts w:ascii="宋体" w:hAnsi="宋体" w:cs="宋体"/>
          <w:sz w:val="24"/>
          <w:szCs w:val="24"/>
          <w:highlight w:val="none"/>
        </w:rPr>
      </w:pPr>
      <w:r>
        <w:rPr>
          <w:rFonts w:hint="eastAsia" w:ascii="宋体" w:hAnsi="宋体" w:cs="宋体"/>
          <w:sz w:val="24"/>
          <w:szCs w:val="24"/>
          <w:highlight w:val="none"/>
        </w:rPr>
        <w:t>邮    编：</w:t>
      </w:r>
      <w:r>
        <w:rPr>
          <w:rFonts w:hint="eastAsia" w:ascii="宋体" w:hAnsi="宋体" w:cs="宋体"/>
          <w:sz w:val="24"/>
          <w:szCs w:val="24"/>
          <w:highlight w:val="none"/>
          <w:u w:val="single"/>
        </w:rPr>
        <w:t xml:space="preserve">510800                      </w:t>
      </w:r>
      <w:r>
        <w:rPr>
          <w:rFonts w:hint="eastAsia" w:ascii="宋体" w:hAnsi="宋体" w:cs="宋体"/>
          <w:sz w:val="24"/>
          <w:szCs w:val="24"/>
          <w:highlight w:val="none"/>
        </w:rPr>
        <w:t xml:space="preserve"> 邮    编：</w:t>
      </w:r>
      <w:r>
        <w:rPr>
          <w:rFonts w:hint="eastAsia" w:ascii="宋体" w:hAnsi="宋体" w:cs="宋体"/>
          <w:sz w:val="24"/>
          <w:szCs w:val="24"/>
          <w:highlight w:val="none"/>
          <w:u w:val="single"/>
        </w:rPr>
        <w:t>510530</w:t>
      </w:r>
    </w:p>
    <w:p>
      <w:pPr>
        <w:topLinePunct/>
        <w:spacing w:line="360" w:lineRule="auto"/>
        <w:rPr>
          <w:rFonts w:ascii="宋体" w:hAnsi="宋体" w:cs="宋体"/>
          <w:sz w:val="24"/>
          <w:szCs w:val="24"/>
          <w:highlight w:val="none"/>
        </w:rPr>
      </w:pPr>
      <w:r>
        <w:rPr>
          <w:rFonts w:hint="eastAsia" w:ascii="宋体" w:hAnsi="宋体" w:cs="宋体"/>
          <w:sz w:val="24"/>
          <w:szCs w:val="24"/>
          <w:highlight w:val="none"/>
        </w:rPr>
        <w:t>联 系 人：</w:t>
      </w:r>
      <w:r>
        <w:rPr>
          <w:rFonts w:hint="eastAsia" w:ascii="宋体" w:hAnsi="宋体" w:cs="宋体"/>
          <w:sz w:val="24"/>
          <w:szCs w:val="24"/>
          <w:highlight w:val="none"/>
          <w:u w:val="single"/>
        </w:rPr>
        <w:t xml:space="preserve">李工                        </w:t>
      </w:r>
      <w:r>
        <w:rPr>
          <w:rFonts w:hint="eastAsia" w:ascii="宋体" w:hAnsi="宋体" w:cs="宋体"/>
          <w:sz w:val="24"/>
          <w:szCs w:val="24"/>
          <w:highlight w:val="none"/>
        </w:rPr>
        <w:t xml:space="preserve"> 联 系 人：</w:t>
      </w:r>
      <w:r>
        <w:rPr>
          <w:rFonts w:hint="eastAsia" w:ascii="宋体" w:hAnsi="宋体" w:cs="宋体"/>
          <w:sz w:val="24"/>
          <w:szCs w:val="24"/>
          <w:highlight w:val="none"/>
          <w:u w:val="single"/>
        </w:rPr>
        <w:t>曾工</w:t>
      </w:r>
    </w:p>
    <w:p>
      <w:pPr>
        <w:topLinePunct/>
        <w:spacing w:line="360" w:lineRule="auto"/>
        <w:rPr>
          <w:rFonts w:ascii="宋体" w:hAnsi="宋体" w:cs="宋体"/>
          <w:sz w:val="24"/>
          <w:szCs w:val="24"/>
          <w:highlight w:val="none"/>
        </w:rPr>
      </w:pPr>
      <w:r>
        <w:rPr>
          <w:rFonts w:hint="eastAsia" w:ascii="宋体" w:hAnsi="宋体" w:cs="宋体"/>
          <w:sz w:val="24"/>
          <w:szCs w:val="24"/>
          <w:highlight w:val="none"/>
        </w:rPr>
        <w:t>电    话：</w:t>
      </w:r>
      <w:r>
        <w:rPr>
          <w:rFonts w:hint="eastAsia" w:ascii="宋体" w:hAnsi="宋体"/>
          <w:sz w:val="24"/>
          <w:szCs w:val="24"/>
          <w:highlight w:val="none"/>
          <w:u w:val="single"/>
        </w:rPr>
        <w:t xml:space="preserve">020-86970157                </w:t>
      </w:r>
      <w:r>
        <w:rPr>
          <w:rFonts w:hint="eastAsia" w:ascii="宋体" w:hAnsi="宋体" w:cs="宋体"/>
          <w:sz w:val="24"/>
          <w:szCs w:val="24"/>
          <w:highlight w:val="none"/>
        </w:rPr>
        <w:t>电 话：</w:t>
      </w:r>
      <w:r>
        <w:rPr>
          <w:rFonts w:hint="eastAsia" w:ascii="宋体" w:hAnsi="宋体"/>
          <w:sz w:val="24"/>
          <w:szCs w:val="24"/>
          <w:highlight w:val="none"/>
          <w:u w:val="single"/>
        </w:rPr>
        <w:t>020-83293607、13828450234</w:t>
      </w:r>
    </w:p>
    <w:p>
      <w:pPr>
        <w:topLinePunct/>
        <w:spacing w:line="360" w:lineRule="auto"/>
        <w:rPr>
          <w:rFonts w:ascii="宋体" w:hAnsi="宋体" w:cs="宋体"/>
          <w:sz w:val="24"/>
          <w:szCs w:val="24"/>
          <w:highlight w:val="none"/>
        </w:rPr>
      </w:pPr>
      <w:r>
        <w:rPr>
          <w:rFonts w:hint="eastAsia" w:ascii="宋体" w:hAnsi="宋体" w:cs="宋体"/>
          <w:sz w:val="24"/>
          <w:szCs w:val="24"/>
          <w:highlight w:val="none"/>
        </w:rPr>
        <w:t>传    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传    真：</w:t>
      </w:r>
      <w:r>
        <w:rPr>
          <w:rFonts w:hint="eastAsia" w:ascii="宋体" w:hAnsi="宋体" w:cs="宋体"/>
          <w:sz w:val="24"/>
          <w:szCs w:val="24"/>
          <w:highlight w:val="none"/>
          <w:u w:val="single"/>
        </w:rPr>
        <w:t xml:space="preserve">/           </w:t>
      </w:r>
    </w:p>
    <w:p>
      <w:pPr>
        <w:topLinePunct/>
        <w:spacing w:line="360" w:lineRule="auto"/>
        <w:rPr>
          <w:rFonts w:ascii="宋体" w:hAnsi="宋体" w:cs="宋体"/>
          <w:sz w:val="24"/>
          <w:szCs w:val="24"/>
          <w:highlight w:val="none"/>
          <w:u w:val="single"/>
        </w:rPr>
      </w:pPr>
      <w:r>
        <w:rPr>
          <w:rFonts w:hint="eastAsia" w:ascii="宋体" w:hAnsi="宋体" w:cs="宋体"/>
          <w:sz w:val="24"/>
          <w:szCs w:val="24"/>
          <w:highlight w:val="none"/>
        </w:rPr>
        <w:t>电子邮件：</w:t>
      </w:r>
      <w:r>
        <w:rPr>
          <w:rFonts w:hint="eastAsia" w:ascii="宋体" w:hAnsi="宋体" w:cs="宋体"/>
          <w:sz w:val="24"/>
          <w:szCs w:val="24"/>
          <w:highlight w:val="none"/>
          <w:u w:val="single"/>
        </w:rPr>
        <w:t xml:space="preserve">/                          </w:t>
      </w:r>
      <w:r>
        <w:rPr>
          <w:rFonts w:hint="eastAsia" w:ascii="宋体" w:hAnsi="宋体" w:cs="宋体"/>
          <w:sz w:val="24"/>
          <w:szCs w:val="24"/>
          <w:highlight w:val="none"/>
        </w:rPr>
        <w:t>电子邮件：</w:t>
      </w:r>
      <w:r>
        <w:rPr>
          <w:rFonts w:hint="eastAsia" w:ascii="宋体" w:hAnsi="宋体" w:cs="宋体"/>
          <w:sz w:val="24"/>
          <w:szCs w:val="24"/>
          <w:highlight w:val="none"/>
          <w:u w:val="single"/>
        </w:rPr>
        <w:t>/</w:t>
      </w:r>
    </w:p>
    <w:p>
      <w:pPr>
        <w:topLinePunct/>
        <w:spacing w:line="360" w:lineRule="auto"/>
        <w:rPr>
          <w:rFonts w:ascii="宋体" w:hAnsi="宋体" w:cs="宋体"/>
          <w:sz w:val="24"/>
          <w:szCs w:val="24"/>
          <w:highlight w:val="none"/>
          <w:u w:val="single"/>
        </w:rPr>
      </w:pPr>
    </w:p>
    <w:p>
      <w:pPr>
        <w:spacing w:line="360" w:lineRule="auto"/>
        <w:rPr>
          <w:rFonts w:ascii="宋体" w:hAnsi="宋体" w:cs="宋体"/>
          <w:kern w:val="0"/>
          <w:sz w:val="24"/>
          <w:szCs w:val="24"/>
          <w:highlight w:val="none"/>
        </w:rPr>
      </w:pPr>
    </w:p>
    <w:p>
      <w:pPr>
        <w:spacing w:line="360" w:lineRule="auto"/>
        <w:rPr>
          <w:rFonts w:ascii="宋体" w:hAnsi="宋体" w:cs="宋体"/>
          <w:sz w:val="24"/>
          <w:szCs w:val="24"/>
          <w:highlight w:val="none"/>
        </w:rPr>
      </w:pPr>
      <w:r>
        <w:rPr>
          <w:rFonts w:hint="eastAsia" w:ascii="宋体" w:hAnsi="宋体" w:cs="宋体"/>
          <w:kern w:val="0"/>
          <w:sz w:val="24"/>
          <w:szCs w:val="24"/>
          <w:highlight w:val="none"/>
        </w:rPr>
        <w:t>招标监管部门</w:t>
      </w:r>
      <w:r>
        <w:rPr>
          <w:rFonts w:hint="eastAsia" w:ascii="宋体" w:hAnsi="宋体" w:cs="宋体"/>
          <w:sz w:val="24"/>
          <w:szCs w:val="24"/>
          <w:highlight w:val="none"/>
        </w:rPr>
        <w:t>：</w:t>
      </w:r>
      <w:r>
        <w:rPr>
          <w:rFonts w:hint="eastAsia" w:ascii="宋体" w:hAnsi="宋体" w:cs="宋体"/>
          <w:bCs/>
          <w:sz w:val="24"/>
          <w:szCs w:val="24"/>
          <w:highlight w:val="none"/>
          <w:u w:val="single"/>
        </w:rPr>
        <w:t>广州市花都区建设工程招标和造价管理中心</w:t>
      </w:r>
    </w:p>
    <w:p>
      <w:pPr>
        <w:spacing w:line="360" w:lineRule="auto"/>
        <w:rPr>
          <w:rFonts w:ascii="宋体" w:hAnsi="宋体" w:cs="宋体"/>
          <w:sz w:val="24"/>
          <w:szCs w:val="24"/>
          <w:highlight w:val="none"/>
          <w:u w:val="single"/>
        </w:rPr>
      </w:pPr>
      <w:r>
        <w:rPr>
          <w:rFonts w:hint="eastAsia" w:ascii="宋体" w:hAnsi="宋体" w:cs="宋体"/>
          <w:sz w:val="24"/>
          <w:szCs w:val="24"/>
          <w:highlight w:val="none"/>
        </w:rPr>
        <w:t>联系电话：</w:t>
      </w:r>
      <w:r>
        <w:rPr>
          <w:rFonts w:hint="eastAsia" w:ascii="宋体" w:hAnsi="宋体" w:cs="宋体"/>
          <w:bCs/>
          <w:sz w:val="24"/>
          <w:szCs w:val="24"/>
          <w:highlight w:val="none"/>
          <w:u w:val="single"/>
        </w:rPr>
        <w:t>020-36897092</w:t>
      </w:r>
    </w:p>
    <w:p>
      <w:pPr>
        <w:spacing w:line="360" w:lineRule="auto"/>
        <w:rPr>
          <w:rFonts w:ascii="宋体" w:hAnsi="宋体" w:cs="宋体"/>
          <w:kern w:val="0"/>
          <w:sz w:val="24"/>
          <w:szCs w:val="24"/>
          <w:highlight w:val="none"/>
          <w:u w:val="single"/>
        </w:rPr>
      </w:pPr>
      <w:r>
        <w:rPr>
          <w:rFonts w:hint="eastAsia" w:ascii="宋体" w:hAnsi="宋体" w:cs="宋体"/>
          <w:kern w:val="0"/>
          <w:sz w:val="24"/>
          <w:szCs w:val="24"/>
          <w:highlight w:val="none"/>
        </w:rPr>
        <w:t>地    址：</w:t>
      </w:r>
      <w:r>
        <w:rPr>
          <w:rFonts w:hint="eastAsia" w:ascii="宋体" w:hAnsi="宋体" w:cs="宋体"/>
          <w:kern w:val="0"/>
          <w:sz w:val="24"/>
          <w:szCs w:val="24"/>
          <w:highlight w:val="none"/>
          <w:u w:val="single"/>
        </w:rPr>
        <w:t>广州市花都区新华街公益大道39号</w:t>
      </w:r>
    </w:p>
    <w:p>
      <w:pPr>
        <w:spacing w:line="360" w:lineRule="auto"/>
        <w:rPr>
          <w:rFonts w:ascii="宋体" w:hAnsi="宋体" w:cs="宋体"/>
          <w:kern w:val="0"/>
          <w:sz w:val="24"/>
          <w:szCs w:val="24"/>
          <w:highlight w:val="none"/>
          <w:u w:val="single"/>
        </w:rPr>
      </w:pPr>
    </w:p>
    <w:p>
      <w:pPr>
        <w:spacing w:line="360" w:lineRule="auto"/>
        <w:jc w:val="right"/>
        <w:rPr>
          <w:rFonts w:ascii="宋体" w:hAnsi="宋体" w:cs="宋体"/>
          <w:sz w:val="24"/>
          <w:highlight w:val="none"/>
        </w:rPr>
      </w:pPr>
      <w:r>
        <w:rPr>
          <w:rFonts w:hint="eastAsia" w:ascii="宋体" w:hAnsi="宋体" w:cs="宋体"/>
          <w:sz w:val="24"/>
          <w:szCs w:val="24"/>
          <w:highlight w:val="none"/>
        </w:rPr>
        <w:t>2023年</w:t>
      </w:r>
      <w:r>
        <w:rPr>
          <w:rFonts w:hint="eastAsia" w:ascii="宋体" w:hAnsi="宋体" w:cs="宋体"/>
          <w:sz w:val="24"/>
          <w:szCs w:val="24"/>
          <w:highlight w:val="none"/>
          <w:lang w:val="en-US" w:eastAsia="zh-CN"/>
        </w:rPr>
        <w:t>4</w:t>
      </w:r>
      <w:r>
        <w:rPr>
          <w:rFonts w:hint="eastAsia" w:ascii="宋体" w:hAnsi="宋体" w:cs="宋体"/>
          <w:sz w:val="24"/>
          <w:szCs w:val="24"/>
          <w:highlight w:val="none"/>
        </w:rPr>
        <w:t>月</w:t>
      </w:r>
      <w:r>
        <w:rPr>
          <w:rFonts w:hint="eastAsia" w:ascii="宋体" w:hAnsi="宋体" w:cs="宋体"/>
          <w:sz w:val="24"/>
          <w:szCs w:val="24"/>
          <w:highlight w:val="none"/>
          <w:lang w:val="en-US" w:eastAsia="zh-CN"/>
        </w:rPr>
        <w:t>28</w:t>
      </w:r>
      <w:r>
        <w:rPr>
          <w:rFonts w:hint="eastAsia" w:ascii="宋体" w:hAnsi="宋体" w:cs="宋体"/>
          <w:sz w:val="24"/>
          <w:szCs w:val="24"/>
          <w:highlight w:val="none"/>
        </w:rPr>
        <w:t>日</w:t>
      </w:r>
    </w:p>
    <w:sectPr>
      <w:footerReference r:id="rId4" w:type="default"/>
      <w:pgSz w:w="11906" w:h="16838"/>
      <w:pgMar w:top="1440" w:right="1080" w:bottom="1440" w:left="1080"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6</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distribu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JmM2Q0YjUzNmZlM2MyNzM4YjVjYWUyODNlN2FmMWEifQ=="/>
  </w:docVars>
  <w:rsids>
    <w:rsidRoot w:val="0046154E"/>
    <w:rsid w:val="0001464D"/>
    <w:rsid w:val="00033133"/>
    <w:rsid w:val="00060E65"/>
    <w:rsid w:val="00091A40"/>
    <w:rsid w:val="000A3918"/>
    <w:rsid w:val="000C20E6"/>
    <w:rsid w:val="000E4B06"/>
    <w:rsid w:val="000F3C80"/>
    <w:rsid w:val="0012175F"/>
    <w:rsid w:val="00235189"/>
    <w:rsid w:val="00243789"/>
    <w:rsid w:val="002A2984"/>
    <w:rsid w:val="002E318E"/>
    <w:rsid w:val="0033696D"/>
    <w:rsid w:val="003A7EBD"/>
    <w:rsid w:val="003D3988"/>
    <w:rsid w:val="003E37CD"/>
    <w:rsid w:val="004410E1"/>
    <w:rsid w:val="004476D8"/>
    <w:rsid w:val="0046154E"/>
    <w:rsid w:val="004854D9"/>
    <w:rsid w:val="004C3C97"/>
    <w:rsid w:val="00505EA3"/>
    <w:rsid w:val="0053536F"/>
    <w:rsid w:val="005D316D"/>
    <w:rsid w:val="005E0CD2"/>
    <w:rsid w:val="0065159F"/>
    <w:rsid w:val="006A1898"/>
    <w:rsid w:val="006B6BD5"/>
    <w:rsid w:val="006B7CF6"/>
    <w:rsid w:val="006C7080"/>
    <w:rsid w:val="006F2306"/>
    <w:rsid w:val="00717692"/>
    <w:rsid w:val="0072016F"/>
    <w:rsid w:val="00723546"/>
    <w:rsid w:val="0075578B"/>
    <w:rsid w:val="00767FFB"/>
    <w:rsid w:val="00792245"/>
    <w:rsid w:val="007A14C6"/>
    <w:rsid w:val="00812DC6"/>
    <w:rsid w:val="0084117D"/>
    <w:rsid w:val="008B0AC9"/>
    <w:rsid w:val="008D44A2"/>
    <w:rsid w:val="009005AC"/>
    <w:rsid w:val="00903223"/>
    <w:rsid w:val="00906DBD"/>
    <w:rsid w:val="0091744C"/>
    <w:rsid w:val="00954682"/>
    <w:rsid w:val="00990019"/>
    <w:rsid w:val="009C5F7C"/>
    <w:rsid w:val="009F16C0"/>
    <w:rsid w:val="00A87C15"/>
    <w:rsid w:val="00BC1B55"/>
    <w:rsid w:val="00BC395D"/>
    <w:rsid w:val="00C1622C"/>
    <w:rsid w:val="00C80B0D"/>
    <w:rsid w:val="00C943AC"/>
    <w:rsid w:val="00D131B9"/>
    <w:rsid w:val="00D411AF"/>
    <w:rsid w:val="00D45830"/>
    <w:rsid w:val="00DC178F"/>
    <w:rsid w:val="00DC637D"/>
    <w:rsid w:val="00DF5584"/>
    <w:rsid w:val="00E652A2"/>
    <w:rsid w:val="00F30FEC"/>
    <w:rsid w:val="00FC47F9"/>
    <w:rsid w:val="02B50E65"/>
    <w:rsid w:val="02DD7E6A"/>
    <w:rsid w:val="04D550AF"/>
    <w:rsid w:val="05746676"/>
    <w:rsid w:val="0BCF0AAA"/>
    <w:rsid w:val="0CBB102F"/>
    <w:rsid w:val="0DA6583B"/>
    <w:rsid w:val="0E1C5AFD"/>
    <w:rsid w:val="0F545FA5"/>
    <w:rsid w:val="0FDA5C70"/>
    <w:rsid w:val="100B4758"/>
    <w:rsid w:val="12387BF9"/>
    <w:rsid w:val="147C057D"/>
    <w:rsid w:val="1A4742D0"/>
    <w:rsid w:val="1BF65BDF"/>
    <w:rsid w:val="1D095A91"/>
    <w:rsid w:val="1F1F544D"/>
    <w:rsid w:val="1FBE4C66"/>
    <w:rsid w:val="2496085A"/>
    <w:rsid w:val="25B13599"/>
    <w:rsid w:val="276527B5"/>
    <w:rsid w:val="284F6DA3"/>
    <w:rsid w:val="296A6F61"/>
    <w:rsid w:val="2A3A75DF"/>
    <w:rsid w:val="2A6E7289"/>
    <w:rsid w:val="2AC70991"/>
    <w:rsid w:val="2C0B54C5"/>
    <w:rsid w:val="2C7F577D"/>
    <w:rsid w:val="2CA70830"/>
    <w:rsid w:val="2CF73565"/>
    <w:rsid w:val="2D9B65E7"/>
    <w:rsid w:val="2E652C08"/>
    <w:rsid w:val="30AE6631"/>
    <w:rsid w:val="317F3B29"/>
    <w:rsid w:val="32000D6A"/>
    <w:rsid w:val="321B5F48"/>
    <w:rsid w:val="32692716"/>
    <w:rsid w:val="34B00BC9"/>
    <w:rsid w:val="35F66AB0"/>
    <w:rsid w:val="38A24CCD"/>
    <w:rsid w:val="39B76556"/>
    <w:rsid w:val="3FD634AE"/>
    <w:rsid w:val="4168282C"/>
    <w:rsid w:val="416C2B73"/>
    <w:rsid w:val="45294080"/>
    <w:rsid w:val="466F4B1D"/>
    <w:rsid w:val="46853538"/>
    <w:rsid w:val="47150D60"/>
    <w:rsid w:val="4AF13892"/>
    <w:rsid w:val="4C6836E0"/>
    <w:rsid w:val="4D4E28D6"/>
    <w:rsid w:val="50CC06E1"/>
    <w:rsid w:val="540006A2"/>
    <w:rsid w:val="541B0A05"/>
    <w:rsid w:val="58492617"/>
    <w:rsid w:val="58B80425"/>
    <w:rsid w:val="59805522"/>
    <w:rsid w:val="59C06909"/>
    <w:rsid w:val="5A194B6A"/>
    <w:rsid w:val="5B6D271B"/>
    <w:rsid w:val="5BD25334"/>
    <w:rsid w:val="5D79399F"/>
    <w:rsid w:val="61131A15"/>
    <w:rsid w:val="619743F4"/>
    <w:rsid w:val="62931B34"/>
    <w:rsid w:val="63514A76"/>
    <w:rsid w:val="64AF5EF8"/>
    <w:rsid w:val="66A650D9"/>
    <w:rsid w:val="688356D2"/>
    <w:rsid w:val="6A154A4F"/>
    <w:rsid w:val="6B0845B4"/>
    <w:rsid w:val="6BDA0CC1"/>
    <w:rsid w:val="6F3D465B"/>
    <w:rsid w:val="72457E9C"/>
    <w:rsid w:val="72872262"/>
    <w:rsid w:val="73726A6F"/>
    <w:rsid w:val="74312486"/>
    <w:rsid w:val="74951541"/>
    <w:rsid w:val="74D12037"/>
    <w:rsid w:val="75842A89"/>
    <w:rsid w:val="76CA6BC2"/>
    <w:rsid w:val="779A2A38"/>
    <w:rsid w:val="780D6D66"/>
    <w:rsid w:val="79393DE3"/>
    <w:rsid w:val="7BB16A9E"/>
    <w:rsid w:val="7E891110"/>
    <w:rsid w:val="7F6A0F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4"/>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jc w:val="center"/>
      <w:outlineLvl w:val="1"/>
    </w:pPr>
    <w:rPr>
      <w:rFonts w:ascii="黑体" w:hAnsi="黑体" w:eastAsia="黑体"/>
      <w:sz w:val="30"/>
      <w:szCs w:val="3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tabs>
        <w:tab w:val="right" w:leader="dot" w:pos="8302"/>
      </w:tabs>
      <w:ind w:left="210"/>
      <w:jc w:val="left"/>
    </w:pPr>
    <w:rPr>
      <w:rFonts w:ascii="Times New Roman" w:hAnsi="Times New Roman"/>
      <w:smallCaps/>
      <w:sz w:val="20"/>
      <w:szCs w:val="20"/>
    </w:rPr>
  </w:style>
  <w:style w:type="paragraph" w:styleId="5">
    <w:name w:val="annotation text"/>
    <w:basedOn w:val="1"/>
    <w:link w:val="23"/>
    <w:semiHidden/>
    <w:unhideWhenUsed/>
    <w:qFormat/>
    <w:uiPriority w:val="99"/>
    <w:pPr>
      <w:jc w:val="left"/>
    </w:pPr>
  </w:style>
  <w:style w:type="paragraph" w:styleId="6">
    <w:name w:val="Body Text"/>
    <w:basedOn w:val="1"/>
    <w:next w:val="1"/>
    <w:qFormat/>
    <w:uiPriority w:val="0"/>
    <w:pPr>
      <w:spacing w:after="120"/>
    </w:pPr>
    <w:rPr>
      <w:rFonts w:ascii="Times New Roman" w:hAnsi="Times New Roman"/>
      <w:kern w:val="0"/>
      <w:sz w:val="20"/>
      <w:szCs w:val="20"/>
    </w:rPr>
  </w:style>
  <w:style w:type="paragraph" w:styleId="7">
    <w:name w:val="Body Text Indent"/>
    <w:basedOn w:val="1"/>
    <w:qFormat/>
    <w:uiPriority w:val="0"/>
    <w:pPr>
      <w:spacing w:after="120"/>
      <w:ind w:left="420" w:leftChars="200"/>
    </w:pPr>
    <w:rPr>
      <w:kern w:val="0"/>
      <w:sz w:val="20"/>
      <w:szCs w:val="24"/>
    </w:rPr>
  </w:style>
  <w:style w:type="paragraph" w:styleId="8">
    <w:name w:val="Balloon Text"/>
    <w:basedOn w:val="1"/>
    <w:link w:val="22"/>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Body Text 2"/>
    <w:basedOn w:val="1"/>
    <w:link w:val="20"/>
    <w:unhideWhenUsed/>
    <w:qFormat/>
    <w:uiPriority w:val="0"/>
    <w:rPr>
      <w:rFonts w:ascii="宋体" w:hAnsi="宋体" w:eastAsia="楷体_GB2312"/>
      <w:kern w:val="0"/>
      <w:sz w:val="20"/>
      <w:szCs w:val="24"/>
      <w:u w:val="single"/>
    </w:rPr>
  </w:style>
  <w:style w:type="paragraph" w:styleId="12">
    <w:name w:val="annotation subject"/>
    <w:basedOn w:val="5"/>
    <w:next w:val="5"/>
    <w:link w:val="24"/>
    <w:semiHidden/>
    <w:unhideWhenUsed/>
    <w:qFormat/>
    <w:uiPriority w:val="99"/>
    <w:rPr>
      <w:b/>
      <w:bCs/>
    </w:rPr>
  </w:style>
  <w:style w:type="paragraph" w:styleId="13">
    <w:name w:val="Body Text First Indent 2"/>
    <w:basedOn w:val="7"/>
    <w:unhideWhenUsed/>
    <w:qFormat/>
    <w:uiPriority w:val="99"/>
    <w:pPr>
      <w:ind w:firstLine="420" w:firstLineChars="200"/>
    </w:pPr>
    <w:rPr>
      <w:kern w:val="2"/>
      <w:sz w:val="21"/>
      <w:szCs w:val="22"/>
    </w:rPr>
  </w:style>
  <w:style w:type="character" w:styleId="16">
    <w:name w:val="Hyperlink"/>
    <w:qFormat/>
    <w:uiPriority w:val="99"/>
    <w:rPr>
      <w:rFonts w:ascii="Arial" w:hAnsi="Arial" w:eastAsia="黑体"/>
      <w:color w:val="0000FF"/>
      <w:kern w:val="2"/>
      <w:sz w:val="21"/>
      <w:szCs w:val="21"/>
      <w:u w:val="single"/>
      <w:lang w:val="en-US" w:eastAsia="zh-CN" w:bidi="ar-SA"/>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正文文本 2 Char"/>
    <w:basedOn w:val="15"/>
    <w:link w:val="11"/>
    <w:qFormat/>
    <w:uiPriority w:val="0"/>
    <w:rPr>
      <w:rFonts w:ascii="宋体" w:hAnsi="宋体" w:eastAsia="楷体_GB2312" w:cs="Times New Roman"/>
      <w:kern w:val="0"/>
      <w:sz w:val="20"/>
      <w:szCs w:val="24"/>
      <w:u w:val="single"/>
    </w:rPr>
  </w:style>
  <w:style w:type="paragraph" w:customStyle="1" w:styleId="21">
    <w:name w:val="p0"/>
    <w:basedOn w:val="1"/>
    <w:qFormat/>
    <w:uiPriority w:val="0"/>
    <w:pPr>
      <w:widowControl/>
      <w:spacing w:before="75" w:after="75"/>
      <w:jc w:val="left"/>
    </w:pPr>
    <w:rPr>
      <w:rFonts w:ascii="宋体" w:hAnsi="宋体" w:cs="宋体"/>
      <w:kern w:val="0"/>
      <w:sz w:val="24"/>
      <w:szCs w:val="24"/>
    </w:rPr>
  </w:style>
  <w:style w:type="character" w:customStyle="1" w:styleId="22">
    <w:name w:val="批注框文本 Char"/>
    <w:basedOn w:val="15"/>
    <w:link w:val="8"/>
    <w:semiHidden/>
    <w:qFormat/>
    <w:uiPriority w:val="99"/>
    <w:rPr>
      <w:rFonts w:ascii="Calibri" w:hAnsi="Calibri" w:eastAsia="宋体" w:cs="Times New Roman"/>
      <w:kern w:val="2"/>
      <w:sz w:val="18"/>
      <w:szCs w:val="18"/>
    </w:rPr>
  </w:style>
  <w:style w:type="character" w:customStyle="1" w:styleId="23">
    <w:name w:val="批注文字 Char"/>
    <w:basedOn w:val="15"/>
    <w:link w:val="5"/>
    <w:semiHidden/>
    <w:qFormat/>
    <w:uiPriority w:val="99"/>
    <w:rPr>
      <w:rFonts w:ascii="Calibri" w:hAnsi="Calibri" w:eastAsia="宋体" w:cs="Times New Roman"/>
      <w:kern w:val="2"/>
      <w:sz w:val="21"/>
      <w:szCs w:val="22"/>
    </w:rPr>
  </w:style>
  <w:style w:type="character" w:customStyle="1" w:styleId="24">
    <w:name w:val="批注主题 Char"/>
    <w:basedOn w:val="23"/>
    <w:link w:val="12"/>
    <w:semiHidden/>
    <w:qFormat/>
    <w:uiPriority w:val="99"/>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4916</Words>
  <Characters>5413</Characters>
  <Lines>40</Lines>
  <Paragraphs>11</Paragraphs>
  <TotalTime>2</TotalTime>
  <ScaleCrop>false</ScaleCrop>
  <LinksUpToDate>false</LinksUpToDate>
  <CharactersWithSpaces>5628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2022-07-20T03:20:00Z</dcterms:created>
  <dc:creator>Admin</dc:creator>
  <cp:lastModifiedBy>JJ</cp:lastModifiedBy>
  <dcterms:modified xsi:type="dcterms:W3CDTF">2023-04-28T08:28:12Z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D334EBFD4C3F491A9939895CFD664533_13</vt:lpwstr>
  </property>
</Properties>
</file>