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600" w:line="360" w:lineRule="auto"/>
        <w:jc w:val="center"/>
        <w:rPr>
          <w:rFonts w:hint="eastAsia" w:ascii="宋体" w:hAnsi="宋体" w:eastAsia="宋体"/>
          <w:b/>
          <w:bCs/>
          <w:color w:val="auto"/>
          <w:sz w:val="44"/>
          <w:szCs w:val="44"/>
          <w:highlight w:val="none"/>
          <w:lang w:eastAsia="zh-CN"/>
        </w:rPr>
      </w:pPr>
      <w:bookmarkStart w:id="0" w:name="_Hlk3970703"/>
      <w:r>
        <w:rPr>
          <w:rFonts w:hint="eastAsia" w:ascii="宋体" w:hAnsi="宋体"/>
          <w:b/>
          <w:bCs/>
          <w:color w:val="auto"/>
          <w:sz w:val="44"/>
          <w:szCs w:val="44"/>
          <w:highlight w:val="none"/>
          <w:lang w:eastAsia="zh-CN"/>
        </w:rPr>
        <w:t>詹天佑小学(珠玑校区)校舍抗震加固项目</w:t>
      </w:r>
    </w:p>
    <w:p>
      <w:pPr>
        <w:spacing w:beforeLines="600" w:line="360" w:lineRule="auto"/>
        <w:jc w:val="center"/>
        <w:rPr>
          <w:rFonts w:ascii="宋体" w:hAnsi="宋体"/>
          <w:b/>
          <w:bCs/>
          <w:color w:val="auto"/>
          <w:spacing w:val="26"/>
          <w:sz w:val="72"/>
          <w:szCs w:val="72"/>
          <w:highlight w:val="none"/>
        </w:rPr>
      </w:pPr>
      <w:r>
        <w:rPr>
          <w:rFonts w:hint="eastAsia" w:ascii="宋体" w:hAnsi="宋体"/>
          <w:b/>
          <w:bCs/>
          <w:color w:val="auto"/>
          <w:spacing w:val="26"/>
          <w:sz w:val="72"/>
          <w:szCs w:val="72"/>
          <w:highlight w:val="none"/>
        </w:rPr>
        <w:t>招标文件</w:t>
      </w:r>
    </w:p>
    <w:p>
      <w:pPr>
        <w:spacing w:beforeLines="1200" w:line="360" w:lineRule="auto"/>
        <w:jc w:val="center"/>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招标单位：</w:t>
      </w:r>
      <w:r>
        <w:rPr>
          <w:rFonts w:hint="eastAsia" w:ascii="宋体" w:hAnsi="宋体"/>
          <w:color w:val="auto"/>
          <w:sz w:val="28"/>
          <w:szCs w:val="28"/>
          <w:highlight w:val="none"/>
          <w:u w:val="single"/>
          <w:lang w:eastAsia="zh-CN"/>
        </w:rPr>
        <w:t>广州市荔湾区詹天佑小学</w:t>
      </w:r>
    </w:p>
    <w:p>
      <w:pPr>
        <w:spacing w:line="360" w:lineRule="auto"/>
        <w:jc w:val="center"/>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招标代理单位：</w:t>
      </w:r>
      <w:r>
        <w:rPr>
          <w:rFonts w:hint="eastAsia" w:ascii="宋体" w:hAnsi="宋体"/>
          <w:color w:val="auto"/>
          <w:sz w:val="28"/>
          <w:szCs w:val="28"/>
          <w:highlight w:val="none"/>
          <w:u w:val="single"/>
          <w:lang w:eastAsia="zh-CN"/>
        </w:rPr>
        <w:t>广东智汇城市招标采购有限公司</w:t>
      </w:r>
    </w:p>
    <w:p>
      <w:pPr>
        <w:spacing w:line="360" w:lineRule="auto"/>
        <w:jc w:val="center"/>
        <w:rPr>
          <w:rStyle w:val="46"/>
          <w:rFonts w:ascii="宋体" w:hAnsi="宋体" w:eastAsia="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color w:val="auto"/>
          <w:sz w:val="28"/>
          <w:szCs w:val="28"/>
          <w:highlight w:val="none"/>
        </w:rPr>
        <w:t>日期：</w:t>
      </w:r>
      <w:r>
        <w:rPr>
          <w:rFonts w:hint="eastAsia" w:ascii="宋体" w:hAnsi="宋体"/>
          <w:color w:val="auto"/>
          <w:sz w:val="28"/>
          <w:szCs w:val="28"/>
          <w:highlight w:val="none"/>
          <w:u w:val="single"/>
        </w:rPr>
        <w:t>2023</w:t>
      </w:r>
      <w:r>
        <w:rPr>
          <w:rFonts w:hint="eastAsia" w:ascii="宋体" w:hAnsi="宋体"/>
          <w:color w:val="auto"/>
          <w:sz w:val="28"/>
          <w:szCs w:val="28"/>
          <w:highlight w:val="none"/>
        </w:rPr>
        <w:t>年</w:t>
      </w:r>
      <w:r>
        <w:rPr>
          <w:rFonts w:hint="eastAsia" w:ascii="宋体" w:hAnsi="宋体"/>
          <w:color w:val="auto"/>
          <w:sz w:val="28"/>
          <w:szCs w:val="28"/>
          <w:highlight w:val="none"/>
          <w:u w:val="single"/>
          <w:lang w:val="en-US" w:eastAsia="zh-CN"/>
        </w:rPr>
        <w:t>4</w:t>
      </w:r>
      <w:r>
        <w:rPr>
          <w:rFonts w:hint="eastAsia" w:ascii="宋体" w:hAnsi="宋体"/>
          <w:color w:val="auto"/>
          <w:sz w:val="28"/>
          <w:szCs w:val="28"/>
          <w:highlight w:val="none"/>
        </w:rPr>
        <w:t>月</w:t>
      </w:r>
    </w:p>
    <w:p>
      <w:pPr>
        <w:jc w:val="center"/>
        <w:rPr>
          <w:rFonts w:ascii="宋体" w:hAnsi="宋体"/>
          <w:b/>
          <w:caps/>
          <w:color w:val="auto"/>
          <w:kern w:val="0"/>
          <w:sz w:val="30"/>
          <w:szCs w:val="30"/>
          <w:highlight w:val="none"/>
        </w:rPr>
      </w:pPr>
      <w:r>
        <w:rPr>
          <w:rStyle w:val="46"/>
          <w:rFonts w:hint="eastAsia" w:ascii="宋体" w:hAnsi="宋体" w:eastAsia="宋体"/>
          <w:b/>
          <w:bCs/>
          <w:color w:val="auto"/>
          <w:sz w:val="30"/>
          <w:szCs w:val="30"/>
          <w:highlight w:val="none"/>
        </w:rPr>
        <w:t>目录</w:t>
      </w:r>
    </w:p>
    <w:p>
      <w:pPr>
        <w:pStyle w:val="26"/>
        <w:tabs>
          <w:tab w:val="right" w:leader="dot" w:pos="9073"/>
          <w:tab w:val="clear" w:pos="9060"/>
        </w:tabs>
        <w:rPr>
          <w:rFonts w:eastAsia="宋体" w:cs="宋体"/>
          <w:color w:val="auto"/>
          <w:szCs w:val="24"/>
          <w:highlight w:val="none"/>
        </w:rPr>
      </w:pP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TOC \o "1-3" \h \z \u </w:instrText>
      </w:r>
      <w:r>
        <w:rPr>
          <w:rFonts w:hint="eastAsia" w:eastAsia="宋体" w:cs="宋体"/>
          <w:color w:val="auto"/>
          <w:szCs w:val="24"/>
          <w:highlight w:val="none"/>
        </w:rPr>
        <w:fldChar w:fldCharType="separate"/>
      </w:r>
      <w:r>
        <w:rPr>
          <w:color w:val="auto"/>
          <w:highlight w:val="none"/>
        </w:rPr>
        <w:fldChar w:fldCharType="begin"/>
      </w:r>
      <w:r>
        <w:rPr>
          <w:color w:val="auto"/>
          <w:highlight w:val="none"/>
        </w:rPr>
        <w:instrText xml:space="preserve"> HYPERLINK \l "_Toc7511" </w:instrText>
      </w:r>
      <w:r>
        <w:rPr>
          <w:color w:val="auto"/>
          <w:highlight w:val="none"/>
        </w:rPr>
        <w:fldChar w:fldCharType="separate"/>
      </w:r>
      <w:r>
        <w:rPr>
          <w:rFonts w:hint="eastAsia" w:eastAsia="宋体" w:cs="宋体"/>
          <w:bCs/>
          <w:color w:val="auto"/>
          <w:szCs w:val="24"/>
          <w:highlight w:val="none"/>
        </w:rPr>
        <w:t>第一章  投标须知</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_Toc7511 \h </w:instrText>
      </w:r>
      <w:r>
        <w:rPr>
          <w:rFonts w:hint="eastAsia" w:eastAsia="宋体" w:cs="宋体"/>
          <w:color w:val="auto"/>
          <w:szCs w:val="24"/>
          <w:highlight w:val="none"/>
        </w:rPr>
        <w:fldChar w:fldCharType="separate"/>
      </w:r>
      <w:r>
        <w:rPr>
          <w:rFonts w:hint="eastAsia" w:eastAsia="宋体" w:cs="宋体"/>
          <w:color w:val="auto"/>
          <w:szCs w:val="24"/>
          <w:highlight w:val="none"/>
        </w:rPr>
        <w:t>2</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30"/>
        <w:tabs>
          <w:tab w:val="right" w:leader="dot" w:pos="9073"/>
          <w:tab w:val="clear" w:pos="9060"/>
        </w:tabs>
        <w:ind w:left="0" w:leftChars="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"_Toc3404" </w:instrText>
      </w:r>
      <w:r>
        <w:rPr>
          <w:color w:val="auto"/>
          <w:highlight w:val="none"/>
        </w:rPr>
        <w:fldChar w:fldCharType="separate"/>
      </w:r>
      <w:r>
        <w:rPr>
          <w:rFonts w:hint="eastAsia" w:ascii="宋体" w:hAnsi="宋体" w:eastAsia="宋体" w:cs="宋体"/>
          <w:color w:val="auto"/>
          <w:highlight w:val="none"/>
        </w:rPr>
        <w:t>第二章  开标、评标及定标办法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"_Toc18472" </w:instrText>
      </w:r>
      <w:r>
        <w:rPr>
          <w:color w:val="auto"/>
          <w:highlight w:val="none"/>
        </w:rPr>
        <w:fldChar w:fldCharType="separate"/>
      </w:r>
      <w:r>
        <w:rPr>
          <w:rFonts w:hint="eastAsia" w:eastAsia="宋体" w:cs="宋体"/>
          <w:bCs/>
          <w:color w:val="auto"/>
          <w:szCs w:val="24"/>
          <w:highlight w:val="none"/>
        </w:rPr>
        <w:t>第三章  合同条款</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_Toc18472 \h </w:instrText>
      </w:r>
      <w:r>
        <w:rPr>
          <w:rFonts w:hint="eastAsia" w:eastAsia="宋体" w:cs="宋体"/>
          <w:color w:val="auto"/>
          <w:szCs w:val="24"/>
          <w:highlight w:val="none"/>
        </w:rPr>
        <w:fldChar w:fldCharType="separate"/>
      </w:r>
      <w:r>
        <w:rPr>
          <w:rFonts w:hint="eastAsia" w:eastAsia="宋体" w:cs="宋体"/>
          <w:color w:val="auto"/>
          <w:szCs w:val="24"/>
          <w:highlight w:val="none"/>
        </w:rPr>
        <w:t>57</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"_Toc27420" </w:instrText>
      </w:r>
      <w:r>
        <w:rPr>
          <w:color w:val="auto"/>
          <w:highlight w:val="none"/>
        </w:rPr>
        <w:fldChar w:fldCharType="separate"/>
      </w:r>
      <w:r>
        <w:rPr>
          <w:rFonts w:hint="eastAsia" w:eastAsia="宋体" w:cs="宋体"/>
          <w:bCs/>
          <w:color w:val="auto"/>
          <w:szCs w:val="24"/>
          <w:highlight w:val="none"/>
        </w:rPr>
        <w:t>第四章  投标文件格式</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_Toc27420 \h </w:instrText>
      </w:r>
      <w:r>
        <w:rPr>
          <w:rFonts w:hint="eastAsia" w:eastAsia="宋体" w:cs="宋体"/>
          <w:color w:val="auto"/>
          <w:szCs w:val="24"/>
          <w:highlight w:val="none"/>
        </w:rPr>
        <w:fldChar w:fldCharType="separate"/>
      </w:r>
      <w:r>
        <w:rPr>
          <w:rFonts w:hint="eastAsia" w:eastAsia="宋体" w:cs="宋体"/>
          <w:color w:val="auto"/>
          <w:szCs w:val="24"/>
          <w:highlight w:val="none"/>
        </w:rPr>
        <w:t>58</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"_Toc17698" </w:instrText>
      </w:r>
      <w:r>
        <w:rPr>
          <w:color w:val="auto"/>
          <w:highlight w:val="none"/>
        </w:rPr>
        <w:fldChar w:fldCharType="separate"/>
      </w:r>
      <w:r>
        <w:rPr>
          <w:rFonts w:hint="eastAsia" w:eastAsia="宋体" w:cs="宋体"/>
          <w:color w:val="auto"/>
          <w:szCs w:val="24"/>
          <w:highlight w:val="none"/>
        </w:rPr>
        <w:t>第五章  技术条件（工程建设标准）</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_Toc17698 \h </w:instrText>
      </w:r>
      <w:r>
        <w:rPr>
          <w:rFonts w:hint="eastAsia" w:eastAsia="宋体" w:cs="宋体"/>
          <w:color w:val="auto"/>
          <w:szCs w:val="24"/>
          <w:highlight w:val="none"/>
        </w:rPr>
        <w:fldChar w:fldCharType="separate"/>
      </w:r>
      <w:r>
        <w:rPr>
          <w:rFonts w:hint="eastAsia" w:eastAsia="宋体" w:cs="宋体"/>
          <w:color w:val="auto"/>
          <w:szCs w:val="24"/>
          <w:highlight w:val="none"/>
        </w:rPr>
        <w:t>69</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"_Toc4616" </w:instrText>
      </w:r>
      <w:r>
        <w:rPr>
          <w:color w:val="auto"/>
          <w:highlight w:val="none"/>
        </w:rPr>
        <w:fldChar w:fldCharType="separate"/>
      </w:r>
      <w:r>
        <w:rPr>
          <w:rFonts w:hint="eastAsia" w:eastAsia="宋体" w:cs="宋体"/>
          <w:bCs/>
          <w:color w:val="auto"/>
          <w:szCs w:val="24"/>
          <w:highlight w:val="none"/>
        </w:rPr>
        <w:t>第六章  图纸及勘察资料</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_Toc4616 \h </w:instrText>
      </w:r>
      <w:r>
        <w:rPr>
          <w:rFonts w:hint="eastAsia" w:eastAsia="宋体" w:cs="宋体"/>
          <w:color w:val="auto"/>
          <w:szCs w:val="24"/>
          <w:highlight w:val="none"/>
        </w:rPr>
        <w:fldChar w:fldCharType="separate"/>
      </w:r>
      <w:r>
        <w:rPr>
          <w:rFonts w:hint="eastAsia" w:eastAsia="宋体" w:cs="宋体"/>
          <w:color w:val="auto"/>
          <w:szCs w:val="24"/>
          <w:highlight w:val="none"/>
        </w:rPr>
        <w:t>70</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"_Toc16409" </w:instrText>
      </w:r>
      <w:r>
        <w:rPr>
          <w:color w:val="auto"/>
          <w:highlight w:val="none"/>
        </w:rPr>
        <w:fldChar w:fldCharType="separate"/>
      </w:r>
      <w:r>
        <w:rPr>
          <w:rFonts w:hint="eastAsia" w:eastAsia="宋体" w:cs="宋体"/>
          <w:bCs/>
          <w:color w:val="auto"/>
          <w:szCs w:val="24"/>
          <w:highlight w:val="none"/>
        </w:rPr>
        <w:t>第七章  工程量清单</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_Toc16409 \h </w:instrText>
      </w:r>
      <w:r>
        <w:rPr>
          <w:rFonts w:hint="eastAsia" w:eastAsia="宋体" w:cs="宋体"/>
          <w:color w:val="auto"/>
          <w:szCs w:val="24"/>
          <w:highlight w:val="none"/>
        </w:rPr>
        <w:fldChar w:fldCharType="separate"/>
      </w:r>
      <w:r>
        <w:rPr>
          <w:rFonts w:hint="eastAsia" w:eastAsia="宋体" w:cs="宋体"/>
          <w:color w:val="auto"/>
          <w:szCs w:val="24"/>
          <w:highlight w:val="none"/>
        </w:rPr>
        <w:t>71</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"_Toc13320" </w:instrText>
      </w:r>
      <w:r>
        <w:rPr>
          <w:color w:val="auto"/>
          <w:highlight w:val="none"/>
        </w:rPr>
        <w:fldChar w:fldCharType="separate"/>
      </w:r>
      <w:r>
        <w:rPr>
          <w:rFonts w:hint="eastAsia" w:eastAsia="宋体" w:cs="宋体"/>
          <w:bCs/>
          <w:color w:val="auto"/>
          <w:szCs w:val="24"/>
          <w:highlight w:val="none"/>
        </w:rPr>
        <w:t>第八章  最高投标限价</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_Toc13320 \h </w:instrText>
      </w:r>
      <w:r>
        <w:rPr>
          <w:rFonts w:hint="eastAsia" w:eastAsia="宋体" w:cs="宋体"/>
          <w:color w:val="auto"/>
          <w:szCs w:val="24"/>
          <w:highlight w:val="none"/>
        </w:rPr>
        <w:fldChar w:fldCharType="separate"/>
      </w:r>
      <w:r>
        <w:rPr>
          <w:rFonts w:hint="eastAsia" w:eastAsia="宋体" w:cs="宋体"/>
          <w:color w:val="auto"/>
          <w:szCs w:val="24"/>
          <w:highlight w:val="none"/>
        </w:rPr>
        <w:t>72</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3"/>
        <w:jc w:val="center"/>
        <w:rPr>
          <w:rFonts w:ascii="宋体" w:hAnsi="宋体"/>
          <w:color w:val="auto"/>
          <w:sz w:val="21"/>
          <w:szCs w:val="21"/>
          <w:highlight w:val="none"/>
        </w:rPr>
      </w:pPr>
      <w:r>
        <w:rPr>
          <w:rFonts w:hint="eastAsia" w:ascii="宋体" w:hAnsi="宋体" w:cs="宋体"/>
          <w:color w:val="auto"/>
          <w:sz w:val="24"/>
          <w:szCs w:val="24"/>
          <w:highlight w:val="none"/>
        </w:rPr>
        <w:fldChar w:fldCharType="end"/>
      </w:r>
      <w:bookmarkStart w:id="1" w:name="_Toc7511"/>
      <w:r>
        <w:rPr>
          <w:rFonts w:ascii="宋体" w:hAnsi="宋体"/>
          <w:color w:val="auto"/>
          <w:sz w:val="21"/>
          <w:szCs w:val="21"/>
          <w:highlight w:val="none"/>
        </w:rPr>
        <w:br w:type="page"/>
      </w:r>
      <w:r>
        <w:rPr>
          <w:rFonts w:hint="eastAsia" w:ascii="宋体" w:hAnsi="宋体"/>
          <w:b/>
          <w:bCs/>
          <w:color w:val="auto"/>
          <w:sz w:val="21"/>
          <w:szCs w:val="21"/>
          <w:highlight w:val="none"/>
        </w:rPr>
        <w:t>第一章投标须知</w:t>
      </w:r>
      <w:bookmarkEnd w:id="1"/>
    </w:p>
    <w:p>
      <w:pPr>
        <w:pStyle w:val="4"/>
        <w:ind w:left="0" w:firstLine="0" w:firstLineChars="0"/>
        <w:jc w:val="center"/>
        <w:rPr>
          <w:rFonts w:ascii="宋体" w:hAnsi="宋体"/>
          <w:color w:val="auto"/>
          <w:sz w:val="21"/>
          <w:szCs w:val="21"/>
          <w:highlight w:val="none"/>
        </w:rPr>
      </w:pPr>
      <w:bookmarkStart w:id="2" w:name="_Toc26132"/>
      <w:bookmarkStart w:id="3" w:name="_Toc6493828"/>
      <w:r>
        <w:rPr>
          <w:rFonts w:hint="eastAsia" w:ascii="宋体" w:hAnsi="宋体"/>
          <w:color w:val="auto"/>
          <w:sz w:val="21"/>
          <w:szCs w:val="21"/>
          <w:highlight w:val="none"/>
        </w:rPr>
        <w:t>一、投标须知前附表</w:t>
      </w:r>
      <w:bookmarkEnd w:id="2"/>
      <w:bookmarkEnd w:id="3"/>
    </w:p>
    <w:p>
      <w:pPr>
        <w:pStyle w:val="5"/>
        <w:spacing w:line="380" w:lineRule="exact"/>
        <w:ind w:firstLine="0"/>
        <w:rPr>
          <w:rFonts w:ascii="宋体" w:hAnsi="宋体" w:eastAsia="宋体"/>
          <w:b/>
          <w:color w:val="auto"/>
          <w:szCs w:val="21"/>
          <w:highlight w:val="none"/>
        </w:rPr>
      </w:pPr>
      <w:r>
        <w:rPr>
          <w:rFonts w:hint="eastAsia" w:ascii="宋体" w:hAnsi="宋体" w:eastAsia="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spacing w:line="320" w:lineRule="exact"/>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spacing w:line="320" w:lineRule="exact"/>
              <w:ind w:firstLine="458"/>
              <w:jc w:val="center"/>
              <w:rPr>
                <w:rFonts w:ascii="宋体" w:hAnsi="宋体"/>
                <w:color w:val="auto"/>
                <w:kern w:val="2"/>
                <w:sz w:val="21"/>
                <w:szCs w:val="21"/>
                <w:highlight w:val="none"/>
              </w:rPr>
            </w:pPr>
            <w:r>
              <w:rPr>
                <w:rFonts w:hint="eastAsia" w:ascii="宋体" w:hAnsi="宋体"/>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20" w:lineRule="exact"/>
              <w:rPr>
                <w:rFonts w:hint="eastAsia" w:ascii="宋体" w:hAnsi="宋体" w:eastAsia="宋体"/>
                <w:color w:val="auto"/>
                <w:kern w:val="0"/>
                <w:szCs w:val="21"/>
                <w:highlight w:val="none"/>
                <w:lang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广州市荔湾区詹天佑小学</w:t>
            </w:r>
          </w:p>
          <w:p>
            <w:pPr>
              <w:spacing w:line="320" w:lineRule="exact"/>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广东智汇城市招标采购有限公司</w:t>
            </w:r>
          </w:p>
          <w:p>
            <w:pPr>
              <w:rPr>
                <w:rFonts w:ascii="宋体" w:hAnsi="宋体"/>
                <w:color w:val="auto"/>
                <w:highlight w:val="none"/>
              </w:rPr>
            </w:pPr>
            <w:r>
              <w:rPr>
                <w:rFonts w:hint="eastAsia" w:ascii="宋体" w:hAnsi="宋体"/>
                <w:color w:val="auto"/>
                <w:highlight w:val="none"/>
              </w:rPr>
              <w:t>设计单位：</w:t>
            </w:r>
            <w:r>
              <w:rPr>
                <w:rFonts w:hint="eastAsia" w:ascii="宋体" w:hAnsi="宋体"/>
                <w:color w:val="auto"/>
                <w:highlight w:val="none"/>
                <w:u w:val="single"/>
              </w:rPr>
              <w:t>广州承总设计有限公司</w:t>
            </w:r>
          </w:p>
          <w:p>
            <w:pPr>
              <w:spacing w:line="320" w:lineRule="exact"/>
              <w:rPr>
                <w:rFonts w:hint="eastAsia" w:ascii="宋体" w:hAnsi="宋体" w:eastAsia="宋体"/>
                <w:color w:val="auto"/>
                <w:szCs w:val="21"/>
                <w:highlight w:val="none"/>
                <w:lang w:eastAsia="zh-CN"/>
              </w:rPr>
            </w:pPr>
            <w:r>
              <w:rPr>
                <w:rFonts w:hint="eastAsia" w:ascii="宋体" w:hAnsi="宋体"/>
                <w:color w:val="auto"/>
                <w:highlight w:val="none"/>
              </w:rPr>
              <w:t>监理单位：</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詹天佑小学(珠玑校区)校舍抗震加固项目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s="宋体"/>
                <w:color w:val="auto"/>
                <w:kern w:val="0"/>
                <w:szCs w:val="21"/>
                <w:highlight w:val="none"/>
                <w:u w:val="single"/>
              </w:rPr>
              <w:t>包工、包料、包工期、包质量、包安全、包文明施工、包验收。包组织实施工作和资料整理、包施工范围内的管理和现场整体组织、包专业协调及配合、包承包人应当购买的保险、包竣工图编制（须满足规划等各专项验收要求）等，综合单价包干、按系数计算的措施费项目合价包干（专用条款另有约定的除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olor w:val="auto"/>
                <w:szCs w:val="21"/>
                <w:highlight w:val="none"/>
                <w:u w:val="single"/>
              </w:rPr>
              <w:t>以国家或行业的质量检验评定标准为依据，达到合格工程标准或以上。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color w:val="auto"/>
                <w:szCs w:val="21"/>
                <w:highlight w:val="none"/>
                <w:lang w:val="en-US" w:eastAsia="zh-CN"/>
              </w:rPr>
            </w:pPr>
            <w:r>
              <w:rPr>
                <w:rFonts w:hint="eastAsia" w:ascii="宋体" w:hAnsi="宋体" w:cs="宋体"/>
                <w:color w:val="auto"/>
                <w:szCs w:val="21"/>
                <w:highlight w:val="none"/>
              </w:rPr>
              <w:t xml:space="preserve">工期要求：工程合同工期总日历天数： </w:t>
            </w:r>
            <w:r>
              <w:rPr>
                <w:rFonts w:hint="eastAsia" w:ascii="宋体" w:hAnsi="宋体" w:cs="宋体"/>
                <w:color w:val="auto"/>
                <w:szCs w:val="21"/>
                <w:highlight w:val="none"/>
                <w:lang w:val="en-US" w:eastAsia="zh-CN"/>
              </w:rPr>
              <w:t>120</w:t>
            </w:r>
            <w:r>
              <w:rPr>
                <w:rFonts w:hint="eastAsia" w:ascii="宋体" w:hAnsi="宋体" w:cs="宋体"/>
                <w:color w:val="auto"/>
                <w:szCs w:val="21"/>
                <w:highlight w:val="none"/>
              </w:rPr>
              <w:t xml:space="preserve"> 天。发包人有权根据现场情况，调整各期具体进场开工时间。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default" w:ascii="宋体" w:hAnsi="宋体" w:eastAsia="宋体"/>
                <w:color w:val="auto"/>
                <w:szCs w:val="21"/>
                <w:highlight w:val="none"/>
                <w:u w:val="single"/>
                <w:lang w:val="en-US" w:eastAsia="zh-CN"/>
              </w:rPr>
            </w:pPr>
            <w:r>
              <w:rPr>
                <w:rFonts w:hint="eastAsia" w:ascii="宋体" w:hAnsi="宋体" w:cs="宋体"/>
                <w:color w:val="auto"/>
                <w:szCs w:val="21"/>
                <w:highlight w:val="none"/>
                <w:u w:val="single"/>
                <w:lang w:val="en-US" w:eastAsia="zh-CN"/>
              </w:rPr>
              <w:t>财政性资金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color w:val="auto"/>
                <w:szCs w:val="21"/>
                <w:highlight w:val="none"/>
                <w:u w:val="single"/>
              </w:rPr>
            </w:pPr>
            <w:r>
              <w:rPr>
                <w:rFonts w:hint="eastAsia" w:ascii="宋体" w:hAnsi="宋体"/>
                <w:color w:val="auto"/>
                <w:szCs w:val="21"/>
                <w:highlight w:val="none"/>
                <w:u w:val="single"/>
              </w:rPr>
              <w:t>90</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olor w:val="auto"/>
                <w:szCs w:val="21"/>
                <w:highlight w:val="none"/>
              </w:rPr>
            </w:pPr>
            <w:r>
              <w:rPr>
                <w:rFonts w:hint="eastAsia" w:ascii="宋体" w:hAnsi="宋体"/>
                <w:color w:val="auto"/>
                <w:szCs w:val="21"/>
                <w:highlight w:val="none"/>
                <w:u w:val="single"/>
                <w:lang w:val="en-US" w:eastAsia="zh-CN"/>
              </w:rPr>
              <w:t>20</w:t>
            </w:r>
            <w:r>
              <w:rPr>
                <w:rFonts w:hint="eastAsia" w:ascii="宋体" w:hAnsi="宋体"/>
                <w:color w:val="auto"/>
                <w:szCs w:val="21"/>
                <w:highlight w:val="none"/>
              </w:rPr>
              <w:t>万元人民币，</w:t>
            </w:r>
            <w:r>
              <w:rPr>
                <w:rFonts w:hint="eastAsia" w:ascii="宋体" w:hAnsi="宋体"/>
                <w:color w:val="auto"/>
                <w:szCs w:val="21"/>
                <w:highlight w:val="none"/>
                <w:u w:val="single"/>
              </w:rPr>
              <w:t>缴纳时间在投标文件递交截止时间之前</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ind w:firstLine="420" w:firstLineChars="200"/>
              <w:rPr>
                <w:rFonts w:ascii="宋体" w:hAnsi="宋体"/>
                <w:color w:val="auto"/>
                <w:szCs w:val="21"/>
                <w:highlight w:val="none"/>
              </w:rPr>
            </w:pPr>
            <w:r>
              <w:rPr>
                <w:rFonts w:hint="eastAsia" w:ascii="宋体" w:hAnsi="宋体"/>
                <w:color w:val="auto"/>
                <w:szCs w:val="21"/>
                <w:highlight w:val="none"/>
              </w:rPr>
              <w:t>2、鼓励招标人对简单小额项目不要求提供投标担保，对中小企业投标人免除投标担保。</w:t>
            </w:r>
          </w:p>
          <w:p>
            <w:pPr>
              <w:shd w:val="clear" w:color="auto" w:fill="FFFFFF"/>
              <w:spacing w:line="320" w:lineRule="exact"/>
              <w:ind w:firstLine="420" w:firstLineChars="200"/>
              <w:rPr>
                <w:rFonts w:ascii="宋体" w:hAnsi="宋体"/>
                <w:color w:val="auto"/>
                <w:szCs w:val="21"/>
                <w:highlight w:val="none"/>
              </w:rPr>
            </w:pPr>
            <w:r>
              <w:rPr>
                <w:rFonts w:hint="eastAsia" w:ascii="宋体" w:hAnsi="宋体"/>
                <w:color w:val="auto"/>
                <w:szCs w:val="21"/>
                <w:highlight w:val="none"/>
              </w:rPr>
              <w:t>3、招标人在免收投标保证金的同时，应约定免交投标保证金的投标人存在16.4条款所列情形的后续处理措施。</w:t>
            </w:r>
          </w:p>
          <w:p>
            <w:pPr>
              <w:shd w:val="clear" w:color="auto" w:fill="FFFFFF"/>
              <w:spacing w:line="32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投标保证金有效期：与投标有效期一致。</w:t>
            </w:r>
          </w:p>
          <w:p>
            <w:pPr>
              <w:pStyle w:val="37"/>
              <w:shd w:val="clear" w:color="auto" w:fill="FFFFFF"/>
              <w:spacing w:line="300" w:lineRule="exact"/>
              <w:ind w:left="0" w:leftChars="0"/>
              <w:rPr>
                <w:rFonts w:ascii="宋体" w:hAnsi="宋体"/>
                <w:color w:val="auto"/>
                <w:szCs w:val="21"/>
                <w:highlight w:val="none"/>
                <w:u w:val="single"/>
              </w:rPr>
            </w:pPr>
            <w:r>
              <w:rPr>
                <w:rFonts w:hint="eastAsia" w:ascii="宋体" w:hAnsi="宋体"/>
                <w:color w:val="auto"/>
                <w:szCs w:val="21"/>
                <w:highlight w:val="none"/>
                <w:u w:val="single"/>
              </w:rPr>
              <w:t>投标保证金可采用现金、支票、投标保函、投标保证保险、专业担保公司担保的形式，须在递交投标文件截止时间前完成缴纳。</w:t>
            </w:r>
          </w:p>
          <w:p>
            <w:pPr>
              <w:pStyle w:val="37"/>
              <w:shd w:val="clear" w:color="auto" w:fill="FFFFFF"/>
              <w:spacing w:line="300" w:lineRule="exact"/>
              <w:ind w:left="0" w:leftChars="0" w:firstLine="0" w:firstLineChars="0"/>
              <w:rPr>
                <w:rFonts w:ascii="宋体" w:hAnsi="宋体"/>
                <w:color w:val="auto"/>
                <w:szCs w:val="21"/>
                <w:highlight w:val="none"/>
                <w:u w:val="single"/>
              </w:rPr>
            </w:pPr>
            <w:r>
              <w:rPr>
                <w:rFonts w:hint="eastAsia" w:ascii="宋体" w:hAnsi="宋体"/>
                <w:color w:val="auto"/>
                <w:szCs w:val="21"/>
                <w:highlight w:val="none"/>
                <w:u w:val="single"/>
              </w:rPr>
              <w:t>（1）如采用现金或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交易集团有限公司，到账情况以开标时广州公共资源交易中心数据库查询的信息为准。</w:t>
            </w:r>
          </w:p>
          <w:p>
            <w:pPr>
              <w:pStyle w:val="37"/>
              <w:shd w:val="clear" w:color="auto" w:fill="FFFFFF"/>
              <w:spacing w:line="300" w:lineRule="exact"/>
              <w:ind w:left="0" w:leftChars="0" w:firstLine="0" w:firstLineChars="0"/>
              <w:rPr>
                <w:rFonts w:ascii="宋体" w:hAnsi="宋体"/>
                <w:color w:val="auto"/>
                <w:szCs w:val="21"/>
                <w:highlight w:val="none"/>
                <w:u w:val="single"/>
              </w:rPr>
            </w:pPr>
            <w:r>
              <w:rPr>
                <w:rFonts w:hint="eastAsia" w:ascii="宋体" w:hAnsi="宋体"/>
                <w:color w:val="auto"/>
                <w:szCs w:val="21"/>
                <w:highlight w:val="none"/>
                <w:u w:val="single"/>
              </w:rPr>
              <w:t>收款单位：广州交易集团有限公司</w:t>
            </w:r>
          </w:p>
          <w:p>
            <w:pPr>
              <w:pStyle w:val="37"/>
              <w:shd w:val="clear" w:color="auto" w:fill="FFFFFF"/>
              <w:spacing w:line="300" w:lineRule="exact"/>
              <w:ind w:left="0" w:leftChars="0" w:firstLine="0" w:firstLineChars="0"/>
              <w:rPr>
                <w:rFonts w:ascii="宋体" w:hAnsi="宋体"/>
                <w:color w:val="auto"/>
                <w:szCs w:val="21"/>
                <w:highlight w:val="none"/>
                <w:u w:val="single"/>
              </w:rPr>
            </w:pPr>
            <w:r>
              <w:rPr>
                <w:rFonts w:hint="eastAsia" w:ascii="宋体" w:hAnsi="宋体"/>
                <w:color w:val="auto"/>
                <w:szCs w:val="21"/>
                <w:highlight w:val="none"/>
                <w:u w:val="single"/>
              </w:rPr>
              <w:t>开户银行：中国建设银行广州天润路支行</w:t>
            </w:r>
          </w:p>
          <w:p>
            <w:pPr>
              <w:pStyle w:val="37"/>
              <w:shd w:val="clear" w:color="auto" w:fill="FFFFFF"/>
              <w:spacing w:line="300" w:lineRule="exact"/>
              <w:ind w:left="0" w:leftChars="0" w:firstLine="0" w:firstLineChars="0"/>
              <w:rPr>
                <w:rFonts w:ascii="宋体" w:hAnsi="宋体"/>
                <w:color w:val="auto"/>
                <w:szCs w:val="21"/>
                <w:highlight w:val="none"/>
                <w:u w:val="single"/>
              </w:rPr>
            </w:pPr>
            <w:r>
              <w:rPr>
                <w:rFonts w:hint="eastAsia" w:ascii="宋体" w:hAnsi="宋体"/>
                <w:color w:val="auto"/>
                <w:szCs w:val="21"/>
                <w:highlight w:val="none"/>
                <w:u w:val="single"/>
              </w:rPr>
              <w:t>银行账号：44001583404059333333</w:t>
            </w:r>
          </w:p>
          <w:p>
            <w:pPr>
              <w:pStyle w:val="37"/>
              <w:shd w:val="clear" w:color="auto" w:fill="FFFFFF"/>
              <w:spacing w:line="300" w:lineRule="exact"/>
              <w:ind w:left="0" w:leftChars="0" w:firstLine="0" w:firstLineChars="0"/>
              <w:rPr>
                <w:rFonts w:ascii="宋体" w:hAnsi="宋体"/>
                <w:color w:val="auto"/>
                <w:szCs w:val="21"/>
                <w:highlight w:val="none"/>
                <w:u w:val="single"/>
              </w:rPr>
            </w:pPr>
            <w:r>
              <w:rPr>
                <w:rFonts w:hint="eastAsia" w:ascii="宋体" w:hAnsi="宋体"/>
                <w:color w:val="auto"/>
                <w:szCs w:val="21"/>
                <w:highlight w:val="none"/>
                <w:u w:val="single"/>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w:t>
            </w:r>
          </w:p>
          <w:p>
            <w:pPr>
              <w:rPr>
                <w:rFonts w:ascii="宋体" w:hAnsi="宋体" w:cs="宋体"/>
                <w:color w:val="auto"/>
                <w:szCs w:val="21"/>
                <w:highlight w:val="none"/>
                <w:u w:val="single"/>
              </w:rPr>
            </w:pPr>
            <w:r>
              <w:rPr>
                <w:rFonts w:hint="eastAsia" w:ascii="宋体" w:hAnsi="宋体"/>
                <w:color w:val="auto"/>
                <w:szCs w:val="21"/>
                <w:highlight w:val="none"/>
                <w:u w:val="single"/>
              </w:rPr>
              <w:t>（3）</w:t>
            </w:r>
            <w:r>
              <w:rPr>
                <w:rFonts w:hint="eastAsia" w:ascii="宋体" w:hAnsi="宋体" w:cs="宋体"/>
                <w:color w:val="auto"/>
                <w:szCs w:val="21"/>
                <w:highlight w:val="none"/>
                <w:u w:val="single"/>
              </w:rPr>
              <w:t>如采用电子形式的保函、担保或保证保险方式提交投标保证金，具体操作详见《广州公共资源交易中心关于开通电子保函服务功能的通知》（http://www.gzggzy.cn/jtgg/822128.jhtml）。</w:t>
            </w:r>
          </w:p>
          <w:p>
            <w:pPr>
              <w:pStyle w:val="37"/>
              <w:shd w:val="clear" w:color="auto" w:fill="FFFFFF"/>
              <w:spacing w:line="300" w:lineRule="exact"/>
              <w:ind w:left="0" w:leftChars="0" w:firstLine="0" w:firstLineChars="0"/>
              <w:rPr>
                <w:rFonts w:ascii="宋体" w:hAnsi="宋体"/>
                <w:color w:val="auto"/>
                <w:szCs w:val="21"/>
                <w:highlight w:val="none"/>
              </w:rPr>
            </w:pPr>
            <w:r>
              <w:rPr>
                <w:rFonts w:hint="eastAsia" w:ascii="宋体" w:hAnsi="宋体"/>
                <w:color w:val="auto"/>
                <w:szCs w:val="21"/>
                <w:highlight w:val="none"/>
                <w:u w:val="single"/>
              </w:rPr>
              <w:t>投标保证金有效期：与投标有效期一致。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u w:val="single"/>
              </w:rPr>
              <w:t>自行踏勘，</w:t>
            </w:r>
            <w:r>
              <w:rPr>
                <w:rFonts w:ascii="宋体" w:hAnsi="宋体"/>
                <w:color w:val="auto"/>
                <w:kern w:val="2"/>
                <w:sz w:val="21"/>
                <w:szCs w:val="21"/>
                <w:highlight w:val="none"/>
                <w:u w:val="single"/>
              </w:rPr>
              <w:t>投标人不进行踏勘的，视为已熟知现场条件，自行承担相关风险</w:t>
            </w:r>
            <w:r>
              <w:rPr>
                <w:rFonts w:hint="eastAsia" w:ascii="宋体" w:hAnsi="宋体"/>
                <w:color w:val="auto"/>
                <w:kern w:val="2"/>
                <w:sz w:val="21"/>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投标人在递交投标文件截止时间18天前提出</w:t>
            </w:r>
            <w:r>
              <w:rPr>
                <w:rFonts w:hint="eastAsia" w:ascii="宋体" w:hAnsi="宋体" w:cs="宋体"/>
                <w:color w:val="auto"/>
                <w:szCs w:val="21"/>
                <w:highlight w:val="none"/>
              </w:rPr>
              <w:t>；</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交易平台提交。</w:t>
            </w:r>
            <w:r>
              <w:rPr>
                <w:rFonts w:hint="eastAsia" w:ascii="宋体" w:hAnsi="宋体" w:cs="宋体"/>
                <w:color w:val="auto"/>
                <w:szCs w:val="21"/>
                <w:highlight w:val="none"/>
                <w:u w:val="single"/>
              </w:rPr>
              <w:t>招标答疑采用网上答疑方式进行。投标人若对招标文件（包括施工图纸、清单、招标控制价）有疑问的，可在规定的时间内通过广州公共资源交易中心网进入提问区域将问题提交给招标人或招标代理人，提交问题时一律不得署名。</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spacing w:line="400" w:lineRule="exact"/>
              <w:rPr>
                <w:rFonts w:ascii="宋体" w:hAnsi="宋体"/>
                <w:color w:val="auto"/>
                <w:szCs w:val="21"/>
                <w:highlight w:val="none"/>
              </w:rPr>
            </w:pPr>
            <w:r>
              <w:rPr>
                <w:rFonts w:hint="eastAsia" w:ascii="宋体" w:hAnsi="宋体" w:cs="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rPr>
              <w:t>广州公共资源交易中心网站。</w:t>
            </w:r>
            <w:r>
              <w:rPr>
                <w:rFonts w:hint="eastAsia" w:ascii="宋体" w:hAnsi="宋体" w:cs="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szCs w:val="21"/>
                <w:highlight w:val="none"/>
                <w:u w:val="single"/>
              </w:rPr>
            </w:pPr>
            <w:r>
              <w:rPr>
                <w:rFonts w:hint="eastAsia" w:ascii="宋体" w:hAnsi="宋体" w:cs="宋体"/>
                <w:color w:val="auto"/>
                <w:szCs w:val="21"/>
                <w:highlight w:val="none"/>
                <w:u w:val="single"/>
              </w:rPr>
              <w:t>时间</w:t>
            </w:r>
            <w:r>
              <w:rPr>
                <w:rFonts w:ascii="宋体" w:hAnsi="宋体" w:cs="宋体"/>
                <w:color w:val="auto"/>
                <w:szCs w:val="21"/>
                <w:highlight w:val="none"/>
                <w:u w:val="single"/>
              </w:rPr>
              <w:t>留意广州公共资源交易中心公布的日程安排，投标人可登录广州公共资源交易中心网站首页，点击“交易业务-建设工程”专栏中的“项目查询（日程安排、答疑纪要）”，输入项目编号或项目名称查询最新信息</w:t>
            </w:r>
            <w:r>
              <w:rPr>
                <w:rFonts w:hint="eastAsia" w:ascii="宋体" w:hAnsi="宋体" w:cs="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1、开标开始时间：</w:t>
            </w:r>
            <w:r>
              <w:rPr>
                <w:rFonts w:hint="eastAsia" w:ascii="宋体" w:hAnsi="宋体" w:cs="宋体"/>
                <w:bCs/>
                <w:color w:val="auto"/>
                <w:kern w:val="0"/>
                <w:szCs w:val="21"/>
                <w:highlight w:val="none"/>
                <w:u w:val="single"/>
              </w:rPr>
              <w:t>2023</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分（与投标截止时间为同一时间），地点：</w:t>
            </w:r>
            <w:r>
              <w:rPr>
                <w:rFonts w:hint="eastAsia" w:ascii="宋体" w:hAnsi="宋体" w:cs="宋体"/>
                <w:bCs/>
                <w:color w:val="auto"/>
                <w:kern w:val="0"/>
                <w:szCs w:val="21"/>
                <w:highlight w:val="none"/>
                <w:u w:val="single"/>
              </w:rPr>
              <w:t>详见招标公告</w:t>
            </w:r>
            <w:r>
              <w:rPr>
                <w:rFonts w:hint="eastAsia" w:ascii="宋体" w:hAnsi="宋体" w:cs="宋体"/>
                <w:bCs/>
                <w:color w:val="auto"/>
                <w:kern w:val="0"/>
                <w:szCs w:val="21"/>
                <w:highlight w:val="none"/>
              </w:rPr>
              <w:t>。</w:t>
            </w:r>
            <w:r>
              <w:rPr>
                <w:rFonts w:hint="eastAsia" w:ascii="仿宋" w:hAnsi="仿宋" w:eastAsia="仿宋" w:cs="宋体"/>
                <w:b/>
                <w:bCs/>
                <w:color w:val="auto"/>
                <w:kern w:val="0"/>
                <w:sz w:val="22"/>
                <w:highlight w:val="none"/>
              </w:rPr>
              <w:t>投标人也可选择参加在线开标，具体按照交易平台相关指南进行操作。详见：</w:t>
            </w:r>
            <w:r>
              <w:rPr>
                <w:rFonts w:hint="eastAsia" w:ascii="仿宋" w:hAnsi="仿宋" w:eastAsia="仿宋" w:cs="宋体"/>
                <w:b/>
                <w:bCs/>
                <w:color w:val="auto"/>
                <w:kern w:val="0"/>
                <w:sz w:val="22"/>
                <w:highlight w:val="none"/>
                <w:u w:val="single"/>
              </w:rPr>
              <w:t>广州公共资源交易中心网站</w:t>
            </w:r>
            <w:r>
              <w:rPr>
                <w:rFonts w:hint="eastAsia" w:ascii="仿宋" w:hAnsi="仿宋" w:eastAsia="仿宋" w:cs="宋体"/>
                <w:b/>
                <w:bCs/>
                <w:color w:val="auto"/>
                <w:kern w:val="0"/>
                <w:sz w:val="22"/>
                <w:highlight w:val="none"/>
              </w:rPr>
              <w:t>。</w:t>
            </w:r>
          </w:p>
          <w:p>
            <w:pPr>
              <w:widowControl/>
              <w:jc w:val="left"/>
              <w:rPr>
                <w:rFonts w:ascii="宋体" w:hAnsi="宋体" w:cs="宋体"/>
                <w:bCs/>
                <w:strike/>
                <w:color w:val="auto"/>
                <w:kern w:val="0"/>
                <w:szCs w:val="21"/>
                <w:highlight w:val="none"/>
              </w:rPr>
            </w:pPr>
            <w:r>
              <w:rPr>
                <w:rFonts w:hint="eastAsia" w:ascii="宋体" w:hAnsi="宋体" w:cs="宋体"/>
                <w:bCs/>
                <w:strike/>
                <w:color w:val="auto"/>
                <w:kern w:val="0"/>
                <w:szCs w:val="21"/>
                <w:highlight w:val="none"/>
              </w:rPr>
              <w:t>（技术标和经济标分别开标）</w:t>
            </w:r>
          </w:p>
          <w:p>
            <w:pPr>
              <w:widowControl/>
              <w:jc w:val="left"/>
              <w:rPr>
                <w:rFonts w:ascii="宋体" w:hAnsi="宋体" w:cs="宋体"/>
                <w:bCs/>
                <w:strike/>
                <w:color w:val="auto"/>
                <w:kern w:val="0"/>
                <w:szCs w:val="21"/>
                <w:highlight w:val="none"/>
              </w:rPr>
            </w:pPr>
            <w:r>
              <w:rPr>
                <w:rFonts w:hint="eastAsia" w:ascii="宋体" w:hAnsi="宋体" w:cs="宋体"/>
                <w:bCs/>
                <w:strike/>
                <w:color w:val="auto"/>
                <w:kern w:val="0"/>
                <w:szCs w:val="21"/>
                <w:highlight w:val="none"/>
              </w:rPr>
              <w:t>1、技术标开标时间：年月日时分（与投标截止时间为同一时间），地点：；</w:t>
            </w:r>
          </w:p>
          <w:p>
            <w:pPr>
              <w:widowControl/>
              <w:jc w:val="left"/>
              <w:rPr>
                <w:rFonts w:ascii="宋体" w:hAnsi="宋体" w:cs="宋体"/>
                <w:bCs/>
                <w:strike/>
                <w:color w:val="auto"/>
                <w:kern w:val="0"/>
                <w:szCs w:val="21"/>
                <w:highlight w:val="none"/>
              </w:rPr>
            </w:pPr>
            <w:r>
              <w:rPr>
                <w:rFonts w:hint="eastAsia" w:ascii="宋体" w:hAnsi="宋体" w:cs="宋体"/>
                <w:bCs/>
                <w:strike/>
                <w:color w:val="auto"/>
                <w:kern w:val="0"/>
                <w:szCs w:val="21"/>
                <w:highlight w:val="none"/>
              </w:rPr>
              <w:t>2、经济标开标时间：年月日时   分，地点：。</w:t>
            </w:r>
            <w:r>
              <w:rPr>
                <w:rFonts w:hint="eastAsia" w:ascii="仿宋" w:hAnsi="仿宋" w:eastAsia="仿宋" w:cs="宋体"/>
                <w:b/>
                <w:bCs/>
                <w:strike/>
                <w:color w:val="auto"/>
                <w:kern w:val="0"/>
                <w:sz w:val="22"/>
                <w:highlight w:val="none"/>
              </w:rPr>
              <w:t>投标人也可选择参加在线开标，具体按照交易平台相关指南进行操作。详见：。</w:t>
            </w:r>
          </w:p>
          <w:p>
            <w:pPr>
              <w:widowControl/>
              <w:jc w:val="left"/>
              <w:rPr>
                <w:rFonts w:ascii="宋体" w:hAnsi="宋体" w:cs="宋体"/>
                <w:bCs/>
                <w:strike/>
                <w:color w:val="auto"/>
                <w:kern w:val="0"/>
                <w:szCs w:val="21"/>
                <w:highlight w:val="none"/>
              </w:rPr>
            </w:pPr>
            <w:r>
              <w:rPr>
                <w:rFonts w:hint="eastAsia" w:ascii="宋体" w:hAnsi="宋体" w:cs="宋体"/>
                <w:bCs/>
                <w:strike/>
                <w:color w:val="auto"/>
                <w:kern w:val="0"/>
                <w:szCs w:val="21"/>
                <w:highlight w:val="none"/>
              </w:rPr>
              <w:t>注：投标文件解密问题。投标人只用执行一次解密，招标人执行解密次数根据招标文件开标次数确定。</w:t>
            </w:r>
          </w:p>
          <w:p>
            <w:pPr>
              <w:widowControl/>
              <w:ind w:left="210" w:hanging="210" w:hangingChars="1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（选择性条款）2、递交投标文件备用</w:t>
            </w:r>
            <w:r>
              <w:rPr>
                <w:rFonts w:hint="eastAsia" w:ascii="宋体" w:hAnsi="宋体" w:cs="宋体"/>
                <w:bCs/>
                <w:strike/>
                <w:color w:val="auto"/>
                <w:kern w:val="0"/>
                <w:szCs w:val="21"/>
                <w:highlight w:val="none"/>
              </w:rPr>
              <w:t>光</w:t>
            </w:r>
            <w:r>
              <w:rPr>
                <w:rFonts w:hint="eastAsia" w:ascii="宋体" w:hAnsi="宋体" w:cs="宋体"/>
                <w:b/>
                <w:color w:val="auto"/>
                <w:kern w:val="0"/>
                <w:szCs w:val="21"/>
                <w:highlight w:val="none"/>
                <w:u w:val="single"/>
              </w:rPr>
              <w:t>U</w:t>
            </w:r>
            <w:r>
              <w:rPr>
                <w:rFonts w:hint="eastAsia" w:ascii="宋体" w:hAnsi="宋体" w:cs="宋体"/>
                <w:bCs/>
                <w:color w:val="auto"/>
                <w:kern w:val="0"/>
                <w:szCs w:val="21"/>
                <w:highlight w:val="none"/>
              </w:rPr>
              <w:t>盘时间：</w:t>
            </w:r>
            <w:r>
              <w:rPr>
                <w:rFonts w:hint="eastAsia" w:ascii="宋体" w:hAnsi="宋体" w:cs="宋体"/>
                <w:bCs/>
                <w:color w:val="auto"/>
                <w:kern w:val="0"/>
                <w:szCs w:val="21"/>
                <w:highlight w:val="none"/>
                <w:u w:val="single"/>
              </w:rPr>
              <w:t>2023</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分至</w:t>
            </w:r>
            <w:r>
              <w:rPr>
                <w:rFonts w:hint="eastAsia" w:ascii="宋体" w:hAnsi="宋体" w:cs="宋体"/>
                <w:bCs/>
                <w:color w:val="auto"/>
                <w:kern w:val="0"/>
                <w:szCs w:val="21"/>
                <w:highlight w:val="none"/>
                <w:u w:val="single"/>
              </w:rPr>
              <w:t>2023</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rPr>
              <w:t>分；</w:t>
            </w:r>
            <w:r>
              <w:rPr>
                <w:rFonts w:hint="eastAsia" w:ascii="宋体" w:hAnsi="宋体" w:cs="宋体"/>
                <w:bCs/>
                <w:color w:val="auto"/>
                <w:kern w:val="0"/>
                <w:szCs w:val="21"/>
                <w:highlight w:val="none"/>
                <w:u w:val="single"/>
              </w:rPr>
              <w:t>递交地点：广州市天河区天润路333号（第</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开标室）</w:t>
            </w:r>
            <w:r>
              <w:rPr>
                <w:rFonts w:hint="eastAsia" w:ascii="宋体" w:hAnsi="宋体" w:cs="宋体"/>
                <w:bCs/>
                <w:color w:val="auto"/>
                <w:kern w:val="0"/>
                <w:szCs w:val="21"/>
                <w:highlight w:val="none"/>
              </w:rPr>
              <w:t>。(建议安排在投标文件截止时间前15分钟至投标文件截止时间）</w:t>
            </w:r>
          </w:p>
          <w:p>
            <w:pPr>
              <w:pStyle w:val="19"/>
              <w:rPr>
                <w:rFonts w:hAnsi="宋体" w:cs="宋体"/>
                <w:b/>
                <w:strike/>
                <w:color w:val="auto"/>
                <w:sz w:val="21"/>
                <w:szCs w:val="21"/>
                <w:highlight w:val="none"/>
              </w:rPr>
            </w:pPr>
            <w:r>
              <w:rPr>
                <w:rFonts w:hint="eastAsia" w:hAnsi="宋体" w:cs="宋体"/>
                <w:b/>
                <w:strike/>
                <w:color w:val="auto"/>
                <w:sz w:val="21"/>
                <w:szCs w:val="21"/>
                <w:highlight w:val="none"/>
              </w:rPr>
              <w:t>（选择性条款）3、本项目采取项目负责人自助签到，按照交易平台有关项目负责人自助签到流程进行操作。（选择性条款）</w:t>
            </w:r>
          </w:p>
          <w:p>
            <w:pPr>
              <w:pStyle w:val="19"/>
              <w:rPr>
                <w:rFonts w:hAnsi="宋体" w:cs="宋体"/>
                <w:b/>
                <w:strike/>
                <w:color w:val="auto"/>
                <w:sz w:val="21"/>
                <w:szCs w:val="21"/>
                <w:highlight w:val="none"/>
              </w:rPr>
            </w:pPr>
            <w:r>
              <w:rPr>
                <w:rFonts w:hint="eastAsia" w:hAnsi="宋体" w:cs="宋体"/>
                <w:b/>
                <w:strike/>
                <w:color w:val="auto"/>
                <w:sz w:val="21"/>
                <w:szCs w:val="21"/>
                <w:highlight w:val="none"/>
              </w:rPr>
              <w:t>（1）自助签到起始时间：年月日时分，截止时间：年月日时分。（签到时间建议不少于1.5小时），地点：。</w:t>
            </w:r>
          </w:p>
          <w:p>
            <w:pPr>
              <w:pStyle w:val="19"/>
              <w:rPr>
                <w:rFonts w:hAnsi="宋体" w:cs="宋体"/>
                <w:b/>
                <w:strike/>
                <w:color w:val="auto"/>
                <w:sz w:val="21"/>
                <w:szCs w:val="21"/>
                <w:highlight w:val="none"/>
              </w:rPr>
            </w:pPr>
            <w:r>
              <w:rPr>
                <w:rFonts w:hint="eastAsia" w:hAnsi="宋体" w:cs="宋体"/>
                <w:b/>
                <w:strike/>
                <w:color w:val="auto"/>
                <w:sz w:val="21"/>
                <w:szCs w:val="21"/>
                <w:highlight w:val="none"/>
              </w:rPr>
              <w:t>（2）人工应急签到起始时间：年月日时   分。截止时间：年月日时分。（建议与投标文件解密同时进行），人工应急签到地点：。</w:t>
            </w:r>
          </w:p>
          <w:p>
            <w:pPr>
              <w:pStyle w:val="19"/>
              <w:rPr>
                <w:rFonts w:hAnsi="宋体" w:cs="宋体"/>
                <w:b/>
                <w:color w:val="auto"/>
                <w:sz w:val="21"/>
                <w:szCs w:val="21"/>
                <w:highlight w:val="none"/>
              </w:rPr>
            </w:pPr>
            <w:r>
              <w:rPr>
                <w:rFonts w:hint="eastAsia" w:hAnsi="宋体" w:cs="宋体"/>
                <w:b/>
                <w:strike/>
                <w:color w:val="auto"/>
                <w:sz w:val="21"/>
                <w:szCs w:val="21"/>
                <w:highlight w:val="none"/>
              </w:rPr>
              <w:t>注：投标人凭自助签到失败通知在人工应急签到截止时间前到达人工应急签到地点的，应按应急方案办理签到手续。逾期到达的，不再受理其人工应急签到。</w:t>
            </w:r>
          </w:p>
          <w:p>
            <w:pPr>
              <w:spacing w:line="380" w:lineRule="exact"/>
              <w:rPr>
                <w:color w:val="auto"/>
                <w:highlight w:val="none"/>
              </w:rPr>
            </w:pPr>
            <w:r>
              <w:rPr>
                <w:rFonts w:hint="eastAsia" w:ascii="宋体" w:hAnsi="宋体" w:cs="宋体"/>
                <w:bCs/>
                <w:color w:val="auto"/>
                <w:kern w:val="0"/>
                <w:szCs w:val="21"/>
                <w:highlight w:val="none"/>
              </w:rPr>
              <w:t>上述时间及地点是否有改变，请密切留意招标答疑纪要的相关信息</w:t>
            </w:r>
            <w:r>
              <w:rPr>
                <w:rFonts w:hint="eastAsia"/>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方式一：</w:t>
            </w:r>
            <w:r>
              <w:rPr>
                <w:rFonts w:hint="eastAsia" w:ascii="宋体" w:hAnsi="宋体" w:cs="宋体"/>
                <w:color w:val="auto"/>
                <w:szCs w:val="21"/>
                <w:highlight w:val="none"/>
                <w:u w:val="single"/>
              </w:rPr>
              <w:t xml:space="preserve">选取方法七（适合综合评分办法四，技术标与经济标同时开启）； </w:t>
            </w:r>
          </w:p>
          <w:p>
            <w:pPr>
              <w:pStyle w:val="36"/>
              <w:spacing w:line="380" w:lineRule="exact"/>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投标人总得分=（技术得分</w:t>
            </w:r>
            <w:r>
              <w:rPr>
                <w:rFonts w:ascii="宋体" w:hAnsi="宋体" w:eastAsia="宋体" w:cs="宋体"/>
                <w:color w:val="auto"/>
                <w:kern w:val="2"/>
                <w:sz w:val="21"/>
                <w:szCs w:val="21"/>
                <w:highlight w:val="none"/>
                <w:u w:val="single"/>
              </w:rPr>
              <w:t>（</w:t>
            </w:r>
            <w:r>
              <w:rPr>
                <w:rFonts w:hint="eastAsia" w:ascii="宋体" w:hAnsi="宋体" w:eastAsia="宋体" w:cs="宋体"/>
                <w:color w:val="auto"/>
                <w:kern w:val="2"/>
                <w:sz w:val="21"/>
                <w:szCs w:val="21"/>
                <w:highlight w:val="none"/>
                <w:u w:val="single"/>
              </w:rPr>
              <w:t>满分20</w:t>
            </w:r>
            <w:r>
              <w:rPr>
                <w:rFonts w:ascii="宋体" w:hAnsi="宋体" w:eastAsia="宋体" w:cs="宋体"/>
                <w:color w:val="auto"/>
                <w:kern w:val="2"/>
                <w:sz w:val="21"/>
                <w:szCs w:val="21"/>
                <w:highlight w:val="none"/>
                <w:u w:val="single"/>
              </w:rPr>
              <w:t>分）</w:t>
            </w:r>
            <w:r>
              <w:rPr>
                <w:rFonts w:hint="eastAsia" w:ascii="宋体" w:hAnsi="宋体" w:eastAsia="宋体" w:cs="宋体"/>
                <w:color w:val="auto"/>
                <w:kern w:val="2"/>
                <w:sz w:val="21"/>
                <w:szCs w:val="21"/>
                <w:highlight w:val="none"/>
                <w:u w:val="single"/>
              </w:rPr>
              <w:t>＋经济得分×经济得分权重(80%)）</w:t>
            </w:r>
          </w:p>
          <w:p>
            <w:pPr>
              <w:spacing w:line="360" w:lineRule="auto"/>
              <w:rPr>
                <w:rFonts w:ascii="宋体" w:hAnsi="宋体"/>
                <w:color w:val="auto"/>
                <w:szCs w:val="21"/>
                <w:highlight w:val="none"/>
              </w:rPr>
            </w:pPr>
            <w:r>
              <w:rPr>
                <w:rFonts w:hint="eastAsia" w:ascii="宋体" w:hAnsi="宋体" w:cs="宋体"/>
                <w:color w:val="auto"/>
                <w:szCs w:val="21"/>
                <w:highlight w:val="none"/>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color w:val="auto"/>
                <w:szCs w:val="21"/>
                <w:highlight w:val="none"/>
              </w:rPr>
            </w:pPr>
            <w:r>
              <w:rPr>
                <w:rFonts w:hint="eastAsia" w:ascii="宋体" w:hAnsi="宋体" w:cs="宋体"/>
                <w:color w:val="auto"/>
                <w:szCs w:val="21"/>
                <w:highlight w:val="none"/>
                <w:u w:val="single"/>
              </w:rPr>
              <w:t>方式一：中标人提供的履约保证金或履约保函为中标价款的10%。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ind w:left="-27" w:leftChars="-13" w:right="-59" w:rightChars="-28"/>
              <w:rPr>
                <w:rFonts w:hint="eastAsia" w:ascii="宋体" w:hAnsi="宋体"/>
                <w:color w:val="auto"/>
                <w:szCs w:val="21"/>
                <w:highlight w:val="none"/>
              </w:rPr>
            </w:pPr>
            <w:r>
              <w:rPr>
                <w:rFonts w:hint="eastAsia" w:ascii="宋体" w:hAnsi="宋体"/>
                <w:color w:val="auto"/>
                <w:szCs w:val="21"/>
                <w:highlight w:val="none"/>
              </w:rPr>
              <w:t>本项目最高投标限价</w:t>
            </w:r>
            <w:r>
              <w:rPr>
                <w:rFonts w:hint="eastAsia" w:ascii="宋体" w:hAnsi="宋体" w:cs="宋体"/>
                <w:color w:val="auto"/>
                <w:szCs w:val="21"/>
                <w:highlight w:val="none"/>
                <w:lang w:bidi="ar"/>
              </w:rPr>
              <w:t>为人民币</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11,709,619.72</w:t>
            </w:r>
            <w:r>
              <w:rPr>
                <w:rFonts w:hint="eastAsia" w:ascii="宋体" w:hAnsi="宋体" w:cs="宋体"/>
                <w:color w:val="auto"/>
                <w:szCs w:val="21"/>
                <w:highlight w:val="none"/>
                <w:u w:val="single"/>
                <w:lang w:bidi="ar"/>
              </w:rPr>
              <w:t xml:space="preserve"> </w:t>
            </w:r>
            <w:r>
              <w:rPr>
                <w:rFonts w:hint="eastAsia" w:ascii="宋体" w:hAnsi="宋体"/>
                <w:color w:val="auto"/>
                <w:szCs w:val="21"/>
                <w:highlight w:val="none"/>
              </w:rPr>
              <w:t>元。</w:t>
            </w:r>
          </w:p>
          <w:p>
            <w:pPr>
              <w:spacing w:line="380" w:lineRule="exact"/>
              <w:rPr>
                <w:rFonts w:ascii="宋体" w:hAnsi="宋体"/>
                <w:color w:val="auto"/>
                <w:szCs w:val="21"/>
                <w:highlight w:val="none"/>
                <w:u w:val="single"/>
              </w:rPr>
            </w:pPr>
            <w:r>
              <w:rPr>
                <w:rFonts w:hint="eastAsia" w:ascii="宋体" w:hAnsi="宋体" w:cs="宋体"/>
                <w:color w:val="auto"/>
                <w:szCs w:val="21"/>
                <w:highlight w:val="none"/>
                <w:u w:val="single"/>
                <w:lang w:bidi="ar"/>
              </w:rPr>
              <w:t>投标报价总价超过上述</w:t>
            </w:r>
            <w:r>
              <w:rPr>
                <w:rFonts w:hint="eastAsia" w:ascii="宋体" w:hAnsi="宋体"/>
                <w:color w:val="auto"/>
                <w:szCs w:val="21"/>
                <w:highlight w:val="none"/>
                <w:u w:val="single"/>
              </w:rPr>
              <w:t>最高投标限价</w:t>
            </w:r>
            <w:r>
              <w:rPr>
                <w:rFonts w:hint="eastAsia" w:ascii="宋体" w:hAnsi="宋体" w:cs="宋体"/>
                <w:color w:val="auto"/>
                <w:szCs w:val="21"/>
                <w:highlight w:val="none"/>
                <w:u w:val="single"/>
                <w:lang w:bidi="ar"/>
              </w:rPr>
              <w:t>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color w:val="auto"/>
                <w:highlight w:val="none"/>
              </w:rPr>
            </w:pPr>
            <w:r>
              <w:rPr>
                <w:rFonts w:ascii="宋体" w:hAnsi="宋体"/>
                <w:color w:val="auto"/>
                <w:highlight w:val="none"/>
              </w:rPr>
              <w:t>本项目绿色施工安全防护措施费为</w:t>
            </w:r>
            <w:r>
              <w:rPr>
                <w:rFonts w:ascii="宋体" w:hAnsi="宋体"/>
                <w:color w:val="auto"/>
                <w:highlight w:val="none"/>
                <w:u w:val="single"/>
              </w:rPr>
              <w:t xml:space="preserve"> </w:t>
            </w:r>
            <w:r>
              <w:rPr>
                <w:rFonts w:hint="eastAsia" w:ascii="宋体" w:hAnsi="宋体"/>
                <w:color w:val="auto"/>
                <w:highlight w:val="none"/>
                <w:u w:val="single"/>
                <w:lang w:val="en-US" w:eastAsia="zh-CN"/>
              </w:rPr>
              <w:t>741,009.35</w:t>
            </w:r>
            <w:r>
              <w:rPr>
                <w:rFonts w:ascii="宋体" w:hAnsi="宋体"/>
                <w:color w:val="auto"/>
                <w:highlight w:val="none"/>
                <w:u w:val="single"/>
              </w:rPr>
              <w:t xml:space="preserve"> </w:t>
            </w:r>
            <w:r>
              <w:rPr>
                <w:rFonts w:ascii="宋体" w:hAnsi="宋体"/>
                <w:color w:val="auto"/>
                <w:highlight w:val="none"/>
              </w:rPr>
              <w:t>元，暂列金额为</w:t>
            </w:r>
            <w:r>
              <w:rPr>
                <w:rFonts w:ascii="宋体" w:hAnsi="宋体"/>
                <w:color w:val="auto"/>
                <w:highlight w:val="none"/>
                <w:u w:val="single"/>
              </w:rPr>
              <w:t xml:space="preserve"> </w:t>
            </w:r>
            <w:r>
              <w:rPr>
                <w:rFonts w:hint="eastAsia" w:ascii="宋体" w:hAnsi="宋体"/>
                <w:color w:val="auto"/>
                <w:highlight w:val="none"/>
                <w:u w:val="single"/>
                <w:lang w:val="en-US" w:eastAsia="zh-CN"/>
              </w:rPr>
              <w:t>270853.96</w:t>
            </w:r>
            <w:r>
              <w:rPr>
                <w:rFonts w:hint="eastAsia" w:ascii="宋体" w:hAnsi="宋体"/>
                <w:color w:val="auto"/>
                <w:highlight w:val="none"/>
                <w:u w:val="single"/>
              </w:rPr>
              <w:t xml:space="preserve"> </w:t>
            </w:r>
            <w:r>
              <w:rPr>
                <w:rFonts w:ascii="宋体" w:hAnsi="宋体"/>
                <w:color w:val="auto"/>
                <w:highlight w:val="none"/>
              </w:rPr>
              <w:t>元，暂估价为</w:t>
            </w:r>
            <w:r>
              <w:rPr>
                <w:rFonts w:ascii="宋体" w:hAnsi="宋体"/>
                <w:color w:val="auto"/>
                <w:highlight w:val="none"/>
                <w:u w:val="single"/>
              </w:rPr>
              <w:t xml:space="preserve">  /  </w:t>
            </w:r>
            <w:r>
              <w:rPr>
                <w:rFonts w:ascii="宋体" w:hAnsi="宋体"/>
                <w:color w:val="auto"/>
                <w:highlight w:val="none"/>
              </w:rPr>
              <w:t>元。（未按招标文件规定的金额填写的，由评标委员会按照招标文件规定的金额进行修正</w:t>
            </w:r>
            <w:r>
              <w:rPr>
                <w:rFonts w:hint="eastAsia" w:ascii="宋体" w:hAnsi="宋体"/>
                <w:color w:val="auto"/>
                <w:highlight w:val="none"/>
              </w:rPr>
              <w:t>。</w:t>
            </w:r>
            <w:r>
              <w:rPr>
                <w:rFonts w:ascii="宋体" w:hAnsi="宋体"/>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6"/>
              <w:spacing w:line="380" w:lineRule="exact"/>
              <w:ind w:firstLine="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d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trike/>
                <w:color w:val="auto"/>
                <w:szCs w:val="21"/>
                <w:highlight w:val="none"/>
              </w:rPr>
            </w:pPr>
            <w:r>
              <w:rPr>
                <w:rFonts w:hint="eastAsia" w:ascii="宋体" w:hAnsi="宋体"/>
                <w:strike/>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color w:val="auto"/>
                <w:szCs w:val="21"/>
                <w:highlight w:val="none"/>
              </w:rPr>
            </w:pPr>
            <w:r>
              <w:rPr>
                <w:rFonts w:hint="eastAsia" w:ascii="宋体" w:hAnsi="宋体"/>
                <w:strike/>
                <w:color w:val="auto"/>
                <w:szCs w:val="21"/>
                <w:highlight w:val="none"/>
              </w:rPr>
              <w:t>计算评标参考价的等分点值X在开标前从[0,100]的整数中通过摇珠机随机抽取。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fldChar w:fldCharType="begin"/>
            </w:r>
            <w:r>
              <w:rPr>
                <w:rFonts w:hint="eastAsia" w:ascii="宋体" w:hAnsi="宋体" w:cs="宋体"/>
                <w:strike/>
                <w:color w:val="auto"/>
                <w:szCs w:val="21"/>
                <w:highlight w:val="none"/>
              </w:rPr>
              <w:instrText xml:space="preserve"> = 1 \* GB3 </w:instrText>
            </w:r>
            <w:r>
              <w:rPr>
                <w:rFonts w:hint="eastAsia" w:ascii="宋体" w:hAnsi="宋体" w:cs="宋体"/>
                <w:strike/>
                <w:color w:val="auto"/>
                <w:szCs w:val="21"/>
                <w:highlight w:val="none"/>
              </w:rPr>
              <w:fldChar w:fldCharType="separate"/>
            </w:r>
            <w:r>
              <w:rPr>
                <w:rFonts w:hint="eastAsia" w:ascii="宋体" w:hAnsi="宋体" w:cs="宋体"/>
                <w:strike/>
                <w:color w:val="auto"/>
                <w:szCs w:val="21"/>
                <w:highlight w:val="none"/>
              </w:rPr>
              <w:t>①</w:t>
            </w:r>
            <w:r>
              <w:rPr>
                <w:rFonts w:hint="eastAsia" w:ascii="宋体" w:hAnsi="宋体" w:cs="宋体"/>
                <w:strike/>
                <w:color w:val="auto"/>
                <w:szCs w:val="21"/>
                <w:highlight w:val="none"/>
              </w:rPr>
              <w:fldChar w:fldCharType="end"/>
            </w:r>
            <w:r>
              <w:rPr>
                <w:rFonts w:hint="eastAsia" w:ascii="宋体" w:hAnsi="宋体" w:cs="宋体"/>
                <w:strike/>
                <w:color w:val="auto"/>
                <w:szCs w:val="21"/>
                <w:highlight w:val="none"/>
              </w:rPr>
              <w:t>通过技术有效性审查的投标人均进入第二阶段（适用于通过技术有效性审查家数在[3,]中的）。</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fldChar w:fldCharType="begin"/>
            </w:r>
            <w:r>
              <w:rPr>
                <w:rFonts w:hint="eastAsia" w:ascii="宋体" w:hAnsi="宋体" w:cs="宋体"/>
                <w:strike/>
                <w:color w:val="auto"/>
                <w:szCs w:val="21"/>
                <w:highlight w:val="none"/>
              </w:rPr>
              <w:instrText xml:space="preserve"> = 2 \* GB3 </w:instrText>
            </w:r>
            <w:r>
              <w:rPr>
                <w:rFonts w:hint="eastAsia" w:ascii="宋体" w:hAnsi="宋体" w:cs="宋体"/>
                <w:strike/>
                <w:color w:val="auto"/>
                <w:szCs w:val="21"/>
                <w:highlight w:val="none"/>
              </w:rPr>
              <w:fldChar w:fldCharType="separate"/>
            </w:r>
            <w:r>
              <w:rPr>
                <w:rFonts w:hint="eastAsia" w:ascii="宋体" w:hAnsi="宋体" w:cs="宋体"/>
                <w:strike/>
                <w:color w:val="auto"/>
                <w:szCs w:val="21"/>
                <w:highlight w:val="none"/>
              </w:rPr>
              <w:t>②</w:t>
            </w:r>
            <w:r>
              <w:rPr>
                <w:rFonts w:hint="eastAsia" w:ascii="宋体" w:hAnsi="宋体" w:cs="宋体"/>
                <w:strike/>
                <w:color w:val="auto"/>
                <w:szCs w:val="21"/>
                <w:highlight w:val="none"/>
              </w:rPr>
              <w:fldChar w:fldCharType="end"/>
            </w:r>
            <w:r>
              <w:rPr>
                <w:rFonts w:hint="eastAsia" w:ascii="宋体" w:hAnsi="宋体" w:cs="宋体"/>
                <w:strike/>
                <w:color w:val="auto"/>
                <w:szCs w:val="21"/>
                <w:highlight w:val="none"/>
              </w:rPr>
              <w:t>将第一阶段得分由高至低排序，前名投标人进入第二阶段评审（适用于通过技术有效性审查家数大于家的，招标人可根据工程具体情况，确定不少于家进入第二阶段）。</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60" w:lineRule="exact"/>
              <w:rPr>
                <w:rFonts w:ascii="宋体" w:hAnsi="宋体" w:cs="宋体"/>
                <w:color w:val="auto"/>
                <w:szCs w:val="21"/>
                <w:highlight w:val="none"/>
                <w:u w:val="single"/>
              </w:rPr>
            </w:pPr>
            <w:r>
              <w:rPr>
                <w:rFonts w:ascii="宋体" w:hAnsi="宋体" w:cs="宋体"/>
                <w:color w:val="auto"/>
                <w:szCs w:val="21"/>
                <w:highlight w:val="none"/>
                <w:u w:val="single"/>
              </w:rPr>
              <w:t>工程成本警戒价为</w:t>
            </w:r>
            <w:r>
              <w:rPr>
                <w:rFonts w:hint="eastAsia" w:ascii="宋体" w:hAnsi="宋体" w:cs="宋体"/>
                <w:color w:val="auto"/>
                <w:szCs w:val="21"/>
                <w:highlight w:val="none"/>
                <w:u w:val="single"/>
                <w:lang w:val="en-US" w:eastAsia="zh-CN"/>
              </w:rPr>
              <w:t>11,124,138.73</w:t>
            </w:r>
            <w:r>
              <w:rPr>
                <w:rFonts w:ascii="宋体" w:hAnsi="宋体" w:cs="宋体"/>
                <w:color w:val="auto"/>
                <w:szCs w:val="21"/>
                <w:highlight w:val="none"/>
                <w:u w:val="single"/>
              </w:rPr>
              <w:t>元</w:t>
            </w:r>
            <w:r>
              <w:rPr>
                <w:rFonts w:hint="eastAsia" w:ascii="宋体" w:hAnsi="宋体" w:cs="宋体"/>
                <w:color w:val="auto"/>
                <w:szCs w:val="21"/>
                <w:highlight w:val="none"/>
                <w:u w:val="single"/>
              </w:rPr>
              <w:t>（按最高投标限价的9</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%设置）</w:t>
            </w:r>
            <w:r>
              <w:rPr>
                <w:rFonts w:ascii="宋体" w:hAnsi="宋体" w:cs="宋体"/>
                <w:color w:val="auto"/>
                <w:szCs w:val="21"/>
                <w:highlight w:val="none"/>
                <w:u w:val="singl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exact"/>
              <w:rPr>
                <w:rFonts w:ascii="宋体" w:hAnsi="宋体"/>
                <w:color w:val="auto"/>
                <w:szCs w:val="21"/>
                <w:highlight w:val="none"/>
                <w:u w:val="single"/>
              </w:rPr>
            </w:pPr>
            <w:r>
              <w:rPr>
                <w:rFonts w:ascii="宋体" w:hAnsi="宋体" w:cs="宋体"/>
                <w:color w:val="auto"/>
                <w:szCs w:val="21"/>
                <w:highlight w:val="none"/>
                <w:u w:val="singl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bCs/>
                <w:strike/>
                <w:color w:val="auto"/>
                <w:szCs w:val="21"/>
                <w:highlight w:val="none"/>
              </w:rPr>
            </w:pPr>
            <w:r>
              <w:rPr>
                <w:rFonts w:hint="eastAsia" w:ascii="宋体" w:hAnsi="宋体" w:cs="宋体"/>
                <w:bCs/>
                <w:strike/>
                <w:color w:val="auto"/>
                <w:szCs w:val="21"/>
                <w:highlight w:val="none"/>
              </w:rPr>
              <w:t>技术分权重为    %，综合诚信评价分数权重为    %。</w:t>
            </w:r>
          </w:p>
          <w:p>
            <w:pPr>
              <w:spacing w:line="380" w:lineRule="exact"/>
              <w:rPr>
                <w:rFonts w:ascii="宋体" w:hAnsi="宋体" w:cs="宋体"/>
                <w:b/>
                <w:color w:val="auto"/>
                <w:szCs w:val="21"/>
                <w:highlight w:val="none"/>
                <w:u w:val="single"/>
              </w:rPr>
            </w:pPr>
            <w:r>
              <w:rPr>
                <w:rFonts w:hint="eastAsia" w:ascii="宋体" w:hAnsi="宋体" w:cs="宋体"/>
                <w:bCs/>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s="宋体"/>
                <w:color w:val="auto"/>
                <w:szCs w:val="21"/>
                <w:highlight w:val="none"/>
                <w:u w:val="single"/>
              </w:rPr>
              <w:t>本项目不采用企业综合诚信分。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trike/>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s="宋体"/>
                <w:strike/>
                <w:color w:val="auto"/>
                <w:szCs w:val="21"/>
                <w:highlight w:val="none"/>
              </w:rPr>
            </w:pPr>
            <w:r>
              <w:rPr>
                <w:rFonts w:hint="eastAsia" w:ascii="宋体" w:hAnsi="宋体" w:cs="宋体"/>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选取方法</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color w:val="auto"/>
                <w:szCs w:val="21"/>
                <w:highlight w:val="none"/>
                <w:u w:val="single"/>
              </w:rPr>
            </w:pPr>
            <w:r>
              <w:rPr>
                <w:rFonts w:hint="eastAsia" w:ascii="宋体" w:hAnsi="宋体" w:cs="宋体"/>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选取方法</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方法二：经济分相同的投标文件，由评标委员会采用随机方式，确定投标人的排序。</w:t>
            </w:r>
          </w:p>
          <w:p>
            <w:pPr>
              <w:spacing w:line="380" w:lineRule="exact"/>
              <w:ind w:firstLine="210" w:firstLineChars="100"/>
              <w:rPr>
                <w:rFonts w:ascii="宋体" w:hAnsi="宋体" w:cs="宋体"/>
                <w:strike/>
                <w:color w:val="auto"/>
                <w:szCs w:val="21"/>
                <w:highlight w:val="none"/>
                <w:u w:val="single"/>
              </w:rPr>
            </w:pPr>
            <w:r>
              <w:rPr>
                <w:rFonts w:hint="eastAsia" w:ascii="宋体" w:hAnsi="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选取方法</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pPr>
              <w:spacing w:line="380" w:lineRule="exact"/>
              <w:rPr>
                <w:rFonts w:ascii="宋体" w:hAnsi="宋体" w:cs="宋体"/>
                <w:strike/>
                <w:color w:val="auto"/>
                <w:szCs w:val="21"/>
                <w:highlight w:val="none"/>
              </w:rPr>
            </w:pPr>
            <w:r>
              <w:rPr>
                <w:rFonts w:hint="eastAsia" w:ascii="宋体" w:hAnsi="宋体" w:cs="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szCs w:val="21"/>
                <w:highlight w:val="none"/>
                <w:u w:val="single"/>
              </w:rPr>
            </w:pPr>
            <w:r>
              <w:rPr>
                <w:rFonts w:hint="eastAsia" w:ascii="宋体" w:hAnsi="宋体" w:cs="宋体"/>
                <w:bCs/>
                <w:color w:val="auto"/>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highlight w:val="none"/>
              </w:rPr>
            </w:pPr>
            <w:r>
              <w:rPr>
                <w:rFonts w:hint="eastAsia" w:ascii="宋体" w:hAnsi="宋体" w:cs="宋体"/>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kern w:val="0"/>
                <w:szCs w:val="21"/>
                <w:highlight w:val="none"/>
                <w:lang w:val="zh-CN"/>
              </w:rPr>
            </w:pPr>
            <w:r>
              <w:rPr>
                <w:rFonts w:hint="eastAsia" w:ascii="宋体" w:hAnsi="宋体"/>
                <w:color w:val="auto"/>
                <w:kern w:val="0"/>
                <w:szCs w:val="21"/>
                <w:highlight w:val="none"/>
                <w:lang w:val="zh-CN"/>
              </w:rPr>
              <w:t>根据《建设工程质量检测管理办法》（建设部令第</w:t>
            </w:r>
            <w:r>
              <w:rPr>
                <w:rFonts w:ascii="宋体" w:hAnsi="宋体"/>
                <w:color w:val="auto"/>
                <w:kern w:val="0"/>
                <w:szCs w:val="21"/>
                <w:highlight w:val="none"/>
                <w:lang w:val="zh-CN"/>
              </w:rPr>
              <w:t>141</w:t>
            </w:r>
            <w:r>
              <w:rPr>
                <w:rFonts w:hint="eastAsia" w:ascii="宋体" w:hAnsi="宋体"/>
                <w:color w:val="auto"/>
                <w:kern w:val="0"/>
                <w:szCs w:val="21"/>
                <w:highlight w:val="none"/>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kern w:val="0"/>
                <w:szCs w:val="21"/>
                <w:highlight w:val="none"/>
                <w:lang w:val="zh-CN"/>
              </w:rPr>
            </w:pPr>
            <w:r>
              <w:rPr>
                <w:rFonts w:hint="eastAsia" w:ascii="宋体" w:hAnsi="宋体" w:cs="MS Mincho"/>
                <w:color w:val="auto"/>
                <w:szCs w:val="21"/>
                <w:highlight w:val="none"/>
              </w:rPr>
              <w:sym w:font="Wingdings 2" w:char="00A3"/>
            </w:r>
            <w:r>
              <w:rPr>
                <w:rFonts w:hint="eastAsia" w:ascii="宋体" w:hAnsi="宋体" w:cs="宋体"/>
                <w:color w:val="auto"/>
                <w:kern w:val="0"/>
                <w:szCs w:val="21"/>
                <w:highlight w:val="none"/>
                <w:lang w:val="zh-CN"/>
              </w:rPr>
              <w:t>不允许；</w:t>
            </w:r>
          </w:p>
          <w:p>
            <w:pPr>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sym w:font="Wingdings 2" w:char="0052"/>
            </w:r>
            <w:r>
              <w:rPr>
                <w:rFonts w:hint="eastAsia" w:ascii="宋体" w:hAnsi="宋体" w:cs="宋体"/>
                <w:color w:val="auto"/>
                <w:kern w:val="0"/>
                <w:szCs w:val="21"/>
                <w:highlight w:val="none"/>
                <w:lang w:val="zh-CN"/>
              </w:rPr>
              <w:t>允许：</w:t>
            </w:r>
          </w:p>
          <w:p>
            <w:pPr>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分包内容要要求：</w:t>
            </w:r>
            <w:r>
              <w:rPr>
                <w:rFonts w:hint="eastAsia" w:ascii="宋体" w:hAnsi="宋体" w:cs="宋体"/>
                <w:color w:val="auto"/>
                <w:kern w:val="0"/>
                <w:szCs w:val="21"/>
                <w:highlight w:val="none"/>
                <w:u w:val="single"/>
                <w:lang w:val="zh-CN"/>
              </w:rPr>
              <w:t>经招标人同意后，允许对部分非主体、非关键性专业工程进行分包</w:t>
            </w:r>
            <w:r>
              <w:rPr>
                <w:rFonts w:hint="eastAsia" w:ascii="宋体" w:hAnsi="宋体" w:cs="宋体"/>
                <w:color w:val="auto"/>
                <w:kern w:val="0"/>
                <w:szCs w:val="21"/>
                <w:highlight w:val="none"/>
                <w:lang w:val="zh-CN"/>
              </w:rPr>
              <w:t>。</w:t>
            </w:r>
          </w:p>
          <w:p>
            <w:pPr>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rPr>
              <w:t>/</w:t>
            </w:r>
          </w:p>
          <w:p>
            <w:pPr>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lang w:val="zh-CN"/>
              </w:rPr>
              <w:t>对分包人的资质要求：</w:t>
            </w:r>
            <w:r>
              <w:rPr>
                <w:rFonts w:hint="eastAsia" w:ascii="宋体" w:hAnsi="宋体" w:cs="宋体"/>
                <w:color w:val="auto"/>
                <w:kern w:val="0"/>
                <w:szCs w:val="21"/>
                <w:highlight w:val="none"/>
                <w:u w:val="single"/>
              </w:rPr>
              <w:t>符合有关法律法规和文件规定，并不得再次分包</w:t>
            </w:r>
          </w:p>
          <w:p>
            <w:pPr>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对分包人的其他要求：</w:t>
            </w:r>
            <w:r>
              <w:rPr>
                <w:rFonts w:hint="eastAsia" w:ascii="宋体" w:hAnsi="宋体" w:cs="宋体"/>
                <w:color w:val="auto"/>
                <w:kern w:val="0"/>
                <w:szCs w:val="21"/>
                <w:highlight w:val="none"/>
                <w:u w:val="single"/>
              </w:rPr>
              <w:t>在以往工程中</w:t>
            </w:r>
            <w:r>
              <w:rPr>
                <w:rFonts w:hint="eastAsia"/>
                <w:color w:val="auto"/>
                <w:highlight w:val="none"/>
                <w:u w:val="single"/>
                <w:lang w:val="en-US" w:eastAsia="zh-CN"/>
              </w:rPr>
              <w:t>未</w:t>
            </w:r>
            <w:r>
              <w:rPr>
                <w:rFonts w:hint="eastAsia" w:ascii="宋体" w:hAnsi="宋体" w:cs="宋体"/>
                <w:color w:val="auto"/>
                <w:kern w:val="0"/>
                <w:szCs w:val="21"/>
                <w:highlight w:val="none"/>
                <w:u w:val="single"/>
              </w:rPr>
              <w:t>因不诚信行为或不充分履约行为被本项目招标人书面拒绝投标的，或未被纳入联合惩戒范围的。须经发包人和总监理工程师书面同意</w:t>
            </w:r>
            <w:r>
              <w:rPr>
                <w:rFonts w:hint="eastAsia" w:ascii="宋体" w:hAnsi="宋体" w:cs="宋体"/>
                <w:color w:val="auto"/>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double" w:color="auto" w:sz="4" w:space="0"/>
              <w:right w:val="single" w:color="auto" w:sz="4" w:space="0"/>
            </w:tcBorders>
            <w:vAlign w:val="center"/>
          </w:tcPr>
          <w:p>
            <w:pPr>
              <w:spacing w:line="380" w:lineRule="exact"/>
              <w:jc w:val="center"/>
              <w:rPr>
                <w:rFonts w:ascii="宋体" w:hAnsi="宋体"/>
                <w:color w:val="auto"/>
                <w:szCs w:val="21"/>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spacing w:line="380" w:lineRule="exact"/>
              <w:jc w:val="center"/>
              <w:rPr>
                <w:rFonts w:ascii="宋体" w:hAnsi="宋体"/>
                <w:color w:val="auto"/>
                <w:szCs w:val="21"/>
                <w:highlight w:val="none"/>
              </w:rPr>
            </w:pPr>
            <w:r>
              <w:rPr>
                <w:rFonts w:hint="eastAsia" w:ascii="宋体" w:hAnsi="宋体"/>
                <w:color w:val="auto"/>
                <w:szCs w:val="21"/>
                <w:highlight w:val="none"/>
              </w:rPr>
              <w:t>电子招标投标解密失败及突发情况的补救</w:t>
            </w:r>
          </w:p>
        </w:tc>
        <w:tc>
          <w:tcPr>
            <w:tcW w:w="5857" w:type="dxa"/>
            <w:tcBorders>
              <w:top w:val="single" w:color="auto" w:sz="4" w:space="0"/>
              <w:left w:val="single" w:color="auto" w:sz="4" w:space="0"/>
              <w:bottom w:val="double" w:color="auto" w:sz="4" w:space="0"/>
              <w:right w:val="double" w:color="auto" w:sz="4" w:space="0"/>
            </w:tcBorders>
            <w:vAlign w:val="center"/>
          </w:tcPr>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olor w:val="auto"/>
                <w:szCs w:val="21"/>
                <w:highlight w:val="none"/>
                <w:u w:val="single"/>
              </w:rPr>
              <w:t xml:space="preserve">广州公共资源交易中心网站。 </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2、提交投标文件</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备用</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投标人可制作非加密的电子投标文件（PDF格式）刻入U盘（1份），在投标须知前附表第18项规定的时间、地点提交备用。刻录好的投标文件</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密封在密封袋中，并在封口处加盖投标人单位公章。密封袋上应写明项目名称和招标人名称。递交的</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不得加密。</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无法读取或导入的，则视为未提交备用投标文件</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。如果投标人没有按规定通过交易平台网上递交电子投标文件的，不再读取提交的</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。投标人也可不提交备用</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内容，继续开标程序。评标委员会对其投标文件的评审以</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内容为准。因投标人之外原因解密失败且未递交电子</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的，视为撤回投标文件。</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，并按</w:t>
            </w:r>
            <w:r>
              <w:rPr>
                <w:rFonts w:hint="eastAsia" w:ascii="宋体" w:hAnsi="宋体" w:cs="Courier New"/>
                <w:color w:val="auto"/>
                <w:szCs w:val="21"/>
                <w:highlight w:val="none"/>
                <w:u w:val="single"/>
              </w:rPr>
              <w:t>U盘</w:t>
            </w:r>
            <w:r>
              <w:rPr>
                <w:rFonts w:hint="eastAsia" w:ascii="宋体" w:hAnsi="宋体" w:cs="Courier New"/>
                <w:color w:val="auto"/>
                <w:szCs w:val="21"/>
                <w:highlight w:val="none"/>
              </w:rPr>
              <w:t>内容进行评审。</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bl>
    <w:p>
      <w:pPr>
        <w:spacing w:line="380" w:lineRule="exact"/>
        <w:rPr>
          <w:rFonts w:ascii="宋体" w:hAnsi="宋体" w:cs="Courier New"/>
          <w:strike/>
          <w:color w:val="auto"/>
          <w:szCs w:val="21"/>
          <w:highlight w:val="none"/>
        </w:rPr>
      </w:pPr>
      <w:r>
        <w:rPr>
          <w:rFonts w:hint="eastAsia" w:ascii="宋体" w:hAnsi="宋体" w:cs="Courier New"/>
          <w:strike/>
          <w:color w:val="auto"/>
          <w:szCs w:val="21"/>
          <w:highlight w:val="none"/>
        </w:rPr>
        <w:t>注：企业综合诚信评价得分即企业综合诚信评价60日诚信分，以下同。</w:t>
      </w:r>
    </w:p>
    <w:p>
      <w:pPr>
        <w:pStyle w:val="4"/>
        <w:spacing w:line="400" w:lineRule="exact"/>
        <w:ind w:firstLine="186"/>
        <w:jc w:val="center"/>
        <w:rPr>
          <w:rFonts w:ascii="宋体" w:hAnsi="宋体"/>
          <w:color w:val="auto"/>
          <w:sz w:val="21"/>
          <w:szCs w:val="21"/>
          <w:highlight w:val="none"/>
        </w:rPr>
      </w:pPr>
      <w:r>
        <w:rPr>
          <w:rFonts w:ascii="宋体" w:hAnsi="宋体"/>
          <w:color w:val="auto"/>
          <w:sz w:val="21"/>
          <w:szCs w:val="21"/>
          <w:highlight w:val="none"/>
        </w:rPr>
        <w:br w:type="page"/>
      </w:r>
      <w:bookmarkStart w:id="4" w:name="_Toc6493829"/>
    </w:p>
    <w:p>
      <w:pPr>
        <w:pStyle w:val="4"/>
        <w:spacing w:line="400" w:lineRule="exact"/>
        <w:ind w:firstLine="186"/>
        <w:jc w:val="center"/>
        <w:rPr>
          <w:rFonts w:ascii="宋体" w:hAnsi="宋体"/>
          <w:color w:val="auto"/>
          <w:sz w:val="21"/>
          <w:szCs w:val="21"/>
          <w:highlight w:val="none"/>
        </w:rPr>
      </w:pPr>
      <w:bookmarkStart w:id="5" w:name="_Toc25379"/>
      <w:r>
        <w:rPr>
          <w:rFonts w:hint="eastAsia" w:ascii="宋体" w:hAnsi="宋体"/>
          <w:color w:val="auto"/>
          <w:sz w:val="21"/>
          <w:szCs w:val="21"/>
          <w:highlight w:val="none"/>
        </w:rPr>
        <w:t>二、投标须知修改表</w:t>
      </w:r>
      <w:bookmarkEnd w:id="4"/>
      <w:bookmarkEnd w:id="5"/>
    </w:p>
    <w:p>
      <w:pPr>
        <w:pBdr>
          <w:bottom w:val="single" w:color="auto" w:sz="6" w:space="1"/>
        </w:pBd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color w:val="auto"/>
          <w:szCs w:val="21"/>
          <w:highlight w:val="none"/>
        </w:rPr>
        <w:t>8.1</w:t>
      </w:r>
      <w:r>
        <w:rPr>
          <w:rFonts w:hint="eastAsia" w:ascii="宋体" w:hAnsi="宋体"/>
          <w:b/>
          <w:color w:val="auto"/>
          <w:szCs w:val="21"/>
          <w:highlight w:val="none"/>
        </w:rPr>
        <w:t>修改类型：修改</w:t>
      </w:r>
    </w:p>
    <w:p>
      <w:pPr>
        <w:pBdr>
          <w:bottom w:val="single" w:color="auto" w:sz="6" w:space="1"/>
        </w:pBd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8.1</w:t>
      </w:r>
      <w:r>
        <w:rPr>
          <w:rFonts w:hint="eastAsia" w:ascii="宋体" w:hAnsi="宋体" w:cs="宋体"/>
          <w:color w:val="auto"/>
          <w:szCs w:val="21"/>
          <w:highlight w:val="none"/>
        </w:rPr>
        <w:t>投标人若对招标文件（包括招标图纸）中有疑问，可以书面形式通过交易平台提交给招标人或招标代理人，提交形式见本须知前附表第</w:t>
      </w:r>
      <w:r>
        <w:rPr>
          <w:rFonts w:ascii="宋体" w:hAnsi="宋体" w:cs="宋体"/>
          <w:color w:val="auto"/>
          <w:szCs w:val="21"/>
          <w:highlight w:val="none"/>
        </w:rPr>
        <w:t>16</w:t>
      </w:r>
      <w:r>
        <w:rPr>
          <w:rFonts w:hint="eastAsia" w:ascii="宋体" w:hAnsi="宋体" w:cs="宋体"/>
          <w:color w:val="auto"/>
          <w:szCs w:val="21"/>
          <w:highlight w:val="none"/>
        </w:rPr>
        <w:t>项</w:t>
      </w:r>
      <w:r>
        <w:rPr>
          <w:rFonts w:hint="eastAsia" w:ascii="宋体" w:hAnsi="宋体"/>
          <w:color w:val="auto"/>
          <w:szCs w:val="21"/>
          <w:highlight w:val="none"/>
        </w:rPr>
        <w:t>。</w:t>
      </w:r>
    </w:p>
    <w:p>
      <w:pPr>
        <w:pBdr>
          <w:bottom w:val="single" w:color="auto" w:sz="6" w:space="1"/>
        </w:pBdr>
        <w:spacing w:line="440" w:lineRule="exact"/>
        <w:ind w:firstLine="422" w:firstLineChars="200"/>
        <w:rPr>
          <w:rFonts w:ascii="宋体" w:hAnsi="宋体" w:cs="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8.1</w:t>
      </w:r>
      <w:r>
        <w:rPr>
          <w:rFonts w:hint="eastAsia" w:ascii="宋体" w:hAnsi="宋体" w:cs="宋体"/>
          <w:color w:val="auto"/>
          <w:szCs w:val="21"/>
          <w:highlight w:val="none"/>
          <w:u w:val="single"/>
        </w:rPr>
        <w:t>招标答疑采用网上答疑方式进行</w:t>
      </w:r>
      <w:r>
        <w:rPr>
          <w:rFonts w:hint="eastAsia" w:ascii="宋体" w:hAnsi="宋体" w:cs="宋体"/>
          <w:color w:val="auto"/>
          <w:szCs w:val="21"/>
          <w:highlight w:val="none"/>
        </w:rPr>
        <w:t>。投标人若对招标文件（包括</w:t>
      </w:r>
      <w:r>
        <w:rPr>
          <w:rFonts w:hint="eastAsia" w:ascii="宋体" w:hAnsi="宋体" w:cs="宋体"/>
          <w:color w:val="auto"/>
          <w:szCs w:val="21"/>
          <w:highlight w:val="none"/>
          <w:u w:val="single"/>
        </w:rPr>
        <w:t>施工图纸、清单、招标控制价）</w:t>
      </w:r>
      <w:r>
        <w:rPr>
          <w:rFonts w:hint="eastAsia" w:ascii="宋体" w:hAnsi="宋体" w:cs="宋体"/>
          <w:color w:val="auto"/>
          <w:szCs w:val="21"/>
          <w:highlight w:val="none"/>
        </w:rPr>
        <w:t>中有疑问，</w:t>
      </w:r>
      <w:r>
        <w:rPr>
          <w:rFonts w:hint="eastAsia" w:ascii="宋体" w:hAnsi="宋体" w:cs="宋体"/>
          <w:color w:val="auto"/>
          <w:szCs w:val="21"/>
          <w:highlight w:val="none"/>
          <w:u w:val="single"/>
        </w:rPr>
        <w:t xml:space="preserve">可在规定的时间内通过广州公共资源交易中心交易平台进入提问区域将问题提交给招标人或招标代理人，提交问题时一律不得署名。 </w:t>
      </w:r>
    </w:p>
    <w:p>
      <w:pPr>
        <w:pBdr>
          <w:bottom w:val="single" w:color="auto" w:sz="6" w:space="1"/>
        </w:pBdr>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条款号：8</w:t>
      </w:r>
      <w:r>
        <w:rPr>
          <w:rFonts w:ascii="宋体" w:hAnsi="宋体"/>
          <w:b/>
          <w:color w:val="auto"/>
          <w:szCs w:val="21"/>
          <w:highlight w:val="none"/>
        </w:rPr>
        <w:t xml:space="preserve">.2             </w:t>
      </w:r>
      <w:r>
        <w:rPr>
          <w:rFonts w:hint="eastAsia" w:ascii="宋体" w:hAnsi="宋体"/>
          <w:b/>
          <w:color w:val="auto"/>
          <w:szCs w:val="21"/>
          <w:highlight w:val="none"/>
        </w:rPr>
        <w:t>修改类型：修改</w:t>
      </w:r>
    </w:p>
    <w:p>
      <w:pPr>
        <w:pBdr>
          <w:bottom w:val="single" w:color="auto" w:sz="6" w:space="1"/>
        </w:pBd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8.2</w:t>
      </w:r>
      <w:r>
        <w:rPr>
          <w:rFonts w:hint="eastAsia" w:ascii="宋体" w:hAnsi="宋体" w:cs="宋体"/>
          <w:color w:val="auto"/>
          <w:szCs w:val="21"/>
          <w:highlight w:val="none"/>
        </w:rPr>
        <w:t>招标答疑会会议纪要将在提交投标文件截止时间15日前在交易平台 “项目答疑纪要”专区公开发布。答疑纪要一经在交易平台发布，视作已发放给所有投标人</w:t>
      </w:r>
      <w:r>
        <w:rPr>
          <w:rFonts w:hint="eastAsia" w:ascii="宋体" w:hAnsi="宋体"/>
          <w:color w:val="auto"/>
          <w:szCs w:val="21"/>
          <w:highlight w:val="none"/>
        </w:rPr>
        <w:t>。</w:t>
      </w:r>
    </w:p>
    <w:p>
      <w:pPr>
        <w:pBdr>
          <w:bottom w:val="single" w:color="auto" w:sz="6" w:space="1"/>
        </w:pBdr>
        <w:spacing w:line="440" w:lineRule="exact"/>
        <w:ind w:firstLine="422" w:firstLineChars="20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8.2</w:t>
      </w:r>
      <w:r>
        <w:rPr>
          <w:rFonts w:hint="eastAsia" w:ascii="宋体" w:hAnsi="宋体"/>
          <w:color w:val="auto"/>
          <w:szCs w:val="21"/>
          <w:highlight w:val="none"/>
          <w:u w:val="single"/>
        </w:rPr>
        <w:t>招标答疑纪要</w:t>
      </w:r>
      <w:r>
        <w:rPr>
          <w:rFonts w:hint="eastAsia" w:ascii="宋体" w:hAnsi="宋体"/>
          <w:color w:val="auto"/>
          <w:szCs w:val="21"/>
          <w:highlight w:val="none"/>
        </w:rPr>
        <w:t>将在提交投标文件截止时间15日前在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 “项目答疑纪要”专区公开发布。答疑纪要一经在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交易平台发布，视作已发放给所有投标人。</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条款号：8.3            修改类型：修改</w:t>
      </w:r>
    </w:p>
    <w:p>
      <w:pPr>
        <w:pBdr>
          <w:bottom w:val="single" w:color="auto" w:sz="6" w:space="1"/>
        </w:pBdr>
        <w:spacing w:line="44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8.3</w:t>
      </w:r>
      <w:r>
        <w:rPr>
          <w:rFonts w:hint="eastAsia" w:ascii="宋体" w:hAnsi="宋体"/>
          <w:color w:val="auto"/>
          <w:szCs w:val="21"/>
          <w:highlight w:val="none"/>
        </w:rPr>
        <w:t>答疑会会议纪要为招标文件的一部分</w:t>
      </w:r>
      <w:r>
        <w:rPr>
          <w:rFonts w:hint="eastAsia" w:ascii="宋体" w:hAnsi="宋体" w:cs="宋体"/>
          <w:color w:val="auto"/>
          <w:szCs w:val="21"/>
          <w:highlight w:val="none"/>
        </w:rPr>
        <w:t>。</w:t>
      </w:r>
    </w:p>
    <w:p>
      <w:pPr>
        <w:pBdr>
          <w:bottom w:val="single" w:color="auto" w:sz="6" w:space="1"/>
        </w:pBdr>
        <w:spacing w:line="44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8.3</w:t>
      </w:r>
      <w:r>
        <w:rPr>
          <w:rFonts w:hint="eastAsia" w:ascii="宋体" w:hAnsi="宋体" w:cs="宋体"/>
          <w:color w:val="auto"/>
          <w:szCs w:val="21"/>
          <w:highlight w:val="none"/>
          <w:u w:val="single"/>
        </w:rPr>
        <w:t>答疑纪要为招标文件的一部分</w:t>
      </w:r>
      <w:r>
        <w:rPr>
          <w:rFonts w:hint="eastAsia" w:ascii="宋体" w:hAnsi="宋体" w:cs="宋体"/>
          <w:color w:val="auto"/>
          <w:szCs w:val="21"/>
          <w:highlight w:val="none"/>
        </w:rPr>
        <w:t>。</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条款号：8.4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pPr>
        <w:pBdr>
          <w:bottom w:val="single" w:color="auto" w:sz="6" w:space="1"/>
        </w:pBdr>
        <w:spacing w:line="44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8.4若招标</w:t>
      </w:r>
      <w:r>
        <w:rPr>
          <w:rFonts w:hint="eastAsia" w:ascii="宋体" w:hAnsi="宋体" w:cs="宋体"/>
          <w:color w:val="auto"/>
          <w:szCs w:val="21"/>
          <w:highlight w:val="none"/>
          <w:u w:val="single"/>
        </w:rPr>
        <w:t>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广州公共资源交易中心网站最后发布的答疑纪要为准</w:t>
      </w:r>
      <w:r>
        <w:rPr>
          <w:rFonts w:hint="eastAsia" w:ascii="宋体" w:hAnsi="宋体" w:cs="宋体"/>
          <w:color w:val="auto"/>
          <w:szCs w:val="21"/>
          <w:highlight w:val="none"/>
        </w:rPr>
        <w:t>。</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条款号：9</w:t>
      </w:r>
      <w:r>
        <w:rPr>
          <w:rFonts w:ascii="宋体" w:hAnsi="宋体"/>
          <w:b/>
          <w:color w:val="auto"/>
          <w:szCs w:val="21"/>
          <w:highlight w:val="none"/>
        </w:rPr>
        <w:t xml:space="preserve">.2             </w:t>
      </w:r>
      <w:r>
        <w:rPr>
          <w:rFonts w:hint="eastAsia" w:ascii="宋体" w:hAnsi="宋体"/>
          <w:b/>
          <w:color w:val="auto"/>
          <w:szCs w:val="21"/>
          <w:highlight w:val="none"/>
        </w:rPr>
        <w:t>修改类型：修改</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440" w:lineRule="exact"/>
        <w:ind w:firstLine="422" w:firstLineChars="20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9.2招标文件的澄清或修改将在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交易平台上网发布时间作为送达时间。</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44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广州公共资源交易交易平台上答疑公布</w:t>
      </w:r>
      <w:r>
        <w:rPr>
          <w:rFonts w:hint="eastAsia" w:ascii="宋体" w:hAnsi="宋体" w:cs="宋体"/>
          <w:color w:val="auto"/>
          <w:szCs w:val="21"/>
          <w:highlight w:val="none"/>
        </w:rPr>
        <w:t>形式明确的内容为准。当招标文件的澄清、修改、补充等在同一内容的表述不一致时，</w:t>
      </w:r>
      <w:r>
        <w:rPr>
          <w:rFonts w:hint="eastAsia" w:ascii="宋体" w:hAnsi="宋体" w:cs="宋体"/>
          <w:color w:val="auto"/>
          <w:szCs w:val="21"/>
          <w:highlight w:val="none"/>
          <w:u w:val="single"/>
        </w:rPr>
        <w:t>以广州公共资源交易中心网站最后发布的内容为准。</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44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p>
    <w:p>
      <w:pPr>
        <w:spacing w:line="44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11.2</w:t>
      </w:r>
      <w:r>
        <w:rPr>
          <w:rFonts w:hint="eastAsia" w:ascii="宋体" w:hAnsi="宋体" w:cs="宋体"/>
          <w:bCs/>
          <w:color w:val="auto"/>
          <w:szCs w:val="21"/>
          <w:highlight w:val="none"/>
        </w:rPr>
        <w:t>投标文件技术标部分主要包括下列内容</w:t>
      </w:r>
      <w:r>
        <w:rPr>
          <w:rFonts w:ascii="宋体" w:hAnsi="宋体" w:cs="宋体"/>
          <w:bCs/>
          <w:color w:val="auto"/>
          <w:szCs w:val="21"/>
          <w:highlight w:val="none"/>
        </w:rPr>
        <w:t>:</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ascii="宋体" w:hAnsi="宋体" w:cs="宋体"/>
          <w:bCs/>
          <w:color w:val="auto"/>
          <w:szCs w:val="21"/>
          <w:highlight w:val="none"/>
        </w:rPr>
        <w:t>(</w:t>
      </w:r>
      <w:r>
        <w:rPr>
          <w:rFonts w:hint="eastAsia" w:ascii="宋体" w:hAnsi="宋体" w:cs="宋体"/>
          <w:bCs/>
          <w:color w:val="auto"/>
          <w:szCs w:val="21"/>
          <w:highlight w:val="none"/>
        </w:rPr>
        <w:t>按招标文件的要求填写</w:t>
      </w:r>
      <w:r>
        <w:rPr>
          <w:rFonts w:ascii="宋体" w:hAnsi="宋体" w:cs="宋体"/>
          <w:bCs/>
          <w:color w:val="auto"/>
          <w:szCs w:val="21"/>
          <w:highlight w:val="none"/>
        </w:rPr>
        <w:t>)</w:t>
      </w:r>
      <w:r>
        <w:rPr>
          <w:rFonts w:hint="eastAsia" w:ascii="宋体" w:hAnsi="宋体" w:cs="宋体"/>
          <w:bCs/>
          <w:color w:val="auto"/>
          <w:szCs w:val="21"/>
          <w:highlight w:val="none"/>
        </w:rPr>
        <w:t>；</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（9）拟委派项目负责人的建造师注册证书或小型项目负责人相关证明（取自平台内上传件）； </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4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11.2.3</w:t>
      </w:r>
      <w:r>
        <w:rPr>
          <w:rFonts w:hint="eastAsia" w:ascii="宋体" w:hAnsi="宋体" w:cs="宋体"/>
          <w:bCs/>
          <w:color w:val="auto"/>
          <w:szCs w:val="21"/>
          <w:highlight w:val="none"/>
        </w:rPr>
        <w:t>项目管理机构配备。</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w:t>
      </w:r>
      <w:r>
        <w:rPr>
          <w:rFonts w:hint="eastAsia" w:ascii="宋体" w:hAnsi="宋体" w:cs="宋体"/>
          <w:bCs/>
          <w:color w:val="auto"/>
          <w:szCs w:val="21"/>
          <w:highlight w:val="none"/>
        </w:rPr>
        <w:t>）投标人应列出该项目工程的施工组织机构构成和画出机构框架图及其负责人；</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）投标人应详细列出该施工组织机构中主要成员的名单、简历资料、职务职称和在本项目中拟担任的职务等资料，并附上有关证明材料扫描件；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）其他辅助说明资料。</w:t>
      </w:r>
    </w:p>
    <w:p>
      <w:pPr>
        <w:spacing w:line="44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11.2.4</w:t>
      </w:r>
      <w:r>
        <w:rPr>
          <w:rFonts w:hint="eastAsia" w:ascii="宋体" w:hAnsi="宋体" w:cs="宋体"/>
          <w:bCs/>
          <w:color w:val="auto"/>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44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11.2.5</w:t>
      </w:r>
      <w:r>
        <w:rPr>
          <w:rFonts w:hint="eastAsia" w:ascii="宋体" w:hAnsi="宋体" w:cs="宋体"/>
          <w:bCs/>
          <w:color w:val="auto"/>
          <w:szCs w:val="21"/>
          <w:highlight w:val="none"/>
        </w:rPr>
        <w:t>施工组织设计或施工方案。</w:t>
      </w:r>
    </w:p>
    <w:p>
      <w:pPr>
        <w:tabs>
          <w:tab w:val="left" w:pos="1125"/>
        </w:tabs>
        <w:spacing w:line="44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11.2.</w:t>
      </w:r>
      <w:r>
        <w:rPr>
          <w:rFonts w:hint="eastAsia" w:ascii="宋体" w:hAnsi="宋体" w:cs="宋体"/>
          <w:bCs/>
          <w:color w:val="auto"/>
          <w:szCs w:val="21"/>
          <w:highlight w:val="none"/>
        </w:rPr>
        <w:t>6按照招标文件要求填写的《参与编制技术标投标文件人员名单》。</w:t>
      </w:r>
    </w:p>
    <w:p>
      <w:pPr>
        <w:spacing w:line="44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w:t>
      </w:r>
      <w:r>
        <w:rPr>
          <w:rFonts w:hint="eastAsia" w:ascii="宋体" w:hAnsi="宋体" w:cs="宋体"/>
          <w:bCs/>
          <w:color w:val="auto"/>
          <w:szCs w:val="21"/>
          <w:highlight w:val="none"/>
          <w:u w:val="single"/>
        </w:rPr>
        <w:t>建筑工程相关专业中级或以上职称；</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（9）拟委派项目负责人的建造师注册证书（取自平台内上传件）； </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eastAsia="宋体" w:cs="宋体"/>
          <w:bCs/>
          <w:color w:val="auto"/>
          <w:sz w:val="21"/>
          <w:szCs w:val="21"/>
          <w:highlight w:val="none"/>
        </w:rPr>
        <w:t>项目负责人持有</w:t>
      </w:r>
      <w:r>
        <w:rPr>
          <w:rFonts w:hint="eastAsia" w:ascii="宋体" w:hAnsi="宋体" w:eastAsia="宋体" w:cs="宋体"/>
          <w:b/>
          <w:bCs w:val="0"/>
          <w:color w:val="auto"/>
          <w:sz w:val="21"/>
          <w:szCs w:val="21"/>
          <w:highlight w:val="none"/>
          <w:u w:val="single"/>
        </w:rPr>
        <w:t>安全生产</w:t>
      </w:r>
      <w:r>
        <w:rPr>
          <w:rStyle w:val="108"/>
          <w:rFonts w:hint="eastAsia" w:ascii="宋体" w:hAnsi="宋体" w:eastAsia="宋体" w:cs="宋体"/>
          <w:b/>
          <w:bCs w:val="0"/>
          <w:color w:val="auto"/>
          <w:sz w:val="21"/>
          <w:szCs w:val="21"/>
          <w:highlight w:val="none"/>
          <w:u w:val="single"/>
        </w:rPr>
        <w:t>考核合格证明或在有效期内的安全考核合格证书（B类）</w:t>
      </w:r>
      <w:r>
        <w:rPr>
          <w:rFonts w:hint="eastAsia" w:ascii="宋体" w:hAnsi="宋体" w:eastAsia="宋体" w:cs="宋体"/>
          <w:bCs/>
          <w:color w:val="auto"/>
          <w:sz w:val="21"/>
          <w:szCs w:val="21"/>
          <w:highlight w:val="none"/>
        </w:rPr>
        <w:t>或建筑施工企业项目负责人安全生产考核合格证书。（取自平台内上传件）；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（11）专职安全员须具有在有效期内的安全生产考核合格证（C类）或建筑施工企业专职安全生产管理人员安全生产考核合格证书（C3）（取自平台内上传件）；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u w:val="single"/>
        </w:rPr>
        <w:t>（12）</w:t>
      </w:r>
      <w:r>
        <w:rPr>
          <w:rFonts w:hint="eastAsia" w:ascii="宋体" w:hAnsi="宋体" w:cs="宋体"/>
          <w:bCs/>
          <w:color w:val="auto"/>
          <w:szCs w:val="21"/>
          <w:highlight w:val="none"/>
        </w:rPr>
        <w:t>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11.2.3项目管理机构配备。</w:t>
      </w:r>
      <w:r>
        <w:rPr>
          <w:rFonts w:hint="eastAsia" w:ascii="宋体" w:hAnsi="宋体" w:cs="宋体"/>
          <w:bCs/>
          <w:color w:val="auto"/>
          <w:szCs w:val="21"/>
          <w:highlight w:val="none"/>
          <w:u w:val="single"/>
        </w:rPr>
        <w:t>（按《技术标详细审查评分表》要求的内容提供）；</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11.2.4企业资信证明材料。</w:t>
      </w:r>
      <w:r>
        <w:rPr>
          <w:rFonts w:hint="eastAsia" w:ascii="宋体" w:hAnsi="宋体" w:cs="宋体"/>
          <w:bCs/>
          <w:color w:val="auto"/>
          <w:szCs w:val="21"/>
          <w:highlight w:val="none"/>
          <w:u w:val="single"/>
        </w:rPr>
        <w:t>（按《技术标详细审查评分表》要求的内容提供）</w:t>
      </w:r>
      <w:r>
        <w:rPr>
          <w:rFonts w:hint="eastAsia" w:ascii="宋体" w:hAnsi="宋体" w:cs="宋体"/>
          <w:bCs/>
          <w:color w:val="auto"/>
          <w:szCs w:val="21"/>
          <w:highlight w:val="none"/>
        </w:rPr>
        <w:t>；</w:t>
      </w:r>
    </w:p>
    <w:p>
      <w:pPr>
        <w:pBdr>
          <w:bottom w:val="single" w:color="auto" w:sz="6" w:space="1"/>
        </w:pBd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11.2.5按照招标文件要求填写的《参与编制技术标投标文件人员名单》。</w:t>
      </w:r>
    </w:p>
    <w:p>
      <w:pPr>
        <w:pBdr>
          <w:bottom w:val="single" w:color="auto" w:sz="6" w:space="1"/>
        </w:pBdr>
        <w:spacing w:line="440" w:lineRule="exact"/>
        <w:ind w:firstLine="420" w:firstLineChars="200"/>
        <w:rPr>
          <w:rFonts w:ascii="宋体" w:hAnsi="宋体"/>
          <w:color w:val="auto"/>
          <w:szCs w:val="21"/>
          <w:highlight w:val="none"/>
        </w:rPr>
      </w:pPr>
      <w:r>
        <w:rPr>
          <w:rFonts w:hint="eastAsia" w:ascii="宋体" w:hAnsi="宋体" w:cs="宋体"/>
          <w:bCs/>
          <w:color w:val="auto"/>
          <w:szCs w:val="21"/>
          <w:highlight w:val="none"/>
          <w:u w:val="single"/>
        </w:rPr>
        <w:t>11.2.6</w:t>
      </w:r>
      <w:r>
        <w:rPr>
          <w:rFonts w:hint="eastAsia" w:ascii="宋体" w:hAnsi="宋体" w:cs="宋体"/>
          <w:color w:val="auto"/>
          <w:szCs w:val="21"/>
          <w:highlight w:val="none"/>
          <w:u w:val="single"/>
        </w:rPr>
        <w:t>其他投标人认为应该提供的资料。</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12.2            </w:t>
      </w:r>
      <w:r>
        <w:rPr>
          <w:rFonts w:hint="eastAsia" w:ascii="宋体" w:hAnsi="宋体"/>
          <w:b/>
          <w:color w:val="auto"/>
          <w:szCs w:val="21"/>
          <w:highlight w:val="none"/>
        </w:rPr>
        <w:t>修改类型：修改</w:t>
      </w:r>
    </w:p>
    <w:p>
      <w:pPr>
        <w:pStyle w:val="36"/>
        <w:spacing w:after="0" w:line="440" w:lineRule="exact"/>
        <w:ind w:firstLine="422" w:firstLineChars="200"/>
        <w:rPr>
          <w:rFonts w:ascii="宋体" w:hAnsi="宋体" w:eastAsia="宋体"/>
          <w:color w:val="auto"/>
          <w:sz w:val="21"/>
          <w:szCs w:val="21"/>
          <w:highlight w:val="none"/>
        </w:rPr>
      </w:pPr>
      <w:r>
        <w:rPr>
          <w:rFonts w:hint="eastAsia" w:ascii="宋体" w:hAnsi="宋体" w:eastAsia="宋体"/>
          <w:b/>
          <w:color w:val="auto"/>
          <w:kern w:val="2"/>
          <w:sz w:val="21"/>
          <w:szCs w:val="21"/>
          <w:highlight w:val="none"/>
        </w:rPr>
        <w:t>原文：</w:t>
      </w:r>
      <w:r>
        <w:rPr>
          <w:rFonts w:hint="eastAsia" w:ascii="宋体" w:hAnsi="宋体" w:eastAsia="宋体"/>
          <w:color w:val="auto"/>
          <w:kern w:val="2"/>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Bdr>
          <w:bottom w:val="single" w:color="auto" w:sz="6" w:space="1"/>
        </w:pBdr>
        <w:spacing w:line="440" w:lineRule="exact"/>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Cs w:val="21"/>
          <w:highlight w:val="none"/>
          <w:u w:val="single"/>
        </w:rPr>
        <w:t>广州公共资源交易中心网站</w:t>
      </w:r>
      <w:r>
        <w:rPr>
          <w:rFonts w:hint="eastAsia" w:ascii="宋体" w:hAnsi="宋体"/>
          <w:color w:val="auto"/>
          <w:szCs w:val="21"/>
          <w:highlight w:val="none"/>
        </w:rPr>
        <w:t>。</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12.3            </w:t>
      </w:r>
      <w:r>
        <w:rPr>
          <w:rFonts w:hint="eastAsia" w:ascii="宋体" w:hAnsi="宋体"/>
          <w:b/>
          <w:color w:val="auto"/>
          <w:szCs w:val="21"/>
          <w:highlight w:val="none"/>
        </w:rPr>
        <w:t>修改类型：修改</w:t>
      </w:r>
    </w:p>
    <w:p>
      <w:pPr>
        <w:pStyle w:val="36"/>
        <w:spacing w:after="0" w:line="440" w:lineRule="exact"/>
        <w:ind w:firstLine="422" w:firstLineChars="200"/>
        <w:rPr>
          <w:rFonts w:ascii="宋体" w:hAnsi="宋体" w:eastAsia="宋体"/>
          <w:color w:val="auto"/>
          <w:sz w:val="21"/>
          <w:szCs w:val="21"/>
          <w:highlight w:val="none"/>
        </w:rPr>
      </w:pPr>
      <w:r>
        <w:rPr>
          <w:rFonts w:hint="eastAsia" w:ascii="宋体" w:hAnsi="宋体" w:eastAsia="宋体"/>
          <w:b/>
          <w:color w:val="auto"/>
          <w:kern w:val="2"/>
          <w:sz w:val="21"/>
          <w:szCs w:val="21"/>
          <w:highlight w:val="none"/>
        </w:rPr>
        <w:t>原文：</w:t>
      </w:r>
      <w:r>
        <w:rPr>
          <w:rFonts w:hint="eastAsia" w:ascii="宋体" w:hAnsi="宋体" w:eastAsia="宋体"/>
          <w:color w:val="auto"/>
          <w:kern w:val="2"/>
          <w:sz w:val="21"/>
          <w:szCs w:val="21"/>
          <w:highlight w:val="none"/>
        </w:rPr>
        <w:t>12.3投标文件应按照交易平台关于全流程电子化项目的相关指南进行编制，详见：。</w:t>
      </w:r>
    </w:p>
    <w:p>
      <w:pPr>
        <w:pStyle w:val="36"/>
        <w:spacing w:after="0" w:line="440" w:lineRule="exact"/>
        <w:ind w:firstLine="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如不按上述要求编制引起系统无法检索、读取相关信息的，其后果由投标人承担。</w:t>
      </w:r>
    </w:p>
    <w:p>
      <w:pPr>
        <w:pStyle w:val="36"/>
        <w:spacing w:after="0" w:line="440" w:lineRule="exact"/>
        <w:ind w:firstLine="422" w:firstLineChars="200"/>
        <w:rPr>
          <w:rFonts w:ascii="宋体" w:hAnsi="宋体" w:eastAsia="宋体"/>
          <w:color w:val="auto"/>
          <w:sz w:val="21"/>
          <w:szCs w:val="21"/>
          <w:highlight w:val="none"/>
        </w:rPr>
      </w:pPr>
      <w:r>
        <w:rPr>
          <w:rFonts w:hint="eastAsia" w:ascii="宋体" w:hAnsi="宋体" w:eastAsia="宋体"/>
          <w:b/>
          <w:color w:val="auto"/>
          <w:kern w:val="2"/>
          <w:sz w:val="21"/>
          <w:szCs w:val="21"/>
          <w:highlight w:val="none"/>
        </w:rPr>
        <w:t>现文：</w:t>
      </w:r>
      <w:r>
        <w:rPr>
          <w:rFonts w:hint="eastAsia" w:ascii="宋体" w:hAnsi="宋体" w:eastAsia="宋体"/>
          <w:color w:val="auto"/>
          <w:kern w:val="2"/>
          <w:sz w:val="21"/>
          <w:szCs w:val="21"/>
          <w:highlight w:val="none"/>
        </w:rPr>
        <w:t>12.3 投标文件应按照交易平台关于全流程电子化项目的相关指南进行编制，详见：</w:t>
      </w:r>
      <w:r>
        <w:rPr>
          <w:rFonts w:hint="eastAsia" w:ascii="宋体" w:hAnsi="宋体" w:eastAsia="宋体"/>
          <w:color w:val="auto"/>
          <w:kern w:val="2"/>
          <w:sz w:val="21"/>
          <w:szCs w:val="21"/>
          <w:highlight w:val="none"/>
          <w:u w:val="single"/>
        </w:rPr>
        <w:t>广州公共资源交易中心网站</w:t>
      </w:r>
      <w:r>
        <w:rPr>
          <w:rFonts w:hint="eastAsia" w:ascii="宋体" w:hAnsi="宋体" w:eastAsia="宋体"/>
          <w:color w:val="auto"/>
          <w:kern w:val="2"/>
          <w:sz w:val="21"/>
          <w:szCs w:val="21"/>
          <w:highlight w:val="none"/>
        </w:rPr>
        <w:t>。</w:t>
      </w:r>
    </w:p>
    <w:p>
      <w:pPr>
        <w:pBdr>
          <w:bottom w:val="single" w:color="auto" w:sz="6" w:space="1"/>
        </w:pBdr>
        <w:spacing w:line="440" w:lineRule="exact"/>
        <w:ind w:firstLine="420" w:firstLineChars="200"/>
        <w:rPr>
          <w:rFonts w:ascii="宋体" w:hAnsi="宋体" w:cs="宋体"/>
          <w:color w:val="auto"/>
          <w:szCs w:val="21"/>
          <w:highlight w:val="none"/>
        </w:rPr>
      </w:pPr>
      <w:r>
        <w:rPr>
          <w:rFonts w:hint="eastAsia" w:ascii="宋体" w:hAnsi="宋体"/>
          <w:color w:val="auto"/>
          <w:szCs w:val="21"/>
          <w:highlight w:val="none"/>
        </w:rPr>
        <w:t>如不按上述要求编制引起系统无法检索、读取相关信息的，其后果由投标人承担。</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原文：13.1</w:t>
      </w:r>
      <w:r>
        <w:rPr>
          <w:rFonts w:hint="eastAsia" w:ascii="宋体" w:hAnsi="宋体" w:cs="宋体"/>
          <w:color w:val="auto"/>
          <w:szCs w:val="21"/>
          <w:highlight w:val="none"/>
        </w:rPr>
        <w:t>本工程的投标报价采用投标须知前附表第</w:t>
      </w:r>
      <w:r>
        <w:rPr>
          <w:rFonts w:ascii="宋体" w:hAnsi="宋体" w:cs="宋体"/>
          <w:color w:val="auto"/>
          <w:szCs w:val="21"/>
          <w:highlight w:val="none"/>
        </w:rPr>
        <w:t>12</w:t>
      </w:r>
      <w:r>
        <w:rPr>
          <w:rFonts w:hint="eastAsia" w:ascii="宋体" w:hAnsi="宋体" w:cs="宋体"/>
          <w:color w:val="auto"/>
          <w:szCs w:val="21"/>
          <w:highlight w:val="none"/>
        </w:rPr>
        <w:t>项所规定的方式。投标报价（含单价及总价）精确到“分”。</w:t>
      </w:r>
    </w:p>
    <w:p>
      <w:pPr>
        <w:pBdr>
          <w:bottom w:val="single" w:color="auto" w:sz="6" w:space="1"/>
        </w:pBdr>
        <w:spacing w:line="440" w:lineRule="exact"/>
        <w:ind w:firstLine="413" w:firstLineChars="196"/>
        <w:rPr>
          <w:rFonts w:ascii="宋体" w:hAnsi="宋体"/>
          <w:color w:val="auto"/>
          <w:szCs w:val="21"/>
          <w:highlight w:val="none"/>
        </w:rPr>
      </w:pPr>
      <w:r>
        <w:rPr>
          <w:rFonts w:hint="eastAsia" w:ascii="宋体" w:hAnsi="宋体" w:cs="宋体"/>
          <w:b/>
          <w:color w:val="auto"/>
          <w:szCs w:val="21"/>
          <w:highlight w:val="none"/>
        </w:rPr>
        <w:t>现文：13.1</w:t>
      </w:r>
      <w:r>
        <w:rPr>
          <w:rFonts w:hint="eastAsia" w:ascii="宋体" w:hAnsi="宋体" w:cs="宋体"/>
          <w:color w:val="auto"/>
          <w:szCs w:val="21"/>
          <w:highlight w:val="none"/>
        </w:rPr>
        <w:t>本工程的投标报价采用投标须知前附表第12项所规定的方式。投标报价（含单价及总价）精确到“分”。</w:t>
      </w:r>
      <w:r>
        <w:rPr>
          <w:rFonts w:hint="eastAsia" w:ascii="宋体" w:hAnsi="宋体" w:cs="宋体"/>
          <w:color w:val="auto"/>
          <w:szCs w:val="21"/>
          <w:highlight w:val="none"/>
          <w:u w:val="single"/>
        </w:rPr>
        <w:t>投标文件中的大写金额和小写金额不一致的，以大写金额为准。</w:t>
      </w:r>
    </w:p>
    <w:p>
      <w:pPr>
        <w:spacing w:line="44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pBdr>
          <w:bottom w:val="single" w:color="auto" w:sz="6" w:space="0"/>
        </w:pBdr>
        <w:spacing w:line="440" w:lineRule="exact"/>
        <w:ind w:firstLine="413" w:firstLineChars="196"/>
        <w:rPr>
          <w:rFonts w:ascii="宋体" w:hAnsi="宋体"/>
          <w:color w:val="auto"/>
          <w:szCs w:val="21"/>
          <w:highlight w:val="none"/>
        </w:rPr>
      </w:pPr>
      <w:r>
        <w:rPr>
          <w:rFonts w:hint="eastAsia" w:ascii="宋体" w:hAnsi="宋体" w:cs="宋体"/>
          <w:b/>
          <w:color w:val="auto"/>
          <w:szCs w:val="21"/>
          <w:highlight w:val="none"/>
        </w:rPr>
        <w:t>原文：13.4</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6"/>
        <w:pBdr>
          <w:bottom w:val="single" w:color="auto" w:sz="6" w:space="0"/>
        </w:pBdr>
        <w:spacing w:after="0" w:line="440" w:lineRule="exact"/>
        <w:ind w:firstLine="422" w:firstLineChars="200"/>
        <w:rPr>
          <w:rFonts w:ascii="宋体" w:hAnsi="宋体" w:eastAsia="宋体" w:cs="宋体"/>
          <w:color w:val="auto"/>
          <w:kern w:val="2"/>
          <w:sz w:val="21"/>
          <w:szCs w:val="21"/>
          <w:highlight w:val="none"/>
          <w:u w:val="single"/>
        </w:rPr>
      </w:pPr>
      <w:r>
        <w:rPr>
          <w:rFonts w:hint="eastAsia" w:ascii="宋体" w:hAnsi="宋体" w:eastAsia="宋体" w:cs="宋体"/>
          <w:b/>
          <w:color w:val="auto"/>
          <w:kern w:val="2"/>
          <w:sz w:val="21"/>
          <w:szCs w:val="21"/>
          <w:highlight w:val="none"/>
        </w:rPr>
        <w:t>现文：13.4</w:t>
      </w:r>
      <w:r>
        <w:rPr>
          <w:rFonts w:hint="eastAsia" w:ascii="宋体" w:hAnsi="宋体" w:eastAsia="宋体" w:cs="宋体"/>
          <w:color w:val="auto"/>
          <w:kern w:val="2"/>
          <w:sz w:val="21"/>
          <w:szCs w:val="21"/>
          <w:highlight w:val="none"/>
        </w:rPr>
        <w:t>投标人一旦中标，投标人对招标人提供的招标工程量清单中列出的工程项目所报出的综合单价</w:t>
      </w:r>
      <w:r>
        <w:rPr>
          <w:rFonts w:hint="eastAsia" w:ascii="宋体" w:hAnsi="宋体" w:eastAsia="宋体" w:cs="宋体"/>
          <w:color w:val="auto"/>
          <w:kern w:val="2"/>
          <w:sz w:val="21"/>
          <w:szCs w:val="21"/>
          <w:highlight w:val="none"/>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按广州市相关文件执行。</w:t>
      </w:r>
    </w:p>
    <w:p>
      <w:pPr>
        <w:spacing w:line="440" w:lineRule="exact"/>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条款号：16.</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             修改类型：</w:t>
      </w:r>
      <w:r>
        <w:rPr>
          <w:rFonts w:hint="eastAsia" w:ascii="宋体" w:hAnsi="宋体" w:cs="宋体"/>
          <w:b/>
          <w:color w:val="auto"/>
          <w:szCs w:val="21"/>
          <w:highlight w:val="none"/>
          <w:lang w:val="en-US" w:eastAsia="zh-CN"/>
        </w:rPr>
        <w:t>修改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b/>
          <w:color w:val="auto"/>
          <w:kern w:val="2"/>
          <w:sz w:val="21"/>
          <w:szCs w:val="21"/>
          <w:highlight w:val="none"/>
        </w:rPr>
        <w:t xml:space="preserve">原文： </w:t>
      </w:r>
      <w:r>
        <w:rPr>
          <w:rFonts w:hint="eastAsia" w:ascii="宋体" w:hAnsi="宋体" w:eastAsia="宋体" w:cs="宋体"/>
          <w:bCs/>
          <w:color w:val="auto"/>
          <w:sz w:val="21"/>
          <w:szCs w:val="21"/>
          <w:highlight w:val="none"/>
        </w:rPr>
        <w:t>16.4如有下列情况之一的，招标人可以不予退还投标保证金</w:t>
      </w:r>
      <w:r>
        <w:rPr>
          <w:rFonts w:hint="eastAsia" w:ascii="宋体" w:hAnsi="宋体" w:eastAsia="宋体" w:cs="宋体"/>
          <w:bCs/>
          <w:color w:val="auto"/>
          <w:sz w:val="21"/>
          <w:szCs w:val="21"/>
          <w:highlight w:val="none"/>
          <w:u w:val="single"/>
        </w:rPr>
        <w:t>（是否退还投标保证金由招标人在招标文件中规定）</w:t>
      </w:r>
      <w:r>
        <w:rPr>
          <w:rFonts w:hint="eastAsia" w:ascii="宋体" w:hAnsi="宋体" w:eastAsia="宋体" w:cs="宋体"/>
          <w:bCs/>
          <w:color w:val="auto"/>
          <w:sz w:val="21"/>
          <w:szCs w:val="21"/>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16.4.1因投标人原因造成投标文件未解密的；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16.4.2投标人在投标有效期内撤销投标文件；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16.4.3中标人未能在规定期限内按要求提交履约担保；</w:t>
      </w:r>
    </w:p>
    <w:p>
      <w:pPr>
        <w:pStyle w:val="36"/>
        <w:pBdr>
          <w:bottom w:val="single" w:color="auto" w:sz="6" w:space="0"/>
        </w:pBdr>
        <w:spacing w:after="0"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16.4.4中标人未能在规定期限内签署合同协议。</w:t>
      </w:r>
    </w:p>
    <w:p>
      <w:pPr>
        <w:pStyle w:val="36"/>
        <w:pBdr>
          <w:bottom w:val="single" w:color="auto" w:sz="6" w:space="0"/>
        </w:pBdr>
        <w:spacing w:after="0" w:line="440" w:lineRule="exact"/>
        <w:ind w:firstLine="422" w:firstLineChars="200"/>
        <w:rPr>
          <w:rFonts w:hint="eastAsia" w:ascii="宋体" w:hAnsi="宋体" w:eastAsia="宋体" w:cs="宋体"/>
          <w:bCs/>
          <w:color w:val="auto"/>
          <w:sz w:val="21"/>
          <w:szCs w:val="21"/>
          <w:highlight w:val="none"/>
          <w:u w:val="none"/>
        </w:rPr>
      </w:pPr>
      <w:r>
        <w:rPr>
          <w:rFonts w:hint="eastAsia" w:ascii="宋体" w:hAnsi="宋体" w:eastAsia="宋体" w:cs="宋体"/>
          <w:b/>
          <w:bCs w:val="0"/>
          <w:color w:val="auto"/>
          <w:sz w:val="21"/>
          <w:szCs w:val="21"/>
          <w:highlight w:val="none"/>
          <w:u w:val="none"/>
          <w:lang w:val="en-US" w:eastAsia="zh-CN"/>
        </w:rPr>
        <w:t>现文：</w:t>
      </w:r>
      <w:r>
        <w:rPr>
          <w:rFonts w:hint="eastAsia" w:ascii="宋体" w:hAnsi="宋体" w:eastAsia="宋体" w:cs="宋体"/>
          <w:bCs/>
          <w:color w:val="auto"/>
          <w:sz w:val="21"/>
          <w:szCs w:val="21"/>
          <w:highlight w:val="none"/>
          <w:u w:val="none"/>
        </w:rPr>
        <w:t>16.4如有下列情况之一的，招标人可以不予退还投标保证金：</w:t>
      </w:r>
    </w:p>
    <w:p>
      <w:pPr>
        <w:pStyle w:val="36"/>
        <w:pBdr>
          <w:bottom w:val="single" w:color="auto" w:sz="6" w:space="0"/>
        </w:pBdr>
        <w:spacing w:after="0" w:line="440" w:lineRule="exact"/>
        <w:ind w:firstLine="420" w:firstLineChars="200"/>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16.4.1因投标人原因造成投标文件未解密的；</w:t>
      </w:r>
    </w:p>
    <w:p>
      <w:pPr>
        <w:pStyle w:val="36"/>
        <w:pBdr>
          <w:bottom w:val="single" w:color="auto" w:sz="6" w:space="0"/>
        </w:pBdr>
        <w:spacing w:after="0" w:line="440" w:lineRule="exact"/>
        <w:ind w:firstLine="420" w:firstLineChars="200"/>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16.4.2投标人在投标有效期内撤销投标文件；</w:t>
      </w:r>
    </w:p>
    <w:p>
      <w:pPr>
        <w:pStyle w:val="36"/>
        <w:pBdr>
          <w:bottom w:val="single" w:color="auto" w:sz="6" w:space="0"/>
        </w:pBdr>
        <w:spacing w:after="0" w:line="440" w:lineRule="exact"/>
        <w:ind w:firstLine="420" w:firstLineChars="200"/>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16.4.3中标人未能在规定期限内按要求提交履约担保；</w:t>
      </w:r>
    </w:p>
    <w:p>
      <w:pPr>
        <w:pStyle w:val="36"/>
        <w:pBdr>
          <w:bottom w:val="single" w:color="auto" w:sz="6" w:space="0"/>
        </w:pBdr>
        <w:spacing w:after="0" w:line="440" w:lineRule="exact"/>
        <w:ind w:firstLine="420" w:firstLineChars="200"/>
        <w:rPr>
          <w:rFonts w:hint="eastAsia" w:ascii="宋体" w:hAnsi="宋体" w:eastAsia="宋体" w:cs="宋体"/>
          <w:bCs/>
          <w:color w:val="auto"/>
          <w:sz w:val="21"/>
          <w:szCs w:val="21"/>
          <w:highlight w:val="none"/>
          <w:u w:val="none"/>
          <w:lang w:val="en-US" w:eastAsia="zh-CN"/>
        </w:rPr>
      </w:pPr>
      <w:r>
        <w:rPr>
          <w:rFonts w:hint="eastAsia" w:ascii="宋体" w:hAnsi="宋体" w:eastAsia="宋体" w:cs="宋体"/>
          <w:bCs/>
          <w:color w:val="auto"/>
          <w:sz w:val="21"/>
          <w:szCs w:val="21"/>
          <w:highlight w:val="none"/>
          <w:u w:val="none"/>
        </w:rPr>
        <w:t>16.4.4中标人未能在规定期限内签署合同协议。</w:t>
      </w:r>
    </w:p>
    <w:p>
      <w:pPr>
        <w:spacing w:line="440" w:lineRule="exact"/>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条款号：16.</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xml:space="preserve">             修改类型：</w:t>
      </w:r>
      <w:r>
        <w:rPr>
          <w:rFonts w:hint="eastAsia" w:ascii="宋体" w:hAnsi="宋体" w:cs="宋体"/>
          <w:b/>
          <w:color w:val="auto"/>
          <w:szCs w:val="21"/>
          <w:highlight w:val="none"/>
          <w:lang w:val="en-US" w:eastAsia="zh-CN"/>
        </w:rPr>
        <w:t>修改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2"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b/>
          <w:color w:val="auto"/>
          <w:kern w:val="2"/>
          <w:sz w:val="21"/>
          <w:szCs w:val="21"/>
          <w:highlight w:val="none"/>
        </w:rPr>
        <w:t>原文：</w:t>
      </w:r>
      <w:r>
        <w:rPr>
          <w:rFonts w:hint="eastAsia" w:ascii="宋体" w:hAnsi="宋体" w:eastAsia="宋体" w:cs="宋体"/>
          <w:bCs/>
          <w:color w:val="auto"/>
          <w:sz w:val="21"/>
          <w:szCs w:val="21"/>
          <w:highlight w:val="none"/>
        </w:rPr>
        <w:t>16.5投标人如存在下列情况之一的，将被拒绝在一定时期内参与招标人后续工程投标</w:t>
      </w:r>
      <w:r>
        <w:rPr>
          <w:rFonts w:hint="eastAsia" w:ascii="宋体" w:hAnsi="宋体" w:eastAsia="宋体" w:cs="宋体"/>
          <w:bCs/>
          <w:color w:val="auto"/>
          <w:sz w:val="21"/>
          <w:szCs w:val="21"/>
          <w:highlight w:val="none"/>
          <w:u w:val="single"/>
        </w:rPr>
        <w:t>（拒绝时限需在招标文件中明确）：</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16.5.1投标人存在16.4条款所列情形且投标人提交的保函、担保或保证保险无法兑付的；</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16.5.2采用非电子形式提交投标保证金的投标人存在16.4条款所列情形，且未按招标人要求补交银行保函、专业工程担保公司担保或保证保险原件的；</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16.5.3按招标文件要求免于提供投标保证金的投标人存在16.4条款所列情形，且未按招标人要求补交投标保证金的；</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16.5.3按招标文件要求免于提供投标保证金的投标人存在16.4条款所列情形的。</w:t>
      </w:r>
    </w:p>
    <w:p>
      <w:pPr>
        <w:pStyle w:val="36"/>
        <w:pBdr>
          <w:bottom w:val="single" w:color="auto" w:sz="6" w:space="0"/>
        </w:pBdr>
        <w:adjustRightInd w:val="0"/>
        <w:spacing w:after="0" w:line="44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注：16.5.3款由招标人二选一，需在招标文件中明确。</w:t>
      </w:r>
    </w:p>
    <w:p>
      <w:pPr>
        <w:pStyle w:val="36"/>
        <w:pBdr>
          <w:bottom w:val="single" w:color="auto" w:sz="6" w:space="0"/>
        </w:pBdr>
        <w:adjustRightInd w:val="0"/>
        <w:spacing w:after="0" w:line="440" w:lineRule="exact"/>
        <w:ind w:firstLine="422" w:firstLineChars="200"/>
        <w:rPr>
          <w:rFonts w:hint="eastAsia" w:ascii="宋体" w:hAnsi="宋体" w:eastAsia="宋体" w:cs="宋体"/>
          <w:b w:val="0"/>
          <w:bCs/>
          <w:color w:val="auto"/>
          <w:sz w:val="21"/>
          <w:szCs w:val="21"/>
          <w:highlight w:val="none"/>
          <w:u w:val="single"/>
          <w:lang w:val="en-US" w:eastAsia="zh-CN"/>
        </w:rPr>
      </w:pPr>
      <w:r>
        <w:rPr>
          <w:rFonts w:hint="eastAsia" w:ascii="宋体" w:hAnsi="宋体" w:eastAsia="宋体" w:cs="宋体"/>
          <w:b/>
          <w:bCs w:val="0"/>
          <w:color w:val="auto"/>
          <w:sz w:val="21"/>
          <w:szCs w:val="21"/>
          <w:highlight w:val="none"/>
          <w:u w:val="single"/>
          <w:lang w:val="en-US" w:eastAsia="zh-CN"/>
        </w:rPr>
        <w:t>现文：</w:t>
      </w:r>
      <w:r>
        <w:rPr>
          <w:rFonts w:hint="eastAsia" w:ascii="宋体" w:hAnsi="宋体" w:eastAsia="宋体" w:cs="宋体"/>
          <w:b w:val="0"/>
          <w:bCs/>
          <w:color w:val="auto"/>
          <w:sz w:val="21"/>
          <w:szCs w:val="21"/>
          <w:highlight w:val="none"/>
          <w:u w:val="single"/>
          <w:lang w:val="en-US" w:eastAsia="zh-CN"/>
        </w:rPr>
        <w:t>16.5投标人如存在下列情况之一的，将被拒绝在一年内参与招标人后续工程投标：</w:t>
      </w:r>
    </w:p>
    <w:p>
      <w:pPr>
        <w:pStyle w:val="36"/>
        <w:pBdr>
          <w:bottom w:val="single" w:color="auto" w:sz="6" w:space="0"/>
        </w:pBdr>
        <w:adjustRightInd w:val="0"/>
        <w:spacing w:after="0" w:line="440" w:lineRule="exact"/>
        <w:ind w:firstLine="420" w:firstLineChars="200"/>
        <w:rPr>
          <w:rFonts w:hint="eastAsia" w:ascii="宋体" w:hAnsi="宋体" w:eastAsia="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u w:val="single"/>
          <w:lang w:val="en-US" w:eastAsia="zh-CN"/>
        </w:rPr>
        <w:t>16.5.1投标人存在16.4条款所列情形且投标人提交的保函、担保或保证保险无法兑付的；</w:t>
      </w:r>
    </w:p>
    <w:p>
      <w:pPr>
        <w:pStyle w:val="36"/>
        <w:pBdr>
          <w:bottom w:val="single" w:color="auto" w:sz="6" w:space="0"/>
        </w:pBdr>
        <w:adjustRightInd w:val="0"/>
        <w:spacing w:after="0" w:line="440" w:lineRule="exact"/>
        <w:ind w:firstLine="420" w:firstLineChars="200"/>
        <w:rPr>
          <w:rFonts w:hint="eastAsia" w:ascii="宋体" w:hAnsi="宋体" w:eastAsia="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u w:val="single"/>
          <w:lang w:val="en-US" w:eastAsia="zh-CN"/>
        </w:rPr>
        <w:t>16.5.2采用非电子形式提交投标保证金的投标人存在16.4条款所列情形，且未按招标人要求补交银行保函、专业工程担保公司担保或保证保险原件的；</w:t>
      </w:r>
    </w:p>
    <w:p>
      <w:pPr>
        <w:pStyle w:val="36"/>
        <w:pBdr>
          <w:bottom w:val="single" w:color="auto" w:sz="6" w:space="0"/>
        </w:pBdr>
        <w:adjustRightInd w:val="0"/>
        <w:spacing w:after="0" w:line="440" w:lineRule="exact"/>
        <w:ind w:firstLine="420" w:firstLineChars="200"/>
        <w:rPr>
          <w:rFonts w:hint="eastAsia" w:ascii="宋体" w:hAnsi="宋体" w:eastAsia="宋体" w:cs="宋体"/>
          <w:b/>
          <w:bCs w:val="0"/>
          <w:color w:val="auto"/>
          <w:sz w:val="21"/>
          <w:szCs w:val="21"/>
          <w:highlight w:val="none"/>
          <w:u w:val="single"/>
          <w:lang w:val="en-US" w:eastAsia="zh-CN"/>
        </w:rPr>
      </w:pPr>
      <w:r>
        <w:rPr>
          <w:rFonts w:hint="eastAsia" w:ascii="宋体" w:hAnsi="宋体" w:eastAsia="宋体" w:cs="宋体"/>
          <w:b w:val="0"/>
          <w:bCs/>
          <w:color w:val="auto"/>
          <w:sz w:val="21"/>
          <w:szCs w:val="21"/>
          <w:highlight w:val="none"/>
          <w:u w:val="single"/>
          <w:lang w:val="en-US" w:eastAsia="zh-CN"/>
        </w:rPr>
        <w:t>16.5.3按招标文件要求免于提供投标保证金的投标人存在16.4条款所列情形；</w:t>
      </w:r>
    </w:p>
    <w:p>
      <w:pPr>
        <w:spacing w:line="440" w:lineRule="exact"/>
        <w:ind w:firstLine="422" w:firstLineChars="200"/>
        <w:rPr>
          <w:rFonts w:ascii="宋体" w:hAnsi="宋体"/>
          <w:b/>
          <w:color w:val="auto"/>
          <w:szCs w:val="21"/>
          <w:highlight w:val="none"/>
        </w:rPr>
      </w:pPr>
      <w:r>
        <w:rPr>
          <w:rFonts w:hint="eastAsia" w:ascii="宋体" w:hAnsi="宋体" w:cs="宋体"/>
          <w:b/>
          <w:color w:val="auto"/>
          <w:szCs w:val="21"/>
          <w:highlight w:val="none"/>
        </w:rPr>
        <w:t>条款号：</w:t>
      </w:r>
      <w:r>
        <w:rPr>
          <w:rFonts w:hint="eastAsia" w:ascii="宋体" w:hAnsi="宋体"/>
          <w:b/>
          <w:color w:val="auto"/>
          <w:szCs w:val="21"/>
          <w:highlight w:val="none"/>
        </w:rPr>
        <w:t>17.1             修改类型：修改</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17.1投标人应采用单位数字证书</w:t>
      </w:r>
      <w:r>
        <w:rPr>
          <w:rFonts w:hint="eastAsia" w:ascii="宋体" w:hAnsi="宋体" w:cs="宋体"/>
          <w:color w:val="auto"/>
          <w:szCs w:val="21"/>
          <w:highlight w:val="none"/>
          <w:u w:val="single"/>
        </w:rPr>
        <w:t>（联合体投标的，由联合体主办方采用其单位数字证书）</w:t>
      </w:r>
      <w:r>
        <w:rPr>
          <w:rFonts w:hint="eastAsia" w:ascii="宋体" w:hAnsi="宋体" w:cs="宋体"/>
          <w:color w:val="auto"/>
          <w:szCs w:val="21"/>
          <w:highlight w:val="none"/>
        </w:rPr>
        <w:t>，按招标文件要求在相应位置加盖电子印章。投标文件中需个人签字或盖章的，</w:t>
      </w:r>
      <w:r>
        <w:rPr>
          <w:rFonts w:hint="eastAsia" w:ascii="宋体" w:hAnsi="宋体" w:cs="宋体"/>
          <w:color w:val="auto"/>
          <w:szCs w:val="21"/>
          <w:highlight w:val="none"/>
          <w:u w:val="single"/>
        </w:rPr>
        <w:t>应加盖个人电子印章或在线下完成后扫描上传</w:t>
      </w:r>
      <w:r>
        <w:rPr>
          <w:rFonts w:hint="eastAsia" w:ascii="宋体" w:hAnsi="宋体" w:cs="宋体"/>
          <w:color w:val="auto"/>
          <w:szCs w:val="21"/>
          <w:highlight w:val="none"/>
        </w:rPr>
        <w:t>。</w:t>
      </w:r>
      <w:r>
        <w:rPr>
          <w:rFonts w:hint="eastAsia" w:ascii="宋体" w:hAnsi="宋体" w:cs="宋体"/>
          <w:color w:val="auto"/>
          <w:szCs w:val="21"/>
          <w:highlight w:val="none"/>
          <w:u w:val="single"/>
        </w:rPr>
        <w:t>由广州投标文件管理软件系统生成的“工程量清单主表--工程量清单报价表”封面页和扉页可以仅采用单位数字证书加盖电子印章处理</w:t>
      </w:r>
      <w:r>
        <w:rPr>
          <w:rFonts w:hint="eastAsia" w:ascii="宋体" w:hAnsi="宋体"/>
          <w:color w:val="auto"/>
          <w:szCs w:val="21"/>
          <w:highlight w:val="none"/>
        </w:rPr>
        <w:t>。</w:t>
      </w:r>
      <w:r>
        <w:rPr>
          <w:rFonts w:hint="eastAsia" w:ascii="宋体" w:hAnsi="宋体" w:cs="宋体"/>
          <w:color w:val="auto"/>
          <w:szCs w:val="21"/>
          <w:highlight w:val="none"/>
        </w:rPr>
        <w:t>按照交易平台关于全流程电子化项目的相关指南进行操作。详见：</w:t>
      </w:r>
      <w:r>
        <w:rPr>
          <w:rFonts w:hint="eastAsia" w:ascii="宋体" w:hAnsi="宋体" w:cs="宋体"/>
          <w:color w:val="auto"/>
          <w:szCs w:val="21"/>
          <w:highlight w:val="none"/>
          <w:u w:val="single"/>
        </w:rPr>
        <w:t>《房屋建筑和市政基础设施工程全流程电子化项目专章》</w:t>
      </w:r>
      <w:r>
        <w:rPr>
          <w:rFonts w:hint="eastAsia" w:ascii="宋体" w:hAnsi="宋体" w:cs="宋体"/>
          <w:color w:val="auto"/>
          <w:szCs w:val="21"/>
          <w:highlight w:val="none"/>
        </w:rPr>
        <w:t>。</w:t>
      </w:r>
    </w:p>
    <w:p>
      <w:pPr>
        <w:pBdr>
          <w:bottom w:val="single" w:color="auto" w:sz="6" w:space="1"/>
        </w:pBdr>
        <w:spacing w:line="440" w:lineRule="exact"/>
        <w:ind w:firstLine="525" w:firstLineChars="250"/>
        <w:rPr>
          <w:rFonts w:ascii="宋体" w:hAnsi="宋体"/>
          <w:color w:val="auto"/>
          <w:szCs w:val="21"/>
          <w:highlight w:val="none"/>
          <w:u w:val="single"/>
        </w:rPr>
      </w:pPr>
      <w:r>
        <w:rPr>
          <w:rFonts w:hint="eastAsia" w:ascii="宋体" w:hAnsi="宋体" w:cs="宋体"/>
          <w:color w:val="auto"/>
          <w:szCs w:val="21"/>
          <w:highlight w:val="none"/>
          <w:u w:val="single"/>
        </w:rPr>
        <w:t>17.2联合体投标的，除《联合体工作协议》需联合体各方分别按要求进行签字、盖章外，投标文件封面及其他内容及落款中的“投标人”、“投标单位”、“声明企业”等应填写联合体各方的单位全称【格式表示为：（主）XXXXX公司（成）XXXXX公司公司】，可由主办方签字、盖章。</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18.1</w:t>
      </w:r>
      <w:r>
        <w:rPr>
          <w:rFonts w:hint="eastAsia" w:ascii="宋体" w:hAnsi="宋体"/>
          <w:b/>
          <w:color w:val="auto"/>
          <w:szCs w:val="21"/>
          <w:highlight w:val="none"/>
        </w:rPr>
        <w:t>、</w:t>
      </w:r>
      <w:r>
        <w:rPr>
          <w:rFonts w:ascii="宋体" w:hAnsi="宋体"/>
          <w:b/>
          <w:color w:val="auto"/>
          <w:szCs w:val="21"/>
          <w:highlight w:val="none"/>
        </w:rPr>
        <w:t xml:space="preserve">18.2            </w:t>
      </w:r>
      <w:r>
        <w:rPr>
          <w:rFonts w:hint="eastAsia" w:ascii="宋体" w:hAnsi="宋体"/>
          <w:b/>
          <w:color w:val="auto"/>
          <w:szCs w:val="21"/>
          <w:highlight w:val="none"/>
        </w:rPr>
        <w:t>修改类型：修改</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18.1递交的电子投标文件（不含备用光盘）必须进行加密。按照交易平台关于全流程电子化项目的相关指南进行操作。详见：。</w:t>
      </w:r>
    </w:p>
    <w:p>
      <w:pPr>
        <w:spacing w:line="440" w:lineRule="exact"/>
        <w:ind w:firstLine="470" w:firstLineChars="224"/>
        <w:rPr>
          <w:rFonts w:ascii="宋体" w:hAnsi="宋体"/>
          <w:color w:val="auto"/>
          <w:szCs w:val="21"/>
          <w:highlight w:val="none"/>
        </w:rPr>
      </w:pPr>
      <w:r>
        <w:rPr>
          <w:rFonts w:hint="eastAsia" w:ascii="宋体" w:hAnsi="宋体"/>
          <w:color w:val="auto"/>
          <w:szCs w:val="21"/>
          <w:highlight w:val="none"/>
        </w:rPr>
        <w:t>18.2未按要求加密的投标文件，交易平台将予以拒收。</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18.1递交的电子投标文件（不含备用</w:t>
      </w:r>
      <w:r>
        <w:rPr>
          <w:rFonts w:hint="eastAsia" w:ascii="宋体" w:hAnsi="宋体"/>
          <w:color w:val="auto"/>
          <w:szCs w:val="21"/>
          <w:highlight w:val="none"/>
          <w:u w:val="single"/>
        </w:rPr>
        <w:t>U盘</w:t>
      </w:r>
      <w:r>
        <w:rPr>
          <w:rFonts w:hint="eastAsia" w:ascii="宋体" w:hAnsi="宋体"/>
          <w:color w:val="auto"/>
          <w:szCs w:val="21"/>
          <w:highlight w:val="none"/>
        </w:rPr>
        <w:t>）必须进行加密。按照交易平台关于全流程电子化项目的相关指南进行操作。详见：</w:t>
      </w:r>
      <w:r>
        <w:rPr>
          <w:rFonts w:hint="eastAsia" w:ascii="宋体" w:hAnsi="宋体"/>
          <w:color w:val="auto"/>
          <w:szCs w:val="21"/>
          <w:highlight w:val="none"/>
          <w:u w:val="single"/>
        </w:rPr>
        <w:t>广州公共资源交易中心网站</w:t>
      </w:r>
      <w:r>
        <w:rPr>
          <w:rFonts w:hint="eastAsia" w:ascii="宋体" w:hAnsi="宋体"/>
          <w:color w:val="auto"/>
          <w:szCs w:val="21"/>
          <w:highlight w:val="none"/>
        </w:rPr>
        <w:t>。</w:t>
      </w:r>
    </w:p>
    <w:p>
      <w:pPr>
        <w:pBdr>
          <w:bottom w:val="single" w:color="auto" w:sz="6" w:space="1"/>
        </w:pBdr>
        <w:spacing w:line="440" w:lineRule="exact"/>
        <w:ind w:firstLine="525" w:firstLineChars="250"/>
        <w:rPr>
          <w:rFonts w:ascii="宋体" w:hAnsi="宋体"/>
          <w:color w:val="auto"/>
          <w:szCs w:val="21"/>
          <w:highlight w:val="none"/>
        </w:rPr>
      </w:pPr>
      <w:r>
        <w:rPr>
          <w:rFonts w:hint="eastAsia" w:ascii="宋体" w:hAnsi="宋体"/>
          <w:color w:val="auto"/>
          <w:szCs w:val="21"/>
          <w:highlight w:val="none"/>
        </w:rPr>
        <w:t>18.2 未按要求加密的投标文件，</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交易平台将予以拒收。</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条款号：19.1、19.2、19.3            修改类型：修改</w:t>
      </w:r>
    </w:p>
    <w:p>
      <w:pPr>
        <w:spacing w:line="440" w:lineRule="exact"/>
        <w:ind w:firstLine="422" w:firstLineChars="200"/>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19.1投标人通过交易平台递交电子投标文件。</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rPr>
        <w:t>2投标人完成电子投标文件上传后，交易平台即时向投标人发出递交回执通知。递交时间以递交回执通知载明的传输完成时间为准。</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rPr>
        <w:t>3逾期送达的电子投标文件，交易平台将予以拒收。</w:t>
      </w:r>
    </w:p>
    <w:p>
      <w:pPr>
        <w:spacing w:line="44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3"/>
        </w:pBdr>
        <w:spacing w:line="44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条款号：19.5修改类型：删除</w:t>
      </w:r>
    </w:p>
    <w:p>
      <w:pPr>
        <w:pBdr>
          <w:bottom w:val="single" w:color="auto" w:sz="6" w:space="1"/>
        </w:pBdr>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19.5如技术标和经济标先后分别开启，交易平台将按招标文件规定的时间分别开启技术标和经济标。</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条款号：19.6修改类型：删除</w:t>
      </w:r>
    </w:p>
    <w:p>
      <w:pPr>
        <w:pBdr>
          <w:bottom w:val="single" w:color="auto" w:sz="6" w:space="1"/>
        </w:pBdr>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21.1            </w:t>
      </w:r>
      <w:r>
        <w:rPr>
          <w:rFonts w:hint="eastAsia" w:ascii="宋体" w:hAnsi="宋体"/>
          <w:b/>
          <w:color w:val="auto"/>
          <w:szCs w:val="21"/>
          <w:highlight w:val="none"/>
        </w:rPr>
        <w:t>修改类型：修改</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21.1本须知前附表第</w:t>
      </w:r>
      <w:r>
        <w:rPr>
          <w:rFonts w:ascii="宋体" w:hAnsi="宋体"/>
          <w:color w:val="auto"/>
          <w:szCs w:val="21"/>
          <w:highlight w:val="none"/>
        </w:rPr>
        <w:t>1</w:t>
      </w:r>
      <w:r>
        <w:rPr>
          <w:rFonts w:hint="eastAsia" w:ascii="宋体" w:hAnsi="宋体"/>
          <w:color w:val="auto"/>
          <w:szCs w:val="21"/>
          <w:highlight w:val="none"/>
        </w:rPr>
        <w:t>7项规定的投标截止时间后送达的电子投标文件，交易平台将予以拒收。</w:t>
      </w:r>
    </w:p>
    <w:p>
      <w:pPr>
        <w:pBdr>
          <w:bottom w:val="single" w:color="auto" w:sz="6" w:space="1"/>
        </w:pBdr>
        <w:spacing w:line="440" w:lineRule="exact"/>
        <w:ind w:firstLine="422" w:firstLineChars="20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21.1 本须知前附表第17项规定的投标截止时间后送达的电子投标文件，</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交易平台将予以拒收</w:t>
      </w:r>
      <w:r>
        <w:rPr>
          <w:rFonts w:hint="eastAsia" w:ascii="宋体" w:hAnsi="宋体" w:cs="宋体"/>
          <w:color w:val="auto"/>
          <w:szCs w:val="21"/>
          <w:highlight w:val="none"/>
        </w:rPr>
        <w:t>。</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kern w:val="0"/>
          <w:szCs w:val="21"/>
          <w:highlight w:val="none"/>
        </w:rPr>
        <w:t>招标人将在交易平台、广东省招标投标监管网和中国招标投标公共服务平台公示中标候选人，公示期为三天。</w:t>
      </w:r>
    </w:p>
    <w:p>
      <w:pPr>
        <w:pBdr>
          <w:bottom w:val="single" w:color="auto" w:sz="6" w:space="1"/>
        </w:pBd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kern w:val="0"/>
          <w:szCs w:val="21"/>
          <w:highlight w:val="none"/>
        </w:rPr>
        <w:t>招标人将在</w:t>
      </w:r>
      <w:r>
        <w:rPr>
          <w:rFonts w:hint="eastAsia" w:ascii="宋体" w:hAnsi="宋体" w:cs="宋体"/>
          <w:color w:val="auto"/>
          <w:szCs w:val="21"/>
          <w:highlight w:val="none"/>
          <w:u w:val="single"/>
        </w:rPr>
        <w:t>广州公共资源交易中心</w:t>
      </w:r>
      <w:r>
        <w:rPr>
          <w:rFonts w:hint="eastAsia" w:ascii="宋体" w:hAnsi="宋体" w:cs="宋体"/>
          <w:bCs/>
          <w:color w:val="auto"/>
          <w:kern w:val="0"/>
          <w:szCs w:val="21"/>
          <w:highlight w:val="none"/>
        </w:rPr>
        <w:t>交易平台、广东省招标投标监管网和中国招标投标公共服务平台公示中标候选人，公示期为三天。</w:t>
      </w:r>
      <w:r>
        <w:rPr>
          <w:rFonts w:hint="eastAsia" w:ascii="宋体" w:hAnsi="宋体" w:cs="宋体"/>
          <w:color w:val="auto"/>
          <w:szCs w:val="21"/>
          <w:highlight w:val="none"/>
          <w:u w:val="single"/>
        </w:rPr>
        <w:t>最后一日为工作日</w:t>
      </w:r>
      <w:r>
        <w:rPr>
          <w:rFonts w:hint="eastAsia" w:ascii="宋体" w:hAnsi="宋体" w:cs="宋体"/>
          <w:color w:val="auto"/>
          <w:szCs w:val="21"/>
          <w:highlight w:val="none"/>
        </w:rPr>
        <w:t>。</w:t>
      </w:r>
      <w:r>
        <w:rPr>
          <w:rFonts w:hint="eastAsia" w:ascii="宋体" w:hAnsi="宋体" w:cs="宋体"/>
          <w:b/>
          <w:bCs/>
          <w:color w:val="auto"/>
          <w:kern w:val="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kern w:val="0"/>
          <w:szCs w:val="21"/>
          <w:highlight w:val="none"/>
        </w:rPr>
        <w:t>在产生中标候选人后，招标人将中标候选人的投标文件商务部分文件的所有内容（包括</w:t>
      </w:r>
      <w:r>
        <w:rPr>
          <w:rFonts w:hint="eastAsia" w:ascii="宋体" w:hAnsi="宋体" w:cs="宋体"/>
          <w:b/>
          <w:bCs/>
          <w:color w:val="auto"/>
          <w:kern w:val="0"/>
          <w:szCs w:val="21"/>
          <w:highlight w:val="none"/>
        </w:rPr>
        <w:t>报价清单</w:t>
      </w:r>
      <w:r>
        <w:rPr>
          <w:rFonts w:hint="eastAsia" w:ascii="宋体" w:hAnsi="宋体" w:cs="宋体"/>
          <w:bCs/>
          <w:color w:val="auto"/>
          <w:kern w:val="0"/>
          <w:szCs w:val="21"/>
          <w:highlight w:val="none"/>
        </w:rPr>
        <w:t>、人员、业绩、奖项等资料）在交易平台和广东省招标投标监管网公开</w:t>
      </w:r>
      <w:r>
        <w:rPr>
          <w:rFonts w:hint="eastAsia" w:ascii="宋体" w:hAnsi="宋体" w:cs="宋体"/>
          <w:color w:val="auto"/>
          <w:szCs w:val="21"/>
          <w:highlight w:val="none"/>
        </w:rPr>
        <w:t>。</w:t>
      </w:r>
    </w:p>
    <w:p>
      <w:pPr>
        <w:pBdr>
          <w:bottom w:val="single" w:color="auto" w:sz="6" w:space="1"/>
        </w:pBdr>
        <w:spacing w:line="44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交易平台和广东省招标投标监管网公开。</w:t>
      </w:r>
      <w:r>
        <w:rPr>
          <w:rFonts w:hint="eastAsia" w:ascii="宋体" w:hAnsi="宋体" w:cs="宋体"/>
          <w:color w:val="auto"/>
          <w:szCs w:val="21"/>
          <w:highlight w:val="none"/>
          <w:u w:val="single"/>
        </w:rPr>
        <w:t>中标候选人在收到招标代理通知后需提供一份PDF格式电子文档给招标人用于中标候选人公示，PDF格式电子文档需为已覆盖个人隐私的投标文件商务部分文件（包括人员、业绩、奖项等资料），所提供的投标文件商务部分文件内容需与投标时所有内容一致，报价清单、施工方案等涉及商业秘密的内容不需要提供。</w:t>
      </w:r>
    </w:p>
    <w:p>
      <w:pPr>
        <w:spacing w:beforeLines="50"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条款号：27.5          修改类型：增加</w:t>
      </w:r>
    </w:p>
    <w:p>
      <w:pPr>
        <w:pBdr>
          <w:bottom w:val="single" w:color="auto" w:sz="6" w:space="1"/>
        </w:pBdr>
        <w:spacing w:line="44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现文：27.5</w:t>
      </w:r>
      <w:r>
        <w:rPr>
          <w:rFonts w:hint="eastAsia" w:ascii="宋体" w:hAnsi="宋体" w:cs="宋体"/>
          <w:color w:val="auto"/>
          <w:szCs w:val="21"/>
          <w:highlight w:val="none"/>
          <w:u w:val="single"/>
        </w:rPr>
        <w:t>中标单位在中标公示后，需提供与递交投标电子标书内容一致且每页加盖单位公章的纸质文件一式四份及电子文件U盘一份（不用生成投标书；包括经济标报价套价软件版、XML版和Microsoft Excel软件版及用Microsoft Word软件或广州公共资源交易中心提供的投标书制作软件制作的经济投标文件其他部分。电子文件介质使用U盘，所有电子文件不能采用压缩处理）给建设单位。</w:t>
      </w:r>
    </w:p>
    <w:p>
      <w:pPr>
        <w:spacing w:line="44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条款号：3</w:t>
      </w:r>
      <w:r>
        <w:rPr>
          <w:rFonts w:ascii="宋体" w:hAnsi="宋体" w:cs="宋体"/>
          <w:b/>
          <w:color w:val="auto"/>
          <w:szCs w:val="21"/>
          <w:highlight w:val="none"/>
        </w:rPr>
        <w:t xml:space="preserve">1.1             </w:t>
      </w:r>
      <w:r>
        <w:rPr>
          <w:rFonts w:hint="eastAsia" w:ascii="宋体" w:hAnsi="宋体" w:cs="宋体"/>
          <w:b/>
          <w:color w:val="auto"/>
          <w:szCs w:val="21"/>
          <w:highlight w:val="none"/>
        </w:rPr>
        <w:t>修改类型：增加</w:t>
      </w:r>
    </w:p>
    <w:p>
      <w:pPr>
        <w:pBdr>
          <w:bottom w:val="single" w:color="auto" w:sz="6" w:space="1"/>
        </w:pBdr>
        <w:spacing w:line="440" w:lineRule="exact"/>
        <w:ind w:firstLine="413" w:firstLineChars="196"/>
        <w:rPr>
          <w:rFonts w:ascii="宋体" w:hAnsi="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31.1、中标人应在广州公共资源交易中心交纳公共资源交易服务费，该费用包含在投标报价中，招标人不另行支付。招标代理服务费由</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人交纳，收取标准按招标人与招标代理签订的招标代理合同相关约定执行。</w:t>
      </w:r>
    </w:p>
    <w:p>
      <w:pPr>
        <w:spacing w:line="44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条款号：32</w:t>
      </w:r>
      <w:r>
        <w:rPr>
          <w:rFonts w:ascii="宋体" w:hAnsi="宋体" w:cs="宋体"/>
          <w:b/>
          <w:color w:val="auto"/>
          <w:szCs w:val="21"/>
          <w:highlight w:val="none"/>
        </w:rPr>
        <w:t>.</w:t>
      </w:r>
      <w:r>
        <w:rPr>
          <w:rFonts w:hint="eastAsia" w:ascii="宋体" w:hAnsi="宋体" w:cs="宋体"/>
          <w:b/>
          <w:color w:val="auto"/>
          <w:szCs w:val="21"/>
          <w:highlight w:val="none"/>
        </w:rPr>
        <w:t>3修改类型：修改</w:t>
      </w:r>
    </w:p>
    <w:p>
      <w:pPr>
        <w:pBdr>
          <w:bottom w:val="single" w:color="auto" w:sz="6" w:space="1"/>
        </w:pBdr>
        <w:spacing w:line="44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32.3、</w:t>
      </w:r>
      <w:r>
        <w:rPr>
          <w:rFonts w:hint="eastAsia"/>
          <w:color w:val="auto"/>
          <w:highlight w:val="none"/>
        </w:rPr>
        <w:t>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440" w:lineRule="exact"/>
        <w:ind w:firstLine="413" w:firstLineChars="196"/>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bCs/>
          <w:color w:val="auto"/>
          <w:kern w:val="0"/>
          <w:sz w:val="22"/>
          <w:highlight w:val="none"/>
        </w:rPr>
        <w:t>32.3投标人如在本项目中存在串通投标、弄虚作假</w:t>
      </w:r>
      <w:r>
        <w:rPr>
          <w:rFonts w:hint="eastAsia" w:ascii="宋体" w:hAnsi="宋体" w:cs="宋体"/>
          <w:b/>
          <w:color w:val="auto"/>
          <w:kern w:val="0"/>
          <w:sz w:val="22"/>
          <w:highlight w:val="none"/>
          <w:u w:val="single"/>
        </w:rPr>
        <w:t>骗取中标</w:t>
      </w:r>
      <w:r>
        <w:rPr>
          <w:rFonts w:hint="eastAsia" w:ascii="宋体" w:hAnsi="宋体" w:cs="宋体"/>
          <w:bCs/>
          <w:color w:val="auto"/>
          <w:kern w:val="0"/>
          <w:sz w:val="22"/>
          <w:highlight w:val="none"/>
        </w:rPr>
        <w:t>、行贿情形的，中标无效，行政监督部门将对其违法行为进行政处罚。</w:t>
      </w:r>
      <w:r>
        <w:rPr>
          <w:rFonts w:hint="eastAsia" w:ascii="宋体" w:hAnsi="宋体" w:cs="宋体"/>
          <w:b/>
          <w:color w:val="auto"/>
          <w:kern w:val="0"/>
          <w:sz w:val="22"/>
          <w:highlight w:val="none"/>
          <w:u w:val="single"/>
        </w:rPr>
        <w:t>该投标人将被招标人列入黑名单并限制其参与招标人后续项目的投标。</w:t>
      </w:r>
    </w:p>
    <w:p>
      <w:pPr>
        <w:spacing w:line="44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条款号：33</w:t>
      </w:r>
      <w:r>
        <w:rPr>
          <w:rFonts w:ascii="宋体" w:hAnsi="宋体" w:cs="宋体"/>
          <w:b/>
          <w:color w:val="auto"/>
          <w:szCs w:val="21"/>
          <w:highlight w:val="none"/>
        </w:rPr>
        <w:t xml:space="preserve">.             </w:t>
      </w:r>
      <w:r>
        <w:rPr>
          <w:rFonts w:hint="eastAsia" w:ascii="宋体" w:hAnsi="宋体" w:cs="宋体"/>
          <w:b/>
          <w:color w:val="auto"/>
          <w:szCs w:val="21"/>
          <w:highlight w:val="none"/>
        </w:rPr>
        <w:t>修改类型：删除</w:t>
      </w:r>
    </w:p>
    <w:p>
      <w:pPr>
        <w:pBdr>
          <w:bottom w:val="single" w:color="auto" w:sz="6" w:space="1"/>
        </w:pBdr>
        <w:spacing w:line="440" w:lineRule="exact"/>
        <w:ind w:firstLine="413" w:firstLineChars="196"/>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33、</w:t>
      </w:r>
      <w:r>
        <w:rPr>
          <w:rFonts w:hint="eastAsia"/>
          <w:color w:val="auto"/>
          <w:highlight w:val="none"/>
        </w:rPr>
        <w:t>投标人信誉的要求</w:t>
      </w:r>
    </w:p>
    <w:p>
      <w:pPr>
        <w:pBdr>
          <w:bottom w:val="single" w:color="auto" w:sz="6" w:space="1"/>
        </w:pBdr>
        <w:spacing w:line="440" w:lineRule="exact"/>
        <w:ind w:firstLine="411" w:firstLineChars="196"/>
        <w:rPr>
          <w:color w:val="auto"/>
          <w:highlight w:val="none"/>
        </w:rPr>
      </w:pPr>
      <w:r>
        <w:rPr>
          <w:rFonts w:hint="eastAsia"/>
          <w:color w:val="auto"/>
          <w:highlight w:val="none"/>
        </w:rPr>
        <w:t>存在下列情形之一的，招标人可以限制其投标（需在招标文件中明确评定方法）</w:t>
      </w:r>
    </w:p>
    <w:p>
      <w:pPr>
        <w:pBdr>
          <w:bottom w:val="single" w:color="auto" w:sz="6" w:space="1"/>
        </w:pBdr>
        <w:spacing w:line="440" w:lineRule="exact"/>
        <w:ind w:firstLine="411" w:firstLineChars="196"/>
        <w:rPr>
          <w:color w:val="auto"/>
          <w:highlight w:val="none"/>
        </w:rPr>
      </w:pPr>
      <w:r>
        <w:rPr>
          <w:rFonts w:hint="eastAsia"/>
          <w:color w:val="auto"/>
          <w:highlight w:val="none"/>
        </w:rPr>
        <w:t>（1）被住房城乡建设行政主管部门在全国建筑市场监管一体化工作平台列入建筑市场主体“黑名单”；</w:t>
      </w:r>
    </w:p>
    <w:p>
      <w:pPr>
        <w:pBdr>
          <w:bottom w:val="single" w:color="auto" w:sz="6" w:space="1"/>
        </w:pBdr>
        <w:spacing w:line="440" w:lineRule="exact"/>
        <w:ind w:firstLine="411" w:firstLineChars="196"/>
        <w:rPr>
          <w:rFonts w:ascii="宋体" w:hAnsi="宋体"/>
          <w:b/>
          <w:color w:val="auto"/>
          <w:szCs w:val="21"/>
          <w:highlight w:val="none"/>
        </w:rPr>
      </w:pPr>
      <w:r>
        <w:rPr>
          <w:rFonts w:hint="eastAsia"/>
          <w:color w:val="auto"/>
          <w:highlight w:val="none"/>
        </w:rPr>
        <w:t>（2）被发改委、人力资源社会保障、质检总局等有关部门、单位在“信用中国”网站中列入联合惩戒失信黑名单。</w:t>
      </w:r>
    </w:p>
    <w:p>
      <w:pPr>
        <w:spacing w:line="440" w:lineRule="exact"/>
        <w:rPr>
          <w:rFonts w:ascii="宋体" w:hAnsi="宋体"/>
          <w:b/>
          <w:color w:val="auto"/>
          <w:szCs w:val="21"/>
          <w:highlight w:val="none"/>
        </w:rPr>
      </w:pPr>
      <w:r>
        <w:rPr>
          <w:rFonts w:hint="eastAsia" w:ascii="宋体" w:hAnsi="宋体"/>
          <w:b/>
          <w:color w:val="auto"/>
          <w:szCs w:val="21"/>
          <w:highlight w:val="none"/>
        </w:rPr>
        <w:t>注：以上修改，仅限于本范本中有可供选择条款的情形。</w:t>
      </w:r>
    </w:p>
    <w:p>
      <w:pPr>
        <w:spacing w:line="440" w:lineRule="exact"/>
        <w:rPr>
          <w:rFonts w:ascii="宋体" w:hAnsi="宋体"/>
          <w:color w:val="auto"/>
          <w:szCs w:val="21"/>
          <w:highlight w:val="none"/>
        </w:rPr>
      </w:pPr>
      <w:r>
        <w:rPr>
          <w:rFonts w:hint="eastAsia" w:ascii="宋体" w:hAnsi="宋体"/>
          <w:b/>
          <w:color w:val="auto"/>
          <w:szCs w:val="21"/>
          <w:highlight w:val="none"/>
        </w:rPr>
        <w:t>（以下无正文）</w:t>
      </w:r>
    </w:p>
    <w:p>
      <w:pPr>
        <w:pStyle w:val="4"/>
        <w:ind w:firstLine="186"/>
        <w:jc w:val="center"/>
        <w:rPr>
          <w:rFonts w:ascii="宋体" w:hAnsi="宋体"/>
          <w:color w:val="auto"/>
          <w:sz w:val="21"/>
          <w:szCs w:val="21"/>
          <w:highlight w:val="none"/>
        </w:rPr>
      </w:pPr>
      <w:r>
        <w:rPr>
          <w:rFonts w:ascii="宋体" w:hAnsi="宋体"/>
          <w:color w:val="auto"/>
          <w:sz w:val="21"/>
          <w:szCs w:val="21"/>
          <w:highlight w:val="none"/>
        </w:rPr>
        <w:br w:type="page"/>
      </w:r>
      <w:bookmarkStart w:id="6" w:name="_Toc21525492"/>
      <w:bookmarkStart w:id="7" w:name="_Toc2272548"/>
      <w:bookmarkStart w:id="8" w:name="_Toc3538"/>
      <w:r>
        <w:rPr>
          <w:rFonts w:hint="eastAsia" w:ascii="宋体" w:hAnsi="宋体"/>
          <w:color w:val="auto"/>
          <w:sz w:val="21"/>
          <w:szCs w:val="21"/>
          <w:highlight w:val="none"/>
        </w:rPr>
        <w:t>三、投标须知通用条款</w:t>
      </w:r>
      <w:bookmarkEnd w:id="6"/>
      <w:bookmarkEnd w:id="7"/>
      <w:bookmarkEnd w:id="8"/>
    </w:p>
    <w:p>
      <w:pPr>
        <w:pStyle w:val="6"/>
        <w:spacing w:before="156" w:after="156"/>
        <w:rPr>
          <w:color w:val="auto"/>
          <w:sz w:val="21"/>
          <w:szCs w:val="21"/>
          <w:highlight w:val="none"/>
        </w:rPr>
      </w:pPr>
      <w:bookmarkStart w:id="9" w:name="_Toc28957"/>
      <w:bookmarkStart w:id="10" w:name="_Toc2272549"/>
      <w:bookmarkStart w:id="11" w:name="_Toc21525493"/>
      <w:r>
        <w:rPr>
          <w:rFonts w:hint="eastAsia"/>
          <w:color w:val="auto"/>
          <w:sz w:val="21"/>
          <w:szCs w:val="21"/>
          <w:highlight w:val="none"/>
        </w:rPr>
        <w:t>（一）总则</w:t>
      </w:r>
      <w:bookmarkEnd w:id="9"/>
      <w:bookmarkEnd w:id="10"/>
      <w:bookmarkEnd w:id="11"/>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1、定义</w:t>
      </w:r>
    </w:p>
    <w:p>
      <w:pPr>
        <w:pStyle w:val="36"/>
        <w:spacing w:after="0" w:line="360" w:lineRule="auto"/>
        <w:ind w:firstLineChars="200"/>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本招标文件使用的下列词语具有如下规定的意义：</w:t>
      </w:r>
    </w:p>
    <w:p>
      <w:pPr>
        <w:pStyle w:val="36"/>
        <w:spacing w:after="0" w:line="360" w:lineRule="auto"/>
        <w:ind w:firstLineChars="200"/>
        <w:rPr>
          <w:rFonts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（1）“招标人”（即发包人）、“项目建设管理单位”（或称“项目代建单位”）、“招标代理”、“设计单位”、“监理单位”均已在投标须知前附表中列明。</w:t>
      </w:r>
    </w:p>
    <w:p>
      <w:pPr>
        <w:pStyle w:val="36"/>
        <w:spacing w:after="0" w:line="360" w:lineRule="auto"/>
        <w:ind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（2）“投标人”指向招标人提交投标文件的当事人。</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（3）“承包人”指其投标被招标人接受并与其签订承包合同的当事人。</w:t>
      </w:r>
    </w:p>
    <w:p>
      <w:pPr>
        <w:pStyle w:val="36"/>
        <w:spacing w:after="0" w:line="360" w:lineRule="auto"/>
        <w:ind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（4）“招标文件”指由招标代理发出的本文件（包括全部章节、附件）及招标答疑会会议纪要和</w:t>
      </w:r>
      <w:r>
        <w:rPr>
          <w:rFonts w:hint="eastAsia" w:ascii="宋体" w:hAnsi="宋体" w:eastAsia="宋体" w:cs="宋体"/>
          <w:bCs/>
          <w:color w:val="auto"/>
          <w:sz w:val="21"/>
          <w:szCs w:val="21"/>
          <w:highlight w:val="none"/>
        </w:rPr>
        <w:t>招标文件的澄清与修改</w:t>
      </w:r>
      <w:r>
        <w:rPr>
          <w:rFonts w:hint="eastAsia" w:ascii="宋体" w:hAnsi="宋体" w:eastAsia="宋体" w:cs="宋体"/>
          <w:color w:val="auto"/>
          <w:sz w:val="21"/>
          <w:szCs w:val="21"/>
          <w:highlight w:val="none"/>
        </w:rPr>
        <w:t>文件。</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（5）“投标文件”指投标人根据本项目招标文件向招标人提交的全部文件。</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（6）“书面形式”指打字或印刷的文件和数据电文（包括电报、电传、传真、电子数据交换和电子邮件）。</w:t>
      </w:r>
    </w:p>
    <w:p>
      <w:pPr>
        <w:spacing w:line="360" w:lineRule="auto"/>
        <w:ind w:firstLine="422" w:firstLineChars="20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、招标说明</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2.1</w:t>
      </w:r>
      <w:r>
        <w:rPr>
          <w:rFonts w:hint="eastAsia" w:ascii="宋体" w:hAnsi="宋体"/>
          <w:bCs/>
          <w:color w:val="auto"/>
          <w:szCs w:val="21"/>
          <w:highlight w:val="none"/>
        </w:rPr>
        <w:t>本招标工程项目按照《中华人民共和国招标投标法》等有关法律、行政法规、规章和规范性文件，通过招标方式选定承包人。</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2.2</w:t>
      </w:r>
      <w:r>
        <w:rPr>
          <w:rFonts w:hint="eastAsia" w:ascii="宋体" w:hAnsi="宋体"/>
          <w:bCs/>
          <w:color w:val="auto"/>
          <w:szCs w:val="21"/>
          <w:highlight w:val="none"/>
        </w:rPr>
        <w:t>工程名称、建设地点、建设规模、承包方式、质量标准、招标范围、工期要求等均在投标须知前附表中列明。</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2.3</w:t>
      </w:r>
      <w:r>
        <w:rPr>
          <w:rFonts w:hint="eastAsia" w:ascii="宋体" w:hAnsi="宋体"/>
          <w:bCs/>
          <w:color w:val="auto"/>
          <w:szCs w:val="21"/>
          <w:highlight w:val="none"/>
        </w:rPr>
        <w:t>设计说明：详见招标图纸。</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2.4</w:t>
      </w:r>
      <w:r>
        <w:rPr>
          <w:rFonts w:hint="eastAsia" w:ascii="宋体" w:hAnsi="宋体"/>
          <w:bCs/>
          <w:color w:val="auto"/>
          <w:szCs w:val="21"/>
          <w:highlight w:val="none"/>
        </w:rPr>
        <w:t>工程施工特点：详见招标图纸。</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．资金来源</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3.1</w:t>
      </w:r>
      <w:r>
        <w:rPr>
          <w:rFonts w:hint="eastAsia" w:ascii="宋体" w:hAnsi="宋体"/>
          <w:bCs/>
          <w:color w:val="auto"/>
          <w:szCs w:val="21"/>
          <w:highlight w:val="none"/>
        </w:rPr>
        <w:t>本招标工程项目资金来源见投标须知前附表第</w:t>
      </w:r>
      <w:r>
        <w:rPr>
          <w:rFonts w:ascii="宋体" w:hAnsi="宋体"/>
          <w:bCs/>
          <w:color w:val="auto"/>
          <w:szCs w:val="21"/>
          <w:highlight w:val="none"/>
        </w:rPr>
        <w:t>9</w:t>
      </w:r>
      <w:r>
        <w:rPr>
          <w:rFonts w:hint="eastAsia" w:ascii="宋体" w:hAnsi="宋体"/>
          <w:bCs/>
          <w:color w:val="auto"/>
          <w:szCs w:val="21"/>
          <w:highlight w:val="none"/>
        </w:rPr>
        <w:t>项</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．合格投标人的条件</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4.1</w:t>
      </w:r>
      <w:r>
        <w:rPr>
          <w:rFonts w:hint="eastAsia" w:ascii="宋体" w:hAnsi="宋体"/>
          <w:bCs/>
          <w:color w:val="auto"/>
          <w:szCs w:val="21"/>
          <w:highlight w:val="none"/>
        </w:rPr>
        <w:t>详见本项目招标公告</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．踏勘现场</w:t>
      </w:r>
    </w:p>
    <w:p>
      <w:pPr>
        <w:spacing w:line="360" w:lineRule="auto"/>
        <w:ind w:firstLine="420" w:firstLineChars="200"/>
        <w:rPr>
          <w:rFonts w:ascii="宋体" w:hAnsi="宋体"/>
          <w:bCs/>
          <w:color w:val="auto"/>
          <w:szCs w:val="21"/>
          <w:highlight w:val="none"/>
          <w:u w:val="single"/>
        </w:rPr>
      </w:pPr>
      <w:r>
        <w:rPr>
          <w:rFonts w:ascii="宋体" w:hAnsi="宋体"/>
          <w:bCs/>
          <w:color w:val="auto"/>
          <w:szCs w:val="21"/>
          <w:highlight w:val="none"/>
        </w:rPr>
        <w:t xml:space="preserve">5.1 </w:t>
      </w:r>
      <w:r>
        <w:rPr>
          <w:rFonts w:hint="eastAsia" w:ascii="宋体" w:hAnsi="宋体"/>
          <w:bCs/>
          <w:color w:val="auto"/>
          <w:szCs w:val="21"/>
          <w:highlight w:val="none"/>
        </w:rPr>
        <w:t>投标人应按本投标须知前附表第</w:t>
      </w:r>
      <w:r>
        <w:rPr>
          <w:rFonts w:ascii="宋体" w:hAnsi="宋体"/>
          <w:bCs/>
          <w:color w:val="auto"/>
          <w:szCs w:val="21"/>
          <w:highlight w:val="none"/>
        </w:rPr>
        <w:t>15</w:t>
      </w:r>
      <w:r>
        <w:rPr>
          <w:rFonts w:hint="eastAsia" w:ascii="宋体" w:hAnsi="宋体"/>
          <w:bCs/>
          <w:color w:val="auto"/>
          <w:szCs w:val="21"/>
          <w:highlight w:val="none"/>
        </w:rPr>
        <w:t>项所述时间和要求对工程现场及周围环境进行踏勘，</w:t>
      </w:r>
      <w:r>
        <w:rPr>
          <w:rFonts w:hint="eastAsia" w:ascii="宋体" w:hAnsi="宋体"/>
          <w:color w:val="auto"/>
          <w:szCs w:val="21"/>
          <w:highlight w:val="none"/>
        </w:rPr>
        <w:t>投标人应充分重视和仔细地进行这种考察，</w:t>
      </w:r>
      <w:r>
        <w:rPr>
          <w:rFonts w:hint="eastAsia" w:ascii="宋体" w:hAnsi="宋体"/>
          <w:bCs/>
          <w:color w:val="auto"/>
          <w:szCs w:val="21"/>
          <w:highlight w:val="none"/>
        </w:rPr>
        <w:t>以便投标人获取</w:t>
      </w:r>
      <w:r>
        <w:rPr>
          <w:rFonts w:hint="eastAsia" w:ascii="宋体" w:hAnsi="宋体"/>
          <w:color w:val="auto"/>
          <w:szCs w:val="21"/>
          <w:highlight w:val="none"/>
        </w:rPr>
        <w:t>那些须投标人自己负责的</w:t>
      </w:r>
      <w:r>
        <w:rPr>
          <w:rFonts w:hint="eastAsia" w:ascii="宋体" w:hAnsi="宋体"/>
          <w:bCs/>
          <w:color w:val="auto"/>
          <w:szCs w:val="21"/>
          <w:highlight w:val="none"/>
        </w:rPr>
        <w:t>有关编制投标文件和签署合同所涉及现场所有的资料。</w:t>
      </w:r>
      <w:r>
        <w:rPr>
          <w:rFonts w:hint="eastAsia" w:ascii="宋体" w:hAnsi="宋体"/>
          <w:color w:val="auto"/>
          <w:szCs w:val="21"/>
          <w:highlight w:val="none"/>
        </w:rPr>
        <w:t>一旦中标，这种考察即被认为其结果已在中标文件中得到充分反映。考察现场的费用由投标人自己承担。</w:t>
      </w:r>
    </w:p>
    <w:p>
      <w:pPr>
        <w:tabs>
          <w:tab w:val="left" w:pos="105"/>
        </w:tabs>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5.2 </w:t>
      </w:r>
      <w:r>
        <w:rPr>
          <w:rFonts w:hint="eastAsia" w:ascii="宋体" w:hAnsi="宋体"/>
          <w:bCs/>
          <w:color w:val="auto"/>
          <w:szCs w:val="21"/>
          <w:highlight w:val="none"/>
        </w:rPr>
        <w:t>招标人向投标人提供的有关现场的数据和资料，是招标人现有的能被投标人利用的资料，招标人对投标人做出的任何推论、理解和结论均不负责任。</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5.3 </w:t>
      </w:r>
      <w:r>
        <w:rPr>
          <w:rFonts w:hint="eastAsia" w:ascii="宋体" w:hAnsi="宋体"/>
          <w:bCs/>
          <w:color w:val="auto"/>
          <w:szCs w:val="21"/>
          <w:highlight w:val="none"/>
        </w:rPr>
        <w:t>经招标人允许，投标人可为踏勘目的进入招标人的项目现场。</w:t>
      </w:r>
      <w:r>
        <w:rPr>
          <w:rFonts w:hint="eastAsia" w:ascii="宋体" w:hAnsi="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Cs w:val="21"/>
          <w:highlight w:val="none"/>
        </w:rPr>
        <w:t>投标人不得因此使招标人承担有关的责任和蒙受损失。</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6</w:t>
      </w:r>
      <w:r>
        <w:rPr>
          <w:rFonts w:hint="eastAsia" w:ascii="宋体" w:hAnsi="宋体"/>
          <w:b/>
          <w:color w:val="auto"/>
          <w:szCs w:val="21"/>
          <w:highlight w:val="none"/>
        </w:rPr>
        <w:t>．投标费用</w:t>
      </w:r>
    </w:p>
    <w:p>
      <w:pPr>
        <w:tabs>
          <w:tab w:val="left" w:pos="105"/>
        </w:tabs>
        <w:spacing w:line="360" w:lineRule="auto"/>
        <w:ind w:firstLine="420" w:firstLineChars="200"/>
        <w:rPr>
          <w:rFonts w:ascii="宋体" w:hAnsi="宋体"/>
          <w:bCs/>
          <w:color w:val="auto"/>
          <w:szCs w:val="21"/>
          <w:highlight w:val="none"/>
        </w:rPr>
      </w:pPr>
      <w:r>
        <w:rPr>
          <w:rFonts w:ascii="宋体" w:hAnsi="宋体"/>
          <w:bCs/>
          <w:color w:val="auto"/>
          <w:szCs w:val="21"/>
          <w:highlight w:val="none"/>
        </w:rPr>
        <w:t>6.1</w:t>
      </w:r>
      <w:r>
        <w:rPr>
          <w:rFonts w:hint="eastAsia" w:ascii="宋体" w:hAnsi="宋体"/>
          <w:color w:val="auto"/>
          <w:szCs w:val="21"/>
          <w:highlight w:val="none"/>
        </w:rPr>
        <w:t>不论投标结果如何，投标人应承担</w:t>
      </w:r>
      <w:r>
        <w:rPr>
          <w:rFonts w:hint="eastAsia" w:ascii="宋体" w:hAnsi="宋体"/>
          <w:bCs/>
          <w:color w:val="auto"/>
          <w:szCs w:val="21"/>
          <w:highlight w:val="none"/>
        </w:rPr>
        <w:t>自身</w:t>
      </w:r>
      <w:r>
        <w:rPr>
          <w:rFonts w:hint="eastAsia" w:ascii="宋体" w:hAnsi="宋体"/>
          <w:color w:val="auto"/>
          <w:szCs w:val="21"/>
          <w:highlight w:val="none"/>
        </w:rPr>
        <w:t>因投标文件编制、递交及其他</w:t>
      </w:r>
      <w:r>
        <w:rPr>
          <w:rFonts w:hint="eastAsia" w:ascii="宋体" w:hAnsi="宋体"/>
          <w:bCs/>
          <w:color w:val="auto"/>
          <w:szCs w:val="21"/>
          <w:highlight w:val="none"/>
        </w:rPr>
        <w:t>参加本招标活动</w:t>
      </w:r>
      <w:r>
        <w:rPr>
          <w:rFonts w:hint="eastAsia" w:ascii="宋体" w:hAnsi="宋体"/>
          <w:color w:val="auto"/>
          <w:szCs w:val="21"/>
          <w:highlight w:val="none"/>
        </w:rPr>
        <w:t>所涉及的一切费用，招标人对上述费用不负任何责任。</w:t>
      </w:r>
    </w:p>
    <w:p>
      <w:pPr>
        <w:pStyle w:val="6"/>
        <w:spacing w:before="156" w:after="156"/>
        <w:rPr>
          <w:color w:val="auto"/>
          <w:sz w:val="21"/>
          <w:szCs w:val="21"/>
          <w:highlight w:val="none"/>
        </w:rPr>
      </w:pPr>
      <w:bookmarkStart w:id="12" w:name="_Toc614"/>
      <w:bookmarkStart w:id="13" w:name="_Toc21525494"/>
      <w:bookmarkStart w:id="14" w:name="_Toc2272550"/>
      <w:r>
        <w:rPr>
          <w:rFonts w:hint="eastAsia"/>
          <w:color w:val="auto"/>
          <w:sz w:val="21"/>
          <w:szCs w:val="21"/>
          <w:highlight w:val="none"/>
        </w:rPr>
        <w:t>（二）招标文件</w:t>
      </w:r>
      <w:bookmarkEnd w:id="12"/>
      <w:bookmarkEnd w:id="13"/>
      <w:bookmarkEnd w:id="14"/>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7.</w:t>
      </w:r>
      <w:r>
        <w:rPr>
          <w:rFonts w:hint="eastAsia" w:ascii="宋体" w:hAnsi="宋体"/>
          <w:b/>
          <w:color w:val="auto"/>
          <w:szCs w:val="21"/>
          <w:highlight w:val="none"/>
        </w:rPr>
        <w:t>招标文件的组成</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7.1</w:t>
      </w:r>
      <w:r>
        <w:rPr>
          <w:rFonts w:hint="eastAsia" w:ascii="宋体" w:hAnsi="宋体"/>
          <w:color w:val="auto"/>
          <w:szCs w:val="21"/>
          <w:highlight w:val="none"/>
        </w:rPr>
        <w:t>本招标文件包括下列文件，以及所有按本须知第</w:t>
      </w:r>
      <w:r>
        <w:rPr>
          <w:rFonts w:ascii="宋体" w:hAnsi="宋体"/>
          <w:color w:val="auto"/>
          <w:szCs w:val="21"/>
          <w:highlight w:val="none"/>
        </w:rPr>
        <w:t>8</w:t>
      </w:r>
      <w:r>
        <w:rPr>
          <w:rFonts w:hint="eastAsia" w:ascii="宋体" w:hAnsi="宋体"/>
          <w:color w:val="auto"/>
          <w:szCs w:val="21"/>
          <w:highlight w:val="none"/>
        </w:rPr>
        <w:t>条发出的招标答疑会会议纪要和按本须知第</w:t>
      </w:r>
      <w:r>
        <w:rPr>
          <w:rFonts w:ascii="宋体" w:hAnsi="宋体"/>
          <w:color w:val="auto"/>
          <w:szCs w:val="21"/>
          <w:highlight w:val="none"/>
        </w:rPr>
        <w:t>9</w:t>
      </w:r>
      <w:r>
        <w:rPr>
          <w:rFonts w:hint="eastAsia" w:ascii="宋体" w:hAnsi="宋体"/>
          <w:color w:val="auto"/>
          <w:szCs w:val="21"/>
          <w:highlight w:val="none"/>
        </w:rPr>
        <w:t>条发出的澄清或修改：</w:t>
      </w:r>
    </w:p>
    <w:p>
      <w:pPr>
        <w:pStyle w:val="36"/>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第一章</w:t>
      </w:r>
      <w:r>
        <w:rPr>
          <w:rFonts w:hint="eastAsia" w:ascii="宋体" w:hAnsi="宋体" w:eastAsia="宋体" w:cs="宋体"/>
          <w:color w:val="auto"/>
          <w:sz w:val="21"/>
          <w:szCs w:val="21"/>
          <w:highlight w:val="none"/>
        </w:rPr>
        <w:t>投标须知</w:t>
      </w:r>
    </w:p>
    <w:p>
      <w:pPr>
        <w:pStyle w:val="36"/>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第二章</w:t>
      </w:r>
      <w:r>
        <w:rPr>
          <w:rFonts w:hint="eastAsia" w:ascii="宋体" w:hAnsi="宋体" w:eastAsia="宋体" w:cs="宋体"/>
          <w:color w:val="auto"/>
          <w:sz w:val="21"/>
          <w:szCs w:val="21"/>
          <w:highlight w:val="none"/>
        </w:rPr>
        <w:t>开标、评标及定标办法</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第三章合同条款</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第四章</w:t>
      </w:r>
      <w:r>
        <w:rPr>
          <w:rFonts w:hint="eastAsia" w:ascii="宋体" w:hAnsi="宋体" w:eastAsia="宋体" w:cs="宋体"/>
          <w:color w:val="auto"/>
          <w:sz w:val="21"/>
          <w:szCs w:val="21"/>
          <w:highlight w:val="none"/>
        </w:rPr>
        <w:t>投标文件格式</w:t>
      </w:r>
    </w:p>
    <w:p>
      <w:pPr>
        <w:pStyle w:val="36"/>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第五章</w:t>
      </w:r>
      <w:r>
        <w:rPr>
          <w:rFonts w:hint="eastAsia" w:ascii="宋体" w:hAnsi="宋体" w:eastAsia="宋体" w:cs="宋体"/>
          <w:color w:val="auto"/>
          <w:sz w:val="21"/>
          <w:szCs w:val="21"/>
          <w:highlight w:val="none"/>
        </w:rPr>
        <w:t>技术条件（工程建设标准）</w:t>
      </w:r>
    </w:p>
    <w:p>
      <w:pPr>
        <w:pStyle w:val="36"/>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第六章</w:t>
      </w:r>
      <w:r>
        <w:rPr>
          <w:rFonts w:hint="eastAsia" w:ascii="宋体" w:hAnsi="宋体" w:eastAsia="宋体" w:cs="宋体"/>
          <w:color w:val="auto"/>
          <w:sz w:val="21"/>
          <w:szCs w:val="21"/>
          <w:highlight w:val="none"/>
        </w:rPr>
        <w:t>图纸及勘察资料（另册）</w:t>
      </w:r>
    </w:p>
    <w:p>
      <w:pPr>
        <w:pStyle w:val="36"/>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第七章招标</w:t>
      </w:r>
      <w:r>
        <w:rPr>
          <w:rFonts w:hint="eastAsia" w:ascii="宋体" w:hAnsi="宋体" w:eastAsia="宋体" w:cs="宋体"/>
          <w:color w:val="auto"/>
          <w:sz w:val="21"/>
          <w:szCs w:val="21"/>
          <w:highlight w:val="none"/>
        </w:rPr>
        <w:t>工程量清单（另册）</w:t>
      </w:r>
    </w:p>
    <w:p>
      <w:pPr>
        <w:pStyle w:val="36"/>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第八章最高投标限价</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7.3 投标人一旦中标，招标文件的内容对招标人和中标人双方均有约束力。</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8．招标答疑</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8.1 投标人若对招标文件（包括招标图纸）中有疑问，可以书面形式通过交易平台提交给招标人或招标代理人，提交形式见本须知前附表第16项。</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8.2招标答疑会会议纪要将在提交投标文件截止时间15日前在交易平台 “项目答疑纪要”专区公开发布。答疑纪要一经在交易平台发布，视作已发放给所有投标人。</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8.3答疑会会议纪要为招标文件的一部分。</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8.4若招标答疑会会议纪要与招标文件有矛盾，以答疑会议纪要最后发出的书面形式的文件为准。</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9.招标文件的澄清与修改</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9.1招标文件发出后,在提交投标文件截止时间15日前，招标人可对招标文件进行必要的澄清或修改。</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9.2招标文件的澄清或修改将在交易平台“项目答疑纪要”专区公开发布。答疑纪要一经在交易平台发布，视作已发放给所有投标人，以交易平台上网发布时间作为送达时间。</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9.3招标文件的修改内容为招标文件的组成部分。</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rFonts w:cs="宋体"/>
          <w:color w:val="auto"/>
          <w:sz w:val="21"/>
          <w:szCs w:val="21"/>
          <w:highlight w:val="none"/>
        </w:rPr>
      </w:pPr>
      <w:bookmarkStart w:id="15" w:name="_Toc2272551"/>
      <w:bookmarkStart w:id="16" w:name="_Toc11646"/>
      <w:bookmarkStart w:id="17" w:name="_Toc21525495"/>
      <w:r>
        <w:rPr>
          <w:rFonts w:hint="eastAsia" w:cs="宋体"/>
          <w:color w:val="auto"/>
          <w:sz w:val="21"/>
          <w:szCs w:val="21"/>
          <w:highlight w:val="none"/>
        </w:rPr>
        <w:t>（三）投标文件的编制</w:t>
      </w:r>
      <w:bookmarkEnd w:id="15"/>
      <w:bookmarkEnd w:id="16"/>
      <w:bookmarkEnd w:id="17"/>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10．投标文件的语言及度量衡单位</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10.1 投标文件和与投标有关的所有文件均应使用中文。</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10.2 除工程规范另有规定外，投标文件使用的度量衡单位，均采用中华人民共和国法定计量单位。</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11．投标文件的组成</w:t>
      </w:r>
    </w:p>
    <w:p>
      <w:pPr>
        <w:pStyle w:val="36"/>
        <w:spacing w:after="0" w:line="360" w:lineRule="auto"/>
        <w:ind w:firstLineChars="200"/>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11.1 投标文件由技术部分（含资格审查文件）和经济部分两部分投标文件组成</w:t>
      </w:r>
      <w:r>
        <w:rPr>
          <w:rFonts w:hint="eastAsia" w:ascii="宋体" w:hAnsi="宋体" w:eastAsia="宋体" w:cs="宋体"/>
          <w:b/>
          <w:color w:val="auto"/>
          <w:sz w:val="21"/>
          <w:szCs w:val="21"/>
          <w:highlight w:val="none"/>
        </w:rPr>
        <w:t>。</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11.2</w:t>
      </w:r>
      <w:r>
        <w:rPr>
          <w:rFonts w:hint="eastAsia" w:ascii="宋体" w:hAnsi="宋体"/>
          <w:bCs/>
          <w:color w:val="auto"/>
          <w:szCs w:val="21"/>
          <w:highlight w:val="none"/>
        </w:rPr>
        <w:t>投标文件技术标部分主要包括下列内容</w:t>
      </w:r>
      <w:r>
        <w:rPr>
          <w:rFonts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11.2.1 技术投标文件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11.2.2 资格审查文件：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（1）投标人声明；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（3）企业营业执照（取自平台内上传件）；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（4）企业资质证书（取自平台内上传件）；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（5）建筑施工企业安全生产许可证（取自平台内上传件）；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（6）项目负责人（按网上投标登记时选择拟投标的项目负责人）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（7）专职安全员（按网上投标登记时选择拟投标的专职安全员）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（9）拟委派项目负责人的建造师注册证书或小型项目负责人相关证明（取自平台内上传件）；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w:t>
      </w:r>
      <w:r>
        <w:rPr>
          <w:rFonts w:hint="eastAsia" w:ascii="宋体" w:hAnsi="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项目管理机构配备。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）投标人应列出该项目工程的施工组织机构构成和画出机构框架图及其负责人；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）其他辅助说明资料。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11.2.4</w:t>
      </w:r>
      <w:r>
        <w:rPr>
          <w:rFonts w:hint="eastAsia" w:ascii="宋体" w:hAnsi="宋体"/>
          <w:color w:val="auto"/>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11.2.5</w:t>
      </w:r>
      <w:r>
        <w:rPr>
          <w:rFonts w:hint="eastAsia" w:ascii="宋体" w:hAnsi="宋体"/>
          <w:color w:val="auto"/>
          <w:szCs w:val="21"/>
          <w:highlight w:val="none"/>
        </w:rPr>
        <w:t>施工组织设计或施工方案。</w:t>
      </w:r>
    </w:p>
    <w:p>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6按照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填写的《参与编制技术标投标文件人员名单》。</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11.3 </w:t>
      </w:r>
      <w:r>
        <w:rPr>
          <w:rFonts w:hint="eastAsia" w:ascii="宋体" w:hAnsi="宋体"/>
          <w:bCs/>
          <w:color w:val="auto"/>
          <w:szCs w:val="21"/>
          <w:highlight w:val="none"/>
        </w:rPr>
        <w:t>经济部分投标文件主要包括下列内容：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11.3.1 </w:t>
      </w:r>
      <w:r>
        <w:rPr>
          <w:rFonts w:hint="eastAsia" w:ascii="宋体" w:hAnsi="宋体"/>
          <w:color w:val="auto"/>
          <w:szCs w:val="21"/>
          <w:highlight w:val="none"/>
        </w:rPr>
        <w:t>经济投标文件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11.3.2</w:t>
      </w:r>
      <w:r>
        <w:rPr>
          <w:rFonts w:hint="eastAsia" w:ascii="宋体" w:hAnsi="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）投标总价封面、扉页；</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）总说明</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（3）工程项目投标报价汇总表；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（4）单项工程投标报价汇总表；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（5）单位工程投标报价汇总表；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（6）分部分项工程清单与计价表；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（7）单价措施项目清单与计价表；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（8）总价措施项目清单与计价表；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（9）综合单价分析表；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（10）其他项目清单与计价汇总表；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（11）暂列金额明细表；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（12）材料（工程设备）暂估价明细表；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（13）专业工程暂估价明细表；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（14）计日工表；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（15）总承包服务计价表；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（16）规费和税金项目计价表；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（17）人工、主要材料和设备一览表</w:t>
      </w:r>
    </w:p>
    <w:p>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3按照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填写的《参与编制经济标投标文件人员名单》。</w:t>
      </w:r>
    </w:p>
    <w:p>
      <w:pPr>
        <w:tabs>
          <w:tab w:val="left" w:pos="112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12．投标文件格式</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12.1 投标文件包括本须知第11条中规定的内容，投标人提交的投标文件应当使用招标文件所提供的投标文件全部格式（表格可以按同样格式扩展）。</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12.3 </w:t>
      </w:r>
      <w:r>
        <w:rPr>
          <w:rFonts w:hint="eastAsia" w:ascii="宋体" w:hAnsi="宋体" w:eastAsia="宋体" w:cs="宋体"/>
          <w:bCs/>
          <w:color w:val="auto"/>
          <w:sz w:val="21"/>
          <w:szCs w:val="21"/>
          <w:highlight w:val="none"/>
        </w:rPr>
        <w:t>投标文件应按</w:t>
      </w:r>
      <w:r>
        <w:rPr>
          <w:rFonts w:hint="eastAsia" w:ascii="宋体" w:hAnsi="宋体" w:eastAsia="宋体" w:cs="宋体"/>
          <w:color w:val="auto"/>
          <w:sz w:val="21"/>
          <w:szCs w:val="21"/>
          <w:highlight w:val="none"/>
        </w:rPr>
        <w:t xml:space="preserve">照交易平台关于全流程电子化项目的相关指南进行编制，详见：。               </w:t>
      </w:r>
    </w:p>
    <w:p>
      <w:pPr>
        <w:pStyle w:val="36"/>
        <w:spacing w:after="0" w:line="360" w:lineRule="auto"/>
        <w:ind w:firstLine="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如不按上述要求编制引起系统无法检索、读取相关信息的，其后果由投标人承担。</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13．投标报价及造价承包和变更结算方式</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 本工程的投标报价采用投标须知前附表第12项所规定的方式。投标报价（含单价及总价）精确到“分”。</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13.5.1中标的投标文件工程量清单中已有相同项目的适用综合单价，则沿用；</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13.5.4 如相关定额没有相应子目的，其计价方式由招标人在本招标文件第三章中另行规定。未规定的，中标后双方协商约定。</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13.6暂列金额、暂估价</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暂估价是指招标人在工程量清单中提供的用于支付必然发生但暂时不能确定价格的材料的单价以及专业工程的金额。</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14．投标货币</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14.1 本工程投标报价采用的币种为人民币。</w:t>
      </w:r>
    </w:p>
    <w:p>
      <w:pPr>
        <w:pStyle w:val="36"/>
        <w:spacing w:after="0" w:line="360" w:lineRule="auto"/>
        <w:ind w:firstLine="422" w:firstLineChars="200"/>
        <w:rPr>
          <w:rFonts w:ascii="宋体" w:hAnsi="宋体" w:eastAsia="宋体"/>
          <w:color w:val="auto"/>
          <w:sz w:val="21"/>
          <w:szCs w:val="21"/>
          <w:highlight w:val="none"/>
        </w:rPr>
      </w:pPr>
      <w:r>
        <w:rPr>
          <w:rFonts w:ascii="宋体" w:hAnsi="宋体" w:eastAsia="宋体"/>
          <w:b/>
          <w:bCs/>
          <w:color w:val="auto"/>
          <w:sz w:val="21"/>
          <w:szCs w:val="21"/>
          <w:highlight w:val="none"/>
        </w:rPr>
        <w:t>15</w:t>
      </w:r>
      <w:r>
        <w:rPr>
          <w:rFonts w:hint="eastAsia" w:ascii="宋体" w:hAnsi="宋体" w:eastAsia="宋体"/>
          <w:b/>
          <w:bCs/>
          <w:color w:val="auto"/>
          <w:sz w:val="21"/>
          <w:szCs w:val="21"/>
          <w:highlight w:val="none"/>
        </w:rPr>
        <w:t>．投标有效期</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15.1 投标有效期见投标须知前附表第13项所规定的期限，在此期限内，凡符合本招标文件要求的投标文件均保持有效。</w:t>
      </w:r>
    </w:p>
    <w:p>
      <w:pPr>
        <w:pStyle w:val="36"/>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16．投标保证金</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16.1</w:t>
      </w:r>
      <w:r>
        <w:rPr>
          <w:rFonts w:hint="eastAsia" w:ascii="宋体" w:hAnsi="宋体"/>
          <w:color w:val="auto"/>
          <w:szCs w:val="21"/>
          <w:highlight w:val="none"/>
        </w:rPr>
        <w:t>投标人应按投标须知前附表第</w:t>
      </w:r>
      <w:r>
        <w:rPr>
          <w:rFonts w:ascii="宋体" w:hAnsi="宋体"/>
          <w:color w:val="auto"/>
          <w:szCs w:val="21"/>
          <w:highlight w:val="none"/>
        </w:rPr>
        <w:t>14</w:t>
      </w:r>
      <w:r>
        <w:rPr>
          <w:rFonts w:hint="eastAsia" w:ascii="宋体" w:hAnsi="宋体"/>
          <w:color w:val="auto"/>
          <w:szCs w:val="21"/>
          <w:highlight w:val="none"/>
        </w:rPr>
        <w:t>项所述金额和时间递交</w:t>
      </w:r>
      <w:r>
        <w:rPr>
          <w:rFonts w:hint="eastAsia" w:ascii="宋体" w:hAnsi="宋体"/>
          <w:bCs/>
          <w:color w:val="auto"/>
          <w:szCs w:val="21"/>
          <w:highlight w:val="none"/>
        </w:rPr>
        <w:t>投标保证金</w:t>
      </w:r>
      <w:r>
        <w:rPr>
          <w:rFonts w:hint="eastAsia" w:ascii="宋体" w:hAnsi="宋体"/>
          <w:color w:val="auto"/>
          <w:szCs w:val="21"/>
          <w:highlight w:val="none"/>
        </w:rPr>
        <w:t>。招标人应当允许投标人自主选择现金、银行保函、保证保险、专业工程担保公司担保等方式缴纳投标保证金。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 采用现金或者支票形式提交的，投标保证金须从投标人的银行基本账户转出。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 采用电子形式的保函、担保或保证保险提交投标保证金的，应在招标文件中明确电子递交途径。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16.4.1因投标人原因造成投标文件未解密的；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16.4.2投标人在投标有效期内撤销投标文件；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16.4.4中标人未能在规定期限内签署合同协议。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注：16.5.3款由招标人二选一，需在招标文件中明确。</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17．投标文件的签署</w:t>
      </w:r>
    </w:p>
    <w:p>
      <w:pPr>
        <w:pBdr>
          <w:bottom w:val="single" w:color="auto" w:sz="6" w:space="1"/>
        </w:pBdr>
        <w:spacing w:line="360" w:lineRule="auto"/>
        <w:ind w:firstLine="420" w:firstLineChars="200"/>
        <w:rPr>
          <w:rFonts w:hint="eastAsia" w:ascii="宋体" w:hAnsi="宋体" w:cs="宋体"/>
          <w:color w:val="auto"/>
          <w:szCs w:val="21"/>
          <w:highlight w:val="none"/>
        </w:rPr>
      </w:pPr>
      <w:bookmarkStart w:id="18" w:name="_Toc7691"/>
      <w:bookmarkStart w:id="19" w:name="_Toc21525496"/>
      <w:bookmarkStart w:id="20" w:name="_Toc2272552"/>
      <w:r>
        <w:rPr>
          <w:rFonts w:hint="eastAsia" w:ascii="宋体" w:hAnsi="宋体" w:cs="宋体"/>
          <w:color w:val="auto"/>
          <w:szCs w:val="21"/>
          <w:highlight w:val="none"/>
        </w:rPr>
        <w:t>17.1投标人应采用单位数字证书</w:t>
      </w:r>
      <w:r>
        <w:rPr>
          <w:rFonts w:hint="eastAsia" w:ascii="宋体" w:hAnsi="宋体" w:cs="宋体"/>
          <w:color w:val="auto"/>
          <w:szCs w:val="21"/>
          <w:highlight w:val="none"/>
          <w:u w:val="single"/>
        </w:rPr>
        <w:t>（联合体投标的，由联合体主办方采用其单位数字证书）</w:t>
      </w:r>
      <w:r>
        <w:rPr>
          <w:rFonts w:hint="eastAsia" w:ascii="宋体" w:hAnsi="宋体" w:cs="宋体"/>
          <w:color w:val="auto"/>
          <w:szCs w:val="21"/>
          <w:highlight w:val="none"/>
        </w:rPr>
        <w:t>，按招标文件要求在相应位置加盖电子印章。投标文件中需个人签字或盖章的，</w:t>
      </w:r>
      <w:r>
        <w:rPr>
          <w:rFonts w:hint="eastAsia" w:ascii="宋体" w:hAnsi="宋体" w:cs="宋体"/>
          <w:color w:val="auto"/>
          <w:szCs w:val="21"/>
          <w:highlight w:val="none"/>
          <w:u w:val="single"/>
        </w:rPr>
        <w:t>应加盖个人电子印章或在线下完成后扫描上传</w:t>
      </w:r>
      <w:r>
        <w:rPr>
          <w:rFonts w:hint="eastAsia" w:ascii="宋体" w:hAnsi="宋体" w:cs="宋体"/>
          <w:color w:val="auto"/>
          <w:szCs w:val="21"/>
          <w:highlight w:val="none"/>
        </w:rPr>
        <w:t>。</w:t>
      </w:r>
      <w:r>
        <w:rPr>
          <w:rFonts w:hint="eastAsia" w:ascii="宋体" w:hAnsi="宋体" w:cs="宋体"/>
          <w:color w:val="auto"/>
          <w:szCs w:val="21"/>
          <w:highlight w:val="none"/>
          <w:u w:val="single"/>
        </w:rPr>
        <w:t>由广州投标文件管理软件系统生成的“工程量清单主表--工程量清单报价表”封面页和扉页可以仅采用单位数字证书加盖电子印章处理</w:t>
      </w:r>
      <w:r>
        <w:rPr>
          <w:rFonts w:hint="eastAsia" w:ascii="宋体" w:hAnsi="宋体"/>
          <w:color w:val="auto"/>
          <w:szCs w:val="21"/>
          <w:highlight w:val="none"/>
        </w:rPr>
        <w:t>。</w:t>
      </w:r>
      <w:r>
        <w:rPr>
          <w:rFonts w:hint="eastAsia" w:ascii="宋体" w:hAnsi="宋体" w:cs="宋体"/>
          <w:color w:val="auto"/>
          <w:szCs w:val="21"/>
          <w:highlight w:val="none"/>
        </w:rPr>
        <w:t>按照交易平台关于全流程电子化项目的相关指南进行操作。详见：</w:t>
      </w:r>
      <w:r>
        <w:rPr>
          <w:rFonts w:hint="eastAsia" w:ascii="宋体" w:hAnsi="宋体" w:cs="宋体"/>
          <w:color w:val="auto"/>
          <w:szCs w:val="21"/>
          <w:highlight w:val="none"/>
          <w:u w:val="single"/>
        </w:rPr>
        <w:t>《房屋建筑和市政基础设施工程全流程电子化项目专章》</w:t>
      </w:r>
      <w:r>
        <w:rPr>
          <w:rFonts w:hint="eastAsia" w:ascii="宋体" w:hAnsi="宋体" w:cs="宋体"/>
          <w:color w:val="auto"/>
          <w:szCs w:val="21"/>
          <w:highlight w:val="none"/>
        </w:rPr>
        <w:t>。</w:t>
      </w:r>
    </w:p>
    <w:p>
      <w:pPr>
        <w:pBdr>
          <w:bottom w:val="single" w:color="auto" w:sz="6" w:space="1"/>
        </w:pBdr>
        <w:spacing w:line="440" w:lineRule="exact"/>
        <w:ind w:firstLine="525" w:firstLineChars="250"/>
        <w:rPr>
          <w:rFonts w:ascii="宋体" w:hAnsi="宋体"/>
          <w:color w:val="auto"/>
          <w:szCs w:val="21"/>
          <w:highlight w:val="none"/>
          <w:u w:val="single"/>
        </w:rPr>
      </w:pPr>
      <w:r>
        <w:rPr>
          <w:rFonts w:hint="eastAsia" w:ascii="宋体" w:hAnsi="宋体" w:cs="宋体"/>
          <w:color w:val="auto"/>
          <w:szCs w:val="21"/>
          <w:highlight w:val="none"/>
          <w:u w:val="single"/>
        </w:rPr>
        <w:t>17.2联合体投标的，除《联合体工作协议》需联合体各方分别按要求进行签字、盖章外，投标文件封面及其他内容及落款中的“投标人”、“投标单位”、“声明企业”等应填写联合体各方的单位全称【格式表示为：（主）XXXXX公司（成）XXXXX公司公司】，可由主办方签字、盖章。</w:t>
      </w:r>
    </w:p>
    <w:p>
      <w:pPr>
        <w:pStyle w:val="6"/>
        <w:spacing w:before="156" w:after="156"/>
        <w:rPr>
          <w:color w:val="auto"/>
          <w:sz w:val="21"/>
          <w:szCs w:val="21"/>
          <w:highlight w:val="none"/>
        </w:rPr>
      </w:pPr>
      <w:r>
        <w:rPr>
          <w:rFonts w:hint="eastAsia"/>
          <w:color w:val="auto"/>
          <w:sz w:val="21"/>
          <w:szCs w:val="21"/>
          <w:highlight w:val="none"/>
        </w:rPr>
        <w:t>（四）投标文件的提交</w:t>
      </w:r>
      <w:bookmarkEnd w:id="18"/>
      <w:bookmarkEnd w:id="19"/>
      <w:bookmarkEnd w:id="20"/>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w:t>
      </w:r>
      <w:r>
        <w:rPr>
          <w:rFonts w:hint="eastAsia" w:ascii="宋体" w:hAnsi="宋体" w:eastAsia="宋体" w:cs="宋体"/>
          <w:b/>
          <w:color w:val="auto"/>
          <w:sz w:val="21"/>
          <w:szCs w:val="21"/>
          <w:highlight w:val="none"/>
        </w:rPr>
        <w:t>投标文件的密封和标记</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8</w:t>
      </w:r>
      <w:r>
        <w:rPr>
          <w:rFonts w:ascii="宋体" w:hAnsi="宋体"/>
          <w:bCs/>
          <w:color w:val="auto"/>
          <w:szCs w:val="21"/>
          <w:highlight w:val="none"/>
        </w:rPr>
        <w:t>.1</w:t>
      </w:r>
      <w:r>
        <w:rPr>
          <w:rFonts w:hint="eastAsia" w:ascii="宋体" w:hAnsi="宋体"/>
          <w:bCs/>
          <w:color w:val="auto"/>
          <w:szCs w:val="21"/>
          <w:highlight w:val="none"/>
        </w:rPr>
        <w:t>递交的电子投标文件（不含备用光盘）必须进行加密。按照交易平台关于</w:t>
      </w:r>
      <w:r>
        <w:rPr>
          <w:rFonts w:hint="eastAsia" w:ascii="宋体" w:hAnsi="宋体"/>
          <w:color w:val="auto"/>
          <w:szCs w:val="21"/>
          <w:highlight w:val="none"/>
        </w:rPr>
        <w:t>全流程电子化项目的相关指南进行操作。</w:t>
      </w:r>
      <w:r>
        <w:rPr>
          <w:rFonts w:hint="eastAsia" w:ascii="宋体" w:hAnsi="宋体" w:cs="宋体"/>
          <w:color w:val="auto"/>
          <w:szCs w:val="21"/>
          <w:highlight w:val="none"/>
        </w:rPr>
        <w:t>详见：</w:t>
      </w:r>
      <w:r>
        <w:rPr>
          <w:rFonts w:hint="eastAsia" w:ascii="宋体" w:hAnsi="宋体"/>
          <w:color w:val="auto"/>
          <w:szCs w:val="21"/>
          <w:highlight w:val="none"/>
        </w:rPr>
        <w:t xml:space="preserve"> 。</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8</w:t>
      </w:r>
      <w:r>
        <w:rPr>
          <w:rFonts w:ascii="宋体" w:hAnsi="宋体"/>
          <w:bCs/>
          <w:color w:val="auto"/>
          <w:szCs w:val="21"/>
          <w:highlight w:val="none"/>
        </w:rPr>
        <w:t>.2</w:t>
      </w:r>
      <w:r>
        <w:rPr>
          <w:rFonts w:hint="eastAsia" w:ascii="宋体" w:hAnsi="宋体"/>
          <w:bCs/>
          <w:color w:val="auto"/>
          <w:szCs w:val="21"/>
          <w:highlight w:val="none"/>
        </w:rPr>
        <w:t>未按要求加密的投标文件，</w:t>
      </w:r>
      <w:r>
        <w:rPr>
          <w:rFonts w:hint="eastAsia" w:ascii="宋体" w:hAnsi="宋体"/>
          <w:color w:val="auto"/>
          <w:szCs w:val="21"/>
          <w:highlight w:val="none"/>
        </w:rPr>
        <w:t>交易平台</w:t>
      </w:r>
      <w:r>
        <w:rPr>
          <w:rFonts w:hint="eastAsia" w:ascii="宋体" w:hAnsi="宋体"/>
          <w:bCs/>
          <w:color w:val="auto"/>
          <w:szCs w:val="21"/>
          <w:highlight w:val="none"/>
        </w:rPr>
        <w:t>将予以拒收。</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19</w:t>
      </w:r>
      <w:r>
        <w:rPr>
          <w:rFonts w:hint="eastAsia" w:ascii="宋体" w:hAnsi="宋体"/>
          <w:b/>
          <w:bCs/>
          <w:color w:val="auto"/>
          <w:szCs w:val="21"/>
          <w:highlight w:val="none"/>
        </w:rPr>
        <w:t>．投标文件的递交和接收</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9</w:t>
      </w:r>
      <w:r>
        <w:rPr>
          <w:rFonts w:ascii="宋体" w:hAnsi="宋体"/>
          <w:bCs/>
          <w:color w:val="auto"/>
          <w:szCs w:val="21"/>
          <w:highlight w:val="none"/>
        </w:rPr>
        <w:t>.</w:t>
      </w:r>
      <w:r>
        <w:rPr>
          <w:rFonts w:hint="eastAsia" w:ascii="宋体" w:hAnsi="宋体"/>
          <w:bCs/>
          <w:color w:val="auto"/>
          <w:szCs w:val="21"/>
          <w:highlight w:val="none"/>
        </w:rPr>
        <w:t>1投标人通过</w:t>
      </w:r>
      <w:r>
        <w:rPr>
          <w:rFonts w:hint="eastAsia" w:ascii="宋体" w:hAnsi="宋体"/>
          <w:color w:val="auto"/>
          <w:szCs w:val="21"/>
          <w:highlight w:val="none"/>
        </w:rPr>
        <w:t>交易平台递交电子投标文件。</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9</w:t>
      </w:r>
      <w:r>
        <w:rPr>
          <w:rFonts w:ascii="宋体" w:hAnsi="宋体"/>
          <w:bCs/>
          <w:color w:val="auto"/>
          <w:szCs w:val="21"/>
          <w:highlight w:val="none"/>
        </w:rPr>
        <w:t>.</w:t>
      </w:r>
      <w:r>
        <w:rPr>
          <w:rFonts w:hint="eastAsia" w:ascii="宋体" w:hAnsi="宋体"/>
          <w:bCs/>
          <w:color w:val="auto"/>
          <w:szCs w:val="21"/>
          <w:highlight w:val="none"/>
        </w:rPr>
        <w:t>2投标人完成电子</w:t>
      </w:r>
      <w:r>
        <w:rPr>
          <w:rFonts w:hint="eastAsia" w:ascii="宋体" w:hAnsi="宋体"/>
          <w:color w:val="auto"/>
          <w:szCs w:val="21"/>
          <w:highlight w:val="none"/>
        </w:rPr>
        <w:t>投标文件</w:t>
      </w:r>
      <w:r>
        <w:rPr>
          <w:rFonts w:hint="eastAsia" w:ascii="宋体" w:hAnsi="宋体"/>
          <w:bCs/>
          <w:color w:val="auto"/>
          <w:szCs w:val="21"/>
          <w:highlight w:val="none"/>
        </w:rPr>
        <w:t>上传后，</w:t>
      </w:r>
      <w:r>
        <w:rPr>
          <w:rFonts w:hint="eastAsia" w:ascii="宋体" w:hAnsi="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9</w:t>
      </w:r>
      <w:r>
        <w:rPr>
          <w:rFonts w:ascii="宋体" w:hAnsi="宋体"/>
          <w:bCs/>
          <w:color w:val="auto"/>
          <w:szCs w:val="21"/>
          <w:highlight w:val="none"/>
        </w:rPr>
        <w:t>.</w:t>
      </w:r>
      <w:r>
        <w:rPr>
          <w:rFonts w:hint="eastAsia" w:ascii="宋体" w:hAnsi="宋体"/>
          <w:bCs/>
          <w:color w:val="auto"/>
          <w:szCs w:val="21"/>
          <w:highlight w:val="none"/>
        </w:rPr>
        <w:t>3逾期送达的电子投标文件，</w:t>
      </w:r>
      <w:r>
        <w:rPr>
          <w:rFonts w:hint="eastAsia" w:ascii="宋体" w:hAnsi="宋体"/>
          <w:color w:val="auto"/>
          <w:szCs w:val="21"/>
          <w:highlight w:val="none"/>
        </w:rPr>
        <w:t>交易平台将予以拒收。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w:t>
      </w:r>
      <w:r>
        <w:rPr>
          <w:rFonts w:hint="eastAsia" w:ascii="宋体" w:hAnsi="宋体"/>
          <w:color w:val="auto"/>
          <w:szCs w:val="21"/>
          <w:highlight w:val="none"/>
        </w:rPr>
        <w:t>4投标截止前，招标人拒绝接收符合条件的投标文件，投标人可向招标投标监督机构投诉。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w:t>
      </w:r>
      <w:r>
        <w:rPr>
          <w:rFonts w:hint="eastAsia" w:ascii="宋体" w:hAnsi="宋体"/>
          <w:color w:val="auto"/>
          <w:szCs w:val="21"/>
          <w:highlight w:val="none"/>
        </w:rPr>
        <w:t>5如技术标和经济标先后分别开启，交易平台将按招标文件规定的时间分别开启技术标和经济标。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19.6</w:t>
      </w:r>
      <w:r>
        <w:rPr>
          <w:rFonts w:hint="eastAsia" w:ascii="宋体" w:hAnsi="宋体"/>
          <w:color w:val="auto"/>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20</w:t>
      </w:r>
      <w:r>
        <w:rPr>
          <w:rFonts w:hint="eastAsia" w:ascii="宋体" w:hAnsi="宋体"/>
          <w:b/>
          <w:bCs/>
          <w:color w:val="auto"/>
          <w:szCs w:val="21"/>
          <w:highlight w:val="none"/>
        </w:rPr>
        <w:t>．投标文件提交的截止时间</w:t>
      </w:r>
    </w:p>
    <w:p>
      <w:pPr>
        <w:spacing w:line="360" w:lineRule="auto"/>
        <w:ind w:firstLine="420" w:firstLineChars="200"/>
        <w:rPr>
          <w:rFonts w:ascii="宋体" w:hAnsi="宋体"/>
          <w:b/>
          <w:bCs/>
          <w:color w:val="auto"/>
          <w:szCs w:val="21"/>
          <w:highlight w:val="none"/>
        </w:rPr>
      </w:pPr>
      <w:r>
        <w:rPr>
          <w:rFonts w:ascii="宋体" w:hAnsi="宋体"/>
          <w:color w:val="auto"/>
          <w:szCs w:val="21"/>
          <w:highlight w:val="none"/>
        </w:rPr>
        <w:t>20.1</w:t>
      </w:r>
      <w:r>
        <w:rPr>
          <w:rFonts w:hint="eastAsia" w:ascii="宋体" w:hAnsi="宋体"/>
          <w:color w:val="auto"/>
          <w:szCs w:val="21"/>
          <w:highlight w:val="none"/>
        </w:rPr>
        <w:t>投标人应在投标须知前附表第17项所述的时间前提交投标文件。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20.2</w:t>
      </w:r>
      <w:r>
        <w:rPr>
          <w:rFonts w:hint="eastAsia" w:ascii="宋体" w:hAnsi="宋体"/>
          <w:color w:val="auto"/>
          <w:szCs w:val="21"/>
          <w:highlight w:val="none"/>
        </w:rPr>
        <w:t>招标人可按本须知第</w:t>
      </w:r>
      <w:r>
        <w:rPr>
          <w:rFonts w:ascii="宋体" w:hAnsi="宋体"/>
          <w:color w:val="auto"/>
          <w:szCs w:val="21"/>
          <w:highlight w:val="none"/>
        </w:rPr>
        <w:t>9</w:t>
      </w:r>
      <w:r>
        <w:rPr>
          <w:rFonts w:hint="eastAsia" w:ascii="宋体" w:hAnsi="宋体"/>
          <w:color w:val="auto"/>
          <w:szCs w:val="21"/>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20.3 </w:t>
      </w:r>
      <w:r>
        <w:rPr>
          <w:rFonts w:hint="eastAsia" w:ascii="宋体" w:hAnsi="宋体"/>
          <w:color w:val="auto"/>
          <w:szCs w:val="21"/>
          <w:highlight w:val="none"/>
        </w:rPr>
        <w:t>到投标截止时间止，招标人收到的投标文件少于3家的，招标人将重新组织招标（当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w:t>
      </w:r>
      <w:r>
        <w:rPr>
          <w:rFonts w:hint="eastAsia" w:ascii="宋体" w:hAnsi="宋体"/>
          <w:color w:val="auto"/>
          <w:szCs w:val="21"/>
          <w:highlight w:val="none"/>
        </w:rPr>
        <w:t>2家，则重新组织招标）。</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21</w:t>
      </w:r>
      <w:r>
        <w:rPr>
          <w:rFonts w:hint="eastAsia" w:ascii="宋体" w:hAnsi="宋体"/>
          <w:b/>
          <w:bCs/>
          <w:color w:val="auto"/>
          <w:szCs w:val="21"/>
          <w:highlight w:val="none"/>
        </w:rPr>
        <w:t>．迟交的投标文件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21.1 </w:t>
      </w:r>
      <w:r>
        <w:rPr>
          <w:rFonts w:hint="eastAsia" w:ascii="宋体" w:hAnsi="宋体"/>
          <w:color w:val="auto"/>
          <w:szCs w:val="21"/>
          <w:highlight w:val="none"/>
        </w:rPr>
        <w:t>本须知前附表第</w:t>
      </w:r>
      <w:r>
        <w:rPr>
          <w:rFonts w:ascii="宋体" w:hAnsi="宋体"/>
          <w:color w:val="auto"/>
          <w:szCs w:val="21"/>
          <w:highlight w:val="none"/>
        </w:rPr>
        <w:t>1</w:t>
      </w:r>
      <w:r>
        <w:rPr>
          <w:rFonts w:hint="eastAsia" w:ascii="宋体" w:hAnsi="宋体"/>
          <w:color w:val="auto"/>
          <w:szCs w:val="21"/>
          <w:highlight w:val="none"/>
        </w:rPr>
        <w:t>7项规定的投标截止时间</w:t>
      </w:r>
      <w:r>
        <w:rPr>
          <w:rFonts w:hint="eastAsia" w:ascii="宋体" w:hAnsi="宋体"/>
          <w:bCs/>
          <w:color w:val="auto"/>
          <w:szCs w:val="21"/>
          <w:highlight w:val="none"/>
        </w:rPr>
        <w:t>后送达的电子投标文件，</w:t>
      </w:r>
      <w:r>
        <w:rPr>
          <w:rFonts w:hint="eastAsia" w:ascii="宋体" w:hAnsi="宋体"/>
          <w:color w:val="auto"/>
          <w:szCs w:val="21"/>
          <w:highlight w:val="none"/>
        </w:rPr>
        <w:t>交易平台将予以拒收。</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22</w:t>
      </w:r>
      <w:r>
        <w:rPr>
          <w:rFonts w:hint="eastAsia" w:ascii="宋体" w:hAnsi="宋体"/>
          <w:b/>
          <w:bCs/>
          <w:color w:val="auto"/>
          <w:szCs w:val="21"/>
          <w:highlight w:val="none"/>
        </w:rPr>
        <w:t>．投标文件的修改与撤回</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在规定的投标截止时间前，投标人可以修改或撤回已递交的投标文件，但应以书面形式通知招标人。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22.2投标人修改或撤回已递交</w:t>
      </w:r>
      <w:r>
        <w:rPr>
          <w:rFonts w:hint="eastAsia" w:ascii="宋体" w:hAnsi="宋体"/>
          <w:color w:val="auto"/>
          <w:szCs w:val="21"/>
          <w:highlight w:val="none"/>
        </w:rPr>
        <w:t>的</w:t>
      </w:r>
      <w:r>
        <w:rPr>
          <w:rFonts w:ascii="宋体" w:hAnsi="宋体"/>
          <w:color w:val="auto"/>
          <w:szCs w:val="21"/>
          <w:highlight w:val="none"/>
        </w:rPr>
        <w:t>投标文件</w:t>
      </w:r>
      <w:r>
        <w:rPr>
          <w:rFonts w:hint="eastAsia" w:ascii="宋体" w:hAnsi="宋体"/>
          <w:color w:val="auto"/>
          <w:szCs w:val="21"/>
          <w:highlight w:val="none"/>
        </w:rPr>
        <w:t>，需在交易平台发出修改或撤回</w:t>
      </w:r>
      <w:r>
        <w:rPr>
          <w:rFonts w:ascii="宋体" w:hAnsi="宋体"/>
          <w:color w:val="auto"/>
          <w:szCs w:val="21"/>
          <w:highlight w:val="none"/>
        </w:rPr>
        <w:t>通知，</w:t>
      </w:r>
      <w:r>
        <w:rPr>
          <w:rFonts w:hint="eastAsia" w:ascii="宋体" w:hAnsi="宋体"/>
          <w:color w:val="auto"/>
          <w:szCs w:val="21"/>
          <w:highlight w:val="none"/>
        </w:rPr>
        <w:t>并按</w:t>
      </w:r>
      <w:r>
        <w:rPr>
          <w:rFonts w:ascii="宋体" w:hAnsi="宋体"/>
          <w:color w:val="auto"/>
          <w:szCs w:val="21"/>
          <w:highlight w:val="none"/>
        </w:rPr>
        <w:t>要求加盖电子印章。</w:t>
      </w:r>
      <w:r>
        <w:rPr>
          <w:rFonts w:ascii="宋体" w:hAnsi="宋体"/>
          <w:bCs/>
          <w:iCs/>
          <w:color w:val="auto"/>
          <w:szCs w:val="21"/>
          <w:highlight w:val="none"/>
        </w:rPr>
        <w:t>电子招标投标交易平台收到通知后，</w:t>
      </w:r>
      <w:r>
        <w:rPr>
          <w:rFonts w:ascii="宋体" w:hAnsi="宋体"/>
          <w:color w:val="auto"/>
          <w:szCs w:val="21"/>
          <w:highlight w:val="none"/>
        </w:rPr>
        <w:t>即时向投标人发出确认回执通知。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22.3修改后再次递交的，按19点的规定执行。</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4在投标截止时间之后，投标人不得补充、修改和更换投标文件。</w:t>
      </w:r>
    </w:p>
    <w:p>
      <w:pPr>
        <w:pStyle w:val="6"/>
        <w:spacing w:before="156" w:after="156"/>
        <w:rPr>
          <w:color w:val="auto"/>
          <w:sz w:val="21"/>
          <w:szCs w:val="21"/>
          <w:highlight w:val="none"/>
        </w:rPr>
      </w:pPr>
      <w:bookmarkStart w:id="21" w:name="_Toc2272553"/>
      <w:bookmarkStart w:id="22" w:name="_Toc2774"/>
      <w:bookmarkStart w:id="23" w:name="_Toc21525497"/>
      <w:r>
        <w:rPr>
          <w:rFonts w:hint="eastAsia"/>
          <w:color w:val="auto"/>
          <w:sz w:val="21"/>
          <w:szCs w:val="21"/>
          <w:highlight w:val="none"/>
        </w:rPr>
        <w:t>（五）开标、评标、定标及合同签定</w:t>
      </w:r>
      <w:bookmarkEnd w:id="21"/>
      <w:bookmarkEnd w:id="22"/>
      <w:bookmarkEnd w:id="23"/>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23</w:t>
      </w:r>
      <w:r>
        <w:rPr>
          <w:rFonts w:hint="eastAsia" w:ascii="宋体" w:hAnsi="宋体"/>
          <w:b/>
          <w:bCs/>
          <w:color w:val="auto"/>
          <w:szCs w:val="21"/>
          <w:highlight w:val="none"/>
        </w:rPr>
        <w:t>、开标。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详见第二章开标、评标及定标办法</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24</w:t>
      </w:r>
      <w:r>
        <w:rPr>
          <w:rFonts w:hint="eastAsia" w:ascii="宋体" w:hAnsi="宋体"/>
          <w:b/>
          <w:bCs/>
          <w:color w:val="auto"/>
          <w:szCs w:val="21"/>
          <w:highlight w:val="none"/>
        </w:rPr>
        <w:t>．评标过程的保密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24.1 </w:t>
      </w:r>
      <w:r>
        <w:rPr>
          <w:rFonts w:hint="eastAsia" w:ascii="宋体" w:hAnsi="宋体"/>
          <w:color w:val="auto"/>
          <w:szCs w:val="21"/>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24.2 </w:t>
      </w:r>
      <w:r>
        <w:rPr>
          <w:rFonts w:hint="eastAsia" w:ascii="宋体" w:hAnsi="宋体"/>
          <w:color w:val="auto"/>
          <w:szCs w:val="21"/>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25</w:t>
      </w:r>
      <w:r>
        <w:rPr>
          <w:rFonts w:hint="eastAsia" w:ascii="宋体" w:hAnsi="宋体"/>
          <w:b/>
          <w:bCs/>
          <w:color w:val="auto"/>
          <w:szCs w:val="21"/>
          <w:highlight w:val="none"/>
        </w:rPr>
        <w:t>．投标文件的澄清，计算错误的修正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详见招标文件第二章开标、评标及定标办法</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26</w:t>
      </w:r>
      <w:r>
        <w:rPr>
          <w:rFonts w:hint="eastAsia" w:ascii="宋体" w:hAnsi="宋体"/>
          <w:b/>
          <w:bCs/>
          <w:color w:val="auto"/>
          <w:szCs w:val="21"/>
          <w:highlight w:val="none"/>
        </w:rPr>
        <w:t>．投标文件的评审、比较和否决</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详见招标文件第二章开标、评标及定标办法。</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27</w:t>
      </w:r>
      <w:r>
        <w:rPr>
          <w:rFonts w:hint="eastAsia" w:ascii="宋体" w:hAnsi="宋体"/>
          <w:b/>
          <w:bCs/>
          <w:color w:val="auto"/>
          <w:szCs w:val="21"/>
          <w:highlight w:val="none"/>
        </w:rPr>
        <w:t>．中标通知书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27.1</w:t>
      </w:r>
      <w:r>
        <w:rPr>
          <w:rFonts w:hint="eastAsia" w:ascii="宋体" w:hAnsi="宋体" w:cs="宋体"/>
          <w:bCs/>
          <w:color w:val="auto"/>
          <w:kern w:val="0"/>
          <w:szCs w:val="21"/>
          <w:highlight w:val="none"/>
        </w:rPr>
        <w:t>招标人将在交易平台、广东省招标投标监管网和中国招标投标公共服务平台公示中标候选人，公示期为三天。</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27.2</w:t>
      </w:r>
      <w:r>
        <w:rPr>
          <w:rFonts w:hint="eastAsia" w:ascii="宋体" w:hAnsi="宋体"/>
          <w:color w:val="auto"/>
          <w:szCs w:val="21"/>
          <w:highlight w:val="none"/>
        </w:rPr>
        <w:t>招标人应当自确定中标人后，向招标投标监管机构提交招标投标情况的书面报告；经招投标监管机构备案后，方可发出中标通知书。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27.3</w:t>
      </w:r>
      <w:r>
        <w:rPr>
          <w:rFonts w:hint="eastAsia" w:ascii="宋体" w:hAnsi="宋体"/>
          <w:color w:val="auto"/>
          <w:szCs w:val="21"/>
          <w:highlight w:val="none"/>
        </w:rPr>
        <w:t>中标人必须在收到中标通知书后</w:t>
      </w:r>
      <w:r>
        <w:rPr>
          <w:rFonts w:ascii="宋体" w:hAnsi="宋体"/>
          <w:color w:val="auto"/>
          <w:szCs w:val="21"/>
          <w:highlight w:val="none"/>
        </w:rPr>
        <w:t>24</w:t>
      </w:r>
      <w:r>
        <w:rPr>
          <w:rFonts w:hint="eastAsia" w:ascii="宋体" w:hAnsi="宋体"/>
          <w:color w:val="auto"/>
          <w:szCs w:val="21"/>
          <w:highlight w:val="none"/>
        </w:rPr>
        <w:t>小时之内以书面形式回复招标人，确认收到。</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27.4</w:t>
      </w:r>
      <w:r>
        <w:rPr>
          <w:rFonts w:hint="eastAsia" w:ascii="宋体" w:hAnsi="宋体" w:cs="宋体"/>
          <w:bCs/>
          <w:color w:val="auto"/>
          <w:kern w:val="0"/>
          <w:szCs w:val="21"/>
          <w:highlight w:val="none"/>
        </w:rPr>
        <w:t>在产生中标候选人后，招标人将中标候选人的投标文件商务部分文件的所有内容（包括</w:t>
      </w:r>
      <w:r>
        <w:rPr>
          <w:rFonts w:hint="eastAsia" w:ascii="宋体" w:hAnsi="宋体" w:cs="宋体"/>
          <w:b/>
          <w:bCs/>
          <w:color w:val="auto"/>
          <w:kern w:val="0"/>
          <w:szCs w:val="21"/>
          <w:highlight w:val="none"/>
        </w:rPr>
        <w:t>报价清单</w:t>
      </w:r>
      <w:r>
        <w:rPr>
          <w:rFonts w:hint="eastAsia" w:ascii="宋体" w:hAnsi="宋体" w:cs="宋体"/>
          <w:bCs/>
          <w:color w:val="auto"/>
          <w:kern w:val="0"/>
          <w:szCs w:val="21"/>
          <w:highlight w:val="none"/>
        </w:rPr>
        <w:t>、人员、业绩、奖项等资料）在交易平台和广东省招标投标监管网公开。</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28</w:t>
      </w:r>
      <w:r>
        <w:rPr>
          <w:rFonts w:hint="eastAsia" w:ascii="宋体" w:hAnsi="宋体"/>
          <w:b/>
          <w:bCs/>
          <w:color w:val="auto"/>
          <w:szCs w:val="21"/>
          <w:highlight w:val="none"/>
        </w:rPr>
        <w:t>．合同协议书的签订</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28.1 </w:t>
      </w:r>
      <w:r>
        <w:rPr>
          <w:rFonts w:hint="eastAsia" w:ascii="宋体" w:hAnsi="宋体"/>
          <w:color w:val="auto"/>
          <w:szCs w:val="21"/>
          <w:highlight w:val="none"/>
        </w:rPr>
        <w:t>招标人与中标人将于中标通知书发出之日起</w:t>
      </w:r>
      <w:r>
        <w:rPr>
          <w:rFonts w:ascii="宋体" w:hAnsi="宋体"/>
          <w:color w:val="auto"/>
          <w:szCs w:val="21"/>
          <w:highlight w:val="none"/>
        </w:rPr>
        <w:t>30</w:t>
      </w:r>
      <w:r>
        <w:rPr>
          <w:rFonts w:hint="eastAsia" w:ascii="宋体" w:hAnsi="宋体"/>
          <w:color w:val="auto"/>
          <w:szCs w:val="21"/>
          <w:highlight w:val="none"/>
        </w:rPr>
        <w:t>日内，按照招标文件和中标人的投标文件商定和签订合同，招标人和中标人不得再行订立背离合同实质性内容的其他协议。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28.2</w:t>
      </w:r>
      <w:r>
        <w:rPr>
          <w:rFonts w:hint="eastAsia" w:ascii="宋体" w:hAnsi="宋体"/>
          <w:color w:val="auto"/>
          <w:szCs w:val="21"/>
          <w:highlight w:val="none"/>
        </w:rPr>
        <w:t>中标通知书发出之日起</w:t>
      </w:r>
      <w:r>
        <w:rPr>
          <w:rFonts w:ascii="宋体" w:hAnsi="宋体"/>
          <w:color w:val="auto"/>
          <w:szCs w:val="21"/>
          <w:highlight w:val="none"/>
        </w:rPr>
        <w:t>30</w:t>
      </w:r>
      <w:r>
        <w:rPr>
          <w:rFonts w:hint="eastAsia" w:ascii="宋体" w:hAnsi="宋体"/>
          <w:color w:val="auto"/>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28.3</w:t>
      </w:r>
      <w:r>
        <w:rPr>
          <w:rFonts w:hint="eastAsia" w:ascii="宋体" w:hAnsi="宋体"/>
          <w:color w:val="auto"/>
          <w:szCs w:val="21"/>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28.4</w:t>
      </w:r>
      <w:r>
        <w:rPr>
          <w:rFonts w:hint="eastAsia" w:ascii="宋体" w:hAnsi="宋体"/>
          <w:color w:val="auto"/>
          <w:szCs w:val="21"/>
          <w:highlight w:val="none"/>
        </w:rPr>
        <w:t>招标人支付工程款时，中标人应按规定开具发票。</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29</w:t>
      </w:r>
      <w:r>
        <w:rPr>
          <w:rFonts w:hint="eastAsia" w:ascii="宋体" w:hAnsi="宋体"/>
          <w:b/>
          <w:bCs/>
          <w:color w:val="auto"/>
          <w:szCs w:val="21"/>
          <w:highlight w:val="none"/>
        </w:rPr>
        <w:t>．履约担保</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29.1 </w:t>
      </w:r>
      <w:r>
        <w:rPr>
          <w:rFonts w:hint="eastAsia" w:ascii="宋体" w:hAnsi="宋体"/>
          <w:color w:val="auto"/>
          <w:szCs w:val="21"/>
          <w:highlight w:val="none"/>
        </w:rPr>
        <w:t>在收到中标通知书后的</w:t>
      </w:r>
      <w:r>
        <w:rPr>
          <w:rFonts w:ascii="宋体" w:hAnsi="宋体"/>
          <w:b/>
          <w:color w:val="auto"/>
          <w:szCs w:val="21"/>
          <w:highlight w:val="none"/>
        </w:rPr>
        <w:t>15</w:t>
      </w:r>
      <w:r>
        <w:rPr>
          <w:rFonts w:hint="eastAsia" w:ascii="宋体" w:hAnsi="宋体"/>
          <w:b/>
          <w:color w:val="auto"/>
          <w:szCs w:val="21"/>
          <w:highlight w:val="none"/>
        </w:rPr>
        <w:t>日</w:t>
      </w:r>
      <w:r>
        <w:rPr>
          <w:rFonts w:hint="eastAsia" w:ascii="宋体" w:hAnsi="宋体"/>
          <w:color w:val="auto"/>
          <w:szCs w:val="21"/>
          <w:highlight w:val="none"/>
        </w:rPr>
        <w:t>内，中标人应按本须知前附表第</w:t>
      </w:r>
      <w:r>
        <w:rPr>
          <w:rFonts w:ascii="宋体" w:hAnsi="宋体"/>
          <w:color w:val="auto"/>
          <w:szCs w:val="21"/>
          <w:highlight w:val="none"/>
        </w:rPr>
        <w:t>2</w:t>
      </w:r>
      <w:r>
        <w:rPr>
          <w:rFonts w:hint="eastAsia" w:ascii="宋体" w:hAnsi="宋体"/>
          <w:color w:val="auto"/>
          <w:szCs w:val="21"/>
          <w:highlight w:val="none"/>
        </w:rPr>
        <w:t>0项的规定向招标人提交履约担保。</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29.2</w:t>
      </w:r>
      <w:r>
        <w:rPr>
          <w:rFonts w:hint="eastAsia" w:ascii="宋体" w:hAnsi="宋体"/>
          <w:color w:val="auto"/>
          <w:szCs w:val="21"/>
          <w:highlight w:val="none"/>
        </w:rPr>
        <w:t>中标通知书发出之日起</w:t>
      </w:r>
      <w:r>
        <w:rPr>
          <w:rFonts w:ascii="宋体" w:hAnsi="宋体"/>
          <w:color w:val="auto"/>
          <w:szCs w:val="21"/>
          <w:highlight w:val="none"/>
        </w:rPr>
        <w:t>15</w:t>
      </w:r>
      <w:r>
        <w:rPr>
          <w:rFonts w:hint="eastAsia" w:ascii="宋体" w:hAnsi="宋体"/>
          <w:color w:val="auto"/>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30</w:t>
      </w:r>
      <w:r>
        <w:rPr>
          <w:rFonts w:hint="eastAsia" w:ascii="宋体" w:hAnsi="宋体"/>
          <w:b/>
          <w:bCs/>
          <w:color w:val="auto"/>
          <w:szCs w:val="21"/>
          <w:highlight w:val="none"/>
        </w:rPr>
        <w:t>．合同生效</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30.1</w:t>
      </w:r>
      <w:r>
        <w:rPr>
          <w:rFonts w:hint="eastAsia" w:ascii="宋体" w:hAnsi="宋体"/>
          <w:color w:val="auto"/>
          <w:szCs w:val="21"/>
          <w:highlight w:val="none"/>
        </w:rPr>
        <w:t>在合同双方全权代表在合同协议书上签字，并分别加盖双方单位的公章后，合同正式生效。</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31</w:t>
      </w:r>
      <w:r>
        <w:rPr>
          <w:rFonts w:hint="eastAsia" w:ascii="宋体" w:hAnsi="宋体"/>
          <w:b/>
          <w:bCs/>
          <w:color w:val="auto"/>
          <w:szCs w:val="21"/>
          <w:highlight w:val="none"/>
        </w:rPr>
        <w:t>．其它费用</w:t>
      </w:r>
    </w:p>
    <w:p>
      <w:pPr>
        <w:pStyle w:val="36"/>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32．腐败与欺诈行为</w:t>
      </w:r>
    </w:p>
    <w:p>
      <w:pPr>
        <w:pStyle w:val="36"/>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在招标和合同实施期间，招标人要求投标人和承包人遵守最高的道德标准。</w:t>
      </w:r>
    </w:p>
    <w:p>
      <w:pPr>
        <w:pStyle w:val="36"/>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32．1对本条款的规定，特定义如下词汇：</w:t>
      </w:r>
    </w:p>
    <w:p>
      <w:pPr>
        <w:pStyle w:val="36"/>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1）、“腐败行为”是指在招标或合同执行期间，通过提供、给予、接受或索要任何有价值的东西，从而影响招标人有关人员工作的行为；</w:t>
      </w:r>
    </w:p>
    <w:p>
      <w:pPr>
        <w:pStyle w:val="36"/>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6"/>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32．2如果投标人被认定在本招标的竞争中有腐败或欺诈行为，则会被取消投标资格。</w:t>
      </w:r>
    </w:p>
    <w:p>
      <w:pPr>
        <w:pStyle w:val="36"/>
        <w:spacing w:after="0" w:line="360" w:lineRule="auto"/>
        <w:ind w:firstLineChars="20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32.3</w:t>
      </w:r>
      <w:r>
        <w:rPr>
          <w:rFonts w:hint="eastAsia" w:ascii="宋体" w:hAnsi="宋体" w:eastAsia="宋体" w:cs="宋体"/>
          <w:color w:val="auto"/>
          <w:sz w:val="21"/>
          <w:szCs w:val="21"/>
          <w:highlight w:val="none"/>
        </w:rPr>
        <w:t>投标人如在本项目中存在串通投标、弄虚作假、行贿情形的，中标无效，行政监督部门将对其违法行为进行政处罚并通报。该投标人将被招标人列入黑名单并限制其参与招标人后续项目的投标</w:t>
      </w:r>
      <w:r>
        <w:rPr>
          <w:rFonts w:hint="eastAsia" w:ascii="宋体" w:hAnsi="宋体" w:eastAsia="宋体" w:cs="宋体"/>
          <w:color w:val="auto"/>
          <w:kern w:val="2"/>
          <w:sz w:val="21"/>
          <w:szCs w:val="21"/>
          <w:highlight w:val="none"/>
        </w:rPr>
        <w:t>。</w:t>
      </w:r>
    </w:p>
    <w:p>
      <w:pPr>
        <w:spacing w:line="480" w:lineRule="auto"/>
        <w:ind w:firstLine="472" w:firstLineChars="224"/>
        <w:rPr>
          <w:rFonts w:ascii="宋体" w:hAnsi="宋体"/>
          <w:b/>
          <w:strike/>
          <w:dstrike w:val="0"/>
          <w:color w:val="auto"/>
          <w:szCs w:val="21"/>
          <w:highlight w:val="none"/>
        </w:rPr>
      </w:pPr>
      <w:r>
        <w:rPr>
          <w:rFonts w:hint="eastAsia" w:ascii="宋体" w:hAnsi="宋体"/>
          <w:b/>
          <w:strike/>
          <w:dstrike w:val="0"/>
          <w:color w:val="auto"/>
          <w:szCs w:val="21"/>
          <w:highlight w:val="none"/>
        </w:rPr>
        <w:t>33. 投标人信誉的要求</w:t>
      </w:r>
    </w:p>
    <w:p>
      <w:pPr>
        <w:spacing w:line="480" w:lineRule="auto"/>
        <w:ind w:firstLine="470" w:firstLineChars="224"/>
        <w:rPr>
          <w:rFonts w:ascii="宋体" w:hAnsi="宋体"/>
          <w:strike/>
          <w:dstrike w:val="0"/>
          <w:color w:val="auto"/>
          <w:szCs w:val="21"/>
          <w:highlight w:val="none"/>
        </w:rPr>
      </w:pPr>
      <w:r>
        <w:rPr>
          <w:rFonts w:hint="eastAsia" w:ascii="宋体" w:hAnsi="宋体"/>
          <w:strike/>
          <w:dstrike w:val="0"/>
          <w:color w:val="auto"/>
          <w:szCs w:val="21"/>
          <w:highlight w:val="none"/>
        </w:rPr>
        <w:t>存在下列情形之一的，招标人可以限制其投标（需在招标文件中明确评定方法）</w:t>
      </w:r>
    </w:p>
    <w:p>
      <w:pPr>
        <w:spacing w:line="480" w:lineRule="auto"/>
        <w:ind w:firstLine="470" w:firstLineChars="224"/>
        <w:rPr>
          <w:rFonts w:ascii="宋体" w:hAnsi="宋体"/>
          <w:strike/>
          <w:dstrike w:val="0"/>
          <w:color w:val="auto"/>
          <w:szCs w:val="21"/>
          <w:highlight w:val="none"/>
        </w:rPr>
      </w:pPr>
      <w:r>
        <w:rPr>
          <w:rFonts w:hint="eastAsia" w:ascii="宋体" w:hAnsi="宋体"/>
          <w:strike/>
          <w:dstrike w:val="0"/>
          <w:color w:val="auto"/>
          <w:szCs w:val="21"/>
          <w:highlight w:val="none"/>
        </w:rPr>
        <w:t>（1）被住房城乡建设行政主管部门在全国建筑市场监管一体化工作平台列入建筑市场主体“黑名单”；</w:t>
      </w:r>
    </w:p>
    <w:p>
      <w:pPr>
        <w:pStyle w:val="36"/>
        <w:spacing w:after="0" w:line="360" w:lineRule="auto"/>
        <w:ind w:firstLineChars="200"/>
        <w:rPr>
          <w:rFonts w:ascii="宋体" w:hAnsi="宋体" w:eastAsia="宋体"/>
          <w:strike/>
          <w:dstrike w:val="0"/>
          <w:color w:val="auto"/>
          <w:kern w:val="2"/>
          <w:sz w:val="21"/>
          <w:szCs w:val="21"/>
          <w:highlight w:val="none"/>
        </w:rPr>
      </w:pPr>
      <w:r>
        <w:rPr>
          <w:rFonts w:hint="eastAsia" w:ascii="宋体" w:hAnsi="宋体" w:eastAsia="宋体"/>
          <w:strike/>
          <w:dstrike w:val="0"/>
          <w:color w:val="auto"/>
          <w:sz w:val="21"/>
          <w:szCs w:val="21"/>
          <w:highlight w:val="none"/>
        </w:rPr>
        <w:t>（2）</w:t>
      </w:r>
      <w:r>
        <w:rPr>
          <w:rFonts w:hint="eastAsia" w:ascii="宋体" w:hAnsi="宋体" w:eastAsia="宋体"/>
          <w:strike/>
          <w:dstrike w:val="0"/>
          <w:color w:val="auto"/>
          <w:kern w:val="2"/>
          <w:sz w:val="21"/>
          <w:szCs w:val="21"/>
          <w:highlight w:val="none"/>
        </w:rPr>
        <w:t>被发改委、人力资源社会保障、质检总局等有关部门、单位在“信用中国”网站中列入联合惩戒失信黑名单。</w:t>
      </w:r>
    </w:p>
    <w:p>
      <w:pPr>
        <w:rPr>
          <w:rFonts w:ascii="宋体" w:hAnsi="宋体"/>
          <w:color w:val="auto"/>
          <w:szCs w:val="21"/>
          <w:highlight w:val="none"/>
        </w:rPr>
      </w:pPr>
      <w:r>
        <w:rPr>
          <w:rFonts w:hint="eastAsia" w:ascii="宋体" w:hAnsi="宋体"/>
          <w:color w:val="auto"/>
          <w:szCs w:val="21"/>
          <w:highlight w:val="none"/>
        </w:rPr>
        <w:br w:type="page"/>
      </w:r>
    </w:p>
    <w:p>
      <w:pPr>
        <w:pStyle w:val="4"/>
        <w:ind w:left="0" w:firstLine="0" w:firstLineChars="0"/>
        <w:jc w:val="center"/>
        <w:rPr>
          <w:rFonts w:ascii="宋体" w:hAnsi="宋体"/>
          <w:color w:val="auto"/>
          <w:sz w:val="21"/>
          <w:szCs w:val="21"/>
          <w:highlight w:val="none"/>
        </w:rPr>
      </w:pPr>
      <w:bookmarkStart w:id="24" w:name="_Toc3404"/>
      <w:r>
        <w:rPr>
          <w:rFonts w:hint="eastAsia" w:ascii="宋体" w:hAnsi="宋体"/>
          <w:color w:val="auto"/>
          <w:sz w:val="21"/>
          <w:szCs w:val="21"/>
          <w:highlight w:val="none"/>
        </w:rPr>
        <w:t>第二章开标、评标及定标办法</w:t>
      </w:r>
      <w:bookmarkEnd w:id="24"/>
    </w:p>
    <w:p>
      <w:pPr>
        <w:pStyle w:val="4"/>
        <w:ind w:firstLine="186"/>
        <w:jc w:val="center"/>
        <w:rPr>
          <w:rFonts w:ascii="宋体" w:hAnsi="宋体"/>
          <w:color w:val="auto"/>
          <w:sz w:val="21"/>
          <w:szCs w:val="21"/>
          <w:highlight w:val="none"/>
        </w:rPr>
      </w:pPr>
      <w:bookmarkStart w:id="25" w:name="_Toc24279"/>
      <w:bookmarkStart w:id="26" w:name="_Toc6493837"/>
      <w:r>
        <w:rPr>
          <w:rFonts w:hint="eastAsia" w:ascii="宋体" w:hAnsi="宋体"/>
          <w:color w:val="auto"/>
          <w:sz w:val="21"/>
          <w:szCs w:val="21"/>
          <w:highlight w:val="none"/>
        </w:rPr>
        <w:t>一、开标、评标及定标办法修改表</w:t>
      </w:r>
      <w:bookmarkEnd w:id="25"/>
      <w:bookmarkEnd w:id="26"/>
    </w:p>
    <w:p>
      <w:pPr>
        <w:pStyle w:val="36"/>
        <w:spacing w:after="0" w:line="500" w:lineRule="exac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可选办法一</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可选办法一（适合综合评分法一，技术标与经济标先后分别开启）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可选办法二</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可选办法二（适合综合评分法一，技术标与经济标同时开启）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可选办法三</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可选办法三</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可选办法四</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可选办法四（适合综合评分法二，技术标与经济标同时开启）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可选办法五</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可选办法五（适合综合评分法三，技术标与经济标先后分别开启）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可选办法六</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可选办法六（适合综合评分法三，技术标与经济标同时开启）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可选办法八</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可选办法八（适合经评审的最低投标价法，技术标与经济标同时开启）</w:t>
      </w:r>
    </w:p>
    <w:p>
      <w:pPr>
        <w:spacing w:line="500" w:lineRule="exact"/>
        <w:ind w:firstLine="472" w:firstLineChars="224"/>
        <w:rPr>
          <w:rFonts w:ascii="宋体" w:hAnsi="宋体" w:cs="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 xml:space="preserve">36.1  </w:t>
      </w:r>
      <w:r>
        <w:rPr>
          <w:rFonts w:hint="eastAsia" w:ascii="宋体" w:hAnsi="宋体"/>
          <w:b/>
          <w:color w:val="auto"/>
          <w:szCs w:val="21"/>
          <w:highlight w:val="none"/>
        </w:rPr>
        <w:t>修改类型：修改</w:t>
      </w:r>
    </w:p>
    <w:p>
      <w:pPr>
        <w:spacing w:line="5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50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500" w:lineRule="exact"/>
        <w:ind w:firstLine="472" w:firstLineChars="224"/>
        <w:rPr>
          <w:rFonts w:ascii="宋体" w:hAnsi="宋体" w:cs="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 xml:space="preserve">36.3  </w:t>
      </w:r>
      <w:r>
        <w:rPr>
          <w:rFonts w:hint="eastAsia" w:ascii="宋体" w:hAnsi="宋体"/>
          <w:b/>
          <w:color w:val="auto"/>
          <w:szCs w:val="21"/>
          <w:highlight w:val="none"/>
        </w:rPr>
        <w:t>修改类型：删除</w:t>
      </w:r>
    </w:p>
    <w:p>
      <w:pPr>
        <w:pBdr>
          <w:bottom w:val="single" w:color="auto" w:sz="6" w:space="1"/>
        </w:pBdr>
        <w:spacing w:line="50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36.</w:t>
      </w:r>
      <w:r>
        <w:rPr>
          <w:rFonts w:hint="eastAsia" w:ascii="宋体" w:hAnsi="宋体"/>
          <w:color w:val="auto"/>
          <w:szCs w:val="21"/>
          <w:highlight w:val="none"/>
        </w:rPr>
        <w:t>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36.5.1</w:t>
      </w:r>
      <w:r>
        <w:rPr>
          <w:rFonts w:hint="eastAsia" w:ascii="宋体" w:hAnsi="宋体"/>
          <w:b/>
          <w:color w:val="auto"/>
          <w:szCs w:val="21"/>
          <w:highlight w:val="none"/>
        </w:rPr>
        <w:t>修改类型：修改</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bCs/>
          <w:color w:val="auto"/>
          <w:szCs w:val="21"/>
          <w:highlight w:val="none"/>
        </w:rPr>
        <w:t>36.5.1</w:t>
      </w:r>
      <w:r>
        <w:rPr>
          <w:rFonts w:hint="eastAsia" w:ascii="宋体" w:hAnsi="宋体" w:cs="宋体"/>
          <w:bCs/>
          <w:color w:val="auto"/>
          <w:kern w:val="0"/>
          <w:szCs w:val="21"/>
          <w:highlight w:val="none"/>
        </w:rPr>
        <w:t>在投标截止时间后半小时内，投标人通过交易平台对已递交的电子投标文件进行解密。投标人完成解密后，再由招标人进行解密</w:t>
      </w:r>
      <w:r>
        <w:rPr>
          <w:rFonts w:hint="eastAsia" w:ascii="宋体" w:hAnsi="宋体" w:cs="宋体"/>
          <w:b/>
          <w:bCs/>
          <w:color w:val="auto"/>
          <w:kern w:val="0"/>
          <w:szCs w:val="21"/>
          <w:highlight w:val="none"/>
        </w:rPr>
        <w:t>（如有项目负责人签到环节，应在项目负责人签到完成后，招标人再进行解密）</w:t>
      </w:r>
      <w:r>
        <w:rPr>
          <w:rFonts w:hint="eastAsia" w:ascii="宋体" w:hAnsi="宋体" w:cs="宋体"/>
          <w:bCs/>
          <w:color w:val="auto"/>
          <w:kern w:val="0"/>
          <w:szCs w:val="21"/>
          <w:highlight w:val="none"/>
        </w:rPr>
        <w:t>。解密完成后，公布招标项目名称、投标人名称、投标保证金的递交情况、投标报价、工期及其他内容；</w:t>
      </w:r>
    </w:p>
    <w:p>
      <w:pPr>
        <w:pBdr>
          <w:bottom w:val="single" w:color="auto" w:sz="6" w:space="1"/>
        </w:pBdr>
        <w:spacing w:line="500" w:lineRule="exact"/>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36.5.1在投标截止时间后半小时内，投标人通过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spacing w:line="4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38.1            </w:t>
      </w:r>
      <w:r>
        <w:rPr>
          <w:rFonts w:hint="eastAsia" w:ascii="宋体" w:hAnsi="宋体"/>
          <w:b/>
          <w:color w:val="auto"/>
          <w:szCs w:val="21"/>
          <w:highlight w:val="none"/>
        </w:rPr>
        <w:t>修改类型：修改</w:t>
      </w:r>
    </w:p>
    <w:p>
      <w:pPr>
        <w:spacing w:line="40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400" w:lineRule="exact"/>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38.1</w:t>
      </w:r>
      <w:r>
        <w:rPr>
          <w:rFonts w:hint="eastAsia" w:ascii="宋体" w:hAnsi="宋体" w:cs="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、对同类问题表述不一致、有明显文字和计算错误的内容以及细微偏差的</w:t>
      </w:r>
      <w:r>
        <w:rPr>
          <w:rFonts w:hint="eastAsia" w:ascii="宋体" w:hAnsi="宋体" w:cs="宋体"/>
          <w:color w:val="auto"/>
          <w:szCs w:val="21"/>
          <w:highlight w:val="none"/>
        </w:rPr>
        <w:t>内容作出澄清。</w:t>
      </w:r>
    </w:p>
    <w:p>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条款号：</w:t>
      </w:r>
      <w:r>
        <w:rPr>
          <w:rFonts w:hint="eastAsia" w:ascii="宋体" w:hAnsi="宋体"/>
          <w:b/>
          <w:color w:val="auto"/>
          <w:szCs w:val="21"/>
          <w:highlight w:val="none"/>
        </w:rPr>
        <w:t>39.3</w:t>
      </w:r>
      <w:r>
        <w:rPr>
          <w:rFonts w:ascii="宋体" w:hAnsi="宋体"/>
          <w:b/>
          <w:color w:val="auto"/>
          <w:szCs w:val="21"/>
          <w:highlight w:val="none"/>
        </w:rPr>
        <w:t xml:space="preserve">          </w:t>
      </w:r>
      <w:r>
        <w:rPr>
          <w:rFonts w:hint="eastAsia" w:ascii="宋体" w:hAnsi="宋体"/>
          <w:b/>
          <w:bCs/>
          <w:color w:val="auto"/>
          <w:szCs w:val="21"/>
          <w:highlight w:val="none"/>
        </w:rPr>
        <w:t>修改类型：修改</w:t>
      </w:r>
    </w:p>
    <w:p>
      <w:pPr>
        <w:spacing w:line="460" w:lineRule="exact"/>
        <w:ind w:firstLine="422" w:firstLineChars="200"/>
        <w:rPr>
          <w:rFonts w:ascii="宋体" w:hAnsi="宋体"/>
          <w:color w:val="auto"/>
          <w:szCs w:val="21"/>
          <w:highlight w:val="none"/>
        </w:rPr>
      </w:pPr>
      <w:r>
        <w:rPr>
          <w:rFonts w:hint="eastAsia" w:ascii="宋体" w:hAnsi="宋体"/>
          <w:b/>
          <w:bCs/>
          <w:color w:val="auto"/>
          <w:szCs w:val="21"/>
          <w:highlight w:val="none"/>
        </w:rPr>
        <w:t>原文：</w:t>
      </w:r>
      <w:r>
        <w:rPr>
          <w:rFonts w:hint="eastAsia" w:ascii="宋体" w:hAnsi="宋体"/>
          <w:color w:val="auto"/>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400" w:lineRule="exact"/>
        <w:ind w:firstLine="527" w:firstLineChars="250"/>
        <w:rPr>
          <w:rFonts w:ascii="宋体" w:hAnsi="宋体"/>
          <w:color w:val="auto"/>
          <w:szCs w:val="21"/>
          <w:highlight w:val="none"/>
        </w:rPr>
      </w:pPr>
      <w:r>
        <w:rPr>
          <w:rFonts w:hint="eastAsia"/>
          <w:b/>
          <w:bCs/>
          <w:color w:val="auto"/>
          <w:szCs w:val="21"/>
          <w:highlight w:val="none"/>
        </w:rPr>
        <w:t>现文：</w:t>
      </w:r>
      <w:r>
        <w:rPr>
          <w:rFonts w:hint="eastAsia"/>
          <w:color w:val="auto"/>
          <w:highlight w:val="none"/>
        </w:rPr>
        <w:t>39.3</w:t>
      </w:r>
      <w:r>
        <w:rPr>
          <w:rFonts w:hint="eastAsia"/>
          <w:color w:val="auto"/>
          <w:szCs w:val="21"/>
          <w:highlight w:val="none"/>
        </w:rPr>
        <w:t>排名第一的中标候选人放弃中标、或因不可抗力提出不能履行合同，或者招标文件规定应当提交履约担保而在规定的期限内未能提交的</w:t>
      </w:r>
      <w:r>
        <w:rPr>
          <w:rFonts w:hint="eastAsia"/>
          <w:color w:val="auto"/>
          <w:szCs w:val="21"/>
          <w:highlight w:val="none"/>
          <w:u w:val="single"/>
        </w:rPr>
        <w:t>，或经核查发现委派的项目负责人已在其他在建项目中任职的，或者被查实存在影响中标结果的违法行为等情形，不符合中标条件的，</w:t>
      </w:r>
      <w:r>
        <w:rPr>
          <w:rFonts w:hint="eastAsia"/>
          <w:color w:val="auto"/>
          <w:szCs w:val="21"/>
          <w:highlight w:val="none"/>
        </w:rPr>
        <w:t>招标人可以确定排名第二的中标候选人为中标人。</w:t>
      </w:r>
    </w:p>
    <w:p>
      <w:pPr>
        <w:widowControl/>
        <w:spacing w:line="400" w:lineRule="exact"/>
        <w:ind w:firstLine="517" w:firstLineChars="245"/>
        <w:jc w:val="left"/>
        <w:rPr>
          <w:rFonts w:ascii="宋体" w:hAnsi="宋体" w:cs="宋体"/>
          <w:color w:val="auto"/>
          <w:kern w:val="0"/>
          <w:szCs w:val="21"/>
          <w:highlight w:val="none"/>
        </w:rPr>
      </w:pPr>
      <w:r>
        <w:rPr>
          <w:rFonts w:hint="eastAsia" w:ascii="宋体" w:hAnsi="宋体"/>
          <w:b/>
          <w:color w:val="auto"/>
          <w:szCs w:val="21"/>
          <w:highlight w:val="none"/>
        </w:rPr>
        <w:t>条款号：（二）开标评标办法程序和细则</w:t>
      </w:r>
      <w:r>
        <w:rPr>
          <w:rFonts w:ascii="宋体" w:hAnsi="宋体"/>
          <w:b/>
          <w:color w:val="auto"/>
          <w:szCs w:val="21"/>
          <w:highlight w:val="none"/>
        </w:rPr>
        <w:t xml:space="preserve">注          </w:t>
      </w:r>
      <w:r>
        <w:rPr>
          <w:rFonts w:hint="eastAsia" w:ascii="宋体" w:hAnsi="宋体"/>
          <w:b/>
          <w:color w:val="auto"/>
          <w:szCs w:val="21"/>
          <w:highlight w:val="none"/>
        </w:rPr>
        <w:t>修改类型：删除</w:t>
      </w:r>
    </w:p>
    <w:p>
      <w:pPr>
        <w:pBdr>
          <w:bottom w:val="single" w:color="auto" w:sz="6" w:space="1"/>
        </w:pBdr>
        <w:spacing w:line="400" w:lineRule="exact"/>
        <w:ind w:firstLine="527" w:firstLineChars="250"/>
        <w:rPr>
          <w:rFonts w:ascii="宋体" w:hAnsi="宋体" w:cs="宋体"/>
          <w:color w:val="auto"/>
          <w:kern w:val="0"/>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注：以下八种评标办法所述企业综合诚信评价分数即投标截止当日广州市工程招标代理行业协会网站上公布的企业综合诚信评价</w:t>
      </w:r>
      <w:r>
        <w:rPr>
          <w:rFonts w:ascii="宋体" w:hAnsi="宋体" w:cs="宋体"/>
          <w:color w:val="auto"/>
          <w:szCs w:val="21"/>
          <w:highlight w:val="none"/>
        </w:rPr>
        <w:t>60</w:t>
      </w:r>
      <w:r>
        <w:rPr>
          <w:rFonts w:hint="eastAsia" w:ascii="宋体" w:hAnsi="宋体" w:cs="宋体"/>
          <w:color w:val="auto"/>
          <w:szCs w:val="21"/>
          <w:highlight w:val="none"/>
        </w:rPr>
        <w:t>日诚信分</w:t>
      </w:r>
      <w:r>
        <w:rPr>
          <w:rFonts w:ascii="宋体" w:hAnsi="宋体" w:cs="宋体"/>
          <w:color w:val="auto"/>
          <w:szCs w:val="21"/>
          <w:highlight w:val="none"/>
        </w:rPr>
        <w:t>。</w:t>
      </w:r>
    </w:p>
    <w:p>
      <w:pPr>
        <w:spacing w:line="5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spacing w:line="5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5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投标截止期前，各投标人递交投标文件（包括技术标投标文件、经济标投标文件）至交易平台。有关投标文件提交的事项详见第一章投标须知。</w:t>
      </w:r>
    </w:p>
    <w:p>
      <w:pPr>
        <w:pBdr>
          <w:bottom w:val="single" w:color="auto" w:sz="6" w:space="1"/>
        </w:pBdr>
        <w:spacing w:line="5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投标截止期前，各投标人递交投标文件（包括技术标投标文件、经济标投标文件）至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auto" w:sz="6" w:space="1"/>
        </w:pBdr>
        <w:spacing w:line="4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开标前，首先由招标人随机抽取确定该工程计算评标参考价的等分点值X；</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条款号：41.2.3             修改类型：修改</w:t>
      </w:r>
    </w:p>
    <w:p>
      <w:pPr>
        <w:pBdr>
          <w:bottom w:val="single" w:color="auto" w:sz="6" w:space="1"/>
        </w:pBdr>
        <w:spacing w:line="4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开标时，投标人代表有权出席开标会，也可以自主决定不参加开标会，若投标人代表对开标过程提出异议，该投标人代表须同时出示本人身份证原件。</w:t>
      </w:r>
    </w:p>
    <w:p>
      <w:pPr>
        <w:pBdr>
          <w:bottom w:val="single" w:color="auto" w:sz="6" w:space="1"/>
        </w:pBdr>
        <w:spacing w:line="400" w:lineRule="exact"/>
        <w:ind w:firstLine="460" w:firstLineChars="218"/>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bCs/>
          <w:color w:val="auto"/>
          <w:kern w:val="0"/>
          <w:szCs w:val="21"/>
          <w:highlight w:val="none"/>
        </w:rPr>
        <w:t>开标时，投标人代表有权参加现场开标或</w:t>
      </w:r>
      <w:r>
        <w:rPr>
          <w:rFonts w:hint="eastAsia" w:ascii="宋体" w:hAnsi="宋体" w:cs="宋体"/>
          <w:b/>
          <w:bCs/>
          <w:color w:val="auto"/>
          <w:kern w:val="0"/>
          <w:szCs w:val="21"/>
          <w:highlight w:val="none"/>
          <w:u w:val="single"/>
        </w:rPr>
        <w:t>在线开标</w:t>
      </w:r>
      <w:r>
        <w:rPr>
          <w:rFonts w:hint="eastAsia" w:ascii="宋体" w:hAnsi="宋体" w:cs="宋体"/>
          <w:bCs/>
          <w:color w:val="auto"/>
          <w:kern w:val="0"/>
          <w:szCs w:val="21"/>
          <w:highlight w:val="none"/>
        </w:rPr>
        <w:t>，也可以自主决定不参加开标，若投标人代表对开标过程有异议的，</w:t>
      </w:r>
      <w:r>
        <w:rPr>
          <w:rFonts w:hint="eastAsia" w:ascii="宋体" w:hAnsi="宋体" w:cs="宋体"/>
          <w:b/>
          <w:bCs/>
          <w:color w:val="auto"/>
          <w:kern w:val="0"/>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条款号：42.2            修改类型：修改</w:t>
      </w:r>
    </w:p>
    <w:p>
      <w:pPr>
        <w:pStyle w:val="36"/>
        <w:tabs>
          <w:tab w:val="left" w:pos="7380"/>
        </w:tabs>
        <w:snapToGrid w:val="0"/>
        <w:spacing w:after="0" w:line="360" w:lineRule="auto"/>
        <w:ind w:firstLine="422" w:firstLineChars="200"/>
        <w:rPr>
          <w:rFonts w:ascii="宋体" w:hAnsi="宋体" w:eastAsia="宋体" w:cs="宋体"/>
          <w:color w:val="auto"/>
          <w:kern w:val="2"/>
          <w:sz w:val="21"/>
          <w:szCs w:val="21"/>
          <w:highlight w:val="none"/>
        </w:rPr>
      </w:pPr>
      <w:r>
        <w:rPr>
          <w:rFonts w:hint="eastAsia" w:ascii="宋体" w:hAnsi="宋体" w:eastAsia="宋体" w:cs="宋体"/>
          <w:b/>
          <w:color w:val="auto"/>
          <w:kern w:val="2"/>
          <w:sz w:val="21"/>
          <w:szCs w:val="21"/>
          <w:highlight w:val="none"/>
        </w:rPr>
        <w:t>原文：</w:t>
      </w:r>
      <w:r>
        <w:rPr>
          <w:rFonts w:hint="eastAsia" w:ascii="宋体" w:hAnsi="宋体" w:eastAsia="宋体" w:cs="宋体"/>
          <w:color w:val="auto"/>
          <w:kern w:val="2"/>
          <w:sz w:val="21"/>
          <w:szCs w:val="21"/>
          <w:highlight w:val="none"/>
        </w:rPr>
        <w:t>评标委员会的组成：方式。</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一</w:t>
      </w:r>
      <w:r>
        <w:rPr>
          <w:rFonts w:hint="eastAsia" w:ascii="宋体" w:hAnsi="宋体" w:cs="宋体"/>
          <w:color w:val="auto"/>
          <w:szCs w:val="21"/>
          <w:highlight w:val="none"/>
        </w:rPr>
        <w:t xml:space="preserve">。 </w:t>
      </w:r>
    </w:p>
    <w:p>
      <w:pPr>
        <w:pBdr>
          <w:bottom w:val="single" w:color="auto" w:sz="6" w:space="1"/>
        </w:pBd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条款号：43.1            修改类型：修改</w:t>
      </w:r>
    </w:p>
    <w:p>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kern w:val="0"/>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bCs/>
          <w:color w:val="auto"/>
          <w:kern w:val="0"/>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条款号：44.1             修改类型：修改</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0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b/>
          <w:color w:val="auto"/>
          <w:kern w:val="0"/>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条款号：44.2             修改类型：修改</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技术标详细审查评分：评标委员会按照附表四《技术标详细审查评分表》的标准，对通过技术标有效性审查的投标文件技术标进行详细审查，评出技术分，</w:t>
      </w:r>
      <w:r>
        <w:rPr>
          <w:rFonts w:hint="eastAsia" w:ascii="宋体" w:hAnsi="宋体" w:cs="宋体"/>
          <w:color w:val="auto"/>
          <w:szCs w:val="21"/>
          <w:highlight w:val="none"/>
          <w:u w:val="single"/>
        </w:rPr>
        <w:t>投标人的技术分为各评标委员会成员的评分的算术平均值（若分数出现小数点时，保留小数点后二位，第三位小数四舍五入）</w:t>
      </w:r>
      <w:r>
        <w:rPr>
          <w:rFonts w:hint="eastAsia" w:ascii="宋体" w:hAnsi="宋体" w:cs="宋体"/>
          <w:color w:val="auto"/>
          <w:szCs w:val="21"/>
          <w:highlight w:val="none"/>
        </w:rPr>
        <w:t>。</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条款号：45.1             修改类型：修改</w:t>
      </w:r>
    </w:p>
    <w:p>
      <w:pPr>
        <w:pStyle w:val="36"/>
        <w:tabs>
          <w:tab w:val="left" w:pos="7380"/>
        </w:tabs>
        <w:spacing w:after="0" w:line="400" w:lineRule="exact"/>
        <w:ind w:firstLine="422" w:firstLineChars="200"/>
        <w:rPr>
          <w:rFonts w:ascii="宋体" w:hAnsi="宋体" w:eastAsia="宋体" w:cs="宋体"/>
          <w:color w:val="auto"/>
          <w:kern w:val="2"/>
          <w:sz w:val="21"/>
          <w:szCs w:val="21"/>
          <w:highlight w:val="none"/>
        </w:rPr>
      </w:pPr>
      <w:r>
        <w:rPr>
          <w:rFonts w:hint="eastAsia" w:ascii="宋体" w:hAnsi="宋体" w:eastAsia="宋体" w:cs="宋体"/>
          <w:b/>
          <w:color w:val="auto"/>
          <w:kern w:val="2"/>
          <w:sz w:val="21"/>
          <w:szCs w:val="21"/>
          <w:highlight w:val="none"/>
        </w:rPr>
        <w:t>原文：</w:t>
      </w:r>
      <w:r>
        <w:rPr>
          <w:rFonts w:hint="eastAsia" w:ascii="宋体" w:hAnsi="宋体" w:eastAsia="宋体" w:cs="宋体"/>
          <w:color w:val="auto"/>
          <w:kern w:val="2"/>
          <w:sz w:val="21"/>
          <w:szCs w:val="21"/>
          <w:highlight w:val="none"/>
        </w:rPr>
        <w:t>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0"/>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若通过技术标有效性审查的投标人中所有投标报价均大于等于最高投标限价*</w:t>
      </w:r>
      <w:r>
        <w:rPr>
          <w:rFonts w:hint="eastAsia" w:ascii="宋体" w:hAnsi="宋体" w:cs="宋体"/>
          <w:color w:val="auto"/>
          <w:szCs w:val="21"/>
          <w:highlight w:val="none"/>
          <w:u w:val="single"/>
        </w:rPr>
        <w:t>100</w:t>
      </w:r>
      <w:r>
        <w:rPr>
          <w:rFonts w:hint="eastAsia" w:ascii="宋体" w:hAnsi="宋体" w:cs="宋体"/>
          <w:color w:val="auto"/>
          <w:szCs w:val="21"/>
          <w:highlight w:val="none"/>
        </w:rPr>
        <w:t>%（D的取值范围为[94,100],由招标人自主确定）的（具体金额为：</w:t>
      </w:r>
      <w:r>
        <w:rPr>
          <w:rFonts w:hint="eastAsia" w:ascii="宋体" w:hAnsi="宋体" w:cs="宋体"/>
          <w:color w:val="auto"/>
          <w:szCs w:val="21"/>
          <w:highlight w:val="none"/>
          <w:u w:val="single"/>
          <w:lang w:val="en-US" w:eastAsia="zh-CN" w:bidi="ar"/>
        </w:rPr>
        <w:t>11,709,619.72</w:t>
      </w:r>
      <w:r>
        <w:rPr>
          <w:rFonts w:hint="eastAsia" w:ascii="宋体" w:hAnsi="宋体" w:cs="宋体"/>
          <w:color w:val="auto"/>
          <w:szCs w:val="21"/>
          <w:highlight w:val="none"/>
        </w:rPr>
        <w:t xml:space="preserve">元），则本项目招标失败，由招标人依法重新招标。 </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条款号：45.2             修改类型：修改</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45.2按方法计算评标参考价：</w:t>
      </w:r>
    </w:p>
    <w:p>
      <w:pPr>
        <w:pBdr>
          <w:bottom w:val="single" w:color="auto" w:sz="6"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计算评标参考价：</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方法一：加权平均法 </w:t>
      </w:r>
      <w:r>
        <w:rPr>
          <w:rFonts w:hint="eastAsia" w:ascii="宋体" w:hAnsi="宋体" w:cs="宋体"/>
          <w:b/>
          <w:color w:val="auto"/>
          <w:szCs w:val="21"/>
          <w:highlight w:val="none"/>
        </w:rPr>
        <w:t xml:space="preserve">           修改类型：修改</w:t>
      </w:r>
    </w:p>
    <w:p>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原文：方法一：加权平均法</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w:t>
      </w:r>
      <w:r>
        <w:rPr>
          <w:rFonts w:ascii="宋体" w:hAnsi="宋体" w:cs="宋体"/>
          <w:color w:val="auto"/>
          <w:szCs w:val="21"/>
          <w:highlight w:val="none"/>
        </w:rPr>
        <w:t>N</w:t>
      </w:r>
      <w:r>
        <w:rPr>
          <w:rFonts w:hint="eastAsia" w:ascii="宋体" w:hAnsi="宋体" w:cs="宋体"/>
          <w:color w:val="auto"/>
          <w:szCs w:val="21"/>
          <w:highlight w:val="none"/>
        </w:rPr>
        <w:t>名（N≥5，具体由招标人自定）的经济报价加权平均，计算评标参考价。公式如下：</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w:t>
      </w:r>
      <w:r>
        <w:rPr>
          <w:rFonts w:ascii="宋体" w:hAnsi="宋体" w:cs="宋体"/>
          <w:color w:val="auto"/>
          <w:szCs w:val="21"/>
          <w:highlight w:val="none"/>
        </w:rPr>
        <w:t>=</w:t>
      </w:r>
      <w:r>
        <w:rPr>
          <w:rFonts w:hint="eastAsia" w:ascii="宋体" w:hAnsi="宋体" w:cs="宋体"/>
          <w:color w:val="auto"/>
          <w:szCs w:val="21"/>
          <w:highlight w:val="none"/>
        </w:rPr>
        <w:t>Σ（投标人的投标报价</w:t>
      </w:r>
      <w:r>
        <w:rPr>
          <w:rFonts w:ascii="宋体" w:hAnsi="宋体" w:cs="宋体"/>
          <w:color w:val="auto"/>
          <w:szCs w:val="21"/>
          <w:highlight w:val="none"/>
        </w:rPr>
        <w:t>*</w:t>
      </w:r>
      <w:r>
        <w:rPr>
          <w:rFonts w:hint="eastAsia" w:ascii="宋体" w:hAnsi="宋体" w:cs="宋体"/>
          <w:color w:val="auto"/>
          <w:szCs w:val="21"/>
          <w:highlight w:val="none"/>
        </w:rPr>
        <w:t>报价权重）。</w:t>
      </w:r>
    </w:p>
    <w:p>
      <w:pPr>
        <w:spacing w:line="100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现文：方法一：加权平均法</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通过技术标有效性审查的投标人的技术标得分前</w:t>
      </w:r>
      <w:r>
        <w:rPr>
          <w:rFonts w:ascii="宋体" w:hAnsi="宋体" w:cs="宋体"/>
          <w:color w:val="auto"/>
          <w:szCs w:val="21"/>
          <w:highlight w:val="none"/>
          <w:u w:val="single"/>
        </w:rPr>
        <w:t>5</w:t>
      </w:r>
      <w:r>
        <w:rPr>
          <w:rFonts w:hint="eastAsia" w:ascii="宋体" w:hAnsi="宋体" w:cs="宋体"/>
          <w:color w:val="auto"/>
          <w:szCs w:val="21"/>
          <w:highlight w:val="none"/>
          <w:u w:val="single"/>
        </w:rPr>
        <w:t>名（若满足前述条件的投标人大于等于</w:t>
      </w:r>
      <w:r>
        <w:rPr>
          <w:rFonts w:ascii="宋体" w:hAnsi="宋体" w:cs="宋体"/>
          <w:color w:val="auto"/>
          <w:szCs w:val="21"/>
          <w:highlight w:val="none"/>
          <w:u w:val="single"/>
        </w:rPr>
        <w:t>5</w:t>
      </w:r>
      <w:r>
        <w:rPr>
          <w:rFonts w:hint="eastAsia" w:ascii="宋体" w:hAnsi="宋体" w:cs="宋体"/>
          <w:color w:val="auto"/>
          <w:szCs w:val="21"/>
          <w:highlight w:val="none"/>
          <w:u w:val="single"/>
        </w:rPr>
        <w:t>家时</w:t>
      </w:r>
      <w:r>
        <w:rPr>
          <w:rFonts w:ascii="宋体" w:hAnsi="宋体" w:cs="宋体"/>
          <w:color w:val="auto"/>
          <w:szCs w:val="21"/>
          <w:highlight w:val="none"/>
          <w:u w:val="single"/>
        </w:rPr>
        <w:t>,N=5</w:t>
      </w:r>
      <w:r>
        <w:rPr>
          <w:rFonts w:hint="eastAsia" w:ascii="宋体" w:hAnsi="宋体" w:cs="宋体"/>
          <w:color w:val="auto"/>
          <w:szCs w:val="21"/>
          <w:highlight w:val="none"/>
          <w:u w:val="single"/>
        </w:rPr>
        <w:t>；若满足前述条件的投标人小于</w:t>
      </w:r>
      <w:r>
        <w:rPr>
          <w:rFonts w:ascii="宋体" w:hAnsi="宋体" w:cs="宋体"/>
          <w:color w:val="auto"/>
          <w:szCs w:val="21"/>
          <w:highlight w:val="none"/>
          <w:u w:val="single"/>
        </w:rPr>
        <w:t>5</w:t>
      </w:r>
      <w:r>
        <w:rPr>
          <w:rFonts w:hint="eastAsia" w:ascii="宋体" w:hAnsi="宋体" w:cs="宋体"/>
          <w:color w:val="auto"/>
          <w:szCs w:val="21"/>
          <w:highlight w:val="none"/>
          <w:u w:val="single"/>
        </w:rPr>
        <w:t>家时</w:t>
      </w:r>
      <w:r>
        <w:rPr>
          <w:rFonts w:ascii="宋体" w:hAnsi="宋体" w:cs="宋体"/>
          <w:color w:val="auto"/>
          <w:szCs w:val="21"/>
          <w:highlight w:val="none"/>
          <w:u w:val="single"/>
        </w:rPr>
        <w:t>,N=</w:t>
      </w:r>
      <w:r>
        <w:rPr>
          <w:rFonts w:hint="eastAsia" w:ascii="宋体" w:hAnsi="宋体" w:cs="宋体"/>
          <w:color w:val="auto"/>
          <w:szCs w:val="21"/>
          <w:highlight w:val="none"/>
          <w:u w:val="single"/>
        </w:rPr>
        <w:t>满足前述条件的投标人个数；若技术分相同</w:t>
      </w:r>
      <w:r>
        <w:rPr>
          <w:rFonts w:ascii="宋体" w:hAnsi="宋体" w:cs="宋体"/>
          <w:color w:val="auto"/>
          <w:szCs w:val="21"/>
          <w:highlight w:val="none"/>
          <w:u w:val="single"/>
        </w:rPr>
        <w:t>,</w:t>
      </w:r>
      <w:r>
        <w:rPr>
          <w:rFonts w:hint="eastAsia" w:ascii="宋体" w:hAnsi="宋体" w:cs="宋体"/>
          <w:color w:val="auto"/>
          <w:szCs w:val="21"/>
          <w:highlight w:val="none"/>
          <w:u w:val="single"/>
        </w:rPr>
        <w:t>则以报价较低的排前</w:t>
      </w:r>
      <w:r>
        <w:rPr>
          <w:rFonts w:hint="eastAsia"/>
          <w:color w:val="auto"/>
          <w:highlight w:val="none"/>
          <w:u w:val="single"/>
          <w:lang w:eastAsia="zh-CN"/>
        </w:rPr>
        <w:t>，</w:t>
      </w:r>
      <w:r>
        <w:rPr>
          <w:rFonts w:hint="eastAsia"/>
          <w:color w:val="auto"/>
          <w:highlight w:val="none"/>
          <w:u w:val="single"/>
        </w:rPr>
        <w:t>如仍存在相同情况，则对具有相同情况的投标人，由评标委员会采用记名投票方式决定先后顺序，确定投标人的排序。</w:t>
      </w:r>
      <w:r>
        <w:rPr>
          <w:rFonts w:hint="eastAsia" w:ascii="宋体" w:hAnsi="宋体" w:cs="宋体"/>
          <w:color w:val="auto"/>
          <w:szCs w:val="21"/>
          <w:highlight w:val="none"/>
          <w:u w:val="single"/>
        </w:rPr>
        <w:t>）的经济报价加权平均，计算评标参考价。公式如下：</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w:t>
      </w:r>
      <w:r>
        <w:rPr>
          <w:rFonts w:ascii="宋体" w:hAnsi="宋体" w:cs="宋体"/>
          <w:color w:val="auto"/>
          <w:szCs w:val="21"/>
          <w:highlight w:val="none"/>
        </w:rPr>
        <w:t>=</w:t>
      </w:r>
      <w:r>
        <w:rPr>
          <w:rFonts w:hint="eastAsia" w:ascii="宋体" w:hAnsi="宋体" w:cs="宋体"/>
          <w:color w:val="auto"/>
          <w:szCs w:val="21"/>
          <w:highlight w:val="none"/>
        </w:rPr>
        <w:t>Σ（投标人的投标报价</w:t>
      </w:r>
      <w:r>
        <w:rPr>
          <w:rFonts w:ascii="宋体" w:hAnsi="宋体" w:cs="宋体"/>
          <w:color w:val="auto"/>
          <w:szCs w:val="21"/>
          <w:highlight w:val="none"/>
        </w:rPr>
        <w:t>*</w:t>
      </w:r>
      <w:r>
        <w:rPr>
          <w:rFonts w:hint="eastAsia" w:ascii="宋体" w:hAnsi="宋体" w:cs="宋体"/>
          <w:color w:val="auto"/>
          <w:szCs w:val="21"/>
          <w:highlight w:val="none"/>
        </w:rPr>
        <w:t>报价权重）。</w:t>
      </w:r>
    </w:p>
    <w:p>
      <w:pPr>
        <w:spacing w:line="100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pBdr>
          <w:bottom w:val="single" w:color="auto" w:sz="6" w:space="1"/>
        </w:pBdr>
        <w:spacing w:line="400" w:lineRule="exact"/>
        <w:rPr>
          <w:rFonts w:ascii="宋体" w:hAnsi="宋体" w:cs="宋体"/>
          <w:color w:val="auto"/>
          <w:szCs w:val="21"/>
          <w:highlight w:val="none"/>
        </w:rPr>
      </w:pPr>
    </w:p>
    <w:p>
      <w:pPr>
        <w:pBdr>
          <w:bottom w:val="single" w:color="auto" w:sz="6" w:space="1"/>
        </w:pBdr>
        <w:spacing w:line="400" w:lineRule="exact"/>
        <w:rPr>
          <w:rFonts w:ascii="宋体" w:hAnsi="宋体" w:cs="宋体"/>
          <w:color w:val="auto"/>
          <w:szCs w:val="21"/>
          <w:highlight w:val="none"/>
        </w:rPr>
      </w:pP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条款号：45.3             修改类型：修改</w:t>
      </w:r>
    </w:p>
    <w:p>
      <w:pPr>
        <w:spacing w:line="380" w:lineRule="exact"/>
        <w:ind w:firstLine="422" w:firstLineChars="200"/>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45.3</w:t>
      </w:r>
      <w:r>
        <w:rPr>
          <w:rFonts w:hint="eastAsia" w:ascii="宋体" w:hAnsi="宋体"/>
          <w:color w:val="auto"/>
          <w:szCs w:val="21"/>
          <w:highlight w:val="none"/>
        </w:rPr>
        <w:t>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spacing w:line="38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当标价等于评标参考价时得100分，标价每高于评标参考价1%，扣0.3分，每低于评标参考价1%，扣0.2分，扣至0分为止，得出经济分，精确到小数点后两位</w:t>
      </w:r>
      <w:r>
        <w:rPr>
          <w:rFonts w:hint="eastAsia" w:ascii="宋体" w:hAnsi="宋体"/>
          <w:color w:val="auto"/>
          <w:szCs w:val="21"/>
          <w:highlight w:val="none"/>
        </w:rPr>
        <w:t>。</w:t>
      </w:r>
    </w:p>
    <w:p>
      <w:pPr>
        <w:pBdr>
          <w:bottom w:val="single" w:color="auto" w:sz="6" w:space="1"/>
        </w:pBdr>
        <w:spacing w:line="500" w:lineRule="exact"/>
        <w:rPr>
          <w:rFonts w:ascii="宋体" w:hAnsi="宋体"/>
          <w:b/>
          <w:color w:val="auto"/>
          <w:szCs w:val="21"/>
          <w:highlight w:val="none"/>
        </w:rPr>
      </w:pP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条款号：45.4             修改类型：修改</w:t>
      </w:r>
    </w:p>
    <w:p>
      <w:pPr>
        <w:spacing w:line="380" w:lineRule="exact"/>
        <w:ind w:firstLine="422" w:firstLineChars="200"/>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top w:val="none" w:color="auto" w:sz="0" w:space="1"/>
          <w:left w:val="none" w:color="auto" w:sz="0" w:space="4"/>
          <w:bottom w:val="none" w:color="auto" w:sz="0" w:space="1"/>
          <w:right w:val="none" w:color="auto" w:sz="0" w:space="4"/>
        </w:pBdr>
        <w:spacing w:line="38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45.4计算通过技术标有效性审查的投标人总得分。</w:t>
      </w:r>
      <w:r>
        <w:rPr>
          <w:rFonts w:hint="eastAsia" w:ascii="宋体" w:hAnsi="宋体" w:cs="宋体"/>
          <w:color w:val="auto"/>
          <w:szCs w:val="21"/>
          <w:highlight w:val="none"/>
          <w:u w:val="single"/>
        </w:rPr>
        <w:t>投标人总得分=技术得分</w:t>
      </w:r>
      <w:r>
        <w:rPr>
          <w:rFonts w:ascii="宋体" w:hAnsi="宋体" w:cs="宋体"/>
          <w:color w:val="auto"/>
          <w:szCs w:val="21"/>
          <w:highlight w:val="none"/>
          <w:u w:val="single"/>
        </w:rPr>
        <w:t>（</w:t>
      </w:r>
      <w:r>
        <w:rPr>
          <w:rFonts w:hint="eastAsia" w:ascii="宋体" w:hAnsi="宋体" w:cs="宋体"/>
          <w:color w:val="auto"/>
          <w:szCs w:val="21"/>
          <w:highlight w:val="none"/>
          <w:u w:val="single"/>
        </w:rPr>
        <w:t>满分20</w:t>
      </w:r>
      <w:r>
        <w:rPr>
          <w:rFonts w:ascii="宋体" w:hAnsi="宋体" w:cs="宋体"/>
          <w:color w:val="auto"/>
          <w:szCs w:val="21"/>
          <w:highlight w:val="none"/>
          <w:u w:val="single"/>
        </w:rPr>
        <w:t>分）</w:t>
      </w:r>
      <w:r>
        <w:rPr>
          <w:rFonts w:hint="eastAsia" w:ascii="宋体" w:hAnsi="宋体" w:cs="宋体"/>
          <w:color w:val="auto"/>
          <w:szCs w:val="21"/>
          <w:highlight w:val="none"/>
          <w:u w:val="single"/>
        </w:rPr>
        <w:t>＋经济得分×经济得分权重(80%)。总得分四舍五入保留两位小数。总得分相同的投标文件，以技术分较高的排前；技术分均相同的投标文件，以</w:t>
      </w:r>
      <w:r>
        <w:rPr>
          <w:rFonts w:hint="eastAsia" w:ascii="宋体" w:hAnsi="宋体" w:cs="宋体"/>
          <w:color w:val="auto"/>
          <w:szCs w:val="21"/>
          <w:highlight w:val="none"/>
          <w:u w:val="single"/>
          <w:lang w:val="en-US" w:eastAsia="zh-CN"/>
        </w:rPr>
        <w:t>报价低</w:t>
      </w:r>
      <w:r>
        <w:rPr>
          <w:rFonts w:hint="eastAsia" w:ascii="宋体" w:hAnsi="宋体" w:cs="宋体"/>
          <w:color w:val="auto"/>
          <w:szCs w:val="21"/>
          <w:highlight w:val="none"/>
          <w:u w:val="single"/>
        </w:rPr>
        <w:t>的排前；如仍存在相同情况，则对具有相同情况的投标人，由评标委员会采用以差额选举的记名投票方式决定先后顺序，确定投标人的排序。</w:t>
      </w:r>
    </w:p>
    <w:p>
      <w:pPr>
        <w:pBdr>
          <w:bottom w:val="single" w:color="auto" w:sz="6" w:space="1"/>
        </w:pBdr>
        <w:spacing w:line="400" w:lineRule="exact"/>
        <w:rPr>
          <w:rFonts w:ascii="宋体" w:hAnsi="宋体" w:cs="宋体"/>
          <w:color w:val="auto"/>
          <w:szCs w:val="21"/>
          <w:highlight w:val="none"/>
        </w:rPr>
      </w:pP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条款号：46.1             修改类型：修改</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kern w:val="0"/>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kern w:val="0"/>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bCs/>
          <w:color w:val="auto"/>
          <w:kern w:val="0"/>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5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附表二：《技术标有效性审查表》  附表三：《经济标有效性审查表》  附表四：《技术标详细审查评分表》 修改类型：修改</w:t>
      </w:r>
    </w:p>
    <w:p>
      <w:pPr>
        <w:pBdr>
          <w:bottom w:val="single" w:color="auto" w:sz="6" w:space="1"/>
        </w:pBdr>
        <w:spacing w:line="500" w:lineRule="exact"/>
        <w:ind w:firstLine="413" w:firstLineChars="196"/>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w:t>
      </w:r>
    </w:p>
    <w:p>
      <w:pPr>
        <w:pBdr>
          <w:bottom w:val="single" w:color="auto" w:sz="6" w:space="1"/>
        </w:pBdr>
        <w:spacing w:line="500" w:lineRule="exact"/>
        <w:ind w:firstLine="413" w:firstLineChars="196"/>
        <w:rPr>
          <w:rFonts w:ascii="宋体" w:hAnsi="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详见本招标文件附表一：《资格审查表》    附表二：《技术标有效性审查表》   附表三：《经济标有效性审查表》   附表四：《技术标详细审查评分表》</w:t>
      </w:r>
    </w:p>
    <w:p>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条款号：附表五：（适用于区间抽取法） 《经济标评分表》            修改类型：删除</w:t>
      </w:r>
    </w:p>
    <w:p>
      <w:pPr>
        <w:pBdr>
          <w:bottom w:val="single" w:color="auto" w:sz="6" w:space="1"/>
        </w:pBdr>
        <w:tabs>
          <w:tab w:val="center" w:pos="4536"/>
        </w:tabs>
        <w:spacing w:line="500" w:lineRule="exact"/>
        <w:ind w:firstLine="422" w:firstLineChars="200"/>
        <w:rPr>
          <w:rFonts w:ascii="宋体" w:hAnsi="宋体"/>
          <w:color w:val="auto"/>
          <w:szCs w:val="21"/>
          <w:highlight w:val="none"/>
          <w:u w:val="single"/>
        </w:rPr>
      </w:pPr>
      <w:r>
        <w:rPr>
          <w:rFonts w:hint="eastAsia" w:ascii="宋体" w:hAnsi="宋体"/>
          <w:b/>
          <w:color w:val="auto"/>
          <w:szCs w:val="21"/>
          <w:highlight w:val="none"/>
        </w:rPr>
        <w:t>原文：</w:t>
      </w:r>
      <w:r>
        <w:rPr>
          <w:rFonts w:hint="eastAsia" w:ascii="宋体" w:hAnsi="宋体" w:cs="宋体"/>
          <w:color w:val="auto"/>
          <w:szCs w:val="21"/>
          <w:highlight w:val="none"/>
        </w:rPr>
        <w:t>详见原范本附表五：（适用于区间抽取法）《经济标评分表》</w:t>
      </w:r>
    </w:p>
    <w:p>
      <w:pPr>
        <w:spacing w:line="500" w:lineRule="exact"/>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500" w:lineRule="exact"/>
        <w:rPr>
          <w:rFonts w:ascii="宋体" w:hAnsi="宋体" w:cs="宋体"/>
          <w:color w:val="auto"/>
          <w:szCs w:val="21"/>
          <w:highlight w:val="none"/>
        </w:rPr>
      </w:pPr>
      <w:r>
        <w:rPr>
          <w:rFonts w:hint="eastAsia" w:ascii="宋体" w:hAnsi="宋体" w:cs="宋体"/>
          <w:b/>
          <w:color w:val="auto"/>
          <w:szCs w:val="21"/>
          <w:highlight w:val="none"/>
        </w:rPr>
        <w:t>（以下无正文）</w:t>
      </w:r>
    </w:p>
    <w:p>
      <w:pPr>
        <w:pStyle w:val="4"/>
        <w:ind w:firstLine="186"/>
        <w:jc w:val="center"/>
        <w:rPr>
          <w:rFonts w:ascii="宋体" w:hAnsi="宋体"/>
          <w:color w:val="auto"/>
          <w:sz w:val="21"/>
          <w:szCs w:val="21"/>
          <w:highlight w:val="none"/>
        </w:rPr>
      </w:pPr>
      <w:r>
        <w:rPr>
          <w:rFonts w:hint="eastAsia" w:ascii="宋体" w:hAnsi="宋体" w:cs="宋体"/>
          <w:color w:val="auto"/>
          <w:sz w:val="21"/>
          <w:szCs w:val="21"/>
          <w:highlight w:val="none"/>
        </w:rPr>
        <w:br w:type="page"/>
      </w:r>
      <w:bookmarkStart w:id="27" w:name="_Toc21525500"/>
      <w:bookmarkStart w:id="28" w:name="_Toc2272556"/>
      <w:bookmarkStart w:id="29" w:name="_Toc1309"/>
      <w:bookmarkStart w:id="30" w:name="_Toc2272564"/>
      <w:r>
        <w:rPr>
          <w:rFonts w:hint="eastAsia" w:ascii="宋体" w:hAnsi="宋体"/>
          <w:color w:val="auto"/>
          <w:sz w:val="21"/>
          <w:szCs w:val="21"/>
          <w:highlight w:val="none"/>
        </w:rPr>
        <w:t>二、开标、评标及定标办法通用条款</w:t>
      </w:r>
      <w:bookmarkEnd w:id="27"/>
      <w:bookmarkEnd w:id="28"/>
      <w:bookmarkEnd w:id="29"/>
    </w:p>
    <w:p>
      <w:pPr>
        <w:pStyle w:val="6"/>
        <w:spacing w:before="156" w:after="156"/>
        <w:ind w:firstLine="420" w:firstLineChars="200"/>
        <w:rPr>
          <w:color w:val="auto"/>
          <w:sz w:val="21"/>
          <w:szCs w:val="21"/>
          <w:highlight w:val="none"/>
        </w:rPr>
      </w:pPr>
      <w:bookmarkStart w:id="31" w:name="_Toc21525501"/>
      <w:bookmarkStart w:id="32" w:name="_Toc4232"/>
      <w:bookmarkStart w:id="33" w:name="_Toc2272557"/>
      <w:bookmarkStart w:id="34" w:name="_Toc2272558"/>
      <w:bookmarkStart w:id="35" w:name="_Toc21525502"/>
      <w:r>
        <w:rPr>
          <w:rFonts w:hint="eastAsia"/>
          <w:color w:val="auto"/>
          <w:sz w:val="21"/>
          <w:szCs w:val="21"/>
          <w:highlight w:val="none"/>
        </w:rPr>
        <w:t>（一）总则</w:t>
      </w:r>
      <w:bookmarkEnd w:id="31"/>
      <w:bookmarkEnd w:id="32"/>
      <w:bookmarkEnd w:id="33"/>
    </w:p>
    <w:p>
      <w:pPr>
        <w:spacing w:line="360" w:lineRule="auto"/>
        <w:ind w:firstLine="420" w:firstLineChars="200"/>
        <w:rPr>
          <w:rFonts w:ascii="宋体" w:hAnsi="宋体"/>
          <w:b/>
          <w:color w:val="auto"/>
          <w:szCs w:val="21"/>
          <w:highlight w:val="none"/>
        </w:rPr>
      </w:pPr>
      <w:r>
        <w:rPr>
          <w:rFonts w:ascii="宋体" w:hAnsi="宋体"/>
          <w:color w:val="auto"/>
          <w:szCs w:val="21"/>
          <w:highlight w:val="none"/>
        </w:rPr>
        <w:t xml:space="preserve">35 </w:t>
      </w:r>
      <w:r>
        <w:rPr>
          <w:rFonts w:hint="eastAsia" w:ascii="宋体" w:hAnsi="宋体"/>
          <w:color w:val="auto"/>
          <w:szCs w:val="21"/>
          <w:highlight w:val="none"/>
        </w:rPr>
        <w:t>开标、评标及定标所依据的规则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35.1</w:t>
      </w:r>
      <w:r>
        <w:rPr>
          <w:rFonts w:hint="eastAsia" w:ascii="宋体" w:hAnsi="宋体"/>
          <w:color w:val="auto"/>
          <w:szCs w:val="21"/>
          <w:highlight w:val="none"/>
        </w:rPr>
        <w:t>《中华人民共和国招标投标法》；</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《中华人民共和国招标投标法实施条例》；</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35.3</w:t>
      </w:r>
      <w:r>
        <w:rPr>
          <w:rFonts w:hint="eastAsia" w:ascii="宋体" w:hAnsi="宋体"/>
          <w:color w:val="auto"/>
          <w:szCs w:val="21"/>
          <w:highlight w:val="none"/>
        </w:rPr>
        <w:t>《评标委员会和评标方法暂行规定》（七部委第</w:t>
      </w:r>
      <w:r>
        <w:rPr>
          <w:rFonts w:ascii="宋体" w:hAnsi="宋体"/>
          <w:color w:val="auto"/>
          <w:szCs w:val="21"/>
          <w:highlight w:val="none"/>
        </w:rPr>
        <w:t>12</w:t>
      </w:r>
      <w:r>
        <w:rPr>
          <w:rFonts w:hint="eastAsia" w:ascii="宋体" w:hAnsi="宋体"/>
          <w:color w:val="auto"/>
          <w:szCs w:val="21"/>
          <w:highlight w:val="none"/>
        </w:rPr>
        <w:t>号令）</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35.4</w:t>
      </w:r>
      <w:r>
        <w:rPr>
          <w:rFonts w:hint="eastAsia" w:ascii="宋体" w:hAnsi="宋体"/>
          <w:color w:val="auto"/>
          <w:szCs w:val="21"/>
          <w:highlight w:val="none"/>
        </w:rPr>
        <w:t>《工程建设项目施工招标投标办法》（七部委</w:t>
      </w:r>
      <w:r>
        <w:rPr>
          <w:rFonts w:ascii="宋体" w:hAnsi="宋体"/>
          <w:color w:val="auto"/>
          <w:szCs w:val="21"/>
          <w:highlight w:val="none"/>
        </w:rPr>
        <w:t>2003</w:t>
      </w:r>
      <w:r>
        <w:rPr>
          <w:rFonts w:hint="eastAsia" w:ascii="宋体" w:hAnsi="宋体"/>
          <w:color w:val="auto"/>
          <w:szCs w:val="21"/>
          <w:highlight w:val="none"/>
        </w:rPr>
        <w:t>年第</w:t>
      </w:r>
      <w:r>
        <w:rPr>
          <w:rFonts w:ascii="宋体" w:hAnsi="宋体"/>
          <w:color w:val="auto"/>
          <w:szCs w:val="21"/>
          <w:highlight w:val="none"/>
        </w:rPr>
        <w:t>30</w:t>
      </w:r>
      <w:r>
        <w:rPr>
          <w:rFonts w:hint="eastAsia" w:ascii="宋体" w:hAnsi="宋体"/>
          <w:color w:val="auto"/>
          <w:szCs w:val="21"/>
          <w:highlight w:val="none"/>
        </w:rPr>
        <w:t>号令）</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35.5</w:t>
      </w:r>
      <w:r>
        <w:rPr>
          <w:rFonts w:hint="eastAsia" w:ascii="宋体" w:hAnsi="宋体"/>
          <w:color w:val="auto"/>
          <w:szCs w:val="21"/>
          <w:highlight w:val="none"/>
        </w:rPr>
        <w:t>《广东省实施〈中华人民共和国招标投标法〉办法》；</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35.6</w:t>
      </w:r>
      <w:r>
        <w:rPr>
          <w:rFonts w:hint="eastAsia" w:ascii="宋体" w:hAnsi="宋体"/>
          <w:color w:val="auto"/>
          <w:szCs w:val="21"/>
          <w:highlight w:val="none"/>
        </w:rPr>
        <w:t>《房屋建筑和市政基础设施工程施工招标投标管理办法》（建设部令第</w:t>
      </w:r>
      <w:r>
        <w:rPr>
          <w:rFonts w:ascii="宋体" w:hAnsi="宋体"/>
          <w:color w:val="auto"/>
          <w:szCs w:val="21"/>
          <w:highlight w:val="none"/>
        </w:rPr>
        <w:t>89</w:t>
      </w:r>
      <w:r>
        <w:rPr>
          <w:rFonts w:hint="eastAsia" w:ascii="宋体" w:hAnsi="宋体"/>
          <w:color w:val="auto"/>
          <w:szCs w:val="21"/>
          <w:highlight w:val="none"/>
        </w:rPr>
        <w:t>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35.7</w:t>
      </w:r>
      <w:r>
        <w:rPr>
          <w:rFonts w:hint="eastAsia" w:ascii="宋体" w:hAnsi="宋体"/>
          <w:color w:val="auto"/>
          <w:szCs w:val="21"/>
          <w:highlight w:val="none"/>
        </w:rPr>
        <w:t>《广东省加强建设工程招标投标监督管理的若干规定》（粤发[2004]4号）；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35.</w:t>
      </w:r>
      <w:r>
        <w:rPr>
          <w:rFonts w:hint="eastAsia" w:ascii="宋体" w:hAnsi="宋体"/>
          <w:color w:val="auto"/>
          <w:szCs w:val="21"/>
          <w:highlight w:val="none"/>
        </w:rPr>
        <w:t>8《广州市工程建设项目招标投标管理办法》（穗府办规〔2017〕5号）。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35.9本项目招标文件。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36</w:t>
      </w:r>
      <w:r>
        <w:rPr>
          <w:rFonts w:hint="eastAsia" w:ascii="宋体" w:hAnsi="宋体"/>
          <w:color w:val="auto"/>
          <w:szCs w:val="21"/>
          <w:highlight w:val="none"/>
        </w:rPr>
        <w:t>．开标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36.1 </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 xml:space="preserve"> 招标人在招标文件要求提交投标文件的截止时间前收到的投标文件，开标时都当众予以解密、公布。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36.4若递交投标文件的投标人不足3家，则重新组织招标。（当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w:t>
      </w:r>
      <w:r>
        <w:rPr>
          <w:rFonts w:hint="eastAsia" w:ascii="宋体" w:hAnsi="宋体"/>
          <w:color w:val="auto"/>
          <w:szCs w:val="21"/>
          <w:highlight w:val="none"/>
        </w:rPr>
        <w:t>2家，则重新组织招标）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36.5按下列程序进行开标：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36.5.2备用光盘的读取按投标须知前附表第36项的规定执行；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36.5.3投标人代表、招标人代表、监标人、记录人等有关人员在开标记录上签字确认；若有关人员不签字的，不影响开标程序；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36.5.4开标结束。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36.7开标时，两个（含两个）以上的投标人加密打包投标文件电脑机器特征码一致的，不参与下一程序，并由评标委员会否决其投标。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rPr>
        <w:t>．评标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评标委员会由招标人依法组建。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评标委员会的职责及守则：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37.2.1</w:t>
      </w:r>
      <w:r>
        <w:rPr>
          <w:rFonts w:hint="eastAsia" w:ascii="宋体" w:hAnsi="宋体"/>
          <w:color w:val="auto"/>
          <w:szCs w:val="21"/>
          <w:highlight w:val="none"/>
        </w:rPr>
        <w:t>根据评标细则，对投标文件进行认真评审，完成评审报告；</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37.2.2</w:t>
      </w:r>
      <w:r>
        <w:rPr>
          <w:rFonts w:hint="eastAsia" w:ascii="宋体" w:hAnsi="宋体"/>
          <w:color w:val="auto"/>
          <w:szCs w:val="21"/>
          <w:highlight w:val="none"/>
        </w:rPr>
        <w:t>向招标人报告评审意见，推荐合格的中标候选人。</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37.2.3</w:t>
      </w:r>
      <w:r>
        <w:rPr>
          <w:rFonts w:hint="eastAsia" w:ascii="宋体" w:hAnsi="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37.2.4</w:t>
      </w:r>
      <w:r>
        <w:rPr>
          <w:rFonts w:hint="eastAsia" w:ascii="宋体" w:hAnsi="宋体"/>
          <w:color w:val="auto"/>
          <w:szCs w:val="21"/>
          <w:highlight w:val="none"/>
        </w:rPr>
        <w:t>全体参与评标人员：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37.2.4.1 </w:t>
      </w:r>
      <w:r>
        <w:rPr>
          <w:rFonts w:hint="eastAsia" w:ascii="宋体" w:hAnsi="宋体"/>
          <w:color w:val="auto"/>
          <w:szCs w:val="21"/>
          <w:highlight w:val="none"/>
        </w:rPr>
        <w:t>必须遵守评标纪律、不得泄密；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37.2.4.2 </w:t>
      </w:r>
      <w:r>
        <w:rPr>
          <w:rFonts w:hint="eastAsia" w:ascii="宋体" w:hAnsi="宋体"/>
          <w:color w:val="auto"/>
          <w:szCs w:val="21"/>
          <w:highlight w:val="none"/>
        </w:rPr>
        <w:t>必须公正、不得循私；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37.2.4.3 </w:t>
      </w:r>
      <w:r>
        <w:rPr>
          <w:rFonts w:hint="eastAsia" w:ascii="宋体" w:hAnsi="宋体"/>
          <w:color w:val="auto"/>
          <w:szCs w:val="21"/>
          <w:highlight w:val="none"/>
        </w:rPr>
        <w:t>必须科学、不得草率；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37.2.4.4 </w:t>
      </w:r>
      <w:r>
        <w:rPr>
          <w:rFonts w:hint="eastAsia" w:ascii="宋体" w:hAnsi="宋体"/>
          <w:color w:val="auto"/>
          <w:szCs w:val="21"/>
          <w:highlight w:val="none"/>
        </w:rPr>
        <w:t>必须客观、不得带有成见；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37.2.4.5 </w:t>
      </w:r>
      <w:r>
        <w:rPr>
          <w:rFonts w:hint="eastAsia" w:ascii="宋体" w:hAnsi="宋体"/>
          <w:color w:val="auto"/>
          <w:szCs w:val="21"/>
          <w:highlight w:val="none"/>
        </w:rPr>
        <w:t>必须平等、不得强加于人；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37.2.4.6 </w:t>
      </w:r>
      <w:r>
        <w:rPr>
          <w:rFonts w:hint="eastAsia" w:ascii="宋体" w:hAnsi="宋体"/>
          <w:color w:val="auto"/>
          <w:szCs w:val="21"/>
          <w:highlight w:val="none"/>
        </w:rPr>
        <w:t>必须严谨、不得随意马虎。</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37.3 </w:t>
      </w:r>
      <w:r>
        <w:rPr>
          <w:rFonts w:hint="eastAsia" w:ascii="宋体" w:hAnsi="宋体"/>
          <w:color w:val="auto"/>
          <w:szCs w:val="21"/>
          <w:highlight w:val="none"/>
        </w:rPr>
        <w:t>评标结束后，评标委员会递交评标报告并依法推荐中标候选人。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38</w:t>
      </w:r>
      <w:r>
        <w:rPr>
          <w:rFonts w:hint="eastAsia" w:ascii="宋体" w:hAnsi="宋体"/>
          <w:color w:val="auto"/>
          <w:szCs w:val="21"/>
          <w:highlight w:val="none"/>
        </w:rPr>
        <w:t>．投标文件的澄清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38.2 </w:t>
      </w:r>
      <w:r>
        <w:rPr>
          <w:rFonts w:hint="eastAsia" w:ascii="宋体" w:hAnsi="宋体"/>
          <w:color w:val="auto"/>
          <w:szCs w:val="21"/>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38.3 </w:t>
      </w:r>
      <w:r>
        <w:rPr>
          <w:rFonts w:hint="eastAsia" w:ascii="宋体" w:hAnsi="宋体"/>
          <w:color w:val="auto"/>
          <w:szCs w:val="21"/>
          <w:highlight w:val="none"/>
        </w:rPr>
        <w:t>评标委员会或评标委员会专业评审组成员均应当阅读投标人的澄清，但应独立参考澄清对投标文件进行评审。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38.4</w:t>
      </w:r>
      <w:r>
        <w:rPr>
          <w:rFonts w:hint="eastAsia" w:ascii="宋体" w:hAnsi="宋体"/>
          <w:color w:val="auto"/>
          <w:szCs w:val="21"/>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39</w:t>
      </w:r>
      <w:r>
        <w:rPr>
          <w:rFonts w:hint="eastAsia" w:ascii="宋体" w:hAnsi="宋体"/>
          <w:color w:val="auto"/>
          <w:szCs w:val="21"/>
          <w:highlight w:val="none"/>
        </w:rPr>
        <w:t>．定标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39.1 </w:t>
      </w:r>
      <w:r>
        <w:rPr>
          <w:rFonts w:hint="eastAsia" w:ascii="宋体" w:hAnsi="宋体"/>
          <w:color w:val="auto"/>
          <w:szCs w:val="21"/>
          <w:highlight w:val="none"/>
        </w:rPr>
        <w:t>招标人根据评标委员会递交的评标报告，最终审定中标人。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39.2 </w:t>
      </w:r>
      <w:r>
        <w:rPr>
          <w:rFonts w:hint="eastAsia" w:ascii="宋体" w:hAnsi="宋体"/>
          <w:color w:val="auto"/>
          <w:szCs w:val="21"/>
          <w:highlight w:val="none"/>
        </w:rPr>
        <w:t>依法必须进行公开招标的项目，招标人应当确定排名第一的中标候选人为中标人。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39.4</w:t>
      </w:r>
      <w:r>
        <w:rPr>
          <w:rFonts w:hint="eastAsia" w:ascii="宋体" w:hAnsi="宋体"/>
          <w:color w:val="auto"/>
          <w:szCs w:val="21"/>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bookmarkEnd w:id="34"/>
    <w:bookmarkEnd w:id="35"/>
    <w:p>
      <w:pPr>
        <w:pStyle w:val="6"/>
        <w:spacing w:before="156" w:after="156"/>
        <w:ind w:firstLine="420" w:firstLineChars="200"/>
        <w:rPr>
          <w:color w:val="auto"/>
          <w:sz w:val="21"/>
          <w:szCs w:val="21"/>
          <w:highlight w:val="none"/>
        </w:rPr>
      </w:pPr>
      <w:bookmarkStart w:id="36" w:name="_Toc18118"/>
      <w:r>
        <w:rPr>
          <w:rFonts w:hint="eastAsia"/>
          <w:color w:val="auto"/>
          <w:sz w:val="21"/>
          <w:szCs w:val="21"/>
          <w:highlight w:val="none"/>
        </w:rPr>
        <w:t>（二）开标评标办法程序和细则</w:t>
      </w:r>
      <w:bookmarkEnd w:id="3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注：以下八种评标办法所述企业综合诚信评价分数即投标截止当日广州市工程招标代理行业协会网站上公布的企业综合诚信评价</w:t>
      </w:r>
      <w:r>
        <w:rPr>
          <w:rFonts w:ascii="宋体" w:hAnsi="宋体"/>
          <w:color w:val="auto"/>
          <w:szCs w:val="21"/>
          <w:highlight w:val="none"/>
        </w:rPr>
        <w:t>60</w:t>
      </w:r>
      <w:r>
        <w:rPr>
          <w:rFonts w:hint="eastAsia" w:ascii="宋体" w:hAnsi="宋体"/>
          <w:color w:val="auto"/>
          <w:szCs w:val="21"/>
          <w:highlight w:val="none"/>
        </w:rPr>
        <w:t>日诚信分。</w:t>
      </w:r>
    </w:p>
    <w:p>
      <w:pPr>
        <w:ind w:firstLine="186"/>
        <w:jc w:val="center"/>
        <w:rPr>
          <w:rFonts w:ascii="宋体" w:hAnsi="宋体" w:cs="宋体"/>
          <w:color w:val="auto"/>
          <w:szCs w:val="21"/>
          <w:highlight w:val="none"/>
        </w:rPr>
      </w:pPr>
    </w:p>
    <w:bookmarkEnd w:id="30"/>
    <w:p>
      <w:pPr>
        <w:pStyle w:val="6"/>
        <w:spacing w:before="156" w:after="156"/>
        <w:ind w:firstLine="420" w:firstLineChars="200"/>
        <w:rPr>
          <w:color w:val="auto"/>
          <w:sz w:val="21"/>
          <w:szCs w:val="21"/>
          <w:highlight w:val="none"/>
        </w:rPr>
      </w:pPr>
      <w:bookmarkStart w:id="37" w:name="_Toc24831"/>
      <w:bookmarkStart w:id="38" w:name="_Toc21525509"/>
      <w:r>
        <w:rPr>
          <w:rFonts w:hint="eastAsia"/>
          <w:color w:val="auto"/>
          <w:sz w:val="21"/>
          <w:szCs w:val="21"/>
          <w:highlight w:val="none"/>
        </w:rPr>
        <w:t>可选办法七（适合综合评分法四，技术标与经济标同时开启）</w:t>
      </w:r>
      <w:bookmarkEnd w:id="37"/>
      <w:bookmarkEnd w:id="38"/>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40．开标和评标程序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40.1技术标（含资格审查文件）与经济标投标文件同时公开开标；</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40.2由评标委员会对所有已公开开标的投标人进行资格审查；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40.3技术标投标文件有效性审查；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40.4技术标详细审查评分；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40.5经济标详细审查评分；</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40.6评标委员会按照投标人总得分由高至低排序；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40.7经济标投标文件有效性审查；</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40.8评标委员会按排序向招标人推荐中标候选人名单，并递交资格审查报告及评标报告。</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41．开标细则</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41.1开标由招标人主持；</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 细则</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41.2.2开标前，首先由招标人随机抽取确定该工程计算评标参考价的等分点值X。</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41.2.4按36.5.1的规定完成解密后，公布下列内容，并予以记录，记录提交评标委员会评审： </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41.3招标人对开标过程进行记录，并存档备查，投标人在技术标开标记录上签字。</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41.4 招标人将上述符合要求的投标文件，送至评标委员会进行评审。</w:t>
      </w:r>
    </w:p>
    <w:p>
      <w:pPr>
        <w:pStyle w:val="36"/>
        <w:tabs>
          <w:tab w:val="left" w:pos="7380"/>
        </w:tabs>
        <w:snapToGrid w:val="0"/>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42. 资格审查及评标细则</w:t>
      </w:r>
    </w:p>
    <w:p>
      <w:pPr>
        <w:pStyle w:val="36"/>
        <w:tabs>
          <w:tab w:val="left" w:pos="7380"/>
        </w:tabs>
        <w:snapToGrid w:val="0"/>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42.1资格审查及评标均由招标人依法组建的评标委员会负责。</w:t>
      </w:r>
    </w:p>
    <w:p>
      <w:pPr>
        <w:pStyle w:val="36"/>
        <w:tabs>
          <w:tab w:val="left" w:pos="7380"/>
        </w:tabs>
        <w:snapToGrid w:val="0"/>
        <w:spacing w:after="0" w:line="360" w:lineRule="auto"/>
        <w:ind w:firstLineChars="200"/>
        <w:rPr>
          <w:rFonts w:ascii="宋体" w:hAnsi="宋体" w:eastAsia="宋体"/>
          <w:color w:val="auto"/>
          <w:sz w:val="21"/>
          <w:szCs w:val="21"/>
          <w:highlight w:val="none"/>
        </w:rPr>
      </w:pPr>
      <w:r>
        <w:rPr>
          <w:rFonts w:hint="eastAsia" w:ascii="宋体" w:hAnsi="宋体" w:eastAsia="宋体"/>
          <w:color w:val="auto"/>
          <w:kern w:val="2"/>
          <w:sz w:val="21"/>
          <w:szCs w:val="21"/>
          <w:highlight w:val="none"/>
        </w:rPr>
        <w:t xml:space="preserve">42.2评标委员会的组成：方式  </w:t>
      </w:r>
      <w:r>
        <w:rPr>
          <w:rFonts w:hint="eastAsia" w:ascii="宋体" w:hAnsi="宋体" w:eastAsia="宋体"/>
          <w:color w:val="auto"/>
          <w:sz w:val="21"/>
          <w:szCs w:val="21"/>
          <w:highlight w:val="none"/>
        </w:rPr>
        <w:t>。</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方式一：评标委员会为综合评标委员会，负责资格审查及评标工作。</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s="宋体"/>
          <w:color w:val="auto"/>
          <w:sz w:val="21"/>
          <w:szCs w:val="21"/>
          <w:highlight w:val="none"/>
        </w:rPr>
        <w:t>方式二：评标委员会由技术评审组和经济评审组组成。</w:t>
      </w:r>
      <w:r>
        <w:rPr>
          <w:rFonts w:hint="eastAsia" w:ascii="宋体" w:hAnsi="宋体" w:eastAsia="宋体"/>
          <w:color w:val="auto"/>
          <w:kern w:val="2"/>
          <w:sz w:val="21"/>
          <w:szCs w:val="21"/>
          <w:highlight w:val="none"/>
        </w:rPr>
        <w:t>其中：资格审查及技术评审由技术评标组负责，经济评审由经济评审组负责。</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43．投标人资格审查</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43.2汇总资格审查情况，编写资格审查报告。</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43.3资格审查不合格的投标文件不参加下一阶段的评标，不参与评标参考价的计算。</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43.5资审合格后，投标人的资格发生变化而不满足投标人合格条件，在发出中标通知书前，资格问题仍未解决的，招标人将取消其中标资格。</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43.6资格审查合格的投标人少于3名的（当N个标段同时招标且不允许兼中时，资格审查合格的投标人少于N+2名），则本项目招标失败。</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44．技术标评审</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45．经济标评审和得分汇总</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45.1若通过技术标有效性审查的投标人中所有投标报价均大于等于最高投标限价*100%（D的取值范围为[94,100],由招标人自主确定）的（具体金额为：11,709,619.72元），则本项目招标失败，由招标人依法重新招标。</w:t>
      </w:r>
    </w:p>
    <w:p>
      <w:pPr>
        <w:pStyle w:val="36"/>
        <w:tabs>
          <w:tab w:val="left" w:pos="7380"/>
        </w:tabs>
        <w:snapToGrid w:val="0"/>
        <w:spacing w:after="0" w:line="360" w:lineRule="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 xml:space="preserve"> 45.2按方法计算评标参考价：</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技术标或技术标加诚信得分（具体由招标人自定）前</w:t>
      </w:r>
      <w:r>
        <w:rPr>
          <w:rFonts w:ascii="宋体" w:hAnsi="宋体" w:cs="仿宋"/>
          <w:color w:val="auto"/>
          <w:szCs w:val="21"/>
          <w:highlight w:val="none"/>
        </w:rPr>
        <w:t>N</w:t>
      </w:r>
      <w:r>
        <w:rPr>
          <w:rFonts w:hint="eastAsia" w:ascii="宋体" w:hAnsi="宋体" w:cs="仿宋"/>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widowControl/>
        <w:snapToGrid w:val="0"/>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widowControl/>
        <w:snapToGrid w:val="0"/>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*D%</w:t>
      </w:r>
      <w:r>
        <w:rPr>
          <w:rFonts w:hint="eastAsia" w:ascii="宋体" w:hAnsi="宋体" w:cs="仿宋"/>
          <w:color w:val="auto"/>
          <w:szCs w:val="21"/>
          <w:highlight w:val="none"/>
        </w:rPr>
        <w:t>）（</w:t>
      </w:r>
      <w:r>
        <w:rPr>
          <w:rFonts w:ascii="宋体" w:hAnsi="宋体" w:cs="仿宋"/>
          <w:color w:val="auto"/>
          <w:szCs w:val="21"/>
          <w:highlight w:val="none"/>
        </w:rPr>
        <w:t>D</w:t>
      </w:r>
      <w:r>
        <w:rPr>
          <w:rFonts w:hint="eastAsia" w:ascii="宋体" w:hAnsi="宋体" w:cs="仿宋"/>
          <w:color w:val="auto"/>
          <w:szCs w:val="21"/>
          <w:highlight w:val="none"/>
        </w:rPr>
        <w:t>的取值范围为</w:t>
      </w:r>
      <w:r>
        <w:rPr>
          <w:rFonts w:ascii="宋体" w:hAnsi="宋体" w:cs="仿宋"/>
          <w:color w:val="auto"/>
          <w:szCs w:val="21"/>
          <w:highlight w:val="none"/>
        </w:rPr>
        <w:t>[94,100],</w:t>
      </w:r>
      <w:r>
        <w:rPr>
          <w:rFonts w:hint="eastAsia" w:ascii="宋体" w:hAnsi="宋体" w:cs="仿宋"/>
          <w:color w:val="auto"/>
          <w:szCs w:val="21"/>
          <w:highlight w:val="none"/>
        </w:rPr>
        <w:t>由招标人自定）</w:t>
      </w:r>
    </w:p>
    <w:p>
      <w:pPr>
        <w:spacing w:line="360" w:lineRule="auto"/>
        <w:ind w:firstLine="420" w:firstLineChars="200"/>
        <w:rPr>
          <w:rFonts w:ascii="宋体" w:hAnsi="宋体"/>
          <w:color w:val="auto"/>
          <w:szCs w:val="21"/>
          <w:highlight w:val="none"/>
        </w:rPr>
      </w:pPr>
      <w:r>
        <w:rPr>
          <w:rFonts w:ascii="宋体" w:hAnsi="宋体" w:cs="仿宋"/>
          <w:color w:val="auto"/>
          <w:szCs w:val="21"/>
          <w:highlight w:val="none"/>
        </w:rPr>
        <w:t>X:</w:t>
      </w:r>
      <w:r>
        <w:rPr>
          <w:rFonts w:hint="eastAsia" w:ascii="宋体" w:hAnsi="宋体" w:cs="仿宋"/>
          <w:color w:val="auto"/>
          <w:szCs w:val="21"/>
          <w:highlight w:val="none"/>
        </w:rPr>
        <w:t>为等分点值，在开标前从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当标价等于评标参考价时得100分，标价每高于评标参考价1%，扣0.3分，每低于评标参考价1%，扣0.2分，扣至0分为止，得出经济分，精确到小数点后两位</w:t>
      </w:r>
      <w:r>
        <w:rPr>
          <w:rFonts w:hint="eastAsia" w:ascii="宋体" w:hAnsi="宋体"/>
          <w:color w:val="auto"/>
          <w:szCs w:val="21"/>
          <w:highlight w:val="none"/>
        </w:rPr>
        <w:t>。</w:t>
      </w:r>
    </w:p>
    <w:p>
      <w:pPr>
        <w:pStyle w:val="36"/>
        <w:tabs>
          <w:tab w:val="left" w:pos="7380"/>
        </w:tabs>
        <w:snapToGrid w:val="0"/>
        <w:spacing w:after="0" w:line="360" w:lineRule="auto"/>
        <w:ind w:firstLineChars="200"/>
        <w:rPr>
          <w:rFonts w:ascii="宋体" w:hAnsi="宋体" w:eastAsia="宋体" w:cs="仿宋"/>
          <w:color w:val="auto"/>
          <w:kern w:val="2"/>
          <w:sz w:val="21"/>
          <w:szCs w:val="21"/>
          <w:highlight w:val="none"/>
        </w:rPr>
      </w:pPr>
      <w:r>
        <w:rPr>
          <w:rFonts w:hint="eastAsia" w:ascii="宋体" w:hAnsi="宋体" w:eastAsia="宋体"/>
          <w:color w:val="auto"/>
          <w:sz w:val="21"/>
          <w:szCs w:val="21"/>
          <w:highlight w:val="none"/>
        </w:rPr>
        <w:t>45.4</w:t>
      </w:r>
      <w:r>
        <w:rPr>
          <w:rFonts w:hint="eastAsia" w:ascii="宋体" w:hAnsi="宋体" w:eastAsia="宋体" w:cs="仿宋"/>
          <w:color w:val="auto"/>
          <w:kern w:val="2"/>
          <w:sz w:val="21"/>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36"/>
        <w:tabs>
          <w:tab w:val="left" w:pos="7380"/>
        </w:tabs>
        <w:snapToGrid w:val="0"/>
        <w:spacing w:after="0" w:line="360" w:lineRule="auto"/>
        <w:ind w:firstLineChars="200"/>
        <w:rPr>
          <w:rFonts w:ascii="宋体" w:hAnsi="宋体" w:eastAsia="宋体" w:cs="仿宋"/>
          <w:color w:val="auto"/>
          <w:kern w:val="2"/>
          <w:sz w:val="21"/>
          <w:szCs w:val="21"/>
          <w:highlight w:val="none"/>
        </w:rPr>
      </w:pPr>
      <w:r>
        <w:rPr>
          <w:rFonts w:hint="eastAsia" w:ascii="宋体" w:hAnsi="宋体" w:eastAsia="宋体" w:cs="仿宋"/>
          <w:color w:val="auto"/>
          <w:kern w:val="2"/>
          <w:sz w:val="21"/>
          <w:szCs w:val="21"/>
          <w:highlight w:val="none"/>
        </w:rPr>
        <w:t>46.经济标的有效性审查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6.2经济标的算术校核。评标委员会对进行经济标有效性审查的投标文件投标报价按照就低不就高的原则进行算术校核，具体标准如下：</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6.2.1如果数字表示的金额和用文字表示的金额不一致时，应以文字表示的金额为准；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6.2.2经算术复核的投标人报价与其投标报价不一致时，按就低不就高原则确定其最终报价；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4</w:t>
      </w:r>
      <w:r>
        <w:rPr>
          <w:rFonts w:hint="eastAsia" w:ascii="宋体" w:hAnsi="宋体"/>
          <w:color w:val="auto"/>
          <w:szCs w:val="21"/>
          <w:highlight w:val="none"/>
        </w:rPr>
        <w:t>当合价、金额累加错误时，按就低不就高原则，如果累加修正值小于原累加值，则按累加修正值；如果累加修正值大于原累加值，则按原累加值；</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5</w:t>
      </w:r>
      <w:r>
        <w:rPr>
          <w:rFonts w:hint="eastAsia" w:ascii="宋体" w:hAnsi="宋体"/>
          <w:color w:val="auto"/>
          <w:szCs w:val="21"/>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6</w:t>
      </w:r>
      <w:r>
        <w:rPr>
          <w:rFonts w:hint="eastAsia" w:ascii="宋体" w:hAnsi="宋体"/>
          <w:color w:val="auto"/>
          <w:szCs w:val="21"/>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7</w:t>
      </w:r>
      <w:r>
        <w:rPr>
          <w:rFonts w:hint="eastAsia"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6.2.</w:t>
      </w:r>
      <w:r>
        <w:rPr>
          <w:rFonts w:ascii="宋体" w:hAnsi="宋体"/>
          <w:color w:val="auto"/>
          <w:szCs w:val="21"/>
          <w:highlight w:val="none"/>
        </w:rPr>
        <w:t>8</w:t>
      </w:r>
      <w:r>
        <w:rPr>
          <w:rFonts w:hint="eastAsia" w:ascii="宋体" w:hAnsi="宋体"/>
          <w:color w:val="auto"/>
          <w:szCs w:val="21"/>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8.评标委员会应在通过投标文件经济标有效性审查的投标人中，按步骤45.4确定的投标人第二阶段排序，推荐前</w:t>
      </w:r>
      <w:r>
        <w:rPr>
          <w:rFonts w:ascii="宋体" w:hAnsi="宋体"/>
          <w:color w:val="auto"/>
          <w:szCs w:val="21"/>
          <w:highlight w:val="none"/>
        </w:rPr>
        <w:t>3</w:t>
      </w:r>
      <w:r>
        <w:rPr>
          <w:rFonts w:hint="eastAsia" w:ascii="宋体" w:hAnsi="宋体"/>
          <w:color w:val="auto"/>
          <w:szCs w:val="21"/>
          <w:highlight w:val="none"/>
        </w:rPr>
        <w:t>名依次为第一中标候选人至第三中标候选人</w:t>
      </w:r>
      <w:r>
        <w:rPr>
          <w:rFonts w:ascii="宋体" w:hAnsi="宋体"/>
          <w:color w:val="auto"/>
          <w:szCs w:val="21"/>
          <w:highlight w:val="none"/>
        </w:rPr>
        <w:t>,</w:t>
      </w:r>
      <w:r>
        <w:rPr>
          <w:rFonts w:hint="eastAsia" w:ascii="宋体" w:hAnsi="宋体"/>
          <w:color w:val="auto"/>
          <w:szCs w:val="21"/>
          <w:highlight w:val="none"/>
        </w:rPr>
        <w:t>并编制评标报告。</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9.若通过经济标有效性审查的投标人不足三家，应当依法重新招标。（当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N+2</w:t>
      </w:r>
      <w:r>
        <w:rPr>
          <w:rFonts w:hint="eastAsia" w:ascii="宋体" w:hAnsi="宋体"/>
          <w:color w:val="auto"/>
          <w:szCs w:val="21"/>
          <w:highlight w:val="none"/>
        </w:rPr>
        <w:t>家，应当依法重新招标）</w:t>
      </w:r>
    </w:p>
    <w:p>
      <w:pPr>
        <w:spacing w:line="240" w:lineRule="exac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附表一：</w:t>
      </w:r>
    </w:p>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资格审查表</w:t>
      </w:r>
    </w:p>
    <w:p>
      <w:pPr>
        <w:spacing w:line="280" w:lineRule="exact"/>
        <w:rPr>
          <w:rFonts w:ascii="宋体" w:hAnsi="宋体" w:cs="宋体"/>
          <w:color w:val="auto"/>
          <w:szCs w:val="21"/>
          <w:highlight w:val="none"/>
        </w:rPr>
      </w:pPr>
      <w:r>
        <w:rPr>
          <w:rFonts w:hint="eastAsia" w:ascii="宋体" w:hAnsi="宋体" w:cs="宋体"/>
          <w:color w:val="auto"/>
          <w:szCs w:val="21"/>
          <w:highlight w:val="none"/>
        </w:rPr>
        <w:t>工程名称：</w:t>
      </w:r>
    </w:p>
    <w:p>
      <w:pPr>
        <w:spacing w:line="280" w:lineRule="exact"/>
        <w:rPr>
          <w:rFonts w:ascii="宋体" w:hAnsi="宋体" w:cs="宋体"/>
          <w:color w:val="auto"/>
          <w:szCs w:val="21"/>
          <w:highlight w:val="none"/>
        </w:rPr>
      </w:pPr>
      <w:r>
        <w:rPr>
          <w:rFonts w:hint="eastAsia" w:ascii="宋体" w:hAnsi="宋体" w:cs="宋体"/>
          <w:color w:val="auto"/>
          <w:szCs w:val="21"/>
          <w:highlight w:val="none"/>
        </w:rPr>
        <w:t>投标人名称：</w:t>
      </w:r>
    </w:p>
    <w:tbl>
      <w:tblPr>
        <w:tblStyle w:val="38"/>
        <w:tblW w:w="1023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4860"/>
        <w:gridCol w:w="418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ascii="宋体" w:hAnsi="宋体"/>
                <w:color w:val="auto"/>
                <w:szCs w:val="21"/>
                <w:highlight w:val="none"/>
              </w:rPr>
              <w:t>资质证书及安全生产许可证在</w:t>
            </w:r>
            <w:r>
              <w:rPr>
                <w:rFonts w:hint="eastAsia" w:ascii="宋体" w:hAnsi="宋体"/>
                <w:color w:val="auto"/>
                <w:szCs w:val="21"/>
                <w:highlight w:val="none"/>
              </w:rPr>
              <w:t>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投标人拟担任本工程技术负责人符合公告要求</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拟委托技术负责人的相关证书、资料（具体要求详见招标公告）</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专职安全员须具有在有效期内的安全生产考核合格证（C类）或建筑施工企业专职安全生产管理人员安全生产考核合格证书</w:t>
            </w:r>
            <w:r>
              <w:rPr>
                <w:rFonts w:hint="eastAsia" w:ascii="宋体" w:hAnsi="宋体"/>
                <w:color w:val="auto"/>
                <w:szCs w:val="21"/>
                <w:highlight w:val="none"/>
              </w:rPr>
              <w:t>（C3）</w:t>
            </w:r>
            <w:r>
              <w:rPr>
                <w:rFonts w:hint="eastAsia" w:ascii="宋体" w:hAnsi="宋体" w:cs="宋体"/>
                <w:color w:val="auto"/>
                <w:szCs w:val="21"/>
                <w:highlight w:val="none"/>
              </w:rPr>
              <w:t>。</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专职安全员须具有在有效期内的安全生产考核合格证（C类）或建筑施工企业专职安全生产管理人员安全生产考核合格证书（C3）在广州市住建行业信用管理平台内上传件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投标人提供的投标人声明符合公告要求</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4860" w:type="dxa"/>
            <w:tcBorders>
              <w:top w:val="single" w:color="auto" w:sz="4" w:space="0"/>
              <w:left w:val="single" w:color="auto" w:sz="4" w:space="0"/>
              <w:bottom w:val="single" w:color="auto" w:sz="4" w:space="0"/>
              <w:right w:val="single" w:color="auto" w:sz="4" w:space="0"/>
            </w:tcBorders>
            <w:vAlign w:val="center"/>
          </w:tcPr>
          <w:p>
            <w:pPr>
              <w:snapToGrid w:val="0"/>
              <w:spacing w:before="37" w:beforeLines="12" w:after="37" w:afterLines="12" w:line="240" w:lineRule="exact"/>
              <w:ind w:left="-40" w:leftChars="-19" w:right="-57" w:rightChars="-27"/>
              <w:rPr>
                <w:rFonts w:ascii="宋体" w:hAnsi="宋体" w:cs="宋体"/>
                <w:color w:val="auto"/>
                <w:szCs w:val="21"/>
                <w:highlight w:val="none"/>
              </w:rPr>
            </w:pPr>
            <w:r>
              <w:rPr>
                <w:rFonts w:hint="eastAsia" w:ascii="宋体" w:hAnsi="宋体"/>
                <w:color w:val="auto"/>
                <w:szCs w:val="21"/>
                <w:highlight w:val="none"/>
              </w:rPr>
              <w:t>提供联合体工作协议。投标人拟任本工程项目负责人应为主办方正式员工。联合体工作协议应明确约定各方拟承担的工作和责任（如有）</w:t>
            </w:r>
          </w:p>
        </w:tc>
        <w:tc>
          <w:tcPr>
            <w:tcW w:w="4185" w:type="dxa"/>
            <w:tcBorders>
              <w:top w:val="single" w:color="auto" w:sz="4" w:space="0"/>
              <w:left w:val="single" w:color="auto" w:sz="4" w:space="0"/>
              <w:bottom w:val="single" w:color="auto" w:sz="4" w:space="0"/>
              <w:right w:val="single" w:color="auto" w:sz="4" w:space="0"/>
            </w:tcBorders>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联合体工作协议；项目负责人为主办方正式员工在信用管理平台内信息</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12</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13</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u w:val="single"/>
              </w:rPr>
            </w:pPr>
            <w:r>
              <w:rPr>
                <w:rFonts w:hint="eastAsia" w:ascii="宋体" w:hAnsi="宋体"/>
                <w:color w:val="auto"/>
                <w:szCs w:val="21"/>
                <w:highlight w:val="none"/>
              </w:rPr>
              <w:t>未被纳入失信联合惩戒名单</w:t>
            </w:r>
            <w:r>
              <w:rPr>
                <w:rFonts w:hint="eastAsia" w:ascii="宋体" w:hAnsi="宋体" w:cs="宋体"/>
                <w:color w:val="auto"/>
                <w:kern w:val="0"/>
                <w:szCs w:val="21"/>
                <w:highlight w:val="none"/>
              </w:rPr>
              <w:t>且被限制参与相关项目投标的</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投标人无需提供资料，按交易系统比对的结果进行评审</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bl>
    <w:p>
      <w:pPr>
        <w:spacing w:line="24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备注：</w:t>
      </w:r>
    </w:p>
    <w:p>
      <w:pPr>
        <w:spacing w:line="24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 xml:space="preserve">1、每一项目符合的打“○”，不符合的打“×”； </w:t>
      </w:r>
    </w:p>
    <w:p>
      <w:pPr>
        <w:spacing w:line="24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pPr>
        <w:spacing w:line="240" w:lineRule="exact"/>
        <w:ind w:firstLine="470" w:firstLineChars="224"/>
        <w:rPr>
          <w:rFonts w:ascii="宋体" w:hAnsi="宋体" w:cs="宋体"/>
          <w:color w:val="auto"/>
          <w:szCs w:val="21"/>
          <w:highlight w:val="none"/>
        </w:rPr>
        <w:sectPr>
          <w:footerReference r:id="rId10" w:type="first"/>
          <w:footerReference r:id="rId9" w:type="default"/>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s="宋体"/>
          <w:color w:val="auto"/>
          <w:szCs w:val="21"/>
          <w:highlight w:val="none"/>
        </w:rPr>
      </w:pPr>
      <w:r>
        <w:rPr>
          <w:rFonts w:hint="eastAsia" w:ascii="宋体" w:hAnsi="宋体" w:cs="宋体"/>
          <w:color w:val="auto"/>
          <w:szCs w:val="21"/>
          <w:highlight w:val="none"/>
        </w:rPr>
        <w:t>附表二</w:t>
      </w:r>
    </w:p>
    <w:p>
      <w:pPr>
        <w:jc w:val="center"/>
        <w:rPr>
          <w:rFonts w:ascii="宋体" w:hAnsi="宋体" w:cs="宋体"/>
          <w:b/>
          <w:color w:val="auto"/>
          <w:szCs w:val="21"/>
          <w:highlight w:val="none"/>
        </w:rPr>
      </w:pPr>
      <w:r>
        <w:rPr>
          <w:rFonts w:hint="eastAsia" w:ascii="宋体" w:hAnsi="宋体" w:cs="宋体"/>
          <w:b/>
          <w:color w:val="auto"/>
          <w:szCs w:val="21"/>
          <w:highlight w:val="none"/>
        </w:rPr>
        <w:t>技术标有效性审查表</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工程名称：</w:t>
      </w:r>
    </w:p>
    <w:tbl>
      <w:tblPr>
        <w:tblStyle w:val="38"/>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714"/>
        <w:gridCol w:w="995"/>
        <w:gridCol w:w="995"/>
        <w:gridCol w:w="995"/>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9714" w:type="dxa"/>
            <w:tcBorders>
              <w:top w:val="single" w:color="auto" w:sz="4" w:space="0"/>
              <w:left w:val="single" w:color="auto" w:sz="4" w:space="0"/>
              <w:bottom w:val="single" w:color="auto" w:sz="4" w:space="0"/>
              <w:right w:val="single" w:color="auto" w:sz="4" w:space="0"/>
              <w:tl2br w:val="single" w:color="auto" w:sz="4" w:space="0"/>
            </w:tcBorders>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投标人</w:t>
            </w:r>
          </w:p>
          <w:p>
            <w:pPr>
              <w:adjustRightInd w:val="0"/>
              <w:spacing w:line="360" w:lineRule="exact"/>
              <w:rPr>
                <w:rFonts w:ascii="宋体" w:hAnsi="宋体" w:cs="宋体"/>
                <w:color w:val="auto"/>
                <w:szCs w:val="21"/>
                <w:highlight w:val="none"/>
              </w:rPr>
            </w:pPr>
          </w:p>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评审内容</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1</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不能满足完成投标项目工期的；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2</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u w:val="single"/>
              </w:rPr>
              <w:t>不符合招标文件质量标准的；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3</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投标文件中没有有效的法定代表人证明书</w:t>
            </w:r>
            <w:r>
              <w:rPr>
                <w:rFonts w:hint="eastAsia" w:ascii="宋体" w:hAnsi="宋体" w:cs="宋体"/>
                <w:color w:val="auto"/>
                <w:szCs w:val="21"/>
                <w:highlight w:val="none"/>
              </w:rPr>
              <w:t>，</w:t>
            </w:r>
            <w:r>
              <w:rPr>
                <w:rFonts w:hint="eastAsia" w:ascii="宋体" w:hAnsi="宋体"/>
                <w:color w:val="auto"/>
                <w:szCs w:val="21"/>
                <w:highlight w:val="none"/>
              </w:rPr>
              <w:t>或由委托代理人签署的投标文件中没有法定代表人授权书</w:t>
            </w:r>
            <w:r>
              <w:rPr>
                <w:rFonts w:hint="eastAsia" w:ascii="宋体" w:hAnsi="宋体" w:cs="宋体"/>
                <w:color w:val="auto"/>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4</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投标文件未按</w:t>
            </w:r>
            <w:r>
              <w:rPr>
                <w:rFonts w:hint="eastAsia" w:ascii="宋体" w:hAnsi="宋体"/>
                <w:color w:val="auto"/>
                <w:szCs w:val="21"/>
                <w:highlight w:val="none"/>
                <w:u w:val="single"/>
              </w:rPr>
              <w:t>招标</w:t>
            </w:r>
            <w:r>
              <w:rPr>
                <w:rFonts w:ascii="宋体" w:hAnsi="宋体"/>
                <w:color w:val="auto"/>
                <w:szCs w:val="21"/>
                <w:highlight w:val="none"/>
                <w:u w:val="single"/>
              </w:rPr>
              <w:t>文件第四章</w:t>
            </w:r>
            <w:r>
              <w:rPr>
                <w:rFonts w:hint="eastAsia" w:ascii="宋体" w:hAnsi="宋体"/>
                <w:color w:val="auto"/>
                <w:szCs w:val="21"/>
                <w:highlight w:val="none"/>
              </w:rPr>
              <w:t>规定的格式</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附件一、附件二《参与编制技术标投标文件人员名单》</w:t>
            </w:r>
            <w:r>
              <w:rPr>
                <w:rFonts w:hint="eastAsia" w:ascii="宋体" w:hAnsi="宋体" w:cs="宋体"/>
                <w:b/>
                <w:bCs/>
                <w:color w:val="auto"/>
                <w:sz w:val="21"/>
                <w:szCs w:val="21"/>
                <w:highlight w:val="none"/>
                <w:u w:val="single"/>
                <w:lang w:val="en-US" w:eastAsia="zh-CN"/>
              </w:rPr>
              <w:t>、附件八</w:t>
            </w:r>
            <w:r>
              <w:rPr>
                <w:rFonts w:hint="eastAsia" w:ascii="宋体" w:hAnsi="宋体" w:eastAsia="宋体" w:cs="宋体"/>
                <w:b/>
                <w:bCs/>
                <w:color w:val="auto"/>
                <w:sz w:val="21"/>
                <w:szCs w:val="21"/>
                <w:highlight w:val="none"/>
                <w:u w:val="single"/>
                <w:lang w:eastAsia="zh-CN"/>
              </w:rPr>
              <w:t>）</w:t>
            </w:r>
            <w:r>
              <w:rPr>
                <w:rFonts w:hint="eastAsia" w:ascii="宋体" w:hAnsi="宋体"/>
                <w:color w:val="auto"/>
                <w:szCs w:val="21"/>
                <w:highlight w:val="none"/>
              </w:rPr>
              <w:t>填写，或主要内容不全，或关键字迹模糊、无法辨认的</w:t>
            </w:r>
            <w:r>
              <w:rPr>
                <w:rFonts w:hint="eastAsia" w:ascii="宋体" w:hAnsi="宋体" w:cs="宋体"/>
                <w:color w:val="auto"/>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5</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r>
              <w:rPr>
                <w:rFonts w:hint="eastAsia" w:ascii="宋体" w:hAnsi="宋体" w:cs="宋体"/>
                <w:color w:val="auto"/>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shd w:val="pct10" w:color="auto" w:fill="FFFFFF"/>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6</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无《参与编制技术标投标文件人员名单》的</w:t>
            </w:r>
            <w:r>
              <w:rPr>
                <w:rFonts w:hint="eastAsia" w:ascii="宋体" w:hAnsi="宋体" w:cs="宋体"/>
                <w:color w:val="auto"/>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7</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投标人未按要求提交投标保证金的</w:t>
            </w:r>
            <w:r>
              <w:rPr>
                <w:rFonts w:hint="eastAsia" w:ascii="宋体" w:hAnsi="宋体" w:cs="宋体"/>
                <w:color w:val="auto"/>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8</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投标人与</w:t>
            </w:r>
            <w:r>
              <w:rPr>
                <w:rFonts w:hint="eastAsia" w:ascii="宋体" w:hAnsi="宋体" w:cs="宋体"/>
                <w:color w:val="auto"/>
                <w:szCs w:val="21"/>
                <w:highlight w:val="none"/>
                <w:u w:val="single"/>
              </w:rPr>
              <w:t>本项目</w:t>
            </w:r>
            <w:r>
              <w:rPr>
                <w:rFonts w:hint="eastAsia" w:ascii="宋体" w:hAnsi="宋体"/>
                <w:color w:val="auto"/>
                <w:szCs w:val="21"/>
                <w:highlight w:val="none"/>
              </w:rPr>
              <w:t>其他投标人加密打包投标文件电脑机器特征码一致的(以交易平台评标系统的检索信息为准)</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rPr>
          <w:rFonts w:ascii="宋体" w:hAnsi="宋体"/>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日期：    </w:t>
      </w:r>
    </w:p>
    <w:p>
      <w:pPr>
        <w:pStyle w:val="78"/>
        <w:rPr>
          <w:rFonts w:ascii="宋体" w:hAnsi="宋体"/>
          <w:color w:val="auto"/>
          <w:sz w:val="21"/>
          <w:szCs w:val="21"/>
          <w:highlight w:val="none"/>
        </w:rPr>
      </w:pPr>
    </w:p>
    <w:p>
      <w:pPr>
        <w:pStyle w:val="78"/>
        <w:rPr>
          <w:rFonts w:ascii="宋体" w:hAnsi="宋体"/>
          <w:color w:val="auto"/>
          <w:sz w:val="21"/>
          <w:szCs w:val="21"/>
          <w:highlight w:val="none"/>
        </w:rPr>
      </w:pPr>
    </w:p>
    <w:p>
      <w:pPr>
        <w:spacing w:line="360" w:lineRule="exact"/>
        <w:rPr>
          <w:rFonts w:ascii="宋体" w:hAnsi="宋体" w:cs="宋体"/>
          <w:color w:val="auto"/>
          <w:szCs w:val="21"/>
          <w:highlight w:val="none"/>
        </w:rPr>
      </w:pPr>
      <w:r>
        <w:rPr>
          <w:rFonts w:hint="eastAsia" w:ascii="宋体" w:hAnsi="宋体" w:cs="宋体"/>
          <w:color w:val="auto"/>
          <w:szCs w:val="21"/>
          <w:highlight w:val="none"/>
        </w:rPr>
        <w:t>附表三</w:t>
      </w:r>
    </w:p>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经济标有效性审查表</w:t>
      </w:r>
    </w:p>
    <w:p>
      <w:pPr>
        <w:spacing w:line="320" w:lineRule="exact"/>
        <w:rPr>
          <w:rFonts w:ascii="宋体" w:hAnsi="宋体" w:cs="宋体"/>
          <w:color w:val="auto"/>
          <w:szCs w:val="21"/>
          <w:highlight w:val="none"/>
        </w:rPr>
      </w:pPr>
      <w:r>
        <w:rPr>
          <w:rFonts w:hint="eastAsia" w:ascii="宋体" w:hAnsi="宋体" w:cs="宋体"/>
          <w:color w:val="auto"/>
          <w:szCs w:val="21"/>
          <w:highlight w:val="none"/>
        </w:rPr>
        <w:t>工程名称：</w:t>
      </w:r>
    </w:p>
    <w:tbl>
      <w:tblPr>
        <w:tblStyle w:val="3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587"/>
        <w:gridCol w:w="912"/>
        <w:gridCol w:w="1397"/>
        <w:gridCol w:w="1397"/>
        <w:gridCol w:w="1396"/>
        <w:gridCol w:w="1397"/>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6587" w:type="dxa"/>
            <w:tcBorders>
              <w:top w:val="single" w:color="auto" w:sz="4" w:space="0"/>
              <w:left w:val="single" w:color="auto" w:sz="4" w:space="0"/>
              <w:bottom w:val="single" w:color="auto" w:sz="4" w:space="0"/>
              <w:right w:val="single" w:color="auto" w:sz="4" w:space="0"/>
              <w:tl2br w:val="single" w:color="auto" w:sz="4" w:space="0"/>
            </w:tcBorders>
          </w:tcPr>
          <w:p>
            <w:pPr>
              <w:spacing w:line="320" w:lineRule="exact"/>
              <w:rPr>
                <w:rFonts w:ascii="宋体" w:hAnsi="宋体" w:cs="宋体"/>
                <w:color w:val="auto"/>
                <w:szCs w:val="21"/>
                <w:highlight w:val="none"/>
              </w:rPr>
            </w:pPr>
            <w:r>
              <w:rPr>
                <w:rFonts w:hint="eastAsia" w:ascii="宋体" w:hAnsi="宋体" w:cs="宋体"/>
                <w:color w:val="auto"/>
                <w:szCs w:val="21"/>
                <w:highlight w:val="none"/>
              </w:rPr>
              <w:t xml:space="preserve">                                              投标人</w:t>
            </w:r>
          </w:p>
          <w:p>
            <w:pPr>
              <w:spacing w:line="320" w:lineRule="exact"/>
              <w:rPr>
                <w:rFonts w:ascii="宋体" w:hAnsi="宋体" w:cs="宋体"/>
                <w:color w:val="auto"/>
                <w:szCs w:val="21"/>
                <w:highlight w:val="none"/>
              </w:rPr>
            </w:pPr>
          </w:p>
          <w:p>
            <w:pPr>
              <w:spacing w:line="320" w:lineRule="exact"/>
              <w:rPr>
                <w:rFonts w:ascii="宋体" w:hAnsi="宋体" w:cs="宋体"/>
                <w:color w:val="auto"/>
                <w:szCs w:val="21"/>
                <w:highlight w:val="none"/>
              </w:rPr>
            </w:pPr>
            <w:r>
              <w:rPr>
                <w:rFonts w:hint="eastAsia" w:ascii="宋体" w:hAnsi="宋体" w:cs="宋体"/>
                <w:color w:val="auto"/>
                <w:szCs w:val="21"/>
                <w:highlight w:val="none"/>
              </w:rPr>
              <w:t>评审内容</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1</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对同一招标项目出现两个或以上的投标报价，且没有申明哪个有效</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2</w:t>
            </w:r>
          </w:p>
        </w:tc>
        <w:tc>
          <w:tcPr>
            <w:tcW w:w="65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olor w:val="auto"/>
                <w:szCs w:val="21"/>
                <w:highlight w:val="none"/>
              </w:rPr>
              <w:t>投标报价高于最高投标限价的</w:t>
            </w:r>
            <w:r>
              <w:rPr>
                <w:rFonts w:hint="eastAsia" w:ascii="宋体" w:hAnsi="宋体" w:cs="宋体"/>
                <w:color w:val="auto"/>
                <w:szCs w:val="21"/>
                <w:highlight w:val="none"/>
                <w:u w:val="single"/>
              </w:rPr>
              <w:t>（以最高投标限价公布函公布的各项控制数据为准）</w:t>
            </w:r>
            <w:r>
              <w:rPr>
                <w:rFonts w:hint="eastAsia" w:ascii="宋体" w:hAnsi="宋体" w:cs="宋体"/>
                <w:color w:val="auto"/>
                <w:szCs w:val="21"/>
                <w:highlight w:val="none"/>
              </w:rPr>
              <w:t>；</w:t>
            </w:r>
            <w:r>
              <w:rPr>
                <w:rFonts w:hint="eastAsia" w:ascii="宋体" w:hAnsi="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3</w:t>
            </w:r>
          </w:p>
        </w:tc>
        <w:tc>
          <w:tcPr>
            <w:tcW w:w="65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2" w:leftChars="-1"/>
              <w:jc w:val="left"/>
              <w:rPr>
                <w:rFonts w:ascii="宋体" w:hAnsi="宋体" w:cs="宋体"/>
                <w:color w:val="auto"/>
                <w:szCs w:val="21"/>
                <w:highlight w:val="none"/>
              </w:rPr>
            </w:pPr>
            <w:r>
              <w:rPr>
                <w:rFonts w:hint="eastAsia" w:ascii="宋体" w:hAnsi="宋体"/>
                <w:color w:val="auto"/>
                <w:szCs w:val="21"/>
                <w:highlight w:val="none"/>
              </w:rPr>
              <w:t>投标报价低于成本的</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4</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5</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投标文件未按</w:t>
            </w:r>
            <w:r>
              <w:rPr>
                <w:rFonts w:hint="eastAsia" w:ascii="宋体" w:hAnsi="宋体"/>
                <w:color w:val="auto"/>
                <w:szCs w:val="21"/>
                <w:highlight w:val="none"/>
                <w:u w:val="single"/>
              </w:rPr>
              <w:t>招标</w:t>
            </w:r>
            <w:r>
              <w:rPr>
                <w:rFonts w:ascii="宋体" w:hAnsi="宋体"/>
                <w:color w:val="auto"/>
                <w:szCs w:val="21"/>
                <w:highlight w:val="none"/>
                <w:u w:val="single"/>
              </w:rPr>
              <w:t>文件第四章</w:t>
            </w:r>
            <w:r>
              <w:rPr>
                <w:rFonts w:hint="eastAsia" w:ascii="宋体" w:hAnsi="宋体"/>
                <w:color w:val="auto"/>
                <w:szCs w:val="21"/>
                <w:highlight w:val="none"/>
              </w:rPr>
              <w:t>规定的格式</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附件二《参与编制经济标投标文件人员名单》、附件三</w:t>
            </w:r>
            <w:r>
              <w:rPr>
                <w:rFonts w:hint="eastAsia" w:ascii="宋体" w:hAnsi="宋体" w:eastAsia="宋体" w:cs="宋体"/>
                <w:b/>
                <w:bCs/>
                <w:color w:val="auto"/>
                <w:sz w:val="21"/>
                <w:szCs w:val="21"/>
                <w:highlight w:val="none"/>
                <w:u w:val="single"/>
                <w:lang w:eastAsia="zh-CN"/>
              </w:rPr>
              <w:t>）</w:t>
            </w:r>
            <w:r>
              <w:rPr>
                <w:rFonts w:hint="eastAsia" w:ascii="宋体" w:hAnsi="宋体"/>
                <w:color w:val="auto"/>
                <w:szCs w:val="21"/>
                <w:highlight w:val="none"/>
              </w:rPr>
              <w:t>填写，或主要内容不全，或关键字迹模糊、无法辨认的</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6</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7</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8</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无《参与编制经济标投标文件人员名单》的</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9</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无《对投标文件编制的承诺》</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10</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u w:val="single"/>
              </w:rPr>
              <w:t>投标人与本项目其他投标人的投标文件工程量清单编制机器硬件信息一致的（以交易平台评标系统的检索信息为准）</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w:t>
      </w:r>
    </w:p>
    <w:p>
      <w:pPr>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6"/>
        <w:ind w:firstLine="458"/>
        <w:rPr>
          <w:rFonts w:ascii="宋体" w:hAnsi="宋体" w:eastAsia="宋体"/>
          <w:color w:val="auto"/>
          <w:sz w:val="21"/>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eastAsia="宋体"/>
          <w:color w:val="auto"/>
          <w:kern w:val="2"/>
          <w:sz w:val="21"/>
          <w:szCs w:val="21"/>
          <w:highlight w:val="none"/>
        </w:rPr>
        <w:t>评委签名</w:t>
      </w:r>
      <w:r>
        <w:rPr>
          <w:rFonts w:hint="eastAsia" w:ascii="宋体" w:hAnsi="宋体" w:eastAsia="宋体"/>
          <w:color w:val="auto"/>
          <w:sz w:val="21"/>
          <w:szCs w:val="21"/>
          <w:highlight w:val="none"/>
        </w:rPr>
        <w:t>：</w:t>
      </w:r>
    </w:p>
    <w:p>
      <w:pPr>
        <w:spacing w:line="320" w:lineRule="exact"/>
        <w:rPr>
          <w:rFonts w:ascii="宋体" w:hAnsi="宋体"/>
          <w:b/>
          <w:color w:val="auto"/>
          <w:szCs w:val="21"/>
          <w:highlight w:val="none"/>
        </w:rPr>
      </w:pPr>
      <w:r>
        <w:rPr>
          <w:rFonts w:hint="eastAsia" w:ascii="宋体" w:hAnsi="宋体" w:cs="宋体"/>
          <w:color w:val="auto"/>
          <w:szCs w:val="21"/>
          <w:highlight w:val="none"/>
        </w:rPr>
        <w:t>附表四</w:t>
      </w:r>
    </w:p>
    <w:tbl>
      <w:tblPr>
        <w:tblStyle w:val="38"/>
        <w:tblW w:w="1445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504"/>
        <w:gridCol w:w="775"/>
        <w:gridCol w:w="1388"/>
        <w:gridCol w:w="652"/>
        <w:gridCol w:w="1113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4" w:hRule="atLeast"/>
          <w:tblHeader/>
          <w:jc w:val="center"/>
        </w:trPr>
        <w:tc>
          <w:tcPr>
            <w:tcW w:w="504" w:type="dxa"/>
            <w:shd w:val="clear" w:color="auto" w:fill="FFFFFF"/>
            <w:noWrap w:val="0"/>
            <w:tcMar>
              <w:top w:w="57" w:type="dxa"/>
              <w:bottom w:w="57" w:type="dxa"/>
            </w:tcMar>
            <w:vAlign w:val="center"/>
          </w:tcPr>
          <w:p>
            <w:pPr>
              <w:widowControl/>
              <w:adjustRightInd w:val="0"/>
              <w:snapToGrid w:val="0"/>
              <w:ind w:left="-53" w:leftChars="-25" w:right="-53" w:rightChars="-25"/>
              <w:jc w:val="center"/>
              <w:rPr>
                <w:rFonts w:ascii="宋体" w:hAnsi="宋体"/>
                <w:b/>
                <w:color w:val="auto"/>
                <w:szCs w:val="21"/>
                <w:highlight w:val="none"/>
              </w:rPr>
            </w:pPr>
            <w:r>
              <w:rPr>
                <w:rFonts w:ascii="宋体" w:hAnsi="宋体"/>
                <w:b/>
                <w:color w:val="auto"/>
                <w:szCs w:val="21"/>
                <w:highlight w:val="none"/>
              </w:rPr>
              <w:t>序号</w:t>
            </w:r>
          </w:p>
        </w:tc>
        <w:tc>
          <w:tcPr>
            <w:tcW w:w="775" w:type="dxa"/>
            <w:shd w:val="clear" w:color="auto" w:fill="FFFFFF"/>
            <w:noWrap w:val="0"/>
            <w:tcMar>
              <w:top w:w="57" w:type="dxa"/>
              <w:bottom w:w="57" w:type="dxa"/>
            </w:tcMar>
            <w:vAlign w:val="center"/>
          </w:tcPr>
          <w:p>
            <w:pPr>
              <w:widowControl/>
              <w:adjustRightInd w:val="0"/>
              <w:snapToGrid w:val="0"/>
              <w:ind w:left="-53" w:leftChars="-25" w:right="-53" w:rightChars="-25"/>
              <w:jc w:val="center"/>
              <w:rPr>
                <w:rFonts w:hint="eastAsia" w:ascii="宋体" w:hAnsi="宋体"/>
                <w:b/>
                <w:color w:val="auto"/>
                <w:szCs w:val="21"/>
                <w:highlight w:val="none"/>
              </w:rPr>
            </w:pPr>
            <w:r>
              <w:rPr>
                <w:rFonts w:hint="eastAsia" w:ascii="宋体" w:hAnsi="宋体"/>
                <w:b/>
                <w:color w:val="auto"/>
                <w:szCs w:val="21"/>
                <w:highlight w:val="none"/>
              </w:rPr>
              <w:t>评分</w:t>
            </w:r>
          </w:p>
          <w:p>
            <w:pPr>
              <w:widowControl/>
              <w:adjustRightInd w:val="0"/>
              <w:snapToGrid w:val="0"/>
              <w:ind w:left="-53" w:leftChars="-25" w:right="-53" w:rightChars="-25"/>
              <w:jc w:val="center"/>
              <w:rPr>
                <w:rFonts w:ascii="宋体" w:hAnsi="宋体"/>
                <w:b/>
                <w:color w:val="auto"/>
                <w:szCs w:val="21"/>
                <w:highlight w:val="none"/>
              </w:rPr>
            </w:pPr>
            <w:r>
              <w:rPr>
                <w:rFonts w:hint="eastAsia" w:ascii="宋体" w:hAnsi="宋体"/>
                <w:b/>
                <w:color w:val="auto"/>
                <w:szCs w:val="21"/>
                <w:highlight w:val="none"/>
              </w:rPr>
              <w:t>项目</w:t>
            </w:r>
          </w:p>
        </w:tc>
        <w:tc>
          <w:tcPr>
            <w:tcW w:w="1388" w:type="dxa"/>
            <w:shd w:val="clear" w:color="auto" w:fill="FFFFFF"/>
            <w:noWrap w:val="0"/>
            <w:tcMar>
              <w:top w:w="57" w:type="dxa"/>
              <w:bottom w:w="57" w:type="dxa"/>
            </w:tcMar>
            <w:vAlign w:val="center"/>
          </w:tcPr>
          <w:p>
            <w:pPr>
              <w:widowControl/>
              <w:adjustRightInd w:val="0"/>
              <w:snapToGrid w:val="0"/>
              <w:ind w:left="-53" w:leftChars="-25" w:right="-53" w:rightChars="-25"/>
              <w:jc w:val="center"/>
              <w:rPr>
                <w:rFonts w:hint="eastAsia" w:ascii="宋体" w:hAnsi="宋体"/>
                <w:b/>
                <w:color w:val="auto"/>
                <w:szCs w:val="21"/>
                <w:highlight w:val="none"/>
              </w:rPr>
            </w:pPr>
            <w:r>
              <w:rPr>
                <w:rFonts w:hint="eastAsia" w:ascii="宋体" w:hAnsi="宋体"/>
                <w:b/>
                <w:color w:val="auto"/>
                <w:szCs w:val="21"/>
                <w:highlight w:val="none"/>
              </w:rPr>
              <w:t>评分内容</w:t>
            </w:r>
          </w:p>
        </w:tc>
        <w:tc>
          <w:tcPr>
            <w:tcW w:w="652" w:type="dxa"/>
            <w:shd w:val="clear" w:color="auto" w:fill="FFFFFF"/>
            <w:noWrap w:val="0"/>
            <w:tcMar>
              <w:top w:w="57" w:type="dxa"/>
              <w:bottom w:w="57" w:type="dxa"/>
            </w:tcMar>
            <w:vAlign w:val="center"/>
          </w:tcPr>
          <w:p>
            <w:pPr>
              <w:widowControl/>
              <w:adjustRightInd w:val="0"/>
              <w:snapToGrid w:val="0"/>
              <w:ind w:left="-53" w:leftChars="-25" w:right="-53" w:rightChars="-25"/>
              <w:jc w:val="center"/>
              <w:rPr>
                <w:rFonts w:ascii="宋体" w:hAnsi="宋体"/>
                <w:b/>
                <w:color w:val="auto"/>
                <w:szCs w:val="21"/>
                <w:highlight w:val="none"/>
              </w:rPr>
            </w:pPr>
            <w:r>
              <w:rPr>
                <w:rFonts w:hint="eastAsia" w:ascii="宋体" w:hAnsi="宋体"/>
                <w:b/>
                <w:color w:val="auto"/>
                <w:szCs w:val="21"/>
                <w:highlight w:val="none"/>
              </w:rPr>
              <w:t>分值</w:t>
            </w:r>
          </w:p>
        </w:tc>
        <w:tc>
          <w:tcPr>
            <w:tcW w:w="11136" w:type="dxa"/>
            <w:shd w:val="clear" w:color="auto" w:fill="FFFFFF"/>
            <w:noWrap w:val="0"/>
            <w:tcMar>
              <w:top w:w="57" w:type="dxa"/>
              <w:bottom w:w="57" w:type="dxa"/>
            </w:tcMar>
            <w:vAlign w:val="center"/>
          </w:tcPr>
          <w:p>
            <w:pPr>
              <w:widowControl/>
              <w:adjustRightInd w:val="0"/>
              <w:snapToGrid w:val="0"/>
              <w:ind w:left="-53" w:leftChars="-25" w:right="-53" w:rightChars="-25"/>
              <w:jc w:val="center"/>
              <w:rPr>
                <w:rFonts w:ascii="宋体" w:hAnsi="宋体"/>
                <w:b/>
                <w:color w:val="auto"/>
                <w:szCs w:val="21"/>
                <w:highlight w:val="none"/>
              </w:rPr>
            </w:pPr>
            <w:r>
              <w:rPr>
                <w:rFonts w:hint="eastAsia" w:ascii="宋体" w:hAnsi="宋体"/>
                <w:b/>
                <w:color w:val="auto"/>
                <w:szCs w:val="21"/>
                <w:highlight w:val="none"/>
              </w:rPr>
              <w:t>评审标准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4" w:hRule="atLeast"/>
          <w:jc w:val="center"/>
        </w:trPr>
        <w:tc>
          <w:tcPr>
            <w:tcW w:w="504" w:type="dxa"/>
            <w:shd w:val="clear" w:color="auto" w:fill="FFFFFF"/>
            <w:noWrap w:val="0"/>
            <w:tcMar>
              <w:top w:w="57" w:type="dxa"/>
              <w:bottom w:w="57" w:type="dxa"/>
            </w:tcMar>
            <w:vAlign w:val="center"/>
          </w:tcPr>
          <w:p>
            <w:pPr>
              <w:widowControl/>
              <w:adjustRightInd w:val="0"/>
              <w:snapToGrid w:val="0"/>
              <w:ind w:left="-53" w:leftChars="-25" w:right="-53" w:rightChars="-25"/>
              <w:jc w:val="center"/>
              <w:rPr>
                <w:rFonts w:ascii="宋体" w:hAnsi="宋体"/>
                <w:b/>
                <w:color w:val="auto"/>
                <w:szCs w:val="21"/>
                <w:highlight w:val="none"/>
              </w:rPr>
            </w:pPr>
            <w:r>
              <w:rPr>
                <w:rFonts w:hint="eastAsia" w:ascii="宋体" w:hAnsi="宋体"/>
                <w:b/>
                <w:color w:val="auto"/>
                <w:szCs w:val="21"/>
                <w:highlight w:val="none"/>
              </w:rPr>
              <w:t>一</w:t>
            </w:r>
          </w:p>
        </w:tc>
        <w:tc>
          <w:tcPr>
            <w:tcW w:w="775" w:type="dxa"/>
            <w:shd w:val="clear" w:color="auto" w:fill="FFFFFF"/>
            <w:noWrap w:val="0"/>
            <w:tcMar>
              <w:top w:w="57" w:type="dxa"/>
              <w:bottom w:w="57" w:type="dxa"/>
            </w:tcMar>
            <w:vAlign w:val="center"/>
          </w:tcPr>
          <w:p>
            <w:pPr>
              <w:widowControl/>
              <w:adjustRightInd w:val="0"/>
              <w:snapToGrid w:val="0"/>
              <w:ind w:left="-53" w:leftChars="-25" w:right="-53" w:rightChars="-25"/>
              <w:jc w:val="center"/>
              <w:rPr>
                <w:rFonts w:hint="eastAsia" w:ascii="宋体" w:hAnsi="宋体"/>
                <w:b/>
                <w:color w:val="auto"/>
                <w:szCs w:val="21"/>
                <w:highlight w:val="none"/>
              </w:rPr>
            </w:pPr>
            <w:r>
              <w:rPr>
                <w:rFonts w:hint="eastAsia" w:ascii="宋体" w:hAnsi="宋体"/>
                <w:b/>
                <w:color w:val="auto"/>
                <w:szCs w:val="21"/>
                <w:highlight w:val="none"/>
              </w:rPr>
              <w:t>施工组织设计</w:t>
            </w:r>
          </w:p>
        </w:tc>
        <w:tc>
          <w:tcPr>
            <w:tcW w:w="1388" w:type="dxa"/>
            <w:shd w:val="clear" w:color="auto" w:fill="FFFFFF"/>
            <w:noWrap w:val="0"/>
            <w:tcMar>
              <w:top w:w="57" w:type="dxa"/>
              <w:bottom w:w="57" w:type="dxa"/>
            </w:tcMar>
            <w:vAlign w:val="center"/>
          </w:tcPr>
          <w:p>
            <w:pPr>
              <w:adjustRightInd w:val="0"/>
              <w:snapToGrid w:val="0"/>
              <w:spacing w:before="78" w:beforeLines="25" w:after="78" w:afterLines="25"/>
              <w:ind w:left="-53" w:leftChars="-25" w:right="-53" w:rightChars="-25"/>
              <w:jc w:val="center"/>
              <w:rPr>
                <w:rFonts w:ascii="宋体" w:hAnsi="宋体"/>
                <w:color w:val="auto"/>
                <w:kern w:val="0"/>
                <w:szCs w:val="21"/>
                <w:highlight w:val="none"/>
              </w:rPr>
            </w:pPr>
            <w:r>
              <w:rPr>
                <w:rFonts w:hint="eastAsia" w:ascii="宋体" w:hAnsi="宋体"/>
                <w:color w:val="auto"/>
                <w:kern w:val="0"/>
                <w:szCs w:val="21"/>
                <w:highlight w:val="none"/>
              </w:rPr>
              <w:t>项目管理机构配备情况</w:t>
            </w:r>
          </w:p>
        </w:tc>
        <w:tc>
          <w:tcPr>
            <w:tcW w:w="652" w:type="dxa"/>
            <w:shd w:val="clear" w:color="auto" w:fill="FFFFFF"/>
            <w:noWrap w:val="0"/>
            <w:tcMar>
              <w:top w:w="57" w:type="dxa"/>
              <w:bottom w:w="57" w:type="dxa"/>
            </w:tcMar>
            <w:vAlign w:val="center"/>
          </w:tcPr>
          <w:p>
            <w:pPr>
              <w:adjustRightInd w:val="0"/>
              <w:snapToGrid w:val="0"/>
              <w:ind w:left="-53" w:leftChars="-25" w:right="-53" w:rightChars="-25"/>
              <w:jc w:val="center"/>
              <w:rPr>
                <w:rFonts w:ascii="宋体" w:hAnsi="宋体"/>
                <w:color w:val="auto"/>
                <w:szCs w:val="21"/>
                <w:highlight w:val="none"/>
              </w:rPr>
            </w:pPr>
            <w:r>
              <w:rPr>
                <w:rFonts w:hint="eastAsia" w:ascii="宋体" w:hAnsi="宋体"/>
                <w:color w:val="auto"/>
                <w:szCs w:val="21"/>
                <w:highlight w:val="none"/>
              </w:rPr>
              <w:t>14</w:t>
            </w:r>
          </w:p>
        </w:tc>
        <w:tc>
          <w:tcPr>
            <w:tcW w:w="11136" w:type="dxa"/>
            <w:shd w:val="clear" w:color="auto" w:fill="FFFFFF"/>
            <w:noWrap w:val="0"/>
            <w:tcMar>
              <w:top w:w="57" w:type="dxa"/>
              <w:bottom w:w="57" w:type="dxa"/>
            </w:tcMar>
            <w:vAlign w:val="center"/>
          </w:tcPr>
          <w:p>
            <w:pPr>
              <w:adjustRightInd w:val="0"/>
              <w:snapToGrid w:val="0"/>
              <w:rPr>
                <w:rFonts w:hint="eastAsia" w:ascii="宋体" w:hAnsi="宋体"/>
                <w:color w:val="auto"/>
                <w:szCs w:val="21"/>
                <w:highlight w:val="none"/>
              </w:rPr>
            </w:pPr>
            <w:r>
              <w:rPr>
                <w:rFonts w:hint="eastAsia" w:ascii="宋体" w:hAnsi="宋体" w:cs="宋体"/>
                <w:color w:val="auto"/>
                <w:szCs w:val="21"/>
                <w:highlight w:val="none"/>
              </w:rPr>
              <w:t>项目管理机构人员配备完全满足或优于附表四附件《投标人投入主要人员基本要求表》</w:t>
            </w:r>
            <w:r>
              <w:rPr>
                <w:rFonts w:hint="eastAsia" w:ascii="宋体" w:hAnsi="宋体"/>
                <w:color w:val="auto"/>
                <w:szCs w:val="21"/>
                <w:highlight w:val="none"/>
              </w:rPr>
              <w:t>的，得基础分</w:t>
            </w:r>
            <w:r>
              <w:rPr>
                <w:rFonts w:hint="eastAsia" w:ascii="宋体" w:hAnsi="宋体"/>
                <w:color w:val="auto"/>
                <w:szCs w:val="21"/>
                <w:highlight w:val="none"/>
                <w:lang w:val="en-US" w:eastAsia="zh-CN"/>
              </w:rPr>
              <w:t>2.5</w:t>
            </w:r>
            <w:r>
              <w:rPr>
                <w:rFonts w:hint="eastAsia" w:ascii="宋体" w:hAnsi="宋体"/>
                <w:color w:val="auto"/>
                <w:szCs w:val="21"/>
                <w:highlight w:val="none"/>
              </w:rPr>
              <w:t>分；不满足《</w:t>
            </w:r>
            <w:r>
              <w:rPr>
                <w:rFonts w:hint="eastAsia" w:ascii="宋体" w:hAnsi="宋体" w:cs="宋体"/>
                <w:color w:val="auto"/>
                <w:szCs w:val="21"/>
                <w:highlight w:val="none"/>
              </w:rPr>
              <w:t>投标人投入主要人员基本要求表</w:t>
            </w:r>
            <w:r>
              <w:rPr>
                <w:rFonts w:hint="eastAsia" w:ascii="宋体" w:hAnsi="宋体"/>
                <w:color w:val="auto"/>
                <w:szCs w:val="21"/>
                <w:highlight w:val="none"/>
              </w:rPr>
              <w:t>》的，本项不得分。在满足《</w:t>
            </w:r>
            <w:r>
              <w:rPr>
                <w:rFonts w:hint="eastAsia" w:ascii="宋体" w:hAnsi="宋体" w:cs="宋体"/>
                <w:color w:val="auto"/>
                <w:szCs w:val="21"/>
                <w:highlight w:val="none"/>
              </w:rPr>
              <w:t>投标人投入主要人员基本要求表</w:t>
            </w:r>
            <w:r>
              <w:rPr>
                <w:rFonts w:hint="eastAsia" w:ascii="宋体" w:hAnsi="宋体"/>
                <w:color w:val="auto"/>
                <w:szCs w:val="21"/>
                <w:highlight w:val="none"/>
              </w:rPr>
              <w:t>》的基础上，分别对以下人员的资历情况进行加分：</w:t>
            </w:r>
          </w:p>
          <w:p>
            <w:pPr>
              <w:snapToGrid w:val="0"/>
              <w:spacing w:before="78" w:beforeLines="25"/>
              <w:ind w:left="1732" w:leftChars="-25" w:right="-31" w:rightChars="-15" w:hanging="1785" w:hangingChars="850"/>
              <w:rPr>
                <w:rFonts w:hint="eastAsia" w:ascii="宋体" w:hAnsi="宋体"/>
                <w:color w:val="auto"/>
                <w:szCs w:val="21"/>
                <w:highlight w:val="none"/>
              </w:rPr>
            </w:pPr>
            <w:r>
              <w:rPr>
                <w:rFonts w:hint="eastAsia" w:ascii="宋体" w:hAnsi="宋体"/>
                <w:color w:val="auto"/>
                <w:szCs w:val="21"/>
                <w:highlight w:val="none"/>
              </w:rPr>
              <w:t>（1）技术负责人：具有建筑装饰施工类</w:t>
            </w:r>
            <w:r>
              <w:rPr>
                <w:rFonts w:hint="eastAsia" w:ascii="宋体" w:hAnsi="宋体" w:cs="宋体"/>
                <w:color w:val="auto"/>
                <w:kern w:val="0"/>
                <w:szCs w:val="21"/>
                <w:highlight w:val="none"/>
              </w:rPr>
              <w:t>专业高级工程师(或以上)职称且取得该职称证书</w:t>
            </w:r>
            <w:r>
              <w:rPr>
                <w:rFonts w:hint="eastAsia" w:ascii="宋体" w:hAnsi="宋体"/>
                <w:color w:val="auto"/>
                <w:szCs w:val="21"/>
                <w:highlight w:val="none"/>
              </w:rPr>
              <w:t>的年限：①5年以下(不含本数)的，加0.25分；②5～10年(均含本数)的，加0.5分；③</w:t>
            </w:r>
            <w:r>
              <w:rPr>
                <w:rFonts w:hint="eastAsia" w:ascii="宋体" w:hAnsi="宋体"/>
                <w:color w:val="auto"/>
                <w:spacing w:val="2"/>
                <w:szCs w:val="21"/>
                <w:highlight w:val="none"/>
              </w:rPr>
              <w:t>10年以上</w:t>
            </w:r>
            <w:r>
              <w:rPr>
                <w:rFonts w:hint="eastAsia" w:ascii="宋体" w:hAnsi="宋体"/>
                <w:color w:val="auto"/>
                <w:szCs w:val="21"/>
                <w:highlight w:val="none"/>
              </w:rPr>
              <w:t>(不含本数)的，加1分。</w:t>
            </w:r>
          </w:p>
          <w:p>
            <w:pPr>
              <w:snapToGrid w:val="0"/>
              <w:ind w:left="1732" w:leftChars="-25" w:right="-31" w:rightChars="-15" w:hanging="1785" w:hangingChars="850"/>
              <w:rPr>
                <w:rFonts w:hint="eastAsia" w:ascii="宋体" w:hAnsi="宋体"/>
                <w:color w:val="auto"/>
                <w:szCs w:val="21"/>
                <w:highlight w:val="none"/>
              </w:rPr>
            </w:pPr>
            <w:r>
              <w:rPr>
                <w:rFonts w:hint="eastAsia" w:ascii="宋体" w:hAnsi="宋体"/>
                <w:color w:val="auto"/>
                <w:szCs w:val="21"/>
                <w:highlight w:val="none"/>
              </w:rPr>
              <w:t>（2）质量负责人：具有建筑工程管理类</w:t>
            </w:r>
            <w:r>
              <w:rPr>
                <w:rFonts w:hint="eastAsia" w:ascii="宋体" w:hAnsi="宋体" w:cs="宋体"/>
                <w:color w:val="auto"/>
                <w:kern w:val="0"/>
                <w:szCs w:val="21"/>
                <w:highlight w:val="none"/>
              </w:rPr>
              <w:t>专业高级工程师(或以上)职称且取得该职称证书</w:t>
            </w:r>
            <w:r>
              <w:rPr>
                <w:rFonts w:hint="eastAsia" w:ascii="宋体" w:hAnsi="宋体"/>
                <w:color w:val="auto"/>
                <w:szCs w:val="21"/>
                <w:highlight w:val="none"/>
              </w:rPr>
              <w:t>的年限：①5年以下(不含本数)的，加0.25分；②5～10年(均含本数)的，加0.5分；③</w:t>
            </w:r>
            <w:r>
              <w:rPr>
                <w:rFonts w:hint="eastAsia" w:ascii="宋体" w:hAnsi="宋体"/>
                <w:color w:val="auto"/>
                <w:spacing w:val="2"/>
                <w:szCs w:val="21"/>
                <w:highlight w:val="none"/>
              </w:rPr>
              <w:t>10年以上</w:t>
            </w:r>
            <w:r>
              <w:rPr>
                <w:rFonts w:hint="eastAsia" w:ascii="宋体" w:hAnsi="宋体"/>
                <w:color w:val="auto"/>
                <w:szCs w:val="21"/>
                <w:highlight w:val="none"/>
              </w:rPr>
              <w:t>(不含本数)的，加1分。</w:t>
            </w:r>
          </w:p>
          <w:p>
            <w:pPr>
              <w:snapToGrid w:val="0"/>
              <w:ind w:left="1732" w:leftChars="-25" w:right="-31" w:rightChars="-15" w:hanging="1785" w:hangingChars="850"/>
              <w:rPr>
                <w:rFonts w:hint="eastAsia" w:ascii="宋体" w:hAnsi="宋体"/>
                <w:color w:val="auto"/>
                <w:szCs w:val="21"/>
                <w:highlight w:val="none"/>
              </w:rPr>
            </w:pPr>
            <w:r>
              <w:rPr>
                <w:rFonts w:hint="eastAsia" w:ascii="宋体" w:hAnsi="宋体"/>
                <w:color w:val="auto"/>
                <w:szCs w:val="21"/>
                <w:highlight w:val="none"/>
              </w:rPr>
              <w:t>（3）安全负责人：</w:t>
            </w:r>
            <w:r>
              <w:rPr>
                <w:rFonts w:hint="eastAsia" w:ascii="宋体" w:hAnsi="宋体" w:cs="宋体"/>
                <w:color w:val="auto"/>
                <w:kern w:val="0"/>
                <w:szCs w:val="21"/>
                <w:highlight w:val="none"/>
              </w:rPr>
              <w:t>具有</w:t>
            </w:r>
            <w:r>
              <w:rPr>
                <w:rFonts w:hint="eastAsia" w:ascii="宋体" w:hAnsi="宋体"/>
                <w:color w:val="auto"/>
                <w:szCs w:val="21"/>
                <w:highlight w:val="none"/>
              </w:rPr>
              <w:t>建筑生产技术管理类专业</w:t>
            </w:r>
            <w:r>
              <w:rPr>
                <w:rFonts w:hint="eastAsia" w:ascii="宋体" w:hAnsi="宋体" w:cs="宋体"/>
                <w:color w:val="auto"/>
                <w:kern w:val="0"/>
                <w:szCs w:val="21"/>
                <w:highlight w:val="none"/>
              </w:rPr>
              <w:t>高级工程师(或以上)职称且取得该职称证书</w:t>
            </w:r>
            <w:r>
              <w:rPr>
                <w:rFonts w:hint="eastAsia" w:ascii="宋体" w:hAnsi="宋体"/>
                <w:color w:val="auto"/>
                <w:szCs w:val="21"/>
                <w:highlight w:val="none"/>
              </w:rPr>
              <w:t>的年限：①5年以下(不含本数)的，加0.25分；②5～10年(均含本数)的，加0.5分；③</w:t>
            </w:r>
            <w:r>
              <w:rPr>
                <w:rFonts w:hint="eastAsia" w:ascii="宋体" w:hAnsi="宋体"/>
                <w:color w:val="auto"/>
                <w:spacing w:val="2"/>
                <w:szCs w:val="21"/>
                <w:highlight w:val="none"/>
              </w:rPr>
              <w:t>10年以上</w:t>
            </w:r>
            <w:r>
              <w:rPr>
                <w:rFonts w:hint="eastAsia" w:ascii="宋体" w:hAnsi="宋体"/>
                <w:color w:val="auto"/>
                <w:szCs w:val="21"/>
                <w:highlight w:val="none"/>
              </w:rPr>
              <w:t>(不含本数)的，加1分</w:t>
            </w:r>
            <w:r>
              <w:rPr>
                <w:rFonts w:hint="eastAsia" w:ascii="宋体" w:hAnsi="宋体"/>
                <w:color w:val="auto"/>
                <w:spacing w:val="2"/>
                <w:szCs w:val="21"/>
                <w:highlight w:val="none"/>
              </w:rPr>
              <w:t>。</w:t>
            </w:r>
          </w:p>
          <w:p>
            <w:pPr>
              <w:snapToGrid w:val="0"/>
              <w:ind w:left="1732" w:leftChars="-25" w:right="-31" w:rightChars="-15" w:hanging="1785" w:hangingChars="850"/>
              <w:rPr>
                <w:rFonts w:hint="eastAsia" w:ascii="宋体" w:hAnsi="宋体"/>
                <w:color w:val="auto"/>
                <w:szCs w:val="21"/>
                <w:highlight w:val="none"/>
              </w:rPr>
            </w:pPr>
            <w:r>
              <w:rPr>
                <w:rFonts w:hint="eastAsia" w:ascii="宋体" w:hAnsi="宋体"/>
                <w:color w:val="auto"/>
                <w:szCs w:val="21"/>
                <w:highlight w:val="none"/>
              </w:rPr>
              <w:t>（4）造价负责人：具有</w:t>
            </w:r>
            <w:r>
              <w:rPr>
                <w:rFonts w:hint="eastAsia" w:ascii="宋体" w:hAnsi="宋体" w:cs="宋体"/>
                <w:color w:val="auto"/>
                <w:kern w:val="0"/>
                <w:szCs w:val="21"/>
                <w:highlight w:val="none"/>
              </w:rPr>
              <w:t>建筑工程造价</w:t>
            </w:r>
            <w:r>
              <w:rPr>
                <w:rFonts w:hint="eastAsia" w:ascii="宋体" w:hAnsi="宋体"/>
                <w:color w:val="auto"/>
                <w:szCs w:val="21"/>
                <w:highlight w:val="none"/>
              </w:rPr>
              <w:t>类</w:t>
            </w:r>
            <w:r>
              <w:rPr>
                <w:rFonts w:hint="eastAsia" w:ascii="宋体" w:hAnsi="宋体" w:cs="宋体"/>
                <w:color w:val="auto"/>
                <w:kern w:val="0"/>
                <w:szCs w:val="21"/>
                <w:highlight w:val="none"/>
              </w:rPr>
              <w:t>专业高级工程师(或以上)职称且取得该职称证书</w:t>
            </w:r>
            <w:r>
              <w:rPr>
                <w:rFonts w:hint="eastAsia" w:ascii="宋体" w:hAnsi="宋体"/>
                <w:color w:val="auto"/>
                <w:szCs w:val="21"/>
                <w:highlight w:val="none"/>
              </w:rPr>
              <w:t>的年限：①5年以下(不含本数)的，加0.25分；②5～10年(均含本数)的，加0.5分；③</w:t>
            </w:r>
            <w:r>
              <w:rPr>
                <w:rFonts w:hint="eastAsia" w:ascii="宋体" w:hAnsi="宋体"/>
                <w:color w:val="auto"/>
                <w:spacing w:val="2"/>
                <w:szCs w:val="21"/>
                <w:highlight w:val="none"/>
              </w:rPr>
              <w:t>10年以上</w:t>
            </w:r>
            <w:r>
              <w:rPr>
                <w:rFonts w:hint="eastAsia" w:ascii="宋体" w:hAnsi="宋体"/>
                <w:color w:val="auto"/>
                <w:szCs w:val="21"/>
                <w:highlight w:val="none"/>
              </w:rPr>
              <w:t>(不含本数)的，加1分。</w:t>
            </w:r>
          </w:p>
          <w:p>
            <w:pPr>
              <w:snapToGrid w:val="0"/>
              <w:ind w:left="1732" w:leftChars="-25" w:right="-31" w:rightChars="-15" w:hanging="1785" w:hangingChars="850"/>
              <w:rPr>
                <w:rFonts w:hint="eastAsia" w:ascii="宋体" w:hAnsi="宋体"/>
                <w:color w:val="auto"/>
                <w:szCs w:val="21"/>
                <w:highlight w:val="none"/>
              </w:rPr>
            </w:pPr>
            <w:r>
              <w:rPr>
                <w:rFonts w:hint="eastAsia" w:ascii="宋体" w:hAnsi="宋体"/>
                <w:color w:val="auto"/>
                <w:szCs w:val="21"/>
                <w:highlight w:val="none"/>
              </w:rPr>
              <w:t>（5）深化设计负责人：</w:t>
            </w:r>
            <w:r>
              <w:rPr>
                <w:rFonts w:hint="eastAsia" w:ascii="宋体" w:hAnsi="宋体" w:cs="宋体"/>
                <w:color w:val="auto"/>
                <w:kern w:val="0"/>
                <w:szCs w:val="21"/>
                <w:highlight w:val="none"/>
              </w:rPr>
              <w:t>具有建筑装饰设计</w:t>
            </w:r>
            <w:r>
              <w:rPr>
                <w:rFonts w:hint="eastAsia" w:ascii="宋体" w:hAnsi="宋体"/>
                <w:color w:val="auto"/>
                <w:szCs w:val="21"/>
                <w:highlight w:val="none"/>
              </w:rPr>
              <w:t>类</w:t>
            </w:r>
            <w:r>
              <w:rPr>
                <w:rFonts w:hint="eastAsia" w:ascii="宋体" w:hAnsi="宋体" w:cs="宋体"/>
                <w:color w:val="auto"/>
                <w:kern w:val="0"/>
                <w:szCs w:val="21"/>
                <w:highlight w:val="none"/>
              </w:rPr>
              <w:t>专业高级工程师或高级环境艺术设计师(或以上)职称且取得该职称证书</w:t>
            </w:r>
            <w:r>
              <w:rPr>
                <w:rFonts w:hint="eastAsia" w:ascii="宋体" w:hAnsi="宋体"/>
                <w:color w:val="auto"/>
                <w:szCs w:val="21"/>
                <w:highlight w:val="none"/>
              </w:rPr>
              <w:t>的年限：①5年以下(不含本数)的，加0.25分；②5～10年(均含本数)的，加0.5分；③</w:t>
            </w:r>
            <w:r>
              <w:rPr>
                <w:rFonts w:hint="eastAsia" w:ascii="宋体" w:hAnsi="宋体"/>
                <w:color w:val="auto"/>
                <w:spacing w:val="2"/>
                <w:szCs w:val="21"/>
                <w:highlight w:val="none"/>
              </w:rPr>
              <w:t>10年以上</w:t>
            </w:r>
            <w:r>
              <w:rPr>
                <w:rFonts w:hint="eastAsia" w:ascii="宋体" w:hAnsi="宋体"/>
                <w:color w:val="auto"/>
                <w:szCs w:val="21"/>
                <w:highlight w:val="none"/>
              </w:rPr>
              <w:t>(不含本数)的，加1分。</w:t>
            </w:r>
          </w:p>
          <w:p>
            <w:pPr>
              <w:snapToGrid w:val="0"/>
              <w:ind w:left="1732" w:leftChars="-25" w:right="-31" w:rightChars="-15" w:hanging="1785" w:hangingChars="850"/>
              <w:rPr>
                <w:rFonts w:hint="eastAsia" w:ascii="宋体" w:hAnsi="宋体"/>
                <w:color w:val="auto"/>
                <w:szCs w:val="21"/>
                <w:highlight w:val="none"/>
              </w:rPr>
            </w:pPr>
            <w:r>
              <w:rPr>
                <w:rFonts w:hint="eastAsia" w:ascii="宋体" w:hAnsi="宋体"/>
                <w:color w:val="auto"/>
                <w:szCs w:val="21"/>
                <w:highlight w:val="none"/>
              </w:rPr>
              <w:t>（6）装修专业工程师：具有建筑装饰施工类专业高级工程师(或以上)职称</w:t>
            </w:r>
            <w:r>
              <w:rPr>
                <w:rFonts w:hint="eastAsia" w:ascii="宋体" w:hAnsi="宋体" w:cs="宋体"/>
                <w:color w:val="auto"/>
                <w:kern w:val="0"/>
                <w:szCs w:val="21"/>
                <w:highlight w:val="none"/>
              </w:rPr>
              <w:t>且取得该职称证书</w:t>
            </w:r>
            <w:r>
              <w:rPr>
                <w:rFonts w:hint="eastAsia" w:ascii="宋体" w:hAnsi="宋体"/>
                <w:color w:val="auto"/>
                <w:szCs w:val="21"/>
                <w:highlight w:val="none"/>
              </w:rPr>
              <w:t>的年限：①5年(含本数)以下的，每人加0.25分；②5年(不含本数)</w:t>
            </w:r>
            <w:r>
              <w:rPr>
                <w:rFonts w:hint="eastAsia" w:ascii="宋体" w:hAnsi="宋体"/>
                <w:color w:val="auto"/>
                <w:spacing w:val="2"/>
                <w:szCs w:val="21"/>
                <w:highlight w:val="none"/>
              </w:rPr>
              <w:t>以上</w:t>
            </w:r>
            <w:r>
              <w:rPr>
                <w:rFonts w:hint="eastAsia" w:ascii="宋体" w:hAnsi="宋体"/>
                <w:color w:val="auto"/>
                <w:szCs w:val="21"/>
                <w:highlight w:val="none"/>
              </w:rPr>
              <w:t>的，每人加0.5分(最高加2.5分)。</w:t>
            </w:r>
          </w:p>
          <w:p>
            <w:pPr>
              <w:snapToGrid w:val="0"/>
              <w:ind w:left="1732" w:leftChars="-25" w:right="-31" w:rightChars="-15" w:hanging="1785" w:hangingChars="850"/>
              <w:rPr>
                <w:rFonts w:hint="eastAsia" w:ascii="宋体" w:hAnsi="宋体"/>
                <w:color w:val="auto"/>
                <w:szCs w:val="21"/>
                <w:highlight w:val="none"/>
              </w:rPr>
            </w:pPr>
            <w:r>
              <w:rPr>
                <w:rFonts w:hint="eastAsia" w:ascii="宋体" w:hAnsi="宋体"/>
                <w:color w:val="auto"/>
                <w:szCs w:val="21"/>
                <w:highlight w:val="none"/>
              </w:rPr>
              <w:t>（7）结构专业工程师：具有结构类专业高级工程师(或以上)职称</w:t>
            </w:r>
            <w:r>
              <w:rPr>
                <w:rFonts w:hint="eastAsia" w:ascii="宋体" w:hAnsi="宋体" w:cs="宋体"/>
                <w:color w:val="auto"/>
                <w:kern w:val="0"/>
                <w:szCs w:val="21"/>
                <w:highlight w:val="none"/>
              </w:rPr>
              <w:t>且取得该职称证书</w:t>
            </w:r>
            <w:r>
              <w:rPr>
                <w:rFonts w:hint="eastAsia" w:ascii="宋体" w:hAnsi="宋体"/>
                <w:color w:val="auto"/>
                <w:szCs w:val="21"/>
                <w:highlight w:val="none"/>
              </w:rPr>
              <w:t>的，每人加0.5分(最高加0.5分)。</w:t>
            </w:r>
          </w:p>
          <w:p>
            <w:pPr>
              <w:snapToGrid w:val="0"/>
              <w:ind w:left="1732" w:leftChars="-25" w:right="-31" w:rightChars="-15" w:hanging="1785" w:hangingChars="850"/>
              <w:rPr>
                <w:rFonts w:hint="eastAsia" w:ascii="宋体" w:hAnsi="宋体"/>
                <w:color w:val="auto"/>
                <w:szCs w:val="21"/>
                <w:highlight w:val="none"/>
              </w:rPr>
            </w:pPr>
            <w:r>
              <w:rPr>
                <w:rFonts w:hint="eastAsia" w:ascii="宋体" w:hAnsi="宋体"/>
                <w:color w:val="auto"/>
                <w:szCs w:val="21"/>
                <w:highlight w:val="none"/>
              </w:rPr>
              <w:t>（8）电气专业工程师：具有建筑电气安装类专业高级工程师(或以上)职称的，每人加0.5分(最高加1分)。</w:t>
            </w:r>
          </w:p>
          <w:p>
            <w:pPr>
              <w:snapToGrid w:val="0"/>
              <w:ind w:left="1732" w:leftChars="-25" w:right="-31" w:rightChars="-15" w:hanging="1785" w:hangingChars="850"/>
              <w:rPr>
                <w:rFonts w:hint="eastAsia" w:ascii="宋体" w:hAnsi="宋体"/>
                <w:color w:val="auto"/>
                <w:szCs w:val="21"/>
                <w:highlight w:val="none"/>
              </w:rPr>
            </w:pPr>
            <w:r>
              <w:rPr>
                <w:rFonts w:hint="eastAsia" w:ascii="宋体" w:hAnsi="宋体"/>
                <w:color w:val="auto"/>
                <w:szCs w:val="21"/>
                <w:highlight w:val="none"/>
              </w:rPr>
              <w:t>（9）暖通专业工程师：具有暖通与空调设备安装类专业高级工程师(或以上)职称的，每人加0.5分(最高加0.5分)。</w:t>
            </w:r>
          </w:p>
          <w:p>
            <w:pPr>
              <w:snapToGrid w:val="0"/>
              <w:ind w:left="1732" w:leftChars="-25" w:right="-31" w:rightChars="-15" w:hanging="1785" w:hangingChars="850"/>
              <w:rPr>
                <w:rFonts w:hint="eastAsia" w:ascii="宋体" w:hAnsi="宋体"/>
                <w:color w:val="auto"/>
                <w:szCs w:val="21"/>
                <w:highlight w:val="none"/>
              </w:rPr>
            </w:pPr>
            <w:r>
              <w:rPr>
                <w:rFonts w:hint="eastAsia" w:ascii="宋体" w:hAnsi="宋体"/>
                <w:color w:val="auto"/>
                <w:szCs w:val="21"/>
                <w:highlight w:val="none"/>
              </w:rPr>
              <w:t>（10）给排水专业工程师：具有给水排水施工类专业高级工程师(或以上)职称的，每人加0.5分(最高加0.5分)。</w:t>
            </w:r>
          </w:p>
          <w:p>
            <w:pPr>
              <w:snapToGrid w:val="0"/>
              <w:ind w:left="1732" w:leftChars="-25" w:right="-31" w:rightChars="-15" w:hanging="1785" w:hangingChars="850"/>
              <w:rPr>
                <w:rFonts w:hint="eastAsia" w:ascii="宋体" w:hAnsi="宋体"/>
                <w:color w:val="auto"/>
                <w:szCs w:val="21"/>
                <w:highlight w:val="none"/>
              </w:rPr>
            </w:pPr>
            <w:r>
              <w:rPr>
                <w:rFonts w:hint="eastAsia" w:ascii="宋体" w:hAnsi="宋体"/>
                <w:color w:val="auto"/>
                <w:szCs w:val="21"/>
                <w:highlight w:val="none"/>
              </w:rPr>
              <w:t>（11）园林专业工程师：具有风景园林施工类专业高级工程师(或以上)职称的，每人加0.5分(最高加0.5分)。</w:t>
            </w:r>
          </w:p>
          <w:p>
            <w:pPr>
              <w:snapToGrid w:val="0"/>
              <w:ind w:left="1732" w:leftChars="-25" w:right="-31" w:rightChars="-15" w:hanging="1785" w:hangingChars="850"/>
              <w:rPr>
                <w:rFonts w:hint="eastAsia" w:ascii="宋体" w:hAnsi="宋体"/>
                <w:color w:val="auto"/>
                <w:szCs w:val="21"/>
                <w:highlight w:val="none"/>
              </w:rPr>
            </w:pPr>
            <w:r>
              <w:rPr>
                <w:rFonts w:hint="eastAsia" w:ascii="宋体" w:hAnsi="宋体"/>
                <w:color w:val="auto"/>
                <w:szCs w:val="21"/>
                <w:highlight w:val="none"/>
              </w:rPr>
              <w:t>（12）造价专业工程师：具有造价或建筑相关专业高级工程师(或以上)职称的，每人加0.5分(最高加0.5分)。</w:t>
            </w:r>
          </w:p>
          <w:p>
            <w:pPr>
              <w:snapToGrid w:val="0"/>
              <w:ind w:left="1732" w:leftChars="-25" w:right="-31" w:rightChars="-15" w:hanging="1785" w:hangingChars="850"/>
              <w:rPr>
                <w:rFonts w:hint="eastAsia" w:ascii="宋体" w:hAnsi="宋体"/>
                <w:color w:val="auto"/>
                <w:szCs w:val="21"/>
                <w:highlight w:val="none"/>
              </w:rPr>
            </w:pPr>
            <w:r>
              <w:rPr>
                <w:rFonts w:hint="eastAsia" w:ascii="宋体" w:hAnsi="宋体"/>
                <w:color w:val="auto"/>
                <w:szCs w:val="21"/>
                <w:highlight w:val="none"/>
              </w:rPr>
              <w:t>（13）消防专业工程师：具有消防或建筑相关专业工程师(或以上)职称的，每人加0.25分(最高加0.</w:t>
            </w:r>
            <w:r>
              <w:rPr>
                <w:rFonts w:hint="eastAsia" w:ascii="宋体" w:hAnsi="宋体"/>
                <w:color w:val="auto"/>
                <w:szCs w:val="21"/>
                <w:highlight w:val="none"/>
                <w:lang w:val="en-US" w:eastAsia="zh-CN"/>
              </w:rPr>
              <w:t>25</w:t>
            </w:r>
            <w:r>
              <w:rPr>
                <w:rFonts w:hint="eastAsia" w:ascii="宋体" w:hAnsi="宋体"/>
                <w:color w:val="auto"/>
                <w:szCs w:val="21"/>
                <w:highlight w:val="none"/>
              </w:rPr>
              <w:t>分)。</w:t>
            </w:r>
          </w:p>
          <w:p>
            <w:pPr>
              <w:snapToGrid w:val="0"/>
              <w:ind w:left="1732" w:leftChars="-25" w:right="-31" w:rightChars="-15" w:hanging="1785" w:hangingChars="850"/>
              <w:rPr>
                <w:rFonts w:ascii="宋体" w:hAnsi="宋体"/>
                <w:color w:val="auto"/>
                <w:szCs w:val="21"/>
                <w:highlight w:val="none"/>
              </w:rPr>
            </w:pPr>
            <w:r>
              <w:rPr>
                <w:rFonts w:hint="eastAsia" w:ascii="宋体" w:hAnsi="宋体"/>
                <w:color w:val="auto"/>
                <w:szCs w:val="21"/>
                <w:highlight w:val="none"/>
              </w:rPr>
              <w:t>（14）安全专业工程师：具有安全或建筑相关专业工程师(或以上)职称的，每人加0.25分(最高加0.</w:t>
            </w:r>
            <w:r>
              <w:rPr>
                <w:rFonts w:hint="eastAsia" w:ascii="宋体" w:hAnsi="宋体"/>
                <w:color w:val="auto"/>
                <w:szCs w:val="21"/>
                <w:highlight w:val="none"/>
                <w:lang w:val="en-US" w:eastAsia="zh-CN"/>
              </w:rPr>
              <w:t>25</w:t>
            </w:r>
            <w:r>
              <w:rPr>
                <w:rFonts w:hint="eastAsia" w:ascii="宋体" w:hAnsi="宋体"/>
                <w:color w:val="auto"/>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4" w:hRule="atLeast"/>
          <w:jc w:val="center"/>
        </w:trPr>
        <w:tc>
          <w:tcPr>
            <w:tcW w:w="504" w:type="dxa"/>
            <w:vMerge w:val="restart"/>
            <w:shd w:val="clear" w:color="auto" w:fill="FFFFFF"/>
            <w:noWrap w:val="0"/>
            <w:tcMar>
              <w:top w:w="57" w:type="dxa"/>
              <w:bottom w:w="57" w:type="dxa"/>
            </w:tcMar>
            <w:vAlign w:val="center"/>
          </w:tcPr>
          <w:p>
            <w:pPr>
              <w:adjustRightInd w:val="0"/>
              <w:snapToGrid w:val="0"/>
              <w:ind w:left="-53" w:leftChars="-25" w:right="-53" w:rightChars="-25"/>
              <w:jc w:val="center"/>
              <w:rPr>
                <w:rFonts w:ascii="宋体" w:hAnsi="宋体"/>
                <w:color w:val="auto"/>
                <w:szCs w:val="21"/>
                <w:highlight w:val="none"/>
              </w:rPr>
            </w:pPr>
            <w:r>
              <w:rPr>
                <w:rFonts w:hint="eastAsia" w:ascii="宋体" w:hAnsi="宋体"/>
                <w:color w:val="auto"/>
                <w:szCs w:val="21"/>
                <w:highlight w:val="none"/>
              </w:rPr>
              <w:t>二</w:t>
            </w:r>
          </w:p>
        </w:tc>
        <w:tc>
          <w:tcPr>
            <w:tcW w:w="775" w:type="dxa"/>
            <w:vMerge w:val="restart"/>
            <w:shd w:val="clear" w:color="auto" w:fill="FFFFFF"/>
            <w:noWrap w:val="0"/>
            <w:tcMar>
              <w:top w:w="57" w:type="dxa"/>
              <w:bottom w:w="57" w:type="dxa"/>
            </w:tcMar>
            <w:vAlign w:val="center"/>
          </w:tcPr>
          <w:p>
            <w:pPr>
              <w:widowControl/>
              <w:adjustRightInd w:val="0"/>
              <w:snapToGrid w:val="0"/>
              <w:ind w:left="-53" w:leftChars="-25" w:right="-53" w:rightChars="-25"/>
              <w:jc w:val="center"/>
              <w:rPr>
                <w:rFonts w:ascii="宋体" w:hAnsi="宋体"/>
                <w:b/>
                <w:color w:val="auto"/>
                <w:szCs w:val="21"/>
                <w:highlight w:val="none"/>
              </w:rPr>
            </w:pPr>
            <w:r>
              <w:rPr>
                <w:rFonts w:hint="eastAsia" w:ascii="宋体" w:hAnsi="宋体"/>
                <w:b/>
                <w:color w:val="auto"/>
                <w:szCs w:val="21"/>
                <w:highlight w:val="none"/>
              </w:rPr>
              <w:t>企业</w:t>
            </w:r>
            <w:r>
              <w:rPr>
                <w:rFonts w:ascii="宋体" w:hAnsi="宋体"/>
                <w:b/>
                <w:color w:val="auto"/>
                <w:szCs w:val="21"/>
                <w:highlight w:val="none"/>
              </w:rPr>
              <w:br w:type="textWrapping"/>
            </w:r>
            <w:r>
              <w:rPr>
                <w:rFonts w:hint="eastAsia" w:ascii="宋体" w:hAnsi="宋体"/>
                <w:b/>
                <w:color w:val="auto"/>
                <w:szCs w:val="21"/>
                <w:highlight w:val="none"/>
              </w:rPr>
              <w:t>资信</w:t>
            </w:r>
          </w:p>
        </w:tc>
        <w:tc>
          <w:tcPr>
            <w:tcW w:w="1388" w:type="dxa"/>
            <w:shd w:val="clear" w:color="auto" w:fill="FFFFFF"/>
            <w:noWrap w:val="0"/>
            <w:tcMar>
              <w:top w:w="57" w:type="dxa"/>
              <w:bottom w:w="57" w:type="dxa"/>
            </w:tcMar>
            <w:vAlign w:val="center"/>
          </w:tcPr>
          <w:p>
            <w:pPr>
              <w:adjustRightInd w:val="0"/>
              <w:snapToGrid w:val="0"/>
              <w:spacing w:before="78" w:beforeLines="25" w:after="78" w:afterLines="25"/>
              <w:ind w:left="-53" w:leftChars="-25" w:right="-50" w:rightChars="-24"/>
              <w:jc w:val="center"/>
              <w:rPr>
                <w:rFonts w:ascii="宋体" w:hAnsi="宋体"/>
                <w:color w:val="auto"/>
                <w:kern w:val="0"/>
                <w:szCs w:val="21"/>
                <w:highlight w:val="none"/>
              </w:rPr>
            </w:pPr>
            <w:r>
              <w:rPr>
                <w:rFonts w:ascii="宋体" w:hAnsi="宋体"/>
                <w:color w:val="auto"/>
                <w:kern w:val="0"/>
                <w:szCs w:val="21"/>
                <w:highlight w:val="none"/>
              </w:rPr>
              <w:t>类似业绩</w:t>
            </w:r>
          </w:p>
        </w:tc>
        <w:tc>
          <w:tcPr>
            <w:tcW w:w="652" w:type="dxa"/>
            <w:shd w:val="clear" w:color="auto" w:fill="FFFFFF"/>
            <w:noWrap w:val="0"/>
            <w:tcMar>
              <w:top w:w="57" w:type="dxa"/>
              <w:bottom w:w="57" w:type="dxa"/>
            </w:tcMar>
            <w:vAlign w:val="center"/>
          </w:tcPr>
          <w:p>
            <w:pPr>
              <w:adjustRightInd w:val="0"/>
              <w:snapToGrid w:val="0"/>
              <w:spacing w:before="78" w:beforeLines="25" w:after="78" w:afterLines="25"/>
              <w:ind w:left="-53" w:leftChars="-25" w:right="-50" w:rightChars="-24"/>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11136" w:type="dxa"/>
            <w:shd w:val="clear" w:color="auto" w:fill="FFFFFF"/>
            <w:noWrap w:val="0"/>
            <w:tcMar>
              <w:top w:w="57" w:type="dxa"/>
              <w:bottom w:w="57" w:type="dxa"/>
            </w:tcMar>
            <w:vAlign w:val="center"/>
          </w:tcPr>
          <w:p>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自</w:t>
            </w:r>
            <w:r>
              <w:rPr>
                <w:rFonts w:ascii="宋体" w:hAnsi="宋体"/>
                <w:color w:val="auto"/>
                <w:szCs w:val="21"/>
                <w:highlight w:val="none"/>
              </w:rPr>
              <w:t>201</w:t>
            </w:r>
            <w:r>
              <w:rPr>
                <w:rFonts w:hint="eastAsia" w:ascii="宋体" w:hAnsi="宋体"/>
                <w:color w:val="auto"/>
                <w:szCs w:val="21"/>
                <w:highlight w:val="none"/>
              </w:rPr>
              <w:t>9</w:t>
            </w:r>
            <w:r>
              <w:rPr>
                <w:rFonts w:ascii="宋体" w:hAnsi="宋体"/>
                <w:color w:val="auto"/>
                <w:szCs w:val="21"/>
                <w:highlight w:val="none"/>
              </w:rPr>
              <w:t>年1月1日至投标截止时间止，</w:t>
            </w:r>
            <w:r>
              <w:rPr>
                <w:rFonts w:hint="eastAsia" w:ascii="宋体" w:hAnsi="宋体"/>
                <w:color w:val="auto"/>
                <w:szCs w:val="21"/>
                <w:highlight w:val="none"/>
              </w:rPr>
              <w:t>投标人完成过质量</w:t>
            </w:r>
            <w:r>
              <w:rPr>
                <w:rFonts w:hint="eastAsia" w:ascii="宋体" w:hAnsi="宋体" w:cs="宋体"/>
                <w:color w:val="auto"/>
                <w:szCs w:val="21"/>
                <w:highlight w:val="none"/>
              </w:rPr>
              <w:t>合格的类似项目业绩（类似项目是指单项中标金额大于或等于485万元的建筑装修装饰工程施工项目）情况：</w:t>
            </w:r>
          </w:p>
          <w:p>
            <w:pPr>
              <w:adjustRightInd w:val="0"/>
              <w:snapToGrid w:val="0"/>
              <w:spacing w:before="78" w:beforeLines="25"/>
              <w:rPr>
                <w:rFonts w:ascii="宋体" w:hAnsi="宋体" w:cs="宋体"/>
                <w:color w:val="auto"/>
                <w:szCs w:val="21"/>
                <w:highlight w:val="none"/>
              </w:rPr>
            </w:pPr>
            <w:r>
              <w:rPr>
                <w:rFonts w:ascii="宋体" w:hAnsi="宋体"/>
                <w:color w:val="auto"/>
                <w:szCs w:val="21"/>
                <w:highlight w:val="none"/>
              </w:rPr>
              <w:t>[优]</w:t>
            </w:r>
            <w:r>
              <w:rPr>
                <w:rFonts w:hint="eastAsia" w:ascii="宋体" w:hAnsi="宋体"/>
                <w:color w:val="auto"/>
                <w:szCs w:val="21"/>
                <w:highlight w:val="none"/>
              </w:rPr>
              <w:t xml:space="preserve"> 累计完成</w:t>
            </w:r>
            <w:r>
              <w:rPr>
                <w:rFonts w:hint="eastAsia" w:ascii="宋体" w:hAnsi="宋体" w:cs="宋体"/>
                <w:color w:val="auto"/>
                <w:szCs w:val="21"/>
                <w:highlight w:val="none"/>
              </w:rPr>
              <w:t>12项以上</w:t>
            </w:r>
            <w:r>
              <w:rPr>
                <w:rFonts w:hint="eastAsia" w:ascii="宋体" w:hAnsi="宋体"/>
                <w:color w:val="auto"/>
                <w:szCs w:val="21"/>
                <w:highlight w:val="none"/>
              </w:rPr>
              <w:t>(不含12项)</w:t>
            </w:r>
            <w:r>
              <w:rPr>
                <w:rFonts w:hint="eastAsia" w:ascii="宋体" w:hAnsi="宋体" w:cs="宋体"/>
                <w:color w:val="auto"/>
                <w:szCs w:val="21"/>
                <w:highlight w:val="none"/>
              </w:rPr>
              <w:t>的，得2分；</w:t>
            </w:r>
          </w:p>
          <w:p>
            <w:pPr>
              <w:adjustRightInd w:val="0"/>
              <w:snapToGrid w:val="0"/>
              <w:rPr>
                <w:rFonts w:ascii="宋体" w:hAnsi="宋体" w:cs="宋体"/>
                <w:color w:val="auto"/>
                <w:szCs w:val="21"/>
                <w:highlight w:val="none"/>
              </w:rPr>
            </w:pPr>
            <w:r>
              <w:rPr>
                <w:rFonts w:ascii="宋体" w:hAnsi="宋体"/>
                <w:color w:val="auto"/>
                <w:szCs w:val="21"/>
                <w:highlight w:val="none"/>
              </w:rPr>
              <w:t>[</w:t>
            </w:r>
            <w:r>
              <w:rPr>
                <w:rFonts w:hint="eastAsia" w:ascii="宋体" w:hAnsi="宋体" w:cs="Calibri"/>
                <w:color w:val="auto"/>
                <w:szCs w:val="24"/>
                <w:highlight w:val="none"/>
              </w:rPr>
              <w:t>良</w:t>
            </w:r>
            <w:r>
              <w:rPr>
                <w:rFonts w:ascii="宋体" w:hAnsi="宋体"/>
                <w:color w:val="auto"/>
                <w:szCs w:val="21"/>
                <w:highlight w:val="none"/>
              </w:rPr>
              <w:t>]</w:t>
            </w:r>
            <w:r>
              <w:rPr>
                <w:rFonts w:hint="eastAsia" w:ascii="宋体" w:hAnsi="宋体"/>
                <w:color w:val="auto"/>
                <w:szCs w:val="21"/>
                <w:highlight w:val="none"/>
              </w:rPr>
              <w:t xml:space="preserve"> 累计完成</w:t>
            </w:r>
            <w:r>
              <w:rPr>
                <w:rFonts w:hint="eastAsia" w:ascii="宋体" w:hAnsi="宋体" w:cs="宋体"/>
                <w:color w:val="auto"/>
                <w:szCs w:val="21"/>
                <w:highlight w:val="none"/>
              </w:rPr>
              <w:t>9～12项的，得1分；</w:t>
            </w:r>
          </w:p>
          <w:p>
            <w:pPr>
              <w:adjustRightInd w:val="0"/>
              <w:snapToGrid w:val="0"/>
              <w:rPr>
                <w:rFonts w:ascii="宋体" w:hAnsi="宋体" w:cs="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中</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s="Calibri"/>
                <w:color w:val="auto"/>
                <w:szCs w:val="21"/>
                <w:highlight w:val="none"/>
              </w:rPr>
              <w:t>累计</w:t>
            </w:r>
            <w:r>
              <w:rPr>
                <w:rFonts w:hint="eastAsia" w:ascii="宋体" w:hAnsi="宋体"/>
                <w:color w:val="auto"/>
                <w:szCs w:val="21"/>
                <w:highlight w:val="none"/>
              </w:rPr>
              <w:t>完成</w:t>
            </w:r>
            <w:r>
              <w:rPr>
                <w:rFonts w:hint="eastAsia" w:ascii="宋体" w:hAnsi="宋体" w:cs="宋体"/>
                <w:color w:val="auto"/>
                <w:szCs w:val="21"/>
                <w:highlight w:val="none"/>
              </w:rPr>
              <w:t>5～8项的，得0.5分；</w:t>
            </w:r>
          </w:p>
          <w:p>
            <w:pPr>
              <w:adjustRightInd w:val="0"/>
              <w:snapToGrid w:val="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差</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s="宋体"/>
                <w:color w:val="auto"/>
                <w:szCs w:val="21"/>
                <w:highlight w:val="none"/>
              </w:rPr>
              <w:t>累计</w:t>
            </w:r>
            <w:r>
              <w:rPr>
                <w:rFonts w:hint="eastAsia" w:ascii="宋体" w:hAnsi="宋体"/>
                <w:color w:val="auto"/>
                <w:szCs w:val="21"/>
                <w:highlight w:val="none"/>
              </w:rPr>
              <w:t>完成</w:t>
            </w:r>
            <w:r>
              <w:rPr>
                <w:rFonts w:hint="eastAsia" w:ascii="宋体" w:hAnsi="宋体" w:cs="宋体"/>
                <w:color w:val="auto"/>
                <w:szCs w:val="21"/>
                <w:highlight w:val="none"/>
              </w:rPr>
              <w:t>1～4项的，得0.25分。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4" w:hRule="atLeast"/>
          <w:jc w:val="center"/>
        </w:trPr>
        <w:tc>
          <w:tcPr>
            <w:tcW w:w="504" w:type="dxa"/>
            <w:vMerge w:val="continue"/>
            <w:shd w:val="clear" w:color="auto" w:fill="FFFFFF"/>
            <w:noWrap w:val="0"/>
            <w:tcMar>
              <w:top w:w="57" w:type="dxa"/>
              <w:bottom w:w="57" w:type="dxa"/>
            </w:tcMar>
            <w:vAlign w:val="center"/>
          </w:tcPr>
          <w:p>
            <w:pPr>
              <w:adjustRightInd w:val="0"/>
              <w:snapToGrid w:val="0"/>
              <w:ind w:left="-53" w:leftChars="-25" w:right="-53" w:rightChars="-25"/>
              <w:jc w:val="center"/>
              <w:rPr>
                <w:rFonts w:hint="eastAsia" w:ascii="宋体" w:hAnsi="宋体"/>
                <w:color w:val="auto"/>
                <w:szCs w:val="21"/>
                <w:highlight w:val="none"/>
              </w:rPr>
            </w:pPr>
          </w:p>
        </w:tc>
        <w:tc>
          <w:tcPr>
            <w:tcW w:w="775" w:type="dxa"/>
            <w:vMerge w:val="continue"/>
            <w:shd w:val="clear" w:color="auto" w:fill="FFFFFF"/>
            <w:noWrap w:val="0"/>
            <w:tcMar>
              <w:top w:w="57" w:type="dxa"/>
              <w:bottom w:w="57" w:type="dxa"/>
            </w:tcMar>
            <w:vAlign w:val="center"/>
          </w:tcPr>
          <w:p>
            <w:pPr>
              <w:widowControl/>
              <w:adjustRightInd w:val="0"/>
              <w:snapToGrid w:val="0"/>
              <w:ind w:left="-53" w:leftChars="-25" w:right="-53" w:rightChars="-25"/>
              <w:jc w:val="center"/>
              <w:rPr>
                <w:rFonts w:hint="eastAsia" w:ascii="宋体" w:hAnsi="宋体"/>
                <w:b/>
                <w:color w:val="auto"/>
                <w:szCs w:val="21"/>
                <w:highlight w:val="none"/>
              </w:rPr>
            </w:pPr>
          </w:p>
        </w:tc>
        <w:tc>
          <w:tcPr>
            <w:tcW w:w="1388" w:type="dxa"/>
            <w:shd w:val="clear" w:color="auto" w:fill="FFFFFF"/>
            <w:noWrap w:val="0"/>
            <w:tcMar>
              <w:top w:w="57" w:type="dxa"/>
              <w:bottom w:w="57" w:type="dxa"/>
            </w:tcMar>
            <w:vAlign w:val="center"/>
          </w:tcPr>
          <w:p>
            <w:pPr>
              <w:adjustRightInd w:val="0"/>
              <w:snapToGrid w:val="0"/>
              <w:spacing w:before="78" w:beforeLines="25" w:after="78" w:afterLines="25"/>
              <w:ind w:left="-53" w:leftChars="-25" w:right="-50" w:rightChars="-24"/>
              <w:jc w:val="center"/>
              <w:rPr>
                <w:rFonts w:ascii="宋体" w:hAnsi="宋体"/>
                <w:color w:val="auto"/>
                <w:kern w:val="0"/>
                <w:szCs w:val="21"/>
                <w:highlight w:val="none"/>
              </w:rPr>
            </w:pPr>
            <w:r>
              <w:rPr>
                <w:rFonts w:hint="eastAsia" w:ascii="宋体" w:hAnsi="宋体"/>
                <w:color w:val="auto"/>
                <w:kern w:val="0"/>
                <w:szCs w:val="21"/>
                <w:highlight w:val="none"/>
              </w:rPr>
              <w:t>工程奖项</w:t>
            </w:r>
          </w:p>
        </w:tc>
        <w:tc>
          <w:tcPr>
            <w:tcW w:w="652" w:type="dxa"/>
            <w:shd w:val="clear" w:color="auto" w:fill="FFFFFF"/>
            <w:noWrap w:val="0"/>
            <w:tcMar>
              <w:top w:w="57" w:type="dxa"/>
              <w:bottom w:w="57" w:type="dxa"/>
            </w:tcMar>
            <w:vAlign w:val="center"/>
          </w:tcPr>
          <w:p>
            <w:pPr>
              <w:adjustRightInd w:val="0"/>
              <w:snapToGrid w:val="0"/>
              <w:spacing w:before="78" w:beforeLines="25" w:after="78" w:afterLines="25"/>
              <w:ind w:left="-53" w:leftChars="-25" w:right="-50" w:rightChars="-24"/>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11136" w:type="dxa"/>
            <w:shd w:val="clear" w:color="auto" w:fill="FFFFFF"/>
            <w:noWrap w:val="0"/>
            <w:tcMar>
              <w:top w:w="57" w:type="dxa"/>
              <w:bottom w:w="57" w:type="dxa"/>
            </w:tcMar>
            <w:vAlign w:val="center"/>
          </w:tcPr>
          <w:p>
            <w:pPr>
              <w:adjustRightInd w:val="0"/>
              <w:snapToGrid w:val="0"/>
              <w:rPr>
                <w:rFonts w:ascii="宋体" w:hAnsi="宋体"/>
                <w:color w:val="auto"/>
                <w:szCs w:val="21"/>
                <w:highlight w:val="none"/>
              </w:rPr>
            </w:pPr>
            <w:r>
              <w:rPr>
                <w:rFonts w:hint="eastAsia" w:ascii="宋体" w:hAnsi="宋体" w:cs="宋体"/>
                <w:color w:val="auto"/>
                <w:szCs w:val="21"/>
                <w:highlight w:val="none"/>
              </w:rPr>
              <w:t>自</w:t>
            </w:r>
            <w:r>
              <w:rPr>
                <w:rFonts w:ascii="宋体" w:hAnsi="宋体"/>
                <w:color w:val="auto"/>
                <w:szCs w:val="21"/>
                <w:highlight w:val="none"/>
              </w:rPr>
              <w:t>201</w:t>
            </w:r>
            <w:r>
              <w:rPr>
                <w:rFonts w:hint="eastAsia" w:ascii="宋体" w:hAnsi="宋体"/>
                <w:color w:val="auto"/>
                <w:szCs w:val="21"/>
                <w:highlight w:val="none"/>
              </w:rPr>
              <w:t>9</w:t>
            </w:r>
            <w:r>
              <w:rPr>
                <w:rFonts w:ascii="宋体" w:hAnsi="宋体"/>
                <w:color w:val="auto"/>
                <w:szCs w:val="21"/>
                <w:highlight w:val="none"/>
              </w:rPr>
              <w:t>年1月1日至投标截止时间止，</w:t>
            </w:r>
            <w:r>
              <w:rPr>
                <w:rFonts w:hint="eastAsia" w:ascii="宋体" w:hAnsi="宋体"/>
                <w:color w:val="auto"/>
                <w:szCs w:val="21"/>
                <w:highlight w:val="none"/>
              </w:rPr>
              <w:t>投标人</w:t>
            </w:r>
            <w:r>
              <w:rPr>
                <w:rFonts w:hint="eastAsia" w:ascii="宋体" w:hAnsi="宋体" w:cs="宋体"/>
                <w:color w:val="auto"/>
                <w:szCs w:val="21"/>
                <w:highlight w:val="none"/>
              </w:rPr>
              <w:t>承建(或参建)完成过的建筑装修装饰工程获奖情况：获得国家级质量奖项的，每项得0.15分；获得省级质量奖项的，每项得0.1分；获得市级质量奖项的，每项得0.05分。（本项最高得2分）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4" w:hRule="atLeast"/>
          <w:jc w:val="center"/>
        </w:trPr>
        <w:tc>
          <w:tcPr>
            <w:tcW w:w="504" w:type="dxa"/>
            <w:vMerge w:val="continue"/>
            <w:shd w:val="clear" w:color="auto" w:fill="FFFFFF"/>
            <w:noWrap w:val="0"/>
            <w:tcMar>
              <w:top w:w="57" w:type="dxa"/>
              <w:bottom w:w="57" w:type="dxa"/>
            </w:tcMar>
            <w:vAlign w:val="center"/>
          </w:tcPr>
          <w:p>
            <w:pPr>
              <w:adjustRightInd w:val="0"/>
              <w:snapToGrid w:val="0"/>
              <w:ind w:left="-53" w:leftChars="-25" w:right="-53" w:rightChars="-25"/>
              <w:jc w:val="center"/>
              <w:rPr>
                <w:rFonts w:hint="eastAsia" w:ascii="宋体" w:hAnsi="宋体"/>
                <w:color w:val="auto"/>
                <w:szCs w:val="21"/>
                <w:highlight w:val="none"/>
              </w:rPr>
            </w:pPr>
          </w:p>
        </w:tc>
        <w:tc>
          <w:tcPr>
            <w:tcW w:w="775" w:type="dxa"/>
            <w:vMerge w:val="continue"/>
            <w:shd w:val="clear" w:color="auto" w:fill="FFFFFF"/>
            <w:noWrap w:val="0"/>
            <w:tcMar>
              <w:top w:w="57" w:type="dxa"/>
              <w:bottom w:w="57" w:type="dxa"/>
            </w:tcMar>
            <w:vAlign w:val="center"/>
          </w:tcPr>
          <w:p>
            <w:pPr>
              <w:widowControl/>
              <w:adjustRightInd w:val="0"/>
              <w:snapToGrid w:val="0"/>
              <w:ind w:left="-53" w:leftChars="-25" w:right="-53" w:rightChars="-25"/>
              <w:jc w:val="center"/>
              <w:rPr>
                <w:rFonts w:hint="eastAsia" w:ascii="宋体" w:hAnsi="宋体"/>
                <w:b/>
                <w:color w:val="auto"/>
                <w:szCs w:val="21"/>
                <w:highlight w:val="none"/>
              </w:rPr>
            </w:pPr>
          </w:p>
        </w:tc>
        <w:tc>
          <w:tcPr>
            <w:tcW w:w="1388" w:type="dxa"/>
            <w:shd w:val="clear" w:color="auto" w:fill="FFFFFF"/>
            <w:noWrap w:val="0"/>
            <w:tcMar>
              <w:top w:w="57" w:type="dxa"/>
              <w:bottom w:w="57" w:type="dxa"/>
            </w:tcMar>
            <w:vAlign w:val="center"/>
          </w:tcPr>
          <w:p>
            <w:pPr>
              <w:adjustRightInd w:val="0"/>
              <w:snapToGrid w:val="0"/>
              <w:spacing w:before="78" w:beforeLines="25" w:after="78" w:afterLines="25"/>
              <w:ind w:left="-53" w:leftChars="-25" w:right="-50" w:rightChars="-24"/>
              <w:jc w:val="center"/>
              <w:rPr>
                <w:rFonts w:hint="eastAsia" w:ascii="宋体" w:hAnsi="宋体"/>
                <w:color w:val="auto"/>
                <w:kern w:val="0"/>
                <w:szCs w:val="21"/>
                <w:highlight w:val="none"/>
              </w:rPr>
            </w:pPr>
            <w:r>
              <w:rPr>
                <w:rFonts w:hint="eastAsia" w:ascii="宋体" w:hAnsi="宋体"/>
                <w:color w:val="auto"/>
                <w:kern w:val="0"/>
                <w:szCs w:val="21"/>
                <w:highlight w:val="none"/>
              </w:rPr>
              <w:t>工程研发能力</w:t>
            </w:r>
          </w:p>
        </w:tc>
        <w:tc>
          <w:tcPr>
            <w:tcW w:w="652" w:type="dxa"/>
            <w:shd w:val="clear" w:color="auto" w:fill="FFFFFF"/>
            <w:noWrap w:val="0"/>
            <w:tcMar>
              <w:top w:w="57" w:type="dxa"/>
              <w:bottom w:w="57" w:type="dxa"/>
            </w:tcMar>
            <w:vAlign w:val="center"/>
          </w:tcPr>
          <w:p>
            <w:pPr>
              <w:adjustRightInd w:val="0"/>
              <w:snapToGrid w:val="0"/>
              <w:spacing w:before="78" w:beforeLines="25" w:after="78" w:afterLines="25"/>
              <w:ind w:left="-53" w:leftChars="-25" w:right="-50" w:rightChars="-24"/>
              <w:jc w:val="center"/>
              <w:rPr>
                <w:rFonts w:hint="eastAsia" w:ascii="宋体" w:hAnsi="宋体"/>
                <w:color w:val="auto"/>
                <w:kern w:val="0"/>
                <w:szCs w:val="21"/>
                <w:highlight w:val="none"/>
              </w:rPr>
            </w:pPr>
            <w:r>
              <w:rPr>
                <w:rFonts w:hint="eastAsia" w:ascii="宋体" w:hAnsi="宋体"/>
                <w:color w:val="auto"/>
                <w:kern w:val="0"/>
                <w:szCs w:val="21"/>
                <w:highlight w:val="none"/>
              </w:rPr>
              <w:t>0.8</w:t>
            </w:r>
          </w:p>
        </w:tc>
        <w:tc>
          <w:tcPr>
            <w:tcW w:w="11136" w:type="dxa"/>
            <w:shd w:val="clear" w:color="auto" w:fill="FFFFFF"/>
            <w:noWrap w:val="0"/>
            <w:tcMar>
              <w:top w:w="57" w:type="dxa"/>
              <w:bottom w:w="57" w:type="dxa"/>
            </w:tcMar>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自</w:t>
            </w:r>
            <w:r>
              <w:rPr>
                <w:rFonts w:ascii="宋体" w:hAnsi="宋体"/>
                <w:color w:val="auto"/>
                <w:szCs w:val="21"/>
                <w:highlight w:val="none"/>
              </w:rPr>
              <w:t>201</w:t>
            </w:r>
            <w:r>
              <w:rPr>
                <w:rFonts w:hint="eastAsia" w:ascii="宋体" w:hAnsi="宋体"/>
                <w:color w:val="auto"/>
                <w:szCs w:val="21"/>
                <w:highlight w:val="none"/>
              </w:rPr>
              <w:t>9</w:t>
            </w:r>
            <w:r>
              <w:rPr>
                <w:rFonts w:ascii="宋体" w:hAnsi="宋体"/>
                <w:color w:val="auto"/>
                <w:szCs w:val="21"/>
                <w:highlight w:val="none"/>
              </w:rPr>
              <w:t>年1月1日至投标截止时间止，</w:t>
            </w:r>
            <w:r>
              <w:rPr>
                <w:rFonts w:hint="eastAsia" w:ascii="宋体" w:hAnsi="宋体"/>
                <w:color w:val="auto"/>
                <w:szCs w:val="21"/>
                <w:highlight w:val="none"/>
              </w:rPr>
              <w:t>投标人</w:t>
            </w:r>
            <w:r>
              <w:rPr>
                <w:rFonts w:hint="eastAsia" w:ascii="宋体" w:hAnsi="宋体" w:cs="宋体"/>
                <w:color w:val="auto"/>
                <w:szCs w:val="21"/>
                <w:highlight w:val="none"/>
              </w:rPr>
              <w:t>获得过的工程建设类专利</w:t>
            </w:r>
            <w:r>
              <w:rPr>
                <w:rFonts w:hint="eastAsia" w:ascii="宋体" w:hAnsi="宋体"/>
                <w:color w:val="auto"/>
                <w:szCs w:val="21"/>
                <w:highlight w:val="none"/>
              </w:rPr>
              <w:t>情况</w:t>
            </w:r>
            <w:r>
              <w:rPr>
                <w:rFonts w:hint="eastAsia" w:ascii="宋体" w:hAnsi="宋体" w:cs="宋体"/>
                <w:color w:val="auto"/>
                <w:szCs w:val="21"/>
                <w:highlight w:val="none"/>
              </w:rPr>
              <w:t>：</w:t>
            </w:r>
          </w:p>
          <w:p>
            <w:pPr>
              <w:adjustRightInd w:val="0"/>
              <w:snapToGrid w:val="0"/>
              <w:spacing w:before="78" w:beforeLines="25"/>
              <w:rPr>
                <w:rFonts w:ascii="宋体" w:hAnsi="宋体" w:cs="宋体"/>
                <w:color w:val="auto"/>
                <w:szCs w:val="21"/>
                <w:highlight w:val="none"/>
              </w:rPr>
            </w:pPr>
            <w:r>
              <w:rPr>
                <w:rFonts w:ascii="宋体" w:hAnsi="宋体"/>
                <w:color w:val="auto"/>
                <w:szCs w:val="21"/>
                <w:highlight w:val="none"/>
              </w:rPr>
              <w:t>[优]</w:t>
            </w:r>
            <w:r>
              <w:rPr>
                <w:rFonts w:hint="eastAsia" w:ascii="宋体" w:hAnsi="宋体"/>
                <w:color w:val="auto"/>
                <w:szCs w:val="21"/>
                <w:highlight w:val="none"/>
              </w:rPr>
              <w:t xml:space="preserve"> 累计获得</w:t>
            </w:r>
            <w:r>
              <w:rPr>
                <w:rFonts w:hint="eastAsia" w:ascii="宋体" w:hAnsi="宋体" w:cs="宋体"/>
                <w:color w:val="auto"/>
                <w:szCs w:val="21"/>
                <w:highlight w:val="none"/>
              </w:rPr>
              <w:t>60项以上</w:t>
            </w:r>
            <w:r>
              <w:rPr>
                <w:rFonts w:hint="eastAsia" w:ascii="宋体" w:hAnsi="宋体"/>
                <w:color w:val="auto"/>
                <w:szCs w:val="21"/>
                <w:highlight w:val="none"/>
              </w:rPr>
              <w:t>(不含60项)</w:t>
            </w:r>
            <w:r>
              <w:rPr>
                <w:rFonts w:hint="eastAsia" w:ascii="宋体" w:hAnsi="宋体" w:cs="宋体"/>
                <w:color w:val="auto"/>
                <w:szCs w:val="21"/>
                <w:highlight w:val="none"/>
              </w:rPr>
              <w:t>的，得0.8分；</w:t>
            </w:r>
          </w:p>
          <w:p>
            <w:pPr>
              <w:adjustRightInd w:val="0"/>
              <w:snapToGrid w:val="0"/>
              <w:rPr>
                <w:rFonts w:ascii="宋体" w:hAnsi="宋体" w:cs="宋体"/>
                <w:color w:val="auto"/>
                <w:szCs w:val="21"/>
                <w:highlight w:val="none"/>
              </w:rPr>
            </w:pPr>
            <w:r>
              <w:rPr>
                <w:rFonts w:ascii="宋体" w:hAnsi="宋体"/>
                <w:color w:val="auto"/>
                <w:szCs w:val="21"/>
                <w:highlight w:val="none"/>
              </w:rPr>
              <w:t>[</w:t>
            </w:r>
            <w:r>
              <w:rPr>
                <w:rFonts w:hint="eastAsia" w:ascii="宋体" w:hAnsi="宋体" w:cs="Calibri"/>
                <w:color w:val="auto"/>
                <w:szCs w:val="24"/>
                <w:highlight w:val="none"/>
              </w:rPr>
              <w:t>良</w:t>
            </w:r>
            <w:r>
              <w:rPr>
                <w:rFonts w:ascii="宋体" w:hAnsi="宋体"/>
                <w:color w:val="auto"/>
                <w:szCs w:val="21"/>
                <w:highlight w:val="none"/>
              </w:rPr>
              <w:t>]</w:t>
            </w:r>
            <w:r>
              <w:rPr>
                <w:rFonts w:hint="eastAsia" w:ascii="宋体" w:hAnsi="宋体"/>
                <w:color w:val="auto"/>
                <w:szCs w:val="21"/>
                <w:highlight w:val="none"/>
              </w:rPr>
              <w:t xml:space="preserve"> 累计获得</w:t>
            </w:r>
            <w:r>
              <w:rPr>
                <w:rFonts w:hint="eastAsia" w:ascii="宋体" w:hAnsi="宋体" w:cs="宋体"/>
                <w:color w:val="auto"/>
                <w:szCs w:val="21"/>
                <w:highlight w:val="none"/>
              </w:rPr>
              <w:t>41～60项的，得0.4分；</w:t>
            </w:r>
          </w:p>
          <w:p>
            <w:pPr>
              <w:adjustRightInd w:val="0"/>
              <w:snapToGrid w:val="0"/>
              <w:rPr>
                <w:rFonts w:ascii="宋体" w:hAnsi="宋体" w:cs="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中</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s="Calibri"/>
                <w:color w:val="auto"/>
                <w:szCs w:val="21"/>
                <w:highlight w:val="none"/>
              </w:rPr>
              <w:t>累计</w:t>
            </w:r>
            <w:r>
              <w:rPr>
                <w:rFonts w:hint="eastAsia" w:ascii="宋体" w:hAnsi="宋体"/>
                <w:color w:val="auto"/>
                <w:szCs w:val="21"/>
                <w:highlight w:val="none"/>
              </w:rPr>
              <w:t>获得</w:t>
            </w:r>
            <w:r>
              <w:rPr>
                <w:rFonts w:hint="eastAsia" w:ascii="宋体" w:hAnsi="宋体" w:cs="宋体"/>
                <w:color w:val="auto"/>
                <w:szCs w:val="21"/>
                <w:highlight w:val="none"/>
              </w:rPr>
              <w:t>21～40项的，得0.2分；</w:t>
            </w:r>
          </w:p>
          <w:p>
            <w:pPr>
              <w:adjustRightInd w:val="0"/>
              <w:snapToGrid w:val="0"/>
              <w:rPr>
                <w:rFonts w:hint="eastAsia" w:ascii="宋体" w:hAnsi="宋体" w:cs="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差</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s="宋体"/>
                <w:color w:val="auto"/>
                <w:szCs w:val="21"/>
                <w:highlight w:val="none"/>
              </w:rPr>
              <w:t>累计</w:t>
            </w:r>
            <w:r>
              <w:rPr>
                <w:rFonts w:hint="eastAsia" w:ascii="宋体" w:hAnsi="宋体"/>
                <w:color w:val="auto"/>
                <w:szCs w:val="21"/>
                <w:highlight w:val="none"/>
              </w:rPr>
              <w:t>获得</w:t>
            </w:r>
            <w:r>
              <w:rPr>
                <w:rFonts w:hint="eastAsia" w:ascii="宋体" w:hAnsi="宋体" w:cs="宋体"/>
                <w:color w:val="auto"/>
                <w:szCs w:val="21"/>
                <w:highlight w:val="none"/>
              </w:rPr>
              <w:t>1～20项的，得0.1分。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4" w:hRule="atLeast"/>
          <w:jc w:val="center"/>
        </w:trPr>
        <w:tc>
          <w:tcPr>
            <w:tcW w:w="504" w:type="dxa"/>
            <w:vMerge w:val="continue"/>
            <w:shd w:val="clear" w:color="auto" w:fill="FFFFFF"/>
            <w:noWrap w:val="0"/>
            <w:tcMar>
              <w:top w:w="57" w:type="dxa"/>
              <w:bottom w:w="57" w:type="dxa"/>
            </w:tcMar>
            <w:vAlign w:val="center"/>
          </w:tcPr>
          <w:p>
            <w:pPr>
              <w:adjustRightInd w:val="0"/>
              <w:snapToGrid w:val="0"/>
              <w:ind w:left="-53" w:leftChars="-25" w:right="-53" w:rightChars="-25"/>
              <w:jc w:val="center"/>
              <w:rPr>
                <w:rFonts w:hint="eastAsia" w:ascii="宋体" w:hAnsi="宋体"/>
                <w:color w:val="auto"/>
                <w:szCs w:val="21"/>
                <w:highlight w:val="none"/>
              </w:rPr>
            </w:pPr>
          </w:p>
        </w:tc>
        <w:tc>
          <w:tcPr>
            <w:tcW w:w="775" w:type="dxa"/>
            <w:vMerge w:val="continue"/>
            <w:shd w:val="clear" w:color="auto" w:fill="FFFFFF"/>
            <w:noWrap w:val="0"/>
            <w:tcMar>
              <w:top w:w="57" w:type="dxa"/>
              <w:bottom w:w="57" w:type="dxa"/>
            </w:tcMar>
            <w:vAlign w:val="center"/>
          </w:tcPr>
          <w:p>
            <w:pPr>
              <w:widowControl/>
              <w:adjustRightInd w:val="0"/>
              <w:snapToGrid w:val="0"/>
              <w:ind w:left="-53" w:leftChars="-25" w:right="-53" w:rightChars="-25"/>
              <w:jc w:val="center"/>
              <w:rPr>
                <w:rFonts w:hint="eastAsia" w:ascii="宋体" w:hAnsi="宋体"/>
                <w:b/>
                <w:color w:val="auto"/>
                <w:szCs w:val="21"/>
                <w:highlight w:val="none"/>
              </w:rPr>
            </w:pPr>
          </w:p>
        </w:tc>
        <w:tc>
          <w:tcPr>
            <w:tcW w:w="1388" w:type="dxa"/>
            <w:shd w:val="clear" w:color="auto" w:fill="FFFFFF"/>
            <w:noWrap w:val="0"/>
            <w:tcMar>
              <w:top w:w="57" w:type="dxa"/>
              <w:bottom w:w="57" w:type="dxa"/>
            </w:tcMar>
            <w:vAlign w:val="center"/>
          </w:tcPr>
          <w:p>
            <w:pPr>
              <w:adjustRightInd w:val="0"/>
              <w:snapToGrid w:val="0"/>
              <w:spacing w:before="78" w:beforeLines="25" w:after="78" w:afterLines="25"/>
              <w:ind w:left="-53" w:leftChars="-25" w:right="-50" w:rightChars="-24"/>
              <w:jc w:val="center"/>
              <w:rPr>
                <w:rFonts w:hint="eastAsia" w:ascii="宋体" w:hAnsi="宋体"/>
                <w:color w:val="auto"/>
                <w:kern w:val="0"/>
                <w:szCs w:val="21"/>
                <w:highlight w:val="none"/>
              </w:rPr>
            </w:pPr>
            <w:r>
              <w:rPr>
                <w:rFonts w:hint="eastAsia" w:ascii="宋体" w:hAnsi="宋体"/>
                <w:color w:val="auto"/>
                <w:kern w:val="0"/>
                <w:szCs w:val="21"/>
                <w:highlight w:val="none"/>
              </w:rPr>
              <w:t>第三方评价</w:t>
            </w:r>
          </w:p>
        </w:tc>
        <w:tc>
          <w:tcPr>
            <w:tcW w:w="652" w:type="dxa"/>
            <w:shd w:val="clear" w:color="auto" w:fill="FFFFFF"/>
            <w:noWrap w:val="0"/>
            <w:tcMar>
              <w:top w:w="57" w:type="dxa"/>
              <w:bottom w:w="57" w:type="dxa"/>
            </w:tcMar>
            <w:vAlign w:val="center"/>
          </w:tcPr>
          <w:p>
            <w:pPr>
              <w:adjustRightInd w:val="0"/>
              <w:snapToGrid w:val="0"/>
              <w:spacing w:before="78" w:beforeLines="25" w:after="78" w:afterLines="25"/>
              <w:ind w:left="-53" w:leftChars="-25" w:right="-50" w:rightChars="-24"/>
              <w:jc w:val="center"/>
              <w:rPr>
                <w:rFonts w:hint="eastAsia" w:ascii="宋体" w:hAnsi="宋体"/>
                <w:color w:val="auto"/>
                <w:kern w:val="0"/>
                <w:szCs w:val="21"/>
                <w:highlight w:val="none"/>
              </w:rPr>
            </w:pPr>
            <w:r>
              <w:rPr>
                <w:rFonts w:hint="eastAsia" w:ascii="宋体" w:hAnsi="宋体"/>
                <w:color w:val="auto"/>
                <w:kern w:val="0"/>
                <w:szCs w:val="21"/>
                <w:highlight w:val="none"/>
              </w:rPr>
              <w:t>1.2</w:t>
            </w:r>
          </w:p>
        </w:tc>
        <w:tc>
          <w:tcPr>
            <w:tcW w:w="11136" w:type="dxa"/>
            <w:shd w:val="clear" w:color="auto" w:fill="FFFFFF"/>
            <w:noWrap w:val="0"/>
            <w:tcMar>
              <w:top w:w="57" w:type="dxa"/>
              <w:bottom w:w="57" w:type="dxa"/>
            </w:tcMar>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投标人具有有效期内的质量管理体系认证、环境管理体系认证、职业健康安全管理体系认证、知识产权管理体系认证、信息安全管理体系认证、安全生产标准化认证、售后服务认证情况：</w:t>
            </w:r>
          </w:p>
          <w:p>
            <w:pPr>
              <w:adjustRightInd w:val="0"/>
              <w:snapToGrid w:val="0"/>
              <w:spacing w:before="78" w:beforeLines="25"/>
              <w:rPr>
                <w:rFonts w:ascii="宋体" w:hAnsi="宋体"/>
                <w:color w:val="auto"/>
                <w:szCs w:val="21"/>
                <w:highlight w:val="none"/>
              </w:rPr>
            </w:pPr>
            <w:r>
              <w:rPr>
                <w:rFonts w:ascii="宋体" w:hAnsi="宋体"/>
                <w:color w:val="auto"/>
                <w:szCs w:val="21"/>
                <w:highlight w:val="none"/>
              </w:rPr>
              <w:t>[优]</w:t>
            </w:r>
            <w:r>
              <w:rPr>
                <w:rFonts w:hint="eastAsia" w:ascii="宋体" w:hAnsi="宋体"/>
                <w:color w:val="auto"/>
                <w:szCs w:val="21"/>
                <w:highlight w:val="none"/>
              </w:rPr>
              <w:t xml:space="preserve"> 同时具有上述认证证书的，得1.2分；</w:t>
            </w:r>
          </w:p>
          <w:p>
            <w:pPr>
              <w:adjustRightInd w:val="0"/>
              <w:snapToGrid w:val="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良</w:t>
            </w:r>
            <w:r>
              <w:rPr>
                <w:rFonts w:ascii="宋体" w:hAnsi="宋体"/>
                <w:color w:val="auto"/>
                <w:szCs w:val="21"/>
                <w:highlight w:val="none"/>
              </w:rPr>
              <w:t>]</w:t>
            </w:r>
            <w:r>
              <w:rPr>
                <w:rFonts w:hint="eastAsia" w:ascii="宋体" w:hAnsi="宋体"/>
                <w:color w:val="auto"/>
                <w:szCs w:val="21"/>
                <w:highlight w:val="none"/>
              </w:rPr>
              <w:t xml:space="preserve"> 上述认证证书缺少1项的，得0.6分；</w:t>
            </w:r>
          </w:p>
          <w:p>
            <w:pPr>
              <w:adjustRightInd w:val="0"/>
              <w:snapToGrid w:val="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中</w:t>
            </w:r>
            <w:r>
              <w:rPr>
                <w:rFonts w:ascii="宋体" w:hAnsi="宋体"/>
                <w:color w:val="auto"/>
                <w:szCs w:val="21"/>
                <w:highlight w:val="none"/>
              </w:rPr>
              <w:t>]</w:t>
            </w:r>
            <w:r>
              <w:rPr>
                <w:rFonts w:hint="eastAsia" w:ascii="宋体" w:hAnsi="宋体"/>
                <w:color w:val="auto"/>
                <w:szCs w:val="21"/>
                <w:highlight w:val="none"/>
              </w:rPr>
              <w:t xml:space="preserve"> 上述认证证书缺少2项的，得0.3分；</w:t>
            </w:r>
          </w:p>
          <w:p>
            <w:pPr>
              <w:adjustRightInd w:val="0"/>
              <w:snapToGrid w:val="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差</w:t>
            </w:r>
            <w:r>
              <w:rPr>
                <w:rFonts w:ascii="宋体" w:hAnsi="宋体"/>
                <w:color w:val="auto"/>
                <w:szCs w:val="21"/>
                <w:highlight w:val="none"/>
              </w:rPr>
              <w:t>]</w:t>
            </w:r>
            <w:r>
              <w:rPr>
                <w:rFonts w:hint="eastAsia" w:ascii="宋体" w:hAnsi="宋体"/>
                <w:color w:val="auto"/>
                <w:szCs w:val="21"/>
                <w:highlight w:val="none"/>
              </w:rPr>
              <w:t xml:space="preserve"> 上述认证证书缺少3项或以上的，得0分。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4" w:hRule="atLeast"/>
          <w:jc w:val="center"/>
        </w:trPr>
        <w:tc>
          <w:tcPr>
            <w:tcW w:w="2667" w:type="dxa"/>
            <w:gridSpan w:val="3"/>
            <w:shd w:val="clear" w:color="auto" w:fill="FFFFFF"/>
            <w:noWrap w:val="0"/>
            <w:tcMar>
              <w:top w:w="57" w:type="dxa"/>
              <w:bottom w:w="57" w:type="dxa"/>
            </w:tcMar>
            <w:vAlign w:val="center"/>
          </w:tcPr>
          <w:p>
            <w:pPr>
              <w:widowControl/>
              <w:adjustRightInd w:val="0"/>
              <w:snapToGrid w:val="0"/>
              <w:ind w:left="-53" w:leftChars="-25" w:right="-53" w:rightChars="-25"/>
              <w:jc w:val="center"/>
              <w:rPr>
                <w:rFonts w:ascii="宋体" w:hAnsi="宋体"/>
                <w:color w:val="auto"/>
                <w:szCs w:val="21"/>
                <w:highlight w:val="none"/>
              </w:rPr>
            </w:pPr>
            <w:r>
              <w:rPr>
                <w:rFonts w:hint="eastAsia" w:ascii="宋体" w:hAnsi="宋体"/>
                <w:color w:val="auto"/>
                <w:szCs w:val="21"/>
                <w:highlight w:val="none"/>
              </w:rPr>
              <w:t>合  计</w:t>
            </w:r>
          </w:p>
        </w:tc>
        <w:tc>
          <w:tcPr>
            <w:tcW w:w="652" w:type="dxa"/>
            <w:shd w:val="clear" w:color="auto" w:fill="FFFFFF"/>
            <w:noWrap w:val="0"/>
            <w:tcMar>
              <w:top w:w="57" w:type="dxa"/>
              <w:bottom w:w="57" w:type="dxa"/>
            </w:tcMar>
            <w:vAlign w:val="center"/>
          </w:tcPr>
          <w:p>
            <w:pPr>
              <w:adjustRightInd w:val="0"/>
              <w:snapToGrid w:val="0"/>
              <w:ind w:left="-53" w:leftChars="-25" w:right="-53" w:rightChars="-25"/>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w:t>
            </w:r>
          </w:p>
        </w:tc>
        <w:tc>
          <w:tcPr>
            <w:tcW w:w="11136" w:type="dxa"/>
            <w:shd w:val="clear" w:color="auto" w:fill="FFFFFF"/>
            <w:noWrap w:val="0"/>
            <w:tcMar>
              <w:top w:w="57" w:type="dxa"/>
              <w:bottom w:w="57" w:type="dxa"/>
            </w:tcMar>
            <w:vAlign w:val="center"/>
          </w:tcPr>
          <w:p>
            <w:pPr>
              <w:adjustRightInd w:val="0"/>
              <w:snapToGrid w:val="0"/>
              <w:ind w:left="-53" w:leftChars="-25" w:right="-53" w:rightChars="-25"/>
              <w:jc w:val="center"/>
              <w:rPr>
                <w:rFonts w:ascii="宋体" w:hAnsi="宋体"/>
                <w:color w:val="auto"/>
                <w:szCs w:val="21"/>
                <w:highlight w:val="none"/>
              </w:rPr>
            </w:pPr>
          </w:p>
        </w:tc>
      </w:tr>
    </w:tbl>
    <w:p>
      <w:pPr>
        <w:snapToGrid w:val="0"/>
        <w:spacing w:before="78" w:beforeLines="25"/>
        <w:rPr>
          <w:rFonts w:hint="eastAsia" w:ascii="宋体" w:hAnsi="宋体"/>
          <w:b/>
          <w:color w:val="auto"/>
          <w:kern w:val="0"/>
          <w:szCs w:val="21"/>
          <w:highlight w:val="none"/>
        </w:rPr>
      </w:pPr>
      <w:r>
        <w:rPr>
          <w:rFonts w:hint="eastAsia" w:ascii="宋体" w:hAnsi="宋体"/>
          <w:color w:val="auto"/>
          <w:szCs w:val="21"/>
          <w:highlight w:val="none"/>
        </w:rPr>
        <w:t>注：</w:t>
      </w:r>
      <w:r>
        <w:rPr>
          <w:rFonts w:hint="eastAsia" w:ascii="宋体" w:hAnsi="宋体"/>
          <w:b/>
          <w:color w:val="auto"/>
          <w:szCs w:val="21"/>
          <w:highlight w:val="none"/>
        </w:rPr>
        <w:t>1．若投标人为联合体，企业资信、项目管理机构均以联合体主办方提供信息为准计算得分。</w:t>
      </w:r>
    </w:p>
    <w:p>
      <w:pPr>
        <w:snapToGrid w:val="0"/>
        <w:spacing w:before="78" w:beforeLines="25"/>
        <w:ind w:firstLine="422" w:firstLineChars="200"/>
        <w:rPr>
          <w:rFonts w:hint="eastAsia"/>
          <w:color w:val="auto"/>
          <w:highlight w:val="none"/>
        </w:rPr>
      </w:pPr>
      <w:r>
        <w:rPr>
          <w:rFonts w:hint="eastAsia" w:ascii="宋体" w:hAnsi="宋体"/>
          <w:b/>
          <w:color w:val="auto"/>
          <w:szCs w:val="21"/>
          <w:highlight w:val="none"/>
        </w:rPr>
        <w:t>2．</w:t>
      </w:r>
      <w:r>
        <w:rPr>
          <w:rFonts w:hint="eastAsia" w:ascii="宋体" w:hAnsi="宋体"/>
          <w:b/>
          <w:color w:val="auto"/>
          <w:kern w:val="0"/>
          <w:szCs w:val="21"/>
          <w:highlight w:val="none"/>
        </w:rPr>
        <w:t>项目管理机构配备情况</w:t>
      </w:r>
      <w:r>
        <w:rPr>
          <w:rFonts w:hint="eastAsia" w:ascii="宋体" w:hAnsi="宋体"/>
          <w:color w:val="auto"/>
          <w:kern w:val="0"/>
          <w:szCs w:val="21"/>
          <w:highlight w:val="none"/>
        </w:rPr>
        <w:t>：</w:t>
      </w:r>
      <w:r>
        <w:rPr>
          <w:rFonts w:hint="eastAsia" w:ascii="宋体" w:hAnsi="宋体"/>
          <w:color w:val="auto"/>
          <w:szCs w:val="21"/>
          <w:highlight w:val="none"/>
        </w:rPr>
        <w:t>①所有人员岗位不能相互兼任。②所有人员须提供相关证明资料和近一个月（2023年4月）在投标单位缴纳社保的证明材料扫描件并加盖投标人企业电子印章，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未提供或所提供的证明资料不符合要求的，则该评分节点不予评审。③取得职称证的年限以职称证书发证时间开始计算；高级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p>
      <w:pPr>
        <w:snapToGrid w:val="0"/>
        <w:spacing w:before="78" w:beforeLines="25"/>
        <w:ind w:firstLine="422" w:firstLineChars="200"/>
        <w:rPr>
          <w:rFonts w:ascii="宋体" w:hAnsi="宋体"/>
          <w:color w:val="auto"/>
          <w:highlight w:val="none"/>
        </w:rPr>
      </w:pPr>
      <w:r>
        <w:rPr>
          <w:rFonts w:hint="eastAsia" w:ascii="宋体" w:hAnsi="宋体"/>
          <w:b/>
          <w:color w:val="auto"/>
          <w:szCs w:val="21"/>
          <w:highlight w:val="none"/>
        </w:rPr>
        <w:t>3．</w:t>
      </w:r>
      <w:r>
        <w:rPr>
          <w:rFonts w:hint="eastAsia" w:ascii="宋体" w:hAnsi="宋体"/>
          <w:b/>
          <w:color w:val="auto"/>
          <w:kern w:val="0"/>
          <w:szCs w:val="21"/>
          <w:highlight w:val="none"/>
        </w:rPr>
        <w:t>类似业绩</w:t>
      </w:r>
      <w:r>
        <w:rPr>
          <w:rFonts w:hint="eastAsia" w:ascii="宋体" w:hAnsi="宋体"/>
          <w:color w:val="auto"/>
          <w:kern w:val="0"/>
          <w:szCs w:val="21"/>
          <w:highlight w:val="none"/>
        </w:rPr>
        <w:t>：</w:t>
      </w:r>
      <w:r>
        <w:rPr>
          <w:rFonts w:hint="eastAsia" w:ascii="宋体" w:hAnsi="宋体"/>
          <w:color w:val="auto"/>
          <w:highlight w:val="none"/>
        </w:rPr>
        <w:t>业绩取自广州市住建行业信用管理平台。投标人须提供类似项目业绩的项目名称及业绩在广州市住建行业信用管理平台中项目编号、相应业绩在广州市住建行业信用管理平台的网页信息截图。不提供项目名称及项目编号、网页信息截图的业绩不予评审。若投标人提供的项目名称与项目编号不一致：</w:t>
      </w:r>
      <w:r>
        <w:rPr>
          <w:rFonts w:hint="eastAsia" w:ascii="宋体" w:hAnsi="宋体"/>
          <w:color w:val="auto"/>
          <w:szCs w:val="21"/>
          <w:highlight w:val="none"/>
        </w:rPr>
        <w:t>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r>
        <w:rPr>
          <w:rFonts w:hint="eastAsia" w:ascii="宋体" w:hAnsi="宋体"/>
          <w:color w:val="auto"/>
          <w:highlight w:val="none"/>
        </w:rPr>
        <w:t>（投标文件中可不需重复提交相关业绩上传件）。（1）建筑装修装饰工程金额以广州市住建行业信用管理平台中项目业绩页面的“工程规模”栏中所记录“建筑装修装饰工程”的工程造价金额为准。用于本项目投标的类似业绩，在平台中“工程对应的企业资质”栏中须登记有与本项目要求相对应的资质（具体资质要求：建筑装修装饰工程专业承包资质或建筑装饰装修工程设计与施工资质）。（2）技术指标（</w:t>
      </w:r>
      <w:r>
        <w:rPr>
          <w:rFonts w:hint="eastAsia" w:ascii="宋体" w:hAnsi="宋体"/>
          <w:color w:val="auto"/>
          <w:szCs w:val="21"/>
          <w:highlight w:val="none"/>
        </w:rPr>
        <w:t>建筑装修装饰工程金额大于或等于485万元</w:t>
      </w:r>
      <w:r>
        <w:rPr>
          <w:rFonts w:hint="eastAsia" w:ascii="宋体" w:hAnsi="宋体"/>
          <w:color w:val="auto"/>
          <w:highlight w:val="none"/>
        </w:rPr>
        <w:t>）需在广州市住建行业信用管理平台内业绩上传件中反映。（3）完成时间以子分部工程质量验收记录时间为准。未提供子分部工程质量验收记录的，完成时间以竣工验收报告记录时间为准。验收记录或竣工验收报告至少具有建设单位、设计、施工和监理单位盖章。（4）平</w:t>
      </w:r>
      <w:r>
        <w:rPr>
          <w:rFonts w:hint="eastAsia" w:ascii="宋体" w:hAnsi="宋体"/>
          <w:color w:val="auto"/>
          <w:szCs w:val="21"/>
          <w:highlight w:val="none"/>
        </w:rPr>
        <w:t>台</w:t>
      </w:r>
      <w:r>
        <w:rPr>
          <w:rFonts w:hint="eastAsia" w:ascii="宋体" w:hAnsi="宋体"/>
          <w:color w:val="auto"/>
          <w:highlight w:val="none"/>
        </w:rPr>
        <w:t>内业绩上传件不符合上述要求的或登记的工程资质内容与施工合同等业绩证明资料不相符的，该项业绩不予认定。</w:t>
      </w:r>
    </w:p>
    <w:p>
      <w:pPr>
        <w:snapToGrid w:val="0"/>
        <w:spacing w:before="78" w:beforeLines="25"/>
        <w:ind w:firstLine="422" w:firstLineChars="200"/>
        <w:rPr>
          <w:rFonts w:hint="eastAsia" w:ascii="宋体" w:hAnsi="宋体"/>
          <w:color w:val="auto"/>
          <w:highlight w:val="none"/>
        </w:rPr>
      </w:pPr>
      <w:r>
        <w:rPr>
          <w:rFonts w:hint="eastAsia" w:ascii="宋体" w:hAnsi="宋体"/>
          <w:b/>
          <w:color w:val="auto"/>
          <w:kern w:val="0"/>
          <w:szCs w:val="21"/>
          <w:highlight w:val="none"/>
        </w:rPr>
        <w:t>4</w:t>
      </w:r>
      <w:r>
        <w:rPr>
          <w:rFonts w:hint="eastAsia" w:ascii="宋体" w:hAnsi="宋体"/>
          <w:b/>
          <w:color w:val="auto"/>
          <w:szCs w:val="21"/>
          <w:highlight w:val="none"/>
        </w:rPr>
        <w:t>．</w:t>
      </w:r>
      <w:r>
        <w:rPr>
          <w:rFonts w:hint="eastAsia" w:ascii="宋体" w:hAnsi="宋体"/>
          <w:b/>
          <w:color w:val="auto"/>
          <w:kern w:val="0"/>
          <w:szCs w:val="21"/>
          <w:highlight w:val="none"/>
        </w:rPr>
        <w:t>工程奖项</w:t>
      </w:r>
      <w:r>
        <w:rPr>
          <w:rFonts w:hint="eastAsia" w:ascii="宋体" w:hAnsi="宋体"/>
          <w:color w:val="auto"/>
          <w:kern w:val="0"/>
          <w:szCs w:val="21"/>
          <w:highlight w:val="none"/>
        </w:rPr>
        <w:t>：</w:t>
      </w:r>
      <w:r>
        <w:rPr>
          <w:rFonts w:hint="eastAsia" w:ascii="宋体" w:hAnsi="宋体"/>
          <w:color w:val="auto"/>
          <w:szCs w:val="21"/>
          <w:highlight w:val="none"/>
        </w:rPr>
        <w:t>①</w:t>
      </w:r>
      <w:r>
        <w:rPr>
          <w:rFonts w:hint="eastAsia" w:ascii="宋体" w:hAnsi="宋体"/>
          <w:color w:val="auto"/>
          <w:highlight w:val="none"/>
        </w:rPr>
        <w:t>奖项业绩取自广州市住建行业信用管理平台。投标人须提供获奖工程业绩的项目名称及业绩在广州市住建行业信用管理平台中项目编号、相应业绩在广州市住建行业信用管理平台的网页信息截图。不提供项目名称及项目编号、网页信息截图的业绩不予评审。评标委员会对业绩的评审以投标截止时间在平台内业绩上传件为依据（投标文件中可不需重复提交相关业绩上传件）。用于本项目投标的获奖业绩，在平台中“工程对应的企业资质”栏中须登记有与本项目要求相对应的资质（具体资质要求：建筑装修装饰工程专业承包资质或建筑装饰装修工程设计与施工资质）。平台内业绩上传件不符合上述要求的或登记的工程资质内容与施工合同等业绩证明资料不相符的，该项业绩不予认定。</w:t>
      </w:r>
      <w:r>
        <w:rPr>
          <w:rFonts w:hint="eastAsia" w:ascii="宋体" w:hAnsi="宋体"/>
          <w:color w:val="auto"/>
          <w:szCs w:val="21"/>
          <w:highlight w:val="none"/>
        </w:rPr>
        <w:t>②时间以获奖证书时间为准。③国家级质量奖项是指鲁班奖、詹天佑奖、国家优质工程金质奖、国家优质工程奖、中国(全国)建筑工程装饰奖（不含设计和幕墙类获奖）。④同一工程项目获得多个奖项的，只计算其符合要求的最高奖项得分，不重复计分。</w:t>
      </w:r>
    </w:p>
    <w:p>
      <w:pPr>
        <w:snapToGrid w:val="0"/>
        <w:spacing w:before="78" w:beforeLines="25"/>
        <w:ind w:firstLine="422" w:firstLineChars="200"/>
        <w:rPr>
          <w:rFonts w:hint="eastAsia" w:ascii="宋体" w:hAnsi="宋体"/>
          <w:color w:val="auto"/>
          <w:kern w:val="0"/>
          <w:szCs w:val="21"/>
          <w:highlight w:val="none"/>
        </w:rPr>
      </w:pPr>
      <w:r>
        <w:rPr>
          <w:rFonts w:hint="eastAsia" w:ascii="宋体" w:hAnsi="宋体"/>
          <w:b/>
          <w:color w:val="auto"/>
          <w:kern w:val="0"/>
          <w:szCs w:val="21"/>
          <w:highlight w:val="none"/>
        </w:rPr>
        <w:t>5</w:t>
      </w:r>
      <w:r>
        <w:rPr>
          <w:rFonts w:hint="eastAsia" w:ascii="宋体" w:hAnsi="宋体"/>
          <w:b/>
          <w:color w:val="auto"/>
          <w:szCs w:val="21"/>
          <w:highlight w:val="none"/>
        </w:rPr>
        <w:t>．</w:t>
      </w:r>
      <w:r>
        <w:rPr>
          <w:rFonts w:hint="eastAsia" w:ascii="宋体" w:hAnsi="宋体"/>
          <w:b/>
          <w:color w:val="auto"/>
          <w:kern w:val="0"/>
          <w:szCs w:val="21"/>
          <w:highlight w:val="none"/>
        </w:rPr>
        <w:t>工程研发能力：</w:t>
      </w:r>
      <w:r>
        <w:rPr>
          <w:rFonts w:hint="eastAsia" w:ascii="宋体" w:hAnsi="宋体"/>
          <w:color w:val="auto"/>
          <w:kern w:val="0"/>
          <w:szCs w:val="21"/>
          <w:highlight w:val="none"/>
        </w:rPr>
        <w:t>“专利”以国家知识产权局主办的“中国及多国专利审查信息查询系统（https://cpquery.cponline.cnipa.gov.cn）”中可查询的专利为准。投标人须提交可反映企业专利类型为“发明专利”和“实用新型”、专利号的查询页面截图和专利证书原件扫描件（或专利证</w:t>
      </w:r>
      <w:r>
        <w:rPr>
          <w:rFonts w:hint="eastAsia" w:ascii="宋体" w:hAnsi="宋体" w:cs="宋体"/>
          <w:color w:val="auto"/>
          <w:spacing w:val="-2"/>
          <w:szCs w:val="21"/>
          <w:highlight w:val="none"/>
        </w:rPr>
        <w:t>书电子版文件）</w:t>
      </w:r>
      <w:r>
        <w:rPr>
          <w:rFonts w:hint="eastAsia" w:ascii="宋体" w:hAnsi="宋体"/>
          <w:color w:val="auto"/>
          <w:kern w:val="0"/>
          <w:szCs w:val="21"/>
          <w:highlight w:val="none"/>
        </w:rPr>
        <w:t>并加盖投标人企业电子印章，否则不得分。时间以授权公告日为准。</w:t>
      </w:r>
    </w:p>
    <w:p>
      <w:pPr>
        <w:snapToGrid w:val="0"/>
        <w:spacing w:before="78" w:beforeLines="25"/>
        <w:ind w:firstLine="414" w:firstLineChars="200"/>
        <w:rPr>
          <w:rFonts w:hint="eastAsia" w:ascii="宋体" w:hAnsi="宋体" w:cs="宋体"/>
          <w:color w:val="auto"/>
          <w:spacing w:val="-2"/>
          <w:szCs w:val="21"/>
          <w:highlight w:val="none"/>
        </w:rPr>
      </w:pPr>
      <w:r>
        <w:rPr>
          <w:rFonts w:hint="eastAsia" w:ascii="宋体" w:hAnsi="宋体"/>
          <w:b/>
          <w:color w:val="auto"/>
          <w:spacing w:val="-2"/>
          <w:kern w:val="0"/>
          <w:szCs w:val="21"/>
          <w:highlight w:val="none"/>
        </w:rPr>
        <w:t>6</w:t>
      </w:r>
      <w:r>
        <w:rPr>
          <w:rFonts w:hint="eastAsia" w:ascii="宋体" w:hAnsi="宋体"/>
          <w:b/>
          <w:color w:val="auto"/>
          <w:spacing w:val="-2"/>
          <w:szCs w:val="21"/>
          <w:highlight w:val="none"/>
        </w:rPr>
        <w:t>．</w:t>
      </w:r>
      <w:r>
        <w:rPr>
          <w:rFonts w:hint="eastAsia" w:ascii="宋体" w:hAnsi="宋体"/>
          <w:b/>
          <w:color w:val="auto"/>
          <w:spacing w:val="-2"/>
          <w:kern w:val="0"/>
          <w:szCs w:val="21"/>
          <w:highlight w:val="none"/>
        </w:rPr>
        <w:t>第三方评价</w:t>
      </w:r>
      <w:r>
        <w:rPr>
          <w:rFonts w:hint="eastAsia" w:ascii="宋体" w:hAnsi="宋体"/>
          <w:color w:val="auto"/>
          <w:spacing w:val="-2"/>
          <w:kern w:val="0"/>
          <w:szCs w:val="21"/>
          <w:highlight w:val="none"/>
        </w:rPr>
        <w:t>：</w:t>
      </w:r>
      <w:r>
        <w:rPr>
          <w:rFonts w:hint="eastAsia" w:ascii="宋体" w:hAnsi="宋体" w:cs="宋体"/>
          <w:color w:val="auto"/>
          <w:spacing w:val="-2"/>
          <w:szCs w:val="21"/>
          <w:highlight w:val="none"/>
        </w:rPr>
        <w:t>须提供有效期内的认证证书原件扫描件（或认证证书电子版文件）和国家认证认可监督管理委员会官网（http://www.cnca.gov.cn）相应的认证信息查询结果网页截图并加盖投标人电子印章；如认证项目为国家认监委所有未列明的其他认证时，证书的认证项目名称与国家认监委官网所示的认证项目名称不一致时，以认证证书编号为准。不符合上述条件或未提供上述资料或无加盖投标人电子印章的不得分。</w:t>
      </w:r>
    </w:p>
    <w:p>
      <w:pPr>
        <w:pStyle w:val="5"/>
        <w:rPr>
          <w:rFonts w:hint="eastAsia" w:ascii="宋体" w:hAnsi="宋体"/>
          <w:color w:val="auto"/>
          <w:highlight w:val="none"/>
          <w:lang w:val="en-US" w:eastAsia="zh-CN"/>
        </w:rPr>
      </w:pPr>
      <w:r>
        <w:rPr>
          <w:rFonts w:hint="eastAsia" w:ascii="宋体" w:hAnsi="宋体"/>
          <w:b/>
          <w:color w:val="auto"/>
          <w:highlight w:val="none"/>
          <w:lang w:val="en-US" w:eastAsia="zh-CN"/>
        </w:rPr>
        <w:t>7</w:t>
      </w:r>
      <w:r>
        <w:rPr>
          <w:rFonts w:hint="eastAsia" w:ascii="宋体" w:hAnsi="宋体"/>
          <w:b/>
          <w:color w:val="auto"/>
          <w:spacing w:val="-2"/>
          <w:szCs w:val="21"/>
          <w:highlight w:val="none"/>
        </w:rPr>
        <w:t>．</w:t>
      </w:r>
      <w:r>
        <w:rPr>
          <w:rFonts w:hint="eastAsia" w:ascii="宋体" w:hAnsi="宋体"/>
          <w:color w:val="auto"/>
          <w:szCs w:val="21"/>
          <w:highlight w:val="none"/>
        </w:rPr>
        <w:t>投标人得分为各评委评分去掉一个最高分和一个最低分后的算术平均值（若分数出现小数点时，保留小数点后二位，第三位小数四舍五入）。</w:t>
      </w:r>
    </w:p>
    <w:p>
      <w:pPr>
        <w:pStyle w:val="5"/>
        <w:rPr>
          <w:rFonts w:hint="eastAsia"/>
          <w:color w:val="auto"/>
          <w:highlight w:val="none"/>
          <w:lang w:val="en-US" w:eastAsia="zh-CN"/>
        </w:rPr>
      </w:pPr>
    </w:p>
    <w:p>
      <w:pPr>
        <w:pStyle w:val="5"/>
        <w:rPr>
          <w:rFonts w:hint="eastAsia"/>
          <w:color w:val="auto"/>
          <w:highlight w:val="none"/>
          <w:lang w:val="en-US" w:eastAsia="zh-CN"/>
        </w:rPr>
      </w:pPr>
    </w:p>
    <w:p>
      <w:pPr>
        <w:pStyle w:val="5"/>
        <w:rPr>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bCs/>
          <w:color w:val="auto"/>
          <w:sz w:val="21"/>
          <w:szCs w:val="21"/>
          <w:highlight w:val="none"/>
        </w:rPr>
      </w:pPr>
      <w:r>
        <w:rPr>
          <w:rFonts w:hint="eastAsia" w:ascii="宋体" w:hAnsi="宋体" w:cs="宋体"/>
          <w:color w:val="auto"/>
          <w:szCs w:val="21"/>
          <w:highlight w:val="none"/>
        </w:rPr>
        <w:t>评委签名：</w:t>
      </w:r>
    </w:p>
    <w:p>
      <w:pPr>
        <w:rPr>
          <w:rFonts w:hint="eastAsia"/>
          <w:color w:val="auto"/>
          <w:highlight w:val="none"/>
          <w:lang w:eastAsia="zh-CN"/>
        </w:rPr>
      </w:pPr>
      <w:r>
        <w:rPr>
          <w:rFonts w:hint="eastAsia"/>
          <w:color w:val="auto"/>
          <w:highlight w:val="none"/>
          <w:lang w:eastAsia="zh-CN"/>
        </w:rPr>
        <w:br w:type="page"/>
      </w:r>
    </w:p>
    <w:p>
      <w:pPr>
        <w:rPr>
          <w:rFonts w:ascii="宋体" w:hAnsi="宋体"/>
          <w:color w:val="auto"/>
          <w:szCs w:val="21"/>
          <w:highlight w:val="none"/>
        </w:rPr>
      </w:pPr>
      <w:r>
        <w:rPr>
          <w:rFonts w:hint="eastAsia" w:ascii="宋体" w:hAnsi="宋体"/>
          <w:color w:val="auto"/>
          <w:szCs w:val="21"/>
          <w:highlight w:val="none"/>
        </w:rPr>
        <w:t>附表四附件：</w:t>
      </w:r>
    </w:p>
    <w:p>
      <w:pPr>
        <w:snapToGrid w:val="0"/>
        <w:jc w:val="center"/>
        <w:rPr>
          <w:rFonts w:ascii="宋体" w:hAnsi="宋体"/>
          <w:b/>
          <w:color w:val="auto"/>
          <w:sz w:val="30"/>
          <w:szCs w:val="30"/>
          <w:highlight w:val="none"/>
        </w:rPr>
      </w:pPr>
      <w:r>
        <w:rPr>
          <w:rFonts w:hint="eastAsia" w:ascii="宋体" w:hAnsi="宋体"/>
          <w:b/>
          <w:color w:val="auto"/>
          <w:sz w:val="30"/>
          <w:szCs w:val="30"/>
          <w:highlight w:val="none"/>
        </w:rPr>
        <w:t>《投标人投入主要人员基本要求表》</w:t>
      </w:r>
    </w:p>
    <w:tbl>
      <w:tblPr>
        <w:tblStyle w:val="38"/>
        <w:tblW w:w="14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597"/>
        <w:gridCol w:w="6161"/>
        <w:gridCol w:w="5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38" w:type="dxa"/>
            <w:noWrap w:val="0"/>
            <w:vAlign w:val="center"/>
          </w:tcPr>
          <w:p>
            <w:pPr>
              <w:widowControl/>
              <w:snapToGrid w:val="0"/>
              <w:spacing w:before="31" w:beforeLines="10" w:after="31" w:afterLines="10" w:line="240" w:lineRule="exact"/>
              <w:ind w:left="-65" w:leftChars="-31" w:right="-46" w:rightChars="-22"/>
              <w:jc w:val="center"/>
              <w:rPr>
                <w:rFonts w:ascii="宋体" w:hAnsi="宋体" w:cs="宋体"/>
                <w:b/>
                <w:color w:val="auto"/>
                <w:kern w:val="0"/>
                <w:szCs w:val="21"/>
                <w:highlight w:val="none"/>
              </w:rPr>
            </w:pPr>
            <w:r>
              <w:rPr>
                <w:rFonts w:hint="eastAsia" w:ascii="宋体" w:hAnsi="宋体" w:cs="宋体"/>
                <w:b/>
                <w:color w:val="auto"/>
                <w:kern w:val="0"/>
                <w:szCs w:val="21"/>
                <w:highlight w:val="none"/>
              </w:rPr>
              <w:t>项目管理团队</w:t>
            </w:r>
          </w:p>
        </w:tc>
        <w:tc>
          <w:tcPr>
            <w:tcW w:w="597" w:type="dxa"/>
            <w:noWrap w:val="0"/>
            <w:vAlign w:val="center"/>
          </w:tcPr>
          <w:p>
            <w:pPr>
              <w:widowControl/>
              <w:snapToGrid w:val="0"/>
              <w:spacing w:before="31" w:beforeLines="10" w:after="31" w:afterLines="10" w:line="240" w:lineRule="exact"/>
              <w:ind w:left="-65" w:leftChars="-31" w:right="-46" w:rightChars="-22"/>
              <w:jc w:val="center"/>
              <w:rPr>
                <w:rFonts w:ascii="宋体" w:hAnsi="宋体" w:cs="宋体"/>
                <w:b/>
                <w:color w:val="auto"/>
                <w:kern w:val="0"/>
                <w:szCs w:val="21"/>
                <w:highlight w:val="none"/>
              </w:rPr>
            </w:pPr>
            <w:r>
              <w:rPr>
                <w:rFonts w:hint="eastAsia" w:ascii="宋体" w:hAnsi="宋体" w:cs="宋体"/>
                <w:b/>
                <w:color w:val="auto"/>
                <w:kern w:val="0"/>
                <w:szCs w:val="21"/>
                <w:highlight w:val="none"/>
              </w:rPr>
              <w:t>最低人数</w:t>
            </w:r>
          </w:p>
        </w:tc>
        <w:tc>
          <w:tcPr>
            <w:tcW w:w="6161" w:type="dxa"/>
            <w:noWrap w:val="0"/>
            <w:vAlign w:val="center"/>
          </w:tcPr>
          <w:p>
            <w:pPr>
              <w:widowControl/>
              <w:snapToGrid w:val="0"/>
              <w:spacing w:before="31" w:beforeLines="10" w:after="31" w:afterLines="10" w:line="240" w:lineRule="exact"/>
              <w:ind w:left="-65" w:leftChars="-31" w:right="-46" w:rightChars="-22"/>
              <w:jc w:val="center"/>
              <w:rPr>
                <w:rFonts w:ascii="宋体" w:hAnsi="宋体" w:cs="宋体"/>
                <w:b/>
                <w:color w:val="auto"/>
                <w:kern w:val="0"/>
                <w:szCs w:val="21"/>
                <w:highlight w:val="none"/>
              </w:rPr>
            </w:pPr>
            <w:r>
              <w:rPr>
                <w:rFonts w:hint="eastAsia" w:ascii="宋体" w:hAnsi="宋体" w:cs="宋体"/>
                <w:b/>
                <w:color w:val="auto"/>
                <w:kern w:val="0"/>
                <w:szCs w:val="21"/>
                <w:highlight w:val="none"/>
              </w:rPr>
              <w:t>基本要求</w:t>
            </w:r>
          </w:p>
        </w:tc>
        <w:tc>
          <w:tcPr>
            <w:tcW w:w="5943" w:type="dxa"/>
            <w:noWrap w:val="0"/>
            <w:vAlign w:val="center"/>
          </w:tcPr>
          <w:p>
            <w:pPr>
              <w:widowControl/>
              <w:snapToGrid w:val="0"/>
              <w:spacing w:before="31" w:beforeLines="10" w:after="31" w:afterLines="10" w:line="240" w:lineRule="exact"/>
              <w:ind w:left="-65" w:leftChars="-31" w:right="-46" w:rightChars="-22"/>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ascii="宋体" w:hAnsi="宋体"/>
                <w:color w:val="auto"/>
                <w:szCs w:val="21"/>
                <w:highlight w:val="none"/>
              </w:rPr>
            </w:pPr>
            <w:r>
              <w:rPr>
                <w:rFonts w:hint="eastAsia" w:ascii="宋体" w:hAnsi="宋体"/>
                <w:color w:val="auto"/>
                <w:szCs w:val="21"/>
                <w:highlight w:val="none"/>
              </w:rPr>
              <w:t>项目负责人</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161" w:type="dxa"/>
            <w:noWrap w:val="0"/>
            <w:vAlign w:val="center"/>
          </w:tcPr>
          <w:p>
            <w:pPr>
              <w:widowControl/>
              <w:snapToGrid w:val="0"/>
              <w:spacing w:before="46" w:beforeLines="15" w:after="46" w:afterLines="15"/>
              <w:ind w:left="-48" w:leftChars="-23"/>
              <w:rPr>
                <w:rFonts w:ascii="宋体" w:hAnsi="宋体"/>
                <w:color w:val="auto"/>
                <w:szCs w:val="21"/>
                <w:highlight w:val="none"/>
              </w:rPr>
            </w:pPr>
            <w:r>
              <w:rPr>
                <w:rFonts w:hint="eastAsia" w:ascii="宋体" w:hAnsi="宋体"/>
                <w:color w:val="auto"/>
                <w:szCs w:val="21"/>
                <w:highlight w:val="none"/>
              </w:rPr>
              <w:t>按招标公告要求</w:t>
            </w:r>
          </w:p>
        </w:tc>
        <w:tc>
          <w:tcPr>
            <w:tcW w:w="5943" w:type="dxa"/>
            <w:noWrap w:val="0"/>
            <w:vAlign w:val="center"/>
          </w:tcPr>
          <w:p>
            <w:pPr>
              <w:widowControl/>
              <w:snapToGrid w:val="0"/>
              <w:spacing w:before="46" w:beforeLines="15" w:after="46" w:afterLines="15"/>
              <w:ind w:left="-53" w:leftChars="-25" w:right="-53" w:rightChars="-25"/>
              <w:jc w:val="left"/>
              <w:rPr>
                <w:rFonts w:ascii="宋体" w:hAnsi="宋体"/>
                <w:color w:val="auto"/>
                <w:szCs w:val="21"/>
                <w:highlight w:val="none"/>
              </w:rPr>
            </w:pPr>
            <w:r>
              <w:rPr>
                <w:rFonts w:hint="eastAsia" w:ascii="宋体" w:hAnsi="宋体"/>
                <w:color w:val="auto"/>
                <w:szCs w:val="21"/>
                <w:highlight w:val="none"/>
              </w:rPr>
              <w:t>须按招标公告要求提供的资料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ascii="宋体" w:hAnsi="宋体"/>
                <w:color w:val="auto"/>
                <w:szCs w:val="21"/>
                <w:highlight w:val="none"/>
              </w:rPr>
            </w:pPr>
            <w:r>
              <w:rPr>
                <w:rFonts w:hint="eastAsia" w:ascii="宋体" w:hAnsi="宋体"/>
                <w:color w:val="auto"/>
                <w:szCs w:val="21"/>
                <w:highlight w:val="none"/>
              </w:rPr>
              <w:t>技术负责人</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161" w:type="dxa"/>
            <w:noWrap w:val="0"/>
            <w:vAlign w:val="center"/>
          </w:tcPr>
          <w:p>
            <w:pPr>
              <w:widowControl/>
              <w:snapToGrid w:val="0"/>
              <w:spacing w:before="46" w:beforeLines="15" w:after="46" w:afterLines="15"/>
              <w:ind w:left="-48" w:leftChars="-23"/>
              <w:rPr>
                <w:rFonts w:ascii="宋体" w:hAnsi="宋体"/>
                <w:color w:val="auto"/>
                <w:szCs w:val="21"/>
                <w:highlight w:val="none"/>
              </w:rPr>
            </w:pPr>
            <w:r>
              <w:rPr>
                <w:rFonts w:hint="eastAsia" w:ascii="宋体" w:hAnsi="宋体"/>
                <w:color w:val="auto"/>
                <w:szCs w:val="21"/>
                <w:highlight w:val="none"/>
              </w:rPr>
              <w:t>按招标公告要求</w:t>
            </w:r>
          </w:p>
        </w:tc>
        <w:tc>
          <w:tcPr>
            <w:tcW w:w="5943" w:type="dxa"/>
            <w:noWrap w:val="0"/>
            <w:vAlign w:val="center"/>
          </w:tcPr>
          <w:p>
            <w:pPr>
              <w:widowControl/>
              <w:snapToGrid w:val="0"/>
              <w:spacing w:before="46" w:beforeLines="15" w:after="46" w:afterLines="15"/>
              <w:ind w:left="-53" w:leftChars="-25" w:right="-53" w:rightChars="-25"/>
              <w:jc w:val="left"/>
              <w:rPr>
                <w:rFonts w:ascii="宋体" w:hAnsi="宋体"/>
                <w:color w:val="auto"/>
                <w:szCs w:val="21"/>
                <w:highlight w:val="none"/>
              </w:rPr>
            </w:pPr>
            <w:r>
              <w:rPr>
                <w:rFonts w:hint="eastAsia" w:ascii="宋体" w:hAnsi="宋体"/>
                <w:color w:val="auto"/>
                <w:szCs w:val="21"/>
                <w:highlight w:val="none"/>
              </w:rPr>
              <w:t>须按招标公告要求提供的资料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ascii="宋体" w:hAnsi="宋体"/>
                <w:color w:val="auto"/>
                <w:szCs w:val="21"/>
                <w:highlight w:val="none"/>
              </w:rPr>
            </w:pPr>
            <w:r>
              <w:rPr>
                <w:rFonts w:hint="eastAsia" w:ascii="宋体" w:hAnsi="宋体"/>
                <w:color w:val="auto"/>
                <w:szCs w:val="21"/>
                <w:highlight w:val="none"/>
              </w:rPr>
              <w:t>质量负责人</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161" w:type="dxa"/>
            <w:noWrap w:val="0"/>
            <w:vAlign w:val="center"/>
          </w:tcPr>
          <w:p>
            <w:pPr>
              <w:widowControl/>
              <w:snapToGrid w:val="0"/>
              <w:spacing w:before="46" w:beforeLines="15" w:after="46" w:afterLines="15"/>
              <w:ind w:left="-48" w:leftChars="-23"/>
              <w:rPr>
                <w:rFonts w:ascii="宋体" w:hAnsi="宋体"/>
                <w:color w:val="auto"/>
                <w:szCs w:val="21"/>
                <w:highlight w:val="none"/>
              </w:rPr>
            </w:pPr>
            <w:r>
              <w:rPr>
                <w:rFonts w:hint="eastAsia" w:ascii="宋体" w:hAnsi="宋体"/>
                <w:color w:val="auto"/>
                <w:szCs w:val="21"/>
                <w:highlight w:val="none"/>
              </w:rPr>
              <w:t>具有建筑工程管理类专业工程师(或以上)职称</w:t>
            </w:r>
          </w:p>
        </w:tc>
        <w:tc>
          <w:tcPr>
            <w:tcW w:w="5943" w:type="dxa"/>
            <w:noWrap w:val="0"/>
            <w:vAlign w:val="center"/>
          </w:tcPr>
          <w:p>
            <w:pPr>
              <w:widowControl/>
              <w:snapToGrid w:val="0"/>
              <w:spacing w:before="46" w:beforeLines="15" w:after="46" w:afterLines="15"/>
              <w:ind w:left="-53" w:leftChars="-25" w:right="-53" w:rightChars="-25"/>
              <w:jc w:val="left"/>
              <w:rPr>
                <w:rFonts w:ascii="宋体" w:hAnsi="宋体"/>
                <w:color w:val="auto"/>
                <w:szCs w:val="21"/>
                <w:highlight w:val="none"/>
              </w:rPr>
            </w:pPr>
            <w:r>
              <w:rPr>
                <w:rFonts w:hint="eastAsia" w:ascii="宋体" w:hAnsi="宋体"/>
                <w:color w:val="auto"/>
                <w:szCs w:val="21"/>
                <w:highlight w:val="none"/>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ascii="宋体" w:hAnsi="宋体"/>
                <w:color w:val="auto"/>
                <w:szCs w:val="21"/>
                <w:highlight w:val="none"/>
              </w:rPr>
            </w:pPr>
            <w:r>
              <w:rPr>
                <w:rFonts w:hint="eastAsia" w:ascii="宋体" w:hAnsi="宋体"/>
                <w:color w:val="auto"/>
                <w:szCs w:val="21"/>
                <w:highlight w:val="none"/>
              </w:rPr>
              <w:t>安全负责人</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161" w:type="dxa"/>
            <w:noWrap w:val="0"/>
            <w:vAlign w:val="center"/>
          </w:tcPr>
          <w:p>
            <w:pPr>
              <w:widowControl/>
              <w:snapToGrid w:val="0"/>
              <w:spacing w:before="46" w:beforeLines="15" w:after="46" w:afterLines="15"/>
              <w:ind w:left="-48" w:leftChars="-23"/>
              <w:rPr>
                <w:rFonts w:ascii="宋体" w:hAnsi="宋体"/>
                <w:color w:val="auto"/>
                <w:szCs w:val="21"/>
                <w:highlight w:val="none"/>
              </w:rPr>
            </w:pPr>
            <w:r>
              <w:rPr>
                <w:rFonts w:hint="eastAsia" w:ascii="宋体" w:hAnsi="宋体"/>
                <w:color w:val="auto"/>
                <w:szCs w:val="21"/>
                <w:highlight w:val="none"/>
              </w:rPr>
              <w:t>具有建筑生产技术管理类专业工程师(或以上)职称</w:t>
            </w:r>
          </w:p>
        </w:tc>
        <w:tc>
          <w:tcPr>
            <w:tcW w:w="5943" w:type="dxa"/>
            <w:noWrap w:val="0"/>
            <w:vAlign w:val="center"/>
          </w:tcPr>
          <w:p>
            <w:pPr>
              <w:widowControl/>
              <w:snapToGrid w:val="0"/>
              <w:spacing w:before="46" w:beforeLines="15" w:after="46" w:afterLines="15"/>
              <w:ind w:left="-53" w:leftChars="-25" w:right="-53" w:rightChars="-25"/>
              <w:jc w:val="left"/>
              <w:rPr>
                <w:rFonts w:ascii="宋体" w:hAnsi="宋体"/>
                <w:color w:val="auto"/>
                <w:szCs w:val="21"/>
                <w:highlight w:val="none"/>
              </w:rPr>
            </w:pPr>
            <w:r>
              <w:rPr>
                <w:rFonts w:hint="eastAsia" w:ascii="宋体" w:hAnsi="宋体"/>
                <w:color w:val="auto"/>
                <w:szCs w:val="21"/>
                <w:highlight w:val="none"/>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ascii="宋体" w:hAnsi="宋体"/>
                <w:color w:val="auto"/>
                <w:szCs w:val="21"/>
                <w:highlight w:val="none"/>
              </w:rPr>
            </w:pPr>
            <w:r>
              <w:rPr>
                <w:rFonts w:hint="eastAsia" w:ascii="宋体" w:hAnsi="宋体"/>
                <w:color w:val="auto"/>
                <w:szCs w:val="21"/>
                <w:highlight w:val="none"/>
              </w:rPr>
              <w:t>造价负责人</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人</w:t>
            </w:r>
          </w:p>
        </w:tc>
        <w:tc>
          <w:tcPr>
            <w:tcW w:w="6161" w:type="dxa"/>
            <w:noWrap w:val="0"/>
            <w:vAlign w:val="center"/>
          </w:tcPr>
          <w:p>
            <w:pPr>
              <w:widowControl/>
              <w:snapToGrid w:val="0"/>
              <w:spacing w:before="46" w:beforeLines="15" w:after="46" w:afterLines="15"/>
              <w:ind w:left="-48" w:leftChars="-23"/>
              <w:rPr>
                <w:rFonts w:ascii="宋体" w:hAnsi="宋体"/>
                <w:color w:val="auto"/>
                <w:spacing w:val="-2"/>
                <w:szCs w:val="21"/>
                <w:highlight w:val="none"/>
              </w:rPr>
            </w:pPr>
            <w:r>
              <w:rPr>
                <w:rFonts w:hint="eastAsia" w:ascii="宋体" w:hAnsi="宋体"/>
                <w:color w:val="auto"/>
                <w:szCs w:val="21"/>
                <w:highlight w:val="none"/>
              </w:rPr>
              <w:t>具有有效期内的一级造价工程师注册证书（或2020年新版证书启用前已注册成功且在有效期内的造价工程师注册证书）</w:t>
            </w:r>
            <w:r>
              <w:rPr>
                <w:rFonts w:hint="eastAsia" w:ascii="宋体" w:hAnsi="宋体"/>
                <w:color w:val="auto"/>
                <w:spacing w:val="-2"/>
                <w:szCs w:val="21"/>
                <w:highlight w:val="none"/>
              </w:rPr>
              <w:t>、建筑工程造价</w:t>
            </w:r>
            <w:r>
              <w:rPr>
                <w:rFonts w:hint="eastAsia" w:ascii="宋体" w:hAnsi="宋体"/>
                <w:color w:val="auto"/>
                <w:szCs w:val="21"/>
                <w:highlight w:val="none"/>
              </w:rPr>
              <w:t>类</w:t>
            </w:r>
            <w:r>
              <w:rPr>
                <w:rFonts w:hint="eastAsia" w:ascii="宋体" w:hAnsi="宋体"/>
                <w:color w:val="auto"/>
                <w:spacing w:val="-2"/>
                <w:szCs w:val="21"/>
                <w:highlight w:val="none"/>
              </w:rPr>
              <w:t>专业工程师(或以上)职称</w:t>
            </w:r>
          </w:p>
        </w:tc>
        <w:tc>
          <w:tcPr>
            <w:tcW w:w="5943" w:type="dxa"/>
            <w:noWrap w:val="0"/>
            <w:vAlign w:val="center"/>
          </w:tcPr>
          <w:p>
            <w:pPr>
              <w:widowControl/>
              <w:snapToGrid w:val="0"/>
              <w:spacing w:before="46" w:beforeLines="15" w:after="46" w:afterLines="15"/>
              <w:ind w:left="-53" w:leftChars="-25" w:right="-53" w:rightChars="-25"/>
              <w:jc w:val="left"/>
              <w:rPr>
                <w:rFonts w:ascii="宋体" w:hAnsi="宋体"/>
                <w:color w:val="auto"/>
                <w:spacing w:val="-2"/>
                <w:szCs w:val="21"/>
                <w:highlight w:val="none"/>
              </w:rPr>
            </w:pPr>
            <w:r>
              <w:rPr>
                <w:rFonts w:hint="eastAsia" w:ascii="宋体" w:hAnsi="宋体"/>
                <w:color w:val="auto"/>
                <w:szCs w:val="21"/>
                <w:highlight w:val="none"/>
              </w:rPr>
              <w:t>须提供造价工程师注册证书、“全国建筑市场监管公共服务平台（http://jzsc.mohurd.gov.cn）”查询结果截图、职称证书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hint="eastAsia" w:ascii="宋体" w:hAnsi="宋体"/>
                <w:color w:val="auto"/>
                <w:szCs w:val="21"/>
                <w:highlight w:val="none"/>
              </w:rPr>
            </w:pPr>
            <w:r>
              <w:rPr>
                <w:rFonts w:hint="eastAsia" w:ascii="宋体" w:hAnsi="宋体"/>
                <w:color w:val="auto"/>
                <w:szCs w:val="21"/>
                <w:highlight w:val="none"/>
              </w:rPr>
              <w:t>深化设计负责人</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人</w:t>
            </w:r>
          </w:p>
        </w:tc>
        <w:tc>
          <w:tcPr>
            <w:tcW w:w="6161" w:type="dxa"/>
            <w:noWrap w:val="0"/>
            <w:vAlign w:val="center"/>
          </w:tcPr>
          <w:p>
            <w:pPr>
              <w:widowControl/>
              <w:snapToGrid w:val="0"/>
              <w:spacing w:before="46" w:beforeLines="15" w:after="46" w:afterLines="15"/>
              <w:ind w:left="-48" w:leftChars="-23"/>
              <w:rPr>
                <w:rFonts w:hint="eastAsia" w:ascii="宋体" w:hAnsi="宋体"/>
                <w:color w:val="auto"/>
                <w:szCs w:val="21"/>
                <w:highlight w:val="none"/>
              </w:rPr>
            </w:pPr>
            <w:r>
              <w:rPr>
                <w:rFonts w:hint="eastAsia" w:ascii="宋体" w:hAnsi="宋体"/>
                <w:color w:val="auto"/>
                <w:szCs w:val="21"/>
                <w:highlight w:val="none"/>
              </w:rPr>
              <w:t>具有建筑装饰设计类专业工程师或环境艺术设计师(或以上)职称</w:t>
            </w:r>
          </w:p>
        </w:tc>
        <w:tc>
          <w:tcPr>
            <w:tcW w:w="5943" w:type="dxa"/>
            <w:noWrap w:val="0"/>
            <w:vAlign w:val="center"/>
          </w:tcPr>
          <w:p>
            <w:pPr>
              <w:widowControl/>
              <w:snapToGrid w:val="0"/>
              <w:spacing w:before="46" w:beforeLines="15" w:after="46" w:afterLines="15"/>
              <w:ind w:left="-53" w:leftChars="-25" w:right="-53" w:rightChars="-25"/>
              <w:jc w:val="left"/>
              <w:rPr>
                <w:rFonts w:hint="eastAsia" w:ascii="宋体" w:hAnsi="宋体"/>
                <w:color w:val="auto"/>
                <w:szCs w:val="21"/>
                <w:highlight w:val="none"/>
              </w:rPr>
            </w:pPr>
            <w:r>
              <w:rPr>
                <w:rFonts w:hint="eastAsia" w:ascii="宋体" w:hAnsi="宋体"/>
                <w:color w:val="auto"/>
                <w:szCs w:val="21"/>
                <w:highlight w:val="none"/>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ascii="宋体" w:hAnsi="宋体"/>
                <w:color w:val="auto"/>
                <w:szCs w:val="21"/>
                <w:highlight w:val="none"/>
              </w:rPr>
            </w:pPr>
            <w:r>
              <w:rPr>
                <w:rFonts w:hint="eastAsia" w:ascii="宋体" w:hAnsi="宋体"/>
                <w:color w:val="auto"/>
                <w:szCs w:val="21"/>
                <w:highlight w:val="none"/>
              </w:rPr>
              <w:t>装修专业工程师</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hint="eastAsia" w:ascii="宋体" w:hAnsi="宋体" w:cs="宋体"/>
                <w:color w:val="auto"/>
                <w:kern w:val="0"/>
                <w:szCs w:val="21"/>
                <w:highlight w:val="none"/>
              </w:rPr>
              <w:t>5人</w:t>
            </w:r>
          </w:p>
        </w:tc>
        <w:tc>
          <w:tcPr>
            <w:tcW w:w="6161" w:type="dxa"/>
            <w:noWrap w:val="0"/>
            <w:vAlign w:val="center"/>
          </w:tcPr>
          <w:p>
            <w:pPr>
              <w:widowControl/>
              <w:snapToGrid w:val="0"/>
              <w:spacing w:before="46" w:beforeLines="15" w:after="46" w:afterLines="15"/>
              <w:ind w:left="-48" w:leftChars="-23"/>
              <w:rPr>
                <w:rFonts w:ascii="宋体" w:hAnsi="宋体"/>
                <w:color w:val="auto"/>
                <w:szCs w:val="21"/>
                <w:highlight w:val="none"/>
              </w:rPr>
            </w:pPr>
            <w:r>
              <w:rPr>
                <w:rFonts w:hint="eastAsia" w:ascii="宋体" w:hAnsi="宋体"/>
                <w:color w:val="auto"/>
                <w:szCs w:val="21"/>
                <w:highlight w:val="none"/>
              </w:rPr>
              <w:t>具有建筑装饰施工类专业工程师(或以上)职称</w:t>
            </w:r>
          </w:p>
        </w:tc>
        <w:tc>
          <w:tcPr>
            <w:tcW w:w="5943" w:type="dxa"/>
            <w:noWrap w:val="0"/>
            <w:vAlign w:val="center"/>
          </w:tcPr>
          <w:p>
            <w:pPr>
              <w:widowControl/>
              <w:snapToGrid w:val="0"/>
              <w:spacing w:before="46" w:beforeLines="15" w:after="46" w:afterLines="15"/>
              <w:ind w:left="-53" w:leftChars="-25" w:right="-53" w:rightChars="-25"/>
              <w:jc w:val="left"/>
              <w:rPr>
                <w:rFonts w:ascii="宋体" w:hAnsi="宋体"/>
                <w:color w:val="auto"/>
                <w:szCs w:val="21"/>
                <w:highlight w:val="none"/>
              </w:rPr>
            </w:pPr>
            <w:r>
              <w:rPr>
                <w:rFonts w:hint="eastAsia" w:ascii="宋体" w:hAnsi="宋体"/>
                <w:color w:val="auto"/>
                <w:szCs w:val="21"/>
                <w:highlight w:val="none"/>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ascii="宋体" w:hAnsi="宋体"/>
                <w:color w:val="auto"/>
                <w:szCs w:val="21"/>
                <w:highlight w:val="none"/>
              </w:rPr>
            </w:pPr>
            <w:r>
              <w:rPr>
                <w:rFonts w:hint="eastAsia" w:ascii="宋体" w:hAnsi="宋体"/>
                <w:color w:val="auto"/>
                <w:szCs w:val="21"/>
                <w:highlight w:val="none"/>
              </w:rPr>
              <w:t>结构专业工程师</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161" w:type="dxa"/>
            <w:noWrap w:val="0"/>
            <w:vAlign w:val="center"/>
          </w:tcPr>
          <w:p>
            <w:pPr>
              <w:widowControl/>
              <w:snapToGrid w:val="0"/>
              <w:spacing w:before="46" w:beforeLines="15" w:after="46" w:afterLines="15"/>
              <w:ind w:left="-48" w:leftChars="-23"/>
              <w:rPr>
                <w:rFonts w:ascii="宋体" w:hAnsi="宋体"/>
                <w:color w:val="auto"/>
                <w:szCs w:val="21"/>
                <w:highlight w:val="none"/>
              </w:rPr>
            </w:pPr>
            <w:r>
              <w:rPr>
                <w:rFonts w:hint="eastAsia" w:ascii="宋体" w:hAnsi="宋体"/>
                <w:color w:val="auto"/>
                <w:szCs w:val="21"/>
                <w:highlight w:val="none"/>
              </w:rPr>
              <w:t>具有结构类专业工程师(或以上)职称</w:t>
            </w:r>
          </w:p>
        </w:tc>
        <w:tc>
          <w:tcPr>
            <w:tcW w:w="5943" w:type="dxa"/>
            <w:noWrap w:val="0"/>
            <w:vAlign w:val="center"/>
          </w:tcPr>
          <w:p>
            <w:pPr>
              <w:widowControl/>
              <w:snapToGrid w:val="0"/>
              <w:spacing w:before="46" w:beforeLines="15" w:after="46" w:afterLines="15"/>
              <w:ind w:left="-53" w:leftChars="-25" w:right="-53" w:rightChars="-25"/>
              <w:jc w:val="left"/>
              <w:rPr>
                <w:rFonts w:ascii="宋体" w:hAnsi="宋体"/>
                <w:color w:val="auto"/>
                <w:szCs w:val="21"/>
                <w:highlight w:val="none"/>
              </w:rPr>
            </w:pPr>
            <w:r>
              <w:rPr>
                <w:rFonts w:hint="eastAsia" w:ascii="宋体" w:hAnsi="宋体"/>
                <w:color w:val="auto"/>
                <w:szCs w:val="21"/>
                <w:highlight w:val="none"/>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ascii="宋体" w:hAnsi="宋体"/>
                <w:color w:val="auto"/>
                <w:szCs w:val="21"/>
                <w:highlight w:val="none"/>
              </w:rPr>
            </w:pPr>
            <w:r>
              <w:rPr>
                <w:rFonts w:hint="eastAsia" w:ascii="宋体" w:hAnsi="宋体"/>
                <w:color w:val="auto"/>
                <w:szCs w:val="21"/>
                <w:highlight w:val="none"/>
              </w:rPr>
              <w:t>电气专业工程师</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hint="eastAsia" w:ascii="宋体" w:hAnsi="宋体" w:cs="宋体"/>
                <w:color w:val="auto"/>
                <w:kern w:val="0"/>
                <w:szCs w:val="21"/>
                <w:highlight w:val="none"/>
              </w:rPr>
              <w:t>2人</w:t>
            </w:r>
          </w:p>
        </w:tc>
        <w:tc>
          <w:tcPr>
            <w:tcW w:w="6161" w:type="dxa"/>
            <w:noWrap w:val="0"/>
            <w:vAlign w:val="center"/>
          </w:tcPr>
          <w:p>
            <w:pPr>
              <w:widowControl/>
              <w:snapToGrid w:val="0"/>
              <w:spacing w:before="46" w:beforeLines="15" w:after="46" w:afterLines="15"/>
              <w:ind w:left="-48" w:leftChars="-23"/>
              <w:rPr>
                <w:rFonts w:ascii="宋体" w:hAnsi="宋体"/>
                <w:color w:val="auto"/>
                <w:szCs w:val="21"/>
                <w:highlight w:val="none"/>
              </w:rPr>
            </w:pPr>
            <w:r>
              <w:rPr>
                <w:rFonts w:hint="eastAsia" w:ascii="宋体" w:hAnsi="宋体"/>
                <w:color w:val="auto"/>
                <w:szCs w:val="21"/>
                <w:highlight w:val="none"/>
              </w:rPr>
              <w:t>具有建筑电气安装类专业工程师(或以上)职称</w:t>
            </w:r>
          </w:p>
        </w:tc>
        <w:tc>
          <w:tcPr>
            <w:tcW w:w="5943" w:type="dxa"/>
            <w:noWrap w:val="0"/>
            <w:vAlign w:val="center"/>
          </w:tcPr>
          <w:p>
            <w:pPr>
              <w:widowControl/>
              <w:snapToGrid w:val="0"/>
              <w:spacing w:before="46" w:beforeLines="15" w:after="46" w:afterLines="15"/>
              <w:ind w:left="-53" w:leftChars="-25" w:right="-53" w:rightChars="-25"/>
              <w:jc w:val="left"/>
              <w:rPr>
                <w:rFonts w:ascii="宋体" w:hAnsi="宋体"/>
                <w:color w:val="auto"/>
                <w:szCs w:val="21"/>
                <w:highlight w:val="none"/>
              </w:rPr>
            </w:pPr>
            <w:r>
              <w:rPr>
                <w:rFonts w:hint="eastAsia" w:ascii="宋体" w:hAnsi="宋体"/>
                <w:color w:val="auto"/>
                <w:szCs w:val="21"/>
                <w:highlight w:val="none"/>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ascii="宋体" w:hAnsi="宋体"/>
                <w:color w:val="auto"/>
                <w:szCs w:val="21"/>
                <w:highlight w:val="none"/>
              </w:rPr>
            </w:pPr>
            <w:r>
              <w:rPr>
                <w:rFonts w:hint="eastAsia" w:ascii="宋体" w:hAnsi="宋体"/>
                <w:color w:val="auto"/>
                <w:szCs w:val="21"/>
                <w:highlight w:val="none"/>
              </w:rPr>
              <w:t>暖通专业工程师</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161" w:type="dxa"/>
            <w:noWrap w:val="0"/>
            <w:vAlign w:val="center"/>
          </w:tcPr>
          <w:p>
            <w:pPr>
              <w:widowControl/>
              <w:snapToGrid w:val="0"/>
              <w:spacing w:before="46" w:beforeLines="15" w:after="46" w:afterLines="15"/>
              <w:ind w:left="-48" w:leftChars="-23"/>
              <w:rPr>
                <w:rFonts w:ascii="宋体" w:hAnsi="宋体"/>
                <w:color w:val="auto"/>
                <w:szCs w:val="21"/>
                <w:highlight w:val="none"/>
              </w:rPr>
            </w:pPr>
            <w:r>
              <w:rPr>
                <w:rFonts w:hint="eastAsia" w:ascii="宋体" w:hAnsi="宋体"/>
                <w:color w:val="auto"/>
                <w:szCs w:val="21"/>
                <w:highlight w:val="none"/>
              </w:rPr>
              <w:t>具有暖通与空调设备安装类专业工程师(或以上)职称</w:t>
            </w:r>
          </w:p>
        </w:tc>
        <w:tc>
          <w:tcPr>
            <w:tcW w:w="5943" w:type="dxa"/>
            <w:noWrap w:val="0"/>
            <w:vAlign w:val="center"/>
          </w:tcPr>
          <w:p>
            <w:pPr>
              <w:widowControl/>
              <w:snapToGrid w:val="0"/>
              <w:spacing w:before="46" w:beforeLines="15" w:after="46" w:afterLines="15"/>
              <w:ind w:left="-53" w:leftChars="-25" w:right="-53" w:rightChars="-25"/>
              <w:jc w:val="left"/>
              <w:rPr>
                <w:rFonts w:ascii="宋体" w:hAnsi="宋体"/>
                <w:color w:val="auto"/>
                <w:szCs w:val="21"/>
                <w:highlight w:val="none"/>
              </w:rPr>
            </w:pPr>
            <w:r>
              <w:rPr>
                <w:rFonts w:hint="eastAsia" w:ascii="宋体" w:hAnsi="宋体"/>
                <w:color w:val="auto"/>
                <w:szCs w:val="21"/>
                <w:highlight w:val="none"/>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ascii="宋体" w:hAnsi="宋体"/>
                <w:color w:val="auto"/>
                <w:spacing w:val="-6"/>
                <w:szCs w:val="21"/>
                <w:highlight w:val="none"/>
              </w:rPr>
            </w:pPr>
            <w:r>
              <w:rPr>
                <w:rFonts w:hint="eastAsia" w:ascii="宋体" w:hAnsi="宋体"/>
                <w:color w:val="auto"/>
                <w:spacing w:val="-6"/>
                <w:szCs w:val="21"/>
                <w:highlight w:val="none"/>
              </w:rPr>
              <w:t>给排水专业工程师</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161" w:type="dxa"/>
            <w:noWrap w:val="0"/>
            <w:vAlign w:val="center"/>
          </w:tcPr>
          <w:p>
            <w:pPr>
              <w:widowControl/>
              <w:snapToGrid w:val="0"/>
              <w:spacing w:before="46" w:beforeLines="15" w:after="46" w:afterLines="15"/>
              <w:ind w:left="-48" w:leftChars="-23"/>
              <w:rPr>
                <w:rFonts w:ascii="宋体" w:hAnsi="宋体"/>
                <w:color w:val="auto"/>
                <w:szCs w:val="21"/>
                <w:highlight w:val="none"/>
              </w:rPr>
            </w:pPr>
            <w:r>
              <w:rPr>
                <w:rFonts w:hint="eastAsia" w:ascii="宋体" w:hAnsi="宋体"/>
                <w:color w:val="auto"/>
                <w:szCs w:val="21"/>
                <w:highlight w:val="none"/>
              </w:rPr>
              <w:t>具有给水排水施工类专业工程师(或以上)职称</w:t>
            </w:r>
          </w:p>
        </w:tc>
        <w:tc>
          <w:tcPr>
            <w:tcW w:w="5943" w:type="dxa"/>
            <w:noWrap w:val="0"/>
            <w:vAlign w:val="center"/>
          </w:tcPr>
          <w:p>
            <w:pPr>
              <w:widowControl/>
              <w:snapToGrid w:val="0"/>
              <w:spacing w:before="46" w:beforeLines="15" w:after="46" w:afterLines="15"/>
              <w:ind w:left="-53" w:leftChars="-25" w:right="-53" w:rightChars="-25"/>
              <w:jc w:val="left"/>
              <w:rPr>
                <w:rFonts w:ascii="宋体" w:hAnsi="宋体"/>
                <w:color w:val="auto"/>
                <w:szCs w:val="21"/>
                <w:highlight w:val="none"/>
              </w:rPr>
            </w:pPr>
            <w:r>
              <w:rPr>
                <w:rFonts w:hint="eastAsia" w:ascii="宋体" w:hAnsi="宋体"/>
                <w:color w:val="auto"/>
                <w:szCs w:val="21"/>
                <w:highlight w:val="none"/>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hint="eastAsia" w:ascii="宋体" w:hAnsi="宋体"/>
                <w:color w:val="auto"/>
                <w:spacing w:val="-6"/>
                <w:szCs w:val="21"/>
                <w:highlight w:val="none"/>
              </w:rPr>
            </w:pPr>
            <w:r>
              <w:rPr>
                <w:rFonts w:hint="eastAsia" w:ascii="宋体" w:hAnsi="宋体"/>
                <w:color w:val="auto"/>
                <w:spacing w:val="-6"/>
                <w:szCs w:val="21"/>
                <w:highlight w:val="none"/>
              </w:rPr>
              <w:t>园林专业工程师</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161" w:type="dxa"/>
            <w:noWrap w:val="0"/>
            <w:vAlign w:val="center"/>
          </w:tcPr>
          <w:p>
            <w:pPr>
              <w:widowControl/>
              <w:snapToGrid w:val="0"/>
              <w:spacing w:before="46" w:beforeLines="15" w:after="46" w:afterLines="15"/>
              <w:ind w:left="-48" w:leftChars="-23"/>
              <w:rPr>
                <w:rFonts w:ascii="宋体" w:hAnsi="宋体"/>
                <w:color w:val="auto"/>
                <w:szCs w:val="21"/>
                <w:highlight w:val="none"/>
              </w:rPr>
            </w:pPr>
            <w:r>
              <w:rPr>
                <w:rFonts w:hint="eastAsia" w:ascii="宋体" w:hAnsi="宋体"/>
                <w:color w:val="auto"/>
                <w:szCs w:val="21"/>
                <w:highlight w:val="none"/>
              </w:rPr>
              <w:t>具有风景园林施工类专业工程师(或以上)职称</w:t>
            </w:r>
          </w:p>
        </w:tc>
        <w:tc>
          <w:tcPr>
            <w:tcW w:w="5943" w:type="dxa"/>
            <w:noWrap w:val="0"/>
            <w:vAlign w:val="center"/>
          </w:tcPr>
          <w:p>
            <w:pPr>
              <w:widowControl/>
              <w:snapToGrid w:val="0"/>
              <w:spacing w:before="46" w:beforeLines="15" w:after="46" w:afterLines="15"/>
              <w:ind w:left="-53" w:leftChars="-25" w:right="-53" w:rightChars="-25"/>
              <w:jc w:val="left"/>
              <w:rPr>
                <w:rFonts w:ascii="宋体" w:hAnsi="宋体"/>
                <w:color w:val="auto"/>
                <w:szCs w:val="21"/>
                <w:highlight w:val="none"/>
              </w:rPr>
            </w:pPr>
            <w:r>
              <w:rPr>
                <w:rFonts w:hint="eastAsia" w:ascii="宋体" w:hAnsi="宋体"/>
                <w:color w:val="auto"/>
                <w:szCs w:val="21"/>
                <w:highlight w:val="none"/>
              </w:rPr>
              <w:t>须提供职称证书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ascii="宋体" w:hAnsi="宋体"/>
                <w:color w:val="auto"/>
                <w:szCs w:val="21"/>
                <w:highlight w:val="none"/>
              </w:rPr>
            </w:pPr>
            <w:r>
              <w:rPr>
                <w:rFonts w:hint="eastAsia" w:ascii="宋体" w:hAnsi="宋体"/>
                <w:color w:val="auto"/>
                <w:szCs w:val="21"/>
                <w:highlight w:val="none"/>
              </w:rPr>
              <w:t>造价专业工程师</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人</w:t>
            </w:r>
          </w:p>
        </w:tc>
        <w:tc>
          <w:tcPr>
            <w:tcW w:w="6161" w:type="dxa"/>
            <w:noWrap w:val="0"/>
            <w:vAlign w:val="center"/>
          </w:tcPr>
          <w:p>
            <w:pPr>
              <w:widowControl/>
              <w:snapToGrid w:val="0"/>
              <w:spacing w:before="46" w:beforeLines="15" w:after="46" w:afterLines="15"/>
              <w:ind w:left="-48" w:leftChars="-23"/>
              <w:rPr>
                <w:rFonts w:ascii="宋体" w:hAnsi="宋体"/>
                <w:color w:val="auto"/>
                <w:szCs w:val="21"/>
                <w:highlight w:val="none"/>
              </w:rPr>
            </w:pPr>
            <w:r>
              <w:rPr>
                <w:rFonts w:hint="eastAsia" w:ascii="宋体" w:hAnsi="宋体"/>
                <w:color w:val="auto"/>
                <w:szCs w:val="21"/>
                <w:highlight w:val="none"/>
              </w:rPr>
              <w:t>具有有效期内的一级造价工程师注册证书（或2020年新版证书启用前已注册成功且在有效期内的造价工程师注册证书）</w:t>
            </w:r>
          </w:p>
        </w:tc>
        <w:tc>
          <w:tcPr>
            <w:tcW w:w="5943" w:type="dxa"/>
            <w:noWrap w:val="0"/>
            <w:vAlign w:val="center"/>
          </w:tcPr>
          <w:p>
            <w:pPr>
              <w:widowControl/>
              <w:snapToGrid w:val="0"/>
              <w:spacing w:before="46" w:beforeLines="15" w:after="46" w:afterLines="15"/>
              <w:ind w:left="-53" w:leftChars="-25" w:right="-53" w:rightChars="-25"/>
              <w:jc w:val="left"/>
              <w:rPr>
                <w:rFonts w:ascii="宋体" w:hAnsi="宋体"/>
                <w:color w:val="auto"/>
                <w:szCs w:val="21"/>
                <w:highlight w:val="none"/>
              </w:rPr>
            </w:pPr>
            <w:r>
              <w:rPr>
                <w:rFonts w:hint="eastAsia" w:ascii="宋体" w:hAnsi="宋体"/>
                <w:color w:val="auto"/>
                <w:szCs w:val="21"/>
                <w:highlight w:val="none"/>
              </w:rPr>
              <w:t>须提供造价工程师注册证书、“全国建筑市场监管公共服务平台（http://jzsc.mohurd.gov.cn）”查询结果截图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hint="eastAsia" w:ascii="宋体" w:hAnsi="宋体"/>
                <w:color w:val="auto"/>
                <w:spacing w:val="-6"/>
                <w:szCs w:val="21"/>
                <w:highlight w:val="none"/>
              </w:rPr>
            </w:pPr>
            <w:r>
              <w:rPr>
                <w:rFonts w:hint="eastAsia" w:ascii="宋体" w:hAnsi="宋体"/>
                <w:color w:val="auto"/>
                <w:spacing w:val="-6"/>
                <w:szCs w:val="21"/>
                <w:highlight w:val="none"/>
              </w:rPr>
              <w:t>消防专业工程师</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161" w:type="dxa"/>
            <w:noWrap w:val="0"/>
            <w:vAlign w:val="center"/>
          </w:tcPr>
          <w:p>
            <w:pPr>
              <w:widowControl/>
              <w:snapToGrid w:val="0"/>
              <w:spacing w:before="46" w:beforeLines="15" w:after="46" w:afterLines="15" w:line="240" w:lineRule="exact"/>
              <w:ind w:left="-48" w:leftChars="-23"/>
              <w:rPr>
                <w:rFonts w:hint="eastAsia" w:ascii="宋体" w:hAnsi="宋体"/>
                <w:color w:val="auto"/>
                <w:szCs w:val="21"/>
                <w:highlight w:val="none"/>
              </w:rPr>
            </w:pPr>
            <w:r>
              <w:rPr>
                <w:rFonts w:hint="eastAsia" w:ascii="宋体" w:hAnsi="宋体"/>
                <w:color w:val="auto"/>
                <w:szCs w:val="21"/>
                <w:highlight w:val="none"/>
              </w:rPr>
              <w:t>具有有效的一级注册消防工程师</w:t>
            </w:r>
            <w:r>
              <w:rPr>
                <w:rFonts w:hint="eastAsia" w:ascii="宋体" w:hAnsi="宋体"/>
                <w:color w:val="auto"/>
                <w:szCs w:val="21"/>
                <w:highlight w:val="none"/>
                <w:lang w:val="en-US" w:eastAsia="zh-CN"/>
              </w:rPr>
              <w:t>注册</w:t>
            </w:r>
            <w:r>
              <w:rPr>
                <w:rFonts w:hint="eastAsia" w:ascii="宋体" w:hAnsi="宋体"/>
                <w:color w:val="auto"/>
                <w:szCs w:val="21"/>
                <w:highlight w:val="none"/>
              </w:rPr>
              <w:t>证书</w:t>
            </w:r>
          </w:p>
        </w:tc>
        <w:tc>
          <w:tcPr>
            <w:tcW w:w="5943" w:type="dxa"/>
            <w:noWrap w:val="0"/>
            <w:vAlign w:val="center"/>
          </w:tcPr>
          <w:p>
            <w:pPr>
              <w:widowControl/>
              <w:snapToGrid w:val="0"/>
              <w:spacing w:before="46" w:beforeLines="15" w:after="46" w:afterLines="15" w:line="240" w:lineRule="exact"/>
              <w:ind w:left="-53" w:leftChars="-25" w:right="-53" w:rightChars="-25"/>
              <w:jc w:val="left"/>
              <w:rPr>
                <w:rFonts w:hint="eastAsia" w:ascii="宋体" w:hAnsi="宋体"/>
                <w:color w:val="auto"/>
                <w:szCs w:val="21"/>
                <w:highlight w:val="none"/>
              </w:rPr>
            </w:pPr>
            <w:r>
              <w:rPr>
                <w:rFonts w:hint="eastAsia" w:ascii="宋体" w:hAnsi="宋体"/>
                <w:color w:val="auto"/>
                <w:szCs w:val="21"/>
                <w:highlight w:val="none"/>
              </w:rPr>
              <w:t>须提供消防工程师注册证书</w:t>
            </w:r>
            <w:r>
              <w:rPr>
                <w:rFonts w:hint="eastAsia" w:ascii="宋体" w:hAnsi="宋体"/>
                <w:color w:val="auto"/>
                <w:szCs w:val="21"/>
                <w:highlight w:val="none"/>
                <w:lang w:eastAsia="zh-CN"/>
              </w:rPr>
              <w:t>、</w:t>
            </w:r>
            <w:r>
              <w:rPr>
                <w:rFonts w:hint="eastAsia" w:ascii="宋体" w:hAnsi="宋体"/>
                <w:color w:val="auto"/>
                <w:szCs w:val="21"/>
                <w:highlight w:val="none"/>
              </w:rPr>
              <w:t>“社会消防技术服务信息系统（https://shhxf.119.gov.cn）”网站查询结果截图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ascii="宋体" w:hAnsi="宋体"/>
                <w:color w:val="auto"/>
                <w:szCs w:val="21"/>
                <w:highlight w:val="none"/>
              </w:rPr>
            </w:pPr>
            <w:r>
              <w:rPr>
                <w:rFonts w:hint="eastAsia" w:ascii="宋体" w:hAnsi="宋体"/>
                <w:color w:val="auto"/>
                <w:szCs w:val="21"/>
                <w:highlight w:val="none"/>
              </w:rPr>
              <w:t>安全专业工程师</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161" w:type="dxa"/>
            <w:noWrap w:val="0"/>
            <w:vAlign w:val="center"/>
          </w:tcPr>
          <w:p>
            <w:pPr>
              <w:widowControl/>
              <w:snapToGrid w:val="0"/>
              <w:spacing w:before="46" w:beforeLines="15" w:after="46" w:afterLines="15"/>
              <w:ind w:left="-48" w:leftChars="-23"/>
              <w:rPr>
                <w:rFonts w:ascii="宋体" w:hAnsi="宋体"/>
                <w:color w:val="auto"/>
                <w:szCs w:val="21"/>
                <w:highlight w:val="none"/>
              </w:rPr>
            </w:pPr>
            <w:r>
              <w:rPr>
                <w:rFonts w:hint="eastAsia" w:ascii="宋体" w:hAnsi="宋体"/>
                <w:color w:val="auto"/>
                <w:szCs w:val="21"/>
                <w:highlight w:val="none"/>
              </w:rPr>
              <w:t>具有有效期内的建筑施工安全类别注册安全工程师执业证书</w:t>
            </w:r>
          </w:p>
        </w:tc>
        <w:tc>
          <w:tcPr>
            <w:tcW w:w="5943" w:type="dxa"/>
            <w:noWrap w:val="0"/>
            <w:vAlign w:val="center"/>
          </w:tcPr>
          <w:p>
            <w:pPr>
              <w:widowControl/>
              <w:snapToGrid w:val="0"/>
              <w:spacing w:before="46" w:beforeLines="15" w:after="46" w:afterLines="15"/>
              <w:ind w:left="-53" w:leftChars="-25" w:right="-53" w:rightChars="-25"/>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须提供注册安全工程师执业证书、</w:t>
            </w:r>
            <w:r>
              <w:rPr>
                <w:rFonts w:hint="eastAsia" w:ascii="宋体" w:hAnsi="宋体"/>
                <w:color w:val="auto"/>
                <w:szCs w:val="21"/>
                <w:highlight w:val="none"/>
                <w:lang w:eastAsia="zh-CN"/>
              </w:rPr>
              <w:t>“</w:t>
            </w:r>
            <w:r>
              <w:rPr>
                <w:rFonts w:hint="eastAsia" w:ascii="宋体" w:hAnsi="宋体"/>
                <w:color w:val="auto"/>
                <w:szCs w:val="21"/>
                <w:highlight w:val="none"/>
              </w:rPr>
              <w:t>应急管理部注册安全工程</w:t>
            </w:r>
            <w:r>
              <w:rPr>
                <w:rFonts w:hint="eastAsia" w:ascii="宋体" w:hAnsi="宋体"/>
                <w:color w:val="auto"/>
                <w:szCs w:val="21"/>
                <w:highlight w:val="none"/>
                <w:lang w:val="en-US" w:eastAsia="zh-CN"/>
              </w:rPr>
              <w:t>师查询服务栏目（https://zwfw.mem.gov.cn/zwthlw/pages/hlwmh/yyfw/zcaqgcscx/index.html）查询结果截图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38" w:type="dxa"/>
            <w:noWrap w:val="0"/>
            <w:vAlign w:val="center"/>
          </w:tcPr>
          <w:p>
            <w:pPr>
              <w:widowControl/>
              <w:snapToGrid w:val="0"/>
              <w:spacing w:before="46" w:beforeLines="15" w:after="46" w:afterLines="15"/>
              <w:ind w:left="-90" w:leftChars="-43" w:right="-53" w:rightChars="-25"/>
              <w:jc w:val="center"/>
              <w:rPr>
                <w:rFonts w:ascii="宋体" w:hAnsi="宋体"/>
                <w:color w:val="auto"/>
                <w:szCs w:val="21"/>
                <w:highlight w:val="none"/>
              </w:rPr>
            </w:pPr>
            <w:r>
              <w:rPr>
                <w:rFonts w:hint="eastAsia" w:ascii="宋体" w:hAnsi="宋体"/>
                <w:color w:val="auto"/>
                <w:szCs w:val="21"/>
                <w:highlight w:val="none"/>
              </w:rPr>
              <w:t>专职安全员</w:t>
            </w:r>
          </w:p>
        </w:tc>
        <w:tc>
          <w:tcPr>
            <w:tcW w:w="597" w:type="dxa"/>
            <w:noWrap w:val="0"/>
            <w:vAlign w:val="center"/>
          </w:tcPr>
          <w:p>
            <w:pPr>
              <w:widowControl/>
              <w:snapToGrid w:val="0"/>
              <w:spacing w:before="46" w:beforeLines="15" w:after="46" w:afterLines="15"/>
              <w:ind w:left="-65" w:leftChars="-31" w:right="-46" w:rightChars="-22"/>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161" w:type="dxa"/>
            <w:noWrap w:val="0"/>
            <w:vAlign w:val="center"/>
          </w:tcPr>
          <w:p>
            <w:pPr>
              <w:widowControl/>
              <w:snapToGrid w:val="0"/>
              <w:spacing w:before="46" w:beforeLines="15" w:after="46" w:afterLines="15"/>
              <w:ind w:left="-48" w:leftChars="-23"/>
              <w:rPr>
                <w:rFonts w:ascii="宋体" w:hAnsi="宋体"/>
                <w:color w:val="auto"/>
                <w:szCs w:val="21"/>
                <w:highlight w:val="none"/>
              </w:rPr>
            </w:pPr>
            <w:r>
              <w:rPr>
                <w:rFonts w:hint="eastAsia" w:ascii="宋体" w:hAnsi="宋体"/>
                <w:color w:val="auto"/>
                <w:szCs w:val="21"/>
                <w:highlight w:val="none"/>
              </w:rPr>
              <w:t>按招标公告要求</w:t>
            </w:r>
          </w:p>
        </w:tc>
        <w:tc>
          <w:tcPr>
            <w:tcW w:w="5943" w:type="dxa"/>
            <w:noWrap w:val="0"/>
            <w:vAlign w:val="center"/>
          </w:tcPr>
          <w:p>
            <w:pPr>
              <w:widowControl/>
              <w:snapToGrid w:val="0"/>
              <w:spacing w:before="46" w:beforeLines="15" w:after="46" w:afterLines="15"/>
              <w:ind w:left="-53" w:leftChars="-25" w:right="-53" w:rightChars="-25"/>
              <w:jc w:val="left"/>
              <w:rPr>
                <w:rFonts w:ascii="宋体" w:hAnsi="宋体"/>
                <w:color w:val="auto"/>
                <w:szCs w:val="21"/>
                <w:highlight w:val="none"/>
              </w:rPr>
            </w:pPr>
            <w:r>
              <w:rPr>
                <w:rFonts w:hint="eastAsia" w:ascii="宋体" w:hAnsi="宋体"/>
                <w:color w:val="auto"/>
                <w:szCs w:val="21"/>
                <w:highlight w:val="none"/>
              </w:rPr>
              <w:t>须按招标公告要求提供的资料</w:t>
            </w:r>
          </w:p>
        </w:tc>
      </w:tr>
    </w:tbl>
    <w:p>
      <w:pPr>
        <w:snapToGrid w:val="0"/>
        <w:spacing w:before="78" w:beforeLines="25" w:line="240" w:lineRule="exact"/>
        <w:ind w:left="424" w:leftChars="6" w:right="-2" w:hanging="411" w:hangingChars="196"/>
        <w:rPr>
          <w:color w:val="auto"/>
          <w:szCs w:val="21"/>
          <w:highlight w:val="none"/>
        </w:rPr>
      </w:pPr>
      <w:r>
        <w:rPr>
          <w:rFonts w:hint="eastAsia" w:ascii="宋体" w:hAnsi="宋体" w:cs="宋体"/>
          <w:color w:val="auto"/>
          <w:kern w:val="0"/>
          <w:szCs w:val="21"/>
          <w:highlight w:val="none"/>
        </w:rPr>
        <w:t>注：①所有人员岗位不能相互兼任。②所有人员须提供相关证明资料和近一个月（2023年4月）在投标单位缴纳社保的证明材料扫描件并加盖投标人企业电子印章，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未提供或所提供的证明资料不符合要求的，则该评分节点不予评审。③高级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r>
        <w:rPr>
          <w:rFonts w:hint="eastAsia" w:ascii="宋体" w:hAnsi="宋体" w:cs="宋体"/>
          <w:b/>
          <w:color w:val="auto"/>
          <w:kern w:val="0"/>
          <w:szCs w:val="21"/>
          <w:highlight w:val="none"/>
        </w:rPr>
        <w:t>④若投标人为联合体，上述所有人员均以联合体主办方提供信息为准。</w:t>
      </w:r>
    </w:p>
    <w:p>
      <w:pPr>
        <w:tabs>
          <w:tab w:val="center" w:pos="7001"/>
        </w:tabs>
        <w:bidi w:val="0"/>
        <w:jc w:val="left"/>
        <w:rPr>
          <w:rFonts w:hint="eastAsia" w:eastAsia="宋体"/>
          <w:color w:val="auto"/>
          <w:highlight w:val="none"/>
          <w:lang w:eastAsia="zh-CN"/>
        </w:rPr>
        <w:sectPr>
          <w:headerReference r:id="rId12" w:type="first"/>
          <w:footerReference r:id="rId14" w:type="first"/>
          <w:headerReference r:id="rId11" w:type="default"/>
          <w:footerReference r:id="rId13" w:type="default"/>
          <w:endnotePr>
            <w:numFmt w:val="decimal"/>
          </w:endnotePr>
          <w:pgSz w:w="16838" w:h="11906" w:orient="landscape"/>
          <w:pgMar w:top="1417" w:right="1418" w:bottom="1417" w:left="1418" w:header="851" w:footer="567" w:gutter="0"/>
          <w:cols w:space="720" w:num="1"/>
          <w:titlePg/>
          <w:docGrid w:linePitch="317" w:charSpace="0"/>
        </w:sectPr>
      </w:pPr>
      <w:r>
        <w:rPr>
          <w:rFonts w:hint="eastAsia"/>
          <w:color w:val="auto"/>
          <w:highlight w:val="none"/>
          <w:lang w:eastAsia="zh-CN"/>
        </w:rPr>
        <w:tab/>
      </w:r>
    </w:p>
    <w:p>
      <w:pPr>
        <w:rPr>
          <w:rFonts w:ascii="宋体" w:hAnsi="宋体"/>
          <w:color w:val="auto"/>
          <w:szCs w:val="21"/>
          <w:highlight w:val="none"/>
        </w:rPr>
      </w:pPr>
      <w:r>
        <w:rPr>
          <w:rFonts w:hint="eastAsia" w:ascii="宋体" w:hAnsi="宋体"/>
          <w:color w:val="auto"/>
          <w:szCs w:val="21"/>
          <w:highlight w:val="none"/>
        </w:rPr>
        <w:t>附表五（适用于加权平均法）</w:t>
      </w:r>
    </w:p>
    <w:p>
      <w:pPr>
        <w:jc w:val="center"/>
        <w:rPr>
          <w:rFonts w:ascii="宋体" w:hAnsi="宋体"/>
          <w:b/>
          <w:color w:val="auto"/>
          <w:szCs w:val="21"/>
          <w:highlight w:val="none"/>
        </w:rPr>
      </w:pPr>
      <w:r>
        <w:rPr>
          <w:rFonts w:hint="eastAsia" w:ascii="宋体" w:hAnsi="宋体"/>
          <w:b/>
          <w:color w:val="auto"/>
          <w:szCs w:val="21"/>
          <w:highlight w:val="none"/>
        </w:rPr>
        <w:t>经济标评分表</w:t>
      </w:r>
    </w:p>
    <w:p>
      <w:pPr>
        <w:rPr>
          <w:rFonts w:ascii="宋体" w:hAnsi="宋体"/>
          <w:color w:val="auto"/>
          <w:szCs w:val="21"/>
          <w:highlight w:val="none"/>
        </w:rPr>
      </w:pPr>
      <w:r>
        <w:rPr>
          <w:rFonts w:hint="eastAsia" w:ascii="宋体" w:hAnsi="宋体"/>
          <w:color w:val="auto"/>
          <w:szCs w:val="21"/>
          <w:highlight w:val="none"/>
        </w:rPr>
        <w:t>工程名称：</w:t>
      </w:r>
    </w:p>
    <w:tbl>
      <w:tblPr>
        <w:tblStyle w:val="38"/>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评委签名：</w:t>
      </w:r>
    </w:p>
    <w:p>
      <w:pPr>
        <w:pStyle w:val="19"/>
        <w:rPr>
          <w:rFonts w:hAnsi="宋体"/>
          <w:color w:val="auto"/>
          <w:sz w:val="21"/>
          <w:szCs w:val="21"/>
          <w:highlight w:val="none"/>
        </w:rPr>
      </w:pPr>
    </w:p>
    <w:p>
      <w:pPr>
        <w:rPr>
          <w:rFonts w:ascii="宋体" w:hAnsi="宋体"/>
          <w:color w:val="auto"/>
          <w:szCs w:val="21"/>
          <w:highlight w:val="none"/>
        </w:rPr>
      </w:pPr>
    </w:p>
    <w:p>
      <w:pPr>
        <w:pStyle w:val="19"/>
        <w:rPr>
          <w:rFonts w:hAnsi="宋体"/>
          <w:color w:val="auto"/>
          <w:sz w:val="21"/>
          <w:szCs w:val="21"/>
          <w:highlight w:val="none"/>
        </w:rPr>
      </w:pPr>
    </w:p>
    <w:p>
      <w:pPr>
        <w:rPr>
          <w:rFonts w:ascii="宋体" w:hAnsi="宋体" w:cs="宋体"/>
          <w:color w:val="auto"/>
          <w:szCs w:val="21"/>
          <w:highlight w:val="none"/>
        </w:rPr>
      </w:pPr>
    </w:p>
    <w:p>
      <w:pPr>
        <w:pStyle w:val="19"/>
        <w:rPr>
          <w:rFonts w:hAnsi="宋体"/>
          <w:color w:val="auto"/>
          <w:sz w:val="21"/>
          <w:szCs w:val="21"/>
          <w:highlight w:val="none"/>
        </w:rPr>
      </w:pPr>
    </w:p>
    <w:p>
      <w:pPr>
        <w:rPr>
          <w:rFonts w:ascii="等线" w:hAnsi="等线" w:eastAsia="等线"/>
          <w:color w:val="auto"/>
          <w:highlight w:val="none"/>
        </w:rPr>
      </w:pPr>
    </w:p>
    <w:p>
      <w:pPr>
        <w:rPr>
          <w:rFonts w:ascii="宋体" w:hAnsi="宋体" w:cs="宋体"/>
          <w:color w:val="auto"/>
          <w:szCs w:val="21"/>
          <w:highlight w:val="none"/>
        </w:rPr>
      </w:pPr>
    </w:p>
    <w:p>
      <w:pPr>
        <w:rPr>
          <w:rFonts w:ascii="宋体" w:hAnsi="宋体"/>
          <w:b/>
          <w:color w:val="auto"/>
          <w:szCs w:val="21"/>
          <w:highlight w:val="none"/>
        </w:rPr>
      </w:pPr>
      <w:r>
        <w:rPr>
          <w:rFonts w:hint="eastAsia" w:ascii="宋体" w:hAnsi="宋体"/>
          <w:color w:val="auto"/>
          <w:szCs w:val="21"/>
          <w:highlight w:val="none"/>
        </w:rPr>
        <w:t>附表六</w:t>
      </w:r>
    </w:p>
    <w:p>
      <w:pPr>
        <w:jc w:val="center"/>
        <w:rPr>
          <w:rFonts w:ascii="宋体" w:hAnsi="宋体"/>
          <w:b/>
          <w:color w:val="auto"/>
          <w:szCs w:val="21"/>
          <w:highlight w:val="none"/>
        </w:rPr>
      </w:pPr>
      <w:r>
        <w:rPr>
          <w:rFonts w:hint="eastAsia" w:ascii="宋体" w:hAnsi="宋体"/>
          <w:b/>
          <w:color w:val="auto"/>
          <w:szCs w:val="21"/>
          <w:highlight w:val="none"/>
        </w:rPr>
        <w:t>算术复核表</w:t>
      </w:r>
    </w:p>
    <w:p>
      <w:pPr>
        <w:rPr>
          <w:rFonts w:ascii="宋体" w:hAnsi="宋体"/>
          <w:color w:val="auto"/>
          <w:kern w:val="0"/>
          <w:szCs w:val="21"/>
          <w:highlight w:val="none"/>
        </w:rPr>
      </w:pPr>
      <w:r>
        <w:rPr>
          <w:rFonts w:hint="eastAsia" w:ascii="宋体" w:hAnsi="宋体"/>
          <w:color w:val="auto"/>
          <w:kern w:val="0"/>
          <w:szCs w:val="21"/>
          <w:highlight w:val="none"/>
        </w:rPr>
        <w:t>工程名称：投标人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8"/>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color w:val="auto"/>
          <w:kern w:val="0"/>
          <w:szCs w:val="21"/>
          <w:highlight w:val="none"/>
        </w:rPr>
        <w:tab/>
      </w:r>
    </w:p>
    <w:p>
      <w:pPr>
        <w:rPr>
          <w:rFonts w:ascii="宋体" w:hAnsi="宋体"/>
          <w:color w:val="auto"/>
          <w:kern w:val="0"/>
          <w:szCs w:val="21"/>
          <w:highlight w:val="none"/>
        </w:rPr>
      </w:pPr>
      <w:r>
        <w:rPr>
          <w:rFonts w:hint="eastAsia" w:ascii="宋体" w:hAnsi="宋体"/>
          <w:color w:val="auto"/>
          <w:kern w:val="0"/>
          <w:szCs w:val="21"/>
          <w:highlight w:val="none"/>
        </w:rPr>
        <w:t>评委签名：</w:t>
      </w:r>
      <w:r>
        <w:rPr>
          <w:rFonts w:ascii="宋体" w:hAnsi="宋体"/>
          <w:color w:val="auto"/>
          <w:kern w:val="0"/>
          <w:szCs w:val="21"/>
          <w:highlight w:val="none"/>
        </w:rPr>
        <w:tab/>
      </w:r>
      <w:r>
        <w:rPr>
          <w:rFonts w:ascii="宋体" w:hAnsi="宋体"/>
          <w:color w:val="auto"/>
          <w:kern w:val="0"/>
          <w:szCs w:val="21"/>
          <w:highlight w:val="none"/>
        </w:rPr>
        <w:tab/>
      </w:r>
      <w:r>
        <w:rPr>
          <w:rFonts w:ascii="宋体" w:hAnsi="宋体"/>
          <w:color w:val="auto"/>
          <w:kern w:val="0"/>
          <w:szCs w:val="21"/>
          <w:highlight w:val="none"/>
        </w:rPr>
        <w:tab/>
      </w:r>
      <w:r>
        <w:rPr>
          <w:rFonts w:ascii="宋体" w:hAnsi="宋体"/>
          <w:color w:val="auto"/>
          <w:kern w:val="0"/>
          <w:szCs w:val="21"/>
          <w:highlight w:val="none"/>
        </w:rPr>
        <w:tab/>
      </w:r>
      <w:r>
        <w:rPr>
          <w:rFonts w:ascii="宋体" w:hAnsi="宋体"/>
          <w:color w:val="auto"/>
          <w:kern w:val="0"/>
          <w:szCs w:val="21"/>
          <w:highlight w:val="none"/>
        </w:rPr>
        <w:tab/>
      </w:r>
      <w:r>
        <w:rPr>
          <w:rFonts w:hint="eastAsia" w:ascii="宋体" w:hAnsi="宋体"/>
          <w:color w:val="auto"/>
          <w:kern w:val="0"/>
          <w:szCs w:val="21"/>
          <w:highlight w:val="none"/>
        </w:rPr>
        <w:t>日期：</w:t>
      </w:r>
    </w:p>
    <w:p>
      <w:pPr>
        <w:rPr>
          <w:rFonts w:ascii="宋体" w:hAnsi="宋体"/>
          <w:color w:val="auto"/>
          <w:szCs w:val="21"/>
          <w:highlight w:val="none"/>
        </w:rPr>
      </w:pPr>
    </w:p>
    <w:p>
      <w:pPr>
        <w:rPr>
          <w:rFonts w:ascii="宋体" w:hAnsi="宋体"/>
          <w:color w:val="auto"/>
          <w:szCs w:val="21"/>
          <w:highlight w:val="none"/>
        </w:rPr>
      </w:pPr>
      <w:r>
        <w:rPr>
          <w:rFonts w:ascii="宋体" w:hAnsi="宋体"/>
          <w:color w:val="auto"/>
          <w:szCs w:val="21"/>
          <w:highlight w:val="none"/>
        </w:rPr>
        <w:br w:type="page"/>
      </w:r>
    </w:p>
    <w:p>
      <w:pPr>
        <w:rPr>
          <w:rFonts w:ascii="宋体" w:hAnsi="宋体" w:cs="宋体"/>
          <w:color w:val="auto"/>
          <w:szCs w:val="21"/>
          <w:highlight w:val="none"/>
        </w:rPr>
      </w:pPr>
    </w:p>
    <w:p>
      <w:pPr>
        <w:jc w:val="center"/>
        <w:rPr>
          <w:rFonts w:ascii="宋体" w:hAnsi="宋体"/>
          <w:b/>
          <w:color w:val="auto"/>
          <w:szCs w:val="21"/>
          <w:highlight w:val="none"/>
        </w:rPr>
      </w:pPr>
      <w:r>
        <w:rPr>
          <w:rFonts w:hint="eastAsia" w:ascii="宋体" w:hAnsi="宋体"/>
          <w:b/>
          <w:color w:val="auto"/>
          <w:szCs w:val="21"/>
          <w:highlight w:val="none"/>
        </w:rPr>
        <w:t>算术复核表</w:t>
      </w:r>
    </w:p>
    <w:p>
      <w:pPr>
        <w:rPr>
          <w:rFonts w:ascii="宋体" w:hAnsi="宋体"/>
          <w:color w:val="auto"/>
          <w:szCs w:val="21"/>
          <w:highlight w:val="none"/>
        </w:rPr>
      </w:pPr>
      <w:r>
        <w:rPr>
          <w:rFonts w:hint="eastAsia" w:ascii="宋体" w:hAnsi="宋体"/>
          <w:color w:val="auto"/>
          <w:szCs w:val="21"/>
          <w:highlight w:val="none"/>
        </w:rPr>
        <w:t>工程名称：</w:t>
      </w:r>
    </w:p>
    <w:tbl>
      <w:tblPr>
        <w:tblStyle w:val="3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原投标报价（</w:t>
            </w:r>
            <w:r>
              <w:rPr>
                <w:rFonts w:ascii="宋体" w:hAnsi="宋体"/>
                <w:b/>
                <w:color w:val="auto"/>
                <w:szCs w:val="21"/>
                <w:highlight w:val="none"/>
              </w:rPr>
              <w:t>A</w:t>
            </w:r>
            <w:r>
              <w:rPr>
                <w:rFonts w:hint="eastAsia" w:ascii="宋体" w:hAnsi="宋体"/>
                <w:b/>
                <w:color w:val="auto"/>
                <w:szCs w:val="21"/>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算数复核后投标报价（</w:t>
            </w:r>
            <w:r>
              <w:rPr>
                <w:rFonts w:ascii="宋体" w:hAnsi="宋体"/>
                <w:b/>
                <w:color w:val="auto"/>
                <w:szCs w:val="21"/>
                <w:highlight w:val="none"/>
              </w:rPr>
              <w:t>B</w:t>
            </w:r>
            <w:r>
              <w:rPr>
                <w:rFonts w:hint="eastAsia" w:ascii="宋体" w:hAnsi="宋体"/>
                <w:b/>
                <w:color w:val="auto"/>
                <w:szCs w:val="21"/>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误差率（</w:t>
            </w:r>
            <w:r>
              <w:rPr>
                <w:rFonts w:ascii="宋体" w:hAnsi="宋体"/>
                <w:b/>
                <w:color w:val="auto"/>
                <w:szCs w:val="21"/>
                <w:highlight w:val="none"/>
              </w:rPr>
              <w:t>r=|A-B|/A*100%</w:t>
            </w:r>
            <w:r>
              <w:rPr>
                <w:rFonts w:hint="eastAsia" w:ascii="宋体" w:hAns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rPr>
          <w:rFonts w:ascii="宋体" w:hAnsi="宋体" w:cs="宋体"/>
          <w:color w:val="auto"/>
          <w:szCs w:val="21"/>
          <w:highlight w:val="none"/>
        </w:rPr>
        <w:sectPr>
          <w:pgSz w:w="16838" w:h="11906" w:orient="landscape"/>
          <w:pgMar w:top="1418" w:right="1418" w:bottom="1418" w:left="1418" w:header="851" w:footer="567" w:gutter="0"/>
          <w:cols w:space="720" w:num="1"/>
          <w:docGrid w:linePitch="317" w:charSpace="0"/>
        </w:sectPr>
      </w:pPr>
      <w:r>
        <w:rPr>
          <w:rFonts w:hint="eastAsia" w:ascii="宋体" w:hAnsi="宋体"/>
          <w:color w:val="auto"/>
          <w:szCs w:val="21"/>
          <w:highlight w:val="none"/>
        </w:rPr>
        <w:t>评委签名：</w:t>
      </w:r>
    </w:p>
    <w:p>
      <w:pPr>
        <w:pStyle w:val="3"/>
        <w:jc w:val="center"/>
        <w:rPr>
          <w:rFonts w:ascii="宋体" w:hAnsi="宋体" w:cs="宋体"/>
          <w:b/>
          <w:bCs/>
          <w:color w:val="auto"/>
          <w:sz w:val="21"/>
          <w:szCs w:val="21"/>
          <w:highlight w:val="none"/>
        </w:rPr>
      </w:pPr>
      <w:bookmarkStart w:id="39" w:name="_Toc18472"/>
      <w:r>
        <w:rPr>
          <w:rFonts w:hint="eastAsia" w:ascii="宋体" w:hAnsi="宋体" w:cs="宋体"/>
          <w:b/>
          <w:bCs/>
          <w:color w:val="auto"/>
          <w:sz w:val="21"/>
          <w:szCs w:val="21"/>
          <w:highlight w:val="none"/>
        </w:rPr>
        <w:t>第三章  合同条款</w:t>
      </w:r>
      <w:bookmarkEnd w:id="39"/>
    </w:p>
    <w:p>
      <w:pPr>
        <w:jc w:val="center"/>
        <w:rPr>
          <w:rFonts w:ascii="宋体" w:hAnsi="宋体" w:cs="宋体"/>
          <w:b/>
          <w:color w:val="auto"/>
          <w:szCs w:val="21"/>
          <w:highlight w:val="none"/>
        </w:rPr>
      </w:pPr>
      <w:r>
        <w:rPr>
          <w:rFonts w:hint="eastAsia" w:ascii="宋体" w:hAnsi="宋体" w:cs="宋体"/>
          <w:color w:val="auto"/>
          <w:szCs w:val="21"/>
          <w:highlight w:val="none"/>
        </w:rPr>
        <w:t>注：另册。</w:t>
      </w: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pStyle w:val="36"/>
        <w:spacing w:line="360" w:lineRule="auto"/>
        <w:ind w:firstLine="0"/>
        <w:rPr>
          <w:rFonts w:ascii="宋体" w:hAnsi="宋体" w:eastAsia="宋体" w:cs="宋体"/>
          <w:color w:val="auto"/>
          <w:sz w:val="21"/>
          <w:szCs w:val="21"/>
          <w:highlight w:val="none"/>
        </w:rPr>
      </w:pPr>
    </w:p>
    <w:p>
      <w:pPr>
        <w:rPr>
          <w:rFonts w:ascii="宋体" w:hAnsi="宋体" w:cs="宋体"/>
          <w:color w:val="auto"/>
          <w:szCs w:val="21"/>
          <w:highlight w:val="none"/>
        </w:rPr>
      </w:pPr>
      <w:r>
        <w:rPr>
          <w:rFonts w:ascii="宋体" w:hAnsi="宋体" w:cs="宋体"/>
          <w:color w:val="auto"/>
          <w:szCs w:val="21"/>
          <w:highlight w:val="none"/>
        </w:rPr>
        <w:br w:type="page"/>
      </w:r>
    </w:p>
    <w:p>
      <w:pPr>
        <w:pStyle w:val="3"/>
        <w:spacing w:line="400" w:lineRule="exact"/>
        <w:jc w:val="center"/>
        <w:rPr>
          <w:rFonts w:ascii="宋体" w:hAnsi="宋体" w:cs="宋体"/>
          <w:b/>
          <w:bCs/>
          <w:color w:val="auto"/>
          <w:sz w:val="21"/>
          <w:szCs w:val="21"/>
          <w:highlight w:val="none"/>
        </w:rPr>
      </w:pPr>
      <w:bookmarkStart w:id="40" w:name="_Toc27420"/>
      <w:r>
        <w:rPr>
          <w:rFonts w:hint="eastAsia" w:ascii="宋体" w:hAnsi="宋体" w:cs="宋体"/>
          <w:b/>
          <w:bCs/>
          <w:color w:val="auto"/>
          <w:sz w:val="21"/>
          <w:szCs w:val="21"/>
          <w:highlight w:val="none"/>
        </w:rPr>
        <w:t>第四章  投标文件格式</w:t>
      </w:r>
      <w:bookmarkEnd w:id="40"/>
    </w:p>
    <w:p>
      <w:pPr>
        <w:rPr>
          <w:rFonts w:hint="eastAsia" w:ascii="宋体" w:cs="宋体"/>
          <w:b/>
          <w:bCs/>
          <w:color w:val="auto"/>
          <w:sz w:val="22"/>
          <w:highlight w:val="none"/>
        </w:rPr>
      </w:pPr>
      <w:bookmarkStart w:id="41" w:name="_Toc358370576"/>
      <w:bookmarkStart w:id="42" w:name="_Toc395261097"/>
      <w:bookmarkStart w:id="43" w:name="_Toc19235"/>
      <w:bookmarkStart w:id="44" w:name="_Toc369536768"/>
      <w:bookmarkStart w:id="45" w:name="_Toc478044835"/>
    </w:p>
    <w:bookmarkEnd w:id="41"/>
    <w:bookmarkEnd w:id="42"/>
    <w:bookmarkEnd w:id="43"/>
    <w:bookmarkEnd w:id="44"/>
    <w:bookmarkEnd w:id="45"/>
    <w:p>
      <w:pPr>
        <w:rPr>
          <w:rFonts w:hint="eastAsia" w:ascii="宋体" w:cs="宋体"/>
          <w:b/>
          <w:bCs/>
          <w:color w:val="auto"/>
          <w:sz w:val="22"/>
          <w:highlight w:val="none"/>
        </w:rPr>
      </w:pPr>
      <w:bookmarkStart w:id="46" w:name="_Toc239216051"/>
      <w:bookmarkStart w:id="47" w:name="_Toc318924516"/>
      <w:bookmarkStart w:id="48" w:name="_Toc358370595"/>
      <w:bookmarkStart w:id="49" w:name="_Toc337720110"/>
      <w:bookmarkStart w:id="50" w:name="_Toc395261115"/>
      <w:bookmarkStart w:id="51" w:name="_Toc239311766"/>
      <w:bookmarkStart w:id="52" w:name="_Toc226209024"/>
      <w:bookmarkStart w:id="53" w:name="_Toc163337642"/>
      <w:bookmarkStart w:id="54" w:name="_Toc352623440"/>
      <w:bookmarkStart w:id="55" w:name="_Toc369536787"/>
      <w:bookmarkStart w:id="56" w:name="_Toc352240542"/>
      <w:bookmarkStart w:id="57" w:name="_Toc6612"/>
      <w:bookmarkStart w:id="58" w:name="_Toc478044857"/>
    </w:p>
    <w:p>
      <w:pPr>
        <w:rPr>
          <w:rFonts w:ascii="宋体" w:cs="宋体"/>
          <w:b/>
          <w:bCs/>
          <w:color w:val="auto"/>
          <w:sz w:val="22"/>
          <w:highlight w:val="none"/>
        </w:rPr>
      </w:pPr>
      <w:r>
        <w:rPr>
          <w:rFonts w:hint="eastAsia" w:ascii="宋体" w:cs="宋体"/>
          <w:b/>
          <w:bCs/>
          <w:color w:val="auto"/>
          <w:sz w:val="22"/>
          <w:highlight w:val="none"/>
        </w:rPr>
        <w:t>第一部分、技术投标文件（含资格审查文件）</w:t>
      </w:r>
    </w:p>
    <w:p>
      <w:pPr>
        <w:pStyle w:val="124"/>
        <w:spacing w:beforeLines="0" w:after="120" w:line="400" w:lineRule="exact"/>
        <w:jc w:val="center"/>
        <w:rPr>
          <w:rFonts w:ascii="宋体" w:eastAsia="宋体" w:cs="宋体"/>
          <w:b w:val="0"/>
          <w:color w:val="auto"/>
          <w:sz w:val="21"/>
          <w:szCs w:val="21"/>
          <w:highlight w:val="none"/>
        </w:rPr>
      </w:pPr>
      <w:r>
        <w:rPr>
          <w:rFonts w:hint="eastAsia" w:ascii="宋体" w:eastAsia="宋体" w:cs="宋体"/>
          <w:b w:val="0"/>
          <w:color w:val="auto"/>
          <w:sz w:val="21"/>
          <w:szCs w:val="21"/>
          <w:highlight w:val="none"/>
        </w:rPr>
        <w:t>技术标封面</w:t>
      </w:r>
    </w:p>
    <w:p>
      <w:pPr>
        <w:pStyle w:val="118"/>
        <w:spacing w:line="400" w:lineRule="exact"/>
        <w:ind w:firstLine="498"/>
        <w:rPr>
          <w:rFonts w:ascii="宋体" w:hAnsi="宋体" w:eastAsia="宋体" w:cs="宋体"/>
          <w:b w:val="0"/>
          <w:color w:val="auto"/>
          <w:sz w:val="21"/>
          <w:szCs w:val="21"/>
          <w:highlight w:val="none"/>
          <w:u w:val="single"/>
        </w:rPr>
      </w:pPr>
    </w:p>
    <w:p>
      <w:pPr>
        <w:pStyle w:val="118"/>
        <w:spacing w:line="400" w:lineRule="exact"/>
        <w:ind w:firstLine="498"/>
        <w:rPr>
          <w:rFonts w:ascii="宋体" w:hAnsi="宋体" w:eastAsia="宋体" w:cs="宋体"/>
          <w:b w:val="0"/>
          <w:color w:val="auto"/>
          <w:sz w:val="21"/>
          <w:szCs w:val="21"/>
          <w:highlight w:val="none"/>
          <w:u w:val="single"/>
        </w:rPr>
      </w:pPr>
    </w:p>
    <w:p>
      <w:pPr>
        <w:pStyle w:val="118"/>
        <w:spacing w:line="400" w:lineRule="exact"/>
        <w:ind w:firstLine="498"/>
        <w:rPr>
          <w:rFonts w:ascii="宋体" w:hAnsi="宋体" w:eastAsia="宋体" w:cs="宋体"/>
          <w:b w:val="0"/>
          <w:color w:val="auto"/>
          <w:sz w:val="21"/>
          <w:szCs w:val="21"/>
          <w:highlight w:val="none"/>
          <w:u w:val="single"/>
        </w:rPr>
      </w:pPr>
    </w:p>
    <w:p>
      <w:pPr>
        <w:pStyle w:val="118"/>
        <w:spacing w:line="400" w:lineRule="exact"/>
        <w:jc w:val="both"/>
        <w:rPr>
          <w:rFonts w:ascii="宋体" w:hAnsi="宋体" w:eastAsia="宋体" w:cs="宋体"/>
          <w:b w:val="0"/>
          <w:color w:val="auto"/>
          <w:sz w:val="21"/>
          <w:szCs w:val="21"/>
          <w:highlight w:val="none"/>
          <w:u w:val="single"/>
        </w:rPr>
      </w:pPr>
    </w:p>
    <w:p>
      <w:pPr>
        <w:pStyle w:val="118"/>
        <w:spacing w:line="480" w:lineRule="exact"/>
        <w:ind w:firstLine="499"/>
        <w:rPr>
          <w:rFonts w:ascii="宋体" w:hAnsi="宋体" w:eastAsia="宋体" w:cs="宋体"/>
          <w:b w:val="0"/>
          <w:color w:val="auto"/>
          <w:sz w:val="21"/>
          <w:szCs w:val="21"/>
          <w:highlight w:val="none"/>
          <w:u w:val="single"/>
        </w:rPr>
      </w:pPr>
      <w:r>
        <w:rPr>
          <w:rFonts w:hint="eastAsia" w:ascii="宋体" w:hAnsi="宋体" w:eastAsia="宋体" w:cs="宋体"/>
          <w:b w:val="0"/>
          <w:color w:val="auto"/>
          <w:sz w:val="21"/>
          <w:szCs w:val="21"/>
          <w:highlight w:val="none"/>
          <w:u w:val="single"/>
        </w:rPr>
        <w:t xml:space="preserve">[工程名称] </w:t>
      </w:r>
    </w:p>
    <w:p>
      <w:pPr>
        <w:pStyle w:val="82"/>
        <w:spacing w:line="400" w:lineRule="exact"/>
        <w:ind w:firstLine="436"/>
        <w:rPr>
          <w:rFonts w:ascii="宋体" w:hAnsi="宋体" w:cs="宋体"/>
          <w:color w:val="auto"/>
          <w:sz w:val="21"/>
          <w:szCs w:val="21"/>
          <w:highlight w:val="none"/>
        </w:rPr>
      </w:pPr>
    </w:p>
    <w:p>
      <w:pPr>
        <w:pStyle w:val="139"/>
        <w:spacing w:line="400" w:lineRule="exact"/>
        <w:rPr>
          <w:rFonts w:ascii="宋体" w:hAnsi="宋体" w:eastAsia="宋体" w:cs="宋体"/>
          <w:b w:val="0"/>
          <w:color w:val="auto"/>
          <w:sz w:val="21"/>
          <w:szCs w:val="21"/>
          <w:highlight w:val="none"/>
        </w:rPr>
      </w:pPr>
    </w:p>
    <w:p>
      <w:pPr>
        <w:pStyle w:val="82"/>
        <w:ind w:firstLine="438"/>
        <w:rPr>
          <w:rFonts w:ascii="宋体" w:hAnsi="宋体" w:cs="宋体"/>
          <w:b/>
          <w:color w:val="auto"/>
          <w:sz w:val="21"/>
          <w:szCs w:val="21"/>
          <w:highlight w:val="none"/>
        </w:rPr>
      </w:pPr>
    </w:p>
    <w:p>
      <w:pPr>
        <w:pStyle w:val="82"/>
        <w:ind w:firstLine="438"/>
        <w:rPr>
          <w:rFonts w:ascii="宋体" w:hAnsi="宋体" w:cs="宋体"/>
          <w:b/>
          <w:color w:val="auto"/>
          <w:sz w:val="21"/>
          <w:szCs w:val="21"/>
          <w:highlight w:val="none"/>
        </w:rPr>
      </w:pPr>
    </w:p>
    <w:p>
      <w:pPr>
        <w:pStyle w:val="139"/>
        <w:spacing w:line="400" w:lineRule="exact"/>
        <w:rPr>
          <w:rFonts w:ascii="宋体" w:hAnsi="宋体" w:eastAsia="宋体" w:cs="宋体"/>
          <w:b w:val="0"/>
          <w:color w:val="auto"/>
          <w:sz w:val="21"/>
          <w:szCs w:val="21"/>
          <w:highlight w:val="none"/>
        </w:rPr>
      </w:pPr>
    </w:p>
    <w:p>
      <w:pPr>
        <w:pStyle w:val="139"/>
        <w:spacing w:line="400" w:lineRule="exact"/>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w:t>
      </w:r>
    </w:p>
    <w:p>
      <w:pPr>
        <w:pStyle w:val="118"/>
        <w:spacing w:line="400" w:lineRule="exact"/>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第一部分  【技术标投标文件（含资格审查文件）】</w:t>
      </w:r>
    </w:p>
    <w:p>
      <w:pPr>
        <w:pStyle w:val="82"/>
        <w:spacing w:line="400" w:lineRule="exact"/>
        <w:ind w:firstLine="0" w:firstLineChars="0"/>
        <w:rPr>
          <w:rFonts w:ascii="宋体" w:hAnsi="宋体" w:cs="宋体"/>
          <w:color w:val="auto"/>
          <w:sz w:val="21"/>
          <w:szCs w:val="21"/>
          <w:highlight w:val="none"/>
        </w:rPr>
      </w:pPr>
    </w:p>
    <w:p>
      <w:pPr>
        <w:pStyle w:val="82"/>
        <w:spacing w:line="400" w:lineRule="exact"/>
        <w:ind w:firstLine="0" w:firstLineChars="0"/>
        <w:rPr>
          <w:rFonts w:ascii="宋体" w:hAnsi="宋体" w:cs="宋体"/>
          <w:color w:val="auto"/>
          <w:sz w:val="21"/>
          <w:szCs w:val="21"/>
          <w:highlight w:val="none"/>
        </w:rPr>
      </w:pPr>
    </w:p>
    <w:p>
      <w:pPr>
        <w:pStyle w:val="82"/>
        <w:spacing w:line="400" w:lineRule="exact"/>
        <w:ind w:firstLine="0" w:firstLineChars="0"/>
        <w:rPr>
          <w:rFonts w:ascii="宋体" w:hAnsi="宋体" w:cs="宋体"/>
          <w:color w:val="auto"/>
          <w:sz w:val="21"/>
          <w:szCs w:val="21"/>
          <w:highlight w:val="none"/>
        </w:rPr>
      </w:pPr>
    </w:p>
    <w:p>
      <w:pPr>
        <w:pStyle w:val="82"/>
        <w:spacing w:line="400" w:lineRule="exact"/>
        <w:ind w:firstLine="0" w:firstLineChars="0"/>
        <w:rPr>
          <w:rFonts w:ascii="宋体" w:hAnsi="宋体" w:cs="宋体"/>
          <w:color w:val="auto"/>
          <w:sz w:val="21"/>
          <w:szCs w:val="21"/>
          <w:highlight w:val="none"/>
        </w:rPr>
      </w:pPr>
    </w:p>
    <w:p>
      <w:pPr>
        <w:pStyle w:val="82"/>
        <w:spacing w:line="400" w:lineRule="exact"/>
        <w:ind w:firstLine="0" w:firstLineChars="0"/>
        <w:rPr>
          <w:rFonts w:ascii="宋体" w:hAnsi="宋体" w:cs="宋体"/>
          <w:color w:val="auto"/>
          <w:sz w:val="21"/>
          <w:szCs w:val="21"/>
          <w:highlight w:val="none"/>
        </w:rPr>
      </w:pPr>
    </w:p>
    <w:p>
      <w:pPr>
        <w:pStyle w:val="82"/>
        <w:spacing w:line="400" w:lineRule="exact"/>
        <w:ind w:firstLine="0" w:firstLineChars="0"/>
        <w:rPr>
          <w:rFonts w:ascii="宋体" w:hAnsi="宋体" w:cs="宋体"/>
          <w:color w:val="auto"/>
          <w:sz w:val="21"/>
          <w:szCs w:val="21"/>
          <w:highlight w:val="none"/>
        </w:rPr>
      </w:pPr>
    </w:p>
    <w:p>
      <w:pPr>
        <w:pStyle w:val="82"/>
        <w:spacing w:line="400" w:lineRule="exact"/>
        <w:ind w:firstLine="0" w:firstLineChars="0"/>
        <w:rPr>
          <w:rFonts w:ascii="宋体" w:hAnsi="宋体" w:cs="宋体"/>
          <w:color w:val="auto"/>
          <w:sz w:val="21"/>
          <w:szCs w:val="21"/>
          <w:highlight w:val="none"/>
        </w:rPr>
      </w:pPr>
    </w:p>
    <w:p>
      <w:pPr>
        <w:pStyle w:val="82"/>
        <w:spacing w:line="400" w:lineRule="exact"/>
        <w:ind w:firstLine="0" w:firstLineChars="0"/>
        <w:rPr>
          <w:rFonts w:ascii="宋体" w:hAnsi="宋体" w:cs="宋体"/>
          <w:color w:val="auto"/>
          <w:sz w:val="21"/>
          <w:szCs w:val="21"/>
          <w:highlight w:val="none"/>
        </w:rPr>
      </w:pPr>
    </w:p>
    <w:p>
      <w:pPr>
        <w:pStyle w:val="82"/>
        <w:spacing w:line="400" w:lineRule="exact"/>
        <w:ind w:firstLine="0" w:firstLineChars="0"/>
        <w:rPr>
          <w:rFonts w:ascii="宋体" w:hAnsi="宋体" w:cs="宋体"/>
          <w:color w:val="auto"/>
          <w:sz w:val="21"/>
          <w:szCs w:val="21"/>
          <w:highlight w:val="none"/>
        </w:rPr>
      </w:pPr>
    </w:p>
    <w:p>
      <w:pPr>
        <w:pStyle w:val="82"/>
        <w:spacing w:line="400" w:lineRule="exact"/>
        <w:ind w:firstLine="0" w:firstLineChars="0"/>
        <w:rPr>
          <w:rFonts w:ascii="宋体" w:hAnsi="宋体" w:cs="宋体"/>
          <w:color w:val="auto"/>
          <w:sz w:val="21"/>
          <w:szCs w:val="21"/>
          <w:highlight w:val="none"/>
        </w:rPr>
      </w:pPr>
    </w:p>
    <w:p>
      <w:pPr>
        <w:pStyle w:val="82"/>
        <w:spacing w:line="400" w:lineRule="exact"/>
        <w:ind w:firstLine="0" w:firstLineChars="0"/>
        <w:rPr>
          <w:rFonts w:ascii="宋体" w:hAnsi="宋体" w:cs="宋体"/>
          <w:color w:val="auto"/>
          <w:sz w:val="21"/>
          <w:szCs w:val="21"/>
          <w:highlight w:val="none"/>
        </w:rPr>
      </w:pPr>
    </w:p>
    <w:p>
      <w:pPr>
        <w:pStyle w:val="82"/>
        <w:spacing w:line="400" w:lineRule="exact"/>
        <w:ind w:firstLine="436"/>
        <w:rPr>
          <w:rFonts w:ascii="宋体" w:hAnsi="宋体" w:cs="宋体"/>
          <w:color w:val="auto"/>
          <w:sz w:val="21"/>
          <w:szCs w:val="21"/>
          <w:highlight w:val="none"/>
        </w:rPr>
      </w:pPr>
    </w:p>
    <w:p>
      <w:pPr>
        <w:pStyle w:val="120"/>
        <w:spacing w:line="400" w:lineRule="exact"/>
        <w:ind w:firstLine="43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p>
    <w:p>
      <w:pPr>
        <w:pStyle w:val="120"/>
        <w:spacing w:line="400" w:lineRule="exact"/>
        <w:ind w:firstLine="43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pPr>
        <w:pStyle w:val="124"/>
        <w:spacing w:beforeLines="0" w:after="120" w:line="400" w:lineRule="exact"/>
        <w:outlineLvl w:val="9"/>
        <w:rPr>
          <w:rFonts w:ascii="宋体" w:eastAsia="宋体" w:cs="宋体"/>
          <w:b w:val="0"/>
          <w:color w:val="auto"/>
          <w:sz w:val="21"/>
          <w:szCs w:val="21"/>
          <w:highlight w:val="none"/>
        </w:rPr>
      </w:pPr>
    </w:p>
    <w:p>
      <w:pPr>
        <w:rPr>
          <w:rFonts w:ascii="宋体" w:hAnsi="宋体"/>
          <w:color w:val="auto"/>
          <w:szCs w:val="21"/>
          <w:highlight w:val="none"/>
        </w:rPr>
      </w:pPr>
      <w:r>
        <w:rPr>
          <w:rFonts w:ascii="宋体" w:hAnsi="宋体"/>
          <w:color w:val="auto"/>
          <w:szCs w:val="21"/>
          <w:highlight w:val="none"/>
        </w:rPr>
        <w:br w:type="page"/>
      </w:r>
    </w:p>
    <w:p>
      <w:pPr>
        <w:autoSpaceDE w:val="0"/>
        <w:autoSpaceDN w:val="0"/>
        <w:adjustRightInd w:val="0"/>
        <w:rPr>
          <w:rFonts w:ascii="宋体" w:hAnsi="宋体"/>
          <w:bCs/>
          <w:color w:val="auto"/>
          <w:szCs w:val="21"/>
          <w:highlight w:val="none"/>
        </w:rPr>
      </w:pPr>
      <w:r>
        <w:rPr>
          <w:rFonts w:hint="eastAsia" w:ascii="宋体" w:hAnsi="宋体"/>
          <w:bCs/>
          <w:color w:val="auto"/>
          <w:szCs w:val="21"/>
          <w:highlight w:val="none"/>
        </w:rPr>
        <w:t>附件一</w:t>
      </w:r>
    </w:p>
    <w:p>
      <w:pPr>
        <w:autoSpaceDE w:val="0"/>
        <w:autoSpaceDN w:val="0"/>
        <w:adjustRightInd w:val="0"/>
        <w:rPr>
          <w:rFonts w:ascii="宋体" w:hAnsi="宋体" w:cs="宋体"/>
          <w:b/>
          <w:bCs/>
          <w:color w:val="auto"/>
          <w:szCs w:val="21"/>
          <w:highlight w:val="none"/>
          <w:lang w:val="zh-CN"/>
        </w:rPr>
      </w:pPr>
      <w:r>
        <w:rPr>
          <w:rFonts w:hint="eastAsia" w:ascii="宋体" w:hAnsi="宋体"/>
          <w:bCs/>
          <w:color w:val="auto"/>
          <w:szCs w:val="21"/>
          <w:highlight w:val="none"/>
        </w:rPr>
        <w:t>（适用于技术标与经济标同时开启）</w:t>
      </w:r>
    </w:p>
    <w:p>
      <w:pPr>
        <w:autoSpaceDE w:val="0"/>
        <w:autoSpaceDN w:val="0"/>
        <w:adjustRightInd w:val="0"/>
        <w:ind w:left="-540" w:leftChars="-257" w:firstLine="542" w:firstLineChars="257"/>
        <w:jc w:val="center"/>
        <w:rPr>
          <w:rFonts w:ascii="宋体" w:hAnsi="宋体" w:cs="宋体"/>
          <w:b/>
          <w:bCs/>
          <w:color w:val="auto"/>
          <w:szCs w:val="21"/>
          <w:highlight w:val="none"/>
          <w:lang w:val="zh-CN"/>
        </w:rPr>
      </w:pPr>
      <w:bookmarkStart w:id="63" w:name="_GoBack"/>
      <w:bookmarkEnd w:id="63"/>
    </w:p>
    <w:p>
      <w:pPr>
        <w:autoSpaceDE w:val="0"/>
        <w:autoSpaceDN w:val="0"/>
        <w:adjustRightInd w:val="0"/>
        <w:ind w:left="-540" w:leftChars="-257" w:firstLine="542" w:firstLineChars="257"/>
        <w:jc w:val="center"/>
        <w:rPr>
          <w:rFonts w:ascii="宋体" w:hAnsi="宋体"/>
          <w:b/>
          <w:bCs/>
          <w:color w:val="auto"/>
          <w:szCs w:val="21"/>
          <w:highlight w:val="none"/>
        </w:rPr>
      </w:pPr>
      <w:r>
        <w:rPr>
          <w:rFonts w:hint="eastAsia" w:ascii="宋体" w:hAnsi="宋体" w:cs="宋体"/>
          <w:b/>
          <w:bCs/>
          <w:color w:val="auto"/>
          <w:szCs w:val="21"/>
          <w:highlight w:val="none"/>
          <w:lang w:val="zh-CN"/>
        </w:rPr>
        <w:t>广州建设工程施工招标投标书</w:t>
      </w:r>
    </w:p>
    <w:tbl>
      <w:tblPr>
        <w:tblStyle w:val="3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Cs w:val="21"/>
                <w:highlight w:val="none"/>
                <w:lang w:val="zh-CN"/>
              </w:rPr>
            </w:pPr>
            <w:r>
              <w:rPr>
                <w:rFonts w:hint="eastAsia" w:ascii="宋体" w:hAnsi="宋体" w:cs="宋体"/>
                <w:b/>
                <w:color w:val="auto"/>
                <w:szCs w:val="21"/>
                <w:highlight w:val="none"/>
                <w:lang w:val="zh-CN"/>
              </w:rPr>
              <w:t>工程名称</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法定代表人证明书及授权委托书</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投标总报价</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人工费</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绿色施工安全防护措施费</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工期</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质量标准</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bl>
    <w:p>
      <w:pPr>
        <w:tabs>
          <w:tab w:val="left" w:pos="720"/>
        </w:tabs>
        <w:snapToGrid w:val="0"/>
        <w:spacing w:line="360" w:lineRule="auto"/>
        <w:jc w:val="center"/>
        <w:rPr>
          <w:rFonts w:ascii="宋体" w:hAnsi="宋体"/>
          <w:b/>
          <w:color w:val="auto"/>
          <w:szCs w:val="21"/>
          <w:highlight w:val="none"/>
        </w:rPr>
      </w:pPr>
    </w:p>
    <w:p>
      <w:pPr>
        <w:pStyle w:val="19"/>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autoSpaceDE w:val="0"/>
        <w:autoSpaceDN w:val="0"/>
        <w:adjustRightInd w:val="0"/>
        <w:rPr>
          <w:rFonts w:ascii="宋体" w:hAnsi="宋体"/>
          <w:color w:val="auto"/>
          <w:szCs w:val="21"/>
          <w:highlight w:val="none"/>
        </w:rPr>
      </w:pPr>
      <w:r>
        <w:rPr>
          <w:rFonts w:hint="eastAsia" w:ascii="宋体" w:hAnsi="宋体"/>
          <w:color w:val="auto"/>
          <w:szCs w:val="21"/>
          <w:highlight w:val="none"/>
        </w:rPr>
        <w:t>附件二</w:t>
      </w:r>
    </w:p>
    <w:p>
      <w:pPr>
        <w:tabs>
          <w:tab w:val="left" w:pos="720"/>
        </w:tabs>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投标文件编制人员名单</w:t>
      </w:r>
    </w:p>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一、参与编制技术标投标文件人员名单</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pStyle w:val="82"/>
        <w:ind w:firstLine="0" w:firstLineChars="0"/>
        <w:rPr>
          <w:rFonts w:ascii="宋体" w:hAnsi="宋体" w:cs="宋体"/>
          <w:color w:val="auto"/>
          <w:sz w:val="21"/>
          <w:szCs w:val="21"/>
          <w:highlight w:val="none"/>
        </w:rPr>
      </w:pPr>
    </w:p>
    <w:p>
      <w:pPr>
        <w:tabs>
          <w:tab w:val="left" w:pos="720"/>
        </w:tabs>
        <w:snapToGrid w:val="0"/>
        <w:spacing w:line="360" w:lineRule="auto"/>
        <w:rPr>
          <w:rFonts w:ascii="宋体" w:hAnsi="宋体"/>
          <w:color w:val="auto"/>
          <w:szCs w:val="21"/>
          <w:highlight w:val="none"/>
        </w:rPr>
      </w:pPr>
    </w:p>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二、参与编制经济标投标文件人员名单</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rFonts w:ascii="宋体" w:hAnsi="宋体"/>
          <w:color w:val="auto"/>
          <w:szCs w:val="21"/>
          <w:highlight w:val="none"/>
        </w:rPr>
      </w:pPr>
    </w:p>
    <w:p>
      <w:pPr>
        <w:pStyle w:val="36"/>
        <w:spacing w:after="0" w:line="360" w:lineRule="auto"/>
        <w:ind w:left="-2" w:leftChars="-1" w:firstLine="367" w:firstLineChars="175"/>
        <w:jc w:val="left"/>
        <w:rPr>
          <w:rFonts w:ascii="宋体" w:hAnsi="宋体" w:eastAsia="宋体"/>
          <w:color w:val="auto"/>
          <w:sz w:val="21"/>
          <w:szCs w:val="21"/>
          <w:highlight w:val="none"/>
        </w:rPr>
      </w:pPr>
      <w:r>
        <w:rPr>
          <w:rFonts w:hint="eastAsia" w:ascii="宋体" w:hAnsi="宋体" w:eastAsia="宋体"/>
          <w:color w:val="auto"/>
          <w:sz w:val="21"/>
          <w:szCs w:val="21"/>
          <w:highlight w:val="none"/>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spacing w:line="400" w:lineRule="exact"/>
        <w:rPr>
          <w:rFonts w:ascii="宋体" w:hAnsi="宋体" w:cs="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br w:type="page"/>
      </w:r>
    </w:p>
    <w:p>
      <w:pPr>
        <w:autoSpaceDE w:val="0"/>
        <w:autoSpaceDN w:val="0"/>
        <w:adjustRightInd w:val="0"/>
        <w:spacing w:line="400" w:lineRule="exact"/>
        <w:rPr>
          <w:rFonts w:ascii="宋体" w:hAnsi="宋体"/>
          <w:color w:val="auto"/>
          <w:szCs w:val="21"/>
          <w:highlight w:val="none"/>
        </w:rPr>
      </w:pPr>
      <w:r>
        <w:rPr>
          <w:rFonts w:hint="eastAsia" w:ascii="宋体" w:hAnsi="宋体"/>
          <w:color w:val="auto"/>
          <w:szCs w:val="21"/>
          <w:highlight w:val="none"/>
        </w:rPr>
        <w:t>附件三</w:t>
      </w:r>
    </w:p>
    <w:p>
      <w:pPr>
        <w:pStyle w:val="36"/>
        <w:spacing w:after="0" w:line="360" w:lineRule="auto"/>
        <w:ind w:firstLine="0"/>
        <w:jc w:val="center"/>
        <w:rPr>
          <w:rFonts w:ascii="宋体" w:hAnsi="宋体" w:eastAsia="宋体"/>
          <w:color w:val="auto"/>
          <w:sz w:val="21"/>
          <w:szCs w:val="21"/>
          <w:highlight w:val="none"/>
        </w:rPr>
      </w:pPr>
      <w:r>
        <w:rPr>
          <w:rFonts w:hint="eastAsia" w:ascii="宋体" w:hAnsi="宋体" w:eastAsia="宋体"/>
          <w:b/>
          <w:color w:val="auto"/>
          <w:sz w:val="21"/>
          <w:szCs w:val="21"/>
          <w:highlight w:val="none"/>
        </w:rPr>
        <w:t>对投标文件编制的承诺</w:t>
      </w:r>
    </w:p>
    <w:p>
      <w:pPr>
        <w:pStyle w:val="36"/>
        <w:spacing w:after="0" w:line="360" w:lineRule="auto"/>
        <w:ind w:left="-2" w:leftChars="-1" w:firstLine="472" w:firstLineChars="225"/>
        <w:rPr>
          <w:rFonts w:ascii="宋体" w:hAnsi="宋体" w:eastAsia="宋体"/>
          <w:color w:val="auto"/>
          <w:sz w:val="21"/>
          <w:szCs w:val="21"/>
          <w:highlight w:val="none"/>
        </w:rPr>
      </w:pPr>
      <w:r>
        <w:rPr>
          <w:rFonts w:hint="eastAsia" w:ascii="宋体" w:hAnsi="宋体" w:eastAsia="宋体"/>
          <w:color w:val="auto"/>
          <w:sz w:val="21"/>
          <w:szCs w:val="21"/>
          <w:highlight w:val="none"/>
        </w:rPr>
        <w:t>本公司授权</w:t>
      </w:r>
      <w:r>
        <w:rPr>
          <w:rFonts w:hint="eastAsia" w:ascii="宋体" w:hAnsi="宋体" w:eastAsia="宋体"/>
          <w:color w:val="auto"/>
          <w:sz w:val="21"/>
          <w:szCs w:val="21"/>
          <w:highlight w:val="none"/>
          <w:u w:val="single"/>
        </w:rPr>
        <w:t xml:space="preserve">         （身份证号：               ）</w:t>
      </w:r>
      <w:r>
        <w:rPr>
          <w:rFonts w:hint="eastAsia" w:ascii="宋体" w:hAnsi="宋体" w:eastAsia="宋体"/>
          <w:color w:val="auto"/>
          <w:sz w:val="21"/>
          <w:szCs w:val="21"/>
          <w:highlight w:val="none"/>
        </w:rPr>
        <w:t>负责对投标文件的编制及内容进行解释、说明，并承诺以下事项：</w:t>
      </w:r>
    </w:p>
    <w:p>
      <w:pPr>
        <w:pStyle w:val="36"/>
        <w:spacing w:after="0" w:line="360" w:lineRule="auto"/>
        <w:ind w:left="-2" w:leftChars="-1" w:firstLine="472" w:firstLineChars="225"/>
        <w:rPr>
          <w:rFonts w:ascii="宋体" w:hAnsi="宋体" w:eastAsia="宋体"/>
          <w:color w:val="auto"/>
          <w:sz w:val="21"/>
          <w:szCs w:val="21"/>
          <w:highlight w:val="none"/>
        </w:rPr>
      </w:pPr>
      <w:r>
        <w:rPr>
          <w:rFonts w:hint="eastAsia" w:ascii="宋体" w:hAnsi="宋体" w:eastAsia="宋体"/>
          <w:color w:val="auto"/>
          <w:sz w:val="21"/>
          <w:szCs w:val="21"/>
          <w:highlight w:val="none"/>
        </w:rPr>
        <w:t>1.被授权人清楚投标文件编制的具体情况，包括技术方案文件、工程量清单、以及投标文件的加密打包的理解；</w:t>
      </w:r>
    </w:p>
    <w:p>
      <w:pPr>
        <w:pStyle w:val="36"/>
        <w:spacing w:after="0" w:line="360" w:lineRule="auto"/>
        <w:ind w:left="-2" w:leftChars="-1" w:firstLine="472" w:firstLineChars="225"/>
        <w:rPr>
          <w:rFonts w:ascii="宋体" w:hAnsi="宋体" w:eastAsia="宋体"/>
          <w:color w:val="auto"/>
          <w:sz w:val="21"/>
          <w:szCs w:val="21"/>
          <w:highlight w:val="none"/>
        </w:rPr>
      </w:pPr>
      <w:r>
        <w:rPr>
          <w:rFonts w:hint="eastAsia" w:ascii="宋体" w:hAnsi="宋体" w:eastAsia="宋体"/>
          <w:color w:val="auto"/>
          <w:sz w:val="21"/>
          <w:szCs w:val="21"/>
          <w:highlight w:val="none"/>
        </w:rPr>
        <w:t>2.在本项目开标至评标结束前，努力确保被授权人在项目评标所在地附近；</w:t>
      </w:r>
    </w:p>
    <w:p>
      <w:pPr>
        <w:pStyle w:val="36"/>
        <w:spacing w:after="0" w:line="360" w:lineRule="auto"/>
        <w:ind w:left="-2" w:leftChars="-1" w:firstLine="472" w:firstLineChars="225"/>
        <w:rPr>
          <w:rFonts w:ascii="宋体" w:hAnsi="宋体" w:eastAsia="宋体"/>
          <w:color w:val="auto"/>
          <w:sz w:val="21"/>
          <w:szCs w:val="21"/>
          <w:highlight w:val="none"/>
        </w:rPr>
      </w:pPr>
      <w:r>
        <w:rPr>
          <w:rFonts w:hint="eastAsia" w:ascii="宋体" w:hAnsi="宋体" w:eastAsia="宋体"/>
          <w:color w:val="auto"/>
          <w:sz w:val="21"/>
          <w:szCs w:val="21"/>
          <w:highlight w:val="none"/>
        </w:rPr>
        <w:t>3.从评标委员会要求澄清起二小时内，被授权人应如实地书面澄清。</w:t>
      </w:r>
    </w:p>
    <w:p>
      <w:pPr>
        <w:pStyle w:val="36"/>
        <w:spacing w:after="0" w:line="360" w:lineRule="auto"/>
        <w:ind w:left="-2" w:leftChars="-1" w:firstLine="472" w:firstLineChars="225"/>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如由于未遵守上述承诺内容之一导致无法进行澄清的，我公司认可和接受评标委员会作出的评审结论。                                 </w:t>
      </w:r>
    </w:p>
    <w:p>
      <w:pPr>
        <w:pStyle w:val="36"/>
        <w:spacing w:after="0" w:line="360" w:lineRule="auto"/>
        <w:ind w:firstLine="315" w:firstLineChars="150"/>
        <w:rPr>
          <w:rFonts w:ascii="宋体" w:hAnsi="宋体" w:eastAsia="宋体"/>
          <w:color w:val="auto"/>
          <w:sz w:val="21"/>
          <w:szCs w:val="21"/>
          <w:highlight w:val="none"/>
        </w:rPr>
      </w:pPr>
    </w:p>
    <w:p>
      <w:pPr>
        <w:pStyle w:val="36"/>
        <w:spacing w:after="0" w:line="360" w:lineRule="auto"/>
        <w:ind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附件：《投标文件编制情况》</w:t>
      </w:r>
    </w:p>
    <w:p>
      <w:pPr>
        <w:spacing w:line="360" w:lineRule="auto"/>
        <w:ind w:right="90" w:firstLine="2835" w:firstLineChars="1350"/>
        <w:rPr>
          <w:rFonts w:ascii="宋体" w:hAnsi="宋体"/>
          <w:color w:val="auto"/>
          <w:szCs w:val="21"/>
          <w:highlight w:val="none"/>
          <w:u w:val="single"/>
        </w:rPr>
      </w:pPr>
      <w:r>
        <w:rPr>
          <w:rFonts w:hint="eastAsia" w:ascii="宋体" w:hAnsi="宋体"/>
          <w:color w:val="auto"/>
          <w:szCs w:val="21"/>
          <w:highlight w:val="none"/>
        </w:rPr>
        <w:t xml:space="preserve"> 投标人名称（盖法人公章）：</w:t>
      </w:r>
    </w:p>
    <w:p>
      <w:pPr>
        <w:spacing w:line="360" w:lineRule="auto"/>
        <w:ind w:firstLine="1890" w:firstLineChars="900"/>
        <w:rPr>
          <w:rFonts w:ascii="宋体" w:hAnsi="宋体"/>
          <w:color w:val="auto"/>
          <w:szCs w:val="21"/>
          <w:highlight w:val="none"/>
          <w:u w:val="single"/>
        </w:rPr>
      </w:pPr>
      <w:r>
        <w:rPr>
          <w:rFonts w:hint="eastAsia" w:ascii="宋体" w:hAnsi="宋体"/>
          <w:color w:val="auto"/>
          <w:szCs w:val="21"/>
          <w:highlight w:val="none"/>
        </w:rPr>
        <w:t>法定代表人或被授权人（签字或盖章）：</w:t>
      </w:r>
    </w:p>
    <w:p>
      <w:pPr>
        <w:spacing w:line="360" w:lineRule="auto"/>
        <w:ind w:firstLine="3885" w:firstLineChars="1850"/>
        <w:jc w:val="center"/>
        <w:rPr>
          <w:rFonts w:ascii="宋体" w:hAnsi="宋体"/>
          <w:color w:val="auto"/>
          <w:szCs w:val="21"/>
          <w:highlight w:val="none"/>
        </w:rPr>
      </w:pPr>
      <w:r>
        <w:rPr>
          <w:rFonts w:hint="eastAsia" w:ascii="宋体" w:hAnsi="宋体"/>
          <w:color w:val="auto"/>
          <w:szCs w:val="21"/>
          <w:highlight w:val="none"/>
        </w:rPr>
        <w:t xml:space="preserve"> 日期：      年   月   日 </w:t>
      </w:r>
    </w:p>
    <w:p>
      <w:pPr>
        <w:pStyle w:val="36"/>
        <w:spacing w:after="0" w:line="360" w:lineRule="auto"/>
        <w:ind w:firstLine="0"/>
        <w:rPr>
          <w:rFonts w:ascii="宋体" w:hAnsi="宋体" w:eastAsia="宋体"/>
          <w:b/>
          <w:color w:val="auto"/>
          <w:sz w:val="21"/>
          <w:szCs w:val="21"/>
          <w:highlight w:val="none"/>
        </w:rPr>
      </w:pPr>
    </w:p>
    <w:p>
      <w:pPr>
        <w:pStyle w:val="36"/>
        <w:spacing w:after="0" w:line="360" w:lineRule="auto"/>
        <w:ind w:firstLine="422" w:firstLineChars="200"/>
        <w:jc w:val="center"/>
        <w:rPr>
          <w:rFonts w:ascii="宋体" w:hAnsi="宋体" w:eastAsia="宋体"/>
          <w:color w:val="auto"/>
          <w:sz w:val="21"/>
          <w:szCs w:val="21"/>
          <w:highlight w:val="none"/>
        </w:rPr>
      </w:pPr>
      <w:r>
        <w:rPr>
          <w:rFonts w:hint="eastAsia" w:ascii="宋体" w:hAnsi="宋体" w:eastAsia="宋体"/>
          <w:b/>
          <w:color w:val="auto"/>
          <w:sz w:val="21"/>
          <w:szCs w:val="21"/>
          <w:highlight w:val="none"/>
        </w:rPr>
        <w:t>投标文件编制情况</w:t>
      </w:r>
    </w:p>
    <w:p>
      <w:pPr>
        <w:pStyle w:val="36"/>
        <w:spacing w:after="0" w:line="360" w:lineRule="auto"/>
        <w:ind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1.投标文件报价编制方式: □自行编制的，编制的负责人：</w:t>
      </w:r>
      <w:r>
        <w:rPr>
          <w:rFonts w:hint="eastAsia" w:ascii="宋体" w:hAnsi="宋体" w:eastAsia="宋体"/>
          <w:color w:val="auto"/>
          <w:sz w:val="21"/>
          <w:szCs w:val="21"/>
          <w:highlight w:val="none"/>
          <w:u w:val="single"/>
        </w:rPr>
        <w:t xml:space="preserve"> （盖造价工程师执业专用章或全国建设工程造价员章，执业单位应与投标人一致） </w:t>
      </w:r>
      <w:r>
        <w:rPr>
          <w:rFonts w:hint="eastAsia" w:ascii="宋体" w:hAnsi="宋体" w:eastAsia="宋体"/>
          <w:color w:val="auto"/>
          <w:sz w:val="21"/>
          <w:szCs w:val="21"/>
          <w:highlight w:val="none"/>
        </w:rPr>
        <w:t>。□委托编制的，受委托单位，编制的负责人：</w:t>
      </w:r>
      <w:r>
        <w:rPr>
          <w:rFonts w:hint="eastAsia" w:ascii="宋体" w:hAnsi="宋体" w:eastAsia="宋体"/>
          <w:color w:val="auto"/>
          <w:sz w:val="21"/>
          <w:szCs w:val="21"/>
          <w:highlight w:val="none"/>
          <w:u w:val="single"/>
        </w:rPr>
        <w:t xml:space="preserve"> （盖造价工程师执业专用章或全国建设工程造价员章，执业单位应与受委托单位一致） </w:t>
      </w:r>
      <w:r>
        <w:rPr>
          <w:rFonts w:hint="eastAsia" w:ascii="宋体" w:hAnsi="宋体" w:eastAsia="宋体"/>
          <w:color w:val="auto"/>
          <w:sz w:val="21"/>
          <w:szCs w:val="21"/>
          <w:highlight w:val="none"/>
        </w:rPr>
        <w:t>。</w:t>
      </w:r>
    </w:p>
    <w:p>
      <w:pPr>
        <w:pStyle w:val="36"/>
        <w:spacing w:after="0" w:line="360" w:lineRule="auto"/>
        <w:ind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2.投标文件加密打包的电脑情况</w:t>
      </w:r>
    </w:p>
    <w:tbl>
      <w:tblPr>
        <w:tblStyle w:val="38"/>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tcPr>
          <w:p>
            <w:pPr>
              <w:pStyle w:val="36"/>
              <w:spacing w:after="0" w:line="36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投标文件加密打包的电脑     自有    □      外包    □     其他    □</w:t>
            </w:r>
          </w:p>
          <w:p>
            <w:pPr>
              <w:pStyle w:val="36"/>
              <w:spacing w:after="0" w:line="36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电脑类型</w:t>
            </w:r>
          </w:p>
          <w:p>
            <w:pPr>
              <w:pStyle w:val="36"/>
              <w:spacing w:after="0" w:line="36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电脑所属单位</w:t>
            </w:r>
          </w:p>
          <w:p>
            <w:pPr>
              <w:pStyle w:val="36"/>
              <w:spacing w:after="0" w:line="36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电脑所在地址        （如××市××区(县) ××街（路）××号××大厦××房）</w:t>
            </w:r>
          </w:p>
        </w:tc>
      </w:tr>
    </w:tbl>
    <w:p>
      <w:pPr>
        <w:tabs>
          <w:tab w:val="left" w:pos="720"/>
        </w:tabs>
        <w:snapToGrid w:val="0"/>
        <w:spacing w:line="360" w:lineRule="auto"/>
        <w:rPr>
          <w:rFonts w:ascii="宋体" w:hAnsi="宋体"/>
          <w:color w:val="auto"/>
          <w:szCs w:val="21"/>
          <w:highlight w:val="none"/>
        </w:rPr>
      </w:pPr>
    </w:p>
    <w:p>
      <w:pPr>
        <w:pStyle w:val="147"/>
        <w:rPr>
          <w:color w:val="auto"/>
          <w:highlight w:val="none"/>
        </w:rPr>
      </w:pPr>
    </w:p>
    <w:p>
      <w:pPr>
        <w:tabs>
          <w:tab w:val="left" w:pos="720"/>
        </w:tabs>
        <w:snapToGrid w:val="0"/>
        <w:spacing w:line="360" w:lineRule="auto"/>
        <w:rPr>
          <w:rFonts w:ascii="宋体" w:hAnsi="宋体"/>
          <w:color w:val="auto"/>
          <w:szCs w:val="21"/>
          <w:highlight w:val="none"/>
        </w:rPr>
      </w:pPr>
      <w:r>
        <w:rPr>
          <w:rFonts w:hint="eastAsia" w:ascii="宋体" w:hAnsi="宋体" w:cs="宋体"/>
          <w:color w:val="auto"/>
          <w:szCs w:val="21"/>
          <w:highlight w:val="none"/>
        </w:rPr>
        <w:br w:type="page"/>
      </w:r>
      <w:r>
        <w:rPr>
          <w:rFonts w:hint="eastAsia" w:ascii="宋体" w:hAnsi="宋体"/>
          <w:color w:val="auto"/>
          <w:szCs w:val="21"/>
          <w:highlight w:val="none"/>
        </w:rPr>
        <w:t>附件四</w:t>
      </w:r>
    </w:p>
    <w:p>
      <w:pPr>
        <w:autoSpaceDE w:val="0"/>
        <w:autoSpaceDN w:val="0"/>
        <w:adjustRightInd w:val="0"/>
        <w:jc w:val="center"/>
        <w:rPr>
          <w:b/>
          <w:color w:val="auto"/>
          <w:sz w:val="32"/>
          <w:szCs w:val="32"/>
          <w:highlight w:val="none"/>
        </w:rPr>
      </w:pPr>
      <w:r>
        <w:rPr>
          <w:rFonts w:hint="eastAsia"/>
          <w:b/>
          <w:color w:val="auto"/>
          <w:sz w:val="32"/>
          <w:szCs w:val="32"/>
          <w:highlight w:val="none"/>
        </w:rPr>
        <w:t>资格审查文件</w:t>
      </w:r>
    </w:p>
    <w:p>
      <w:pPr>
        <w:pStyle w:val="2"/>
        <w:rPr>
          <w:color w:val="auto"/>
          <w:sz w:val="21"/>
          <w:szCs w:val="21"/>
          <w:highlight w:val="none"/>
        </w:rPr>
      </w:pPr>
      <w:r>
        <w:rPr>
          <w:rFonts w:hint="eastAsia" w:ascii="宋体" w:hAnsi="宋体" w:cs="宋体"/>
          <w:snapToGrid w:val="0"/>
          <w:color w:val="auto"/>
          <w:spacing w:val="4"/>
          <w:sz w:val="21"/>
          <w:szCs w:val="21"/>
          <w:highlight w:val="none"/>
        </w:rPr>
        <w:t>注：按投标须知修改表11.2.2条款及《资格审查表》要求提交，格式自拟。</w:t>
      </w:r>
    </w:p>
    <w:p>
      <w:pPr>
        <w:rPr>
          <w:color w:val="auto"/>
          <w:sz w:val="24"/>
          <w:szCs w:val="24"/>
          <w:highlight w:val="none"/>
        </w:rPr>
      </w:pPr>
      <w:r>
        <w:rPr>
          <w:color w:val="auto"/>
          <w:sz w:val="24"/>
          <w:szCs w:val="24"/>
          <w:highlight w:val="none"/>
        </w:rPr>
        <w:br w:type="page"/>
      </w:r>
    </w:p>
    <w:p>
      <w:pPr>
        <w:pStyle w:val="19"/>
        <w:rPr>
          <w:color w:val="auto"/>
          <w:highlight w:val="none"/>
        </w:rPr>
      </w:pPr>
      <w:r>
        <w:rPr>
          <w:rFonts w:hint="eastAsia"/>
          <w:color w:val="auto"/>
          <w:highlight w:val="none"/>
        </w:rPr>
        <w:t>附件五</w:t>
      </w:r>
    </w:p>
    <w:p>
      <w:pPr>
        <w:autoSpaceDE w:val="0"/>
        <w:autoSpaceDN w:val="0"/>
        <w:adjustRightInd w:val="0"/>
        <w:jc w:val="center"/>
        <w:rPr>
          <w:color w:val="auto"/>
          <w:sz w:val="24"/>
          <w:szCs w:val="24"/>
          <w:highlight w:val="none"/>
        </w:rPr>
      </w:pPr>
      <w:r>
        <w:rPr>
          <w:rFonts w:hint="eastAsia" w:ascii="宋体" w:hAnsi="宋体" w:cs="宋体"/>
          <w:b/>
          <w:snapToGrid w:val="0"/>
          <w:color w:val="auto"/>
          <w:spacing w:val="4"/>
          <w:kern w:val="0"/>
          <w:sz w:val="32"/>
          <w:szCs w:val="32"/>
          <w:highlight w:val="none"/>
        </w:rPr>
        <w:t>技术评审资料</w:t>
      </w:r>
    </w:p>
    <w:p>
      <w:pPr>
        <w:keepNext w:val="0"/>
        <w:keepLines w:val="0"/>
        <w:pageBreakBefore w:val="0"/>
        <w:widowControl w:val="0"/>
        <w:kinsoku/>
        <w:wordWrap/>
        <w:overflowPunct/>
        <w:autoSpaceDE w:val="0"/>
        <w:autoSpaceDN w:val="0"/>
        <w:bidi w:val="0"/>
        <w:adjustRightIn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spacing w:val="4"/>
          <w:kern w:val="0"/>
          <w:sz w:val="21"/>
          <w:szCs w:val="21"/>
          <w:highlight w:val="none"/>
        </w:rPr>
        <w:t>注：按《技术标有效性审查表》及《技术标详细审查评分表》要求提交</w:t>
      </w:r>
      <w:r>
        <w:rPr>
          <w:rFonts w:hint="eastAsia" w:ascii="宋体" w:hAnsi="宋体" w:eastAsia="宋体" w:cs="宋体"/>
          <w:b w:val="0"/>
          <w:bCs w:val="0"/>
          <w:snapToGrid w:val="0"/>
          <w:color w:val="auto"/>
          <w:spacing w:val="4"/>
          <w:sz w:val="21"/>
          <w:szCs w:val="21"/>
          <w:highlight w:val="none"/>
        </w:rPr>
        <w:t>，格式如无要求可自拟。</w:t>
      </w:r>
    </w:p>
    <w:p>
      <w:pPr>
        <w:keepNext w:val="0"/>
        <w:keepLines w:val="0"/>
        <w:pageBreakBefore w:val="0"/>
        <w:widowControl w:val="0"/>
        <w:kinsoku/>
        <w:wordWrap/>
        <w:overflowPunct/>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采用现金、支票或者汇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pPr>
        <w:pStyle w:val="124"/>
        <w:keepNext w:val="0"/>
        <w:keepLines w:val="0"/>
        <w:pageBreakBefore w:val="0"/>
        <w:widowControl w:val="0"/>
        <w:kinsoku/>
        <w:wordWrap/>
        <w:overflowPunct/>
        <w:bidi w:val="0"/>
        <w:adjustRightInd w:val="0"/>
        <w:spacing w:beforeLines="0" w:after="12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如采用非电子形式的银行保函、保证保险、专业工程担保公司担保提交投标保证金的，投标人应在此处提供银行保函、保证保险、专业工程担保公司担保原件扫描件并加盖投标人电子印章。</w:t>
      </w:r>
    </w:p>
    <w:p>
      <w:pPr>
        <w:rPr>
          <w:rFonts w:ascii="宋体" w:hAnsi="宋体" w:cs="宋体"/>
          <w:bCs/>
          <w:color w:val="auto"/>
          <w:kern w:val="44"/>
          <w:szCs w:val="21"/>
          <w:highlight w:val="none"/>
        </w:rPr>
      </w:pPr>
      <w:r>
        <w:rPr>
          <w:rFonts w:hint="eastAsia" w:ascii="宋体" w:hAnsi="宋体" w:cs="宋体"/>
          <w:bCs/>
          <w:color w:val="auto"/>
          <w:kern w:val="44"/>
          <w:szCs w:val="21"/>
          <w:highlight w:val="none"/>
        </w:rPr>
        <w:br w:type="page"/>
      </w:r>
    </w:p>
    <w:p>
      <w:pPr>
        <w:tabs>
          <w:tab w:val="left" w:pos="720"/>
        </w:tabs>
        <w:snapToGrid w:val="0"/>
        <w:spacing w:line="360" w:lineRule="auto"/>
        <w:jc w:val="left"/>
        <w:rPr>
          <w:rFonts w:ascii="宋体" w:hAnsi="宋体" w:cs="宋体"/>
          <w:bCs/>
          <w:color w:val="auto"/>
          <w:kern w:val="44"/>
          <w:szCs w:val="21"/>
          <w:highlight w:val="none"/>
        </w:rPr>
      </w:pPr>
      <w:r>
        <w:rPr>
          <w:rFonts w:hint="eastAsia" w:ascii="宋体" w:hAnsi="宋体" w:cs="宋体"/>
          <w:bCs/>
          <w:color w:val="auto"/>
          <w:kern w:val="44"/>
          <w:szCs w:val="21"/>
          <w:highlight w:val="none"/>
        </w:rPr>
        <w:t>附件六</w:t>
      </w:r>
    </w:p>
    <w:p>
      <w:pPr>
        <w:pStyle w:val="24"/>
        <w:rPr>
          <w:rFonts w:ascii="宋体" w:hAnsi="宋体" w:cs="宋体"/>
          <w:b/>
          <w:color w:val="auto"/>
          <w:kern w:val="44"/>
          <w:sz w:val="21"/>
          <w:szCs w:val="21"/>
          <w:highlight w:val="none"/>
        </w:rPr>
      </w:pPr>
    </w:p>
    <w:tbl>
      <w:tblPr>
        <w:tblStyle w:val="38"/>
        <w:tblW w:w="9095" w:type="dxa"/>
        <w:tblInd w:w="0" w:type="dxa"/>
        <w:tblLayout w:type="fixed"/>
        <w:tblCellMar>
          <w:top w:w="0" w:type="dxa"/>
          <w:left w:w="0" w:type="dxa"/>
          <w:bottom w:w="0" w:type="dxa"/>
          <w:right w:w="0" w:type="dxa"/>
        </w:tblCellMar>
      </w:tblPr>
      <w:tblGrid>
        <w:gridCol w:w="810"/>
        <w:gridCol w:w="1620"/>
        <w:gridCol w:w="1875"/>
        <w:gridCol w:w="1690"/>
        <w:gridCol w:w="3100"/>
      </w:tblGrid>
      <w:tr>
        <w:tblPrEx>
          <w:tblCellMar>
            <w:top w:w="0" w:type="dxa"/>
            <w:left w:w="0" w:type="dxa"/>
            <w:bottom w:w="0" w:type="dxa"/>
            <w:right w:w="0" w:type="dxa"/>
          </w:tblCellMar>
        </w:tblPrEx>
        <w:trPr>
          <w:trHeight w:val="540" w:hRule="atLeast"/>
        </w:trPr>
        <w:tc>
          <w:tcPr>
            <w:tcW w:w="9095" w:type="dxa"/>
            <w:gridSpan w:val="5"/>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Cs/>
                <w:color w:val="auto"/>
                <w:kern w:val="0"/>
                <w:szCs w:val="21"/>
                <w:highlight w:val="none"/>
              </w:rPr>
              <w:t>施工项目管理团队人员信息表</w:t>
            </w:r>
          </w:p>
        </w:tc>
      </w:tr>
      <w:tr>
        <w:tblPrEx>
          <w:tblCellMar>
            <w:top w:w="0" w:type="dxa"/>
            <w:left w:w="0" w:type="dxa"/>
            <w:bottom w:w="0" w:type="dxa"/>
            <w:right w:w="0"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序号</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姓名</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岗位</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职称</w:t>
            </w:r>
          </w:p>
        </w:tc>
        <w:tc>
          <w:tcPr>
            <w:tcW w:w="3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职称证书或资格证书编号</w:t>
            </w: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专职安全员</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5</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color w:val="auto"/>
                <w:szCs w:val="21"/>
                <w:highlight w:val="none"/>
                <w:lang w:val="en-US"/>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4800" w:hRule="atLeast"/>
        </w:trPr>
        <w:tc>
          <w:tcPr>
            <w:tcW w:w="909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87"/>
                <w:rFonts w:hint="default" w:ascii="宋体" w:hAnsi="宋体" w:eastAsia="宋体" w:cs="宋体"/>
                <w:color w:val="auto"/>
                <w:sz w:val="21"/>
                <w:szCs w:val="21"/>
                <w:highlight w:val="none"/>
              </w:rPr>
            </w:pPr>
            <w:r>
              <w:rPr>
                <w:rStyle w:val="87"/>
                <w:rFonts w:hint="default" w:ascii="宋体" w:hAnsi="宋体" w:eastAsia="宋体" w:cs="宋体"/>
                <w:color w:val="auto"/>
                <w:sz w:val="21"/>
                <w:szCs w:val="21"/>
                <w:highlight w:val="none"/>
              </w:rPr>
              <w:t>备注：</w:t>
            </w:r>
          </w:p>
          <w:p>
            <w:pPr>
              <w:widowControl/>
              <w:jc w:val="left"/>
              <w:textAlignment w:val="center"/>
              <w:rPr>
                <w:rStyle w:val="87"/>
                <w:rFonts w:hint="default" w:ascii="宋体" w:hAnsi="宋体" w:eastAsia="宋体" w:cs="宋体"/>
                <w:color w:val="auto"/>
                <w:sz w:val="21"/>
                <w:szCs w:val="21"/>
                <w:highlight w:val="none"/>
              </w:rPr>
            </w:pPr>
            <w:r>
              <w:rPr>
                <w:rStyle w:val="87"/>
                <w:rFonts w:hint="default" w:ascii="宋体" w:hAnsi="宋体" w:eastAsia="宋体" w:cs="宋体"/>
                <w:color w:val="auto"/>
                <w:sz w:val="21"/>
                <w:szCs w:val="21"/>
                <w:highlight w:val="none"/>
              </w:rPr>
              <w:t>1、“岗位”要求</w:t>
            </w:r>
            <w:r>
              <w:rPr>
                <w:rStyle w:val="92"/>
                <w:rFonts w:hint="default" w:ascii="宋体" w:hAnsi="宋体" w:eastAsia="宋体" w:cs="宋体"/>
                <w:b w:val="0"/>
                <w:bCs/>
                <w:color w:val="auto"/>
                <w:sz w:val="21"/>
                <w:szCs w:val="21"/>
                <w:highlight w:val="none"/>
              </w:rPr>
              <w:t>（除项目负责人和专职安全员外）</w:t>
            </w:r>
            <w:r>
              <w:rPr>
                <w:rStyle w:val="87"/>
                <w:rFonts w:hint="default" w:ascii="宋体" w:hAnsi="宋体" w:eastAsia="宋体" w:cs="宋体"/>
                <w:color w:val="auto"/>
                <w:sz w:val="21"/>
                <w:szCs w:val="21"/>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Style w:val="87"/>
                <w:rFonts w:hint="default" w:ascii="宋体" w:hAnsi="宋体" w:eastAsia="宋体" w:cs="宋体"/>
                <w:color w:val="auto"/>
                <w:sz w:val="21"/>
                <w:szCs w:val="21"/>
                <w:highlight w:val="none"/>
              </w:rPr>
            </w:pPr>
            <w:r>
              <w:rPr>
                <w:rStyle w:val="87"/>
                <w:rFonts w:hint="default" w:ascii="宋体" w:hAnsi="宋体" w:eastAsia="宋体" w:cs="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宋体" w:hAnsi="宋体" w:cs="宋体"/>
                <w:color w:val="auto"/>
                <w:szCs w:val="21"/>
                <w:highlight w:val="none"/>
              </w:rPr>
            </w:pPr>
            <w:r>
              <w:rPr>
                <w:rStyle w:val="87"/>
                <w:rFonts w:hint="default"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ascii="宋体" w:hAnsi="宋体"/>
          <w:color w:val="auto"/>
          <w:szCs w:val="21"/>
          <w:highlight w:val="none"/>
        </w:rPr>
      </w:pPr>
      <w:r>
        <w:rPr>
          <w:rFonts w:ascii="宋体" w:hAnsi="宋体"/>
          <w:color w:val="auto"/>
          <w:szCs w:val="21"/>
          <w:highlight w:val="none"/>
        </w:rPr>
        <w:br w:type="page"/>
      </w:r>
    </w:p>
    <w:p>
      <w:pPr>
        <w:tabs>
          <w:tab w:val="left" w:pos="720"/>
        </w:tabs>
        <w:snapToGrid w:val="0"/>
        <w:spacing w:line="360" w:lineRule="auto"/>
        <w:jc w:val="left"/>
        <w:rPr>
          <w:rFonts w:ascii="宋体" w:hAnsi="宋体" w:cs="宋体"/>
          <w:bCs/>
          <w:color w:val="auto"/>
          <w:kern w:val="44"/>
          <w:sz w:val="24"/>
          <w:szCs w:val="24"/>
          <w:highlight w:val="none"/>
        </w:rPr>
      </w:pPr>
      <w:r>
        <w:rPr>
          <w:rFonts w:hint="eastAsia" w:ascii="宋体" w:hAnsi="宋体" w:cs="宋体"/>
          <w:bCs/>
          <w:color w:val="auto"/>
          <w:kern w:val="44"/>
          <w:sz w:val="24"/>
          <w:szCs w:val="24"/>
          <w:highlight w:val="none"/>
        </w:rPr>
        <w:t>附件七</w:t>
      </w:r>
    </w:p>
    <w:p>
      <w:pPr>
        <w:widowControl/>
        <w:spacing w:line="360" w:lineRule="auto"/>
        <w:jc w:val="center"/>
        <w:rPr>
          <w:rFonts w:ascii="宋体" w:hAnsi="宋体" w:cs="宋体"/>
          <w:b/>
          <w:color w:val="auto"/>
          <w:spacing w:val="4"/>
          <w:sz w:val="32"/>
          <w:szCs w:val="32"/>
          <w:highlight w:val="none"/>
        </w:rPr>
      </w:pPr>
      <w:r>
        <w:rPr>
          <w:rFonts w:hint="eastAsia" w:ascii="宋体" w:hAnsi="宋体" w:cs="宋体"/>
          <w:b/>
          <w:color w:val="auto"/>
          <w:spacing w:val="4"/>
          <w:sz w:val="32"/>
          <w:szCs w:val="32"/>
          <w:highlight w:val="none"/>
        </w:rPr>
        <w:t>类似业绩表</w:t>
      </w:r>
    </w:p>
    <w:tbl>
      <w:tblPr>
        <w:tblStyle w:val="39"/>
        <w:tblW w:w="7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118"/>
        <w:gridCol w:w="1441"/>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0" w:type="dxa"/>
          </w:tcPr>
          <w:p>
            <w:pPr>
              <w:pStyle w:val="130"/>
              <w:jc w:val="center"/>
              <w:rPr>
                <w:b/>
                <w:bCs/>
                <w:color w:val="auto"/>
                <w:highlight w:val="none"/>
              </w:rPr>
            </w:pPr>
            <w:r>
              <w:rPr>
                <w:rFonts w:hint="eastAsia"/>
                <w:b/>
                <w:bCs/>
                <w:color w:val="auto"/>
                <w:highlight w:val="none"/>
              </w:rPr>
              <w:t>序号</w:t>
            </w:r>
          </w:p>
        </w:tc>
        <w:tc>
          <w:tcPr>
            <w:tcW w:w="3118" w:type="dxa"/>
          </w:tcPr>
          <w:p>
            <w:pPr>
              <w:pStyle w:val="130"/>
              <w:jc w:val="center"/>
              <w:rPr>
                <w:b/>
                <w:bCs/>
                <w:color w:val="auto"/>
                <w:highlight w:val="none"/>
              </w:rPr>
            </w:pPr>
            <w:r>
              <w:rPr>
                <w:rFonts w:hint="eastAsia"/>
                <w:b/>
                <w:bCs/>
                <w:color w:val="auto"/>
                <w:highlight w:val="none"/>
              </w:rPr>
              <w:t>项目名称</w:t>
            </w:r>
          </w:p>
        </w:tc>
        <w:tc>
          <w:tcPr>
            <w:tcW w:w="1441" w:type="dxa"/>
          </w:tcPr>
          <w:p>
            <w:pPr>
              <w:pStyle w:val="130"/>
              <w:jc w:val="center"/>
              <w:rPr>
                <w:b/>
                <w:bCs/>
                <w:color w:val="auto"/>
                <w:highlight w:val="none"/>
              </w:rPr>
            </w:pPr>
            <w:r>
              <w:rPr>
                <w:rFonts w:hint="eastAsia"/>
                <w:b/>
                <w:bCs/>
                <w:color w:val="auto"/>
                <w:highlight w:val="none"/>
              </w:rPr>
              <w:t>项目编号</w:t>
            </w:r>
          </w:p>
        </w:tc>
        <w:tc>
          <w:tcPr>
            <w:tcW w:w="2151" w:type="dxa"/>
          </w:tcPr>
          <w:p>
            <w:pPr>
              <w:pStyle w:val="130"/>
              <w:jc w:val="center"/>
              <w:rPr>
                <w:b/>
                <w:bCs/>
                <w:color w:val="auto"/>
                <w:highlight w:val="none"/>
              </w:rPr>
            </w:pPr>
            <w:r>
              <w:rPr>
                <w:rFonts w:hint="eastAsia"/>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color w:val="auto"/>
                <w:highlight w:val="none"/>
              </w:rPr>
            </w:pPr>
          </w:p>
        </w:tc>
        <w:tc>
          <w:tcPr>
            <w:tcW w:w="3118" w:type="dxa"/>
          </w:tcPr>
          <w:p>
            <w:pPr>
              <w:pStyle w:val="130"/>
              <w:rPr>
                <w:color w:val="auto"/>
                <w:highlight w:val="none"/>
              </w:rPr>
            </w:pPr>
          </w:p>
        </w:tc>
        <w:tc>
          <w:tcPr>
            <w:tcW w:w="1441" w:type="dxa"/>
          </w:tcPr>
          <w:p>
            <w:pPr>
              <w:pStyle w:val="130"/>
              <w:rPr>
                <w:color w:val="auto"/>
                <w:highlight w:val="none"/>
              </w:rPr>
            </w:pPr>
          </w:p>
        </w:tc>
        <w:tc>
          <w:tcPr>
            <w:tcW w:w="2151" w:type="dxa"/>
          </w:tcPr>
          <w:p>
            <w:pPr>
              <w:pStyle w:val="13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color w:val="auto"/>
                <w:highlight w:val="none"/>
              </w:rPr>
            </w:pPr>
          </w:p>
        </w:tc>
        <w:tc>
          <w:tcPr>
            <w:tcW w:w="3118" w:type="dxa"/>
          </w:tcPr>
          <w:p>
            <w:pPr>
              <w:pStyle w:val="130"/>
              <w:rPr>
                <w:color w:val="auto"/>
                <w:highlight w:val="none"/>
              </w:rPr>
            </w:pPr>
          </w:p>
        </w:tc>
        <w:tc>
          <w:tcPr>
            <w:tcW w:w="1441" w:type="dxa"/>
          </w:tcPr>
          <w:p>
            <w:pPr>
              <w:pStyle w:val="130"/>
              <w:rPr>
                <w:color w:val="auto"/>
                <w:highlight w:val="none"/>
              </w:rPr>
            </w:pPr>
          </w:p>
        </w:tc>
        <w:tc>
          <w:tcPr>
            <w:tcW w:w="2151" w:type="dxa"/>
          </w:tcPr>
          <w:p>
            <w:pPr>
              <w:pStyle w:val="13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color w:val="auto"/>
                <w:highlight w:val="none"/>
              </w:rPr>
            </w:pPr>
          </w:p>
        </w:tc>
        <w:tc>
          <w:tcPr>
            <w:tcW w:w="3118" w:type="dxa"/>
          </w:tcPr>
          <w:p>
            <w:pPr>
              <w:pStyle w:val="130"/>
              <w:rPr>
                <w:color w:val="auto"/>
                <w:highlight w:val="none"/>
              </w:rPr>
            </w:pPr>
          </w:p>
        </w:tc>
        <w:tc>
          <w:tcPr>
            <w:tcW w:w="1441" w:type="dxa"/>
          </w:tcPr>
          <w:p>
            <w:pPr>
              <w:pStyle w:val="130"/>
              <w:rPr>
                <w:color w:val="auto"/>
                <w:highlight w:val="none"/>
              </w:rPr>
            </w:pPr>
          </w:p>
        </w:tc>
        <w:tc>
          <w:tcPr>
            <w:tcW w:w="2151" w:type="dxa"/>
          </w:tcPr>
          <w:p>
            <w:pPr>
              <w:pStyle w:val="13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color w:val="auto"/>
                <w:highlight w:val="none"/>
              </w:rPr>
            </w:pPr>
          </w:p>
        </w:tc>
        <w:tc>
          <w:tcPr>
            <w:tcW w:w="3118" w:type="dxa"/>
          </w:tcPr>
          <w:p>
            <w:pPr>
              <w:pStyle w:val="130"/>
              <w:rPr>
                <w:color w:val="auto"/>
                <w:highlight w:val="none"/>
              </w:rPr>
            </w:pPr>
          </w:p>
        </w:tc>
        <w:tc>
          <w:tcPr>
            <w:tcW w:w="1441" w:type="dxa"/>
          </w:tcPr>
          <w:p>
            <w:pPr>
              <w:pStyle w:val="130"/>
              <w:rPr>
                <w:color w:val="auto"/>
                <w:highlight w:val="none"/>
              </w:rPr>
            </w:pPr>
          </w:p>
        </w:tc>
        <w:tc>
          <w:tcPr>
            <w:tcW w:w="2151" w:type="dxa"/>
          </w:tcPr>
          <w:p>
            <w:pPr>
              <w:pStyle w:val="13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color w:val="auto"/>
                <w:highlight w:val="none"/>
              </w:rPr>
            </w:pPr>
          </w:p>
        </w:tc>
        <w:tc>
          <w:tcPr>
            <w:tcW w:w="3118" w:type="dxa"/>
          </w:tcPr>
          <w:p>
            <w:pPr>
              <w:pStyle w:val="130"/>
              <w:rPr>
                <w:color w:val="auto"/>
                <w:highlight w:val="none"/>
              </w:rPr>
            </w:pPr>
          </w:p>
        </w:tc>
        <w:tc>
          <w:tcPr>
            <w:tcW w:w="1441" w:type="dxa"/>
          </w:tcPr>
          <w:p>
            <w:pPr>
              <w:pStyle w:val="130"/>
              <w:rPr>
                <w:color w:val="auto"/>
                <w:highlight w:val="none"/>
              </w:rPr>
            </w:pPr>
          </w:p>
        </w:tc>
        <w:tc>
          <w:tcPr>
            <w:tcW w:w="2151" w:type="dxa"/>
          </w:tcPr>
          <w:p>
            <w:pPr>
              <w:pStyle w:val="130"/>
              <w:rPr>
                <w:color w:val="auto"/>
                <w:highlight w:val="none"/>
              </w:rPr>
            </w:pPr>
          </w:p>
        </w:tc>
      </w:tr>
    </w:tbl>
    <w:p>
      <w:pPr>
        <w:rPr>
          <w:rFonts w:ascii="宋体" w:hAnsi="宋体" w:cs="宋体"/>
          <w:bCs/>
          <w:color w:val="auto"/>
          <w:kern w:val="44"/>
          <w:sz w:val="24"/>
          <w:szCs w:val="24"/>
          <w:highlight w:val="none"/>
        </w:rPr>
      </w:pPr>
      <w:r>
        <w:rPr>
          <w:rFonts w:ascii="宋体" w:hAnsi="宋体" w:cs="宋体"/>
          <w:bCs/>
          <w:color w:val="auto"/>
          <w:kern w:val="44"/>
          <w:sz w:val="24"/>
          <w:szCs w:val="24"/>
          <w:highlight w:val="none"/>
        </w:rPr>
        <w:br w:type="page"/>
      </w:r>
    </w:p>
    <w:p>
      <w:pPr>
        <w:pStyle w:val="19"/>
        <w:rPr>
          <w:rFonts w:hint="eastAsia"/>
          <w:color w:val="auto"/>
          <w:highlight w:val="none"/>
          <w:lang w:val="en-US" w:eastAsia="zh-CN"/>
        </w:rPr>
      </w:pPr>
      <w:r>
        <w:rPr>
          <w:rFonts w:hint="eastAsia"/>
          <w:color w:val="auto"/>
          <w:highlight w:val="none"/>
          <w:lang w:val="en-US" w:eastAsia="zh-CN"/>
        </w:rPr>
        <w:t>附件八</w:t>
      </w:r>
    </w:p>
    <w:p>
      <w:pPr>
        <w:jc w:val="center"/>
        <w:rPr>
          <w:rFonts w:hint="eastAsia"/>
          <w:b/>
          <w:bCs/>
          <w:color w:val="auto"/>
          <w:sz w:val="28"/>
          <w:szCs w:val="32"/>
          <w:highlight w:val="none"/>
          <w:lang w:val="en-US" w:eastAsia="zh-CN"/>
        </w:rPr>
      </w:pPr>
      <w:r>
        <w:rPr>
          <w:rFonts w:hint="eastAsia"/>
          <w:b/>
          <w:bCs/>
          <w:color w:val="auto"/>
          <w:sz w:val="28"/>
          <w:szCs w:val="32"/>
          <w:highlight w:val="none"/>
          <w:lang w:val="en-US" w:eastAsia="zh-CN"/>
        </w:rPr>
        <w:t>承诺书</w:t>
      </w:r>
    </w:p>
    <w:p>
      <w:pPr>
        <w:pStyle w:val="82"/>
        <w:spacing w:line="400" w:lineRule="exact"/>
        <w:ind w:left="0" w:leftChars="0" w:firstLine="0" w:firstLineChars="0"/>
        <w:rPr>
          <w:rFonts w:hint="default" w:ascii="宋体" w:hAnsi="宋体" w:eastAsia="宋体"/>
          <w:color w:val="auto"/>
          <w:highlight w:val="none"/>
          <w:lang w:val="en-US" w:eastAsia="zh-CN"/>
        </w:rPr>
      </w:pPr>
      <w:r>
        <w:rPr>
          <w:rFonts w:hint="eastAsia" w:ascii="宋体" w:hAnsi="宋体"/>
          <w:color w:val="auto"/>
          <w:highlight w:val="none"/>
          <w:lang w:val="en-US" w:eastAsia="zh-CN"/>
        </w:rPr>
        <w:t>致：广州市荔湾区詹天佑小学</w:t>
      </w:r>
    </w:p>
    <w:p>
      <w:pPr>
        <w:pStyle w:val="82"/>
        <w:spacing w:line="400" w:lineRule="exact"/>
        <w:ind w:firstLine="496"/>
        <w:rPr>
          <w:rFonts w:hint="eastAsia" w:ascii="宋体" w:hAnsi="宋体"/>
          <w:color w:val="auto"/>
          <w:highlight w:val="none"/>
        </w:rPr>
      </w:pPr>
      <w:r>
        <w:rPr>
          <w:rFonts w:hint="eastAsia" w:ascii="宋体" w:hAnsi="宋体"/>
          <w:color w:val="auto"/>
          <w:highlight w:val="none"/>
        </w:rPr>
        <w:t>经详细阅读本工程招标文件、招标答疑纪要</w:t>
      </w:r>
      <w:r>
        <w:rPr>
          <w:rFonts w:hint="eastAsia" w:ascii="宋体" w:hAnsi="宋体"/>
          <w:color w:val="auto"/>
          <w:highlight w:val="none"/>
          <w:lang w:eastAsia="zh-CN"/>
        </w:rPr>
        <w:t>（</w:t>
      </w:r>
      <w:r>
        <w:rPr>
          <w:rFonts w:hint="eastAsia" w:ascii="宋体" w:hAnsi="宋体"/>
          <w:color w:val="auto"/>
          <w:highlight w:val="none"/>
          <w:lang w:val="en-US" w:eastAsia="zh-CN"/>
        </w:rPr>
        <w:t>如有</w:t>
      </w:r>
      <w:r>
        <w:rPr>
          <w:rFonts w:hint="eastAsia" w:ascii="宋体" w:hAnsi="宋体"/>
          <w:color w:val="auto"/>
          <w:highlight w:val="none"/>
          <w:lang w:eastAsia="zh-CN"/>
        </w:rPr>
        <w:t>）</w:t>
      </w:r>
      <w:r>
        <w:rPr>
          <w:rFonts w:hint="eastAsia" w:ascii="宋体" w:hAnsi="宋体"/>
          <w:color w:val="auto"/>
          <w:highlight w:val="none"/>
        </w:rPr>
        <w:t>和踏勘现场，我司已理解招标人对本招标项目工程管理的高标准及严格要求，在此，我司郑重作出以下承诺：</w:t>
      </w:r>
    </w:p>
    <w:p>
      <w:pPr>
        <w:pStyle w:val="82"/>
        <w:numPr>
          <w:ilvl w:val="0"/>
          <w:numId w:val="3"/>
        </w:numPr>
        <w:spacing w:line="400" w:lineRule="exact"/>
        <w:ind w:firstLine="496"/>
        <w:rPr>
          <w:rFonts w:hint="eastAsia" w:ascii="宋体" w:hAnsi="宋体"/>
          <w:color w:val="auto"/>
          <w:highlight w:val="none"/>
        </w:rPr>
      </w:pPr>
      <w:r>
        <w:rPr>
          <w:rFonts w:hint="eastAsia" w:ascii="宋体" w:hAnsi="宋体"/>
          <w:color w:val="auto"/>
          <w:highlight w:val="none"/>
        </w:rPr>
        <w:t>我司已按</w:t>
      </w:r>
      <w:r>
        <w:rPr>
          <w:rFonts w:hint="eastAsia" w:ascii="宋体" w:hAnsi="宋体"/>
          <w:color w:val="auto"/>
          <w:highlight w:val="none"/>
          <w:lang w:val="en-US" w:eastAsia="zh-CN"/>
        </w:rPr>
        <w:t>招标文件</w:t>
      </w:r>
      <w:r>
        <w:rPr>
          <w:rFonts w:hint="eastAsia" w:ascii="宋体" w:hAnsi="宋体"/>
          <w:color w:val="auto"/>
          <w:highlight w:val="none"/>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82"/>
        <w:numPr>
          <w:ilvl w:val="0"/>
          <w:numId w:val="3"/>
        </w:numPr>
        <w:spacing w:line="400" w:lineRule="exact"/>
        <w:ind w:firstLine="496"/>
        <w:rPr>
          <w:rFonts w:hint="eastAsia" w:ascii="宋体" w:hAnsi="宋体"/>
          <w:color w:val="auto"/>
          <w:highlight w:val="none"/>
        </w:rPr>
      </w:pPr>
      <w:r>
        <w:rPr>
          <w:rFonts w:hint="eastAsia" w:ascii="宋体" w:hAnsi="宋体"/>
          <w:color w:val="auto"/>
          <w:spacing w:val="2"/>
          <w:position w:val="2"/>
          <w:highlight w:val="none"/>
        </w:rPr>
        <w:t>鉴于本工程</w:t>
      </w:r>
      <w:r>
        <w:rPr>
          <w:rFonts w:hint="eastAsia" w:ascii="宋体" w:hAnsi="宋体"/>
          <w:color w:val="auto"/>
          <w:spacing w:val="2"/>
          <w:position w:val="2"/>
          <w:highlight w:val="none"/>
          <w:lang w:val="en-US" w:eastAsia="zh-CN"/>
        </w:rPr>
        <w:t>对招标人</w:t>
      </w:r>
      <w:r>
        <w:rPr>
          <w:rFonts w:hint="eastAsia" w:ascii="宋体" w:hAnsi="宋体"/>
          <w:color w:val="auto"/>
          <w:spacing w:val="2"/>
          <w:position w:val="2"/>
          <w:highlight w:val="none"/>
        </w:rPr>
        <w:t>的重要性、复杂性和工期的紧迫性，为确保按时、按质完成本工程的施工任务，我司经慎重考虑，</w:t>
      </w:r>
      <w:r>
        <w:rPr>
          <w:rFonts w:hint="eastAsia" w:ascii="宋体" w:hAnsi="宋体"/>
          <w:color w:val="auto"/>
          <w:highlight w:val="none"/>
          <w:lang w:val="en-US" w:eastAsia="zh-CN"/>
        </w:rPr>
        <w:t>承诺按照招标人在招标文件对工期的要求（施工总工期：</w:t>
      </w:r>
      <w:r>
        <w:rPr>
          <w:rFonts w:hint="eastAsia" w:ascii="宋体" w:hAnsi="宋体"/>
          <w:color w:val="auto"/>
          <w:highlight w:val="none"/>
          <w:u w:val="single"/>
          <w:lang w:val="en-US" w:eastAsia="zh-CN"/>
        </w:rPr>
        <w:t xml:space="preserve">    天</w:t>
      </w:r>
      <w:r>
        <w:rPr>
          <w:rFonts w:hint="eastAsia" w:ascii="宋体" w:hAnsi="宋体"/>
          <w:color w:val="auto"/>
          <w:highlight w:val="none"/>
          <w:lang w:val="en-US" w:eastAsia="zh-CN"/>
        </w:rPr>
        <w:t>）期限内完成本项目。</w:t>
      </w:r>
      <w:r>
        <w:rPr>
          <w:rFonts w:hint="eastAsia" w:ascii="宋体" w:hAnsi="宋体"/>
          <w:color w:val="auto"/>
          <w:spacing w:val="2"/>
          <w:position w:val="2"/>
          <w:highlight w:val="none"/>
        </w:rPr>
        <w:t>否则，按合同规定处理，并承担违约责任。</w:t>
      </w:r>
    </w:p>
    <w:p>
      <w:pPr>
        <w:pStyle w:val="82"/>
        <w:numPr>
          <w:ilvl w:val="0"/>
          <w:numId w:val="3"/>
        </w:numPr>
        <w:spacing w:line="400" w:lineRule="exact"/>
        <w:ind w:firstLine="496"/>
        <w:rPr>
          <w:rFonts w:ascii="宋体" w:hAnsi="宋体"/>
          <w:color w:val="auto"/>
          <w:highlight w:val="none"/>
        </w:rPr>
      </w:pPr>
      <w:r>
        <w:rPr>
          <w:rFonts w:hint="eastAsia" w:ascii="宋体" w:hAnsi="宋体"/>
          <w:color w:val="auto"/>
          <w:highlight w:val="none"/>
          <w:lang w:val="en-US" w:eastAsia="zh-CN"/>
        </w:rPr>
        <w:t>我司保证在完成拆除工作的过程中对招标人可继续使用的教学设施、设备进行妥善保管，如有损坏，按照设备原价进行赔付。</w:t>
      </w:r>
    </w:p>
    <w:p>
      <w:pPr>
        <w:pStyle w:val="82"/>
        <w:numPr>
          <w:ilvl w:val="0"/>
          <w:numId w:val="3"/>
        </w:numPr>
        <w:spacing w:line="400" w:lineRule="exact"/>
        <w:ind w:firstLine="496"/>
        <w:rPr>
          <w:rFonts w:ascii="宋体" w:hAnsi="宋体"/>
          <w:color w:val="auto"/>
          <w:highlight w:val="none"/>
        </w:rPr>
      </w:pPr>
      <w:r>
        <w:rPr>
          <w:rFonts w:hint="eastAsia" w:ascii="宋体" w:hAnsi="宋体"/>
          <w:color w:val="auto"/>
          <w:highlight w:val="none"/>
        </w:rPr>
        <w:t>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pPr>
        <w:pStyle w:val="82"/>
        <w:spacing w:line="400" w:lineRule="exact"/>
        <w:ind w:firstLine="496"/>
        <w:rPr>
          <w:rFonts w:ascii="宋体" w:hAnsi="宋体"/>
          <w:color w:val="auto"/>
          <w:highlight w:val="none"/>
        </w:rPr>
      </w:pPr>
      <w:r>
        <w:rPr>
          <w:rFonts w:hint="eastAsia" w:ascii="宋体" w:hAnsi="宋体"/>
          <w:color w:val="auto"/>
          <w:highlight w:val="none"/>
        </w:rPr>
        <w:t>1、投标阶段已明确所有工程均自行施工，不再分包的；</w:t>
      </w:r>
    </w:p>
    <w:p>
      <w:pPr>
        <w:pStyle w:val="82"/>
        <w:spacing w:line="400" w:lineRule="exact"/>
        <w:ind w:firstLine="496"/>
        <w:rPr>
          <w:rFonts w:ascii="宋体" w:hAnsi="宋体"/>
          <w:color w:val="auto"/>
          <w:highlight w:val="none"/>
        </w:rPr>
      </w:pPr>
      <w:r>
        <w:rPr>
          <w:rFonts w:hint="eastAsia" w:ascii="宋体" w:hAnsi="宋体"/>
          <w:color w:val="auto"/>
          <w:highlight w:val="none"/>
        </w:rPr>
        <w:t>2、合同签订前未按招标文件选择资质合格的分包单位的；</w:t>
      </w:r>
    </w:p>
    <w:p>
      <w:pPr>
        <w:pStyle w:val="82"/>
        <w:spacing w:line="400" w:lineRule="exact"/>
        <w:ind w:firstLine="496"/>
        <w:rPr>
          <w:rFonts w:hint="eastAsia" w:ascii="宋体" w:hAnsi="宋体"/>
          <w:color w:val="auto"/>
          <w:highlight w:val="none"/>
        </w:rPr>
      </w:pPr>
      <w:r>
        <w:rPr>
          <w:rFonts w:hint="eastAsia" w:ascii="宋体" w:hAnsi="宋体"/>
          <w:color w:val="auto"/>
          <w:highlight w:val="none"/>
        </w:rPr>
        <w:t>3、投标阶段或合同签订时有选择工程分包及分包单位，但分包工程实施之前，我单位放弃工程分包的；</w:t>
      </w:r>
    </w:p>
    <w:p>
      <w:pPr>
        <w:pStyle w:val="82"/>
        <w:spacing w:line="400" w:lineRule="exact"/>
        <w:ind w:firstLine="496"/>
        <w:rPr>
          <w:rFonts w:hint="eastAsia" w:ascii="宋体" w:hAnsi="宋体"/>
          <w:color w:val="auto"/>
          <w:highlight w:val="none"/>
        </w:rPr>
      </w:pPr>
      <w:r>
        <w:rPr>
          <w:rFonts w:hint="eastAsia" w:ascii="宋体" w:hAnsi="宋体"/>
          <w:color w:val="auto"/>
          <w:highlight w:val="none"/>
        </w:rPr>
        <w:t>4、我司与分包单位解除合同的。</w:t>
      </w:r>
    </w:p>
    <w:p>
      <w:pPr>
        <w:pStyle w:val="82"/>
        <w:spacing w:line="400" w:lineRule="exact"/>
        <w:ind w:firstLine="496"/>
        <w:rPr>
          <w:rFonts w:hint="eastAsia" w:ascii="宋体" w:hAnsi="宋体"/>
          <w:color w:val="auto"/>
          <w:highlight w:val="none"/>
          <w:lang w:val="en-US" w:eastAsia="zh-CN"/>
        </w:rPr>
      </w:pPr>
      <w:r>
        <w:rPr>
          <w:rFonts w:hint="eastAsia" w:ascii="宋体" w:hAnsi="宋体"/>
          <w:color w:val="auto"/>
          <w:highlight w:val="none"/>
          <w:lang w:val="en-US" w:eastAsia="zh-CN"/>
        </w:rPr>
        <w:t>特此承诺。</w:t>
      </w:r>
    </w:p>
    <w:p>
      <w:pPr>
        <w:pStyle w:val="82"/>
        <w:spacing w:line="400" w:lineRule="exact"/>
        <w:rPr>
          <w:rFonts w:hint="eastAsia" w:ascii="宋体" w:hAnsi="宋体"/>
          <w:color w:val="auto"/>
          <w:highlight w:val="none"/>
        </w:rPr>
      </w:pPr>
    </w:p>
    <w:p>
      <w:pPr>
        <w:pStyle w:val="82"/>
        <w:tabs>
          <w:tab w:val="left" w:pos="382"/>
        </w:tabs>
        <w:spacing w:line="400" w:lineRule="exact"/>
        <w:ind w:left="0" w:leftChars="0" w:firstLine="3779" w:firstLineChars="1524"/>
        <w:rPr>
          <w:rFonts w:ascii="宋体" w:hAnsi="宋体"/>
          <w:color w:val="auto"/>
          <w:highlight w:val="none"/>
        </w:rPr>
      </w:pPr>
      <w:r>
        <w:rPr>
          <w:rFonts w:hint="eastAsia" w:ascii="宋体" w:hAnsi="宋体"/>
          <w:color w:val="auto"/>
          <w:highlight w:val="none"/>
        </w:rPr>
        <w:t>投标人：（盖章）</w:t>
      </w:r>
    </w:p>
    <w:p>
      <w:pPr>
        <w:pStyle w:val="82"/>
        <w:spacing w:line="400" w:lineRule="exact"/>
        <w:ind w:left="0" w:leftChars="0" w:firstLine="3779" w:firstLineChars="1524"/>
        <w:rPr>
          <w:rFonts w:ascii="宋体" w:hAnsi="宋体"/>
          <w:color w:val="auto"/>
          <w:highlight w:val="none"/>
        </w:rPr>
      </w:pPr>
      <w:r>
        <w:rPr>
          <w:rFonts w:hint="eastAsia" w:ascii="宋体" w:hAnsi="宋体"/>
          <w:color w:val="auto"/>
          <w:highlight w:val="none"/>
        </w:rPr>
        <w:t>法定代表人或授权代理人（签字或盖章）：</w:t>
      </w:r>
    </w:p>
    <w:p>
      <w:pPr>
        <w:pStyle w:val="82"/>
        <w:spacing w:line="400" w:lineRule="exact"/>
        <w:ind w:left="0" w:leftChars="0" w:firstLine="3779" w:firstLineChars="1524"/>
        <w:rPr>
          <w:rFonts w:hint="default" w:ascii="宋体" w:hAnsi="宋体"/>
          <w:color w:val="auto"/>
          <w:highlight w:val="none"/>
          <w:lang w:val="en-US" w:eastAsia="zh-CN"/>
        </w:rPr>
      </w:pPr>
      <w:r>
        <w:rPr>
          <w:rFonts w:hint="eastAsia" w:ascii="宋体" w:hAnsi="宋体" w:cs="宋体"/>
          <w:snapToGrid w:val="0"/>
          <w:color w:val="auto"/>
          <w:spacing w:val="4"/>
          <w:kern w:val="0"/>
          <w:sz w:val="24"/>
          <w:szCs w:val="24"/>
          <w:highlight w:val="none"/>
        </w:rPr>
        <w:t>日期：     年   月   日</w:t>
      </w:r>
    </w:p>
    <w:p>
      <w:pPr>
        <w:pStyle w:val="19"/>
        <w:rPr>
          <w:rFonts w:hint="default"/>
          <w:color w:val="auto"/>
          <w:highlight w:val="none"/>
          <w:lang w:val="en-US" w:eastAsia="zh-CN"/>
        </w:rPr>
      </w:pPr>
    </w:p>
    <w:p>
      <w:pPr>
        <w:rPr>
          <w:rFonts w:ascii="宋体" w:cs="宋体"/>
          <w:color w:val="auto"/>
          <w:szCs w:val="21"/>
          <w:highlight w:val="none"/>
        </w:rPr>
      </w:pPr>
      <w:r>
        <w:rPr>
          <w:rFonts w:hint="eastAsia" w:ascii="宋体" w:cs="宋体"/>
          <w:color w:val="auto"/>
          <w:szCs w:val="21"/>
          <w:highlight w:val="none"/>
        </w:rPr>
        <w:br w:type="page"/>
      </w:r>
    </w:p>
    <w:p>
      <w:pPr>
        <w:pStyle w:val="124"/>
        <w:spacing w:beforeLines="0" w:after="120" w:line="400" w:lineRule="exact"/>
        <w:rPr>
          <w:rFonts w:ascii="宋体" w:eastAsia="宋体" w:cs="宋体"/>
          <w:b w:val="0"/>
          <w:color w:val="auto"/>
          <w:sz w:val="21"/>
          <w:szCs w:val="21"/>
          <w:highlight w:val="none"/>
        </w:rPr>
      </w:pPr>
      <w:r>
        <w:rPr>
          <w:rFonts w:hint="eastAsia" w:ascii="宋体" w:eastAsia="宋体" w:cs="宋体"/>
          <w:bCs/>
          <w:color w:val="auto"/>
          <w:sz w:val="22"/>
          <w:szCs w:val="22"/>
          <w:highlight w:val="none"/>
        </w:rPr>
        <w:t>第二部分经济标投标文件</w:t>
      </w:r>
    </w:p>
    <w:p>
      <w:pPr>
        <w:pStyle w:val="124"/>
        <w:spacing w:beforeLines="0" w:after="120" w:line="400" w:lineRule="exact"/>
        <w:jc w:val="center"/>
        <w:rPr>
          <w:rFonts w:ascii="宋体" w:eastAsia="宋体" w:cs="宋体"/>
          <w:b w:val="0"/>
          <w:color w:val="auto"/>
          <w:sz w:val="21"/>
          <w:szCs w:val="21"/>
          <w:highlight w:val="none"/>
        </w:rPr>
      </w:pPr>
      <w:r>
        <w:rPr>
          <w:rFonts w:hint="eastAsia" w:ascii="宋体" w:eastAsia="宋体" w:cs="宋体"/>
          <w:b w:val="0"/>
          <w:color w:val="auto"/>
          <w:sz w:val="21"/>
          <w:szCs w:val="21"/>
          <w:highlight w:val="none"/>
        </w:rPr>
        <w:t>经济标封面</w:t>
      </w:r>
    </w:p>
    <w:p>
      <w:pPr>
        <w:pStyle w:val="118"/>
        <w:spacing w:line="400" w:lineRule="exact"/>
        <w:rPr>
          <w:rFonts w:ascii="宋体" w:hAnsi="宋体" w:eastAsia="宋体" w:cs="宋体"/>
          <w:b w:val="0"/>
          <w:color w:val="auto"/>
          <w:sz w:val="21"/>
          <w:szCs w:val="21"/>
          <w:highlight w:val="none"/>
          <w:u w:val="single"/>
        </w:rPr>
      </w:pPr>
    </w:p>
    <w:p>
      <w:pPr>
        <w:pStyle w:val="118"/>
        <w:spacing w:line="400" w:lineRule="exact"/>
        <w:rPr>
          <w:rFonts w:ascii="宋体" w:hAnsi="宋体" w:eastAsia="宋体" w:cs="宋体"/>
          <w:b w:val="0"/>
          <w:color w:val="auto"/>
          <w:sz w:val="21"/>
          <w:szCs w:val="21"/>
          <w:highlight w:val="none"/>
          <w:u w:val="single"/>
        </w:rPr>
      </w:pPr>
    </w:p>
    <w:p>
      <w:pPr>
        <w:pStyle w:val="118"/>
        <w:spacing w:line="400" w:lineRule="exact"/>
        <w:rPr>
          <w:rFonts w:ascii="宋体" w:hAnsi="宋体" w:eastAsia="宋体" w:cs="宋体"/>
          <w:b w:val="0"/>
          <w:color w:val="auto"/>
          <w:sz w:val="21"/>
          <w:szCs w:val="21"/>
          <w:highlight w:val="none"/>
          <w:u w:val="single"/>
        </w:rPr>
      </w:pPr>
    </w:p>
    <w:p>
      <w:pPr>
        <w:pStyle w:val="118"/>
        <w:spacing w:line="400" w:lineRule="exact"/>
        <w:rPr>
          <w:rFonts w:ascii="宋体" w:hAnsi="宋体" w:eastAsia="宋体" w:cs="宋体"/>
          <w:b w:val="0"/>
          <w:color w:val="auto"/>
          <w:sz w:val="21"/>
          <w:szCs w:val="21"/>
          <w:highlight w:val="none"/>
          <w:u w:val="single"/>
        </w:rPr>
      </w:pPr>
    </w:p>
    <w:p>
      <w:pPr>
        <w:pStyle w:val="118"/>
        <w:spacing w:line="400" w:lineRule="exact"/>
        <w:rPr>
          <w:rFonts w:ascii="宋体" w:hAnsi="宋体" w:eastAsia="宋体" w:cs="宋体"/>
          <w:b w:val="0"/>
          <w:color w:val="auto"/>
          <w:sz w:val="21"/>
          <w:szCs w:val="21"/>
          <w:highlight w:val="none"/>
          <w:u w:val="single"/>
        </w:rPr>
      </w:pPr>
      <w:r>
        <w:rPr>
          <w:rFonts w:hint="eastAsia" w:ascii="宋体" w:hAnsi="宋体" w:eastAsia="宋体" w:cs="宋体"/>
          <w:b w:val="0"/>
          <w:color w:val="auto"/>
          <w:sz w:val="21"/>
          <w:szCs w:val="21"/>
          <w:highlight w:val="none"/>
          <w:u w:val="single"/>
        </w:rPr>
        <w:t xml:space="preserve">[工程名称] </w:t>
      </w:r>
    </w:p>
    <w:p>
      <w:pPr>
        <w:pStyle w:val="82"/>
        <w:spacing w:line="400" w:lineRule="exact"/>
        <w:ind w:firstLine="0" w:firstLineChars="0"/>
        <w:rPr>
          <w:rFonts w:ascii="宋体" w:hAnsi="宋体" w:cs="宋体"/>
          <w:color w:val="auto"/>
          <w:sz w:val="21"/>
          <w:szCs w:val="21"/>
          <w:highlight w:val="none"/>
        </w:rPr>
      </w:pPr>
    </w:p>
    <w:p>
      <w:pPr>
        <w:pStyle w:val="82"/>
        <w:spacing w:line="400" w:lineRule="exact"/>
        <w:ind w:firstLine="436"/>
        <w:rPr>
          <w:rFonts w:ascii="宋体" w:hAnsi="宋体" w:cs="宋体"/>
          <w:color w:val="auto"/>
          <w:sz w:val="21"/>
          <w:szCs w:val="21"/>
          <w:highlight w:val="none"/>
        </w:rPr>
      </w:pPr>
    </w:p>
    <w:p>
      <w:pPr>
        <w:pStyle w:val="139"/>
        <w:spacing w:line="400" w:lineRule="exact"/>
        <w:rPr>
          <w:rFonts w:ascii="宋体" w:hAnsi="宋体" w:eastAsia="宋体" w:cs="宋体"/>
          <w:b w:val="0"/>
          <w:color w:val="auto"/>
          <w:sz w:val="21"/>
          <w:szCs w:val="21"/>
          <w:highlight w:val="none"/>
        </w:rPr>
      </w:pPr>
    </w:p>
    <w:p>
      <w:pPr>
        <w:pStyle w:val="139"/>
        <w:spacing w:line="400" w:lineRule="exact"/>
        <w:rPr>
          <w:rFonts w:ascii="宋体" w:hAnsi="宋体" w:eastAsia="宋体" w:cs="宋体"/>
          <w:b w:val="0"/>
          <w:color w:val="auto"/>
          <w:sz w:val="21"/>
          <w:szCs w:val="21"/>
          <w:highlight w:val="none"/>
        </w:rPr>
      </w:pPr>
    </w:p>
    <w:p>
      <w:pPr>
        <w:pStyle w:val="139"/>
        <w:spacing w:line="500" w:lineRule="exact"/>
        <w:rPr>
          <w:rFonts w:ascii="宋体" w:hAnsi="宋体" w:eastAsia="宋体" w:cs="宋体"/>
          <w:b w:val="0"/>
          <w:color w:val="auto"/>
          <w:sz w:val="21"/>
          <w:szCs w:val="21"/>
          <w:highlight w:val="none"/>
        </w:rPr>
      </w:pPr>
    </w:p>
    <w:p>
      <w:pPr>
        <w:pStyle w:val="139"/>
        <w:spacing w:line="500" w:lineRule="exact"/>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w:t>
      </w:r>
    </w:p>
    <w:p>
      <w:pPr>
        <w:pStyle w:val="118"/>
        <w:spacing w:line="500" w:lineRule="exact"/>
        <w:rPr>
          <w:rFonts w:ascii="宋体" w:hAnsi="宋体" w:eastAsia="宋体" w:cs="宋体"/>
          <w:b w:val="0"/>
          <w:color w:val="auto"/>
          <w:sz w:val="21"/>
          <w:szCs w:val="21"/>
          <w:highlight w:val="none"/>
        </w:rPr>
      </w:pPr>
      <w:r>
        <w:rPr>
          <w:rFonts w:hint="eastAsia" w:ascii="宋体" w:eastAsia="宋体" w:cs="宋体"/>
          <w:b w:val="0"/>
          <w:color w:val="auto"/>
          <w:sz w:val="21"/>
          <w:szCs w:val="21"/>
          <w:highlight w:val="none"/>
        </w:rPr>
        <w:t>第二部分</w:t>
      </w:r>
      <w:r>
        <w:rPr>
          <w:rFonts w:hint="eastAsia" w:ascii="宋体" w:hAnsi="宋体" w:eastAsia="宋体" w:cs="宋体"/>
          <w:b w:val="0"/>
          <w:color w:val="auto"/>
          <w:sz w:val="21"/>
          <w:szCs w:val="21"/>
          <w:highlight w:val="none"/>
        </w:rPr>
        <w:t xml:space="preserve"> （经济标投标文件）</w:t>
      </w:r>
    </w:p>
    <w:p>
      <w:pPr>
        <w:pStyle w:val="82"/>
        <w:spacing w:line="400" w:lineRule="exact"/>
        <w:ind w:firstLine="436"/>
        <w:rPr>
          <w:rFonts w:ascii="宋体" w:hAnsi="宋体" w:cs="宋体"/>
          <w:color w:val="auto"/>
          <w:sz w:val="21"/>
          <w:szCs w:val="21"/>
          <w:highlight w:val="none"/>
        </w:rPr>
      </w:pPr>
    </w:p>
    <w:p>
      <w:pPr>
        <w:pStyle w:val="82"/>
        <w:spacing w:line="400" w:lineRule="exact"/>
        <w:ind w:firstLine="436"/>
        <w:rPr>
          <w:rFonts w:ascii="宋体" w:hAnsi="宋体" w:cs="宋体"/>
          <w:color w:val="auto"/>
          <w:sz w:val="21"/>
          <w:szCs w:val="21"/>
          <w:highlight w:val="none"/>
        </w:rPr>
      </w:pPr>
    </w:p>
    <w:p>
      <w:pPr>
        <w:pStyle w:val="120"/>
        <w:spacing w:line="400" w:lineRule="exact"/>
        <w:ind w:firstLine="436"/>
        <w:rPr>
          <w:rFonts w:ascii="宋体" w:hAnsi="宋体" w:eastAsia="宋体" w:cs="宋体"/>
          <w:color w:val="auto"/>
          <w:sz w:val="21"/>
          <w:szCs w:val="21"/>
          <w:highlight w:val="none"/>
        </w:rPr>
      </w:pPr>
    </w:p>
    <w:p>
      <w:pPr>
        <w:pStyle w:val="120"/>
        <w:spacing w:line="400" w:lineRule="exact"/>
        <w:ind w:firstLine="436"/>
        <w:rPr>
          <w:rFonts w:ascii="宋体" w:hAnsi="宋体" w:eastAsia="宋体" w:cs="宋体"/>
          <w:color w:val="auto"/>
          <w:sz w:val="21"/>
          <w:szCs w:val="21"/>
          <w:highlight w:val="none"/>
        </w:rPr>
      </w:pPr>
    </w:p>
    <w:p>
      <w:pPr>
        <w:pStyle w:val="120"/>
        <w:spacing w:line="400" w:lineRule="exact"/>
        <w:ind w:firstLine="436"/>
        <w:rPr>
          <w:rFonts w:ascii="宋体" w:hAnsi="宋体" w:eastAsia="宋体" w:cs="宋体"/>
          <w:color w:val="auto"/>
          <w:sz w:val="21"/>
          <w:szCs w:val="21"/>
          <w:highlight w:val="none"/>
        </w:rPr>
      </w:pPr>
    </w:p>
    <w:p>
      <w:pPr>
        <w:pStyle w:val="120"/>
        <w:spacing w:line="400" w:lineRule="exact"/>
        <w:ind w:firstLine="436"/>
        <w:rPr>
          <w:rFonts w:ascii="宋体" w:hAnsi="宋体" w:eastAsia="宋体" w:cs="宋体"/>
          <w:color w:val="auto"/>
          <w:sz w:val="21"/>
          <w:szCs w:val="21"/>
          <w:highlight w:val="none"/>
        </w:rPr>
      </w:pPr>
    </w:p>
    <w:p>
      <w:pPr>
        <w:pStyle w:val="120"/>
        <w:spacing w:line="400" w:lineRule="exact"/>
        <w:ind w:firstLine="436"/>
        <w:rPr>
          <w:rFonts w:ascii="宋体" w:hAnsi="宋体" w:eastAsia="宋体" w:cs="宋体"/>
          <w:color w:val="auto"/>
          <w:sz w:val="21"/>
          <w:szCs w:val="21"/>
          <w:highlight w:val="none"/>
        </w:rPr>
      </w:pPr>
    </w:p>
    <w:p>
      <w:pPr>
        <w:pStyle w:val="120"/>
        <w:spacing w:line="400" w:lineRule="exact"/>
        <w:ind w:firstLine="436"/>
        <w:rPr>
          <w:rFonts w:ascii="宋体" w:hAnsi="宋体" w:eastAsia="宋体" w:cs="宋体"/>
          <w:color w:val="auto"/>
          <w:sz w:val="21"/>
          <w:szCs w:val="21"/>
          <w:highlight w:val="none"/>
        </w:rPr>
      </w:pPr>
    </w:p>
    <w:p>
      <w:pPr>
        <w:pStyle w:val="120"/>
        <w:spacing w:line="400" w:lineRule="exact"/>
        <w:ind w:firstLine="0" w:firstLineChars="0"/>
        <w:rPr>
          <w:rFonts w:ascii="宋体" w:hAnsi="宋体" w:eastAsia="宋体" w:cs="宋体"/>
          <w:color w:val="auto"/>
          <w:sz w:val="21"/>
          <w:szCs w:val="21"/>
          <w:highlight w:val="none"/>
        </w:rPr>
      </w:pPr>
    </w:p>
    <w:p>
      <w:pPr>
        <w:pStyle w:val="120"/>
        <w:spacing w:line="400" w:lineRule="exact"/>
        <w:ind w:firstLine="436"/>
        <w:rPr>
          <w:rFonts w:ascii="宋体" w:hAnsi="宋体" w:eastAsia="宋体" w:cs="宋体"/>
          <w:color w:val="auto"/>
          <w:sz w:val="21"/>
          <w:szCs w:val="21"/>
          <w:highlight w:val="none"/>
        </w:rPr>
      </w:pPr>
    </w:p>
    <w:p>
      <w:pPr>
        <w:pStyle w:val="120"/>
        <w:spacing w:line="400" w:lineRule="exact"/>
        <w:ind w:firstLine="43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p>
    <w:p>
      <w:pPr>
        <w:pStyle w:val="120"/>
        <w:spacing w:line="400" w:lineRule="exact"/>
        <w:ind w:firstLine="43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4"/>
        <w:ind w:left="0" w:leftChars="0" w:firstLine="0" w:firstLineChars="0"/>
        <w:jc w:val="center"/>
        <w:rPr>
          <w:rFonts w:hint="default"/>
          <w:color w:val="auto"/>
          <w:highlight w:val="none"/>
          <w:lang w:val="en-US" w:eastAsia="zh-CN"/>
        </w:rPr>
      </w:pPr>
      <w:r>
        <w:rPr>
          <w:rFonts w:hint="eastAsia"/>
          <w:color w:val="auto"/>
          <w:highlight w:val="none"/>
          <w:lang w:val="en-US" w:eastAsia="zh-CN"/>
        </w:rPr>
        <w:t>工程量清单计价表</w:t>
      </w:r>
    </w:p>
    <w:p>
      <w:pPr>
        <w:pStyle w:val="14"/>
        <w:ind w:left="0" w:leftChars="0" w:firstLine="0" w:firstLineChars="0"/>
        <w:jc w:val="center"/>
        <w:rPr>
          <w:rFonts w:hint="eastAsia" w:cs="Times New Roman"/>
          <w:color w:val="auto"/>
          <w:highlight w:val="none"/>
          <w:lang w:val="en-US" w:eastAsia="zh-CN"/>
        </w:rPr>
      </w:pPr>
      <w:r>
        <w:rPr>
          <w:rFonts w:hint="eastAsia" w:cs="Times New Roman"/>
          <w:color w:val="auto"/>
          <w:highlight w:val="none"/>
          <w:lang w:val="en-US" w:eastAsia="zh-CN"/>
        </w:rPr>
        <w:t>根据第七章工程量清单的内容进行编制，格式自拟</w:t>
      </w: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pStyle w:val="124"/>
        <w:spacing w:beforeLines="0" w:after="120" w:line="400" w:lineRule="exact"/>
        <w:rPr>
          <w:rFonts w:hint="eastAsia" w:ascii="宋体" w:eastAsia="宋体" w:cs="宋体"/>
          <w:bCs/>
          <w:color w:val="auto"/>
          <w:sz w:val="22"/>
          <w:szCs w:val="22"/>
          <w:highlight w:val="none"/>
        </w:rPr>
      </w:pPr>
    </w:p>
    <w:p>
      <w:pPr>
        <w:rPr>
          <w:rFonts w:hint="eastAsia"/>
          <w:color w:val="auto"/>
          <w:highlight w:val="none"/>
        </w:rPr>
      </w:pPr>
      <w:r>
        <w:rPr>
          <w:rFonts w:hint="eastAsia" w:ascii="宋体" w:eastAsia="宋体" w:cs="宋体"/>
          <w:bCs/>
          <w:color w:val="auto"/>
          <w:sz w:val="22"/>
          <w:szCs w:val="22"/>
          <w:highlight w:val="none"/>
        </w:rPr>
        <w:br w:type="page"/>
      </w:r>
    </w:p>
    <w:bookmarkEnd w:id="46"/>
    <w:bookmarkEnd w:id="47"/>
    <w:bookmarkEnd w:id="48"/>
    <w:bookmarkEnd w:id="49"/>
    <w:bookmarkEnd w:id="50"/>
    <w:bookmarkEnd w:id="51"/>
    <w:bookmarkEnd w:id="52"/>
    <w:bookmarkEnd w:id="53"/>
    <w:bookmarkEnd w:id="54"/>
    <w:bookmarkEnd w:id="55"/>
    <w:bookmarkEnd w:id="56"/>
    <w:bookmarkEnd w:id="57"/>
    <w:bookmarkEnd w:id="58"/>
    <w:p>
      <w:pPr>
        <w:pStyle w:val="3"/>
        <w:jc w:val="center"/>
        <w:rPr>
          <w:rFonts w:ascii="宋体" w:hAnsi="宋体" w:cs="宋体"/>
          <w:b/>
          <w:color w:val="auto"/>
          <w:sz w:val="21"/>
          <w:szCs w:val="21"/>
          <w:highlight w:val="none"/>
        </w:rPr>
      </w:pPr>
      <w:bookmarkStart w:id="59" w:name="_Toc17698"/>
      <w:r>
        <w:rPr>
          <w:rFonts w:hint="eastAsia" w:ascii="宋体" w:hAnsi="宋体" w:cs="宋体"/>
          <w:b/>
          <w:color w:val="auto"/>
          <w:sz w:val="21"/>
          <w:szCs w:val="21"/>
          <w:highlight w:val="none"/>
        </w:rPr>
        <w:t>第五章  技术条件（工程建设标准）</w:t>
      </w:r>
      <w:bookmarkEnd w:id="59"/>
    </w:p>
    <w:p>
      <w:pPr>
        <w:spacing w:line="350" w:lineRule="exact"/>
        <w:rPr>
          <w:rFonts w:ascii="宋体" w:hAnsi="宋体" w:cs="宋体"/>
          <w:color w:val="auto"/>
          <w:szCs w:val="21"/>
          <w:highlight w:val="none"/>
        </w:rPr>
      </w:pPr>
      <w:r>
        <w:rPr>
          <w:rFonts w:hint="eastAsia" w:ascii="宋体" w:hAnsi="宋体" w:cs="宋体"/>
          <w:color w:val="auto"/>
          <w:szCs w:val="21"/>
          <w:highlight w:val="none"/>
        </w:rPr>
        <w:t>按照国家及有关部委颁布的标准、规范、和规程。若施工时期建设主管部门颁布新的规范、标准，则按照新的规范、标准执行。</w:t>
      </w:r>
    </w:p>
    <w:p>
      <w:pPr>
        <w:rPr>
          <w:rFonts w:ascii="宋体" w:hAnsi="宋体" w:cs="宋体"/>
          <w:color w:val="auto"/>
          <w:szCs w:val="21"/>
          <w:highlight w:val="none"/>
        </w:rPr>
      </w:pPr>
      <w:r>
        <w:rPr>
          <w:rFonts w:ascii="宋体" w:hAnsi="宋体" w:cs="宋体"/>
          <w:color w:val="auto"/>
          <w:szCs w:val="21"/>
          <w:highlight w:val="none"/>
        </w:rPr>
        <w:br w:type="page"/>
      </w:r>
    </w:p>
    <w:p>
      <w:pPr>
        <w:pStyle w:val="36"/>
        <w:ind w:firstLine="0"/>
        <w:rPr>
          <w:rFonts w:ascii="宋体" w:hAnsi="宋体" w:cs="宋体"/>
          <w:color w:val="auto"/>
          <w:szCs w:val="21"/>
          <w:highlight w:val="none"/>
        </w:rPr>
      </w:pPr>
    </w:p>
    <w:p>
      <w:pPr>
        <w:pStyle w:val="3"/>
        <w:jc w:val="center"/>
        <w:rPr>
          <w:rFonts w:ascii="宋体" w:hAnsi="宋体" w:cs="宋体"/>
          <w:b/>
          <w:bCs/>
          <w:color w:val="auto"/>
          <w:sz w:val="21"/>
          <w:szCs w:val="21"/>
          <w:highlight w:val="none"/>
        </w:rPr>
      </w:pPr>
      <w:bookmarkStart w:id="60" w:name="_Toc4616"/>
      <w:r>
        <w:rPr>
          <w:rFonts w:hint="eastAsia" w:ascii="宋体" w:hAnsi="宋体" w:cs="宋体"/>
          <w:b/>
          <w:bCs/>
          <w:color w:val="auto"/>
          <w:sz w:val="21"/>
          <w:szCs w:val="21"/>
          <w:highlight w:val="none"/>
        </w:rPr>
        <w:t>第六章  图纸及勘察资料</w:t>
      </w:r>
      <w:bookmarkEnd w:id="60"/>
    </w:p>
    <w:p>
      <w:pPr>
        <w:jc w:val="center"/>
        <w:rPr>
          <w:rFonts w:ascii="宋体" w:hAnsi="宋体" w:cs="宋体"/>
          <w:b/>
          <w:color w:val="auto"/>
          <w:szCs w:val="21"/>
          <w:highlight w:val="none"/>
        </w:rPr>
      </w:pPr>
      <w:r>
        <w:rPr>
          <w:rFonts w:hint="eastAsia" w:ascii="宋体" w:hAnsi="宋体" w:cs="宋体"/>
          <w:color w:val="auto"/>
          <w:szCs w:val="21"/>
          <w:highlight w:val="none"/>
        </w:rPr>
        <w:t>注：另册。</w:t>
      </w:r>
    </w:p>
    <w:p>
      <w:pPr>
        <w:pStyle w:val="3"/>
        <w:jc w:val="center"/>
        <w:rPr>
          <w:rFonts w:ascii="宋体" w:hAnsi="宋体" w:cs="宋体"/>
          <w:color w:val="auto"/>
          <w:sz w:val="21"/>
          <w:szCs w:val="21"/>
          <w:highlight w:val="none"/>
        </w:rPr>
      </w:pPr>
      <w:r>
        <w:rPr>
          <w:rFonts w:hint="eastAsia" w:ascii="宋体" w:hAnsi="宋体" w:cs="宋体"/>
          <w:color w:val="auto"/>
          <w:sz w:val="21"/>
          <w:szCs w:val="21"/>
          <w:highlight w:val="none"/>
        </w:rPr>
        <w:br w:type="page"/>
      </w:r>
      <w:bookmarkStart w:id="61" w:name="_Toc16409"/>
      <w:r>
        <w:rPr>
          <w:rFonts w:hint="eastAsia" w:ascii="宋体" w:hAnsi="宋体" w:cs="宋体"/>
          <w:b/>
          <w:bCs/>
          <w:color w:val="auto"/>
          <w:sz w:val="21"/>
          <w:szCs w:val="21"/>
          <w:highlight w:val="none"/>
        </w:rPr>
        <w:t>第七章  工程量清单</w:t>
      </w:r>
      <w:bookmarkEnd w:id="61"/>
    </w:p>
    <w:p>
      <w:pPr>
        <w:jc w:val="center"/>
        <w:rPr>
          <w:rFonts w:ascii="宋体" w:hAnsi="宋体" w:cs="宋体"/>
          <w:b/>
          <w:color w:val="auto"/>
          <w:szCs w:val="21"/>
          <w:highlight w:val="none"/>
        </w:rPr>
      </w:pPr>
      <w:r>
        <w:rPr>
          <w:rFonts w:hint="eastAsia" w:ascii="宋体" w:hAnsi="宋体" w:cs="宋体"/>
          <w:color w:val="auto"/>
          <w:szCs w:val="21"/>
          <w:highlight w:val="none"/>
        </w:rPr>
        <w:t>注：另册。</w:t>
      </w:r>
    </w:p>
    <w:p>
      <w:pPr>
        <w:pStyle w:val="36"/>
        <w:spacing w:after="0" w:line="360" w:lineRule="auto"/>
        <w:ind w:left="-2" w:leftChars="-1" w:firstLine="840" w:firstLineChars="400"/>
        <w:rPr>
          <w:rFonts w:ascii="宋体" w:hAnsi="宋体" w:eastAsia="宋体" w:cs="宋体"/>
          <w:color w:val="auto"/>
          <w:sz w:val="21"/>
          <w:szCs w:val="21"/>
          <w:highlight w:val="none"/>
        </w:rPr>
      </w:pPr>
    </w:p>
    <w:p>
      <w:pPr>
        <w:rPr>
          <w:rFonts w:ascii="宋体" w:hAnsi="宋体" w:cs="宋体"/>
          <w:color w:val="auto"/>
          <w:szCs w:val="21"/>
          <w:highlight w:val="none"/>
        </w:rPr>
      </w:pPr>
    </w:p>
    <w:p>
      <w:pPr>
        <w:pStyle w:val="3"/>
        <w:jc w:val="center"/>
        <w:rPr>
          <w:rFonts w:ascii="宋体" w:hAnsi="宋体" w:cs="宋体"/>
          <w:color w:val="auto"/>
          <w:sz w:val="21"/>
          <w:szCs w:val="21"/>
          <w:highlight w:val="none"/>
        </w:rPr>
      </w:pPr>
      <w:r>
        <w:rPr>
          <w:rFonts w:hint="eastAsia" w:ascii="宋体" w:hAnsi="宋体" w:cs="宋体"/>
          <w:color w:val="auto"/>
          <w:sz w:val="21"/>
          <w:szCs w:val="21"/>
          <w:highlight w:val="none"/>
        </w:rPr>
        <w:br w:type="page"/>
      </w:r>
      <w:bookmarkStart w:id="62" w:name="_Toc13320"/>
      <w:r>
        <w:rPr>
          <w:rFonts w:hint="eastAsia" w:ascii="宋体" w:hAnsi="宋体" w:cs="宋体"/>
          <w:b/>
          <w:bCs/>
          <w:color w:val="auto"/>
          <w:sz w:val="21"/>
          <w:szCs w:val="21"/>
          <w:highlight w:val="none"/>
        </w:rPr>
        <w:t>第八章  最高投标限价</w:t>
      </w:r>
      <w:bookmarkEnd w:id="62"/>
    </w:p>
    <w:p>
      <w:pPr>
        <w:spacing w:line="360" w:lineRule="auto"/>
        <w:ind w:firstLine="480"/>
        <w:jc w:val="center"/>
        <w:rPr>
          <w:rFonts w:ascii="宋体" w:hAnsi="宋体" w:cs="宋体"/>
          <w:color w:val="auto"/>
          <w:szCs w:val="21"/>
          <w:highlight w:val="none"/>
          <w:u w:val="single"/>
        </w:rPr>
      </w:pPr>
      <w:r>
        <w:rPr>
          <w:rFonts w:hint="eastAsia" w:ascii="宋体" w:hAnsi="宋体" w:cs="宋体"/>
          <w:color w:val="auto"/>
          <w:szCs w:val="21"/>
          <w:highlight w:val="none"/>
        </w:rPr>
        <w:t>注：另册</w:t>
      </w:r>
    </w:p>
    <w:p>
      <w:pPr>
        <w:rPr>
          <w:rFonts w:ascii="宋体" w:hAnsi="宋体" w:cs="宋体"/>
          <w:color w:val="auto"/>
          <w:szCs w:val="21"/>
          <w:highlight w:val="none"/>
        </w:rPr>
      </w:pPr>
    </w:p>
    <w:p>
      <w:pPr>
        <w:rPr>
          <w:rFonts w:ascii="宋体" w:hAnsi="宋体"/>
          <w:color w:val="auto"/>
          <w:szCs w:val="21"/>
          <w:highlight w:val="none"/>
        </w:rPr>
      </w:pPr>
    </w:p>
    <w:p>
      <w:pPr>
        <w:pStyle w:val="5"/>
        <w:spacing w:line="360" w:lineRule="auto"/>
        <w:rPr>
          <w:rFonts w:ascii="宋体" w:hAnsi="宋体" w:eastAsia="宋体"/>
          <w:color w:val="auto"/>
          <w:szCs w:val="21"/>
          <w:highlight w:val="none"/>
        </w:rPr>
      </w:pPr>
    </w:p>
    <w:bookmarkEnd w:id="0"/>
    <w:p>
      <w:pPr>
        <w:rPr>
          <w:rFonts w:ascii="宋体" w:hAnsi="宋体"/>
          <w:color w:val="auto"/>
          <w:szCs w:val="21"/>
          <w:highlight w:val="none"/>
        </w:rPr>
      </w:pPr>
    </w:p>
    <w:sectPr>
      <w:headerReference r:id="rId15" w:type="default"/>
      <w:footerReference r:id="rId16"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ind w:firstLine="392"/>
                            <w:jc w:val="right"/>
                          </w:pPr>
                          <w:r>
                            <w:fldChar w:fldCharType="begin"/>
                          </w:r>
                          <w:r>
                            <w:rPr>
                              <w:rStyle w:val="43"/>
                            </w:rPr>
                            <w:instrText xml:space="preserve">PAGE  </w:instrText>
                          </w:r>
                          <w:r>
                            <w:fldChar w:fldCharType="separate"/>
                          </w:r>
                          <w:r>
                            <w:rPr>
                              <w:rStyle w:val="43"/>
                            </w:rPr>
                            <w:t>47</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hPNc4BAACoAwAADgAAAGRycy9lMm9Eb2MueG1srVPNjtMwEL4j8Q6W&#10;7zRpD6hE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asmZE5Ze/PL92+XHr8vPr+xN&#10;0qcPWFHZQ6DCONz5gbZmjiMFE+2hBZu+RIhRntQ9X9VVQ2QyXVqv1uuSUpJys0P4xeP1ABjfKm9Z&#10;MmoO9HxZVXF6j3EsnUtSN+fvtTH5CY37K0CYY0TlHZhuJybjxMmKw36Y6O19cyZ2Pe1BzR2tPWfm&#10;nSOZ08rMBszGfjaOAfSho0GXeUoMt8dII+VJU4cRlhgmhx4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mYTzXOAQAAqAMAAA4AAAAAAAAAAQAgAAAAHgEAAGRycy9l&#10;Mm9Eb2MueG1sUEsFBgAAAAAGAAYAWQEAAF4FAAAAAA==&#10;">
              <v:fill on="f" focussize="0,0"/>
              <v:stroke on="f"/>
              <v:imagedata o:title=""/>
              <o:lock v:ext="edit" aspectratio="f"/>
              <v:textbox inset="0mm,0mm,0mm,0mm" style="mso-fit-shape-to-text:t;">
                <w:txbxContent>
                  <w:p>
                    <w:pPr>
                      <w:pStyle w:val="24"/>
                      <w:ind w:firstLine="392"/>
                      <w:jc w:val="right"/>
                    </w:pPr>
                    <w:r>
                      <w:fldChar w:fldCharType="begin"/>
                    </w:r>
                    <w:r>
                      <w:rPr>
                        <w:rStyle w:val="43"/>
                      </w:rPr>
                      <w:instrText xml:space="preserve">PAGE  </w:instrText>
                    </w:r>
                    <w:r>
                      <w:fldChar w:fldCharType="separate"/>
                    </w:r>
                    <w:r>
                      <w:rPr>
                        <w:rStyle w:val="43"/>
                      </w:rP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2mZF7OAQAAqQMAAA4AAAAAAAAAAQAgAAAAHgEAAGRycy9l&#10;Mm9Eb2MueG1sUEsFBgAAAAAGAAYAWQEAAF4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rPr>
                              <w:rStyle w:val="43"/>
                            </w:rPr>
                          </w:pPr>
                          <w:r>
                            <w:fldChar w:fldCharType="begin"/>
                          </w:r>
                          <w:r>
                            <w:rPr>
                              <w:rStyle w:val="43"/>
                            </w:rPr>
                            <w:instrText xml:space="preserve">PAGE  </w:instrText>
                          </w:r>
                          <w:r>
                            <w:fldChar w:fldCharType="separate"/>
                          </w:r>
                          <w:r>
                            <w:rPr>
                              <w:rStyle w:val="43"/>
                            </w:rPr>
                            <w:t>49</w:t>
                          </w:r>
                          <w:r>
                            <w:fldChar w:fldCharType="end"/>
                          </w:r>
                        </w:p>
                        <w:p>
                          <w:pPr>
                            <w:pStyle w:val="24"/>
                            <w:ind w:left="-4410" w:leftChars="-2100" w:right="-4439" w:rightChars="-2114"/>
                            <w:rPr>
                              <w:rStyle w:val="43"/>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by84BAACoAwAADgAAAGRycy9lMm9Eb2MueG1srVPNjtMwEL4j8Q6W&#10;7zRpkVCJ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EOb8JozJyy9+OX7t8uPX5efX9nL&#10;pE/vsaKyO0+FcXgLA9XOcaRgoj20waYvEWKUJ3XPV3XVEJlMl9ar9bqklKTc7BB+8XDdB4zvFFiW&#10;jJoHer6sqjh9wDiWziWpm4NbbUx+QuP+ChDmGFF5B6bbick4cbLisB8mentozsSupz2ouaO158y8&#10;dyRzWpnZCLOxn42jD/rQ0aDLPCX6N8dII+VJU4cRlhgmhx4wc52WLW3In36uevj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nfm8vOAQAAqAMAAA4AAAAAAAAAAQAgAAAAHgEAAGRycy9l&#10;Mm9Eb2MueG1sUEsFBgAAAAAGAAYAWQEAAF4FAAAAAA==&#10;">
              <v:fill on="f" focussize="0,0"/>
              <v:stroke on="f"/>
              <v:imagedata o:title=""/>
              <o:lock v:ext="edit" aspectratio="f"/>
              <v:textbox inset="0mm,0mm,0mm,0mm" style="mso-fit-shape-to-text:t;">
                <w:txbxContent>
                  <w:p>
                    <w:pPr>
                      <w:pStyle w:val="24"/>
                      <w:jc w:val="center"/>
                      <w:rPr>
                        <w:rStyle w:val="43"/>
                      </w:rPr>
                    </w:pPr>
                    <w:r>
                      <w:fldChar w:fldCharType="begin"/>
                    </w:r>
                    <w:r>
                      <w:rPr>
                        <w:rStyle w:val="43"/>
                      </w:rPr>
                      <w:instrText xml:space="preserve">PAGE  </w:instrText>
                    </w:r>
                    <w:r>
                      <w:fldChar w:fldCharType="separate"/>
                    </w:r>
                    <w:r>
                      <w:rPr>
                        <w:rStyle w:val="43"/>
                      </w:rPr>
                      <w:t>49</w:t>
                    </w:r>
                    <w:r>
                      <w:fldChar w:fldCharType="end"/>
                    </w:r>
                  </w:p>
                  <w:p>
                    <w:pPr>
                      <w:pStyle w:val="24"/>
                      <w:ind w:left="-4410" w:leftChars="-2100" w:right="-4439" w:rightChars="-2114"/>
                      <w:rPr>
                        <w:rStyle w:val="43"/>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pPr>
                          <w:r>
                            <w:fldChar w:fldCharType="begin"/>
                          </w:r>
                          <w:r>
                            <w:rPr>
                              <w:rStyle w:val="43"/>
                            </w:rPr>
                            <w:instrText xml:space="preserve"> PAGE </w:instrText>
                          </w:r>
                          <w:r>
                            <w:fldChar w:fldCharType="separate"/>
                          </w:r>
                          <w:r>
                            <w:rPr>
                              <w:rStyle w:val="43"/>
                            </w:rPr>
                            <w:t>48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NdwBrOAQAAqAMAAA4AAAAAAAAAAQAgAAAAHgEAAGRycy9l&#10;Mm9Eb2MueG1sUEsFBgAAAAAGAAYAWQEAAF4FAAAAAA==&#10;">
              <v:fill on="f" focussize="0,0"/>
              <v:stroke on="f"/>
              <v:imagedata o:title=""/>
              <o:lock v:ext="edit" aspectratio="f"/>
              <v:textbox inset="0mm,0mm,0mm,0mm" style="mso-fit-shape-to-text:t;">
                <w:txbxContent>
                  <w:p>
                    <w:pPr>
                      <w:pStyle w:val="24"/>
                      <w:jc w:val="center"/>
                    </w:pPr>
                    <w:r>
                      <w:fldChar w:fldCharType="begin"/>
                    </w:r>
                    <w:r>
                      <w:rPr>
                        <w:rStyle w:val="43"/>
                      </w:rPr>
                      <w:instrText xml:space="preserve"> PAGE </w:instrText>
                    </w:r>
                    <w:r>
                      <w:fldChar w:fldCharType="separate"/>
                    </w:r>
                    <w:r>
                      <w:rPr>
                        <w:rStyle w:val="43"/>
                      </w:rP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rPr>
                              <w:rStyle w:val="43"/>
                            </w:rPr>
                          </w:pPr>
                          <w:r>
                            <w:fldChar w:fldCharType="begin"/>
                          </w:r>
                          <w:r>
                            <w:rPr>
                              <w:rStyle w:val="43"/>
                            </w:rPr>
                            <w:instrText xml:space="preserve">PAGE  </w:instrText>
                          </w:r>
                          <w:r>
                            <w:fldChar w:fldCharType="separate"/>
                          </w:r>
                          <w:r>
                            <w:rPr>
                              <w:rStyle w:val="43"/>
                            </w:rPr>
                            <w:t>68</w:t>
                          </w:r>
                          <w:r>
                            <w:fldChar w:fldCharType="end"/>
                          </w:r>
                        </w:p>
                        <w:p>
                          <w:pPr>
                            <w:pStyle w:val="24"/>
                            <w:ind w:left="-4410" w:leftChars="-2100" w:right="-4439" w:rightChars="-2114"/>
                            <w:rPr>
                              <w:rStyle w:val="43"/>
                            </w:rPr>
                          </w:pP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xwIZbIAQAAnQMAAA4AAAAAAAAAAQAgAAAAHgEAAGRycy9lMm9Eb2Mu&#10;eG1sUEsFBgAAAAAGAAYAWQEAAFgFAAAAAA==&#10;">
              <v:fill on="f" focussize="0,0"/>
              <v:stroke on="f"/>
              <v:imagedata o:title=""/>
              <o:lock v:ext="edit" aspectratio="f"/>
              <v:textbox inset="0mm,0mm,0mm,0mm" style="mso-fit-shape-to-text:t;">
                <w:txbxContent>
                  <w:p>
                    <w:pPr>
                      <w:pStyle w:val="24"/>
                      <w:jc w:val="center"/>
                      <w:rPr>
                        <w:rStyle w:val="43"/>
                      </w:rPr>
                    </w:pPr>
                    <w:r>
                      <w:fldChar w:fldCharType="begin"/>
                    </w:r>
                    <w:r>
                      <w:rPr>
                        <w:rStyle w:val="43"/>
                      </w:rPr>
                      <w:instrText xml:space="preserve">PAGE  </w:instrText>
                    </w:r>
                    <w:r>
                      <w:fldChar w:fldCharType="separate"/>
                    </w:r>
                    <w:r>
                      <w:rPr>
                        <w:rStyle w:val="43"/>
                      </w:rPr>
                      <w:t>68</w:t>
                    </w:r>
                    <w:r>
                      <w:fldChar w:fldCharType="end"/>
                    </w:r>
                  </w:p>
                  <w:p>
                    <w:pPr>
                      <w:pStyle w:val="24"/>
                      <w:ind w:left="-4410" w:leftChars="-2100" w:right="-4439" w:rightChars="-2114"/>
                      <w:rPr>
                        <w:rStyle w:val="4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E3015F"/>
    <w:multiLevelType w:val="singleLevel"/>
    <w:tmpl w:val="E3E3015F"/>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chineseCountingThousand"/>
      <w:pStyle w:val="126"/>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2">
    <w:nsid w:val="00000002"/>
    <w:multiLevelType w:val="multilevel"/>
    <w:tmpl w:val="00000002"/>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removePersonalInformation/>
  <w:bordersDoNotSurroundHeader w:val="0"/>
  <w:bordersDoNotSurroundFooter w:val="0"/>
  <w:documentProtection w:enforcement="0"/>
  <w:defaultTabStop w:val="420"/>
  <w:drawingGridHorizontalSpacing w:val="10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1ZTU2MDI5ZjM5NGI3YjBkZjQ4MDgxNGViYTE0OTMifQ=="/>
  </w:docVars>
  <w:rsids>
    <w:rsidRoot w:val="00172A27"/>
    <w:rsid w:val="00001142"/>
    <w:rsid w:val="000028A7"/>
    <w:rsid w:val="000056DB"/>
    <w:rsid w:val="000062B0"/>
    <w:rsid w:val="00006567"/>
    <w:rsid w:val="00006CFA"/>
    <w:rsid w:val="00006E37"/>
    <w:rsid w:val="000071DE"/>
    <w:rsid w:val="000076B6"/>
    <w:rsid w:val="00007959"/>
    <w:rsid w:val="0001017B"/>
    <w:rsid w:val="00010694"/>
    <w:rsid w:val="0001079E"/>
    <w:rsid w:val="000123EF"/>
    <w:rsid w:val="00013CBE"/>
    <w:rsid w:val="0001563A"/>
    <w:rsid w:val="00017C6E"/>
    <w:rsid w:val="000218C3"/>
    <w:rsid w:val="00021949"/>
    <w:rsid w:val="00021973"/>
    <w:rsid w:val="00022BE9"/>
    <w:rsid w:val="00023436"/>
    <w:rsid w:val="00024A89"/>
    <w:rsid w:val="00025B94"/>
    <w:rsid w:val="00026B85"/>
    <w:rsid w:val="00026E1B"/>
    <w:rsid w:val="00027067"/>
    <w:rsid w:val="0003068E"/>
    <w:rsid w:val="000309D6"/>
    <w:rsid w:val="00031305"/>
    <w:rsid w:val="00031440"/>
    <w:rsid w:val="000349EA"/>
    <w:rsid w:val="00034CDF"/>
    <w:rsid w:val="00036E3E"/>
    <w:rsid w:val="000377B6"/>
    <w:rsid w:val="00037D98"/>
    <w:rsid w:val="00040158"/>
    <w:rsid w:val="00040477"/>
    <w:rsid w:val="00042AF5"/>
    <w:rsid w:val="00042FB9"/>
    <w:rsid w:val="00046EE3"/>
    <w:rsid w:val="00047019"/>
    <w:rsid w:val="00047527"/>
    <w:rsid w:val="00052FED"/>
    <w:rsid w:val="00054B43"/>
    <w:rsid w:val="00055237"/>
    <w:rsid w:val="00055DF7"/>
    <w:rsid w:val="00057533"/>
    <w:rsid w:val="00057EBA"/>
    <w:rsid w:val="00060122"/>
    <w:rsid w:val="0006031F"/>
    <w:rsid w:val="00061D32"/>
    <w:rsid w:val="00062D16"/>
    <w:rsid w:val="00064014"/>
    <w:rsid w:val="00064AA9"/>
    <w:rsid w:val="000664FF"/>
    <w:rsid w:val="00066946"/>
    <w:rsid w:val="000746D4"/>
    <w:rsid w:val="00081FBE"/>
    <w:rsid w:val="00082916"/>
    <w:rsid w:val="00083326"/>
    <w:rsid w:val="000848FA"/>
    <w:rsid w:val="00084917"/>
    <w:rsid w:val="00084A50"/>
    <w:rsid w:val="00084BB7"/>
    <w:rsid w:val="00085A98"/>
    <w:rsid w:val="00085C9A"/>
    <w:rsid w:val="00086134"/>
    <w:rsid w:val="00086BB0"/>
    <w:rsid w:val="00086DBD"/>
    <w:rsid w:val="00086FA7"/>
    <w:rsid w:val="000908B5"/>
    <w:rsid w:val="000924F6"/>
    <w:rsid w:val="000938D2"/>
    <w:rsid w:val="000959CA"/>
    <w:rsid w:val="00096449"/>
    <w:rsid w:val="00096877"/>
    <w:rsid w:val="000968DC"/>
    <w:rsid w:val="00097DEE"/>
    <w:rsid w:val="000A024E"/>
    <w:rsid w:val="000A0AAD"/>
    <w:rsid w:val="000A0BFC"/>
    <w:rsid w:val="000A16B9"/>
    <w:rsid w:val="000A232F"/>
    <w:rsid w:val="000A348A"/>
    <w:rsid w:val="000A4116"/>
    <w:rsid w:val="000B025B"/>
    <w:rsid w:val="000B0601"/>
    <w:rsid w:val="000B0CE2"/>
    <w:rsid w:val="000B1BC3"/>
    <w:rsid w:val="000B3946"/>
    <w:rsid w:val="000B56D5"/>
    <w:rsid w:val="000B6597"/>
    <w:rsid w:val="000B70A2"/>
    <w:rsid w:val="000B743E"/>
    <w:rsid w:val="000C02D0"/>
    <w:rsid w:val="000C040D"/>
    <w:rsid w:val="000C0E14"/>
    <w:rsid w:val="000C1B5D"/>
    <w:rsid w:val="000C37C7"/>
    <w:rsid w:val="000C46F0"/>
    <w:rsid w:val="000C5F01"/>
    <w:rsid w:val="000C6DFE"/>
    <w:rsid w:val="000D07D5"/>
    <w:rsid w:val="000D115A"/>
    <w:rsid w:val="000D2420"/>
    <w:rsid w:val="000D3661"/>
    <w:rsid w:val="000D38F9"/>
    <w:rsid w:val="000D4432"/>
    <w:rsid w:val="000D4C25"/>
    <w:rsid w:val="000E21B6"/>
    <w:rsid w:val="000E3E56"/>
    <w:rsid w:val="000E570B"/>
    <w:rsid w:val="000E6C9B"/>
    <w:rsid w:val="000E6EC4"/>
    <w:rsid w:val="000F2019"/>
    <w:rsid w:val="000F211E"/>
    <w:rsid w:val="000F2798"/>
    <w:rsid w:val="000F59DA"/>
    <w:rsid w:val="000F7FB9"/>
    <w:rsid w:val="001002F6"/>
    <w:rsid w:val="001004E9"/>
    <w:rsid w:val="001008F7"/>
    <w:rsid w:val="001011EB"/>
    <w:rsid w:val="001032F1"/>
    <w:rsid w:val="00103962"/>
    <w:rsid w:val="00104001"/>
    <w:rsid w:val="00104752"/>
    <w:rsid w:val="0010554E"/>
    <w:rsid w:val="001060A2"/>
    <w:rsid w:val="001061E7"/>
    <w:rsid w:val="001067F1"/>
    <w:rsid w:val="00106C25"/>
    <w:rsid w:val="00110410"/>
    <w:rsid w:val="00110925"/>
    <w:rsid w:val="00110C5A"/>
    <w:rsid w:val="00111AB3"/>
    <w:rsid w:val="00113538"/>
    <w:rsid w:val="00114DC3"/>
    <w:rsid w:val="001153B4"/>
    <w:rsid w:val="00116E92"/>
    <w:rsid w:val="00117447"/>
    <w:rsid w:val="001179AF"/>
    <w:rsid w:val="00120656"/>
    <w:rsid w:val="001211FF"/>
    <w:rsid w:val="00121D27"/>
    <w:rsid w:val="00121F3B"/>
    <w:rsid w:val="00122C2F"/>
    <w:rsid w:val="00123EDB"/>
    <w:rsid w:val="001267E3"/>
    <w:rsid w:val="00126DF5"/>
    <w:rsid w:val="0013183D"/>
    <w:rsid w:val="00134113"/>
    <w:rsid w:val="001343A5"/>
    <w:rsid w:val="001366DA"/>
    <w:rsid w:val="001368BD"/>
    <w:rsid w:val="0013711F"/>
    <w:rsid w:val="001378C1"/>
    <w:rsid w:val="00140436"/>
    <w:rsid w:val="0014147C"/>
    <w:rsid w:val="001432DA"/>
    <w:rsid w:val="00143A22"/>
    <w:rsid w:val="001451AF"/>
    <w:rsid w:val="001477B2"/>
    <w:rsid w:val="00147843"/>
    <w:rsid w:val="00153D87"/>
    <w:rsid w:val="00153E56"/>
    <w:rsid w:val="00153F37"/>
    <w:rsid w:val="00155E65"/>
    <w:rsid w:val="0015654F"/>
    <w:rsid w:val="0015688A"/>
    <w:rsid w:val="001616FD"/>
    <w:rsid w:val="00163B16"/>
    <w:rsid w:val="00164D68"/>
    <w:rsid w:val="0016705C"/>
    <w:rsid w:val="001716D6"/>
    <w:rsid w:val="00171CE0"/>
    <w:rsid w:val="00171F6E"/>
    <w:rsid w:val="00172A27"/>
    <w:rsid w:val="001749E8"/>
    <w:rsid w:val="0017520F"/>
    <w:rsid w:val="001752B3"/>
    <w:rsid w:val="00176C14"/>
    <w:rsid w:val="00177BA9"/>
    <w:rsid w:val="001812E3"/>
    <w:rsid w:val="00181F49"/>
    <w:rsid w:val="001834EC"/>
    <w:rsid w:val="00183579"/>
    <w:rsid w:val="00184DE6"/>
    <w:rsid w:val="00185429"/>
    <w:rsid w:val="001857C5"/>
    <w:rsid w:val="00185C38"/>
    <w:rsid w:val="00186997"/>
    <w:rsid w:val="00190E8E"/>
    <w:rsid w:val="00191319"/>
    <w:rsid w:val="0019149A"/>
    <w:rsid w:val="00191F9F"/>
    <w:rsid w:val="0019439F"/>
    <w:rsid w:val="001948F5"/>
    <w:rsid w:val="00194B60"/>
    <w:rsid w:val="00194CE6"/>
    <w:rsid w:val="001951E6"/>
    <w:rsid w:val="00195608"/>
    <w:rsid w:val="001967D0"/>
    <w:rsid w:val="001975E0"/>
    <w:rsid w:val="00197E17"/>
    <w:rsid w:val="001A0C18"/>
    <w:rsid w:val="001A21EC"/>
    <w:rsid w:val="001A38FB"/>
    <w:rsid w:val="001A46A7"/>
    <w:rsid w:val="001A607A"/>
    <w:rsid w:val="001A664D"/>
    <w:rsid w:val="001A66B3"/>
    <w:rsid w:val="001A78DB"/>
    <w:rsid w:val="001B0554"/>
    <w:rsid w:val="001B09C3"/>
    <w:rsid w:val="001B11AF"/>
    <w:rsid w:val="001B14E8"/>
    <w:rsid w:val="001B1AD5"/>
    <w:rsid w:val="001B4BAF"/>
    <w:rsid w:val="001B4C98"/>
    <w:rsid w:val="001B58CA"/>
    <w:rsid w:val="001B5C89"/>
    <w:rsid w:val="001B5EFE"/>
    <w:rsid w:val="001B6D36"/>
    <w:rsid w:val="001B7323"/>
    <w:rsid w:val="001C0E7E"/>
    <w:rsid w:val="001C187D"/>
    <w:rsid w:val="001C6170"/>
    <w:rsid w:val="001C655D"/>
    <w:rsid w:val="001D07E4"/>
    <w:rsid w:val="001D2385"/>
    <w:rsid w:val="001D2E25"/>
    <w:rsid w:val="001D37F9"/>
    <w:rsid w:val="001D4ABE"/>
    <w:rsid w:val="001D7BB0"/>
    <w:rsid w:val="001E0C77"/>
    <w:rsid w:val="001E12E0"/>
    <w:rsid w:val="001E2209"/>
    <w:rsid w:val="001E2776"/>
    <w:rsid w:val="001E4D99"/>
    <w:rsid w:val="001E5A2C"/>
    <w:rsid w:val="001E5DB3"/>
    <w:rsid w:val="001E6ABB"/>
    <w:rsid w:val="001F078F"/>
    <w:rsid w:val="001F26A4"/>
    <w:rsid w:val="001F3AA2"/>
    <w:rsid w:val="001F465F"/>
    <w:rsid w:val="001F4E79"/>
    <w:rsid w:val="001F5417"/>
    <w:rsid w:val="001F607E"/>
    <w:rsid w:val="001F6978"/>
    <w:rsid w:val="001F7503"/>
    <w:rsid w:val="00203152"/>
    <w:rsid w:val="002048F4"/>
    <w:rsid w:val="0020625D"/>
    <w:rsid w:val="00210A6E"/>
    <w:rsid w:val="002113F5"/>
    <w:rsid w:val="0021566D"/>
    <w:rsid w:val="002162EE"/>
    <w:rsid w:val="00216750"/>
    <w:rsid w:val="00220823"/>
    <w:rsid w:val="00222881"/>
    <w:rsid w:val="00222BC0"/>
    <w:rsid w:val="00222C01"/>
    <w:rsid w:val="0022318D"/>
    <w:rsid w:val="00223629"/>
    <w:rsid w:val="002240B1"/>
    <w:rsid w:val="002252A2"/>
    <w:rsid w:val="00225521"/>
    <w:rsid w:val="002258EB"/>
    <w:rsid w:val="002267B7"/>
    <w:rsid w:val="00230B55"/>
    <w:rsid w:val="00230DFB"/>
    <w:rsid w:val="00231330"/>
    <w:rsid w:val="00232AF9"/>
    <w:rsid w:val="00233D99"/>
    <w:rsid w:val="00234D33"/>
    <w:rsid w:val="002365DE"/>
    <w:rsid w:val="0023710A"/>
    <w:rsid w:val="00237910"/>
    <w:rsid w:val="00237997"/>
    <w:rsid w:val="00237CBA"/>
    <w:rsid w:val="00237DF7"/>
    <w:rsid w:val="002405AE"/>
    <w:rsid w:val="00241080"/>
    <w:rsid w:val="00241D0E"/>
    <w:rsid w:val="00246A6D"/>
    <w:rsid w:val="002503A5"/>
    <w:rsid w:val="0025160E"/>
    <w:rsid w:val="00251DC3"/>
    <w:rsid w:val="00255F97"/>
    <w:rsid w:val="0025686D"/>
    <w:rsid w:val="002579CE"/>
    <w:rsid w:val="00261630"/>
    <w:rsid w:val="00262116"/>
    <w:rsid w:val="00262406"/>
    <w:rsid w:val="0026280C"/>
    <w:rsid w:val="0026357B"/>
    <w:rsid w:val="002635CB"/>
    <w:rsid w:val="00265160"/>
    <w:rsid w:val="002654A5"/>
    <w:rsid w:val="00265C2A"/>
    <w:rsid w:val="00266188"/>
    <w:rsid w:val="00266ADF"/>
    <w:rsid w:val="00266B0A"/>
    <w:rsid w:val="00266F73"/>
    <w:rsid w:val="00267562"/>
    <w:rsid w:val="00270E63"/>
    <w:rsid w:val="00271F95"/>
    <w:rsid w:val="00272CF5"/>
    <w:rsid w:val="002736FF"/>
    <w:rsid w:val="002745F4"/>
    <w:rsid w:val="00275A36"/>
    <w:rsid w:val="00277D07"/>
    <w:rsid w:val="002801C7"/>
    <w:rsid w:val="00280B69"/>
    <w:rsid w:val="00282DE9"/>
    <w:rsid w:val="00283773"/>
    <w:rsid w:val="0028411D"/>
    <w:rsid w:val="00286B2A"/>
    <w:rsid w:val="0028736C"/>
    <w:rsid w:val="0029146A"/>
    <w:rsid w:val="002919EF"/>
    <w:rsid w:val="00291C73"/>
    <w:rsid w:val="0029200E"/>
    <w:rsid w:val="00292554"/>
    <w:rsid w:val="002935A8"/>
    <w:rsid w:val="00293BAA"/>
    <w:rsid w:val="00295ABC"/>
    <w:rsid w:val="002A12D4"/>
    <w:rsid w:val="002A2212"/>
    <w:rsid w:val="002A26CC"/>
    <w:rsid w:val="002A2F45"/>
    <w:rsid w:val="002A3EC8"/>
    <w:rsid w:val="002A507C"/>
    <w:rsid w:val="002A5204"/>
    <w:rsid w:val="002A52F3"/>
    <w:rsid w:val="002A5375"/>
    <w:rsid w:val="002A63B6"/>
    <w:rsid w:val="002A66D1"/>
    <w:rsid w:val="002A7DC3"/>
    <w:rsid w:val="002A7FFB"/>
    <w:rsid w:val="002B0532"/>
    <w:rsid w:val="002B13CF"/>
    <w:rsid w:val="002B1ED0"/>
    <w:rsid w:val="002B2873"/>
    <w:rsid w:val="002B3A9F"/>
    <w:rsid w:val="002B444F"/>
    <w:rsid w:val="002B4977"/>
    <w:rsid w:val="002B578D"/>
    <w:rsid w:val="002B582C"/>
    <w:rsid w:val="002B7146"/>
    <w:rsid w:val="002C1122"/>
    <w:rsid w:val="002C21BA"/>
    <w:rsid w:val="002C26BF"/>
    <w:rsid w:val="002C50EF"/>
    <w:rsid w:val="002C5ECB"/>
    <w:rsid w:val="002D0177"/>
    <w:rsid w:val="002D121C"/>
    <w:rsid w:val="002D26B0"/>
    <w:rsid w:val="002D2B52"/>
    <w:rsid w:val="002D2E34"/>
    <w:rsid w:val="002D3296"/>
    <w:rsid w:val="002D4376"/>
    <w:rsid w:val="002D5260"/>
    <w:rsid w:val="002D6E17"/>
    <w:rsid w:val="002E07E4"/>
    <w:rsid w:val="002E1CE4"/>
    <w:rsid w:val="002E1D05"/>
    <w:rsid w:val="002E44F4"/>
    <w:rsid w:val="002E48A6"/>
    <w:rsid w:val="002E48B3"/>
    <w:rsid w:val="002E55DE"/>
    <w:rsid w:val="002E5AE8"/>
    <w:rsid w:val="002E6479"/>
    <w:rsid w:val="002E6BC2"/>
    <w:rsid w:val="002E7FBA"/>
    <w:rsid w:val="002F0161"/>
    <w:rsid w:val="002F01A6"/>
    <w:rsid w:val="002F0C8E"/>
    <w:rsid w:val="002F10B1"/>
    <w:rsid w:val="002F1D76"/>
    <w:rsid w:val="002F330D"/>
    <w:rsid w:val="002F4BC2"/>
    <w:rsid w:val="002F5A04"/>
    <w:rsid w:val="0030197D"/>
    <w:rsid w:val="00302392"/>
    <w:rsid w:val="003044FA"/>
    <w:rsid w:val="00305911"/>
    <w:rsid w:val="00305DDC"/>
    <w:rsid w:val="003066B7"/>
    <w:rsid w:val="00307641"/>
    <w:rsid w:val="00307E3D"/>
    <w:rsid w:val="003115D8"/>
    <w:rsid w:val="00312176"/>
    <w:rsid w:val="00313A9D"/>
    <w:rsid w:val="00313B74"/>
    <w:rsid w:val="00314909"/>
    <w:rsid w:val="00317A3E"/>
    <w:rsid w:val="003219B6"/>
    <w:rsid w:val="00321A6D"/>
    <w:rsid w:val="00321C85"/>
    <w:rsid w:val="00321DAC"/>
    <w:rsid w:val="0032282C"/>
    <w:rsid w:val="00323EC7"/>
    <w:rsid w:val="00324160"/>
    <w:rsid w:val="003247B7"/>
    <w:rsid w:val="00325687"/>
    <w:rsid w:val="00325E9B"/>
    <w:rsid w:val="003266AD"/>
    <w:rsid w:val="00327338"/>
    <w:rsid w:val="00327776"/>
    <w:rsid w:val="00327E1F"/>
    <w:rsid w:val="00330FFC"/>
    <w:rsid w:val="0033141A"/>
    <w:rsid w:val="00331D48"/>
    <w:rsid w:val="00331DAC"/>
    <w:rsid w:val="003325BA"/>
    <w:rsid w:val="003342C9"/>
    <w:rsid w:val="00334376"/>
    <w:rsid w:val="0033545B"/>
    <w:rsid w:val="00335463"/>
    <w:rsid w:val="00340232"/>
    <w:rsid w:val="003418E5"/>
    <w:rsid w:val="00343120"/>
    <w:rsid w:val="00345278"/>
    <w:rsid w:val="003455A2"/>
    <w:rsid w:val="00346718"/>
    <w:rsid w:val="003508A9"/>
    <w:rsid w:val="00350AF3"/>
    <w:rsid w:val="003529CE"/>
    <w:rsid w:val="00353BD6"/>
    <w:rsid w:val="003541FA"/>
    <w:rsid w:val="00354B3A"/>
    <w:rsid w:val="00354F3E"/>
    <w:rsid w:val="003566C8"/>
    <w:rsid w:val="00356B2D"/>
    <w:rsid w:val="00356E17"/>
    <w:rsid w:val="003579C5"/>
    <w:rsid w:val="00360E35"/>
    <w:rsid w:val="00361034"/>
    <w:rsid w:val="00362089"/>
    <w:rsid w:val="00364D27"/>
    <w:rsid w:val="0036574C"/>
    <w:rsid w:val="003659A4"/>
    <w:rsid w:val="00366E3F"/>
    <w:rsid w:val="00367315"/>
    <w:rsid w:val="003714B5"/>
    <w:rsid w:val="0037160B"/>
    <w:rsid w:val="00372CE3"/>
    <w:rsid w:val="0037319D"/>
    <w:rsid w:val="00374698"/>
    <w:rsid w:val="00374A14"/>
    <w:rsid w:val="003754B2"/>
    <w:rsid w:val="00375558"/>
    <w:rsid w:val="00375952"/>
    <w:rsid w:val="0037744F"/>
    <w:rsid w:val="003775CF"/>
    <w:rsid w:val="00381B36"/>
    <w:rsid w:val="00382651"/>
    <w:rsid w:val="00384A07"/>
    <w:rsid w:val="00384F4A"/>
    <w:rsid w:val="00385F9E"/>
    <w:rsid w:val="00386701"/>
    <w:rsid w:val="00387EA0"/>
    <w:rsid w:val="003909FF"/>
    <w:rsid w:val="00390A2B"/>
    <w:rsid w:val="00391508"/>
    <w:rsid w:val="003932D1"/>
    <w:rsid w:val="003932D7"/>
    <w:rsid w:val="003943F3"/>
    <w:rsid w:val="0039553A"/>
    <w:rsid w:val="00395829"/>
    <w:rsid w:val="00396221"/>
    <w:rsid w:val="003963E9"/>
    <w:rsid w:val="003972E4"/>
    <w:rsid w:val="00397904"/>
    <w:rsid w:val="00397A19"/>
    <w:rsid w:val="003A1D59"/>
    <w:rsid w:val="003A2109"/>
    <w:rsid w:val="003A2FDB"/>
    <w:rsid w:val="003A32E6"/>
    <w:rsid w:val="003A4800"/>
    <w:rsid w:val="003A7A87"/>
    <w:rsid w:val="003A7D8A"/>
    <w:rsid w:val="003B0072"/>
    <w:rsid w:val="003B0BEA"/>
    <w:rsid w:val="003B3D7F"/>
    <w:rsid w:val="003B4D47"/>
    <w:rsid w:val="003B59EB"/>
    <w:rsid w:val="003B5C00"/>
    <w:rsid w:val="003B651F"/>
    <w:rsid w:val="003B6CC2"/>
    <w:rsid w:val="003C201C"/>
    <w:rsid w:val="003C3418"/>
    <w:rsid w:val="003C39B9"/>
    <w:rsid w:val="003C3F7E"/>
    <w:rsid w:val="003C42C3"/>
    <w:rsid w:val="003C520C"/>
    <w:rsid w:val="003D0D05"/>
    <w:rsid w:val="003D1378"/>
    <w:rsid w:val="003D2367"/>
    <w:rsid w:val="003D3C74"/>
    <w:rsid w:val="003D4A1E"/>
    <w:rsid w:val="003D7D9E"/>
    <w:rsid w:val="003E1A6E"/>
    <w:rsid w:val="003E2FEE"/>
    <w:rsid w:val="003E55A6"/>
    <w:rsid w:val="003E602F"/>
    <w:rsid w:val="003E629B"/>
    <w:rsid w:val="003E64B1"/>
    <w:rsid w:val="003E72CB"/>
    <w:rsid w:val="003E7B4B"/>
    <w:rsid w:val="003E7EAF"/>
    <w:rsid w:val="003F11D2"/>
    <w:rsid w:val="003F1FDA"/>
    <w:rsid w:val="003F2387"/>
    <w:rsid w:val="003F4509"/>
    <w:rsid w:val="003F4A44"/>
    <w:rsid w:val="003F5BE5"/>
    <w:rsid w:val="003F661D"/>
    <w:rsid w:val="003F6624"/>
    <w:rsid w:val="003F73B8"/>
    <w:rsid w:val="003F7A56"/>
    <w:rsid w:val="004008F4"/>
    <w:rsid w:val="00404D9F"/>
    <w:rsid w:val="00405BAF"/>
    <w:rsid w:val="00405C7B"/>
    <w:rsid w:val="004060C2"/>
    <w:rsid w:val="00406611"/>
    <w:rsid w:val="00407CD7"/>
    <w:rsid w:val="00407F09"/>
    <w:rsid w:val="0041159C"/>
    <w:rsid w:val="004126E3"/>
    <w:rsid w:val="0041369F"/>
    <w:rsid w:val="00413742"/>
    <w:rsid w:val="00413BEF"/>
    <w:rsid w:val="0041543F"/>
    <w:rsid w:val="00417B43"/>
    <w:rsid w:val="00417CBB"/>
    <w:rsid w:val="00423DC4"/>
    <w:rsid w:val="00424162"/>
    <w:rsid w:val="0042503D"/>
    <w:rsid w:val="004254CB"/>
    <w:rsid w:val="00430358"/>
    <w:rsid w:val="00431898"/>
    <w:rsid w:val="00431F90"/>
    <w:rsid w:val="0043434B"/>
    <w:rsid w:val="00435328"/>
    <w:rsid w:val="004357E9"/>
    <w:rsid w:val="004413CC"/>
    <w:rsid w:val="00441B21"/>
    <w:rsid w:val="0044239D"/>
    <w:rsid w:val="00444059"/>
    <w:rsid w:val="00444AC5"/>
    <w:rsid w:val="00445AA7"/>
    <w:rsid w:val="0044617C"/>
    <w:rsid w:val="0044664D"/>
    <w:rsid w:val="00447B93"/>
    <w:rsid w:val="00447CD4"/>
    <w:rsid w:val="00450908"/>
    <w:rsid w:val="0045183E"/>
    <w:rsid w:val="004524E1"/>
    <w:rsid w:val="00453AAD"/>
    <w:rsid w:val="00454AF1"/>
    <w:rsid w:val="00457242"/>
    <w:rsid w:val="00460BE1"/>
    <w:rsid w:val="00460F94"/>
    <w:rsid w:val="00461904"/>
    <w:rsid w:val="004628E4"/>
    <w:rsid w:val="00463DEB"/>
    <w:rsid w:val="00464515"/>
    <w:rsid w:val="00464F47"/>
    <w:rsid w:val="00465AA4"/>
    <w:rsid w:val="00467520"/>
    <w:rsid w:val="004675B9"/>
    <w:rsid w:val="00467C0C"/>
    <w:rsid w:val="004712EF"/>
    <w:rsid w:val="00471502"/>
    <w:rsid w:val="004720B5"/>
    <w:rsid w:val="004724DE"/>
    <w:rsid w:val="0047273E"/>
    <w:rsid w:val="004729B2"/>
    <w:rsid w:val="0047446E"/>
    <w:rsid w:val="00477173"/>
    <w:rsid w:val="00481002"/>
    <w:rsid w:val="00482423"/>
    <w:rsid w:val="004837DF"/>
    <w:rsid w:val="004838EF"/>
    <w:rsid w:val="0048446C"/>
    <w:rsid w:val="00484B14"/>
    <w:rsid w:val="00485CC7"/>
    <w:rsid w:val="0048639A"/>
    <w:rsid w:val="00486E16"/>
    <w:rsid w:val="004903FB"/>
    <w:rsid w:val="004906A7"/>
    <w:rsid w:val="0049147D"/>
    <w:rsid w:val="00491592"/>
    <w:rsid w:val="00491AD4"/>
    <w:rsid w:val="00491D6E"/>
    <w:rsid w:val="00492249"/>
    <w:rsid w:val="004945B5"/>
    <w:rsid w:val="00494EE8"/>
    <w:rsid w:val="00495348"/>
    <w:rsid w:val="00495819"/>
    <w:rsid w:val="00495891"/>
    <w:rsid w:val="004968CC"/>
    <w:rsid w:val="004A0016"/>
    <w:rsid w:val="004A3860"/>
    <w:rsid w:val="004A45E7"/>
    <w:rsid w:val="004A5B86"/>
    <w:rsid w:val="004A6678"/>
    <w:rsid w:val="004B0B25"/>
    <w:rsid w:val="004B0CFE"/>
    <w:rsid w:val="004B1211"/>
    <w:rsid w:val="004B2536"/>
    <w:rsid w:val="004B2EE5"/>
    <w:rsid w:val="004B2F9F"/>
    <w:rsid w:val="004B457F"/>
    <w:rsid w:val="004B57CC"/>
    <w:rsid w:val="004B5FB4"/>
    <w:rsid w:val="004C1A1B"/>
    <w:rsid w:val="004C1F50"/>
    <w:rsid w:val="004C2BEE"/>
    <w:rsid w:val="004C35D6"/>
    <w:rsid w:val="004C7F5D"/>
    <w:rsid w:val="004D0744"/>
    <w:rsid w:val="004D09D6"/>
    <w:rsid w:val="004D0F22"/>
    <w:rsid w:val="004D1DC6"/>
    <w:rsid w:val="004D23A5"/>
    <w:rsid w:val="004D25E6"/>
    <w:rsid w:val="004D28AD"/>
    <w:rsid w:val="004D45AD"/>
    <w:rsid w:val="004E07C6"/>
    <w:rsid w:val="004E2007"/>
    <w:rsid w:val="004E2A7B"/>
    <w:rsid w:val="004E36C6"/>
    <w:rsid w:val="004E4A0E"/>
    <w:rsid w:val="004E4F51"/>
    <w:rsid w:val="004E63D9"/>
    <w:rsid w:val="004F0577"/>
    <w:rsid w:val="004F1630"/>
    <w:rsid w:val="004F255E"/>
    <w:rsid w:val="004F39D1"/>
    <w:rsid w:val="004F3C72"/>
    <w:rsid w:val="004F618A"/>
    <w:rsid w:val="004F6E1A"/>
    <w:rsid w:val="004F7C1A"/>
    <w:rsid w:val="0050066F"/>
    <w:rsid w:val="00501F69"/>
    <w:rsid w:val="005028D7"/>
    <w:rsid w:val="00503247"/>
    <w:rsid w:val="00503499"/>
    <w:rsid w:val="00503E65"/>
    <w:rsid w:val="00504906"/>
    <w:rsid w:val="00504E18"/>
    <w:rsid w:val="00505662"/>
    <w:rsid w:val="005061A9"/>
    <w:rsid w:val="00510305"/>
    <w:rsid w:val="00511673"/>
    <w:rsid w:val="0051271B"/>
    <w:rsid w:val="00513E52"/>
    <w:rsid w:val="0051474C"/>
    <w:rsid w:val="0051593A"/>
    <w:rsid w:val="00515F75"/>
    <w:rsid w:val="005213B9"/>
    <w:rsid w:val="0052253C"/>
    <w:rsid w:val="00531A40"/>
    <w:rsid w:val="00532173"/>
    <w:rsid w:val="00532B17"/>
    <w:rsid w:val="005340BD"/>
    <w:rsid w:val="00535B74"/>
    <w:rsid w:val="00536198"/>
    <w:rsid w:val="00536441"/>
    <w:rsid w:val="0053765E"/>
    <w:rsid w:val="00537F21"/>
    <w:rsid w:val="00540B6E"/>
    <w:rsid w:val="00540C73"/>
    <w:rsid w:val="0054155F"/>
    <w:rsid w:val="005415C7"/>
    <w:rsid w:val="00542AFC"/>
    <w:rsid w:val="00544886"/>
    <w:rsid w:val="005451B1"/>
    <w:rsid w:val="00546EAD"/>
    <w:rsid w:val="005478C6"/>
    <w:rsid w:val="00551F48"/>
    <w:rsid w:val="0055204C"/>
    <w:rsid w:val="005563FA"/>
    <w:rsid w:val="00556F39"/>
    <w:rsid w:val="00557FF3"/>
    <w:rsid w:val="0056039C"/>
    <w:rsid w:val="0056041F"/>
    <w:rsid w:val="00562F13"/>
    <w:rsid w:val="00563C6E"/>
    <w:rsid w:val="00564D4F"/>
    <w:rsid w:val="00564FFA"/>
    <w:rsid w:val="00567855"/>
    <w:rsid w:val="00571C61"/>
    <w:rsid w:val="005731BB"/>
    <w:rsid w:val="00573B4B"/>
    <w:rsid w:val="005740BA"/>
    <w:rsid w:val="00575EDC"/>
    <w:rsid w:val="00577A7C"/>
    <w:rsid w:val="00577B0A"/>
    <w:rsid w:val="00580611"/>
    <w:rsid w:val="00580F8E"/>
    <w:rsid w:val="005816FF"/>
    <w:rsid w:val="00581DEE"/>
    <w:rsid w:val="0058277C"/>
    <w:rsid w:val="0058374C"/>
    <w:rsid w:val="005837E2"/>
    <w:rsid w:val="005855F8"/>
    <w:rsid w:val="0058676E"/>
    <w:rsid w:val="0058691B"/>
    <w:rsid w:val="00586AE0"/>
    <w:rsid w:val="005877C5"/>
    <w:rsid w:val="00592F96"/>
    <w:rsid w:val="005930FD"/>
    <w:rsid w:val="0059452E"/>
    <w:rsid w:val="00594A37"/>
    <w:rsid w:val="005A0B4D"/>
    <w:rsid w:val="005A0F10"/>
    <w:rsid w:val="005A29AC"/>
    <w:rsid w:val="005A2C5E"/>
    <w:rsid w:val="005A3033"/>
    <w:rsid w:val="005A3AF9"/>
    <w:rsid w:val="005A3B6C"/>
    <w:rsid w:val="005A6314"/>
    <w:rsid w:val="005A7902"/>
    <w:rsid w:val="005B13EB"/>
    <w:rsid w:val="005B2909"/>
    <w:rsid w:val="005B35C2"/>
    <w:rsid w:val="005B41D3"/>
    <w:rsid w:val="005B683A"/>
    <w:rsid w:val="005B75D7"/>
    <w:rsid w:val="005C1119"/>
    <w:rsid w:val="005C1B07"/>
    <w:rsid w:val="005C3471"/>
    <w:rsid w:val="005C3904"/>
    <w:rsid w:val="005C3A8D"/>
    <w:rsid w:val="005C4B14"/>
    <w:rsid w:val="005C512F"/>
    <w:rsid w:val="005C5904"/>
    <w:rsid w:val="005C6AFF"/>
    <w:rsid w:val="005C6B69"/>
    <w:rsid w:val="005D1F86"/>
    <w:rsid w:val="005D2909"/>
    <w:rsid w:val="005D401B"/>
    <w:rsid w:val="005D4EEB"/>
    <w:rsid w:val="005D694E"/>
    <w:rsid w:val="005E0203"/>
    <w:rsid w:val="005E1CAA"/>
    <w:rsid w:val="005E214D"/>
    <w:rsid w:val="005E2F34"/>
    <w:rsid w:val="005E47CC"/>
    <w:rsid w:val="005E54D5"/>
    <w:rsid w:val="005E5730"/>
    <w:rsid w:val="005E5D1F"/>
    <w:rsid w:val="005E67E2"/>
    <w:rsid w:val="005F375B"/>
    <w:rsid w:val="005F4025"/>
    <w:rsid w:val="005F4742"/>
    <w:rsid w:val="005F640D"/>
    <w:rsid w:val="005F6DF0"/>
    <w:rsid w:val="005F7A8B"/>
    <w:rsid w:val="005F7D09"/>
    <w:rsid w:val="00600E33"/>
    <w:rsid w:val="0060156C"/>
    <w:rsid w:val="00602B22"/>
    <w:rsid w:val="0060311B"/>
    <w:rsid w:val="006036EE"/>
    <w:rsid w:val="0060477F"/>
    <w:rsid w:val="00605754"/>
    <w:rsid w:val="00605AF8"/>
    <w:rsid w:val="00606313"/>
    <w:rsid w:val="00607D69"/>
    <w:rsid w:val="00610B54"/>
    <w:rsid w:val="00610C6C"/>
    <w:rsid w:val="00610D78"/>
    <w:rsid w:val="006119D4"/>
    <w:rsid w:val="0061326C"/>
    <w:rsid w:val="0061373B"/>
    <w:rsid w:val="00613934"/>
    <w:rsid w:val="00613B44"/>
    <w:rsid w:val="00615CBC"/>
    <w:rsid w:val="00620C50"/>
    <w:rsid w:val="0062166A"/>
    <w:rsid w:val="006216B7"/>
    <w:rsid w:val="006228CF"/>
    <w:rsid w:val="006229CB"/>
    <w:rsid w:val="00623AE5"/>
    <w:rsid w:val="00623B00"/>
    <w:rsid w:val="006262E3"/>
    <w:rsid w:val="00627534"/>
    <w:rsid w:val="00627952"/>
    <w:rsid w:val="00630316"/>
    <w:rsid w:val="00631193"/>
    <w:rsid w:val="0063193F"/>
    <w:rsid w:val="00631B42"/>
    <w:rsid w:val="006324B6"/>
    <w:rsid w:val="006325E4"/>
    <w:rsid w:val="006340E8"/>
    <w:rsid w:val="006373E0"/>
    <w:rsid w:val="0064117C"/>
    <w:rsid w:val="00641368"/>
    <w:rsid w:val="00641DAB"/>
    <w:rsid w:val="00642DE7"/>
    <w:rsid w:val="00643206"/>
    <w:rsid w:val="0064364F"/>
    <w:rsid w:val="00644A2C"/>
    <w:rsid w:val="006469B9"/>
    <w:rsid w:val="006476BE"/>
    <w:rsid w:val="006478E7"/>
    <w:rsid w:val="00650C85"/>
    <w:rsid w:val="006512F1"/>
    <w:rsid w:val="00651D10"/>
    <w:rsid w:val="00652F37"/>
    <w:rsid w:val="00655AB1"/>
    <w:rsid w:val="00661546"/>
    <w:rsid w:val="0066197A"/>
    <w:rsid w:val="0066228F"/>
    <w:rsid w:val="00662947"/>
    <w:rsid w:val="00662C14"/>
    <w:rsid w:val="00663E16"/>
    <w:rsid w:val="00664989"/>
    <w:rsid w:val="00666B9E"/>
    <w:rsid w:val="0066759A"/>
    <w:rsid w:val="00667860"/>
    <w:rsid w:val="006700EF"/>
    <w:rsid w:val="00671B1E"/>
    <w:rsid w:val="00673B4D"/>
    <w:rsid w:val="00674994"/>
    <w:rsid w:val="006750A6"/>
    <w:rsid w:val="00680556"/>
    <w:rsid w:val="006807CF"/>
    <w:rsid w:val="00680EC2"/>
    <w:rsid w:val="006820D1"/>
    <w:rsid w:val="00682E48"/>
    <w:rsid w:val="006840E6"/>
    <w:rsid w:val="0068573E"/>
    <w:rsid w:val="0068603E"/>
    <w:rsid w:val="006871A7"/>
    <w:rsid w:val="00687E89"/>
    <w:rsid w:val="00690673"/>
    <w:rsid w:val="00691856"/>
    <w:rsid w:val="00692AE3"/>
    <w:rsid w:val="00693927"/>
    <w:rsid w:val="0069449A"/>
    <w:rsid w:val="0069488C"/>
    <w:rsid w:val="00695BE1"/>
    <w:rsid w:val="006971E9"/>
    <w:rsid w:val="0069730A"/>
    <w:rsid w:val="00697407"/>
    <w:rsid w:val="006A1611"/>
    <w:rsid w:val="006A3644"/>
    <w:rsid w:val="006A3BF2"/>
    <w:rsid w:val="006A481F"/>
    <w:rsid w:val="006A5004"/>
    <w:rsid w:val="006A5452"/>
    <w:rsid w:val="006A69DD"/>
    <w:rsid w:val="006B03EE"/>
    <w:rsid w:val="006B1C6D"/>
    <w:rsid w:val="006B4D70"/>
    <w:rsid w:val="006B4F12"/>
    <w:rsid w:val="006B5C6B"/>
    <w:rsid w:val="006B6B0D"/>
    <w:rsid w:val="006C01B5"/>
    <w:rsid w:val="006C04C1"/>
    <w:rsid w:val="006C1A1E"/>
    <w:rsid w:val="006C1CD7"/>
    <w:rsid w:val="006C1D5E"/>
    <w:rsid w:val="006C256C"/>
    <w:rsid w:val="006C3EAA"/>
    <w:rsid w:val="006C6167"/>
    <w:rsid w:val="006C7D74"/>
    <w:rsid w:val="006D1D17"/>
    <w:rsid w:val="006D21E2"/>
    <w:rsid w:val="006D3CE2"/>
    <w:rsid w:val="006D4737"/>
    <w:rsid w:val="006D57F9"/>
    <w:rsid w:val="006D5890"/>
    <w:rsid w:val="006D6A8B"/>
    <w:rsid w:val="006E00E1"/>
    <w:rsid w:val="006E0B41"/>
    <w:rsid w:val="006E1A9D"/>
    <w:rsid w:val="006E275A"/>
    <w:rsid w:val="006E2E3E"/>
    <w:rsid w:val="006E35E4"/>
    <w:rsid w:val="006E3A0B"/>
    <w:rsid w:val="006E3E59"/>
    <w:rsid w:val="006E46C5"/>
    <w:rsid w:val="006E4C4B"/>
    <w:rsid w:val="006E71B7"/>
    <w:rsid w:val="006E7910"/>
    <w:rsid w:val="006E7F66"/>
    <w:rsid w:val="006F17C5"/>
    <w:rsid w:val="006F1822"/>
    <w:rsid w:val="006F7744"/>
    <w:rsid w:val="007012CA"/>
    <w:rsid w:val="00701B86"/>
    <w:rsid w:val="007036E7"/>
    <w:rsid w:val="00703910"/>
    <w:rsid w:val="007043AC"/>
    <w:rsid w:val="007047B2"/>
    <w:rsid w:val="0070571A"/>
    <w:rsid w:val="00707ABD"/>
    <w:rsid w:val="00707EE5"/>
    <w:rsid w:val="00713443"/>
    <w:rsid w:val="007136EF"/>
    <w:rsid w:val="00714923"/>
    <w:rsid w:val="007178BE"/>
    <w:rsid w:val="00721083"/>
    <w:rsid w:val="0072129A"/>
    <w:rsid w:val="00721E1F"/>
    <w:rsid w:val="00723F01"/>
    <w:rsid w:val="00724AE8"/>
    <w:rsid w:val="00724F78"/>
    <w:rsid w:val="00725EA1"/>
    <w:rsid w:val="0072667E"/>
    <w:rsid w:val="0072734A"/>
    <w:rsid w:val="00730663"/>
    <w:rsid w:val="00733245"/>
    <w:rsid w:val="00734B6C"/>
    <w:rsid w:val="00735F02"/>
    <w:rsid w:val="007370AA"/>
    <w:rsid w:val="0074159F"/>
    <w:rsid w:val="00741BDC"/>
    <w:rsid w:val="00741DFD"/>
    <w:rsid w:val="00742095"/>
    <w:rsid w:val="007423D8"/>
    <w:rsid w:val="00744369"/>
    <w:rsid w:val="00744DA4"/>
    <w:rsid w:val="00744EF7"/>
    <w:rsid w:val="00745376"/>
    <w:rsid w:val="00745C90"/>
    <w:rsid w:val="00745E61"/>
    <w:rsid w:val="00747959"/>
    <w:rsid w:val="00752244"/>
    <w:rsid w:val="00755E00"/>
    <w:rsid w:val="00756233"/>
    <w:rsid w:val="00756DC5"/>
    <w:rsid w:val="00756E24"/>
    <w:rsid w:val="00757AB2"/>
    <w:rsid w:val="0076051C"/>
    <w:rsid w:val="007606EF"/>
    <w:rsid w:val="007606FC"/>
    <w:rsid w:val="00760D9B"/>
    <w:rsid w:val="007610E8"/>
    <w:rsid w:val="007626AB"/>
    <w:rsid w:val="007660DC"/>
    <w:rsid w:val="007667C8"/>
    <w:rsid w:val="00770CDC"/>
    <w:rsid w:val="007727BE"/>
    <w:rsid w:val="00772C2D"/>
    <w:rsid w:val="00773272"/>
    <w:rsid w:val="00773A77"/>
    <w:rsid w:val="00773AF2"/>
    <w:rsid w:val="00775AE9"/>
    <w:rsid w:val="00776F92"/>
    <w:rsid w:val="007775DB"/>
    <w:rsid w:val="00781CF3"/>
    <w:rsid w:val="00782A21"/>
    <w:rsid w:val="00783396"/>
    <w:rsid w:val="00786162"/>
    <w:rsid w:val="00790B61"/>
    <w:rsid w:val="00792C35"/>
    <w:rsid w:val="00792F45"/>
    <w:rsid w:val="007937A9"/>
    <w:rsid w:val="00794337"/>
    <w:rsid w:val="00794FC7"/>
    <w:rsid w:val="0079513C"/>
    <w:rsid w:val="00795EE3"/>
    <w:rsid w:val="007960A3"/>
    <w:rsid w:val="00797540"/>
    <w:rsid w:val="007A03E9"/>
    <w:rsid w:val="007A0533"/>
    <w:rsid w:val="007A0EF9"/>
    <w:rsid w:val="007A45CE"/>
    <w:rsid w:val="007A5534"/>
    <w:rsid w:val="007A744A"/>
    <w:rsid w:val="007A7AAE"/>
    <w:rsid w:val="007B024F"/>
    <w:rsid w:val="007B1D96"/>
    <w:rsid w:val="007B3BBE"/>
    <w:rsid w:val="007B41BE"/>
    <w:rsid w:val="007B5A64"/>
    <w:rsid w:val="007B5EBB"/>
    <w:rsid w:val="007B616D"/>
    <w:rsid w:val="007B7479"/>
    <w:rsid w:val="007B7BE3"/>
    <w:rsid w:val="007C084C"/>
    <w:rsid w:val="007C13EB"/>
    <w:rsid w:val="007C1418"/>
    <w:rsid w:val="007C4548"/>
    <w:rsid w:val="007C4E96"/>
    <w:rsid w:val="007C57BC"/>
    <w:rsid w:val="007C651C"/>
    <w:rsid w:val="007C7B31"/>
    <w:rsid w:val="007D0971"/>
    <w:rsid w:val="007D0E69"/>
    <w:rsid w:val="007D4277"/>
    <w:rsid w:val="007D4564"/>
    <w:rsid w:val="007D48A0"/>
    <w:rsid w:val="007D6B1D"/>
    <w:rsid w:val="007D7895"/>
    <w:rsid w:val="007D7AD7"/>
    <w:rsid w:val="007D7CBB"/>
    <w:rsid w:val="007E088B"/>
    <w:rsid w:val="007E0C16"/>
    <w:rsid w:val="007E0D8E"/>
    <w:rsid w:val="007E1CDF"/>
    <w:rsid w:val="007E226F"/>
    <w:rsid w:val="007E3033"/>
    <w:rsid w:val="007E4B2C"/>
    <w:rsid w:val="007E4C92"/>
    <w:rsid w:val="007E54F4"/>
    <w:rsid w:val="007E665C"/>
    <w:rsid w:val="007F15F8"/>
    <w:rsid w:val="007F22F2"/>
    <w:rsid w:val="007F335F"/>
    <w:rsid w:val="007F425C"/>
    <w:rsid w:val="007F433A"/>
    <w:rsid w:val="007F53B5"/>
    <w:rsid w:val="007F5B2C"/>
    <w:rsid w:val="007F73C2"/>
    <w:rsid w:val="007F74EF"/>
    <w:rsid w:val="008006B5"/>
    <w:rsid w:val="0080224E"/>
    <w:rsid w:val="0080250C"/>
    <w:rsid w:val="00806E8E"/>
    <w:rsid w:val="008101C5"/>
    <w:rsid w:val="008103BE"/>
    <w:rsid w:val="00811C4B"/>
    <w:rsid w:val="00812087"/>
    <w:rsid w:val="00812200"/>
    <w:rsid w:val="008123A0"/>
    <w:rsid w:val="00812DEB"/>
    <w:rsid w:val="00813BD0"/>
    <w:rsid w:val="0081611D"/>
    <w:rsid w:val="00816C0C"/>
    <w:rsid w:val="00817DAE"/>
    <w:rsid w:val="00817E87"/>
    <w:rsid w:val="0082094E"/>
    <w:rsid w:val="0082197D"/>
    <w:rsid w:val="00823419"/>
    <w:rsid w:val="0082491E"/>
    <w:rsid w:val="00824930"/>
    <w:rsid w:val="00824EC1"/>
    <w:rsid w:val="00825C2E"/>
    <w:rsid w:val="00826D2D"/>
    <w:rsid w:val="00827E68"/>
    <w:rsid w:val="00830ED0"/>
    <w:rsid w:val="00831238"/>
    <w:rsid w:val="0083193A"/>
    <w:rsid w:val="0083218C"/>
    <w:rsid w:val="008332D2"/>
    <w:rsid w:val="008344E4"/>
    <w:rsid w:val="00835EB6"/>
    <w:rsid w:val="0083636C"/>
    <w:rsid w:val="008366E3"/>
    <w:rsid w:val="008367E5"/>
    <w:rsid w:val="008368D2"/>
    <w:rsid w:val="00836F57"/>
    <w:rsid w:val="00837CF1"/>
    <w:rsid w:val="008400C5"/>
    <w:rsid w:val="00840945"/>
    <w:rsid w:val="00842CE1"/>
    <w:rsid w:val="00843FBE"/>
    <w:rsid w:val="00844203"/>
    <w:rsid w:val="00845C47"/>
    <w:rsid w:val="00846416"/>
    <w:rsid w:val="00846B44"/>
    <w:rsid w:val="008479EF"/>
    <w:rsid w:val="00850125"/>
    <w:rsid w:val="0085152D"/>
    <w:rsid w:val="00854467"/>
    <w:rsid w:val="00855ACC"/>
    <w:rsid w:val="0086038B"/>
    <w:rsid w:val="00860486"/>
    <w:rsid w:val="00860BFE"/>
    <w:rsid w:val="008629AF"/>
    <w:rsid w:val="00863632"/>
    <w:rsid w:val="00863D97"/>
    <w:rsid w:val="00865C90"/>
    <w:rsid w:val="00866C06"/>
    <w:rsid w:val="008704EA"/>
    <w:rsid w:val="0087193D"/>
    <w:rsid w:val="00873985"/>
    <w:rsid w:val="00875052"/>
    <w:rsid w:val="00875309"/>
    <w:rsid w:val="008759AE"/>
    <w:rsid w:val="00875CDE"/>
    <w:rsid w:val="0088017F"/>
    <w:rsid w:val="00883347"/>
    <w:rsid w:val="00884516"/>
    <w:rsid w:val="008873EA"/>
    <w:rsid w:val="0088781A"/>
    <w:rsid w:val="00890030"/>
    <w:rsid w:val="008901B0"/>
    <w:rsid w:val="008905F9"/>
    <w:rsid w:val="00890964"/>
    <w:rsid w:val="0089204D"/>
    <w:rsid w:val="008922BC"/>
    <w:rsid w:val="008943B3"/>
    <w:rsid w:val="00894F69"/>
    <w:rsid w:val="00895647"/>
    <w:rsid w:val="0089617E"/>
    <w:rsid w:val="00896F4E"/>
    <w:rsid w:val="008A175B"/>
    <w:rsid w:val="008A2337"/>
    <w:rsid w:val="008A31B0"/>
    <w:rsid w:val="008A3355"/>
    <w:rsid w:val="008A37E7"/>
    <w:rsid w:val="008A4103"/>
    <w:rsid w:val="008A47B9"/>
    <w:rsid w:val="008A5FA1"/>
    <w:rsid w:val="008A622A"/>
    <w:rsid w:val="008A6CB6"/>
    <w:rsid w:val="008A70C8"/>
    <w:rsid w:val="008B0A26"/>
    <w:rsid w:val="008B14BA"/>
    <w:rsid w:val="008B3104"/>
    <w:rsid w:val="008B3D44"/>
    <w:rsid w:val="008B43A3"/>
    <w:rsid w:val="008B47CD"/>
    <w:rsid w:val="008B5262"/>
    <w:rsid w:val="008B61EA"/>
    <w:rsid w:val="008B696C"/>
    <w:rsid w:val="008B6C91"/>
    <w:rsid w:val="008B6E4C"/>
    <w:rsid w:val="008C19FF"/>
    <w:rsid w:val="008C214A"/>
    <w:rsid w:val="008C2293"/>
    <w:rsid w:val="008C2687"/>
    <w:rsid w:val="008C3F1F"/>
    <w:rsid w:val="008C3FB9"/>
    <w:rsid w:val="008C4124"/>
    <w:rsid w:val="008C454F"/>
    <w:rsid w:val="008C4E82"/>
    <w:rsid w:val="008C732C"/>
    <w:rsid w:val="008C7551"/>
    <w:rsid w:val="008D044A"/>
    <w:rsid w:val="008D05FB"/>
    <w:rsid w:val="008D0E61"/>
    <w:rsid w:val="008D12EF"/>
    <w:rsid w:val="008D1F04"/>
    <w:rsid w:val="008D3004"/>
    <w:rsid w:val="008D36BB"/>
    <w:rsid w:val="008D3B61"/>
    <w:rsid w:val="008D5882"/>
    <w:rsid w:val="008D7A0F"/>
    <w:rsid w:val="008E0D19"/>
    <w:rsid w:val="008E1978"/>
    <w:rsid w:val="008E2E30"/>
    <w:rsid w:val="008E3DA3"/>
    <w:rsid w:val="008E3F81"/>
    <w:rsid w:val="008E4746"/>
    <w:rsid w:val="008E551A"/>
    <w:rsid w:val="008E63C2"/>
    <w:rsid w:val="008E6E16"/>
    <w:rsid w:val="008E7293"/>
    <w:rsid w:val="008F048C"/>
    <w:rsid w:val="008F0CC4"/>
    <w:rsid w:val="008F0D35"/>
    <w:rsid w:val="008F287B"/>
    <w:rsid w:val="008F2939"/>
    <w:rsid w:val="008F3650"/>
    <w:rsid w:val="008F39E3"/>
    <w:rsid w:val="008F445F"/>
    <w:rsid w:val="008F5506"/>
    <w:rsid w:val="008F6711"/>
    <w:rsid w:val="008F6A74"/>
    <w:rsid w:val="00900B69"/>
    <w:rsid w:val="009016DC"/>
    <w:rsid w:val="00901C13"/>
    <w:rsid w:val="00901EC7"/>
    <w:rsid w:val="009024F3"/>
    <w:rsid w:val="00904682"/>
    <w:rsid w:val="00907D4B"/>
    <w:rsid w:val="009121B8"/>
    <w:rsid w:val="009126A4"/>
    <w:rsid w:val="00913918"/>
    <w:rsid w:val="00914671"/>
    <w:rsid w:val="00914C80"/>
    <w:rsid w:val="0091557B"/>
    <w:rsid w:val="0091636B"/>
    <w:rsid w:val="009164EF"/>
    <w:rsid w:val="0092032F"/>
    <w:rsid w:val="009218A1"/>
    <w:rsid w:val="009219A4"/>
    <w:rsid w:val="0092219B"/>
    <w:rsid w:val="00923C95"/>
    <w:rsid w:val="00924035"/>
    <w:rsid w:val="00924091"/>
    <w:rsid w:val="009245E4"/>
    <w:rsid w:val="00924B36"/>
    <w:rsid w:val="009255EA"/>
    <w:rsid w:val="0093045A"/>
    <w:rsid w:val="009317DB"/>
    <w:rsid w:val="009318DE"/>
    <w:rsid w:val="009323CF"/>
    <w:rsid w:val="00932A37"/>
    <w:rsid w:val="00934066"/>
    <w:rsid w:val="00934AD9"/>
    <w:rsid w:val="00935459"/>
    <w:rsid w:val="009401E0"/>
    <w:rsid w:val="00943CA1"/>
    <w:rsid w:val="0094498D"/>
    <w:rsid w:val="0094599C"/>
    <w:rsid w:val="0094791A"/>
    <w:rsid w:val="00952E5B"/>
    <w:rsid w:val="009536E1"/>
    <w:rsid w:val="00955BFF"/>
    <w:rsid w:val="009565D7"/>
    <w:rsid w:val="00956A5A"/>
    <w:rsid w:val="009576E4"/>
    <w:rsid w:val="00957B44"/>
    <w:rsid w:val="00960472"/>
    <w:rsid w:val="00960CF5"/>
    <w:rsid w:val="00962718"/>
    <w:rsid w:val="00964BA5"/>
    <w:rsid w:val="00972C35"/>
    <w:rsid w:val="00980B75"/>
    <w:rsid w:val="00981370"/>
    <w:rsid w:val="009815FE"/>
    <w:rsid w:val="00982159"/>
    <w:rsid w:val="009840D8"/>
    <w:rsid w:val="0098410F"/>
    <w:rsid w:val="0098434F"/>
    <w:rsid w:val="00984826"/>
    <w:rsid w:val="00984B97"/>
    <w:rsid w:val="009854E1"/>
    <w:rsid w:val="00985969"/>
    <w:rsid w:val="0098640B"/>
    <w:rsid w:val="00990790"/>
    <w:rsid w:val="00990F1A"/>
    <w:rsid w:val="009918B8"/>
    <w:rsid w:val="00991F3D"/>
    <w:rsid w:val="009929D7"/>
    <w:rsid w:val="00992EBE"/>
    <w:rsid w:val="00995211"/>
    <w:rsid w:val="009958F8"/>
    <w:rsid w:val="00996081"/>
    <w:rsid w:val="009A0D28"/>
    <w:rsid w:val="009A18D6"/>
    <w:rsid w:val="009A1A2F"/>
    <w:rsid w:val="009A1A4A"/>
    <w:rsid w:val="009A1BB1"/>
    <w:rsid w:val="009A4353"/>
    <w:rsid w:val="009A5207"/>
    <w:rsid w:val="009A6045"/>
    <w:rsid w:val="009A6D94"/>
    <w:rsid w:val="009B0FEE"/>
    <w:rsid w:val="009B1465"/>
    <w:rsid w:val="009B1988"/>
    <w:rsid w:val="009B1A5F"/>
    <w:rsid w:val="009B1B0B"/>
    <w:rsid w:val="009B33FD"/>
    <w:rsid w:val="009B3496"/>
    <w:rsid w:val="009B4519"/>
    <w:rsid w:val="009B4C7B"/>
    <w:rsid w:val="009B4CB5"/>
    <w:rsid w:val="009B5B09"/>
    <w:rsid w:val="009B76BA"/>
    <w:rsid w:val="009C086B"/>
    <w:rsid w:val="009C0B33"/>
    <w:rsid w:val="009C0F4E"/>
    <w:rsid w:val="009C1530"/>
    <w:rsid w:val="009C1817"/>
    <w:rsid w:val="009C43FF"/>
    <w:rsid w:val="009C4E68"/>
    <w:rsid w:val="009C5235"/>
    <w:rsid w:val="009C7714"/>
    <w:rsid w:val="009D0EE0"/>
    <w:rsid w:val="009D18AC"/>
    <w:rsid w:val="009D2070"/>
    <w:rsid w:val="009D40E6"/>
    <w:rsid w:val="009D4C18"/>
    <w:rsid w:val="009D7EEE"/>
    <w:rsid w:val="009E3838"/>
    <w:rsid w:val="009E6D0C"/>
    <w:rsid w:val="009F046E"/>
    <w:rsid w:val="009F0A84"/>
    <w:rsid w:val="009F0FF8"/>
    <w:rsid w:val="009F248D"/>
    <w:rsid w:val="009F2C3D"/>
    <w:rsid w:val="009F37C7"/>
    <w:rsid w:val="009F41C4"/>
    <w:rsid w:val="009F5096"/>
    <w:rsid w:val="009F5EC4"/>
    <w:rsid w:val="009F7E06"/>
    <w:rsid w:val="00A00E84"/>
    <w:rsid w:val="00A018AB"/>
    <w:rsid w:val="00A01B3E"/>
    <w:rsid w:val="00A021C0"/>
    <w:rsid w:val="00A022F7"/>
    <w:rsid w:val="00A03B24"/>
    <w:rsid w:val="00A05FEB"/>
    <w:rsid w:val="00A06BD1"/>
    <w:rsid w:val="00A12523"/>
    <w:rsid w:val="00A134B1"/>
    <w:rsid w:val="00A147DF"/>
    <w:rsid w:val="00A149FD"/>
    <w:rsid w:val="00A15E4F"/>
    <w:rsid w:val="00A20C48"/>
    <w:rsid w:val="00A24CC4"/>
    <w:rsid w:val="00A308C5"/>
    <w:rsid w:val="00A30EE6"/>
    <w:rsid w:val="00A32262"/>
    <w:rsid w:val="00A37B06"/>
    <w:rsid w:val="00A401D4"/>
    <w:rsid w:val="00A43074"/>
    <w:rsid w:val="00A43358"/>
    <w:rsid w:val="00A43E53"/>
    <w:rsid w:val="00A46BA4"/>
    <w:rsid w:val="00A47CEA"/>
    <w:rsid w:val="00A47D42"/>
    <w:rsid w:val="00A54075"/>
    <w:rsid w:val="00A546D5"/>
    <w:rsid w:val="00A5513A"/>
    <w:rsid w:val="00A556D3"/>
    <w:rsid w:val="00A5598C"/>
    <w:rsid w:val="00A5685F"/>
    <w:rsid w:val="00A5730B"/>
    <w:rsid w:val="00A6604D"/>
    <w:rsid w:val="00A66889"/>
    <w:rsid w:val="00A67602"/>
    <w:rsid w:val="00A67FB6"/>
    <w:rsid w:val="00A71CA5"/>
    <w:rsid w:val="00A723A3"/>
    <w:rsid w:val="00A72C6B"/>
    <w:rsid w:val="00A72DD3"/>
    <w:rsid w:val="00A744B5"/>
    <w:rsid w:val="00A744E5"/>
    <w:rsid w:val="00A74A34"/>
    <w:rsid w:val="00A76281"/>
    <w:rsid w:val="00A76855"/>
    <w:rsid w:val="00A8055C"/>
    <w:rsid w:val="00A8124C"/>
    <w:rsid w:val="00A82191"/>
    <w:rsid w:val="00A821FB"/>
    <w:rsid w:val="00A82D76"/>
    <w:rsid w:val="00A83606"/>
    <w:rsid w:val="00A83ACE"/>
    <w:rsid w:val="00A846F4"/>
    <w:rsid w:val="00A84AED"/>
    <w:rsid w:val="00A92500"/>
    <w:rsid w:val="00A92B0D"/>
    <w:rsid w:val="00A93B09"/>
    <w:rsid w:val="00A951A2"/>
    <w:rsid w:val="00A961DD"/>
    <w:rsid w:val="00A96499"/>
    <w:rsid w:val="00A96B5D"/>
    <w:rsid w:val="00A97C7C"/>
    <w:rsid w:val="00AA05EF"/>
    <w:rsid w:val="00AA1F24"/>
    <w:rsid w:val="00AA281E"/>
    <w:rsid w:val="00AA2D56"/>
    <w:rsid w:val="00AA30B4"/>
    <w:rsid w:val="00AA4710"/>
    <w:rsid w:val="00AA480B"/>
    <w:rsid w:val="00AA61E3"/>
    <w:rsid w:val="00AA61F6"/>
    <w:rsid w:val="00AA6A28"/>
    <w:rsid w:val="00AA6D4C"/>
    <w:rsid w:val="00AB28BE"/>
    <w:rsid w:val="00AB4F21"/>
    <w:rsid w:val="00AB4F5A"/>
    <w:rsid w:val="00AB773B"/>
    <w:rsid w:val="00AB7B46"/>
    <w:rsid w:val="00AC1A22"/>
    <w:rsid w:val="00AC1F17"/>
    <w:rsid w:val="00AC3E7E"/>
    <w:rsid w:val="00AC4288"/>
    <w:rsid w:val="00AC5941"/>
    <w:rsid w:val="00AC5D67"/>
    <w:rsid w:val="00AC624B"/>
    <w:rsid w:val="00AC62E8"/>
    <w:rsid w:val="00AC79F1"/>
    <w:rsid w:val="00AC7EF1"/>
    <w:rsid w:val="00AC7FE9"/>
    <w:rsid w:val="00AD0605"/>
    <w:rsid w:val="00AD1A89"/>
    <w:rsid w:val="00AD1E09"/>
    <w:rsid w:val="00AD1E75"/>
    <w:rsid w:val="00AD5C34"/>
    <w:rsid w:val="00AD78CD"/>
    <w:rsid w:val="00AD7D30"/>
    <w:rsid w:val="00AE18AA"/>
    <w:rsid w:val="00AE1A24"/>
    <w:rsid w:val="00AE36C9"/>
    <w:rsid w:val="00AE65FD"/>
    <w:rsid w:val="00AE701A"/>
    <w:rsid w:val="00AE75B9"/>
    <w:rsid w:val="00AF0269"/>
    <w:rsid w:val="00AF05BB"/>
    <w:rsid w:val="00AF21A6"/>
    <w:rsid w:val="00AF2BC8"/>
    <w:rsid w:val="00AF32AF"/>
    <w:rsid w:val="00AF339F"/>
    <w:rsid w:val="00AF50A8"/>
    <w:rsid w:val="00AF56F2"/>
    <w:rsid w:val="00AF6642"/>
    <w:rsid w:val="00AF6897"/>
    <w:rsid w:val="00AF7C76"/>
    <w:rsid w:val="00B00F73"/>
    <w:rsid w:val="00B01F31"/>
    <w:rsid w:val="00B026DA"/>
    <w:rsid w:val="00B02747"/>
    <w:rsid w:val="00B02E98"/>
    <w:rsid w:val="00B03146"/>
    <w:rsid w:val="00B03742"/>
    <w:rsid w:val="00B05602"/>
    <w:rsid w:val="00B06067"/>
    <w:rsid w:val="00B0799D"/>
    <w:rsid w:val="00B1040E"/>
    <w:rsid w:val="00B142C0"/>
    <w:rsid w:val="00B14F57"/>
    <w:rsid w:val="00B1630B"/>
    <w:rsid w:val="00B17CF4"/>
    <w:rsid w:val="00B200A6"/>
    <w:rsid w:val="00B2042E"/>
    <w:rsid w:val="00B2098D"/>
    <w:rsid w:val="00B21B9E"/>
    <w:rsid w:val="00B23862"/>
    <w:rsid w:val="00B24E22"/>
    <w:rsid w:val="00B251FF"/>
    <w:rsid w:val="00B25571"/>
    <w:rsid w:val="00B25781"/>
    <w:rsid w:val="00B2666D"/>
    <w:rsid w:val="00B26837"/>
    <w:rsid w:val="00B304B8"/>
    <w:rsid w:val="00B3232C"/>
    <w:rsid w:val="00B339B3"/>
    <w:rsid w:val="00B34E88"/>
    <w:rsid w:val="00B352E6"/>
    <w:rsid w:val="00B35661"/>
    <w:rsid w:val="00B36BB3"/>
    <w:rsid w:val="00B3777B"/>
    <w:rsid w:val="00B37A10"/>
    <w:rsid w:val="00B4156C"/>
    <w:rsid w:val="00B419BC"/>
    <w:rsid w:val="00B419BD"/>
    <w:rsid w:val="00B42974"/>
    <w:rsid w:val="00B43E66"/>
    <w:rsid w:val="00B45214"/>
    <w:rsid w:val="00B4569D"/>
    <w:rsid w:val="00B45F6E"/>
    <w:rsid w:val="00B46A63"/>
    <w:rsid w:val="00B47B7B"/>
    <w:rsid w:val="00B47E3D"/>
    <w:rsid w:val="00B47F5E"/>
    <w:rsid w:val="00B507F1"/>
    <w:rsid w:val="00B549C5"/>
    <w:rsid w:val="00B557F9"/>
    <w:rsid w:val="00B61A48"/>
    <w:rsid w:val="00B62572"/>
    <w:rsid w:val="00B625AE"/>
    <w:rsid w:val="00B629C5"/>
    <w:rsid w:val="00B62E52"/>
    <w:rsid w:val="00B62F9E"/>
    <w:rsid w:val="00B649BA"/>
    <w:rsid w:val="00B65A43"/>
    <w:rsid w:val="00B70A96"/>
    <w:rsid w:val="00B717E9"/>
    <w:rsid w:val="00B7184F"/>
    <w:rsid w:val="00B74677"/>
    <w:rsid w:val="00B76570"/>
    <w:rsid w:val="00B7693F"/>
    <w:rsid w:val="00B77084"/>
    <w:rsid w:val="00B7735A"/>
    <w:rsid w:val="00B829FB"/>
    <w:rsid w:val="00B8350F"/>
    <w:rsid w:val="00B835F1"/>
    <w:rsid w:val="00B83DFA"/>
    <w:rsid w:val="00B852DC"/>
    <w:rsid w:val="00B8602A"/>
    <w:rsid w:val="00B862C5"/>
    <w:rsid w:val="00B86CCC"/>
    <w:rsid w:val="00B924D0"/>
    <w:rsid w:val="00B92CF1"/>
    <w:rsid w:val="00B942E8"/>
    <w:rsid w:val="00B94AE1"/>
    <w:rsid w:val="00B9525F"/>
    <w:rsid w:val="00B96BCD"/>
    <w:rsid w:val="00B978E6"/>
    <w:rsid w:val="00B97AC4"/>
    <w:rsid w:val="00BA04FC"/>
    <w:rsid w:val="00BA1890"/>
    <w:rsid w:val="00BA3401"/>
    <w:rsid w:val="00BA4B41"/>
    <w:rsid w:val="00BA578C"/>
    <w:rsid w:val="00BA5938"/>
    <w:rsid w:val="00BA5BEB"/>
    <w:rsid w:val="00BA62C6"/>
    <w:rsid w:val="00BA6950"/>
    <w:rsid w:val="00BB287D"/>
    <w:rsid w:val="00BB36B4"/>
    <w:rsid w:val="00BB5593"/>
    <w:rsid w:val="00BB5764"/>
    <w:rsid w:val="00BB5F14"/>
    <w:rsid w:val="00BB79D8"/>
    <w:rsid w:val="00BC0297"/>
    <w:rsid w:val="00BC0B8F"/>
    <w:rsid w:val="00BC0FAD"/>
    <w:rsid w:val="00BC1A23"/>
    <w:rsid w:val="00BC1F62"/>
    <w:rsid w:val="00BC236B"/>
    <w:rsid w:val="00BC2ADE"/>
    <w:rsid w:val="00BC3EB8"/>
    <w:rsid w:val="00BD07F8"/>
    <w:rsid w:val="00BD0895"/>
    <w:rsid w:val="00BD1469"/>
    <w:rsid w:val="00BD424C"/>
    <w:rsid w:val="00BD4EF7"/>
    <w:rsid w:val="00BE0E4D"/>
    <w:rsid w:val="00BE30DE"/>
    <w:rsid w:val="00BE38CA"/>
    <w:rsid w:val="00BE6BCB"/>
    <w:rsid w:val="00BE76FE"/>
    <w:rsid w:val="00BF0CD2"/>
    <w:rsid w:val="00BF28FF"/>
    <w:rsid w:val="00BF4F7A"/>
    <w:rsid w:val="00BF5D6E"/>
    <w:rsid w:val="00C00540"/>
    <w:rsid w:val="00C010AB"/>
    <w:rsid w:val="00C03402"/>
    <w:rsid w:val="00C046C5"/>
    <w:rsid w:val="00C0522E"/>
    <w:rsid w:val="00C053DD"/>
    <w:rsid w:val="00C1070D"/>
    <w:rsid w:val="00C1079C"/>
    <w:rsid w:val="00C10EF2"/>
    <w:rsid w:val="00C1116B"/>
    <w:rsid w:val="00C11E4D"/>
    <w:rsid w:val="00C125C6"/>
    <w:rsid w:val="00C13129"/>
    <w:rsid w:val="00C14C47"/>
    <w:rsid w:val="00C150B5"/>
    <w:rsid w:val="00C164C1"/>
    <w:rsid w:val="00C16581"/>
    <w:rsid w:val="00C16D46"/>
    <w:rsid w:val="00C22371"/>
    <w:rsid w:val="00C23FFE"/>
    <w:rsid w:val="00C24733"/>
    <w:rsid w:val="00C31703"/>
    <w:rsid w:val="00C32164"/>
    <w:rsid w:val="00C32DF8"/>
    <w:rsid w:val="00C335B4"/>
    <w:rsid w:val="00C33D82"/>
    <w:rsid w:val="00C34412"/>
    <w:rsid w:val="00C36B78"/>
    <w:rsid w:val="00C4008F"/>
    <w:rsid w:val="00C408D3"/>
    <w:rsid w:val="00C40C65"/>
    <w:rsid w:val="00C40FE4"/>
    <w:rsid w:val="00C41FAE"/>
    <w:rsid w:val="00C424BC"/>
    <w:rsid w:val="00C430C3"/>
    <w:rsid w:val="00C455A4"/>
    <w:rsid w:val="00C46301"/>
    <w:rsid w:val="00C502A1"/>
    <w:rsid w:val="00C50C57"/>
    <w:rsid w:val="00C52B73"/>
    <w:rsid w:val="00C53665"/>
    <w:rsid w:val="00C54FB8"/>
    <w:rsid w:val="00C5717A"/>
    <w:rsid w:val="00C607FC"/>
    <w:rsid w:val="00C61684"/>
    <w:rsid w:val="00C62785"/>
    <w:rsid w:val="00C63C26"/>
    <w:rsid w:val="00C63DB7"/>
    <w:rsid w:val="00C649C0"/>
    <w:rsid w:val="00C6707C"/>
    <w:rsid w:val="00C7042A"/>
    <w:rsid w:val="00C72C73"/>
    <w:rsid w:val="00C75C42"/>
    <w:rsid w:val="00C75EF8"/>
    <w:rsid w:val="00C760D3"/>
    <w:rsid w:val="00C77050"/>
    <w:rsid w:val="00C80471"/>
    <w:rsid w:val="00C83119"/>
    <w:rsid w:val="00C8386C"/>
    <w:rsid w:val="00C83C9D"/>
    <w:rsid w:val="00C8528B"/>
    <w:rsid w:val="00C8663A"/>
    <w:rsid w:val="00C86FA9"/>
    <w:rsid w:val="00C900F0"/>
    <w:rsid w:val="00C90EE0"/>
    <w:rsid w:val="00C94734"/>
    <w:rsid w:val="00C953B9"/>
    <w:rsid w:val="00C9643A"/>
    <w:rsid w:val="00C968D6"/>
    <w:rsid w:val="00C96BD1"/>
    <w:rsid w:val="00CA189D"/>
    <w:rsid w:val="00CA28A7"/>
    <w:rsid w:val="00CA3F42"/>
    <w:rsid w:val="00CA4114"/>
    <w:rsid w:val="00CA5996"/>
    <w:rsid w:val="00CA5DED"/>
    <w:rsid w:val="00CA655D"/>
    <w:rsid w:val="00CA6D39"/>
    <w:rsid w:val="00CB1B00"/>
    <w:rsid w:val="00CB230A"/>
    <w:rsid w:val="00CB2360"/>
    <w:rsid w:val="00CB24CC"/>
    <w:rsid w:val="00CB2D97"/>
    <w:rsid w:val="00CB2E6F"/>
    <w:rsid w:val="00CB2EC0"/>
    <w:rsid w:val="00CB4159"/>
    <w:rsid w:val="00CB4B99"/>
    <w:rsid w:val="00CB6757"/>
    <w:rsid w:val="00CC0742"/>
    <w:rsid w:val="00CC0A94"/>
    <w:rsid w:val="00CC3D9D"/>
    <w:rsid w:val="00CC63F5"/>
    <w:rsid w:val="00CC73AB"/>
    <w:rsid w:val="00CC7BF2"/>
    <w:rsid w:val="00CD2024"/>
    <w:rsid w:val="00CD2545"/>
    <w:rsid w:val="00CD2E64"/>
    <w:rsid w:val="00CD3148"/>
    <w:rsid w:val="00CD38F5"/>
    <w:rsid w:val="00CD3E2F"/>
    <w:rsid w:val="00CD4390"/>
    <w:rsid w:val="00CD440C"/>
    <w:rsid w:val="00CD45C6"/>
    <w:rsid w:val="00CD4FC2"/>
    <w:rsid w:val="00CD6944"/>
    <w:rsid w:val="00CD7525"/>
    <w:rsid w:val="00CE0431"/>
    <w:rsid w:val="00CE10CC"/>
    <w:rsid w:val="00CE11AB"/>
    <w:rsid w:val="00CE1E82"/>
    <w:rsid w:val="00CE343D"/>
    <w:rsid w:val="00CE4307"/>
    <w:rsid w:val="00CE4CED"/>
    <w:rsid w:val="00CE5458"/>
    <w:rsid w:val="00CE551C"/>
    <w:rsid w:val="00CE5A92"/>
    <w:rsid w:val="00CE5E8F"/>
    <w:rsid w:val="00CE66E6"/>
    <w:rsid w:val="00CE6853"/>
    <w:rsid w:val="00CF018D"/>
    <w:rsid w:val="00CF0BA7"/>
    <w:rsid w:val="00CF4689"/>
    <w:rsid w:val="00CF4CFC"/>
    <w:rsid w:val="00CF4D69"/>
    <w:rsid w:val="00CF593D"/>
    <w:rsid w:val="00CF5C84"/>
    <w:rsid w:val="00CF6ABC"/>
    <w:rsid w:val="00CF6C14"/>
    <w:rsid w:val="00CF6DB7"/>
    <w:rsid w:val="00CF787D"/>
    <w:rsid w:val="00CF7C0A"/>
    <w:rsid w:val="00D00E1F"/>
    <w:rsid w:val="00D03F73"/>
    <w:rsid w:val="00D05696"/>
    <w:rsid w:val="00D05824"/>
    <w:rsid w:val="00D05CC1"/>
    <w:rsid w:val="00D0690B"/>
    <w:rsid w:val="00D06AD0"/>
    <w:rsid w:val="00D06BB7"/>
    <w:rsid w:val="00D10029"/>
    <w:rsid w:val="00D10D42"/>
    <w:rsid w:val="00D11AD1"/>
    <w:rsid w:val="00D14E6F"/>
    <w:rsid w:val="00D15D48"/>
    <w:rsid w:val="00D15D65"/>
    <w:rsid w:val="00D15DAF"/>
    <w:rsid w:val="00D1634E"/>
    <w:rsid w:val="00D20306"/>
    <w:rsid w:val="00D20D8A"/>
    <w:rsid w:val="00D20E23"/>
    <w:rsid w:val="00D21081"/>
    <w:rsid w:val="00D24F04"/>
    <w:rsid w:val="00D259C7"/>
    <w:rsid w:val="00D26D81"/>
    <w:rsid w:val="00D3280E"/>
    <w:rsid w:val="00D32FF1"/>
    <w:rsid w:val="00D33631"/>
    <w:rsid w:val="00D36710"/>
    <w:rsid w:val="00D3793D"/>
    <w:rsid w:val="00D3795E"/>
    <w:rsid w:val="00D404F9"/>
    <w:rsid w:val="00D408E7"/>
    <w:rsid w:val="00D40E00"/>
    <w:rsid w:val="00D40E3D"/>
    <w:rsid w:val="00D417C3"/>
    <w:rsid w:val="00D41D48"/>
    <w:rsid w:val="00D44B02"/>
    <w:rsid w:val="00D45430"/>
    <w:rsid w:val="00D46C96"/>
    <w:rsid w:val="00D47549"/>
    <w:rsid w:val="00D50050"/>
    <w:rsid w:val="00D512B3"/>
    <w:rsid w:val="00D52B86"/>
    <w:rsid w:val="00D53928"/>
    <w:rsid w:val="00D541AB"/>
    <w:rsid w:val="00D55BF3"/>
    <w:rsid w:val="00D55DE5"/>
    <w:rsid w:val="00D565EB"/>
    <w:rsid w:val="00D601E1"/>
    <w:rsid w:val="00D61DD1"/>
    <w:rsid w:val="00D6262A"/>
    <w:rsid w:val="00D62696"/>
    <w:rsid w:val="00D63CD2"/>
    <w:rsid w:val="00D6459E"/>
    <w:rsid w:val="00D64D8F"/>
    <w:rsid w:val="00D67529"/>
    <w:rsid w:val="00D71F7E"/>
    <w:rsid w:val="00D753F8"/>
    <w:rsid w:val="00D757A9"/>
    <w:rsid w:val="00D75B8D"/>
    <w:rsid w:val="00D76663"/>
    <w:rsid w:val="00D76AE2"/>
    <w:rsid w:val="00D775D1"/>
    <w:rsid w:val="00D7777D"/>
    <w:rsid w:val="00D779CA"/>
    <w:rsid w:val="00D8191A"/>
    <w:rsid w:val="00D82011"/>
    <w:rsid w:val="00D82815"/>
    <w:rsid w:val="00D8370A"/>
    <w:rsid w:val="00D84AAE"/>
    <w:rsid w:val="00D851F3"/>
    <w:rsid w:val="00D85C85"/>
    <w:rsid w:val="00D876EF"/>
    <w:rsid w:val="00D87FC3"/>
    <w:rsid w:val="00D90A2E"/>
    <w:rsid w:val="00D912FC"/>
    <w:rsid w:val="00D91B8C"/>
    <w:rsid w:val="00D91F33"/>
    <w:rsid w:val="00D92BDB"/>
    <w:rsid w:val="00D92BF1"/>
    <w:rsid w:val="00D9306C"/>
    <w:rsid w:val="00D95D4D"/>
    <w:rsid w:val="00D95E27"/>
    <w:rsid w:val="00D97280"/>
    <w:rsid w:val="00DA2C01"/>
    <w:rsid w:val="00DA399F"/>
    <w:rsid w:val="00DA5204"/>
    <w:rsid w:val="00DA5ABD"/>
    <w:rsid w:val="00DA6051"/>
    <w:rsid w:val="00DA6BEA"/>
    <w:rsid w:val="00DA7047"/>
    <w:rsid w:val="00DA7418"/>
    <w:rsid w:val="00DA75F2"/>
    <w:rsid w:val="00DA77F0"/>
    <w:rsid w:val="00DB02ED"/>
    <w:rsid w:val="00DB258A"/>
    <w:rsid w:val="00DB39A2"/>
    <w:rsid w:val="00DB47F3"/>
    <w:rsid w:val="00DB5281"/>
    <w:rsid w:val="00DB6AEF"/>
    <w:rsid w:val="00DC0D4B"/>
    <w:rsid w:val="00DC1DE3"/>
    <w:rsid w:val="00DC42FC"/>
    <w:rsid w:val="00DC7866"/>
    <w:rsid w:val="00DC7AC1"/>
    <w:rsid w:val="00DD009C"/>
    <w:rsid w:val="00DD023A"/>
    <w:rsid w:val="00DD2031"/>
    <w:rsid w:val="00DD2BF0"/>
    <w:rsid w:val="00DD2D2D"/>
    <w:rsid w:val="00DD4819"/>
    <w:rsid w:val="00DD5112"/>
    <w:rsid w:val="00DD666D"/>
    <w:rsid w:val="00DD71BF"/>
    <w:rsid w:val="00DE06FF"/>
    <w:rsid w:val="00DE4F1F"/>
    <w:rsid w:val="00DE5DF4"/>
    <w:rsid w:val="00DE6699"/>
    <w:rsid w:val="00DE6A4A"/>
    <w:rsid w:val="00DF0FB2"/>
    <w:rsid w:val="00DF35E2"/>
    <w:rsid w:val="00DF44A3"/>
    <w:rsid w:val="00DF5F14"/>
    <w:rsid w:val="00DF72DB"/>
    <w:rsid w:val="00DF78E2"/>
    <w:rsid w:val="00DF7DD5"/>
    <w:rsid w:val="00E01011"/>
    <w:rsid w:val="00E010DF"/>
    <w:rsid w:val="00E02120"/>
    <w:rsid w:val="00E027BB"/>
    <w:rsid w:val="00E05EA9"/>
    <w:rsid w:val="00E06D37"/>
    <w:rsid w:val="00E07A28"/>
    <w:rsid w:val="00E104DF"/>
    <w:rsid w:val="00E1103D"/>
    <w:rsid w:val="00E119DD"/>
    <w:rsid w:val="00E14A07"/>
    <w:rsid w:val="00E15203"/>
    <w:rsid w:val="00E1534D"/>
    <w:rsid w:val="00E154A7"/>
    <w:rsid w:val="00E15829"/>
    <w:rsid w:val="00E21C39"/>
    <w:rsid w:val="00E21C63"/>
    <w:rsid w:val="00E22AF9"/>
    <w:rsid w:val="00E23595"/>
    <w:rsid w:val="00E24588"/>
    <w:rsid w:val="00E249AA"/>
    <w:rsid w:val="00E24DDA"/>
    <w:rsid w:val="00E2552A"/>
    <w:rsid w:val="00E25B5E"/>
    <w:rsid w:val="00E372BD"/>
    <w:rsid w:val="00E37C6E"/>
    <w:rsid w:val="00E40303"/>
    <w:rsid w:val="00E41B4E"/>
    <w:rsid w:val="00E42863"/>
    <w:rsid w:val="00E4289F"/>
    <w:rsid w:val="00E42A43"/>
    <w:rsid w:val="00E43962"/>
    <w:rsid w:val="00E43A9E"/>
    <w:rsid w:val="00E44E11"/>
    <w:rsid w:val="00E454E3"/>
    <w:rsid w:val="00E47023"/>
    <w:rsid w:val="00E503A0"/>
    <w:rsid w:val="00E51A85"/>
    <w:rsid w:val="00E5368C"/>
    <w:rsid w:val="00E53726"/>
    <w:rsid w:val="00E53C53"/>
    <w:rsid w:val="00E57485"/>
    <w:rsid w:val="00E621C2"/>
    <w:rsid w:val="00E6244D"/>
    <w:rsid w:val="00E63A34"/>
    <w:rsid w:val="00E67675"/>
    <w:rsid w:val="00E67CA3"/>
    <w:rsid w:val="00E67CF7"/>
    <w:rsid w:val="00E67D3B"/>
    <w:rsid w:val="00E67DF1"/>
    <w:rsid w:val="00E7332D"/>
    <w:rsid w:val="00E740BF"/>
    <w:rsid w:val="00E749EB"/>
    <w:rsid w:val="00E76933"/>
    <w:rsid w:val="00E77D69"/>
    <w:rsid w:val="00E77EDF"/>
    <w:rsid w:val="00E80D6F"/>
    <w:rsid w:val="00E82091"/>
    <w:rsid w:val="00E82A33"/>
    <w:rsid w:val="00E832D8"/>
    <w:rsid w:val="00E83775"/>
    <w:rsid w:val="00E846D9"/>
    <w:rsid w:val="00E85824"/>
    <w:rsid w:val="00E8698E"/>
    <w:rsid w:val="00E87DEF"/>
    <w:rsid w:val="00E87E61"/>
    <w:rsid w:val="00E91896"/>
    <w:rsid w:val="00E92997"/>
    <w:rsid w:val="00E92DEF"/>
    <w:rsid w:val="00E92FC3"/>
    <w:rsid w:val="00E93CDD"/>
    <w:rsid w:val="00E94440"/>
    <w:rsid w:val="00E96DDE"/>
    <w:rsid w:val="00E9728D"/>
    <w:rsid w:val="00E976A8"/>
    <w:rsid w:val="00E97CA1"/>
    <w:rsid w:val="00EA0621"/>
    <w:rsid w:val="00EA156A"/>
    <w:rsid w:val="00EA16A7"/>
    <w:rsid w:val="00EA1987"/>
    <w:rsid w:val="00EA2178"/>
    <w:rsid w:val="00EA24F4"/>
    <w:rsid w:val="00EA25BE"/>
    <w:rsid w:val="00EA2AEF"/>
    <w:rsid w:val="00EA669C"/>
    <w:rsid w:val="00EA6765"/>
    <w:rsid w:val="00EA7689"/>
    <w:rsid w:val="00EB0F91"/>
    <w:rsid w:val="00EB3A4A"/>
    <w:rsid w:val="00EB4929"/>
    <w:rsid w:val="00EB52FA"/>
    <w:rsid w:val="00EB5DFB"/>
    <w:rsid w:val="00EB6567"/>
    <w:rsid w:val="00EC0651"/>
    <w:rsid w:val="00EC4A3D"/>
    <w:rsid w:val="00EC520D"/>
    <w:rsid w:val="00EC5EC1"/>
    <w:rsid w:val="00EC7750"/>
    <w:rsid w:val="00EC7A7F"/>
    <w:rsid w:val="00EC7F03"/>
    <w:rsid w:val="00ED0108"/>
    <w:rsid w:val="00ED3EC1"/>
    <w:rsid w:val="00ED5125"/>
    <w:rsid w:val="00ED52FB"/>
    <w:rsid w:val="00ED5B92"/>
    <w:rsid w:val="00ED5FB5"/>
    <w:rsid w:val="00ED71BD"/>
    <w:rsid w:val="00ED7A8F"/>
    <w:rsid w:val="00ED7BFB"/>
    <w:rsid w:val="00ED7E53"/>
    <w:rsid w:val="00EE0ABC"/>
    <w:rsid w:val="00EE151F"/>
    <w:rsid w:val="00EE49A8"/>
    <w:rsid w:val="00EE4CF1"/>
    <w:rsid w:val="00EE5885"/>
    <w:rsid w:val="00EE5F09"/>
    <w:rsid w:val="00EF0CDD"/>
    <w:rsid w:val="00EF18C6"/>
    <w:rsid w:val="00EF1CCF"/>
    <w:rsid w:val="00EF256F"/>
    <w:rsid w:val="00EF3035"/>
    <w:rsid w:val="00EF6C8B"/>
    <w:rsid w:val="00EF7452"/>
    <w:rsid w:val="00EF7516"/>
    <w:rsid w:val="00F00A88"/>
    <w:rsid w:val="00F01D77"/>
    <w:rsid w:val="00F01E17"/>
    <w:rsid w:val="00F021DB"/>
    <w:rsid w:val="00F03228"/>
    <w:rsid w:val="00F0356B"/>
    <w:rsid w:val="00F0606F"/>
    <w:rsid w:val="00F10A9D"/>
    <w:rsid w:val="00F10DD3"/>
    <w:rsid w:val="00F11880"/>
    <w:rsid w:val="00F1196A"/>
    <w:rsid w:val="00F12719"/>
    <w:rsid w:val="00F13F37"/>
    <w:rsid w:val="00F147C9"/>
    <w:rsid w:val="00F149E1"/>
    <w:rsid w:val="00F15D04"/>
    <w:rsid w:val="00F1727B"/>
    <w:rsid w:val="00F17724"/>
    <w:rsid w:val="00F200C5"/>
    <w:rsid w:val="00F23B19"/>
    <w:rsid w:val="00F267CC"/>
    <w:rsid w:val="00F26D24"/>
    <w:rsid w:val="00F3097A"/>
    <w:rsid w:val="00F30B98"/>
    <w:rsid w:val="00F43352"/>
    <w:rsid w:val="00F45FA5"/>
    <w:rsid w:val="00F463A8"/>
    <w:rsid w:val="00F46CEF"/>
    <w:rsid w:val="00F46F3F"/>
    <w:rsid w:val="00F5247E"/>
    <w:rsid w:val="00F525FA"/>
    <w:rsid w:val="00F52CD3"/>
    <w:rsid w:val="00F55542"/>
    <w:rsid w:val="00F61EF2"/>
    <w:rsid w:val="00F62220"/>
    <w:rsid w:val="00F6399F"/>
    <w:rsid w:val="00F63D37"/>
    <w:rsid w:val="00F646EC"/>
    <w:rsid w:val="00F655DC"/>
    <w:rsid w:val="00F6563C"/>
    <w:rsid w:val="00F71183"/>
    <w:rsid w:val="00F71767"/>
    <w:rsid w:val="00F71967"/>
    <w:rsid w:val="00F71F8F"/>
    <w:rsid w:val="00F72196"/>
    <w:rsid w:val="00F72F2D"/>
    <w:rsid w:val="00F73291"/>
    <w:rsid w:val="00F736F8"/>
    <w:rsid w:val="00F73F4B"/>
    <w:rsid w:val="00F74674"/>
    <w:rsid w:val="00F74975"/>
    <w:rsid w:val="00F7594A"/>
    <w:rsid w:val="00F75EE4"/>
    <w:rsid w:val="00F77387"/>
    <w:rsid w:val="00F815C9"/>
    <w:rsid w:val="00F81A92"/>
    <w:rsid w:val="00F81E22"/>
    <w:rsid w:val="00F81E73"/>
    <w:rsid w:val="00F8340F"/>
    <w:rsid w:val="00F84AED"/>
    <w:rsid w:val="00F84D24"/>
    <w:rsid w:val="00F87335"/>
    <w:rsid w:val="00F878D4"/>
    <w:rsid w:val="00F87CED"/>
    <w:rsid w:val="00F904C0"/>
    <w:rsid w:val="00F93A5B"/>
    <w:rsid w:val="00F964CF"/>
    <w:rsid w:val="00FA052A"/>
    <w:rsid w:val="00FA0930"/>
    <w:rsid w:val="00FA350F"/>
    <w:rsid w:val="00FA37B0"/>
    <w:rsid w:val="00FA4FE8"/>
    <w:rsid w:val="00FA5C12"/>
    <w:rsid w:val="00FA74FD"/>
    <w:rsid w:val="00FA78E2"/>
    <w:rsid w:val="00FB02EA"/>
    <w:rsid w:val="00FB08DF"/>
    <w:rsid w:val="00FB1864"/>
    <w:rsid w:val="00FB340D"/>
    <w:rsid w:val="00FB48B9"/>
    <w:rsid w:val="00FB49B5"/>
    <w:rsid w:val="00FB5505"/>
    <w:rsid w:val="00FB5ECC"/>
    <w:rsid w:val="00FB68AB"/>
    <w:rsid w:val="00FB7D5A"/>
    <w:rsid w:val="00FC03A0"/>
    <w:rsid w:val="00FC16C7"/>
    <w:rsid w:val="00FC3CAE"/>
    <w:rsid w:val="00FC4430"/>
    <w:rsid w:val="00FC4C8B"/>
    <w:rsid w:val="00FC5613"/>
    <w:rsid w:val="00FD08F1"/>
    <w:rsid w:val="00FD0B89"/>
    <w:rsid w:val="00FD18C4"/>
    <w:rsid w:val="00FD2C96"/>
    <w:rsid w:val="00FD2E6B"/>
    <w:rsid w:val="00FD5475"/>
    <w:rsid w:val="00FD578B"/>
    <w:rsid w:val="00FD7A57"/>
    <w:rsid w:val="00FE0999"/>
    <w:rsid w:val="00FE2DD0"/>
    <w:rsid w:val="00FE4800"/>
    <w:rsid w:val="00FE50EC"/>
    <w:rsid w:val="00FE5D1E"/>
    <w:rsid w:val="00FE5EA8"/>
    <w:rsid w:val="00FE6185"/>
    <w:rsid w:val="00FE68BD"/>
    <w:rsid w:val="00FE7B36"/>
    <w:rsid w:val="00FF0EC1"/>
    <w:rsid w:val="00FF151E"/>
    <w:rsid w:val="00FF21C2"/>
    <w:rsid w:val="00FF23FD"/>
    <w:rsid w:val="00FF3775"/>
    <w:rsid w:val="00FF416F"/>
    <w:rsid w:val="00FF4178"/>
    <w:rsid w:val="00FF4F0D"/>
    <w:rsid w:val="00FF56DC"/>
    <w:rsid w:val="00FF6AAD"/>
    <w:rsid w:val="00FF6B9D"/>
    <w:rsid w:val="00FF703C"/>
    <w:rsid w:val="00FF753D"/>
    <w:rsid w:val="01057174"/>
    <w:rsid w:val="01091DB8"/>
    <w:rsid w:val="01664F33"/>
    <w:rsid w:val="01DA5358"/>
    <w:rsid w:val="01E72D24"/>
    <w:rsid w:val="02152772"/>
    <w:rsid w:val="027A76EE"/>
    <w:rsid w:val="02843559"/>
    <w:rsid w:val="028D20AE"/>
    <w:rsid w:val="02954528"/>
    <w:rsid w:val="02B81BCD"/>
    <w:rsid w:val="02E14401"/>
    <w:rsid w:val="02E72A90"/>
    <w:rsid w:val="032B6C3A"/>
    <w:rsid w:val="0398110D"/>
    <w:rsid w:val="03AE4BB7"/>
    <w:rsid w:val="03C2721C"/>
    <w:rsid w:val="03CA4098"/>
    <w:rsid w:val="046C68A4"/>
    <w:rsid w:val="047703D3"/>
    <w:rsid w:val="048111D6"/>
    <w:rsid w:val="048B5207"/>
    <w:rsid w:val="04A70542"/>
    <w:rsid w:val="04B35139"/>
    <w:rsid w:val="04B4706E"/>
    <w:rsid w:val="04CD3F1A"/>
    <w:rsid w:val="04E3486B"/>
    <w:rsid w:val="04FC088E"/>
    <w:rsid w:val="0500277F"/>
    <w:rsid w:val="050F05C1"/>
    <w:rsid w:val="05181BF9"/>
    <w:rsid w:val="05257DE5"/>
    <w:rsid w:val="056D13DD"/>
    <w:rsid w:val="059666A2"/>
    <w:rsid w:val="05A731E5"/>
    <w:rsid w:val="05BA3A62"/>
    <w:rsid w:val="05C54490"/>
    <w:rsid w:val="05D050DE"/>
    <w:rsid w:val="061E65E2"/>
    <w:rsid w:val="066565C1"/>
    <w:rsid w:val="067036AB"/>
    <w:rsid w:val="068C61F4"/>
    <w:rsid w:val="069178A6"/>
    <w:rsid w:val="069D0043"/>
    <w:rsid w:val="06E80BBF"/>
    <w:rsid w:val="07154BC0"/>
    <w:rsid w:val="07281077"/>
    <w:rsid w:val="072F0395"/>
    <w:rsid w:val="075C5614"/>
    <w:rsid w:val="077454EF"/>
    <w:rsid w:val="07CD1EF2"/>
    <w:rsid w:val="08470AEB"/>
    <w:rsid w:val="087430FC"/>
    <w:rsid w:val="088609EB"/>
    <w:rsid w:val="088E6EF7"/>
    <w:rsid w:val="08B32C17"/>
    <w:rsid w:val="08E31C50"/>
    <w:rsid w:val="08FB2EAC"/>
    <w:rsid w:val="09081D42"/>
    <w:rsid w:val="090F2CFE"/>
    <w:rsid w:val="09274272"/>
    <w:rsid w:val="09504B28"/>
    <w:rsid w:val="09561BD6"/>
    <w:rsid w:val="09676270"/>
    <w:rsid w:val="096D799C"/>
    <w:rsid w:val="0A262600"/>
    <w:rsid w:val="0A32250E"/>
    <w:rsid w:val="0A3F14A0"/>
    <w:rsid w:val="0A5F23CC"/>
    <w:rsid w:val="0AB80DB3"/>
    <w:rsid w:val="0AD31E57"/>
    <w:rsid w:val="0AD446CA"/>
    <w:rsid w:val="0B10435E"/>
    <w:rsid w:val="0B414AA6"/>
    <w:rsid w:val="0B952918"/>
    <w:rsid w:val="0BAD28F8"/>
    <w:rsid w:val="0BBD6DAC"/>
    <w:rsid w:val="0BD33891"/>
    <w:rsid w:val="0C0B4CBA"/>
    <w:rsid w:val="0C3E7947"/>
    <w:rsid w:val="0C8B6718"/>
    <w:rsid w:val="0C926671"/>
    <w:rsid w:val="0C955737"/>
    <w:rsid w:val="0CB01D44"/>
    <w:rsid w:val="0CBE317A"/>
    <w:rsid w:val="0CC3145D"/>
    <w:rsid w:val="0CC93748"/>
    <w:rsid w:val="0CCE0D62"/>
    <w:rsid w:val="0D1C195D"/>
    <w:rsid w:val="0D227DB6"/>
    <w:rsid w:val="0D584FE9"/>
    <w:rsid w:val="0D5C7C15"/>
    <w:rsid w:val="0D6872E8"/>
    <w:rsid w:val="0DB0636D"/>
    <w:rsid w:val="0DB167C2"/>
    <w:rsid w:val="0DCB7ED1"/>
    <w:rsid w:val="0DE37BEA"/>
    <w:rsid w:val="0E5F01F4"/>
    <w:rsid w:val="0E6E66D8"/>
    <w:rsid w:val="0E736994"/>
    <w:rsid w:val="0E736EC8"/>
    <w:rsid w:val="0E9B2EC6"/>
    <w:rsid w:val="0ECB619E"/>
    <w:rsid w:val="0ED13800"/>
    <w:rsid w:val="0EDB5FC3"/>
    <w:rsid w:val="0EDE4C18"/>
    <w:rsid w:val="0F0272D0"/>
    <w:rsid w:val="0F5D37AA"/>
    <w:rsid w:val="0F7C1A3F"/>
    <w:rsid w:val="0F994023"/>
    <w:rsid w:val="0FA56856"/>
    <w:rsid w:val="0FA76637"/>
    <w:rsid w:val="0FB47431"/>
    <w:rsid w:val="0FC379A3"/>
    <w:rsid w:val="102B2061"/>
    <w:rsid w:val="1033677A"/>
    <w:rsid w:val="103673EC"/>
    <w:rsid w:val="10661E80"/>
    <w:rsid w:val="108E4DD0"/>
    <w:rsid w:val="10AA6ADE"/>
    <w:rsid w:val="110756DE"/>
    <w:rsid w:val="111E2F89"/>
    <w:rsid w:val="113E1CE8"/>
    <w:rsid w:val="1149646B"/>
    <w:rsid w:val="11A67DAF"/>
    <w:rsid w:val="11AE2F10"/>
    <w:rsid w:val="11BB7151"/>
    <w:rsid w:val="11DE3894"/>
    <w:rsid w:val="11EA2670"/>
    <w:rsid w:val="11F01EF2"/>
    <w:rsid w:val="123F5AB2"/>
    <w:rsid w:val="125115C1"/>
    <w:rsid w:val="12535C57"/>
    <w:rsid w:val="125515DD"/>
    <w:rsid w:val="12862A45"/>
    <w:rsid w:val="12B22D98"/>
    <w:rsid w:val="12BB4A34"/>
    <w:rsid w:val="12EB1A25"/>
    <w:rsid w:val="131B309C"/>
    <w:rsid w:val="132F6200"/>
    <w:rsid w:val="134C6724"/>
    <w:rsid w:val="137912FC"/>
    <w:rsid w:val="139D4FEA"/>
    <w:rsid w:val="140446C5"/>
    <w:rsid w:val="14130A56"/>
    <w:rsid w:val="143B2A9E"/>
    <w:rsid w:val="149D7BED"/>
    <w:rsid w:val="14D507B4"/>
    <w:rsid w:val="14D51FAC"/>
    <w:rsid w:val="152529A7"/>
    <w:rsid w:val="15400323"/>
    <w:rsid w:val="156B00D6"/>
    <w:rsid w:val="156B1C33"/>
    <w:rsid w:val="157047C0"/>
    <w:rsid w:val="15887648"/>
    <w:rsid w:val="158A4FAF"/>
    <w:rsid w:val="158F0C47"/>
    <w:rsid w:val="15916DD0"/>
    <w:rsid w:val="15D22CA8"/>
    <w:rsid w:val="15E35820"/>
    <w:rsid w:val="162B0FD3"/>
    <w:rsid w:val="16415384"/>
    <w:rsid w:val="16573B76"/>
    <w:rsid w:val="16E90E79"/>
    <w:rsid w:val="16FF7D6A"/>
    <w:rsid w:val="17112371"/>
    <w:rsid w:val="17330C1C"/>
    <w:rsid w:val="173F5AA6"/>
    <w:rsid w:val="175B345B"/>
    <w:rsid w:val="178A2938"/>
    <w:rsid w:val="178D59B4"/>
    <w:rsid w:val="17B658DB"/>
    <w:rsid w:val="17E87BE9"/>
    <w:rsid w:val="1807368E"/>
    <w:rsid w:val="18094E4C"/>
    <w:rsid w:val="181A32D5"/>
    <w:rsid w:val="18345C55"/>
    <w:rsid w:val="1854609A"/>
    <w:rsid w:val="18634E1A"/>
    <w:rsid w:val="187A7FA7"/>
    <w:rsid w:val="18981081"/>
    <w:rsid w:val="189C54A0"/>
    <w:rsid w:val="189D1DA0"/>
    <w:rsid w:val="18A878B6"/>
    <w:rsid w:val="18B85D9C"/>
    <w:rsid w:val="18FE58CB"/>
    <w:rsid w:val="191804CF"/>
    <w:rsid w:val="191B4BCA"/>
    <w:rsid w:val="198D5962"/>
    <w:rsid w:val="19BF2FD4"/>
    <w:rsid w:val="19F5691B"/>
    <w:rsid w:val="19F94F44"/>
    <w:rsid w:val="1A2E7A8E"/>
    <w:rsid w:val="1A6C5716"/>
    <w:rsid w:val="1A7173BA"/>
    <w:rsid w:val="1A846F04"/>
    <w:rsid w:val="1A863A12"/>
    <w:rsid w:val="1A9620B0"/>
    <w:rsid w:val="1AA608A8"/>
    <w:rsid w:val="1AE11AD0"/>
    <w:rsid w:val="1B083691"/>
    <w:rsid w:val="1B1367CF"/>
    <w:rsid w:val="1B37456E"/>
    <w:rsid w:val="1B5D2B0E"/>
    <w:rsid w:val="1B8617B4"/>
    <w:rsid w:val="1BB73177"/>
    <w:rsid w:val="1BC4243D"/>
    <w:rsid w:val="1BD61F8D"/>
    <w:rsid w:val="1C104180"/>
    <w:rsid w:val="1C144751"/>
    <w:rsid w:val="1C4F0B6A"/>
    <w:rsid w:val="1C9E005B"/>
    <w:rsid w:val="1CB25648"/>
    <w:rsid w:val="1CE61711"/>
    <w:rsid w:val="1CE974F2"/>
    <w:rsid w:val="1CF7773A"/>
    <w:rsid w:val="1D0F5D70"/>
    <w:rsid w:val="1D2D315B"/>
    <w:rsid w:val="1D59526B"/>
    <w:rsid w:val="1D7A117E"/>
    <w:rsid w:val="1D873604"/>
    <w:rsid w:val="1D992D38"/>
    <w:rsid w:val="1DE50346"/>
    <w:rsid w:val="1DF37ACA"/>
    <w:rsid w:val="1E0E2315"/>
    <w:rsid w:val="1E5A7B00"/>
    <w:rsid w:val="1E646764"/>
    <w:rsid w:val="1E740A3E"/>
    <w:rsid w:val="1E942105"/>
    <w:rsid w:val="1EA0138E"/>
    <w:rsid w:val="1EAD68A3"/>
    <w:rsid w:val="1EB00E11"/>
    <w:rsid w:val="1EE53CE9"/>
    <w:rsid w:val="1EE64207"/>
    <w:rsid w:val="1EF84D13"/>
    <w:rsid w:val="1F1F404B"/>
    <w:rsid w:val="1F2963B9"/>
    <w:rsid w:val="1F3666C1"/>
    <w:rsid w:val="1F4D63BF"/>
    <w:rsid w:val="1F695471"/>
    <w:rsid w:val="1FA470AA"/>
    <w:rsid w:val="1FAA2794"/>
    <w:rsid w:val="1FBF5378"/>
    <w:rsid w:val="1FF92F45"/>
    <w:rsid w:val="200015B6"/>
    <w:rsid w:val="201F09E4"/>
    <w:rsid w:val="202805BE"/>
    <w:rsid w:val="202F7E27"/>
    <w:rsid w:val="203901FA"/>
    <w:rsid w:val="206F2329"/>
    <w:rsid w:val="20785859"/>
    <w:rsid w:val="20861356"/>
    <w:rsid w:val="20DD33C7"/>
    <w:rsid w:val="20E9534B"/>
    <w:rsid w:val="212168D9"/>
    <w:rsid w:val="212E1977"/>
    <w:rsid w:val="21314A20"/>
    <w:rsid w:val="21454EFA"/>
    <w:rsid w:val="2177331E"/>
    <w:rsid w:val="217C5665"/>
    <w:rsid w:val="21827EE2"/>
    <w:rsid w:val="220F70A1"/>
    <w:rsid w:val="225B0A48"/>
    <w:rsid w:val="225E4A2F"/>
    <w:rsid w:val="22646AC5"/>
    <w:rsid w:val="22794E74"/>
    <w:rsid w:val="22A03185"/>
    <w:rsid w:val="22A121BE"/>
    <w:rsid w:val="22C75BE0"/>
    <w:rsid w:val="23243073"/>
    <w:rsid w:val="237F6303"/>
    <w:rsid w:val="238B4E5F"/>
    <w:rsid w:val="240309B7"/>
    <w:rsid w:val="2423153B"/>
    <w:rsid w:val="24722B1D"/>
    <w:rsid w:val="24744F65"/>
    <w:rsid w:val="2485369E"/>
    <w:rsid w:val="24BE768F"/>
    <w:rsid w:val="24CD0A36"/>
    <w:rsid w:val="24F76C4E"/>
    <w:rsid w:val="254611E8"/>
    <w:rsid w:val="254A758B"/>
    <w:rsid w:val="2551032A"/>
    <w:rsid w:val="255E4722"/>
    <w:rsid w:val="25666677"/>
    <w:rsid w:val="2579401F"/>
    <w:rsid w:val="258E1920"/>
    <w:rsid w:val="25C66622"/>
    <w:rsid w:val="25CD3837"/>
    <w:rsid w:val="25D421F9"/>
    <w:rsid w:val="25D80104"/>
    <w:rsid w:val="25EE1E11"/>
    <w:rsid w:val="25FE64A2"/>
    <w:rsid w:val="26134C40"/>
    <w:rsid w:val="261846D3"/>
    <w:rsid w:val="263B7010"/>
    <w:rsid w:val="265A6D6B"/>
    <w:rsid w:val="265B348D"/>
    <w:rsid w:val="26B75F6B"/>
    <w:rsid w:val="26F577F9"/>
    <w:rsid w:val="272D1FDB"/>
    <w:rsid w:val="27497F21"/>
    <w:rsid w:val="276341A2"/>
    <w:rsid w:val="27766970"/>
    <w:rsid w:val="27882E27"/>
    <w:rsid w:val="278A1E73"/>
    <w:rsid w:val="27CB4624"/>
    <w:rsid w:val="27D54B85"/>
    <w:rsid w:val="280020F4"/>
    <w:rsid w:val="28016741"/>
    <w:rsid w:val="28362935"/>
    <w:rsid w:val="284D138A"/>
    <w:rsid w:val="28567F72"/>
    <w:rsid w:val="287E31E4"/>
    <w:rsid w:val="28A95D87"/>
    <w:rsid w:val="28BB3B18"/>
    <w:rsid w:val="28C36E49"/>
    <w:rsid w:val="28E75DD6"/>
    <w:rsid w:val="28F456DC"/>
    <w:rsid w:val="28FF7F73"/>
    <w:rsid w:val="290336EA"/>
    <w:rsid w:val="29347D47"/>
    <w:rsid w:val="294A30C6"/>
    <w:rsid w:val="295B5406"/>
    <w:rsid w:val="29777C08"/>
    <w:rsid w:val="298174AA"/>
    <w:rsid w:val="29BB0AB0"/>
    <w:rsid w:val="29DF4EED"/>
    <w:rsid w:val="2A4E7883"/>
    <w:rsid w:val="2A683248"/>
    <w:rsid w:val="2A854AAC"/>
    <w:rsid w:val="2AE55981"/>
    <w:rsid w:val="2AE70FCE"/>
    <w:rsid w:val="2B120F7D"/>
    <w:rsid w:val="2B131F01"/>
    <w:rsid w:val="2B3475D7"/>
    <w:rsid w:val="2B382006"/>
    <w:rsid w:val="2B75232D"/>
    <w:rsid w:val="2B821CAB"/>
    <w:rsid w:val="2B8A731D"/>
    <w:rsid w:val="2BC03B14"/>
    <w:rsid w:val="2BFC07F2"/>
    <w:rsid w:val="2C053111"/>
    <w:rsid w:val="2C1D0CD9"/>
    <w:rsid w:val="2C3B319A"/>
    <w:rsid w:val="2C5742D6"/>
    <w:rsid w:val="2C6C4BD5"/>
    <w:rsid w:val="2C6C5299"/>
    <w:rsid w:val="2C7607D5"/>
    <w:rsid w:val="2CD17838"/>
    <w:rsid w:val="2D157E8F"/>
    <w:rsid w:val="2D4277A9"/>
    <w:rsid w:val="2D7A32FD"/>
    <w:rsid w:val="2D8A262B"/>
    <w:rsid w:val="2D8B3296"/>
    <w:rsid w:val="2DB63A64"/>
    <w:rsid w:val="2E0A72C8"/>
    <w:rsid w:val="2E1F29F9"/>
    <w:rsid w:val="2E32727B"/>
    <w:rsid w:val="2E857B1B"/>
    <w:rsid w:val="2E9979B0"/>
    <w:rsid w:val="2EAA6D5B"/>
    <w:rsid w:val="2EAB74D1"/>
    <w:rsid w:val="2EC41B6D"/>
    <w:rsid w:val="2EE82CBC"/>
    <w:rsid w:val="2EE9750A"/>
    <w:rsid w:val="2F22487C"/>
    <w:rsid w:val="2F224EB2"/>
    <w:rsid w:val="2F2E58DD"/>
    <w:rsid w:val="2F622AC8"/>
    <w:rsid w:val="2F6805A7"/>
    <w:rsid w:val="2F6F1C4B"/>
    <w:rsid w:val="2F763C18"/>
    <w:rsid w:val="2FB742F3"/>
    <w:rsid w:val="2FDF3879"/>
    <w:rsid w:val="2FFD0E93"/>
    <w:rsid w:val="2FFE7AEF"/>
    <w:rsid w:val="300F1588"/>
    <w:rsid w:val="307A7B4F"/>
    <w:rsid w:val="308204A7"/>
    <w:rsid w:val="309009EE"/>
    <w:rsid w:val="30A42596"/>
    <w:rsid w:val="30B04FD3"/>
    <w:rsid w:val="30FE70C9"/>
    <w:rsid w:val="3106106A"/>
    <w:rsid w:val="313A111E"/>
    <w:rsid w:val="31520047"/>
    <w:rsid w:val="31537F45"/>
    <w:rsid w:val="31705E42"/>
    <w:rsid w:val="319C677B"/>
    <w:rsid w:val="31AF13B8"/>
    <w:rsid w:val="31D125D7"/>
    <w:rsid w:val="32252F37"/>
    <w:rsid w:val="32553658"/>
    <w:rsid w:val="32553CE6"/>
    <w:rsid w:val="32905B96"/>
    <w:rsid w:val="32930A5B"/>
    <w:rsid w:val="329D33DA"/>
    <w:rsid w:val="32A95302"/>
    <w:rsid w:val="32C95D50"/>
    <w:rsid w:val="32DF419F"/>
    <w:rsid w:val="32E048C1"/>
    <w:rsid w:val="32E121BE"/>
    <w:rsid w:val="3335016B"/>
    <w:rsid w:val="339E41DA"/>
    <w:rsid w:val="33D1523F"/>
    <w:rsid w:val="33D777A9"/>
    <w:rsid w:val="33DC1707"/>
    <w:rsid w:val="34056568"/>
    <w:rsid w:val="34204816"/>
    <w:rsid w:val="34727975"/>
    <w:rsid w:val="34881E31"/>
    <w:rsid w:val="34A04463"/>
    <w:rsid w:val="34AE6BFF"/>
    <w:rsid w:val="34D4239D"/>
    <w:rsid w:val="350D72B0"/>
    <w:rsid w:val="350E3B42"/>
    <w:rsid w:val="3511180E"/>
    <w:rsid w:val="35240DA2"/>
    <w:rsid w:val="35257571"/>
    <w:rsid w:val="352B0C6C"/>
    <w:rsid w:val="35335357"/>
    <w:rsid w:val="3538471B"/>
    <w:rsid w:val="3576039C"/>
    <w:rsid w:val="358362DE"/>
    <w:rsid w:val="359C1EFA"/>
    <w:rsid w:val="35C6441D"/>
    <w:rsid w:val="35DE52C2"/>
    <w:rsid w:val="35E40CDB"/>
    <w:rsid w:val="36165E9C"/>
    <w:rsid w:val="36801F82"/>
    <w:rsid w:val="368C4D1E"/>
    <w:rsid w:val="3694658E"/>
    <w:rsid w:val="369A1340"/>
    <w:rsid w:val="36B97ADD"/>
    <w:rsid w:val="36BE6024"/>
    <w:rsid w:val="36D85F49"/>
    <w:rsid w:val="36F6263B"/>
    <w:rsid w:val="372543F3"/>
    <w:rsid w:val="37297180"/>
    <w:rsid w:val="37500442"/>
    <w:rsid w:val="3755743A"/>
    <w:rsid w:val="376E2676"/>
    <w:rsid w:val="37A35F2C"/>
    <w:rsid w:val="37B00763"/>
    <w:rsid w:val="3855296F"/>
    <w:rsid w:val="388218D8"/>
    <w:rsid w:val="38E56105"/>
    <w:rsid w:val="38FE0FCD"/>
    <w:rsid w:val="391159AF"/>
    <w:rsid w:val="39243452"/>
    <w:rsid w:val="39551D3F"/>
    <w:rsid w:val="396C2964"/>
    <w:rsid w:val="39751204"/>
    <w:rsid w:val="39940E67"/>
    <w:rsid w:val="39C537BE"/>
    <w:rsid w:val="39DF78D8"/>
    <w:rsid w:val="3A0E6242"/>
    <w:rsid w:val="3A171FAE"/>
    <w:rsid w:val="3A957526"/>
    <w:rsid w:val="3ABE0A43"/>
    <w:rsid w:val="3B120EEC"/>
    <w:rsid w:val="3B4007CD"/>
    <w:rsid w:val="3B561B9E"/>
    <w:rsid w:val="3B5F2697"/>
    <w:rsid w:val="3B9C2681"/>
    <w:rsid w:val="3BAB0D92"/>
    <w:rsid w:val="3BB014AF"/>
    <w:rsid w:val="3BB05F7B"/>
    <w:rsid w:val="3BC7134F"/>
    <w:rsid w:val="3BD65482"/>
    <w:rsid w:val="3BDA21E6"/>
    <w:rsid w:val="3BF710C3"/>
    <w:rsid w:val="3BFA41D5"/>
    <w:rsid w:val="3C186EE1"/>
    <w:rsid w:val="3C257429"/>
    <w:rsid w:val="3C430575"/>
    <w:rsid w:val="3C4E2A76"/>
    <w:rsid w:val="3C537840"/>
    <w:rsid w:val="3C752089"/>
    <w:rsid w:val="3C935671"/>
    <w:rsid w:val="3CB25F15"/>
    <w:rsid w:val="3CBE7E9F"/>
    <w:rsid w:val="3CC71CA8"/>
    <w:rsid w:val="3CE42A47"/>
    <w:rsid w:val="3D893AC8"/>
    <w:rsid w:val="3DE90F80"/>
    <w:rsid w:val="3E2C3425"/>
    <w:rsid w:val="3E4531BF"/>
    <w:rsid w:val="3EA237B6"/>
    <w:rsid w:val="3EA47F39"/>
    <w:rsid w:val="3EC20B33"/>
    <w:rsid w:val="3EF141B2"/>
    <w:rsid w:val="3EF33AC7"/>
    <w:rsid w:val="3F13697E"/>
    <w:rsid w:val="3F45521F"/>
    <w:rsid w:val="3F47451F"/>
    <w:rsid w:val="3F65239A"/>
    <w:rsid w:val="3F941438"/>
    <w:rsid w:val="3FAB065C"/>
    <w:rsid w:val="404223B5"/>
    <w:rsid w:val="404253A9"/>
    <w:rsid w:val="405254E0"/>
    <w:rsid w:val="408325EF"/>
    <w:rsid w:val="40B05787"/>
    <w:rsid w:val="40B94AF3"/>
    <w:rsid w:val="40BC06B7"/>
    <w:rsid w:val="40DA7A41"/>
    <w:rsid w:val="40EE7F4E"/>
    <w:rsid w:val="40FB40E0"/>
    <w:rsid w:val="41177778"/>
    <w:rsid w:val="41285293"/>
    <w:rsid w:val="4152035E"/>
    <w:rsid w:val="41B702A6"/>
    <w:rsid w:val="41CE5F28"/>
    <w:rsid w:val="41D43A1D"/>
    <w:rsid w:val="41E31BBB"/>
    <w:rsid w:val="41ED786B"/>
    <w:rsid w:val="41FF6CEC"/>
    <w:rsid w:val="422D4817"/>
    <w:rsid w:val="42336EDC"/>
    <w:rsid w:val="423D2056"/>
    <w:rsid w:val="42446DF5"/>
    <w:rsid w:val="425C6909"/>
    <w:rsid w:val="42BE7383"/>
    <w:rsid w:val="42CA7724"/>
    <w:rsid w:val="43366B3C"/>
    <w:rsid w:val="438A0837"/>
    <w:rsid w:val="43CD3F67"/>
    <w:rsid w:val="43CF05F4"/>
    <w:rsid w:val="43F90B17"/>
    <w:rsid w:val="440D04B5"/>
    <w:rsid w:val="441A5CAD"/>
    <w:rsid w:val="445B7A45"/>
    <w:rsid w:val="44626241"/>
    <w:rsid w:val="446948F1"/>
    <w:rsid w:val="446B2045"/>
    <w:rsid w:val="44957494"/>
    <w:rsid w:val="44CE29A6"/>
    <w:rsid w:val="45126190"/>
    <w:rsid w:val="451429BB"/>
    <w:rsid w:val="45366970"/>
    <w:rsid w:val="454D5FC1"/>
    <w:rsid w:val="45535C43"/>
    <w:rsid w:val="45800144"/>
    <w:rsid w:val="458217E0"/>
    <w:rsid w:val="45910E05"/>
    <w:rsid w:val="4599617B"/>
    <w:rsid w:val="45DE61D5"/>
    <w:rsid w:val="45E529EA"/>
    <w:rsid w:val="460B0BC5"/>
    <w:rsid w:val="462438B8"/>
    <w:rsid w:val="462E1B1C"/>
    <w:rsid w:val="4646138E"/>
    <w:rsid w:val="46782929"/>
    <w:rsid w:val="467C4DAF"/>
    <w:rsid w:val="46AC31BB"/>
    <w:rsid w:val="46B30817"/>
    <w:rsid w:val="46EE6131"/>
    <w:rsid w:val="46FE4BEF"/>
    <w:rsid w:val="47054969"/>
    <w:rsid w:val="47160BCA"/>
    <w:rsid w:val="472D4050"/>
    <w:rsid w:val="47353157"/>
    <w:rsid w:val="47357C6D"/>
    <w:rsid w:val="47413AD5"/>
    <w:rsid w:val="47753997"/>
    <w:rsid w:val="479D0736"/>
    <w:rsid w:val="47BF45EC"/>
    <w:rsid w:val="47C6205A"/>
    <w:rsid w:val="47D30E6E"/>
    <w:rsid w:val="47D31C64"/>
    <w:rsid w:val="47D744B6"/>
    <w:rsid w:val="481132D5"/>
    <w:rsid w:val="48502589"/>
    <w:rsid w:val="48937526"/>
    <w:rsid w:val="489F6B33"/>
    <w:rsid w:val="48A44149"/>
    <w:rsid w:val="48C25198"/>
    <w:rsid w:val="48D87541"/>
    <w:rsid w:val="48F84495"/>
    <w:rsid w:val="49205746"/>
    <w:rsid w:val="493A5DF4"/>
    <w:rsid w:val="495116FB"/>
    <w:rsid w:val="49702E39"/>
    <w:rsid w:val="4975507C"/>
    <w:rsid w:val="49797AD6"/>
    <w:rsid w:val="497B4803"/>
    <w:rsid w:val="49807B7B"/>
    <w:rsid w:val="4A170301"/>
    <w:rsid w:val="4A1B3ACE"/>
    <w:rsid w:val="4A2D63C1"/>
    <w:rsid w:val="4A3B62B0"/>
    <w:rsid w:val="4A4C592A"/>
    <w:rsid w:val="4A4E669E"/>
    <w:rsid w:val="4A6B427E"/>
    <w:rsid w:val="4A837DF0"/>
    <w:rsid w:val="4A891664"/>
    <w:rsid w:val="4A944B06"/>
    <w:rsid w:val="4A9B3B72"/>
    <w:rsid w:val="4AC667B8"/>
    <w:rsid w:val="4AEF35CA"/>
    <w:rsid w:val="4B073A20"/>
    <w:rsid w:val="4B143418"/>
    <w:rsid w:val="4B1F66F8"/>
    <w:rsid w:val="4B23074F"/>
    <w:rsid w:val="4B2C48CA"/>
    <w:rsid w:val="4B3D45DA"/>
    <w:rsid w:val="4B466C66"/>
    <w:rsid w:val="4B512B86"/>
    <w:rsid w:val="4B7B6EEB"/>
    <w:rsid w:val="4B9E726D"/>
    <w:rsid w:val="4BAB57EF"/>
    <w:rsid w:val="4BF22F94"/>
    <w:rsid w:val="4C236710"/>
    <w:rsid w:val="4C3D16D4"/>
    <w:rsid w:val="4C68272A"/>
    <w:rsid w:val="4C776384"/>
    <w:rsid w:val="4C7C51AC"/>
    <w:rsid w:val="4CA86196"/>
    <w:rsid w:val="4CAA325C"/>
    <w:rsid w:val="4CC03170"/>
    <w:rsid w:val="4CC3460A"/>
    <w:rsid w:val="4CC96BF4"/>
    <w:rsid w:val="4CF224C3"/>
    <w:rsid w:val="4CF729C2"/>
    <w:rsid w:val="4D50397E"/>
    <w:rsid w:val="4D56754C"/>
    <w:rsid w:val="4D7D31BB"/>
    <w:rsid w:val="4D890CA8"/>
    <w:rsid w:val="4D8F4FD9"/>
    <w:rsid w:val="4D926C66"/>
    <w:rsid w:val="4D9D597F"/>
    <w:rsid w:val="4DA43078"/>
    <w:rsid w:val="4DA71A49"/>
    <w:rsid w:val="4DED6593"/>
    <w:rsid w:val="4DEF1D3B"/>
    <w:rsid w:val="4DF12809"/>
    <w:rsid w:val="4E12551C"/>
    <w:rsid w:val="4E3F7A8E"/>
    <w:rsid w:val="4E5B0B53"/>
    <w:rsid w:val="4E965BF7"/>
    <w:rsid w:val="4EB710E1"/>
    <w:rsid w:val="4F2B5053"/>
    <w:rsid w:val="4F5E791F"/>
    <w:rsid w:val="4F672B18"/>
    <w:rsid w:val="4F994CB5"/>
    <w:rsid w:val="4FB170A0"/>
    <w:rsid w:val="4FBC00C9"/>
    <w:rsid w:val="4FCD6206"/>
    <w:rsid w:val="4FDD4C3B"/>
    <w:rsid w:val="4FF16761"/>
    <w:rsid w:val="4FF82FCD"/>
    <w:rsid w:val="50163F3B"/>
    <w:rsid w:val="5086142D"/>
    <w:rsid w:val="50A31016"/>
    <w:rsid w:val="50B50C20"/>
    <w:rsid w:val="50C60DD3"/>
    <w:rsid w:val="50F86241"/>
    <w:rsid w:val="50FA6B0E"/>
    <w:rsid w:val="50FC7506"/>
    <w:rsid w:val="510752DB"/>
    <w:rsid w:val="510F6820"/>
    <w:rsid w:val="513B39A9"/>
    <w:rsid w:val="51416F5E"/>
    <w:rsid w:val="516A3A56"/>
    <w:rsid w:val="517B7A06"/>
    <w:rsid w:val="51CA76A1"/>
    <w:rsid w:val="51E2029D"/>
    <w:rsid w:val="51F93C67"/>
    <w:rsid w:val="521F0CE5"/>
    <w:rsid w:val="52242B61"/>
    <w:rsid w:val="522B7F7F"/>
    <w:rsid w:val="5244465C"/>
    <w:rsid w:val="525210BA"/>
    <w:rsid w:val="52667069"/>
    <w:rsid w:val="527D17B1"/>
    <w:rsid w:val="52CD5976"/>
    <w:rsid w:val="52D31CE5"/>
    <w:rsid w:val="52D42BCC"/>
    <w:rsid w:val="52EF4289"/>
    <w:rsid w:val="53163E96"/>
    <w:rsid w:val="534A1636"/>
    <w:rsid w:val="534B5299"/>
    <w:rsid w:val="535E583D"/>
    <w:rsid w:val="538F3C48"/>
    <w:rsid w:val="53A67E78"/>
    <w:rsid w:val="547E5133"/>
    <w:rsid w:val="54840294"/>
    <w:rsid w:val="54B71115"/>
    <w:rsid w:val="54D4046E"/>
    <w:rsid w:val="54EF0874"/>
    <w:rsid w:val="5589454B"/>
    <w:rsid w:val="55B367BE"/>
    <w:rsid w:val="55BF7115"/>
    <w:rsid w:val="55DA73FC"/>
    <w:rsid w:val="56350AD7"/>
    <w:rsid w:val="564725B8"/>
    <w:rsid w:val="5678249A"/>
    <w:rsid w:val="569951D6"/>
    <w:rsid w:val="56A5050F"/>
    <w:rsid w:val="56B80A1E"/>
    <w:rsid w:val="56D77DE0"/>
    <w:rsid w:val="572A43B4"/>
    <w:rsid w:val="5749169C"/>
    <w:rsid w:val="574B0578"/>
    <w:rsid w:val="575B031C"/>
    <w:rsid w:val="576059DC"/>
    <w:rsid w:val="57724F91"/>
    <w:rsid w:val="577F7B44"/>
    <w:rsid w:val="57821453"/>
    <w:rsid w:val="578364CE"/>
    <w:rsid w:val="57CA0DDC"/>
    <w:rsid w:val="5812150A"/>
    <w:rsid w:val="5848109C"/>
    <w:rsid w:val="586C188E"/>
    <w:rsid w:val="58706EC5"/>
    <w:rsid w:val="5882172C"/>
    <w:rsid w:val="58A75D23"/>
    <w:rsid w:val="58EE65B7"/>
    <w:rsid w:val="595C265B"/>
    <w:rsid w:val="59734E4D"/>
    <w:rsid w:val="59815811"/>
    <w:rsid w:val="59924F82"/>
    <w:rsid w:val="59B71052"/>
    <w:rsid w:val="59D4145F"/>
    <w:rsid w:val="5A257E64"/>
    <w:rsid w:val="5A3277FC"/>
    <w:rsid w:val="5A5E4A81"/>
    <w:rsid w:val="5A772751"/>
    <w:rsid w:val="5A7E66FB"/>
    <w:rsid w:val="5B2D640F"/>
    <w:rsid w:val="5B5703CE"/>
    <w:rsid w:val="5B633094"/>
    <w:rsid w:val="5BB84237"/>
    <w:rsid w:val="5C343BF4"/>
    <w:rsid w:val="5C6E6AF1"/>
    <w:rsid w:val="5C9302E8"/>
    <w:rsid w:val="5C951009"/>
    <w:rsid w:val="5C9732F8"/>
    <w:rsid w:val="5CB37AD2"/>
    <w:rsid w:val="5CE87F9D"/>
    <w:rsid w:val="5D0134C1"/>
    <w:rsid w:val="5D0905C7"/>
    <w:rsid w:val="5D1906AD"/>
    <w:rsid w:val="5D854CC5"/>
    <w:rsid w:val="5DAE1718"/>
    <w:rsid w:val="5DB86BDF"/>
    <w:rsid w:val="5E0E2BE8"/>
    <w:rsid w:val="5E121B4B"/>
    <w:rsid w:val="5E1B0AB7"/>
    <w:rsid w:val="5E5D66C4"/>
    <w:rsid w:val="5EC563CA"/>
    <w:rsid w:val="5EC56FAB"/>
    <w:rsid w:val="5EED4BD2"/>
    <w:rsid w:val="5F14420B"/>
    <w:rsid w:val="5F527F33"/>
    <w:rsid w:val="5F867FE8"/>
    <w:rsid w:val="5FAB683B"/>
    <w:rsid w:val="5FAD1F65"/>
    <w:rsid w:val="5FC34600"/>
    <w:rsid w:val="5FE56D85"/>
    <w:rsid w:val="60397415"/>
    <w:rsid w:val="60745818"/>
    <w:rsid w:val="60D86C2E"/>
    <w:rsid w:val="60F86CCC"/>
    <w:rsid w:val="612B0CDA"/>
    <w:rsid w:val="612C2AD6"/>
    <w:rsid w:val="61634BDE"/>
    <w:rsid w:val="618C65A0"/>
    <w:rsid w:val="619E1E1A"/>
    <w:rsid w:val="61A217E0"/>
    <w:rsid w:val="61A47AB6"/>
    <w:rsid w:val="61B3691E"/>
    <w:rsid w:val="61D44796"/>
    <w:rsid w:val="61E31DE8"/>
    <w:rsid w:val="61E72512"/>
    <w:rsid w:val="62026496"/>
    <w:rsid w:val="627570E2"/>
    <w:rsid w:val="62CC05BD"/>
    <w:rsid w:val="62CF2FBC"/>
    <w:rsid w:val="62DF1B29"/>
    <w:rsid w:val="63402869"/>
    <w:rsid w:val="63411783"/>
    <w:rsid w:val="634569FB"/>
    <w:rsid w:val="634F1558"/>
    <w:rsid w:val="635B3CBB"/>
    <w:rsid w:val="6361115D"/>
    <w:rsid w:val="637169F7"/>
    <w:rsid w:val="63766023"/>
    <w:rsid w:val="63810D20"/>
    <w:rsid w:val="638E4697"/>
    <w:rsid w:val="639F3A33"/>
    <w:rsid w:val="63A1155A"/>
    <w:rsid w:val="63B13F4A"/>
    <w:rsid w:val="63D31A11"/>
    <w:rsid w:val="63E25311"/>
    <w:rsid w:val="640837C9"/>
    <w:rsid w:val="642A38B4"/>
    <w:rsid w:val="643165AC"/>
    <w:rsid w:val="645D3B0C"/>
    <w:rsid w:val="64754794"/>
    <w:rsid w:val="648B1453"/>
    <w:rsid w:val="64923F3B"/>
    <w:rsid w:val="64B172A3"/>
    <w:rsid w:val="64E93A10"/>
    <w:rsid w:val="64FA028D"/>
    <w:rsid w:val="653D1756"/>
    <w:rsid w:val="656219FF"/>
    <w:rsid w:val="65882089"/>
    <w:rsid w:val="65972E76"/>
    <w:rsid w:val="659C2997"/>
    <w:rsid w:val="65A342E9"/>
    <w:rsid w:val="65EF214B"/>
    <w:rsid w:val="65F41CDB"/>
    <w:rsid w:val="66291A75"/>
    <w:rsid w:val="663A10AC"/>
    <w:rsid w:val="665F1FEC"/>
    <w:rsid w:val="666601EF"/>
    <w:rsid w:val="667E6E63"/>
    <w:rsid w:val="66A808A3"/>
    <w:rsid w:val="66BE68C6"/>
    <w:rsid w:val="67072E12"/>
    <w:rsid w:val="670D40D1"/>
    <w:rsid w:val="672A226F"/>
    <w:rsid w:val="67306233"/>
    <w:rsid w:val="67377175"/>
    <w:rsid w:val="6740773E"/>
    <w:rsid w:val="677D10D5"/>
    <w:rsid w:val="677F5C17"/>
    <w:rsid w:val="67BC2E7E"/>
    <w:rsid w:val="67CB11B2"/>
    <w:rsid w:val="67EA6533"/>
    <w:rsid w:val="67F26828"/>
    <w:rsid w:val="67F96719"/>
    <w:rsid w:val="67FA15FC"/>
    <w:rsid w:val="67FA3EA9"/>
    <w:rsid w:val="68046FE2"/>
    <w:rsid w:val="68163561"/>
    <w:rsid w:val="68282344"/>
    <w:rsid w:val="68293532"/>
    <w:rsid w:val="684B01EF"/>
    <w:rsid w:val="687B2CDC"/>
    <w:rsid w:val="69073FEB"/>
    <w:rsid w:val="69240832"/>
    <w:rsid w:val="694A619A"/>
    <w:rsid w:val="695A4E7C"/>
    <w:rsid w:val="69695586"/>
    <w:rsid w:val="69C3474C"/>
    <w:rsid w:val="6A6B68B5"/>
    <w:rsid w:val="6AA17D67"/>
    <w:rsid w:val="6ABF493E"/>
    <w:rsid w:val="6AE9752C"/>
    <w:rsid w:val="6B174C36"/>
    <w:rsid w:val="6B2D5376"/>
    <w:rsid w:val="6B2F38EF"/>
    <w:rsid w:val="6B741C94"/>
    <w:rsid w:val="6B767770"/>
    <w:rsid w:val="6B7915FC"/>
    <w:rsid w:val="6C0360CB"/>
    <w:rsid w:val="6C1D4AA5"/>
    <w:rsid w:val="6C700348"/>
    <w:rsid w:val="6C8859AD"/>
    <w:rsid w:val="6C9E5548"/>
    <w:rsid w:val="6CA169A6"/>
    <w:rsid w:val="6CBE7875"/>
    <w:rsid w:val="6D0A63C2"/>
    <w:rsid w:val="6D1F4EAA"/>
    <w:rsid w:val="6D344076"/>
    <w:rsid w:val="6D4A0EB4"/>
    <w:rsid w:val="6D6A1C41"/>
    <w:rsid w:val="6D907449"/>
    <w:rsid w:val="6D9D4117"/>
    <w:rsid w:val="6DF4056F"/>
    <w:rsid w:val="6E384A9E"/>
    <w:rsid w:val="6E9527E1"/>
    <w:rsid w:val="6EA51FA3"/>
    <w:rsid w:val="6EA96D85"/>
    <w:rsid w:val="6F2578B2"/>
    <w:rsid w:val="6F3612DC"/>
    <w:rsid w:val="6F6D282D"/>
    <w:rsid w:val="6FA34535"/>
    <w:rsid w:val="6FAB59C1"/>
    <w:rsid w:val="6FCC4672"/>
    <w:rsid w:val="6FF70BE7"/>
    <w:rsid w:val="70101B35"/>
    <w:rsid w:val="709E1901"/>
    <w:rsid w:val="70C56B75"/>
    <w:rsid w:val="70C60851"/>
    <w:rsid w:val="70CD2FA7"/>
    <w:rsid w:val="70E8679D"/>
    <w:rsid w:val="70F8550E"/>
    <w:rsid w:val="71754026"/>
    <w:rsid w:val="71957BB6"/>
    <w:rsid w:val="71C82C84"/>
    <w:rsid w:val="71CC633B"/>
    <w:rsid w:val="71D76A8E"/>
    <w:rsid w:val="72007D93"/>
    <w:rsid w:val="722933A4"/>
    <w:rsid w:val="722D066E"/>
    <w:rsid w:val="722F1F60"/>
    <w:rsid w:val="7265719B"/>
    <w:rsid w:val="728B3621"/>
    <w:rsid w:val="72BB1F0C"/>
    <w:rsid w:val="72FF098C"/>
    <w:rsid w:val="73040142"/>
    <w:rsid w:val="731E7464"/>
    <w:rsid w:val="73262B3D"/>
    <w:rsid w:val="73295019"/>
    <w:rsid w:val="733A6744"/>
    <w:rsid w:val="736714A1"/>
    <w:rsid w:val="73847C26"/>
    <w:rsid w:val="73993FFB"/>
    <w:rsid w:val="73A6227B"/>
    <w:rsid w:val="73D11105"/>
    <w:rsid w:val="73E27943"/>
    <w:rsid w:val="74050B86"/>
    <w:rsid w:val="743C0E2B"/>
    <w:rsid w:val="74477EFB"/>
    <w:rsid w:val="748A4618"/>
    <w:rsid w:val="75067747"/>
    <w:rsid w:val="750D7E6B"/>
    <w:rsid w:val="75263F8E"/>
    <w:rsid w:val="755517C4"/>
    <w:rsid w:val="757927FA"/>
    <w:rsid w:val="75906D28"/>
    <w:rsid w:val="75A47106"/>
    <w:rsid w:val="75A73D14"/>
    <w:rsid w:val="75C537CD"/>
    <w:rsid w:val="75FC7A17"/>
    <w:rsid w:val="760A11E0"/>
    <w:rsid w:val="762430D2"/>
    <w:rsid w:val="76530DD9"/>
    <w:rsid w:val="76600D6D"/>
    <w:rsid w:val="76612DCA"/>
    <w:rsid w:val="766840FE"/>
    <w:rsid w:val="768E391F"/>
    <w:rsid w:val="76D041DB"/>
    <w:rsid w:val="76DB2566"/>
    <w:rsid w:val="773348CC"/>
    <w:rsid w:val="776125B0"/>
    <w:rsid w:val="778925D9"/>
    <w:rsid w:val="77D17909"/>
    <w:rsid w:val="77DE0B76"/>
    <w:rsid w:val="77E31CE9"/>
    <w:rsid w:val="7805298F"/>
    <w:rsid w:val="78324A1E"/>
    <w:rsid w:val="783D525A"/>
    <w:rsid w:val="784B37E8"/>
    <w:rsid w:val="785B21C7"/>
    <w:rsid w:val="789E419E"/>
    <w:rsid w:val="78B6564F"/>
    <w:rsid w:val="79052035"/>
    <w:rsid w:val="793F34EF"/>
    <w:rsid w:val="796A7A14"/>
    <w:rsid w:val="79733540"/>
    <w:rsid w:val="797A1017"/>
    <w:rsid w:val="79CB4151"/>
    <w:rsid w:val="79D12015"/>
    <w:rsid w:val="79DD294E"/>
    <w:rsid w:val="79E611C8"/>
    <w:rsid w:val="79F27A14"/>
    <w:rsid w:val="7A07011E"/>
    <w:rsid w:val="7A7A782F"/>
    <w:rsid w:val="7A83373D"/>
    <w:rsid w:val="7AA93859"/>
    <w:rsid w:val="7AC2652D"/>
    <w:rsid w:val="7AC33FD8"/>
    <w:rsid w:val="7AC7009C"/>
    <w:rsid w:val="7AE702A9"/>
    <w:rsid w:val="7AE86092"/>
    <w:rsid w:val="7B064FA9"/>
    <w:rsid w:val="7B072C89"/>
    <w:rsid w:val="7B424F78"/>
    <w:rsid w:val="7B614FF5"/>
    <w:rsid w:val="7B821741"/>
    <w:rsid w:val="7B850C2C"/>
    <w:rsid w:val="7BEE2DF8"/>
    <w:rsid w:val="7C577F94"/>
    <w:rsid w:val="7C6F1AA6"/>
    <w:rsid w:val="7C8212CA"/>
    <w:rsid w:val="7CD47696"/>
    <w:rsid w:val="7D607410"/>
    <w:rsid w:val="7D6F6D8F"/>
    <w:rsid w:val="7D9D0B8C"/>
    <w:rsid w:val="7DAC22A3"/>
    <w:rsid w:val="7DD554DA"/>
    <w:rsid w:val="7DDF4763"/>
    <w:rsid w:val="7DF312AC"/>
    <w:rsid w:val="7E09234E"/>
    <w:rsid w:val="7E130B1F"/>
    <w:rsid w:val="7E5F0DAF"/>
    <w:rsid w:val="7E620D55"/>
    <w:rsid w:val="7E665F8C"/>
    <w:rsid w:val="7E86573B"/>
    <w:rsid w:val="7E970A50"/>
    <w:rsid w:val="7E99193F"/>
    <w:rsid w:val="7E9C2016"/>
    <w:rsid w:val="7E9C6A8D"/>
    <w:rsid w:val="7F456D1B"/>
    <w:rsid w:val="7F857B2A"/>
    <w:rsid w:val="7F9239CD"/>
    <w:rsid w:val="7FA54456"/>
    <w:rsid w:val="7FEA7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3"/>
    <w:qFormat/>
    <w:uiPriority w:val="0"/>
    <w:pPr>
      <w:keepNext/>
      <w:keepLines/>
      <w:spacing w:after="120" w:line="360" w:lineRule="auto"/>
      <w:outlineLvl w:val="0"/>
    </w:pPr>
    <w:rPr>
      <w:kern w:val="44"/>
      <w:sz w:val="28"/>
      <w:szCs w:val="28"/>
    </w:rPr>
  </w:style>
  <w:style w:type="paragraph" w:styleId="4">
    <w:name w:val="heading 2"/>
    <w:basedOn w:val="1"/>
    <w:next w:val="5"/>
    <w:link w:val="56"/>
    <w:qFormat/>
    <w:uiPriority w:val="0"/>
    <w:pPr>
      <w:keepNext/>
      <w:keepLines/>
      <w:spacing w:before="120" w:after="120"/>
      <w:ind w:left="454" w:firstLine="212" w:firstLineChars="88"/>
      <w:jc w:val="left"/>
      <w:outlineLvl w:val="1"/>
    </w:pPr>
    <w:rPr>
      <w:rFonts w:ascii="Arial" w:hAnsi="Arial"/>
      <w:b/>
      <w:color w:val="000000"/>
      <w:kern w:val="0"/>
      <w:sz w:val="24"/>
      <w:szCs w:val="24"/>
    </w:rPr>
  </w:style>
  <w:style w:type="paragraph" w:styleId="6">
    <w:name w:val="heading 3"/>
    <w:basedOn w:val="1"/>
    <w:next w:val="1"/>
    <w:link w:val="57"/>
    <w:qFormat/>
    <w:uiPriority w:val="0"/>
    <w:pPr>
      <w:widowControl/>
      <w:spacing w:before="100" w:beforeAutospacing="1" w:after="100" w:afterAutospacing="1"/>
      <w:jc w:val="left"/>
      <w:outlineLvl w:val="2"/>
    </w:pPr>
    <w:rPr>
      <w:rFonts w:ascii="宋体" w:hAnsi="宋体"/>
      <w:kern w:val="0"/>
      <w:sz w:val="27"/>
      <w:szCs w:val="27"/>
    </w:rPr>
  </w:style>
  <w:style w:type="paragraph" w:styleId="7">
    <w:name w:val="heading 4"/>
    <w:basedOn w:val="6"/>
    <w:next w:val="5"/>
    <w:link w:val="58"/>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kern w:val="2"/>
      <w:sz w:val="21"/>
      <w:szCs w:val="21"/>
    </w:rPr>
  </w:style>
  <w:style w:type="paragraph" w:styleId="8">
    <w:name w:val="heading 5"/>
    <w:basedOn w:val="7"/>
    <w:next w:val="5"/>
    <w:link w:val="59"/>
    <w:qFormat/>
    <w:uiPriority w:val="0"/>
    <w:pPr>
      <w:numPr>
        <w:ilvl w:val="4"/>
      </w:numPr>
      <w:spacing w:line="240" w:lineRule="exact"/>
      <w:outlineLvl w:val="4"/>
    </w:pPr>
  </w:style>
  <w:style w:type="paragraph" w:styleId="9">
    <w:name w:val="heading 6"/>
    <w:basedOn w:val="1"/>
    <w:next w:val="1"/>
    <w:link w:val="60"/>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61"/>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5"/>
    <w:link w:val="6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63"/>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4"/>
    <w:qFormat/>
    <w:uiPriority w:val="0"/>
    <w:pPr>
      <w:spacing w:after="120"/>
    </w:pPr>
    <w:rPr>
      <w:kern w:val="0"/>
      <w:sz w:val="20"/>
      <w:szCs w:val="20"/>
    </w:rPr>
  </w:style>
  <w:style w:type="paragraph" w:styleId="5">
    <w:name w:val="Normal Indent"/>
    <w:basedOn w:val="1"/>
    <w:next w:val="1"/>
    <w:qFormat/>
    <w:uiPriority w:val="0"/>
    <w:pPr>
      <w:ind w:firstLine="420"/>
    </w:pPr>
    <w:rPr>
      <w:rFonts w:eastAsia="等线"/>
      <w:szCs w:val="20"/>
    </w:rPr>
  </w:style>
  <w:style w:type="paragraph" w:styleId="13">
    <w:name w:val="Document Map"/>
    <w:basedOn w:val="1"/>
    <w:link w:val="64"/>
    <w:qFormat/>
    <w:uiPriority w:val="0"/>
    <w:pPr>
      <w:shd w:val="clear" w:color="auto" w:fill="000080"/>
    </w:pPr>
    <w:rPr>
      <w:kern w:val="0"/>
      <w:sz w:val="20"/>
      <w:szCs w:val="20"/>
    </w:rPr>
  </w:style>
  <w:style w:type="paragraph" w:styleId="14">
    <w:name w:val="annotation text"/>
    <w:basedOn w:val="1"/>
    <w:next w:val="1"/>
    <w:link w:val="65"/>
    <w:qFormat/>
    <w:uiPriority w:val="0"/>
    <w:pPr>
      <w:spacing w:line="360" w:lineRule="auto"/>
      <w:ind w:firstLine="523" w:firstLineChars="218"/>
      <w:jc w:val="left"/>
    </w:pPr>
    <w:rPr>
      <w:rFonts w:ascii="宋体" w:hAnsi="宋体"/>
      <w:kern w:val="0"/>
      <w:sz w:val="24"/>
      <w:szCs w:val="24"/>
    </w:rPr>
  </w:style>
  <w:style w:type="paragraph" w:styleId="15">
    <w:name w:val="Body Text Indent"/>
    <w:basedOn w:val="1"/>
    <w:next w:val="16"/>
    <w:link w:val="50"/>
    <w:qFormat/>
    <w:uiPriority w:val="0"/>
    <w:pPr>
      <w:ind w:firstLine="570"/>
    </w:pPr>
    <w:rPr>
      <w:kern w:val="0"/>
      <w:sz w:val="28"/>
      <w:szCs w:val="20"/>
    </w:rPr>
  </w:style>
  <w:style w:type="paragraph" w:styleId="16">
    <w:name w:val="envelope return"/>
    <w:basedOn w:val="1"/>
    <w:qFormat/>
    <w:uiPriority w:val="0"/>
    <w:pPr>
      <w:snapToGrid w:val="0"/>
    </w:pPr>
    <w:rPr>
      <w:rFonts w:ascii="Arial" w:hAnsi="Arial"/>
      <w:szCs w:val="24"/>
    </w:rPr>
  </w:style>
  <w:style w:type="paragraph" w:styleId="17">
    <w:name w:val="Block Text"/>
    <w:basedOn w:val="1"/>
    <w:unhideWhenUsed/>
    <w:qFormat/>
    <w:uiPriority w:val="99"/>
    <w:pPr>
      <w:spacing w:after="120"/>
      <w:ind w:left="1440" w:leftChars="700" w:right="1440" w:rightChars="700"/>
    </w:pPr>
  </w:style>
  <w:style w:type="paragraph" w:styleId="18">
    <w:name w:val="toc 3"/>
    <w:basedOn w:val="1"/>
    <w:next w:val="1"/>
    <w:qFormat/>
    <w:uiPriority w:val="0"/>
    <w:pPr>
      <w:snapToGrid w:val="0"/>
      <w:spacing w:line="360" w:lineRule="auto"/>
      <w:ind w:left="400" w:leftChars="400"/>
      <w:jc w:val="left"/>
    </w:pPr>
    <w:rPr>
      <w:rFonts w:eastAsia="等线"/>
      <w:sz w:val="24"/>
      <w:szCs w:val="20"/>
    </w:rPr>
  </w:style>
  <w:style w:type="paragraph" w:styleId="19">
    <w:name w:val="Plain Text"/>
    <w:basedOn w:val="1"/>
    <w:next w:val="1"/>
    <w:link w:val="66"/>
    <w:qFormat/>
    <w:uiPriority w:val="99"/>
    <w:rPr>
      <w:rFonts w:ascii="宋体" w:hAnsi="Courier New"/>
      <w:kern w:val="0"/>
      <w:sz w:val="20"/>
      <w:szCs w:val="20"/>
    </w:rPr>
  </w:style>
  <w:style w:type="paragraph" w:styleId="20">
    <w:name w:val="Date"/>
    <w:basedOn w:val="1"/>
    <w:next w:val="1"/>
    <w:link w:val="67"/>
    <w:qFormat/>
    <w:uiPriority w:val="0"/>
    <w:rPr>
      <w:kern w:val="0"/>
      <w:sz w:val="20"/>
      <w:szCs w:val="20"/>
    </w:rPr>
  </w:style>
  <w:style w:type="paragraph" w:styleId="21">
    <w:name w:val="Body Text Indent 2"/>
    <w:basedOn w:val="1"/>
    <w:link w:val="68"/>
    <w:qFormat/>
    <w:uiPriority w:val="0"/>
    <w:pPr>
      <w:spacing w:line="400" w:lineRule="exact"/>
      <w:ind w:left="425"/>
    </w:pPr>
    <w:rPr>
      <w:color w:val="000000"/>
      <w:kern w:val="0"/>
      <w:sz w:val="24"/>
      <w:szCs w:val="20"/>
    </w:rPr>
  </w:style>
  <w:style w:type="paragraph" w:styleId="22">
    <w:name w:val="endnote text"/>
    <w:basedOn w:val="1"/>
    <w:link w:val="69"/>
    <w:qFormat/>
    <w:uiPriority w:val="0"/>
    <w:pPr>
      <w:snapToGrid w:val="0"/>
      <w:jc w:val="left"/>
    </w:pPr>
    <w:rPr>
      <w:kern w:val="0"/>
      <w:sz w:val="20"/>
      <w:szCs w:val="20"/>
    </w:rPr>
  </w:style>
  <w:style w:type="paragraph" w:styleId="23">
    <w:name w:val="Balloon Text"/>
    <w:basedOn w:val="1"/>
    <w:link w:val="70"/>
    <w:qFormat/>
    <w:uiPriority w:val="0"/>
    <w:rPr>
      <w:kern w:val="0"/>
      <w:sz w:val="18"/>
      <w:szCs w:val="18"/>
    </w:rPr>
  </w:style>
  <w:style w:type="paragraph" w:styleId="24">
    <w:name w:val="footer"/>
    <w:basedOn w:val="1"/>
    <w:link w:val="71"/>
    <w:qFormat/>
    <w:uiPriority w:val="0"/>
    <w:pPr>
      <w:tabs>
        <w:tab w:val="center" w:pos="4153"/>
        <w:tab w:val="right" w:pos="8306"/>
      </w:tabs>
      <w:snapToGrid w:val="0"/>
      <w:jc w:val="left"/>
    </w:pPr>
    <w:rPr>
      <w:rFonts w:ascii="Calibri" w:hAnsi="Calibri"/>
      <w:kern w:val="0"/>
      <w:sz w:val="18"/>
      <w:szCs w:val="18"/>
    </w:rPr>
  </w:style>
  <w:style w:type="paragraph" w:styleId="25">
    <w:name w:val="header"/>
    <w:basedOn w:val="1"/>
    <w:link w:val="7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6">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eastAsia="等线"/>
      <w:caps/>
      <w:kern w:val="0"/>
      <w:sz w:val="24"/>
      <w:szCs w:val="32"/>
    </w:rPr>
  </w:style>
  <w:style w:type="paragraph" w:styleId="27">
    <w:name w:val="Subtitle"/>
    <w:basedOn w:val="1"/>
    <w:next w:val="1"/>
    <w:link w:val="73"/>
    <w:qFormat/>
    <w:uiPriority w:val="0"/>
    <w:pPr>
      <w:spacing w:before="240" w:after="60" w:line="312" w:lineRule="auto"/>
      <w:jc w:val="center"/>
      <w:outlineLvl w:val="1"/>
    </w:pPr>
    <w:rPr>
      <w:rFonts w:ascii="Cambria" w:hAnsi="Cambria" w:eastAsia="等线"/>
      <w:b/>
      <w:bCs/>
      <w:kern w:val="28"/>
      <w:sz w:val="32"/>
      <w:szCs w:val="32"/>
    </w:rPr>
  </w:style>
  <w:style w:type="paragraph" w:styleId="28">
    <w:name w:val="footnote text"/>
    <w:basedOn w:val="1"/>
    <w:link w:val="74"/>
    <w:qFormat/>
    <w:uiPriority w:val="0"/>
    <w:pPr>
      <w:snapToGrid w:val="0"/>
      <w:spacing w:line="360" w:lineRule="auto"/>
      <w:ind w:firstLine="523" w:firstLineChars="218"/>
      <w:jc w:val="left"/>
    </w:pPr>
    <w:rPr>
      <w:rFonts w:ascii="宋体" w:hAnsi="宋体"/>
      <w:kern w:val="0"/>
      <w:sz w:val="18"/>
      <w:szCs w:val="18"/>
    </w:rPr>
  </w:style>
  <w:style w:type="paragraph" w:styleId="29">
    <w:name w:val="Body Text Indent 3"/>
    <w:basedOn w:val="1"/>
    <w:link w:val="75"/>
    <w:qFormat/>
    <w:uiPriority w:val="0"/>
    <w:pPr>
      <w:tabs>
        <w:tab w:val="left" w:pos="0"/>
      </w:tabs>
      <w:spacing w:line="400" w:lineRule="exact"/>
      <w:ind w:left="563" w:leftChars="228" w:hanging="84" w:hangingChars="35"/>
    </w:pPr>
    <w:rPr>
      <w:color w:val="000000"/>
      <w:kern w:val="0"/>
      <w:sz w:val="24"/>
      <w:szCs w:val="20"/>
    </w:rPr>
  </w:style>
  <w:style w:type="paragraph" w:styleId="30">
    <w:name w:val="toc 2"/>
    <w:basedOn w:val="1"/>
    <w:next w:val="1"/>
    <w:qFormat/>
    <w:uiPriority w:val="0"/>
    <w:pPr>
      <w:tabs>
        <w:tab w:val="right" w:leader="dot" w:pos="9060"/>
      </w:tabs>
      <w:snapToGrid w:val="0"/>
      <w:spacing w:line="360" w:lineRule="auto"/>
      <w:ind w:left="420" w:leftChars="200"/>
      <w:jc w:val="left"/>
    </w:pPr>
    <w:rPr>
      <w:rFonts w:eastAsia="等线"/>
      <w:sz w:val="24"/>
      <w:szCs w:val="24"/>
    </w:rPr>
  </w:style>
  <w:style w:type="paragraph" w:styleId="31">
    <w:name w:val="Body Text 2"/>
    <w:basedOn w:val="1"/>
    <w:link w:val="76"/>
    <w:qFormat/>
    <w:uiPriority w:val="0"/>
    <w:rPr>
      <w:rFonts w:ascii="宋体" w:hAnsi="宋体"/>
      <w:kern w:val="0"/>
      <w:sz w:val="20"/>
      <w:szCs w:val="24"/>
      <w:u w:val="single"/>
    </w:rPr>
  </w:style>
  <w:style w:type="paragraph" w:styleId="32">
    <w:name w:val="Normal (Web)"/>
    <w:basedOn w:val="1"/>
    <w:qFormat/>
    <w:uiPriority w:val="0"/>
    <w:pPr>
      <w:widowControl/>
      <w:spacing w:before="100" w:beforeAutospacing="1" w:after="100" w:afterAutospacing="1"/>
      <w:jc w:val="left"/>
    </w:pPr>
    <w:rPr>
      <w:rFonts w:ascii="宋体" w:hAnsi="宋体" w:eastAsia="等线"/>
      <w:kern w:val="0"/>
      <w:sz w:val="24"/>
      <w:szCs w:val="24"/>
    </w:rPr>
  </w:style>
  <w:style w:type="paragraph" w:styleId="33">
    <w:name w:val="index 1"/>
    <w:basedOn w:val="1"/>
    <w:next w:val="1"/>
    <w:qFormat/>
    <w:uiPriority w:val="0"/>
    <w:rPr>
      <w:rFonts w:eastAsia="仿宋_GB2312"/>
      <w:sz w:val="28"/>
      <w:szCs w:val="20"/>
    </w:rPr>
  </w:style>
  <w:style w:type="paragraph" w:styleId="34">
    <w:name w:val="Title"/>
    <w:basedOn w:val="1"/>
    <w:link w:val="52"/>
    <w:qFormat/>
    <w:uiPriority w:val="0"/>
    <w:pPr>
      <w:spacing w:before="120" w:after="60"/>
      <w:jc w:val="center"/>
    </w:pPr>
    <w:rPr>
      <w:rFonts w:ascii="Arial" w:hAnsi="Arial"/>
      <w:b/>
      <w:kern w:val="0"/>
      <w:sz w:val="44"/>
      <w:szCs w:val="20"/>
    </w:rPr>
  </w:style>
  <w:style w:type="paragraph" w:styleId="35">
    <w:name w:val="annotation subject"/>
    <w:basedOn w:val="14"/>
    <w:next w:val="14"/>
    <w:link w:val="77"/>
    <w:qFormat/>
    <w:uiPriority w:val="0"/>
    <w:rPr>
      <w:b/>
      <w:bCs/>
    </w:rPr>
  </w:style>
  <w:style w:type="paragraph" w:styleId="36">
    <w:name w:val="Body Text First Indent"/>
    <w:basedOn w:val="2"/>
    <w:link w:val="55"/>
    <w:qFormat/>
    <w:uiPriority w:val="0"/>
    <w:pPr>
      <w:ind w:firstLine="420"/>
    </w:pPr>
    <w:rPr>
      <w:rFonts w:ascii="等线" w:hAnsi="等线" w:eastAsia="等线"/>
    </w:rPr>
  </w:style>
  <w:style w:type="paragraph" w:styleId="37">
    <w:name w:val="Body Text First Indent 2"/>
    <w:basedOn w:val="15"/>
    <w:link w:val="51"/>
    <w:unhideWhenUsed/>
    <w:qFormat/>
    <w:uiPriority w:val="99"/>
    <w:pPr>
      <w:spacing w:after="120"/>
      <w:ind w:left="420" w:leftChars="200" w:firstLine="420" w:firstLineChars="200"/>
    </w:pPr>
    <w:rPr>
      <w:kern w:val="2"/>
      <w:sz w:val="21"/>
      <w:szCs w:val="22"/>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rFonts w:ascii="等线" w:hAnsi="等线" w:eastAsia="等线" w:cs="Times New Roman"/>
      <w:b/>
    </w:rPr>
  </w:style>
  <w:style w:type="character" w:styleId="42">
    <w:name w:val="endnote reference"/>
    <w:qFormat/>
    <w:uiPriority w:val="0"/>
    <w:rPr>
      <w:rFonts w:ascii="等线" w:hAnsi="等线" w:eastAsia="等线" w:cs="Times New Roman"/>
      <w:vertAlign w:val="superscript"/>
    </w:rPr>
  </w:style>
  <w:style w:type="character" w:styleId="43">
    <w:name w:val="page number"/>
    <w:qFormat/>
    <w:uiPriority w:val="0"/>
    <w:rPr>
      <w:rFonts w:ascii="等线" w:hAnsi="等线" w:eastAsia="等线" w:cs="Times New Roman"/>
    </w:rPr>
  </w:style>
  <w:style w:type="character" w:styleId="44">
    <w:name w:val="FollowedHyperlink"/>
    <w:qFormat/>
    <w:uiPriority w:val="0"/>
    <w:rPr>
      <w:rFonts w:ascii="等线" w:hAnsi="等线" w:eastAsia="等线" w:cs="Times New Roman"/>
      <w:color w:val="954F72"/>
      <w:u w:val="single"/>
    </w:rPr>
  </w:style>
  <w:style w:type="character" w:styleId="45">
    <w:name w:val="line number"/>
    <w:qFormat/>
    <w:uiPriority w:val="0"/>
    <w:rPr>
      <w:rFonts w:ascii="等线" w:hAnsi="等线" w:eastAsia="等线" w:cs="Times New Roman"/>
    </w:rPr>
  </w:style>
  <w:style w:type="character" w:styleId="46">
    <w:name w:val="Hyperlink"/>
    <w:qFormat/>
    <w:uiPriority w:val="0"/>
    <w:rPr>
      <w:rFonts w:ascii="等线" w:hAnsi="等线" w:eastAsia="等线" w:cs="Times New Roman"/>
      <w:color w:val="0000FF"/>
      <w:u w:val="single"/>
    </w:rPr>
  </w:style>
  <w:style w:type="character" w:styleId="47">
    <w:name w:val="annotation reference"/>
    <w:qFormat/>
    <w:uiPriority w:val="0"/>
    <w:rPr>
      <w:rFonts w:ascii="等线" w:hAnsi="等线" w:eastAsia="等线" w:cs="Times New Roman"/>
      <w:sz w:val="21"/>
      <w:szCs w:val="21"/>
    </w:rPr>
  </w:style>
  <w:style w:type="character" w:styleId="48">
    <w:name w:val="footnote reference"/>
    <w:qFormat/>
    <w:uiPriority w:val="0"/>
    <w:rPr>
      <w:rFonts w:ascii="等线" w:hAnsi="等线" w:eastAsia="等线" w:cs="Times New Roman"/>
      <w:vertAlign w:val="superscript"/>
    </w:rPr>
  </w:style>
  <w:style w:type="paragraph" w:customStyle="1" w:styleId="49">
    <w:name w:val="PlainText"/>
    <w:basedOn w:val="1"/>
    <w:qFormat/>
    <w:uiPriority w:val="0"/>
    <w:pPr>
      <w:textAlignment w:val="baseline"/>
    </w:pPr>
    <w:rPr>
      <w:rFonts w:ascii="宋体" w:hAnsi="Courier New" w:cs="Calibri"/>
      <w:color w:val="000000"/>
      <w:kern w:val="0"/>
      <w:sz w:val="20"/>
      <w:szCs w:val="20"/>
    </w:rPr>
  </w:style>
  <w:style w:type="character" w:customStyle="1" w:styleId="50">
    <w:name w:val="正文文本缩进 Char"/>
    <w:link w:val="15"/>
    <w:qFormat/>
    <w:uiPriority w:val="0"/>
    <w:rPr>
      <w:rFonts w:ascii="Times New Roman" w:hAnsi="Times New Roman" w:eastAsia="宋体" w:cs="Times New Roman"/>
      <w:sz w:val="28"/>
      <w:szCs w:val="20"/>
    </w:rPr>
  </w:style>
  <w:style w:type="character" w:customStyle="1" w:styleId="51">
    <w:name w:val="正文首行缩进 2 Char"/>
    <w:basedOn w:val="50"/>
    <w:link w:val="37"/>
    <w:qFormat/>
    <w:uiPriority w:val="99"/>
    <w:rPr>
      <w:rFonts w:ascii="Times New Roman" w:hAnsi="Times New Roman" w:eastAsia="宋体" w:cs="Times New Roman"/>
      <w:kern w:val="2"/>
      <w:sz w:val="21"/>
      <w:szCs w:val="22"/>
    </w:rPr>
  </w:style>
  <w:style w:type="character" w:customStyle="1" w:styleId="52">
    <w:name w:val="标题 Char"/>
    <w:link w:val="34"/>
    <w:qFormat/>
    <w:uiPriority w:val="0"/>
    <w:rPr>
      <w:rFonts w:ascii="Arial" w:hAnsi="Arial" w:eastAsia="宋体" w:cs="Times New Roman"/>
      <w:b/>
      <w:sz w:val="44"/>
      <w:szCs w:val="20"/>
    </w:rPr>
  </w:style>
  <w:style w:type="character" w:customStyle="1" w:styleId="53">
    <w:name w:val="标题 1 Char"/>
    <w:link w:val="3"/>
    <w:qFormat/>
    <w:uiPriority w:val="0"/>
    <w:rPr>
      <w:rFonts w:ascii="Arial" w:hAnsi="Arial" w:eastAsia="宋体" w:cs="Times New Roman"/>
      <w:b/>
      <w:kern w:val="44"/>
      <w:sz w:val="28"/>
      <w:szCs w:val="28"/>
    </w:rPr>
  </w:style>
  <w:style w:type="character" w:customStyle="1" w:styleId="54">
    <w:name w:val="正文文本 Char"/>
    <w:link w:val="2"/>
    <w:qFormat/>
    <w:uiPriority w:val="0"/>
    <w:rPr>
      <w:rFonts w:ascii="Times New Roman" w:hAnsi="Times New Roman" w:eastAsia="宋体" w:cs="Times New Roman"/>
      <w:szCs w:val="20"/>
    </w:rPr>
  </w:style>
  <w:style w:type="character" w:customStyle="1" w:styleId="55">
    <w:name w:val="正文首行缩进 Char"/>
    <w:link w:val="36"/>
    <w:qFormat/>
    <w:uiPriority w:val="0"/>
    <w:rPr>
      <w:rFonts w:ascii="等线" w:hAnsi="等线" w:eastAsia="等线" w:cs="Times New Roman"/>
    </w:rPr>
  </w:style>
  <w:style w:type="character" w:customStyle="1" w:styleId="56">
    <w:name w:val="标题 2 Char"/>
    <w:link w:val="4"/>
    <w:qFormat/>
    <w:uiPriority w:val="0"/>
    <w:rPr>
      <w:rFonts w:ascii="Arial" w:hAnsi="Arial" w:eastAsia="宋体" w:cs="Times New Roman"/>
      <w:b/>
      <w:color w:val="000000"/>
      <w:sz w:val="24"/>
      <w:szCs w:val="24"/>
    </w:rPr>
  </w:style>
  <w:style w:type="character" w:customStyle="1" w:styleId="57">
    <w:name w:val="标题 3 Char"/>
    <w:link w:val="6"/>
    <w:qFormat/>
    <w:uiPriority w:val="0"/>
    <w:rPr>
      <w:rFonts w:ascii="宋体" w:hAnsi="宋体" w:eastAsia="宋体" w:cs="宋体"/>
      <w:kern w:val="0"/>
      <w:sz w:val="27"/>
      <w:szCs w:val="27"/>
    </w:rPr>
  </w:style>
  <w:style w:type="character" w:customStyle="1" w:styleId="58">
    <w:name w:val="标题 4 Char"/>
    <w:link w:val="7"/>
    <w:qFormat/>
    <w:uiPriority w:val="0"/>
    <w:rPr>
      <w:rFonts w:ascii="Arial" w:hAnsi="Arial" w:eastAsia="宋体" w:cs="Times New Roman"/>
      <w:color w:val="000000"/>
      <w:kern w:val="2"/>
      <w:sz w:val="21"/>
      <w:szCs w:val="21"/>
    </w:rPr>
  </w:style>
  <w:style w:type="character" w:customStyle="1" w:styleId="59">
    <w:name w:val="标题 5 Char"/>
    <w:link w:val="8"/>
    <w:qFormat/>
    <w:uiPriority w:val="0"/>
    <w:rPr>
      <w:rFonts w:ascii="Arial" w:hAnsi="Arial" w:eastAsia="宋体" w:cs="Times New Roman"/>
      <w:color w:val="000000"/>
      <w:kern w:val="2"/>
      <w:sz w:val="21"/>
      <w:szCs w:val="21"/>
    </w:rPr>
  </w:style>
  <w:style w:type="character" w:customStyle="1" w:styleId="60">
    <w:name w:val="标题 6 Char"/>
    <w:link w:val="9"/>
    <w:qFormat/>
    <w:uiPriority w:val="0"/>
    <w:rPr>
      <w:rFonts w:ascii="Arial" w:hAnsi="Arial" w:eastAsia="黑体" w:cs="Times New Roman"/>
      <w:b/>
      <w:bCs/>
      <w:kern w:val="2"/>
      <w:sz w:val="24"/>
      <w:szCs w:val="24"/>
    </w:rPr>
  </w:style>
  <w:style w:type="character" w:customStyle="1" w:styleId="61">
    <w:name w:val="标题 7 Char"/>
    <w:link w:val="10"/>
    <w:qFormat/>
    <w:uiPriority w:val="0"/>
    <w:rPr>
      <w:rFonts w:ascii="Times New Roman" w:hAnsi="Times New Roman" w:eastAsia="宋体" w:cs="Times New Roman"/>
      <w:b/>
      <w:kern w:val="2"/>
      <w:sz w:val="24"/>
    </w:rPr>
  </w:style>
  <w:style w:type="character" w:customStyle="1" w:styleId="62">
    <w:name w:val="标题 8 Char"/>
    <w:link w:val="11"/>
    <w:qFormat/>
    <w:uiPriority w:val="0"/>
    <w:rPr>
      <w:rFonts w:ascii="Arial" w:hAnsi="Arial" w:eastAsia="黑体" w:cs="Times New Roman"/>
      <w:kern w:val="2"/>
      <w:sz w:val="24"/>
    </w:rPr>
  </w:style>
  <w:style w:type="character" w:customStyle="1" w:styleId="63">
    <w:name w:val="标题 9 Char"/>
    <w:link w:val="12"/>
    <w:qFormat/>
    <w:uiPriority w:val="0"/>
    <w:rPr>
      <w:rFonts w:ascii="Arial" w:hAnsi="Arial" w:eastAsia="黑体" w:cs="Times New Roman"/>
      <w:kern w:val="2"/>
      <w:sz w:val="21"/>
    </w:rPr>
  </w:style>
  <w:style w:type="character" w:customStyle="1" w:styleId="64">
    <w:name w:val="文档结构图 Char"/>
    <w:link w:val="13"/>
    <w:qFormat/>
    <w:uiPriority w:val="0"/>
    <w:rPr>
      <w:rFonts w:ascii="Times New Roman" w:hAnsi="Times New Roman" w:eastAsia="宋体" w:cs="Times New Roman"/>
      <w:szCs w:val="20"/>
      <w:shd w:val="clear" w:color="auto" w:fill="000080"/>
    </w:rPr>
  </w:style>
  <w:style w:type="character" w:customStyle="1" w:styleId="65">
    <w:name w:val="批注文字 Char"/>
    <w:link w:val="14"/>
    <w:qFormat/>
    <w:uiPriority w:val="0"/>
    <w:rPr>
      <w:rFonts w:ascii="宋体" w:hAnsi="宋体" w:eastAsia="宋体" w:cs="Times New Roman"/>
      <w:sz w:val="24"/>
      <w:szCs w:val="24"/>
    </w:rPr>
  </w:style>
  <w:style w:type="character" w:customStyle="1" w:styleId="66">
    <w:name w:val="纯文本 Char"/>
    <w:link w:val="19"/>
    <w:qFormat/>
    <w:uiPriority w:val="99"/>
    <w:rPr>
      <w:rFonts w:ascii="宋体" w:hAnsi="Courier New" w:eastAsia="宋体" w:cs="Times New Roman"/>
      <w:szCs w:val="20"/>
    </w:rPr>
  </w:style>
  <w:style w:type="character" w:customStyle="1" w:styleId="67">
    <w:name w:val="日期 Char"/>
    <w:link w:val="20"/>
    <w:qFormat/>
    <w:uiPriority w:val="0"/>
    <w:rPr>
      <w:rFonts w:ascii="Times New Roman" w:hAnsi="Times New Roman" w:eastAsia="宋体" w:cs="Times New Roman"/>
      <w:szCs w:val="20"/>
    </w:rPr>
  </w:style>
  <w:style w:type="character" w:customStyle="1" w:styleId="68">
    <w:name w:val="正文文本缩进 2 Char"/>
    <w:link w:val="21"/>
    <w:qFormat/>
    <w:uiPriority w:val="0"/>
    <w:rPr>
      <w:rFonts w:ascii="Times New Roman" w:hAnsi="Times New Roman" w:eastAsia="宋体" w:cs="Times New Roman"/>
      <w:color w:val="000000"/>
      <w:sz w:val="24"/>
      <w:szCs w:val="20"/>
    </w:rPr>
  </w:style>
  <w:style w:type="character" w:customStyle="1" w:styleId="69">
    <w:name w:val="尾注文本 Char"/>
    <w:link w:val="22"/>
    <w:qFormat/>
    <w:uiPriority w:val="0"/>
    <w:rPr>
      <w:rFonts w:ascii="Times New Roman" w:hAnsi="Times New Roman" w:eastAsia="宋体" w:cs="Times New Roman"/>
      <w:szCs w:val="20"/>
    </w:rPr>
  </w:style>
  <w:style w:type="character" w:customStyle="1" w:styleId="70">
    <w:name w:val="批注框文本 Char"/>
    <w:link w:val="23"/>
    <w:qFormat/>
    <w:uiPriority w:val="0"/>
    <w:rPr>
      <w:rFonts w:ascii="Times New Roman" w:hAnsi="Times New Roman" w:eastAsia="宋体" w:cs="Times New Roman"/>
      <w:sz w:val="18"/>
      <w:szCs w:val="18"/>
    </w:rPr>
  </w:style>
  <w:style w:type="character" w:customStyle="1" w:styleId="71">
    <w:name w:val="页脚 Char"/>
    <w:link w:val="24"/>
    <w:qFormat/>
    <w:uiPriority w:val="0"/>
    <w:rPr>
      <w:rFonts w:ascii="Calibri" w:hAnsi="Calibri" w:eastAsia="宋体" w:cs="Times New Roman"/>
      <w:sz w:val="18"/>
      <w:szCs w:val="18"/>
    </w:rPr>
  </w:style>
  <w:style w:type="character" w:customStyle="1" w:styleId="72">
    <w:name w:val="页眉 Char"/>
    <w:link w:val="25"/>
    <w:qFormat/>
    <w:uiPriority w:val="0"/>
    <w:rPr>
      <w:rFonts w:ascii="Calibri" w:hAnsi="Calibri" w:eastAsia="宋体" w:cs="Times New Roman"/>
      <w:sz w:val="18"/>
      <w:szCs w:val="18"/>
    </w:rPr>
  </w:style>
  <w:style w:type="character" w:customStyle="1" w:styleId="73">
    <w:name w:val="副标题 Char"/>
    <w:link w:val="27"/>
    <w:qFormat/>
    <w:uiPriority w:val="0"/>
    <w:rPr>
      <w:rFonts w:ascii="Cambria" w:hAnsi="Cambria" w:eastAsia="等线" w:cs="Times New Roman"/>
      <w:b/>
      <w:bCs/>
      <w:kern w:val="28"/>
      <w:sz w:val="32"/>
      <w:szCs w:val="32"/>
    </w:rPr>
  </w:style>
  <w:style w:type="character" w:customStyle="1" w:styleId="74">
    <w:name w:val="脚注文本 Char"/>
    <w:link w:val="28"/>
    <w:qFormat/>
    <w:uiPriority w:val="0"/>
    <w:rPr>
      <w:rFonts w:ascii="宋体" w:hAnsi="宋体" w:eastAsia="宋体" w:cs="Times New Roman"/>
      <w:sz w:val="18"/>
      <w:szCs w:val="18"/>
    </w:rPr>
  </w:style>
  <w:style w:type="character" w:customStyle="1" w:styleId="75">
    <w:name w:val="正文文本缩进 3 Char"/>
    <w:link w:val="29"/>
    <w:qFormat/>
    <w:uiPriority w:val="0"/>
    <w:rPr>
      <w:rFonts w:ascii="Times New Roman" w:hAnsi="Times New Roman" w:eastAsia="宋体" w:cs="Times New Roman"/>
      <w:color w:val="000000"/>
      <w:sz w:val="24"/>
      <w:szCs w:val="20"/>
    </w:rPr>
  </w:style>
  <w:style w:type="character" w:customStyle="1" w:styleId="76">
    <w:name w:val="正文文本 2 Char"/>
    <w:link w:val="31"/>
    <w:qFormat/>
    <w:uiPriority w:val="0"/>
    <w:rPr>
      <w:rFonts w:ascii="宋体" w:hAnsi="宋体" w:eastAsia="宋体" w:cs="Times New Roman"/>
      <w:szCs w:val="24"/>
      <w:u w:val="single"/>
    </w:rPr>
  </w:style>
  <w:style w:type="character" w:customStyle="1" w:styleId="77">
    <w:name w:val="批注主题 Char"/>
    <w:link w:val="35"/>
    <w:qFormat/>
    <w:uiPriority w:val="0"/>
    <w:rPr>
      <w:rFonts w:ascii="宋体" w:hAnsi="宋体" w:eastAsia="宋体" w:cs="Times New Roman"/>
      <w:b/>
      <w:bCs/>
      <w:sz w:val="24"/>
      <w:szCs w:val="24"/>
    </w:rPr>
  </w:style>
  <w:style w:type="paragraph" w:customStyle="1" w:styleId="78">
    <w:name w:val="_Style 3"/>
    <w:basedOn w:val="1"/>
    <w:qFormat/>
    <w:uiPriority w:val="1"/>
    <w:pPr>
      <w:ind w:firstLine="420" w:firstLineChars="200"/>
    </w:pPr>
    <w:rPr>
      <w:sz w:val="20"/>
      <w:szCs w:val="24"/>
    </w:rPr>
  </w:style>
  <w:style w:type="character" w:customStyle="1" w:styleId="79">
    <w:name w:val="标题 4 字符"/>
    <w:qFormat/>
    <w:uiPriority w:val="0"/>
    <w:rPr>
      <w:rFonts w:ascii="等线 Light" w:hAnsi="等线 Light" w:eastAsia="等线 Light" w:cs="Times New Roman"/>
      <w:b/>
      <w:bCs/>
      <w:sz w:val="28"/>
      <w:szCs w:val="28"/>
    </w:rPr>
  </w:style>
  <w:style w:type="character" w:customStyle="1" w:styleId="80">
    <w:name w:val="标题 7 字符"/>
    <w:qFormat/>
    <w:uiPriority w:val="0"/>
    <w:rPr>
      <w:rFonts w:ascii="Calibri" w:hAnsi="Calibri" w:eastAsia="宋体" w:cs="Times New Roman"/>
      <w:b/>
      <w:bCs/>
      <w:sz w:val="24"/>
      <w:szCs w:val="24"/>
    </w:rPr>
  </w:style>
  <w:style w:type="character" w:customStyle="1" w:styleId="81">
    <w:name w:val="文一 Char"/>
    <w:link w:val="82"/>
    <w:qFormat/>
    <w:uiPriority w:val="0"/>
    <w:rPr>
      <w:rFonts w:ascii="等线" w:hAnsi="等线" w:eastAsia="宋体" w:cs="Times New Roman"/>
      <w:snapToGrid/>
      <w:spacing w:val="4"/>
      <w:sz w:val="24"/>
      <w:szCs w:val="24"/>
    </w:rPr>
  </w:style>
  <w:style w:type="paragraph" w:customStyle="1" w:styleId="82">
    <w:name w:val="文一"/>
    <w:basedOn w:val="1"/>
    <w:link w:val="81"/>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83">
    <w:name w:val="尾注文本 字符"/>
    <w:qFormat/>
    <w:uiPriority w:val="0"/>
    <w:rPr>
      <w:rFonts w:ascii="Calibri" w:hAnsi="Calibri" w:eastAsia="宋体" w:cs="Times New Roman"/>
    </w:rPr>
  </w:style>
  <w:style w:type="character" w:customStyle="1" w:styleId="84">
    <w:name w:val="标题 8 字符"/>
    <w:qFormat/>
    <w:uiPriority w:val="0"/>
    <w:rPr>
      <w:rFonts w:ascii="等线 Light" w:hAnsi="等线 Light" w:eastAsia="等线 Light" w:cs="Times New Roman"/>
      <w:sz w:val="24"/>
      <w:szCs w:val="24"/>
    </w:rPr>
  </w:style>
  <w:style w:type="character" w:customStyle="1" w:styleId="85">
    <w:name w:val="正文文本缩进 2 字符"/>
    <w:qFormat/>
    <w:uiPriority w:val="0"/>
    <w:rPr>
      <w:rFonts w:ascii="Calibri" w:hAnsi="Calibri" w:eastAsia="宋体" w:cs="Times New Roman"/>
    </w:rPr>
  </w:style>
  <w:style w:type="character" w:customStyle="1" w:styleId="86">
    <w:name w:val="正文文本缩进 3 字符"/>
    <w:qFormat/>
    <w:uiPriority w:val="0"/>
    <w:rPr>
      <w:rFonts w:ascii="Calibri" w:hAnsi="Calibri" w:eastAsia="宋体" w:cs="Times New Roman"/>
      <w:sz w:val="16"/>
      <w:szCs w:val="16"/>
    </w:rPr>
  </w:style>
  <w:style w:type="character" w:customStyle="1" w:styleId="87">
    <w:name w:val="font21"/>
    <w:qFormat/>
    <w:uiPriority w:val="0"/>
    <w:rPr>
      <w:rFonts w:hint="eastAsia" w:ascii="仿宋" w:hAnsi="仿宋" w:eastAsia="仿宋" w:cs="仿宋"/>
      <w:color w:val="000000"/>
      <w:sz w:val="28"/>
      <w:szCs w:val="28"/>
      <w:u w:val="none"/>
    </w:rPr>
  </w:style>
  <w:style w:type="character" w:customStyle="1" w:styleId="88">
    <w:name w:val="页脚 字符"/>
    <w:qFormat/>
    <w:uiPriority w:val="0"/>
    <w:rPr>
      <w:rFonts w:ascii="Calibri" w:hAnsi="Calibri" w:eastAsia="宋体" w:cs="Times New Roman"/>
      <w:sz w:val="18"/>
      <w:szCs w:val="18"/>
    </w:rPr>
  </w:style>
  <w:style w:type="character" w:customStyle="1" w:styleId="89">
    <w:name w:val="未处理的提及1"/>
    <w:qFormat/>
    <w:uiPriority w:val="0"/>
    <w:rPr>
      <w:rFonts w:ascii="等线" w:hAnsi="等线" w:eastAsia="等线" w:cs="Times New Roman"/>
      <w:color w:val="605E5C"/>
      <w:shd w:val="clear" w:color="auto" w:fill="E1DFDD"/>
    </w:rPr>
  </w:style>
  <w:style w:type="character" w:customStyle="1" w:styleId="90">
    <w:name w:val="正文首行缩进 字符"/>
    <w:qFormat/>
    <w:uiPriority w:val="0"/>
    <w:rPr>
      <w:rFonts w:ascii="等线" w:hAnsi="等线" w:eastAsia="等线" w:cs="Times New Roman"/>
    </w:rPr>
  </w:style>
  <w:style w:type="character" w:customStyle="1" w:styleId="91">
    <w:name w:val="正文文本缩进 2 Char1"/>
    <w:qFormat/>
    <w:uiPriority w:val="0"/>
    <w:rPr>
      <w:rFonts w:ascii="等线" w:hAnsi="等线" w:eastAsia="等线" w:cs="Times New Roman"/>
    </w:rPr>
  </w:style>
  <w:style w:type="character" w:customStyle="1" w:styleId="92">
    <w:name w:val="font31"/>
    <w:qFormat/>
    <w:uiPriority w:val="0"/>
    <w:rPr>
      <w:rFonts w:hint="eastAsia" w:ascii="仿宋" w:hAnsi="仿宋" w:eastAsia="仿宋" w:cs="仿宋"/>
      <w:b/>
      <w:color w:val="000000"/>
      <w:sz w:val="28"/>
      <w:szCs w:val="28"/>
      <w:u w:val="none"/>
    </w:rPr>
  </w:style>
  <w:style w:type="character" w:customStyle="1" w:styleId="93">
    <w:name w:val="正文首行缩进 Char1"/>
    <w:qFormat/>
    <w:uiPriority w:val="0"/>
    <w:rPr>
      <w:rFonts w:ascii="等线" w:hAnsi="等线" w:eastAsia="宋体" w:cs="Times New Roman"/>
      <w:kern w:val="2"/>
      <w:sz w:val="21"/>
      <w:lang w:val="en-US" w:eastAsia="zh-CN" w:bidi="ar-SA"/>
    </w:rPr>
  </w:style>
  <w:style w:type="character" w:customStyle="1" w:styleId="94">
    <w:name w:val="批注文字 Char2"/>
    <w:qFormat/>
    <w:uiPriority w:val="0"/>
    <w:rPr>
      <w:rFonts w:ascii="等线" w:hAnsi="等线" w:eastAsia="等线" w:cs="Times New Roman"/>
    </w:rPr>
  </w:style>
  <w:style w:type="character" w:customStyle="1" w:styleId="95">
    <w:name w:val="标题 9 字符"/>
    <w:qFormat/>
    <w:uiPriority w:val="0"/>
    <w:rPr>
      <w:rFonts w:ascii="等线 Light" w:hAnsi="等线 Light" w:eastAsia="等线 Light" w:cs="Times New Roman"/>
      <w:szCs w:val="21"/>
    </w:rPr>
  </w:style>
  <w:style w:type="character" w:customStyle="1" w:styleId="96">
    <w:name w:val="批注文字 字符"/>
    <w:qFormat/>
    <w:uiPriority w:val="0"/>
    <w:rPr>
      <w:rFonts w:ascii="Calibri" w:hAnsi="Calibri" w:eastAsia="宋体" w:cs="Times New Roman"/>
    </w:rPr>
  </w:style>
  <w:style w:type="character" w:customStyle="1" w:styleId="97">
    <w:name w:val="标题 3 字符"/>
    <w:qFormat/>
    <w:uiPriority w:val="0"/>
    <w:rPr>
      <w:rFonts w:ascii="Calibri" w:hAnsi="Calibri" w:eastAsia="宋体" w:cs="Times New Roman"/>
      <w:b/>
      <w:bCs/>
      <w:sz w:val="32"/>
      <w:szCs w:val="32"/>
    </w:rPr>
  </w:style>
  <w:style w:type="character" w:customStyle="1" w:styleId="98">
    <w:name w:val="正文文本 字符"/>
    <w:qFormat/>
    <w:uiPriority w:val="0"/>
    <w:rPr>
      <w:rFonts w:ascii="Calibri" w:hAnsi="Calibri" w:eastAsia="宋体" w:cs="Times New Roman"/>
    </w:rPr>
  </w:style>
  <w:style w:type="character" w:customStyle="1" w:styleId="99">
    <w:name w:val="标题 6 字符"/>
    <w:qFormat/>
    <w:uiPriority w:val="0"/>
    <w:rPr>
      <w:rFonts w:ascii="等线 Light" w:hAnsi="等线 Light" w:eastAsia="等线 Light" w:cs="Times New Roman"/>
      <w:b/>
      <w:bCs/>
      <w:sz w:val="24"/>
      <w:szCs w:val="24"/>
    </w:rPr>
  </w:style>
  <w:style w:type="character" w:customStyle="1" w:styleId="100">
    <w:name w:val="正文文本 2 字符"/>
    <w:qFormat/>
    <w:uiPriority w:val="0"/>
    <w:rPr>
      <w:rFonts w:ascii="Calibri" w:hAnsi="Calibri" w:eastAsia="宋体" w:cs="Times New Roman"/>
    </w:rPr>
  </w:style>
  <w:style w:type="character" w:customStyle="1" w:styleId="101">
    <w:name w:val="页眉 字符"/>
    <w:qFormat/>
    <w:uiPriority w:val="0"/>
    <w:rPr>
      <w:rFonts w:ascii="Calibri" w:hAnsi="Calibri" w:eastAsia="宋体" w:cs="Times New Roman"/>
      <w:sz w:val="18"/>
      <w:szCs w:val="18"/>
    </w:rPr>
  </w:style>
  <w:style w:type="character" w:customStyle="1" w:styleId="102">
    <w:name w:val="日期 字符"/>
    <w:qFormat/>
    <w:uiPriority w:val="0"/>
    <w:rPr>
      <w:rFonts w:ascii="Calibri" w:hAnsi="Calibri" w:eastAsia="宋体" w:cs="Times New Roman"/>
    </w:rPr>
  </w:style>
  <w:style w:type="character" w:customStyle="1" w:styleId="103">
    <w:name w:val="脚注文本 字符"/>
    <w:qFormat/>
    <w:uiPriority w:val="0"/>
    <w:rPr>
      <w:rFonts w:ascii="Calibri" w:hAnsi="Calibri" w:eastAsia="宋体" w:cs="Times New Roman"/>
      <w:sz w:val="18"/>
      <w:szCs w:val="18"/>
    </w:rPr>
  </w:style>
  <w:style w:type="character" w:customStyle="1" w:styleId="104">
    <w:name w:val="标题 1 字符"/>
    <w:qFormat/>
    <w:uiPriority w:val="0"/>
    <w:rPr>
      <w:rFonts w:ascii="Calibri" w:hAnsi="Calibri" w:eastAsia="宋体" w:cs="Times New Roman"/>
      <w:b/>
      <w:bCs/>
      <w:kern w:val="44"/>
      <w:sz w:val="44"/>
      <w:szCs w:val="44"/>
    </w:rPr>
  </w:style>
  <w:style w:type="character" w:customStyle="1" w:styleId="105">
    <w:name w:val="批注文字 Char1"/>
    <w:qFormat/>
    <w:uiPriority w:val="0"/>
    <w:rPr>
      <w:rFonts w:ascii="仿宋_GB2312" w:hAnsi="等线" w:eastAsia="宋体" w:cs="Times New Roman"/>
      <w:kern w:val="2"/>
      <w:sz w:val="21"/>
      <w:szCs w:val="32"/>
      <w:lang w:val="en-US" w:eastAsia="zh-CN" w:bidi="ar-SA"/>
    </w:rPr>
  </w:style>
  <w:style w:type="character" w:customStyle="1" w:styleId="106">
    <w:name w:val="标题 字符"/>
    <w:qFormat/>
    <w:uiPriority w:val="0"/>
    <w:rPr>
      <w:rFonts w:ascii="等线 Light" w:hAnsi="等线 Light" w:eastAsia="等线 Light" w:cs="Times New Roman"/>
      <w:b/>
      <w:bCs/>
      <w:sz w:val="32"/>
      <w:szCs w:val="32"/>
    </w:rPr>
  </w:style>
  <w:style w:type="character" w:customStyle="1" w:styleId="107">
    <w:name w:val="文档结构图 字符"/>
    <w:qFormat/>
    <w:uiPriority w:val="0"/>
    <w:rPr>
      <w:rFonts w:ascii="Microsoft YaHei UI" w:hAnsi="Calibri" w:eastAsia="Microsoft YaHei UI" w:cs="Times New Roman"/>
      <w:sz w:val="18"/>
      <w:szCs w:val="18"/>
    </w:rPr>
  </w:style>
  <w:style w:type="character" w:customStyle="1" w:styleId="108">
    <w:name w:val="NormalCharacter"/>
    <w:qFormat/>
    <w:uiPriority w:val="0"/>
  </w:style>
  <w:style w:type="character" w:customStyle="1" w:styleId="109">
    <w:name w:val="标题 2 字符"/>
    <w:qFormat/>
    <w:uiPriority w:val="0"/>
    <w:rPr>
      <w:rFonts w:ascii="等线 Light" w:hAnsi="等线 Light" w:eastAsia="等线 Light" w:cs="Times New Roman"/>
      <w:b/>
      <w:bCs/>
      <w:sz w:val="32"/>
      <w:szCs w:val="32"/>
    </w:rPr>
  </w:style>
  <w:style w:type="character" w:customStyle="1" w:styleId="110">
    <w:name w:val="批注框文本 Char3"/>
    <w:qFormat/>
    <w:uiPriority w:val="0"/>
    <w:rPr>
      <w:rFonts w:ascii="等线" w:hAnsi="等线" w:eastAsia="等线" w:cs="Times New Roman"/>
      <w:sz w:val="18"/>
      <w:szCs w:val="18"/>
      <w:lang w:eastAsia="en-US" w:bidi="en-US"/>
    </w:rPr>
  </w:style>
  <w:style w:type="character" w:customStyle="1" w:styleId="111">
    <w:name w:val="纯文本 字符"/>
    <w:qFormat/>
    <w:uiPriority w:val="0"/>
    <w:rPr>
      <w:rFonts w:ascii="等线" w:hAnsi="Courier New" w:eastAsia="等线" w:cs="Courier New"/>
    </w:rPr>
  </w:style>
  <w:style w:type="character" w:customStyle="1" w:styleId="112">
    <w:name w:val="批注主题 字符"/>
    <w:qFormat/>
    <w:uiPriority w:val="0"/>
    <w:rPr>
      <w:rFonts w:ascii="Calibri" w:hAnsi="Calibri" w:eastAsia="宋体" w:cs="Times New Roman"/>
      <w:b/>
      <w:bCs/>
    </w:rPr>
  </w:style>
  <w:style w:type="character" w:customStyle="1" w:styleId="113">
    <w:name w:val="副标题 Char1"/>
    <w:qFormat/>
    <w:uiPriority w:val="0"/>
    <w:rPr>
      <w:rFonts w:ascii="Cambria" w:hAnsi="Cambria" w:eastAsia="宋体" w:cs="Times New Roman"/>
      <w:b/>
      <w:bCs/>
      <w:kern w:val="28"/>
      <w:sz w:val="32"/>
      <w:szCs w:val="32"/>
    </w:rPr>
  </w:style>
  <w:style w:type="character" w:customStyle="1" w:styleId="114">
    <w:name w:val="s2"/>
    <w:qFormat/>
    <w:uiPriority w:val="0"/>
  </w:style>
  <w:style w:type="character" w:customStyle="1" w:styleId="115">
    <w:name w:val="正文文本缩进 字符"/>
    <w:qFormat/>
    <w:uiPriority w:val="0"/>
    <w:rPr>
      <w:rFonts w:ascii="Calibri" w:hAnsi="Calibri" w:eastAsia="宋体" w:cs="Times New Roman"/>
    </w:rPr>
  </w:style>
  <w:style w:type="character" w:customStyle="1" w:styleId="116">
    <w:name w:val="标题 5 字符"/>
    <w:qFormat/>
    <w:uiPriority w:val="0"/>
    <w:rPr>
      <w:rFonts w:ascii="Calibri" w:hAnsi="Calibri" w:eastAsia="宋体" w:cs="Times New Roman"/>
      <w:b/>
      <w:bCs/>
      <w:sz w:val="28"/>
      <w:szCs w:val="28"/>
    </w:rPr>
  </w:style>
  <w:style w:type="character" w:customStyle="1" w:styleId="117">
    <w:name w:val="批注框文本 字符"/>
    <w:qFormat/>
    <w:uiPriority w:val="0"/>
    <w:rPr>
      <w:rFonts w:ascii="Calibri" w:hAnsi="Calibri" w:eastAsia="宋体" w:cs="Times New Roman"/>
      <w:sz w:val="18"/>
      <w:szCs w:val="18"/>
    </w:rPr>
  </w:style>
  <w:style w:type="paragraph" w:customStyle="1" w:styleId="118">
    <w:name w:val="封二"/>
    <w:basedOn w:val="82"/>
    <w:next w:val="82"/>
    <w:qFormat/>
    <w:uiPriority w:val="0"/>
    <w:pPr>
      <w:ind w:firstLine="0" w:firstLineChars="0"/>
      <w:jc w:val="center"/>
    </w:pPr>
    <w:rPr>
      <w:rFonts w:eastAsia="黑体"/>
      <w:b/>
      <w:sz w:val="36"/>
      <w:szCs w:val="36"/>
    </w:rPr>
  </w:style>
  <w:style w:type="paragraph" w:customStyle="1" w:styleId="119">
    <w:name w:val="xl44"/>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eastAsia="等线"/>
      <w:kern w:val="0"/>
      <w:sz w:val="20"/>
      <w:szCs w:val="20"/>
    </w:rPr>
  </w:style>
  <w:style w:type="paragraph" w:customStyle="1" w:styleId="120">
    <w:name w:val="封四"/>
    <w:basedOn w:val="82"/>
    <w:next w:val="82"/>
    <w:qFormat/>
    <w:uiPriority w:val="0"/>
    <w:pPr>
      <w:jc w:val="left"/>
    </w:pPr>
    <w:rPr>
      <w:rFonts w:eastAsia="等线"/>
      <w:sz w:val="30"/>
      <w:szCs w:val="30"/>
    </w:rPr>
  </w:style>
  <w:style w:type="paragraph" w:customStyle="1" w:styleId="121">
    <w:name w:val="公文抬头"/>
    <w:basedOn w:val="5"/>
    <w:qFormat/>
    <w:uiPriority w:val="0"/>
    <w:pPr>
      <w:ind w:firstLine="0"/>
    </w:pPr>
    <w:rPr>
      <w:rFonts w:ascii="仿宋_GB2312" w:hAnsi="等线" w:eastAsia="仿宋_GB2312"/>
      <w:sz w:val="30"/>
      <w:szCs w:val="24"/>
    </w:rPr>
  </w:style>
  <w:style w:type="paragraph" w:customStyle="1" w:styleId="122">
    <w:name w:val="_Style 25"/>
    <w:basedOn w:val="1"/>
    <w:next w:val="1"/>
    <w:qFormat/>
    <w:uiPriority w:val="0"/>
    <w:rPr>
      <w:rFonts w:ascii="等线" w:hAnsi="等线" w:eastAsia="等线"/>
    </w:rPr>
  </w:style>
  <w:style w:type="paragraph" w:customStyle="1" w:styleId="123">
    <w:name w:val="表头"/>
    <w:basedOn w:val="1"/>
    <w:qFormat/>
    <w:uiPriority w:val="0"/>
    <w:pPr>
      <w:spacing w:line="360" w:lineRule="auto"/>
      <w:jc w:val="center"/>
    </w:pPr>
    <w:rPr>
      <w:rFonts w:ascii="黑体" w:eastAsia="黑体"/>
      <w:kern w:val="0"/>
      <w:sz w:val="24"/>
      <w:szCs w:val="20"/>
    </w:rPr>
  </w:style>
  <w:style w:type="paragraph" w:customStyle="1" w:styleId="124">
    <w:name w:val="章节三"/>
    <w:basedOn w:val="82"/>
    <w:next w:val="82"/>
    <w:qFormat/>
    <w:uiPriority w:val="0"/>
    <w:pPr>
      <w:spacing w:beforeLines="50" w:afterLines="50" w:line="240" w:lineRule="auto"/>
      <w:ind w:firstLine="0" w:firstLineChars="0"/>
      <w:jc w:val="left"/>
      <w:outlineLvl w:val="2"/>
    </w:pPr>
    <w:rPr>
      <w:rFonts w:ascii="黑体" w:hAnsi="宋体" w:eastAsia="黑体"/>
      <w:b/>
    </w:rPr>
  </w:style>
  <w:style w:type="paragraph" w:customStyle="1" w:styleId="125">
    <w:name w:val="正题"/>
    <w:basedOn w:val="82"/>
    <w:next w:val="82"/>
    <w:qFormat/>
    <w:uiPriority w:val="0"/>
    <w:pPr>
      <w:ind w:firstLine="0" w:firstLineChars="0"/>
      <w:jc w:val="center"/>
    </w:pPr>
    <w:rPr>
      <w:rFonts w:eastAsia="黑体"/>
      <w:b/>
      <w:sz w:val="36"/>
      <w:szCs w:val="36"/>
    </w:rPr>
  </w:style>
  <w:style w:type="paragraph" w:customStyle="1" w:styleId="126">
    <w:name w:val="Char1"/>
    <w:basedOn w:val="1"/>
    <w:qFormat/>
    <w:uiPriority w:val="0"/>
    <w:pPr>
      <w:numPr>
        <w:ilvl w:val="0"/>
        <w:numId w:val="1"/>
      </w:numPr>
    </w:pPr>
    <w:rPr>
      <w:rFonts w:eastAsia="等线"/>
      <w:sz w:val="24"/>
      <w:szCs w:val="24"/>
    </w:rPr>
  </w:style>
  <w:style w:type="paragraph" w:customStyle="1" w:styleId="127">
    <w:name w:val="Char Char Char1 Char"/>
    <w:basedOn w:val="13"/>
    <w:qFormat/>
    <w:uiPriority w:val="0"/>
    <w:rPr>
      <w:rFonts w:ascii="Tahoma" w:hAnsi="Tahoma" w:eastAsia="等线"/>
      <w:sz w:val="24"/>
      <w:szCs w:val="24"/>
    </w:rPr>
  </w:style>
  <w:style w:type="paragraph" w:customStyle="1" w:styleId="128">
    <w:name w:val="样式2"/>
    <w:basedOn w:val="1"/>
    <w:qFormat/>
    <w:uiPriority w:val="0"/>
    <w:pPr>
      <w:adjustRightInd w:val="0"/>
      <w:spacing w:before="120" w:after="120" w:line="312" w:lineRule="atLeast"/>
      <w:jc w:val="center"/>
      <w:textAlignment w:val="baseline"/>
    </w:pPr>
    <w:rPr>
      <w:rFonts w:eastAsia="等线"/>
      <w:kern w:val="0"/>
      <w:sz w:val="24"/>
      <w:szCs w:val="20"/>
    </w:rPr>
  </w:style>
  <w:style w:type="paragraph" w:customStyle="1" w:styleId="129">
    <w:name w:val="tab.txt"/>
    <w:basedOn w:val="1"/>
    <w:qFormat/>
    <w:uiPriority w:val="0"/>
    <w:pPr>
      <w:widowControl/>
      <w:jc w:val="left"/>
    </w:pPr>
    <w:rPr>
      <w:rFonts w:ascii="Arial" w:hAnsi="Arial" w:eastAsia="等线"/>
      <w:kern w:val="0"/>
      <w:sz w:val="18"/>
      <w:szCs w:val="20"/>
      <w:lang w:val="en-GB" w:eastAsia="fr-FR"/>
    </w:rPr>
  </w:style>
  <w:style w:type="paragraph" w:customStyle="1" w:styleId="130">
    <w:name w:val="文二"/>
    <w:basedOn w:val="1"/>
    <w:qFormat/>
    <w:uiPriority w:val="0"/>
    <w:pPr>
      <w:jc w:val="left"/>
    </w:pPr>
    <w:rPr>
      <w:rFonts w:ascii="宋体" w:hAnsi="宋体" w:eastAsia="等线"/>
      <w:szCs w:val="21"/>
    </w:rPr>
  </w:style>
  <w:style w:type="paragraph" w:styleId="131">
    <w:name w:val="List Paragraph"/>
    <w:basedOn w:val="1"/>
    <w:qFormat/>
    <w:uiPriority w:val="0"/>
    <w:pPr>
      <w:ind w:firstLine="420" w:firstLineChars="200"/>
    </w:pPr>
    <w:rPr>
      <w:rFonts w:eastAsia="等线"/>
      <w:szCs w:val="20"/>
    </w:rPr>
  </w:style>
  <w:style w:type="paragraph" w:customStyle="1" w:styleId="132">
    <w:name w:val="正文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33">
    <w:name w:val="章节二"/>
    <w:basedOn w:val="1"/>
    <w:next w:val="1"/>
    <w:qFormat/>
    <w:uiPriority w:val="0"/>
    <w:pPr>
      <w:topLinePunct/>
      <w:adjustRightInd w:val="0"/>
      <w:snapToGrid w:val="0"/>
      <w:spacing w:beforeLines="50" w:afterLines="50"/>
      <w:jc w:val="center"/>
      <w:outlineLvl w:val="1"/>
    </w:pPr>
    <w:rPr>
      <w:rFonts w:ascii="等线" w:hAnsi="等线" w:eastAsia="黑体"/>
      <w:b/>
      <w:snapToGrid w:val="0"/>
      <w:spacing w:val="4"/>
      <w:kern w:val="0"/>
      <w:sz w:val="30"/>
      <w:szCs w:val="30"/>
    </w:rPr>
  </w:style>
  <w:style w:type="paragraph" w:customStyle="1" w:styleId="134">
    <w:name w:val="Char"/>
    <w:basedOn w:val="1"/>
    <w:qFormat/>
    <w:uiPriority w:val="0"/>
    <w:rPr>
      <w:rFonts w:ascii="Tahoma" w:hAnsi="Tahoma" w:eastAsia="等线"/>
      <w:sz w:val="24"/>
      <w:szCs w:val="20"/>
    </w:rPr>
  </w:style>
  <w:style w:type="paragraph" w:customStyle="1" w:styleId="135">
    <w:name w:val="_Style 5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_Style 134"/>
    <w:basedOn w:val="3"/>
    <w:next w:val="1"/>
    <w:qFormat/>
    <w:uiPriority w:val="0"/>
    <w:pPr>
      <w:widowControl/>
      <w:spacing w:before="480" w:after="0" w:line="276" w:lineRule="auto"/>
      <w:outlineLvl w:val="9"/>
    </w:pPr>
    <w:rPr>
      <w:rFonts w:ascii="Cambria" w:hAnsi="Cambria" w:eastAsia="等线"/>
      <w:color w:val="365F91"/>
      <w:kern w:val="0"/>
    </w:rPr>
  </w:style>
  <w:style w:type="paragraph" w:customStyle="1" w:styleId="137">
    <w:name w:val="Blockquote"/>
    <w:basedOn w:val="1"/>
    <w:qFormat/>
    <w:uiPriority w:val="0"/>
    <w:pPr>
      <w:autoSpaceDE w:val="0"/>
      <w:autoSpaceDN w:val="0"/>
      <w:adjustRightInd w:val="0"/>
      <w:spacing w:before="100" w:after="100"/>
      <w:ind w:left="360" w:right="360"/>
      <w:jc w:val="left"/>
    </w:pPr>
    <w:rPr>
      <w:rFonts w:eastAsia="等线"/>
      <w:kern w:val="0"/>
      <w:sz w:val="24"/>
      <w:szCs w:val="20"/>
    </w:rPr>
  </w:style>
  <w:style w:type="paragraph" w:customStyle="1" w:styleId="138">
    <w:name w:val="Char Char Char Char"/>
    <w:basedOn w:val="1"/>
    <w:qFormat/>
    <w:uiPriority w:val="0"/>
    <w:rPr>
      <w:rFonts w:eastAsia="等线"/>
      <w:sz w:val="30"/>
      <w:szCs w:val="24"/>
    </w:rPr>
  </w:style>
  <w:style w:type="paragraph" w:customStyle="1" w:styleId="139">
    <w:name w:val="封一"/>
    <w:basedOn w:val="82"/>
    <w:next w:val="82"/>
    <w:qFormat/>
    <w:uiPriority w:val="0"/>
    <w:pPr>
      <w:ind w:firstLine="0" w:firstLineChars="0"/>
      <w:jc w:val="center"/>
    </w:pPr>
    <w:rPr>
      <w:rFonts w:eastAsia="黑体"/>
      <w:b/>
      <w:sz w:val="84"/>
      <w:szCs w:val="84"/>
    </w:rPr>
  </w:style>
  <w:style w:type="paragraph" w:customStyle="1" w:styleId="14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1">
    <w:name w:val="发文落款"/>
    <w:basedOn w:val="140"/>
    <w:qFormat/>
    <w:uiPriority w:val="0"/>
    <w:pPr>
      <w:ind w:left="4094" w:right="607" w:firstLine="0"/>
      <w:jc w:val="center"/>
    </w:pPr>
    <w:rPr>
      <w:rFonts w:ascii="等线" w:hAnsi="等线" w:eastAsia="等线"/>
    </w:rPr>
  </w:style>
  <w:style w:type="paragraph" w:customStyle="1" w:styleId="142">
    <w:name w:val="Char2"/>
    <w:basedOn w:val="1"/>
    <w:qFormat/>
    <w:uiPriority w:val="0"/>
    <w:pPr>
      <w:widowControl/>
      <w:spacing w:after="160" w:line="240" w:lineRule="exact"/>
      <w:jc w:val="left"/>
    </w:pPr>
    <w:rPr>
      <w:rFonts w:ascii="Verdana" w:hAnsi="Verdana" w:eastAsia="等线"/>
      <w:kern w:val="0"/>
      <w:sz w:val="20"/>
      <w:szCs w:val="20"/>
      <w:lang w:eastAsia="en-US"/>
    </w:rPr>
  </w:style>
  <w:style w:type="paragraph" w:customStyle="1" w:styleId="143">
    <w:name w:val="公文标题"/>
    <w:basedOn w:val="6"/>
    <w:qFormat/>
    <w:uiPriority w:val="0"/>
    <w:pPr>
      <w:keepNext/>
      <w:keepLines/>
      <w:widowControl w:val="0"/>
      <w:spacing w:before="0" w:beforeAutospacing="0" w:after="0" w:afterAutospacing="0"/>
      <w:ind w:left="1469" w:right="1542"/>
    </w:pPr>
    <w:rPr>
      <w:rFonts w:ascii="等线" w:hAnsi="Times New Roman" w:eastAsia="等线"/>
      <w:b/>
      <w:kern w:val="2"/>
      <w:sz w:val="44"/>
      <w:szCs w:val="21"/>
    </w:rPr>
  </w:style>
  <w:style w:type="paragraph" w:customStyle="1" w:styleId="144">
    <w:name w:val="_Style 143"/>
    <w:qFormat/>
    <w:uiPriority w:val="0"/>
    <w:rPr>
      <w:rFonts w:ascii="Times New Roman" w:hAnsi="Times New Roman" w:eastAsia="宋体" w:cs="Times New Roman"/>
      <w:kern w:val="2"/>
      <w:sz w:val="21"/>
      <w:lang w:val="en-US" w:eastAsia="zh-CN" w:bidi="ar-SA"/>
    </w:rPr>
  </w:style>
  <w:style w:type="paragraph" w:customStyle="1" w:styleId="145">
    <w:name w:val="正文 New New"/>
    <w:basedOn w:val="1"/>
    <w:qFormat/>
    <w:uiPriority w:val="0"/>
    <w:rPr>
      <w:rFonts w:eastAsia="楷体_GB2312" w:cs="宋体"/>
      <w:szCs w:val="21"/>
    </w:rPr>
  </w:style>
  <w:style w:type="paragraph" w:customStyle="1" w:styleId="146">
    <w:name w:val="BodyText"/>
    <w:basedOn w:val="1"/>
    <w:qFormat/>
    <w:uiPriority w:val="99"/>
    <w:pPr>
      <w:spacing w:after="120"/>
    </w:pPr>
    <w:rPr>
      <w:kern w:val="0"/>
      <w:sz w:val="20"/>
      <w:szCs w:val="20"/>
    </w:rPr>
  </w:style>
  <w:style w:type="paragraph" w:customStyle="1" w:styleId="147">
    <w:name w:val="Heading2"/>
    <w:basedOn w:val="1"/>
    <w:next w:val="1"/>
    <w:qFormat/>
    <w:uiPriority w:val="0"/>
    <w:pPr>
      <w:keepNext/>
      <w:keepLines/>
      <w:spacing w:before="260" w:after="260" w:line="415" w:lineRule="auto"/>
    </w:pPr>
    <w:rPr>
      <w:rFonts w:ascii="Arial" w:hAnsi="Arial" w:eastAsia="黑体"/>
      <w:b/>
      <w:bCs/>
      <w:sz w:val="32"/>
      <w:szCs w:val="32"/>
    </w:rPr>
  </w:style>
  <w:style w:type="paragraph" w:customStyle="1" w:styleId="148">
    <w:name w:val="msolist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29EE8A-7E26-4F27-BD05-B92F058F6741}">
  <ds:schemaRefs/>
</ds:datastoreItem>
</file>

<file path=docProps/app.xml><?xml version="1.0" encoding="utf-8"?>
<Properties xmlns="http://schemas.openxmlformats.org/officeDocument/2006/extended-properties" xmlns:vt="http://schemas.openxmlformats.org/officeDocument/2006/docPropsVTypes">
  <Template>Normal</Template>
  <Pages>73</Pages>
  <Words>43136</Words>
  <Characters>45390</Characters>
  <Lines>330</Lines>
  <Paragraphs>92</Paragraphs>
  <TotalTime>82</TotalTime>
  <ScaleCrop>false</ScaleCrop>
  <LinksUpToDate>false</LinksUpToDate>
  <CharactersWithSpaces>46667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2021-11-08T02:53:00Z</dcterms:created>
  <cp:lastPrinted>2023-04-27T10:17:35Z</cp:lastPrinted>
  <dcterms:modified xsi:type="dcterms:W3CDTF">2023-04-27T10:51:49Z</dcterms:modified>
  <dc:title>良口镇良口墟微改造项目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1B161998AA434C1C9C10BF5C84004B63_13</vt:lpwstr>
  </property>
</Properties>
</file>