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9" w:leftChars="-95" w:firstLine="199" w:firstLineChars="45"/>
        <w:jc w:val="center"/>
        <w:rPr>
          <w:rFonts w:ascii="黑体" w:hAnsi="黑体" w:eastAsia="黑体"/>
          <w:b/>
          <w:color w:val="auto"/>
          <w:sz w:val="44"/>
          <w:szCs w:val="44"/>
          <w:highlight w:val="none"/>
        </w:rPr>
      </w:pPr>
      <w:bookmarkStart w:id="0" w:name="OLE_LINK13"/>
      <w:bookmarkStart w:id="1" w:name="OLE_LINK9"/>
      <w:bookmarkStart w:id="2" w:name="OLE_LINK11"/>
      <w:bookmarkStart w:id="3" w:name="OLE_LINK12"/>
      <w:bookmarkStart w:id="4" w:name="OLE_LINK3"/>
      <w:bookmarkStart w:id="5" w:name="OLE_LINK8"/>
    </w:p>
    <w:p>
      <w:pPr>
        <w:ind w:left="-199" w:leftChars="-95" w:firstLine="199" w:firstLineChars="45"/>
        <w:jc w:val="center"/>
        <w:rPr>
          <w:rFonts w:ascii="黑体" w:hAnsi="黑体" w:eastAsia="黑体"/>
          <w:b/>
          <w:color w:val="auto"/>
          <w:sz w:val="44"/>
          <w:szCs w:val="44"/>
          <w:highlight w:val="none"/>
        </w:rPr>
      </w:pPr>
    </w:p>
    <w:p>
      <w:pPr>
        <w:ind w:left="-199" w:leftChars="-95" w:firstLine="217" w:firstLineChars="45"/>
        <w:jc w:val="center"/>
        <w:rPr>
          <w:rFonts w:hint="eastAsia" w:ascii="黑体" w:hAnsi="黑体" w:eastAsia="黑体"/>
          <w:b/>
          <w:color w:val="auto"/>
          <w:sz w:val="44"/>
          <w:szCs w:val="44"/>
          <w:highlight w:val="none"/>
          <w:lang w:eastAsia="zh-CN"/>
        </w:rPr>
      </w:pPr>
      <w:r>
        <w:rPr>
          <w:rFonts w:hint="eastAsia" w:ascii="黑体" w:hAnsi="黑体" w:eastAsia="黑体"/>
          <w:b/>
          <w:color w:val="auto"/>
          <w:sz w:val="48"/>
          <w:szCs w:val="48"/>
          <w:highlight w:val="none"/>
          <w:lang w:eastAsia="zh-CN"/>
        </w:rPr>
        <w:t>新花大道（花都大道-迎宾大道）工程第三方检测监测（第3标段）</w:t>
      </w:r>
    </w:p>
    <w:p>
      <w:pPr>
        <w:jc w:val="center"/>
        <w:rPr>
          <w:rFonts w:ascii="黑体" w:hAnsi="黑体" w:eastAsia="黑体"/>
          <w:b/>
          <w:color w:val="auto"/>
          <w:sz w:val="32"/>
          <w:szCs w:val="32"/>
          <w:highlight w:val="none"/>
        </w:rPr>
      </w:pPr>
    </w:p>
    <w:p>
      <w:pPr>
        <w:rPr>
          <w:rFonts w:ascii="黑体" w:hAnsi="黑体" w:eastAsia="黑体"/>
          <w:b/>
          <w:color w:val="auto"/>
          <w:sz w:val="32"/>
          <w:szCs w:val="32"/>
          <w:highlight w:val="none"/>
        </w:rPr>
      </w:pPr>
    </w:p>
    <w:p>
      <w:pPr>
        <w:rPr>
          <w:rFonts w:ascii="黑体" w:hAnsi="黑体" w:eastAsia="黑体"/>
          <w:b/>
          <w:color w:val="auto"/>
          <w:sz w:val="32"/>
          <w:szCs w:val="32"/>
          <w:highlight w:val="none"/>
        </w:rPr>
      </w:pPr>
    </w:p>
    <w:p>
      <w:pPr>
        <w:rPr>
          <w:rFonts w:ascii="黑体" w:hAnsi="黑体" w:eastAsia="黑体"/>
          <w:b/>
          <w:color w:val="auto"/>
          <w:sz w:val="32"/>
          <w:szCs w:val="32"/>
          <w:highlight w:val="none"/>
        </w:rPr>
      </w:pPr>
    </w:p>
    <w:p>
      <w:pPr>
        <w:rPr>
          <w:rFonts w:ascii="黑体" w:hAnsi="黑体" w:eastAsia="黑体"/>
          <w:b/>
          <w:color w:val="auto"/>
          <w:sz w:val="32"/>
          <w:szCs w:val="32"/>
          <w:highlight w:val="none"/>
        </w:rPr>
      </w:pPr>
    </w:p>
    <w:p>
      <w:pPr>
        <w:rPr>
          <w:rFonts w:ascii="黑体" w:hAnsi="黑体" w:eastAsia="黑体"/>
          <w:b/>
          <w:color w:val="auto"/>
          <w:sz w:val="32"/>
          <w:szCs w:val="32"/>
          <w:highlight w:val="none"/>
        </w:rPr>
      </w:pPr>
    </w:p>
    <w:p>
      <w:pPr>
        <w:rPr>
          <w:rFonts w:ascii="黑体" w:hAnsi="黑体" w:eastAsia="黑体"/>
          <w:b/>
          <w:color w:val="auto"/>
          <w:sz w:val="32"/>
          <w:szCs w:val="32"/>
          <w:highlight w:val="none"/>
        </w:rPr>
      </w:pPr>
    </w:p>
    <w:p>
      <w:pPr>
        <w:rPr>
          <w:rFonts w:ascii="黑体" w:hAnsi="黑体" w:eastAsia="黑体"/>
          <w:b/>
          <w:color w:val="auto"/>
          <w:sz w:val="32"/>
          <w:szCs w:val="32"/>
          <w:highlight w:val="none"/>
        </w:rPr>
      </w:pPr>
    </w:p>
    <w:p>
      <w:pPr>
        <w:spacing w:line="288" w:lineRule="auto"/>
        <w:rPr>
          <w:rFonts w:ascii="楷体_GB2312" w:hAnsi="新宋体-18030" w:eastAsia="楷体_GB2312"/>
          <w:b/>
          <w:color w:val="auto"/>
          <w:sz w:val="32"/>
          <w:szCs w:val="32"/>
          <w:highlight w:val="none"/>
        </w:rPr>
      </w:pPr>
    </w:p>
    <w:p>
      <w:pPr>
        <w:spacing w:line="288" w:lineRule="auto"/>
        <w:jc w:val="center"/>
        <w:rPr>
          <w:rFonts w:ascii="楷体_GB2312" w:eastAsia="楷体_GB2312"/>
          <w:b/>
          <w:color w:val="auto"/>
          <w:spacing w:val="40"/>
          <w:sz w:val="72"/>
          <w:szCs w:val="72"/>
          <w:highlight w:val="none"/>
        </w:rPr>
      </w:pPr>
      <w:r>
        <w:rPr>
          <w:rFonts w:hint="eastAsia" w:ascii="楷体_GB2312" w:hAnsi="新宋体-18030" w:eastAsia="楷体_GB2312"/>
          <w:b/>
          <w:color w:val="auto"/>
          <w:sz w:val="84"/>
          <w:szCs w:val="84"/>
          <w:highlight w:val="none"/>
        </w:rPr>
        <w:t>招标文件</w:t>
      </w:r>
    </w:p>
    <w:p>
      <w:pPr>
        <w:jc w:val="center"/>
        <w:rPr>
          <w:rFonts w:ascii="楷体_GB2312" w:eastAsia="楷体_GB2312"/>
          <w:color w:val="auto"/>
          <w:highlight w:val="none"/>
        </w:rPr>
      </w:pPr>
    </w:p>
    <w:p>
      <w:pPr>
        <w:jc w:val="center"/>
        <w:rPr>
          <w:rFonts w:ascii="楷体_GB2312" w:eastAsia="楷体_GB2312"/>
          <w:color w:val="auto"/>
          <w:highlight w:val="none"/>
        </w:rPr>
      </w:pPr>
    </w:p>
    <w:p>
      <w:pPr>
        <w:jc w:val="center"/>
        <w:rPr>
          <w:rFonts w:ascii="楷体_GB2312" w:eastAsia="楷体_GB2312"/>
          <w:color w:val="auto"/>
          <w:highlight w:val="none"/>
        </w:rPr>
      </w:pPr>
    </w:p>
    <w:p>
      <w:pPr>
        <w:jc w:val="center"/>
        <w:rPr>
          <w:rFonts w:ascii="楷体_GB2312" w:eastAsia="楷体_GB2312"/>
          <w:color w:val="auto"/>
          <w:highlight w:val="none"/>
        </w:rPr>
      </w:pPr>
    </w:p>
    <w:p>
      <w:pPr>
        <w:jc w:val="center"/>
        <w:rPr>
          <w:rFonts w:ascii="楷体_GB2312" w:eastAsia="楷体_GB2312"/>
          <w:color w:val="auto"/>
          <w:highlight w:val="none"/>
        </w:rPr>
      </w:pPr>
    </w:p>
    <w:p>
      <w:pPr>
        <w:jc w:val="center"/>
        <w:rPr>
          <w:rFonts w:ascii="楷体_GB2312" w:eastAsia="楷体_GB2312"/>
          <w:color w:val="auto"/>
          <w:highlight w:val="none"/>
        </w:rPr>
      </w:pPr>
    </w:p>
    <w:p>
      <w:pPr>
        <w:jc w:val="center"/>
        <w:rPr>
          <w:rFonts w:ascii="楷体_GB2312" w:eastAsia="楷体_GB2312"/>
          <w:color w:val="auto"/>
          <w:highlight w:val="none"/>
        </w:rPr>
      </w:pPr>
    </w:p>
    <w:p>
      <w:pPr>
        <w:jc w:val="center"/>
        <w:rPr>
          <w:rFonts w:ascii="楷体_GB2312" w:eastAsia="楷体_GB2312"/>
          <w:color w:val="auto"/>
          <w:highlight w:val="none"/>
        </w:rPr>
      </w:pPr>
    </w:p>
    <w:p>
      <w:pPr>
        <w:jc w:val="center"/>
        <w:rPr>
          <w:rFonts w:ascii="楷体_GB2312" w:eastAsia="楷体_GB2312"/>
          <w:color w:val="auto"/>
          <w:highlight w:val="none"/>
        </w:rPr>
      </w:pPr>
    </w:p>
    <w:p>
      <w:pPr>
        <w:jc w:val="center"/>
        <w:rPr>
          <w:rFonts w:ascii="楷体_GB2312" w:eastAsia="楷体_GB2312"/>
          <w:color w:val="auto"/>
          <w:highlight w:val="none"/>
        </w:rPr>
      </w:pPr>
    </w:p>
    <w:p>
      <w:pPr>
        <w:rPr>
          <w:rFonts w:ascii="楷体_GB2312" w:hAnsi="宋体" w:eastAsia="楷体_GB2312"/>
          <w:b/>
          <w:color w:val="auto"/>
          <w:sz w:val="36"/>
          <w:highlight w:val="none"/>
        </w:rPr>
      </w:pPr>
    </w:p>
    <w:p>
      <w:pPr>
        <w:jc w:val="center"/>
        <w:rPr>
          <w:rFonts w:ascii="楷体_GB2312" w:hAnsi="宋体" w:eastAsia="楷体_GB2312"/>
          <w:b/>
          <w:color w:val="auto"/>
          <w:sz w:val="36"/>
          <w:highlight w:val="none"/>
        </w:rPr>
      </w:pPr>
    </w:p>
    <w:p>
      <w:pPr>
        <w:jc w:val="center"/>
        <w:rPr>
          <w:rFonts w:ascii="楷体_GB2312" w:hAnsi="宋体" w:eastAsia="楷体_GB2312"/>
          <w:b/>
          <w:color w:val="auto"/>
          <w:sz w:val="36"/>
          <w:highlight w:val="none"/>
        </w:rPr>
      </w:pPr>
    </w:p>
    <w:p>
      <w:pPr>
        <w:spacing w:line="360" w:lineRule="auto"/>
        <w:ind w:firstLine="723" w:firstLineChars="200"/>
        <w:jc w:val="left"/>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rPr>
        <w:t>招 标 人：广州市花都区交通运输局</w:t>
      </w:r>
    </w:p>
    <w:p>
      <w:pPr>
        <w:spacing w:line="360" w:lineRule="auto"/>
        <w:ind w:firstLine="723" w:firstLineChars="200"/>
        <w:jc w:val="left"/>
        <w:rPr>
          <w:rFonts w:hint="eastAsia" w:asciiTheme="minorEastAsia" w:hAnsiTheme="minorEastAsia" w:eastAsiaTheme="minorEastAsia"/>
          <w:b/>
          <w:color w:val="auto"/>
          <w:sz w:val="36"/>
          <w:highlight w:val="none"/>
          <w:lang w:eastAsia="zh-CN"/>
        </w:rPr>
      </w:pPr>
      <w:r>
        <w:rPr>
          <w:rFonts w:hint="eastAsia" w:asciiTheme="minorEastAsia" w:hAnsiTheme="minorEastAsia" w:eastAsiaTheme="minorEastAsia"/>
          <w:b/>
          <w:color w:val="auto"/>
          <w:sz w:val="36"/>
          <w:highlight w:val="none"/>
        </w:rPr>
        <w:t>招标代理：</w:t>
      </w:r>
      <w:r>
        <w:rPr>
          <w:rFonts w:hint="eastAsia" w:asciiTheme="minorEastAsia" w:hAnsiTheme="minorEastAsia" w:eastAsiaTheme="minorEastAsia"/>
          <w:b/>
          <w:color w:val="auto"/>
          <w:sz w:val="36"/>
          <w:highlight w:val="none"/>
          <w:lang w:eastAsia="zh-CN"/>
        </w:rPr>
        <w:t>广州市交正工程咨询有限公司</w:t>
      </w:r>
    </w:p>
    <w:p>
      <w:pPr>
        <w:ind w:firstLine="723" w:firstLineChars="200"/>
        <w:jc w:val="left"/>
        <w:rPr>
          <w:rFonts w:asciiTheme="minorEastAsia" w:hAnsiTheme="minorEastAsia" w:eastAsiaTheme="minorEastAsia"/>
          <w:color w:val="auto"/>
          <w:highlight w:val="none"/>
        </w:rPr>
        <w:sectPr>
          <w:headerReference r:id="rId5" w:type="first"/>
          <w:footerReference r:id="rId8" w:type="first"/>
          <w:headerReference r:id="rId3" w:type="default"/>
          <w:footerReference r:id="rId6" w:type="default"/>
          <w:headerReference r:id="rId4" w:type="even"/>
          <w:footerReference r:id="rId7" w:type="even"/>
          <w:footnotePr>
            <w:numFmt w:val="decimalEnclosedCircleChinese"/>
          </w:footnotePr>
          <w:pgSz w:w="11906" w:h="16838"/>
          <w:pgMar w:top="1134" w:right="1418" w:bottom="1134" w:left="1418" w:header="567" w:footer="851" w:gutter="0"/>
          <w:pgBorders>
            <w:top w:val="none" w:sz="0" w:space="0"/>
            <w:left w:val="none" w:sz="0" w:space="0"/>
            <w:bottom w:val="none" w:sz="0" w:space="0"/>
            <w:right w:val="none" w:sz="0" w:space="0"/>
          </w:pgBorders>
          <w:pgNumType w:fmt="decimal" w:start="0"/>
          <w:cols w:space="720" w:num="1"/>
          <w:titlePg/>
          <w:docGrid w:linePitch="312" w:charSpace="0"/>
        </w:sectPr>
      </w:pPr>
      <w:r>
        <w:rPr>
          <w:rFonts w:hint="eastAsia" w:ascii="宋体" w:hAnsi="宋体"/>
          <w:b/>
          <w:bCs/>
          <w:color w:val="auto"/>
          <w:sz w:val="36"/>
          <w:highlight w:val="none"/>
        </w:rPr>
        <w:t>日    期：二○二</w:t>
      </w:r>
      <w:r>
        <w:rPr>
          <w:rFonts w:hint="eastAsia" w:ascii="宋体" w:hAnsi="宋体"/>
          <w:b/>
          <w:bCs/>
          <w:color w:val="auto"/>
          <w:sz w:val="36"/>
          <w:highlight w:val="none"/>
          <w:lang w:val="en-US" w:eastAsia="zh-CN"/>
        </w:rPr>
        <w:t>三</w:t>
      </w:r>
      <w:r>
        <w:rPr>
          <w:rFonts w:hint="eastAsia" w:ascii="宋体" w:hAnsi="宋体"/>
          <w:b/>
          <w:bCs/>
          <w:color w:val="auto"/>
          <w:sz w:val="36"/>
          <w:highlight w:val="none"/>
        </w:rPr>
        <w:t>年</w:t>
      </w:r>
      <w:r>
        <w:rPr>
          <w:rFonts w:hint="eastAsia" w:ascii="宋体" w:hAnsi="宋体"/>
          <w:b/>
          <w:bCs/>
          <w:color w:val="auto"/>
          <w:sz w:val="36"/>
          <w:highlight w:val="none"/>
          <w:lang w:val="en-US" w:eastAsia="zh-CN"/>
        </w:rPr>
        <w:t>四</w:t>
      </w:r>
      <w:r>
        <w:rPr>
          <w:rFonts w:hint="eastAsia" w:ascii="宋体" w:hAnsi="宋体"/>
          <w:b/>
          <w:bCs/>
          <w:color w:val="auto"/>
          <w:sz w:val="36"/>
          <w:highlight w:val="none"/>
        </w:rPr>
        <w:t>月</w:t>
      </w:r>
    </w:p>
    <w:p>
      <w:pPr>
        <w:rPr>
          <w:color w:val="auto"/>
          <w:highlight w:val="none"/>
        </w:rPr>
      </w:pPr>
    </w:p>
    <w:p>
      <w:pPr>
        <w:wordWrap w:val="0"/>
        <w:topLinePunct/>
        <w:jc w:val="center"/>
        <w:rPr>
          <w:rFonts w:ascii="黑体" w:hAnsi="黑体" w:eastAsia="黑体"/>
          <w:b/>
          <w:color w:val="auto"/>
          <w:sz w:val="32"/>
          <w:szCs w:val="32"/>
          <w:highlight w:val="none"/>
        </w:rPr>
      </w:pPr>
      <w:bookmarkStart w:id="6" w:name="OLE_LINK10"/>
      <w:r>
        <w:rPr>
          <w:rFonts w:hint="eastAsia" w:ascii="黑体" w:hAnsi="黑体" w:eastAsia="黑体"/>
          <w:b/>
          <w:color w:val="auto"/>
          <w:sz w:val="32"/>
          <w:szCs w:val="32"/>
          <w:highlight w:val="none"/>
        </w:rPr>
        <w:t>目录</w:t>
      </w:r>
    </w:p>
    <w:p>
      <w:pPr>
        <w:rPr>
          <w:color w:val="auto"/>
          <w:highlight w:val="none"/>
        </w:rPr>
      </w:pPr>
    </w:p>
    <w:p>
      <w:pPr>
        <w:pStyle w:val="51"/>
        <w:tabs>
          <w:tab w:val="right" w:leader="dot" w:pos="9070"/>
        </w:tabs>
        <w:spacing w:line="360" w:lineRule="auto"/>
        <w:rPr>
          <w:color w:val="auto"/>
          <w:sz w:val="24"/>
          <w:szCs w:val="24"/>
          <w:highlight w:val="none"/>
        </w:rPr>
      </w:pPr>
      <w:r>
        <w:rPr>
          <w:smallCaps/>
          <w:color w:val="auto"/>
          <w:sz w:val="24"/>
          <w:szCs w:val="24"/>
          <w:highlight w:val="none"/>
        </w:rPr>
        <w:fldChar w:fldCharType="begin"/>
      </w:r>
      <w:r>
        <w:rPr>
          <w:smallCaps/>
          <w:color w:val="auto"/>
          <w:sz w:val="24"/>
          <w:szCs w:val="24"/>
          <w:highlight w:val="none"/>
        </w:rPr>
        <w:instrText xml:space="preserve"> TOC \o "1-3" \u </w:instrText>
      </w:r>
      <w:r>
        <w:rPr>
          <w:smallCaps/>
          <w:color w:val="auto"/>
          <w:sz w:val="24"/>
          <w:szCs w:val="24"/>
          <w:highlight w:val="none"/>
        </w:rPr>
        <w:fldChar w:fldCharType="separate"/>
      </w:r>
      <w:r>
        <w:rPr>
          <w:rFonts w:hint="eastAsia" w:ascii="黑体" w:hAnsi="黑体" w:eastAsia="黑体" w:cs="黑体"/>
          <w:color w:val="auto"/>
          <w:sz w:val="24"/>
          <w:szCs w:val="24"/>
          <w:highlight w:val="none"/>
        </w:rPr>
        <w:t>第一卷</w:t>
      </w: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PAGEREF _Toc9152 </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highlight w:val="none"/>
        </w:rPr>
        <w:fldChar w:fldCharType="end"/>
      </w:r>
    </w:p>
    <w:p>
      <w:pPr>
        <w:pStyle w:val="61"/>
        <w:tabs>
          <w:tab w:val="right" w:leader="dot" w:pos="9070"/>
        </w:tabs>
        <w:spacing w:line="360" w:lineRule="auto"/>
        <w:rPr>
          <w:rFonts w:ascii="方正姚体" w:hAnsi="方正姚体" w:eastAsia="方正姚体" w:cs="方正姚体"/>
          <w:color w:val="auto"/>
          <w:sz w:val="24"/>
          <w:szCs w:val="24"/>
          <w:highlight w:val="none"/>
        </w:rPr>
      </w:pPr>
      <w:r>
        <w:rPr>
          <w:rFonts w:hint="eastAsia" w:ascii="方正姚体" w:hAnsi="方正姚体" w:eastAsia="方正姚体" w:cs="方正姚体"/>
          <w:bCs/>
          <w:color w:val="auto"/>
          <w:sz w:val="24"/>
          <w:szCs w:val="24"/>
          <w:highlight w:val="none"/>
        </w:rPr>
        <w:t>第一章 招标公告</w:t>
      </w:r>
      <w:r>
        <w:rPr>
          <w:rFonts w:hint="eastAsia" w:ascii="方正姚体" w:hAnsi="方正姚体" w:eastAsia="方正姚体" w:cs="方正姚体"/>
          <w:color w:val="auto"/>
          <w:sz w:val="24"/>
          <w:szCs w:val="24"/>
          <w:highlight w:val="none"/>
        </w:rPr>
        <w:tab/>
      </w:r>
      <w:r>
        <w:rPr>
          <w:rFonts w:hint="eastAsia" w:ascii="方正姚体" w:hAnsi="方正姚体" w:eastAsia="方正姚体" w:cs="方正姚体"/>
          <w:color w:val="auto"/>
          <w:sz w:val="24"/>
          <w:szCs w:val="24"/>
          <w:highlight w:val="none"/>
        </w:rPr>
        <w:fldChar w:fldCharType="begin"/>
      </w:r>
      <w:r>
        <w:rPr>
          <w:rFonts w:hint="eastAsia" w:ascii="方正姚体" w:hAnsi="方正姚体" w:eastAsia="方正姚体" w:cs="方正姚体"/>
          <w:color w:val="auto"/>
          <w:sz w:val="24"/>
          <w:szCs w:val="24"/>
          <w:highlight w:val="none"/>
        </w:rPr>
        <w:instrText xml:space="preserve"> PAGEREF _Toc19132 </w:instrText>
      </w:r>
      <w:r>
        <w:rPr>
          <w:rFonts w:hint="eastAsia" w:ascii="方正姚体" w:hAnsi="方正姚体" w:eastAsia="方正姚体" w:cs="方正姚体"/>
          <w:color w:val="auto"/>
          <w:sz w:val="24"/>
          <w:szCs w:val="24"/>
          <w:highlight w:val="none"/>
        </w:rPr>
        <w:fldChar w:fldCharType="separate"/>
      </w:r>
      <w:r>
        <w:rPr>
          <w:rFonts w:hint="eastAsia" w:ascii="方正姚体" w:hAnsi="方正姚体" w:eastAsia="方正姚体" w:cs="方正姚体"/>
          <w:color w:val="auto"/>
          <w:sz w:val="24"/>
          <w:szCs w:val="24"/>
          <w:highlight w:val="none"/>
        </w:rPr>
        <w:t>2</w:t>
      </w:r>
      <w:r>
        <w:rPr>
          <w:rFonts w:hint="eastAsia" w:ascii="方正姚体" w:hAnsi="方正姚体" w:eastAsia="方正姚体" w:cs="方正姚体"/>
          <w:color w:val="auto"/>
          <w:sz w:val="24"/>
          <w:szCs w:val="24"/>
          <w:highlight w:val="none"/>
        </w:rPr>
        <w:fldChar w:fldCharType="end"/>
      </w:r>
    </w:p>
    <w:p>
      <w:pPr>
        <w:pStyle w:val="61"/>
        <w:tabs>
          <w:tab w:val="right" w:leader="dot" w:pos="9070"/>
        </w:tabs>
        <w:spacing w:line="360" w:lineRule="auto"/>
        <w:rPr>
          <w:rFonts w:hint="eastAsia" w:ascii="方正姚体" w:hAnsi="方正姚体" w:eastAsia="方正姚体" w:cs="方正姚体"/>
          <w:color w:val="auto"/>
          <w:sz w:val="24"/>
          <w:szCs w:val="24"/>
          <w:highlight w:val="none"/>
          <w:lang w:eastAsia="zh-CN"/>
        </w:rPr>
      </w:pPr>
      <w:r>
        <w:rPr>
          <w:rFonts w:hint="eastAsia" w:ascii="方正姚体" w:hAnsi="方正姚体" w:eastAsia="方正姚体" w:cs="方正姚体"/>
          <w:bCs/>
          <w:color w:val="auto"/>
          <w:sz w:val="24"/>
          <w:szCs w:val="24"/>
          <w:highlight w:val="none"/>
        </w:rPr>
        <w:t>第二章 投标人须知</w:t>
      </w:r>
      <w:r>
        <w:rPr>
          <w:rFonts w:hint="eastAsia" w:ascii="方正姚体" w:hAnsi="方正姚体" w:eastAsia="方正姚体" w:cs="方正姚体"/>
          <w:color w:val="auto"/>
          <w:sz w:val="24"/>
          <w:szCs w:val="24"/>
          <w:highlight w:val="none"/>
        </w:rPr>
        <w:tab/>
      </w:r>
      <w:r>
        <w:rPr>
          <w:rFonts w:hint="eastAsia" w:ascii="方正姚体" w:hAnsi="方正姚体" w:eastAsia="方正姚体" w:cs="方正姚体"/>
          <w:color w:val="auto"/>
          <w:sz w:val="24"/>
          <w:szCs w:val="24"/>
          <w:highlight w:val="none"/>
          <w:lang w:val="en-US" w:eastAsia="zh-CN"/>
        </w:rPr>
        <w:t>8</w:t>
      </w:r>
    </w:p>
    <w:p>
      <w:pPr>
        <w:pStyle w:val="61"/>
        <w:tabs>
          <w:tab w:val="right" w:leader="dot" w:pos="9070"/>
        </w:tabs>
        <w:spacing w:line="360" w:lineRule="auto"/>
        <w:rPr>
          <w:rFonts w:hint="default" w:ascii="方正姚体" w:hAnsi="方正姚体" w:eastAsia="方正姚体" w:cs="方正姚体"/>
          <w:color w:val="auto"/>
          <w:sz w:val="24"/>
          <w:szCs w:val="24"/>
          <w:highlight w:val="none"/>
          <w:lang w:val="en-US" w:eastAsia="zh-CN"/>
        </w:rPr>
      </w:pPr>
      <w:r>
        <w:rPr>
          <w:rFonts w:hint="eastAsia" w:ascii="方正姚体" w:hAnsi="方正姚体" w:eastAsia="方正姚体" w:cs="方正姚体"/>
          <w:bCs/>
          <w:color w:val="auto"/>
          <w:sz w:val="24"/>
          <w:szCs w:val="24"/>
          <w:highlight w:val="none"/>
        </w:rPr>
        <w:t>第三章 评标办法</w:t>
      </w:r>
      <w:r>
        <w:rPr>
          <w:rFonts w:hint="eastAsia" w:ascii="方正姚体" w:hAnsi="方正姚体" w:eastAsia="方正姚体" w:cs="方正姚体"/>
          <w:color w:val="auto"/>
          <w:sz w:val="24"/>
          <w:szCs w:val="24"/>
          <w:highlight w:val="none"/>
        </w:rPr>
        <w:tab/>
      </w:r>
      <w:r>
        <w:rPr>
          <w:rFonts w:hint="eastAsia" w:ascii="方正姚体" w:hAnsi="方正姚体" w:eastAsia="方正姚体" w:cs="方正姚体"/>
          <w:color w:val="auto"/>
          <w:sz w:val="24"/>
          <w:szCs w:val="24"/>
          <w:highlight w:val="none"/>
          <w:lang w:val="en-US" w:eastAsia="zh-CN"/>
        </w:rPr>
        <w:t>28</w:t>
      </w:r>
    </w:p>
    <w:p>
      <w:pPr>
        <w:pStyle w:val="61"/>
        <w:tabs>
          <w:tab w:val="right" w:leader="dot" w:pos="9070"/>
        </w:tabs>
        <w:spacing w:line="360" w:lineRule="auto"/>
        <w:rPr>
          <w:rFonts w:hint="default" w:ascii="方正姚体" w:hAnsi="方正姚体" w:eastAsia="方正姚体" w:cs="方正姚体"/>
          <w:color w:val="auto"/>
          <w:sz w:val="24"/>
          <w:szCs w:val="24"/>
          <w:highlight w:val="none"/>
          <w:lang w:val="en-US" w:eastAsia="zh-CN"/>
        </w:rPr>
      </w:pPr>
      <w:r>
        <w:rPr>
          <w:rFonts w:hint="eastAsia" w:ascii="方正姚体" w:hAnsi="方正姚体" w:eastAsia="方正姚体" w:cs="方正姚体"/>
          <w:bCs/>
          <w:color w:val="auto"/>
          <w:sz w:val="24"/>
          <w:szCs w:val="24"/>
          <w:highlight w:val="none"/>
        </w:rPr>
        <w:t>第四章 合同条款及格式</w:t>
      </w:r>
      <w:r>
        <w:rPr>
          <w:rFonts w:hint="eastAsia" w:ascii="方正姚体" w:hAnsi="方正姚体" w:eastAsia="方正姚体" w:cs="方正姚体"/>
          <w:color w:val="auto"/>
          <w:sz w:val="24"/>
          <w:szCs w:val="24"/>
          <w:highlight w:val="none"/>
        </w:rPr>
        <w:tab/>
      </w:r>
      <w:r>
        <w:rPr>
          <w:rFonts w:hint="eastAsia" w:ascii="方正姚体" w:hAnsi="方正姚体" w:eastAsia="方正姚体" w:cs="方正姚体"/>
          <w:color w:val="auto"/>
          <w:sz w:val="24"/>
          <w:szCs w:val="24"/>
          <w:highlight w:val="none"/>
          <w:lang w:val="en-US" w:eastAsia="zh-CN"/>
        </w:rPr>
        <w:t>37</w:t>
      </w:r>
    </w:p>
    <w:p>
      <w:pPr>
        <w:pStyle w:val="61"/>
        <w:tabs>
          <w:tab w:val="right" w:leader="dot" w:pos="9070"/>
        </w:tabs>
        <w:spacing w:line="360" w:lineRule="auto"/>
        <w:rPr>
          <w:rFonts w:hint="default" w:ascii="方正姚体" w:hAnsi="方正姚体" w:eastAsia="方正姚体" w:cs="方正姚体"/>
          <w:color w:val="auto"/>
          <w:sz w:val="24"/>
          <w:szCs w:val="24"/>
          <w:highlight w:val="none"/>
          <w:lang w:val="en-US" w:eastAsia="zh-CN"/>
        </w:rPr>
      </w:pPr>
      <w:r>
        <w:rPr>
          <w:rFonts w:hint="eastAsia" w:ascii="方正姚体" w:hAnsi="方正姚体" w:eastAsia="方正姚体" w:cs="方正姚体"/>
          <w:bCs/>
          <w:color w:val="auto"/>
          <w:sz w:val="24"/>
          <w:szCs w:val="24"/>
          <w:highlight w:val="none"/>
        </w:rPr>
        <w:t>第五章 委托人要求</w:t>
      </w:r>
      <w:r>
        <w:rPr>
          <w:rFonts w:hint="eastAsia" w:ascii="方正姚体" w:hAnsi="方正姚体" w:eastAsia="方正姚体" w:cs="方正姚体"/>
          <w:color w:val="auto"/>
          <w:sz w:val="24"/>
          <w:szCs w:val="24"/>
          <w:highlight w:val="none"/>
        </w:rPr>
        <w:tab/>
      </w:r>
      <w:r>
        <w:rPr>
          <w:rFonts w:hint="eastAsia" w:ascii="方正姚体" w:hAnsi="方正姚体" w:eastAsia="方正姚体" w:cs="方正姚体"/>
          <w:color w:val="auto"/>
          <w:sz w:val="24"/>
          <w:szCs w:val="24"/>
          <w:highlight w:val="none"/>
          <w:lang w:val="en-US" w:eastAsia="zh-CN"/>
        </w:rPr>
        <w:t>55</w:t>
      </w:r>
    </w:p>
    <w:p>
      <w:pPr>
        <w:pStyle w:val="51"/>
        <w:tabs>
          <w:tab w:val="right" w:leader="dot" w:pos="9070"/>
        </w:tabs>
        <w:spacing w:line="360" w:lineRule="auto"/>
        <w:rPr>
          <w:rFonts w:hint="default" w:ascii="方正姚体" w:hAnsi="方正姚体" w:eastAsia="黑体" w:cs="方正姚体"/>
          <w:color w:val="auto"/>
          <w:sz w:val="24"/>
          <w:szCs w:val="24"/>
          <w:highlight w:val="none"/>
          <w:lang w:val="en-US" w:eastAsia="zh-CN"/>
        </w:rPr>
      </w:pPr>
      <w:r>
        <w:rPr>
          <w:rFonts w:hint="eastAsia" w:ascii="黑体" w:hAnsi="黑体" w:eastAsia="黑体" w:cs="黑体"/>
          <w:color w:val="auto"/>
          <w:sz w:val="24"/>
          <w:szCs w:val="24"/>
          <w:highlight w:val="none"/>
        </w:rPr>
        <w:t>第二卷</w:t>
      </w: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lang w:val="en-US" w:eastAsia="zh-CN"/>
        </w:rPr>
        <w:t>61</w:t>
      </w:r>
    </w:p>
    <w:p>
      <w:pPr>
        <w:pStyle w:val="61"/>
        <w:tabs>
          <w:tab w:val="right" w:leader="dot" w:pos="9070"/>
        </w:tabs>
        <w:spacing w:line="360" w:lineRule="auto"/>
        <w:rPr>
          <w:rFonts w:hint="default" w:eastAsia="方正姚体"/>
          <w:color w:val="auto"/>
          <w:sz w:val="24"/>
          <w:szCs w:val="24"/>
          <w:highlight w:val="none"/>
          <w:lang w:val="en-US" w:eastAsia="zh-CN"/>
        </w:rPr>
      </w:pPr>
      <w:r>
        <w:rPr>
          <w:rFonts w:hint="eastAsia" w:ascii="方正姚体" w:hAnsi="方正姚体" w:eastAsia="方正姚体" w:cs="方正姚体"/>
          <w:bCs/>
          <w:color w:val="auto"/>
          <w:sz w:val="24"/>
          <w:szCs w:val="24"/>
          <w:highlight w:val="none"/>
        </w:rPr>
        <w:t>第六章 投标文件格式</w:t>
      </w:r>
      <w:r>
        <w:rPr>
          <w:rFonts w:hint="eastAsia" w:ascii="方正姚体" w:hAnsi="方正姚体" w:eastAsia="方正姚体" w:cs="方正姚体"/>
          <w:color w:val="auto"/>
          <w:sz w:val="24"/>
          <w:szCs w:val="24"/>
          <w:highlight w:val="none"/>
        </w:rPr>
        <w:tab/>
      </w:r>
      <w:r>
        <w:rPr>
          <w:rFonts w:hint="eastAsia" w:ascii="方正姚体" w:hAnsi="方正姚体" w:eastAsia="方正姚体" w:cs="方正姚体"/>
          <w:color w:val="auto"/>
          <w:sz w:val="24"/>
          <w:szCs w:val="24"/>
          <w:highlight w:val="none"/>
          <w:lang w:val="en-US" w:eastAsia="zh-CN"/>
        </w:rPr>
        <w:t>62</w:t>
      </w:r>
    </w:p>
    <w:p>
      <w:pPr>
        <w:tabs>
          <w:tab w:val="left" w:leader="middleDot" w:pos="8505"/>
          <w:tab w:val="right" w:leader="dot" w:pos="8820"/>
        </w:tabs>
        <w:spacing w:line="360" w:lineRule="auto"/>
        <w:rPr>
          <w:color w:val="auto"/>
          <w:sz w:val="24"/>
          <w:highlight w:val="none"/>
        </w:rPr>
      </w:pPr>
      <w:r>
        <w:rPr>
          <w:smallCaps/>
          <w:color w:val="auto"/>
          <w:sz w:val="24"/>
          <w:highlight w:val="none"/>
        </w:rPr>
        <w:fldChar w:fldCharType="end"/>
      </w:r>
    </w:p>
    <w:bookmarkEnd w:id="6"/>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sectPr>
          <w:footerReference r:id="rId10" w:type="first"/>
          <w:footerReference r:id="rId9" w:type="default"/>
          <w:footnotePr>
            <w:numFmt w:val="decimalEnclosedCircleChinese"/>
          </w:footnotePr>
          <w:pgSz w:w="11906" w:h="16838"/>
          <w:pgMar w:top="1134" w:right="1418" w:bottom="1134" w:left="1418" w:header="567" w:footer="851" w:gutter="0"/>
          <w:pgBorders>
            <w:top w:val="none" w:sz="0" w:space="0"/>
            <w:left w:val="none" w:sz="0" w:space="0"/>
            <w:bottom w:val="none" w:sz="0" w:space="0"/>
            <w:right w:val="none" w:sz="0" w:space="0"/>
          </w:pgBorders>
          <w:pgNumType w:fmt="decimal" w:start="1"/>
          <w:cols w:space="720" w:num="1"/>
          <w:docGrid w:linePitch="312" w:charSpace="0"/>
        </w:sectPr>
      </w:pPr>
    </w:p>
    <w:p>
      <w:pPr>
        <w:rPr>
          <w:color w:val="auto"/>
          <w:highlight w:val="none"/>
        </w:rPr>
      </w:pPr>
    </w:p>
    <w:p>
      <w:pPr>
        <w:rPr>
          <w:rFonts w:ascii="宋体" w:cs="宋体"/>
          <w:color w:val="auto"/>
          <w:sz w:val="24"/>
          <w:highlight w:val="none"/>
        </w:rPr>
      </w:pPr>
    </w:p>
    <w:p>
      <w:pPr>
        <w:rPr>
          <w:color w:val="auto"/>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color w:val="auto"/>
          <w:highlight w:val="none"/>
        </w:rPr>
      </w:pPr>
    </w:p>
    <w:p>
      <w:pPr>
        <w:rPr>
          <w:color w:val="auto"/>
          <w:highlight w:val="none"/>
        </w:rPr>
      </w:pPr>
    </w:p>
    <w:p>
      <w:pPr>
        <w:pStyle w:val="3"/>
        <w:jc w:val="center"/>
        <w:rPr>
          <w:rFonts w:ascii="黑体" w:hAnsi="黑体" w:eastAsia="黑体"/>
          <w:b/>
          <w:color w:val="auto"/>
          <w:sz w:val="52"/>
          <w:szCs w:val="52"/>
          <w:highlight w:val="none"/>
        </w:rPr>
      </w:pPr>
      <w:bookmarkStart w:id="7" w:name="_Toc6375"/>
      <w:bookmarkStart w:id="8" w:name="_Toc9152"/>
      <w:r>
        <w:rPr>
          <w:rFonts w:hint="eastAsia" w:ascii="黑体" w:hAnsi="黑体" w:eastAsia="黑体"/>
          <w:b/>
          <w:color w:val="auto"/>
          <w:sz w:val="52"/>
          <w:szCs w:val="52"/>
          <w:highlight w:val="none"/>
        </w:rPr>
        <w:t>第一卷</w:t>
      </w:r>
      <w:bookmarkEnd w:id="7"/>
      <w:bookmarkEnd w:id="8"/>
    </w:p>
    <w:p>
      <w:pPr>
        <w:rPr>
          <w:color w:val="auto"/>
          <w:highlight w:val="none"/>
        </w:rPr>
      </w:pPr>
      <w:r>
        <w:rPr>
          <w:color w:val="auto"/>
          <w:highlight w:val="none"/>
        </w:rPr>
        <w:br w:type="page"/>
      </w:r>
    </w:p>
    <w:p>
      <w:pPr>
        <w:rPr>
          <w:rFonts w:ascii="宋体" w:cs="宋体"/>
          <w:color w:val="auto"/>
          <w:sz w:val="24"/>
          <w:highlight w:val="none"/>
        </w:rPr>
      </w:pPr>
    </w:p>
    <w:p>
      <w:pPr>
        <w:rPr>
          <w:color w:val="auto"/>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color w:val="auto"/>
          <w:highlight w:val="none"/>
        </w:rPr>
      </w:pPr>
    </w:p>
    <w:p>
      <w:pPr>
        <w:rPr>
          <w:color w:val="auto"/>
          <w:highlight w:val="none"/>
        </w:rPr>
      </w:pPr>
    </w:p>
    <w:p>
      <w:pPr>
        <w:pStyle w:val="2"/>
        <w:rPr>
          <w:rFonts w:ascii="方正姚体" w:eastAsia="方正姚体"/>
          <w:color w:val="auto"/>
          <w:sz w:val="52"/>
          <w:szCs w:val="52"/>
          <w:highlight w:val="none"/>
        </w:rPr>
      </w:pPr>
    </w:p>
    <w:p>
      <w:pPr>
        <w:pStyle w:val="4"/>
        <w:numPr>
          <w:ilvl w:val="0"/>
          <w:numId w:val="0"/>
        </w:numPr>
        <w:spacing w:line="360" w:lineRule="auto"/>
        <w:rPr>
          <w:rFonts w:ascii="方正姚体" w:hAnsi="宋体" w:eastAsia="方正姚体"/>
          <w:color w:val="auto"/>
          <w:sz w:val="52"/>
          <w:szCs w:val="52"/>
          <w:highlight w:val="none"/>
        </w:rPr>
      </w:pPr>
      <w:bookmarkStart w:id="9" w:name="_Toc6488"/>
      <w:bookmarkStart w:id="10" w:name="_Toc227765633"/>
      <w:bookmarkStart w:id="11" w:name="_Toc19132"/>
      <w:r>
        <w:rPr>
          <w:rFonts w:hint="eastAsia" w:ascii="方正姚体" w:hAnsi="宋体" w:eastAsia="方正姚体"/>
          <w:b/>
          <w:bCs/>
          <w:color w:val="auto"/>
          <w:sz w:val="52"/>
          <w:szCs w:val="52"/>
          <w:highlight w:val="none"/>
        </w:rPr>
        <w:t>第一章招标公告</w:t>
      </w:r>
      <w:bookmarkEnd w:id="9"/>
      <w:bookmarkEnd w:id="10"/>
      <w:bookmarkEnd w:id="11"/>
    </w:p>
    <w:p>
      <w:pPr>
        <w:wordWrap w:val="0"/>
        <w:spacing w:line="360" w:lineRule="auto"/>
        <w:jc w:val="center"/>
        <w:rPr>
          <w:color w:val="auto"/>
          <w:highlight w:val="none"/>
        </w:rPr>
      </w:pPr>
      <w:r>
        <w:rPr>
          <w:color w:val="auto"/>
          <w:highlight w:val="none"/>
        </w:rPr>
        <w:br w:type="page"/>
      </w:r>
      <w:r>
        <w:rPr>
          <w:rFonts w:hint="eastAsia"/>
          <w:color w:val="auto"/>
          <w:highlight w:val="none"/>
        </w:rPr>
        <w:t xml:space="preserve"> </w:t>
      </w:r>
    </w:p>
    <w:p>
      <w:pPr>
        <w:wordWrap w:val="0"/>
        <w:spacing w:line="360" w:lineRule="auto"/>
        <w:jc w:val="center"/>
        <w:rPr>
          <w:rFonts w:hint="eastAsia" w:eastAsia="宋体"/>
          <w:b/>
          <w:color w:val="auto"/>
          <w:sz w:val="28"/>
          <w:szCs w:val="28"/>
          <w:highlight w:val="none"/>
          <w:lang w:eastAsia="zh-CN"/>
        </w:rPr>
      </w:pPr>
      <w:bookmarkStart w:id="174" w:name="_GoBack"/>
      <w:r>
        <w:rPr>
          <w:rFonts w:hint="eastAsia"/>
          <w:color w:val="auto"/>
          <w:highlight w:val="none"/>
        </w:rPr>
        <w:t xml:space="preserve">  </w:t>
      </w:r>
      <w:r>
        <w:rPr>
          <w:rFonts w:hint="eastAsia" w:eastAsia="黑体"/>
          <w:b/>
          <w:color w:val="auto"/>
          <w:sz w:val="28"/>
          <w:szCs w:val="28"/>
          <w:highlight w:val="none"/>
          <w:lang w:eastAsia="zh-CN"/>
        </w:rPr>
        <w:t>新花大道（花都大道-迎宾大道）工程第三方检测监测（第3标段）</w:t>
      </w:r>
    </w:p>
    <w:p>
      <w:pPr>
        <w:wordWrap w:val="0"/>
        <w:spacing w:line="360" w:lineRule="auto"/>
        <w:jc w:val="center"/>
        <w:rPr>
          <w:rFonts w:eastAsia="黑体"/>
          <w:b/>
          <w:color w:val="auto"/>
          <w:sz w:val="28"/>
          <w:szCs w:val="28"/>
          <w:highlight w:val="none"/>
        </w:rPr>
      </w:pPr>
      <w:r>
        <w:rPr>
          <w:rFonts w:hint="eastAsia" w:eastAsia="黑体"/>
          <w:b/>
          <w:color w:val="auto"/>
          <w:sz w:val="28"/>
          <w:szCs w:val="28"/>
          <w:highlight w:val="none"/>
        </w:rPr>
        <w:t>招标公告</w:t>
      </w:r>
      <w:bookmarkStart w:id="12" w:name="_Toc350430764"/>
      <w:bookmarkStart w:id="13" w:name="_Toc144974394"/>
      <w:bookmarkStart w:id="14" w:name="_Toc179715683"/>
      <w:bookmarkStart w:id="15" w:name="_Toc152047191"/>
      <w:bookmarkStart w:id="16" w:name="_Toc236796538"/>
      <w:bookmarkStart w:id="17" w:name="_Toc238956080"/>
      <w:bookmarkStart w:id="18" w:name="_Toc350430858"/>
      <w:bookmarkStart w:id="19" w:name="_Toc255458081"/>
    </w:p>
    <w:p>
      <w:pPr>
        <w:wordWrap w:val="0"/>
        <w:jc w:val="center"/>
        <w:rPr>
          <w:rFonts w:eastAsia="黑体"/>
          <w:color w:val="auto"/>
          <w:sz w:val="28"/>
          <w:szCs w:val="28"/>
          <w:highlight w:val="none"/>
        </w:rPr>
      </w:pPr>
    </w:p>
    <w:p>
      <w:pPr>
        <w:pStyle w:val="309"/>
        <w:tabs>
          <w:tab w:val="clear" w:pos="435"/>
        </w:tabs>
        <w:wordWrap w:val="0"/>
        <w:adjustRightInd w:val="0"/>
        <w:spacing w:line="360" w:lineRule="auto"/>
        <w:outlineLvl w:val="2"/>
        <w:rPr>
          <w:rFonts w:asciiTheme="minorEastAsia" w:hAnsiTheme="minorEastAsia" w:eastAsiaTheme="minorEastAsia" w:cstheme="minorEastAsia"/>
          <w:color w:val="auto"/>
          <w:sz w:val="24"/>
          <w:szCs w:val="24"/>
          <w:highlight w:val="none"/>
        </w:rPr>
      </w:pPr>
      <w:bookmarkStart w:id="20" w:name="_Toc29938"/>
      <w:bookmarkStart w:id="21" w:name="_Toc5732"/>
      <w:bookmarkStart w:id="22" w:name="_Toc19493"/>
      <w:bookmarkStart w:id="23" w:name="_Toc7788"/>
      <w:bookmarkStart w:id="24" w:name="_Toc2924"/>
      <w:r>
        <w:rPr>
          <w:rFonts w:hint="eastAsia" w:asciiTheme="minorEastAsia" w:hAnsiTheme="minorEastAsia" w:eastAsiaTheme="minorEastAsia" w:cstheme="minorEastAsia"/>
          <w:b/>
          <w:bCs/>
          <w:color w:val="auto"/>
          <w:sz w:val="24"/>
          <w:szCs w:val="24"/>
          <w:highlight w:val="none"/>
        </w:rPr>
        <w:t>1.招</w:t>
      </w:r>
      <w:r>
        <w:rPr>
          <w:rFonts w:hint="eastAsia" w:asciiTheme="minorEastAsia" w:hAnsiTheme="minorEastAsia" w:eastAsiaTheme="minorEastAsia" w:cstheme="minorEastAsia"/>
          <w:b/>
          <w:color w:val="auto"/>
          <w:sz w:val="24"/>
          <w:szCs w:val="24"/>
          <w:highlight w:val="none"/>
        </w:rPr>
        <w:t>标条件</w:t>
      </w:r>
      <w:bookmarkEnd w:id="12"/>
      <w:bookmarkEnd w:id="13"/>
      <w:bookmarkEnd w:id="14"/>
      <w:bookmarkEnd w:id="15"/>
      <w:bookmarkEnd w:id="16"/>
      <w:bookmarkEnd w:id="17"/>
      <w:bookmarkEnd w:id="18"/>
      <w:bookmarkEnd w:id="19"/>
      <w:bookmarkEnd w:id="20"/>
      <w:bookmarkEnd w:id="21"/>
      <w:bookmarkEnd w:id="22"/>
      <w:bookmarkEnd w:id="23"/>
      <w:bookmarkEnd w:id="24"/>
    </w:p>
    <w:p>
      <w:pPr>
        <w:widowControl/>
        <w:wordWrap w:val="0"/>
        <w:autoSpaceDE w:val="0"/>
        <w:autoSpaceDN w:val="0"/>
        <w:adjustRightInd w:val="0"/>
        <w:spacing w:line="360" w:lineRule="auto"/>
        <w:ind w:right="-97"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本招标项目</w:t>
      </w:r>
      <w:r>
        <w:rPr>
          <w:rFonts w:hint="eastAsia" w:asciiTheme="minorEastAsia" w:hAnsiTheme="minorEastAsia" w:eastAsiaTheme="minorEastAsia" w:cstheme="minorEastAsia"/>
          <w:color w:val="auto"/>
          <w:sz w:val="24"/>
          <w:highlight w:val="none"/>
          <w:u w:val="single"/>
          <w:lang w:eastAsia="zh-CN"/>
        </w:rPr>
        <w:t>新花大道（花都大道-迎宾大道）工程</w:t>
      </w:r>
      <w:r>
        <w:rPr>
          <w:rFonts w:hint="eastAsia" w:asciiTheme="minorEastAsia" w:hAnsiTheme="minorEastAsia" w:eastAsiaTheme="minorEastAsia" w:cstheme="minorEastAsia"/>
          <w:color w:val="auto"/>
          <w:sz w:val="24"/>
          <w:highlight w:val="none"/>
        </w:rPr>
        <w:t>已由</w:t>
      </w:r>
      <w:r>
        <w:rPr>
          <w:rFonts w:hint="eastAsia" w:asciiTheme="minorEastAsia" w:hAnsiTheme="minorEastAsia" w:eastAsiaTheme="minorEastAsia" w:cstheme="minorEastAsia"/>
          <w:bCs/>
          <w:color w:val="auto"/>
          <w:sz w:val="24"/>
          <w:highlight w:val="none"/>
          <w:u w:val="single"/>
          <w:lang w:eastAsia="zh-CN"/>
        </w:rPr>
        <w:t>广州市发展和改革委员会</w:t>
      </w:r>
      <w:r>
        <w:rPr>
          <w:rFonts w:hint="eastAsia" w:asciiTheme="minorEastAsia" w:hAnsiTheme="minorEastAsia" w:eastAsiaTheme="minorEastAsia" w:cstheme="minorEastAsia"/>
          <w:bCs/>
          <w:color w:val="auto"/>
          <w:sz w:val="24"/>
          <w:highlight w:val="none"/>
        </w:rPr>
        <w:t>以</w:t>
      </w:r>
      <w:r>
        <w:rPr>
          <w:rFonts w:hint="eastAsia" w:asciiTheme="minorEastAsia" w:hAnsiTheme="minorEastAsia" w:eastAsiaTheme="minorEastAsia" w:cstheme="minorEastAsia"/>
          <w:bCs/>
          <w:color w:val="auto"/>
          <w:sz w:val="24"/>
          <w:highlight w:val="none"/>
          <w:u w:val="single"/>
        </w:rPr>
        <w:t>穗</w:t>
      </w:r>
      <w:r>
        <w:rPr>
          <w:rFonts w:hint="eastAsia" w:asciiTheme="minorEastAsia" w:hAnsiTheme="minorEastAsia" w:eastAsiaTheme="minorEastAsia" w:cstheme="minorEastAsia"/>
          <w:bCs/>
          <w:color w:val="auto"/>
          <w:sz w:val="24"/>
          <w:highlight w:val="none"/>
          <w:u w:val="single"/>
          <w:lang w:eastAsia="zh-CN"/>
        </w:rPr>
        <w:t>发改批</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u w:val="single"/>
          <w:lang w:val="en-US" w:eastAsia="zh-CN"/>
        </w:rPr>
        <w:t>2021</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u w:val="single"/>
          <w:lang w:val="en-US" w:eastAsia="zh-CN"/>
        </w:rPr>
        <w:t>111</w:t>
      </w:r>
      <w:r>
        <w:rPr>
          <w:rFonts w:hint="eastAsia" w:asciiTheme="minorEastAsia" w:hAnsiTheme="minorEastAsia" w:eastAsiaTheme="minorEastAsia" w:cstheme="minorEastAsia"/>
          <w:bCs/>
          <w:color w:val="auto"/>
          <w:sz w:val="24"/>
          <w:highlight w:val="none"/>
          <w:u w:val="single"/>
        </w:rPr>
        <w:t>号</w:t>
      </w:r>
      <w:r>
        <w:rPr>
          <w:rFonts w:hint="eastAsia" w:asciiTheme="minorEastAsia" w:hAnsiTheme="minorEastAsia" w:eastAsiaTheme="minorEastAsia" w:cstheme="minorEastAsia"/>
          <w:color w:val="auto"/>
          <w:sz w:val="24"/>
          <w:highlight w:val="none"/>
        </w:rPr>
        <w:t>批准建设，项目业主为</w:t>
      </w:r>
      <w:r>
        <w:rPr>
          <w:rFonts w:hint="eastAsia" w:asciiTheme="minorEastAsia" w:hAnsiTheme="minorEastAsia" w:eastAsiaTheme="minorEastAsia" w:cstheme="minorEastAsia"/>
          <w:color w:val="auto"/>
          <w:sz w:val="24"/>
          <w:highlight w:val="none"/>
          <w:u w:val="single"/>
        </w:rPr>
        <w:t>广州市花都区交通运输局</w:t>
      </w:r>
      <w:r>
        <w:rPr>
          <w:rFonts w:hint="eastAsia" w:asciiTheme="minorEastAsia" w:hAnsiTheme="minorEastAsia" w:eastAsiaTheme="minorEastAsia" w:cstheme="minorEastAsia"/>
          <w:color w:val="auto"/>
          <w:sz w:val="24"/>
          <w:highlight w:val="none"/>
        </w:rPr>
        <w:t>，建设资金来自</w:t>
      </w:r>
      <w:r>
        <w:rPr>
          <w:rFonts w:hint="eastAsia" w:asciiTheme="minorEastAsia" w:hAnsiTheme="minorEastAsia" w:eastAsiaTheme="minorEastAsia" w:cstheme="minorEastAsia"/>
          <w:color w:val="auto"/>
          <w:sz w:val="24"/>
          <w:highlight w:val="none"/>
          <w:u w:val="single"/>
        </w:rPr>
        <w:t>财政资金</w:t>
      </w:r>
      <w:r>
        <w:rPr>
          <w:rFonts w:hint="eastAsia" w:asciiTheme="minorEastAsia" w:hAnsiTheme="minorEastAsia" w:eastAsiaTheme="minorEastAsia" w:cstheme="minorEastAsia"/>
          <w:color w:val="auto"/>
          <w:sz w:val="24"/>
          <w:highlight w:val="none"/>
        </w:rPr>
        <w:t>，出资比例为</w:t>
      </w:r>
      <w:r>
        <w:rPr>
          <w:rFonts w:hint="eastAsia" w:asciiTheme="minorEastAsia" w:hAnsiTheme="minorEastAsia" w:eastAsiaTheme="minorEastAsia" w:cstheme="minorEastAsia"/>
          <w:color w:val="auto"/>
          <w:sz w:val="24"/>
          <w:highlight w:val="none"/>
          <w:u w:val="single"/>
        </w:rPr>
        <w:t>100%</w:t>
      </w:r>
      <w:r>
        <w:rPr>
          <w:rFonts w:hint="eastAsia" w:asciiTheme="minorEastAsia" w:hAnsiTheme="minorEastAsia" w:eastAsiaTheme="minorEastAsia" w:cstheme="minorEastAsia"/>
          <w:color w:val="auto"/>
          <w:sz w:val="24"/>
          <w:highlight w:val="none"/>
        </w:rPr>
        <w:t>，招标人为</w:t>
      </w:r>
      <w:r>
        <w:rPr>
          <w:rFonts w:hint="eastAsia" w:asciiTheme="minorEastAsia" w:hAnsiTheme="minorEastAsia" w:eastAsiaTheme="minorEastAsia" w:cstheme="minorEastAsia"/>
          <w:color w:val="auto"/>
          <w:sz w:val="24"/>
          <w:highlight w:val="none"/>
          <w:u w:val="single"/>
        </w:rPr>
        <w:t>广州市花都区交通运输局</w:t>
      </w:r>
      <w:r>
        <w:rPr>
          <w:rFonts w:hint="eastAsia" w:asciiTheme="minorEastAsia" w:hAnsiTheme="minorEastAsia" w:eastAsiaTheme="minorEastAsia" w:cstheme="minorEastAsia"/>
          <w:color w:val="auto"/>
          <w:sz w:val="24"/>
          <w:highlight w:val="none"/>
        </w:rPr>
        <w:t>（以下简称“招标人”）。项目已具备招标条件，现对</w:t>
      </w:r>
      <w:r>
        <w:rPr>
          <w:rFonts w:hint="eastAsia" w:asciiTheme="minorEastAsia" w:hAnsiTheme="minorEastAsia" w:eastAsiaTheme="minorEastAsia" w:cstheme="minorEastAsia"/>
          <w:color w:val="auto"/>
          <w:sz w:val="24"/>
          <w:highlight w:val="none"/>
          <w:lang w:eastAsia="zh-CN"/>
        </w:rPr>
        <w:t>新花大道（花都大道-迎宾大道）工程第三方检测监测（第3标段）</w:t>
      </w:r>
      <w:r>
        <w:rPr>
          <w:rFonts w:hint="eastAsia" w:asciiTheme="minorEastAsia" w:hAnsiTheme="minorEastAsia" w:eastAsiaTheme="minorEastAsia" w:cstheme="minorEastAsia"/>
          <w:color w:val="auto"/>
          <w:sz w:val="24"/>
          <w:highlight w:val="none"/>
        </w:rPr>
        <w:t>进行公开招标。</w:t>
      </w:r>
    </w:p>
    <w:p>
      <w:pPr>
        <w:pStyle w:val="309"/>
        <w:tabs>
          <w:tab w:val="clear" w:pos="435"/>
        </w:tabs>
        <w:wordWrap w:val="0"/>
        <w:adjustRightInd w:val="0"/>
        <w:spacing w:line="360" w:lineRule="auto"/>
        <w:outlineLvl w:val="2"/>
        <w:rPr>
          <w:rFonts w:asciiTheme="minorEastAsia" w:hAnsiTheme="minorEastAsia" w:eastAsiaTheme="minorEastAsia" w:cstheme="minorEastAsia"/>
          <w:b/>
          <w:color w:val="auto"/>
          <w:sz w:val="24"/>
          <w:szCs w:val="24"/>
          <w:highlight w:val="none"/>
        </w:rPr>
      </w:pPr>
      <w:bookmarkStart w:id="25" w:name="_Toc10948"/>
      <w:bookmarkStart w:id="26" w:name="_Toc7913"/>
      <w:bookmarkStart w:id="27" w:name="_Toc11341"/>
      <w:bookmarkStart w:id="28" w:name="_Toc15647"/>
      <w:bookmarkStart w:id="29" w:name="_Toc25283"/>
      <w:r>
        <w:rPr>
          <w:rFonts w:hint="eastAsia" w:asciiTheme="minorEastAsia" w:hAnsiTheme="minorEastAsia" w:eastAsiaTheme="minorEastAsia" w:cstheme="minorEastAsia"/>
          <w:b/>
          <w:color w:val="auto"/>
          <w:sz w:val="24"/>
          <w:szCs w:val="24"/>
          <w:highlight w:val="none"/>
        </w:rPr>
        <w:t>2.项目概况及招标范围</w:t>
      </w:r>
      <w:bookmarkEnd w:id="25"/>
      <w:bookmarkEnd w:id="26"/>
      <w:bookmarkEnd w:id="27"/>
      <w:bookmarkEnd w:id="28"/>
      <w:bookmarkEnd w:id="29"/>
    </w:p>
    <w:p>
      <w:pPr>
        <w:wordWrap w:val="0"/>
        <w:adjustRightInd w:val="0"/>
        <w:spacing w:line="360" w:lineRule="auto"/>
        <w:ind w:firstLine="361" w:firstLineChars="150"/>
        <w:rPr>
          <w:b/>
          <w:bCs/>
          <w:color w:val="auto"/>
          <w:sz w:val="24"/>
          <w:highlight w:val="none"/>
        </w:rPr>
      </w:pPr>
      <w:r>
        <w:rPr>
          <w:b/>
          <w:bCs/>
          <w:color w:val="auto"/>
          <w:sz w:val="24"/>
          <w:highlight w:val="none"/>
        </w:rPr>
        <w:t>2.1</w:t>
      </w:r>
      <w:r>
        <w:rPr>
          <w:rFonts w:hint="eastAsia" w:hAnsi="宋体"/>
          <w:b/>
          <w:bCs/>
          <w:color w:val="auto"/>
          <w:sz w:val="24"/>
          <w:highlight w:val="none"/>
        </w:rPr>
        <w:t>项目概况</w:t>
      </w:r>
    </w:p>
    <w:p>
      <w:pPr>
        <w:widowControl/>
        <w:wordWrap w:val="0"/>
        <w:autoSpaceDE w:val="0"/>
        <w:autoSpaceDN w:val="0"/>
        <w:adjustRightInd w:val="0"/>
        <w:spacing w:line="360" w:lineRule="auto"/>
        <w:ind w:right="-97" w:firstLine="480" w:firstLineChars="200"/>
        <w:jc w:val="both"/>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2.1.1项目名称：</w:t>
      </w:r>
      <w:r>
        <w:rPr>
          <w:rFonts w:hint="eastAsia" w:asciiTheme="minorEastAsia" w:hAnsiTheme="minorEastAsia" w:eastAsiaTheme="minorEastAsia" w:cstheme="minorEastAsia"/>
          <w:color w:val="auto"/>
          <w:sz w:val="24"/>
          <w:highlight w:val="none"/>
          <w:u w:val="single"/>
          <w:lang w:eastAsia="zh-CN"/>
        </w:rPr>
        <w:t>新花大道（花都大道-迎宾大道）工程第三方检测监测（第3标段）</w:t>
      </w:r>
    </w:p>
    <w:p>
      <w:pPr>
        <w:widowControl/>
        <w:wordWrap w:val="0"/>
        <w:autoSpaceDE w:val="0"/>
        <w:autoSpaceDN w:val="0"/>
        <w:adjustRightInd w:val="0"/>
        <w:spacing w:line="360" w:lineRule="auto"/>
        <w:ind w:right="-97" w:firstLine="480" w:firstLineChars="200"/>
        <w:jc w:val="both"/>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2.1.2项目建设规模：</w:t>
      </w:r>
      <w:r>
        <w:rPr>
          <w:rFonts w:hint="eastAsia" w:asciiTheme="minorEastAsia" w:hAnsiTheme="minorEastAsia" w:eastAsiaTheme="minorEastAsia" w:cstheme="minorEastAsia"/>
          <w:color w:val="auto"/>
          <w:sz w:val="24"/>
          <w:szCs w:val="24"/>
          <w:highlight w:val="none"/>
          <w:u w:val="none"/>
        </w:rPr>
        <w:t>项目位于花都区花山镇和空港经济区起步区交界处，呈南北走向，北起花都大道，南至迎宾大道，全长约8.65千米。</w:t>
      </w:r>
      <w:r>
        <w:rPr>
          <w:rFonts w:hint="eastAsia" w:asciiTheme="minorEastAsia" w:hAnsiTheme="minorEastAsia" w:eastAsiaTheme="minorEastAsia" w:cstheme="minorEastAsia"/>
          <w:color w:val="auto"/>
          <w:sz w:val="24"/>
          <w:szCs w:val="24"/>
          <w:highlight w:val="none"/>
          <w:u w:val="none"/>
          <w:lang w:val="en-US" w:eastAsia="zh-CN"/>
        </w:rPr>
        <w:t>规划为城市快速路，规划红线宽60米，近期</w:t>
      </w:r>
      <w:r>
        <w:rPr>
          <w:rFonts w:hint="eastAsia" w:asciiTheme="minorEastAsia" w:hAnsiTheme="minorEastAsia" w:eastAsiaTheme="minorEastAsia" w:cstheme="minorEastAsia"/>
          <w:color w:val="auto"/>
          <w:sz w:val="24"/>
          <w:szCs w:val="24"/>
          <w:highlight w:val="none"/>
          <w:u w:val="none"/>
        </w:rPr>
        <w:t>采用城市主干路</w:t>
      </w:r>
      <w:r>
        <w:rPr>
          <w:rFonts w:hint="eastAsia" w:asciiTheme="minorEastAsia" w:hAnsiTheme="minorEastAsia" w:eastAsiaTheme="minorEastAsia" w:cstheme="minorEastAsia"/>
          <w:color w:val="auto"/>
          <w:sz w:val="24"/>
          <w:szCs w:val="24"/>
          <w:highlight w:val="none"/>
          <w:u w:val="none"/>
          <w:lang w:val="en-US" w:eastAsia="zh-CN"/>
        </w:rPr>
        <w:t>快捷化</w:t>
      </w:r>
      <w:r>
        <w:rPr>
          <w:rFonts w:hint="eastAsia" w:asciiTheme="minorEastAsia" w:hAnsiTheme="minorEastAsia" w:eastAsiaTheme="minorEastAsia" w:cstheme="minorEastAsia"/>
          <w:color w:val="auto"/>
          <w:sz w:val="24"/>
          <w:szCs w:val="24"/>
          <w:highlight w:val="none"/>
          <w:u w:val="none"/>
        </w:rPr>
        <w:t>标准建设，标准路基段按51米红线实施，双向8车道</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设计速度为60千米/小时。项目全线包含路基段约4.25千米，6座立交（分别为：花都大道立交、平石路立交、三东大道立交、商业大道立交、清莲路立交及迎宾大道立交），3座跨河涌桥以及6座人行天桥</w:t>
      </w:r>
      <w:r>
        <w:rPr>
          <w:rFonts w:hint="eastAsia" w:asciiTheme="minorEastAsia" w:hAnsiTheme="minorEastAsia" w:eastAsiaTheme="minorEastAsia" w:cstheme="minorEastAsia"/>
          <w:color w:val="auto"/>
          <w:sz w:val="24"/>
          <w:szCs w:val="24"/>
          <w:highlight w:val="none"/>
          <w:u w:val="none"/>
          <w:lang w:eastAsia="zh-CN"/>
        </w:rPr>
        <w:t>。涉及专业：道路工程、桥梁工程、交通工程(包含交通疏解)、排水工程、照明工程、电力管沟工程、绿化工程等</w:t>
      </w:r>
      <w:r>
        <w:rPr>
          <w:rFonts w:hint="eastAsia" w:asciiTheme="minorEastAsia" w:hAnsiTheme="minorEastAsia" w:eastAsiaTheme="minorEastAsia" w:cstheme="minorEastAsia"/>
          <w:color w:val="auto"/>
          <w:sz w:val="24"/>
          <w:szCs w:val="24"/>
          <w:highlight w:val="none"/>
          <w:u w:val="none"/>
        </w:rPr>
        <w:t>。本次</w:t>
      </w:r>
      <w:r>
        <w:rPr>
          <w:rFonts w:hint="eastAsia" w:asciiTheme="minorEastAsia" w:hAnsiTheme="minorEastAsia" w:eastAsiaTheme="minorEastAsia" w:cstheme="minorEastAsia"/>
          <w:color w:val="auto"/>
          <w:sz w:val="24"/>
          <w:szCs w:val="24"/>
          <w:highlight w:val="none"/>
          <w:u w:val="none"/>
          <w:lang w:eastAsia="zh-CN"/>
        </w:rPr>
        <w:t>第三方检测监测</w:t>
      </w:r>
      <w:r>
        <w:rPr>
          <w:rFonts w:hint="eastAsia" w:asciiTheme="minorEastAsia" w:hAnsiTheme="minorEastAsia" w:eastAsiaTheme="minorEastAsia" w:cstheme="minorEastAsia"/>
          <w:color w:val="auto"/>
          <w:sz w:val="24"/>
          <w:szCs w:val="24"/>
          <w:highlight w:val="none"/>
          <w:u w:val="none"/>
        </w:rPr>
        <w:t>招标范围为</w:t>
      </w:r>
      <w:r>
        <w:rPr>
          <w:rFonts w:hint="eastAsia" w:asciiTheme="minorEastAsia" w:hAnsiTheme="minorEastAsia" w:eastAsiaTheme="minorEastAsia" w:cstheme="minorEastAsia"/>
          <w:color w:val="auto"/>
          <w:sz w:val="24"/>
          <w:highlight w:val="none"/>
        </w:rPr>
        <w:t>K2+600</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u w:val="none"/>
        </w:rPr>
        <w:t>K</w:t>
      </w:r>
      <w:r>
        <w:rPr>
          <w:rFonts w:hint="eastAsia" w:asciiTheme="minorEastAsia" w:hAnsiTheme="minorEastAsia" w:eastAsiaTheme="minorEastAsia" w:cstheme="minorEastAsia"/>
          <w:color w:val="auto"/>
          <w:sz w:val="24"/>
          <w:szCs w:val="24"/>
          <w:highlight w:val="none"/>
          <w:u w:val="none"/>
          <w:lang w:val="en-US" w:eastAsia="zh-CN"/>
        </w:rPr>
        <w:t>7</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rPr>
        <w:t>00。</w:t>
      </w:r>
    </w:p>
    <w:p>
      <w:pPr>
        <w:wordWrap w:val="0"/>
        <w:spacing w:line="360" w:lineRule="auto"/>
        <w:ind w:firstLine="480" w:firstLineChars="200"/>
        <w:rPr>
          <w:rFonts w:hint="eastAsia" w:ascii="宋体" w:hAnsi="宋体" w:cs="宋体"/>
          <w:color w:val="auto"/>
          <w:sz w:val="24"/>
          <w:highlight w:val="none"/>
          <w:u w:val="single"/>
        </w:rPr>
      </w:pPr>
      <w:r>
        <w:rPr>
          <w:rFonts w:hint="eastAsia" w:asciiTheme="minorEastAsia" w:hAnsiTheme="minorEastAsia" w:eastAsiaTheme="minorEastAsia" w:cstheme="minorEastAsia"/>
          <w:color w:val="auto"/>
          <w:sz w:val="24"/>
          <w:highlight w:val="none"/>
        </w:rPr>
        <w:t>2.1.3</w:t>
      </w:r>
      <w:r>
        <w:rPr>
          <w:rFonts w:hint="eastAsia" w:ascii="宋体" w:hAnsi="宋体" w:cs="宋体"/>
          <w:b/>
          <w:color w:val="auto"/>
          <w:sz w:val="24"/>
          <w:highlight w:val="none"/>
        </w:rPr>
        <w:t>工程建设地点：</w:t>
      </w:r>
      <w:r>
        <w:rPr>
          <w:rFonts w:hint="eastAsia" w:ascii="宋体" w:hAnsi="宋体" w:cs="宋体"/>
          <w:color w:val="auto"/>
          <w:sz w:val="24"/>
          <w:highlight w:val="none"/>
          <w:u w:val="single"/>
        </w:rPr>
        <w:t>广州市花都区。</w:t>
      </w:r>
    </w:p>
    <w:p>
      <w:pPr>
        <w:widowControl/>
        <w:wordWrap w:val="0"/>
        <w:autoSpaceDE/>
        <w:autoSpaceDN/>
        <w:adjustRightInd/>
        <w:spacing w:line="360" w:lineRule="auto"/>
        <w:ind w:right="0" w:firstLine="480" w:firstLineChars="200"/>
        <w:jc w:val="left"/>
        <w:rPr>
          <w:rFonts w:hint="eastAsia" w:hAnsi="宋体" w:eastAsia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lang w:val="en-US" w:eastAsia="zh-CN"/>
        </w:rPr>
        <w:t>4</w:t>
      </w:r>
      <w:r>
        <w:rPr>
          <w:rFonts w:hint="eastAsia" w:ascii="宋体" w:hAnsi="宋体" w:cs="宋体"/>
          <w:b/>
          <w:color w:val="auto"/>
          <w:sz w:val="24"/>
          <w:highlight w:val="none"/>
        </w:rPr>
        <w:t>工程概算/建筑安装工程费：</w:t>
      </w:r>
      <w:r>
        <w:rPr>
          <w:rFonts w:hint="eastAsia" w:asciiTheme="minorEastAsia" w:hAnsiTheme="minorEastAsia" w:eastAsiaTheme="minorEastAsia" w:cstheme="minorEastAsia"/>
          <w:color w:val="auto"/>
          <w:sz w:val="24"/>
          <w:highlight w:val="none"/>
        </w:rPr>
        <w:t>项目总投资估算</w:t>
      </w:r>
      <w:r>
        <w:rPr>
          <w:rFonts w:hint="eastAsia" w:asciiTheme="minorEastAsia" w:hAnsiTheme="minorEastAsia" w:eastAsiaTheme="minorEastAsia" w:cstheme="minorEastAsia"/>
          <w:color w:val="auto"/>
          <w:sz w:val="24"/>
          <w:highlight w:val="none"/>
          <w:lang w:val="en-US" w:eastAsia="zh-CN"/>
        </w:rPr>
        <w:t>261591.67万元，其中第3标段的工程费</w:t>
      </w:r>
      <w:r>
        <w:rPr>
          <w:rFonts w:hint="eastAsia" w:asciiTheme="minorEastAsia" w:hAnsiTheme="minorEastAsia" w:eastAsiaTheme="minorEastAsia" w:cstheme="minorEastAsia"/>
          <w:color w:val="auto"/>
          <w:sz w:val="24"/>
          <w:highlight w:val="none"/>
          <w:lang w:val="en-US" w:eastAsia="zh-CN"/>
        </w:rPr>
        <w:t>92711</w:t>
      </w:r>
      <w:r>
        <w:rPr>
          <w:rFonts w:hint="eastAsia" w:asciiTheme="minorEastAsia" w:hAnsiTheme="minorEastAsia" w:eastAsiaTheme="minorEastAsia" w:cstheme="minorEastAsia"/>
          <w:color w:val="auto"/>
          <w:sz w:val="24"/>
          <w:highlight w:val="none"/>
          <w:lang w:val="en-US" w:eastAsia="zh-CN"/>
        </w:rPr>
        <w:t>万</w:t>
      </w:r>
      <w:r>
        <w:rPr>
          <w:rFonts w:hint="eastAsia" w:asciiTheme="minorEastAsia" w:hAnsiTheme="minorEastAsia" w:eastAsiaTheme="minorEastAsia" w:cstheme="minorEastAsia"/>
          <w:color w:val="auto"/>
          <w:sz w:val="24"/>
          <w:highlight w:val="none"/>
        </w:rPr>
        <w:t>元</w:t>
      </w:r>
      <w:r>
        <w:rPr>
          <w:rFonts w:hint="eastAsia" w:asciiTheme="minorEastAsia" w:hAnsiTheme="minorEastAsia" w:eastAsiaTheme="minorEastAsia" w:cstheme="minorEastAsia"/>
          <w:color w:val="auto"/>
          <w:sz w:val="24"/>
          <w:highlight w:val="none"/>
          <w:lang w:eastAsia="zh-CN"/>
        </w:rPr>
        <w:t>。</w:t>
      </w:r>
    </w:p>
    <w:p>
      <w:pPr>
        <w:wordWrap w:val="0"/>
        <w:adjustRightInd w:val="0"/>
        <w:spacing w:line="360" w:lineRule="auto"/>
        <w:ind w:firstLine="361" w:firstLineChars="150"/>
        <w:rPr>
          <w:b/>
          <w:color w:val="auto"/>
          <w:sz w:val="24"/>
          <w:highlight w:val="none"/>
        </w:rPr>
      </w:pPr>
      <w:r>
        <w:rPr>
          <w:b/>
          <w:color w:val="auto"/>
          <w:sz w:val="24"/>
          <w:highlight w:val="none"/>
        </w:rPr>
        <w:t>2.2</w:t>
      </w:r>
      <w:r>
        <w:rPr>
          <w:rFonts w:hint="eastAsia" w:hAnsi="宋体"/>
          <w:b/>
          <w:color w:val="auto"/>
          <w:sz w:val="24"/>
          <w:highlight w:val="none"/>
        </w:rPr>
        <w:t>招标内容</w:t>
      </w:r>
    </w:p>
    <w:p>
      <w:pPr>
        <w:shd w:val="clear" w:color="auto" w:fill="FFFFFF"/>
        <w:snapToGrid w:val="0"/>
        <w:spacing w:line="360" w:lineRule="auto"/>
        <w:ind w:firstLine="480" w:firstLineChars="200"/>
        <w:outlineLvl w:val="0"/>
        <w:rPr>
          <w:rFonts w:ascii="宋体" w:hAnsi="宋体"/>
          <w:color w:val="auto"/>
          <w:sz w:val="24"/>
          <w:highlight w:val="none"/>
        </w:rPr>
      </w:pPr>
      <w:r>
        <w:rPr>
          <w:rFonts w:hint="eastAsia" w:asciiTheme="minorEastAsia" w:hAnsiTheme="minorEastAsia" w:eastAsiaTheme="minorEastAsia" w:cstheme="minorEastAsia"/>
          <w:color w:val="auto"/>
          <w:sz w:val="24"/>
          <w:highlight w:val="none"/>
        </w:rPr>
        <w:t>2.2.1标段划分：本次招标分为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1</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个标段。</w:t>
      </w:r>
    </w:p>
    <w:p>
      <w:pPr>
        <w:shd w:val="clear" w:color="auto" w:fill="FFFFFF"/>
        <w:snapToGrid w:val="0"/>
        <w:spacing w:line="360" w:lineRule="auto"/>
        <w:ind w:firstLine="480" w:firstLineChars="200"/>
        <w:outlineLvl w:val="0"/>
        <w:rPr>
          <w:rFonts w:hint="eastAsia" w:ascii="宋体" w:hAnsi="宋体"/>
          <w:color w:val="auto"/>
          <w:sz w:val="24"/>
          <w:highlight w:val="none"/>
        </w:rPr>
      </w:pPr>
      <w:r>
        <w:rPr>
          <w:rFonts w:hint="eastAsia" w:asciiTheme="minorEastAsia" w:hAnsiTheme="minorEastAsia" w:eastAsiaTheme="minorEastAsia" w:cstheme="minorEastAsia"/>
          <w:color w:val="auto"/>
          <w:sz w:val="24"/>
          <w:highlight w:val="none"/>
        </w:rPr>
        <w:t>2.2.2招标内容：</w:t>
      </w:r>
      <w:r>
        <w:rPr>
          <w:rFonts w:hint="eastAsia" w:ascii="宋体" w:hAnsi="宋体"/>
          <w:color w:val="auto"/>
          <w:sz w:val="24"/>
          <w:highlight w:val="none"/>
        </w:rPr>
        <w:t>本项目</w:t>
      </w:r>
      <w:r>
        <w:rPr>
          <w:rFonts w:hint="eastAsia" w:ascii="宋体" w:hAnsi="宋体"/>
          <w:color w:val="auto"/>
          <w:sz w:val="24"/>
          <w:highlight w:val="none"/>
          <w:lang w:val="en-US" w:eastAsia="zh-CN"/>
        </w:rPr>
        <w:t>的</w:t>
      </w:r>
      <w:r>
        <w:rPr>
          <w:rFonts w:hint="eastAsia" w:ascii="宋体" w:hAnsi="宋体"/>
          <w:color w:val="auto"/>
          <w:sz w:val="24"/>
          <w:highlight w:val="none"/>
          <w:lang w:eastAsia="zh-CN"/>
        </w:rPr>
        <w:t>第三方检测监测</w:t>
      </w:r>
      <w:r>
        <w:rPr>
          <w:rFonts w:hint="eastAsia" w:ascii="宋体" w:hAnsi="宋体"/>
          <w:color w:val="auto"/>
          <w:sz w:val="24"/>
          <w:highlight w:val="none"/>
        </w:rPr>
        <w:t>工作。</w:t>
      </w:r>
    </w:p>
    <w:p>
      <w:pPr>
        <w:shd w:val="clear" w:color="auto" w:fill="FFFFFF"/>
        <w:snapToGrid w:val="0"/>
        <w:spacing w:line="360" w:lineRule="auto"/>
        <w:ind w:firstLine="480" w:firstLineChars="200"/>
        <w:outlineLvl w:val="0"/>
        <w:rPr>
          <w:rFonts w:hint="eastAsia" w:ascii="宋体" w:hAnsi="宋体"/>
          <w:color w:val="auto"/>
          <w:sz w:val="24"/>
          <w:highlight w:val="none"/>
        </w:rPr>
      </w:pPr>
      <w:r>
        <w:rPr>
          <w:rFonts w:hint="eastAsia" w:ascii="宋体" w:hAnsi="宋体"/>
          <w:color w:val="auto"/>
          <w:sz w:val="24"/>
          <w:highlight w:val="none"/>
          <w:lang w:eastAsia="zh-CN"/>
        </w:rPr>
        <w:t>第三方检测监测</w:t>
      </w:r>
      <w:r>
        <w:rPr>
          <w:rFonts w:hint="eastAsia" w:ascii="宋体" w:hAnsi="宋体"/>
          <w:color w:val="auto"/>
          <w:sz w:val="24"/>
          <w:highlight w:val="none"/>
        </w:rPr>
        <w:t>的内容：</w:t>
      </w:r>
    </w:p>
    <w:p>
      <w:pPr>
        <w:shd w:val="clear" w:color="auto" w:fill="FFFFFF"/>
        <w:snapToGrid w:val="0"/>
        <w:spacing w:line="360" w:lineRule="auto"/>
        <w:ind w:firstLine="480" w:firstLineChars="200"/>
        <w:outlineLvl w:val="0"/>
        <w:rPr>
          <w:rFonts w:hint="eastAsia" w:ascii="宋体" w:hAnsi="宋体"/>
          <w:color w:val="auto"/>
          <w:sz w:val="24"/>
          <w:highlight w:val="none"/>
        </w:rPr>
      </w:pPr>
      <w:r>
        <w:rPr>
          <w:rFonts w:hint="eastAsia" w:ascii="宋体" w:hAnsi="宋体"/>
          <w:color w:val="auto"/>
          <w:sz w:val="24"/>
          <w:highlight w:val="none"/>
        </w:rPr>
        <w:t>（1）第三方检测服务主要包括为建设行政主管部门、监督部门要求的，由业主指定的具有质量监控作用的材料检测（包含简易土工试验、沥青试验等）、地基基础检测、主体结构工程现场检测、路基路面施工质量检测、室内土工试验、市政道路排水工程检测等项目，以及为工程验收提供依据的所需检测项目。</w:t>
      </w:r>
    </w:p>
    <w:p>
      <w:pPr>
        <w:shd w:val="clear" w:color="auto" w:fill="FFFFFF"/>
        <w:snapToGrid w:val="0"/>
        <w:spacing w:line="360" w:lineRule="auto"/>
        <w:ind w:firstLine="480" w:firstLineChars="200"/>
        <w:outlineLvl w:val="0"/>
        <w:rPr>
          <w:rFonts w:hint="eastAsia" w:ascii="宋体" w:hAnsi="宋体"/>
          <w:color w:val="auto"/>
          <w:sz w:val="24"/>
          <w:highlight w:val="none"/>
        </w:rPr>
      </w:pPr>
      <w:r>
        <w:rPr>
          <w:rFonts w:hint="eastAsia" w:ascii="宋体" w:hAnsi="宋体"/>
          <w:color w:val="auto"/>
          <w:sz w:val="24"/>
          <w:highlight w:val="none"/>
        </w:rPr>
        <w:t>（2）第三方监测服务主要包括建设工程主管部门、监督部门要求的，由业主公开招标选定的具有质量监控作用的基坑监测：水平位移、沉降、地下水位、深层水平位移等主要内容；高支模监测：水平位移、模板沉降、立杆压力等主要内容，以及为工程验收提供依据的所需监测项目服务。</w:t>
      </w:r>
    </w:p>
    <w:p>
      <w:pPr>
        <w:shd w:val="clear" w:color="auto" w:fill="FFFFFF"/>
        <w:snapToGrid w:val="0"/>
        <w:spacing w:line="360" w:lineRule="auto"/>
        <w:ind w:firstLine="480" w:firstLineChars="200"/>
        <w:outlineLvl w:val="0"/>
        <w:rPr>
          <w:rFonts w:hint="eastAsia" w:ascii="宋体" w:hAnsi="宋体"/>
          <w:color w:val="auto"/>
          <w:sz w:val="24"/>
          <w:highlight w:val="none"/>
        </w:rPr>
      </w:pPr>
      <w:r>
        <w:rPr>
          <w:rFonts w:hint="eastAsia" w:ascii="宋体" w:hAnsi="宋体"/>
          <w:color w:val="auto"/>
          <w:sz w:val="24"/>
          <w:highlight w:val="none"/>
        </w:rPr>
        <w:t>（3）服务范围除以上工程检测（监测）、试验工作外，还包括但不限于：①结合项目实际情况，编制检测（监测）方案，并确保检测（监测）方案符合有关规范要求及通过工程所在行政区域的相关建设行政主管部门和监督部门的审批，同时负责协调相关工作，保证技术成果能够通过相关部门认可，确保不因检测（监测）工作影响本工程项目的建设进度和竣工验收；②在进行检测（监测）服务过程中，与该工程相关的施工、监理、设计、咨询等相关单位及建设协调行政主管部门和监督部门协调，投标人需在投标报价中综合考虑该项协调工作费用。最终费用经财政部门评审后，若费用高于合同价的按合同价执行，低于合同价的按评审价执行。</w:t>
      </w:r>
    </w:p>
    <w:p>
      <w:pPr>
        <w:shd w:val="clear" w:color="auto" w:fill="FFFFFF"/>
        <w:snapToGrid w:val="0"/>
        <w:spacing w:line="360" w:lineRule="auto"/>
        <w:ind w:firstLine="480" w:firstLineChars="200"/>
        <w:outlineLvl w:val="0"/>
        <w:rPr>
          <w:color w:val="auto"/>
          <w:sz w:val="24"/>
          <w:highlight w:val="none"/>
        </w:rPr>
      </w:pPr>
      <w:r>
        <w:rPr>
          <w:rFonts w:hint="eastAsia" w:asciiTheme="minorEastAsia" w:hAnsiTheme="minorEastAsia" w:eastAsiaTheme="minorEastAsia" w:cstheme="minorEastAsia"/>
          <w:color w:val="auto"/>
          <w:sz w:val="24"/>
          <w:highlight w:val="none"/>
        </w:rPr>
        <w:t>服务期</w:t>
      </w:r>
      <w:r>
        <w:rPr>
          <w:rFonts w:hint="eastAsia" w:asciiTheme="minorEastAsia" w:hAnsiTheme="minorEastAsia" w:eastAsiaTheme="minorEastAsia" w:cstheme="minorEastAsia"/>
          <w:color w:val="auto"/>
          <w:sz w:val="24"/>
          <w:highlight w:val="none"/>
          <w:lang w:val="en-US" w:eastAsia="zh-CN"/>
        </w:rPr>
        <w:t>限</w:t>
      </w:r>
      <w:r>
        <w:rPr>
          <w:rFonts w:hint="eastAsia" w:asciiTheme="minorEastAsia" w:hAnsiTheme="minorEastAsia" w:eastAsiaTheme="minorEastAsia" w:cstheme="minorEastAsia"/>
          <w:color w:val="auto"/>
          <w:sz w:val="24"/>
          <w:highlight w:val="none"/>
        </w:rPr>
        <w:t>：</w:t>
      </w:r>
      <w:r>
        <w:rPr>
          <w:rFonts w:hint="eastAsia"/>
          <w:color w:val="auto"/>
          <w:sz w:val="24"/>
          <w:highlight w:val="none"/>
        </w:rPr>
        <w:t>从中标人进场至所有服务项目完成，服务周期必须满足实际施工要求。具体开工时间以招标人书面通知为准，因招标人原因或现场不具备作业条件，检测（监测）时间顺延。</w:t>
      </w:r>
    </w:p>
    <w:p>
      <w:pPr>
        <w:keepNext w:val="0"/>
        <w:keepLines w:val="0"/>
        <w:wordWrap w:val="0"/>
        <w:autoSpaceDE w:val="0"/>
        <w:autoSpaceDN w:val="0"/>
        <w:adjustRightInd w:val="0"/>
        <w:snapToGrid/>
        <w:spacing w:line="360" w:lineRule="auto"/>
        <w:ind w:firstLine="480" w:firstLineChars="200"/>
        <w:outlineLvl w:val="9"/>
        <w:rPr>
          <w:rFonts w:hint="eastAsia" w:asciiTheme="minorEastAsia" w:hAnsiTheme="minorEastAsia" w:eastAsiaTheme="minorEastAsia" w:cstheme="minorEastAsia"/>
          <w:b/>
          <w:color w:val="auto"/>
          <w:kern w:val="44"/>
          <w:sz w:val="24"/>
          <w:highlight w:val="none"/>
        </w:rPr>
      </w:pPr>
      <w:r>
        <w:rPr>
          <w:rFonts w:hint="eastAsia" w:asciiTheme="minorEastAsia" w:hAnsiTheme="minorEastAsia" w:eastAsiaTheme="minorEastAsia" w:cstheme="minorEastAsia"/>
          <w:color w:val="auto"/>
          <w:sz w:val="24"/>
          <w:highlight w:val="none"/>
          <w:lang w:eastAsia="zh-CN"/>
        </w:rPr>
        <w:t>第三方检测监测</w:t>
      </w:r>
      <w:r>
        <w:rPr>
          <w:rFonts w:hint="eastAsia" w:asciiTheme="minorEastAsia" w:hAnsiTheme="minorEastAsia" w:eastAsiaTheme="minorEastAsia" w:cstheme="minorEastAsia"/>
          <w:color w:val="auto"/>
          <w:sz w:val="24"/>
          <w:highlight w:val="none"/>
        </w:rPr>
        <w:t>最高投标限价：</w:t>
      </w:r>
      <w:r>
        <w:rPr>
          <w:rFonts w:hint="eastAsia" w:asciiTheme="minorEastAsia" w:hAnsiTheme="minorEastAsia" w:eastAsiaTheme="minorEastAsia" w:cstheme="minorEastAsia"/>
          <w:color w:val="auto"/>
          <w:sz w:val="24"/>
          <w:highlight w:val="none"/>
          <w:lang w:val="en-US" w:eastAsia="zh-CN"/>
        </w:rPr>
        <w:t>1761.5</w:t>
      </w:r>
      <w:r>
        <w:rPr>
          <w:rFonts w:hint="eastAsia" w:asciiTheme="minorEastAsia" w:hAnsiTheme="minorEastAsia" w:eastAsiaTheme="minorEastAsia" w:cstheme="minorEastAsia"/>
          <w:color w:val="auto"/>
          <w:sz w:val="24"/>
          <w:highlight w:val="none"/>
        </w:rPr>
        <w:t>万元</w:t>
      </w:r>
      <w:r>
        <w:rPr>
          <w:rFonts w:hint="eastAsia" w:asciiTheme="minorEastAsia" w:hAnsiTheme="minorEastAsia" w:eastAsiaTheme="minorEastAsia" w:cstheme="minorEastAsia"/>
          <w:color w:val="auto"/>
          <w:sz w:val="24"/>
          <w:highlight w:val="none"/>
        </w:rPr>
        <w:t>。</w:t>
      </w:r>
      <w:bookmarkStart w:id="30" w:name="_Toc13864"/>
      <w:bookmarkStart w:id="31" w:name="_Toc9050"/>
      <w:bookmarkStart w:id="32" w:name="_Toc30627"/>
      <w:bookmarkStart w:id="33" w:name="_Toc7119"/>
      <w:bookmarkStart w:id="34" w:name="_Toc16646"/>
      <w:bookmarkStart w:id="35" w:name="_Toc463962646"/>
      <w:bookmarkStart w:id="36" w:name="_Toc416273870"/>
    </w:p>
    <w:p>
      <w:pPr>
        <w:keepNext/>
        <w:keepLines/>
        <w:adjustRightInd w:val="0"/>
        <w:snapToGrid w:val="0"/>
        <w:spacing w:line="360" w:lineRule="auto"/>
        <w:outlineLvl w:val="0"/>
        <w:rPr>
          <w:rFonts w:asciiTheme="minorEastAsia" w:hAnsiTheme="minorEastAsia" w:eastAsiaTheme="minorEastAsia" w:cstheme="minorEastAsia"/>
          <w:b/>
          <w:color w:val="auto"/>
          <w:kern w:val="44"/>
          <w:sz w:val="24"/>
          <w:highlight w:val="none"/>
        </w:rPr>
      </w:pPr>
      <w:r>
        <w:rPr>
          <w:rFonts w:hint="eastAsia" w:asciiTheme="minorEastAsia" w:hAnsiTheme="minorEastAsia" w:eastAsiaTheme="minorEastAsia" w:cstheme="minorEastAsia"/>
          <w:b/>
          <w:color w:val="auto"/>
          <w:kern w:val="44"/>
          <w:sz w:val="24"/>
          <w:highlight w:val="none"/>
        </w:rPr>
        <w:t>3.投标人资格要求</w:t>
      </w:r>
      <w:bookmarkEnd w:id="30"/>
      <w:bookmarkEnd w:id="31"/>
      <w:bookmarkEnd w:id="32"/>
      <w:bookmarkEnd w:id="33"/>
      <w:bookmarkEnd w:id="34"/>
      <w:bookmarkEnd w:id="35"/>
      <w:bookmarkEnd w:id="36"/>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3.1投标人持有事业单位登记管理部门核发的有效的事业单位法人证书或工商行政管理部门核发的有效的企业法人营业执照；</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3.2投标人具备以下相应资质：</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（1）投标人（若为联合体投标，指联合体各方）均具有质量技术监督部门颁发的检验检测机构资质认证（CMA）证书且在有效期内；</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①承担检测任务的单位认证范围覆盖：地基与基础工程检测、见证取样检测、主体结构工程现场检测。②承担监测任务的单位认证范围应涵盖工程监测。（检验检测机构资质认证（CMA）证书中的认证项目与上述名称不同，但表达的意思一致也视为满足该项条件）。</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若为联合体投标，指承担检测任务的单位）具有建设行政主管部门颁发的建设工程质量检测机构资质证书（检测范围须覆盖招标内容：地基基础工程检测、见证取样检测、主体结构工程现场检测），且资质证书在有效期以内；</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（3）投标人（若为联合体投标，指承担监测任务的单位）应具有以下①、②、③之一资质：</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①工程勘察综合资质甲级；</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②工程勘察专业类（岩土工程）甲级资质和工程勘察专业类（工程测量）甲级资质；</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③工程勘察专业类（岩土工程（分项）物探测试检测监测）甲级资质和工程勘察专业类（工程测量）甲级资质。</w:t>
      </w:r>
    </w:p>
    <w:p>
      <w:pPr>
        <w:pStyle w:val="366"/>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投标人拟担任本工程项目负责人应具有工程类工程师或以上技术职称；</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关于联合体投标：本项目</w:t>
      </w:r>
      <w:r>
        <w:rPr>
          <w:rFonts w:hint="eastAsia" w:ascii="宋体" w:hAnsi="宋体" w:eastAsia="宋体" w:cs="宋体"/>
          <w:color w:val="auto"/>
          <w:sz w:val="24"/>
          <w:szCs w:val="24"/>
          <w:highlight w:val="none"/>
          <w:u w:val="single"/>
        </w:rPr>
        <w:t>接受</w:t>
      </w:r>
      <w:r>
        <w:rPr>
          <w:rFonts w:hint="eastAsia" w:ascii="宋体" w:hAnsi="宋体" w:eastAsia="宋体" w:cs="宋体"/>
          <w:color w:val="auto"/>
          <w:sz w:val="24"/>
          <w:szCs w:val="24"/>
          <w:highlight w:val="none"/>
        </w:rPr>
        <w:t>联合体投标。</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如投标人组成联合体，联合体组成单位不得超过2家。联合体应当在投标登记前组成，并按照招标文件第六章投标文件格式内容签署盖章签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val="en-US" w:eastAsia="zh-CN"/>
        </w:rPr>
        <w:t>协议书</w:t>
      </w:r>
      <w:r>
        <w:rPr>
          <w:rFonts w:hint="eastAsia" w:ascii="宋体" w:hAnsi="宋体" w:eastAsia="宋体" w:cs="宋体"/>
          <w:color w:val="auto"/>
          <w:sz w:val="24"/>
          <w:szCs w:val="24"/>
          <w:highlight w:val="none"/>
        </w:rPr>
        <w:t>。投标人拟任本工程项目负责人应为牵头人正式员工。联合体</w:t>
      </w:r>
      <w:r>
        <w:rPr>
          <w:rFonts w:hint="eastAsia" w:ascii="宋体" w:hAnsi="宋体" w:eastAsia="宋体" w:cs="宋体"/>
          <w:color w:val="auto"/>
          <w:sz w:val="24"/>
          <w:szCs w:val="24"/>
          <w:highlight w:val="none"/>
          <w:lang w:val="en-US" w:eastAsia="zh-CN"/>
        </w:rPr>
        <w:t>协议书</w:t>
      </w:r>
      <w:r>
        <w:rPr>
          <w:rFonts w:hint="eastAsia" w:ascii="宋体" w:hAnsi="宋体" w:eastAsia="宋体" w:cs="宋体"/>
          <w:color w:val="auto"/>
          <w:sz w:val="24"/>
          <w:szCs w:val="24"/>
          <w:highlight w:val="none"/>
        </w:rPr>
        <w:t>应明确约定各方拟承担的工作和责任。投标截止后联合体增减、更换成员的，其投标无效。</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注：1、联合体各方（包括</w:t>
      </w:r>
      <w:r>
        <w:rPr>
          <w:rFonts w:hint="eastAsia" w:ascii="宋体" w:hAnsi="宋体" w:eastAsia="宋体" w:cs="宋体"/>
          <w:color w:val="auto"/>
          <w:sz w:val="24"/>
          <w:szCs w:val="24"/>
          <w:highlight w:val="none"/>
          <w:lang w:val="en-US" w:eastAsia="zh-CN"/>
        </w:rPr>
        <w:t>牵头人</w:t>
      </w:r>
      <w:r>
        <w:rPr>
          <w:rFonts w:hint="eastAsia" w:ascii="宋体" w:hAnsi="宋体" w:eastAsia="宋体" w:cs="宋体"/>
          <w:color w:val="auto"/>
          <w:sz w:val="24"/>
          <w:szCs w:val="24"/>
          <w:highlight w:val="none"/>
        </w:rPr>
        <w:t>及联合体成员）不得再单独或与其他单位组成联合体参与本项目投标。出现上述情况者，其投标和与此有关的联合体的投标将被拒绝。</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2、联合体投标时，除联合体共同投标协议书由各方均盖章外，投标文件其他内容中的“投标人或投标单位”须出现各成员单位名称及盖章的，可由联合体牵头人盖章。</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3、单位负责人为同一人或者存在控股、管理关系的不同单位，不得参加同一标段投标或者未划分标段的同一招标项目投标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联合体成员之间不受限制），否则，相关投标均无效</w:t>
      </w:r>
      <w:r>
        <w:rPr>
          <w:rFonts w:hint="eastAsia" w:ascii="宋体" w:hAnsi="宋体" w:eastAsia="宋体" w:cs="宋体"/>
          <w:color w:val="auto"/>
          <w:sz w:val="24"/>
          <w:szCs w:val="24"/>
          <w:highlight w:val="none"/>
        </w:rPr>
        <w:t>。</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w:t>
      </w:r>
      <w:r>
        <w:rPr>
          <w:rFonts w:hint="eastAsia" w:asciiTheme="minorEastAsia" w:hAnsiTheme="minorEastAsia" w:eastAsiaTheme="minorEastAsia" w:cstheme="minorEastAsia"/>
          <w:bCs/>
          <w:color w:val="auto"/>
          <w:sz w:val="24"/>
          <w:highlight w:val="none"/>
          <w:u w:val="single"/>
        </w:rPr>
        <w:t>〔</w:t>
      </w:r>
      <w:r>
        <w:rPr>
          <w:rFonts w:hint="eastAsia" w:asciiTheme="minorEastAsia" w:hAnsiTheme="minorEastAsia" w:eastAsiaTheme="minorEastAsia" w:cstheme="minorEastAsia"/>
          <w:bCs/>
          <w:color w:val="auto"/>
          <w:sz w:val="24"/>
          <w:highlight w:val="none"/>
          <w:u w:val="single"/>
          <w:lang w:val="en-US" w:eastAsia="zh-CN"/>
        </w:rPr>
        <w:t>2020</w:t>
      </w:r>
      <w:r>
        <w:rPr>
          <w:rFonts w:hint="eastAsia" w:asciiTheme="minorEastAsia" w:hAnsiTheme="minorEastAsia" w:eastAsiaTheme="minorEastAsia" w:cstheme="minorEastAsia"/>
          <w:bCs/>
          <w:color w:val="auto"/>
          <w:sz w:val="24"/>
          <w:highlight w:val="none"/>
          <w:u w:val="single"/>
        </w:rPr>
        <w:t>〕</w:t>
      </w:r>
      <w:r>
        <w:rPr>
          <w:rFonts w:hint="eastAsia" w:ascii="宋体" w:hAnsi="宋体" w:eastAsia="宋体" w:cs="宋体"/>
          <w:color w:val="auto"/>
          <w:sz w:val="24"/>
          <w:szCs w:val="24"/>
          <w:highlight w:val="none"/>
        </w:rPr>
        <w:t>1号）规定）]。</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其他要求：</w:t>
      </w:r>
    </w:p>
    <w:p>
      <w:pPr>
        <w:pStyle w:val="36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①投标人需按规定格式签名盖章《投标人声明》（格式见招标文件第六章投标文件格式）</w:t>
      </w:r>
      <w:r>
        <w:rPr>
          <w:rFonts w:hint="eastAsia" w:ascii="宋体" w:hAnsi="宋体" w:eastAsia="宋体" w:cs="宋体"/>
          <w:color w:val="auto"/>
          <w:sz w:val="24"/>
          <w:szCs w:val="24"/>
          <w:highlight w:val="none"/>
          <w:lang w:eastAsia="zh-CN"/>
        </w:rPr>
        <w:t>；</w:t>
      </w:r>
    </w:p>
    <w:p>
      <w:pPr>
        <w:pStyle w:val="36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②投标人需按规定格式签名盖章《承诺书》（格式见招标文件第六章投标文件格式）</w:t>
      </w:r>
      <w:r>
        <w:rPr>
          <w:rFonts w:hint="eastAsia" w:ascii="宋体" w:hAnsi="宋体" w:eastAsia="宋体" w:cs="宋体"/>
          <w:color w:val="auto"/>
          <w:sz w:val="24"/>
          <w:szCs w:val="24"/>
          <w:highlight w:val="none"/>
          <w:lang w:eastAsia="zh-CN"/>
        </w:rPr>
        <w:t>；</w:t>
      </w:r>
    </w:p>
    <w:p>
      <w:pPr>
        <w:pStyle w:val="3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③近二年（从20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年的1月1日起至投标截止时间止）未因以往检测工作中存在伪造检测数据、出具虚假检测报告的行为被各级建设行政主管部门或市场监督管理部门行政处罚或通报的（按投标人提供的《投标人声明》第三条内容进行评审）。</w:t>
      </w:r>
    </w:p>
    <w:p>
      <w:pPr>
        <w:pStyle w:val="309"/>
        <w:tabs>
          <w:tab w:val="clear" w:pos="435"/>
        </w:tabs>
        <w:adjustRightInd w:val="0"/>
        <w:snapToGrid w:val="0"/>
        <w:spacing w:line="360" w:lineRule="auto"/>
        <w:ind w:firstLine="0" w:firstLineChars="0"/>
        <w:outlineLvl w:val="2"/>
        <w:rPr>
          <w:rFonts w:asciiTheme="minorEastAsia" w:hAnsiTheme="minorEastAsia" w:eastAsiaTheme="minorEastAsia" w:cstheme="minorEastAsia"/>
          <w:b/>
          <w:color w:val="auto"/>
          <w:sz w:val="24"/>
          <w:szCs w:val="24"/>
          <w:highlight w:val="none"/>
        </w:rPr>
      </w:pPr>
      <w:bookmarkStart w:id="37" w:name="_Toc13335"/>
      <w:bookmarkStart w:id="38" w:name="_Toc15817"/>
      <w:bookmarkStart w:id="39" w:name="_Toc1109"/>
      <w:bookmarkStart w:id="40" w:name="_Toc32481"/>
      <w:bookmarkStart w:id="41" w:name="_Toc14992"/>
      <w:r>
        <w:rPr>
          <w:rFonts w:hint="eastAsia" w:asciiTheme="minorEastAsia" w:hAnsiTheme="minorEastAsia" w:eastAsiaTheme="minorEastAsia" w:cstheme="minorEastAsia"/>
          <w:b/>
          <w:color w:val="auto"/>
          <w:sz w:val="24"/>
          <w:szCs w:val="24"/>
          <w:highlight w:val="none"/>
        </w:rPr>
        <w:t>4.招标文件的获取</w:t>
      </w:r>
      <w:bookmarkEnd w:id="37"/>
      <w:bookmarkEnd w:id="38"/>
      <w:bookmarkEnd w:id="39"/>
      <w:bookmarkEnd w:id="40"/>
      <w:bookmarkEnd w:id="41"/>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4.1公告发布、截止时间：</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发布招标公告开始日期（含本日）为：</w:t>
      </w:r>
      <w:r>
        <w:rPr>
          <w:rFonts w:hint="eastAsia" w:ascii="宋体" w:hAnsi="宋体" w:cs="宋体"/>
          <w:color w:val="auto"/>
          <w:sz w:val="24"/>
          <w:highlight w:val="none"/>
          <w:lang w:val="en-US" w:eastAsia="zh-CN"/>
        </w:rPr>
        <w:t>2023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日00时00分</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发布招标公告截止日期（含本日）为：</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分</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4.2凡有意参加投标者，请于</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分至</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rPr>
        <w:t>分（北京时间，下同），登录广州公共资源交易中心网（网址：http//www.gzggzy.cn）下载电子招标文件。</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4.3本项目设立</w:t>
      </w:r>
      <w:r>
        <w:rPr>
          <w:rFonts w:hint="eastAsia" w:ascii="宋体" w:hAnsi="宋体" w:eastAsia="宋体" w:cs="宋体"/>
          <w:color w:val="auto"/>
          <w:sz w:val="24"/>
          <w:highlight w:val="none"/>
          <w:lang w:eastAsia="zh-CN"/>
        </w:rPr>
        <w:t>投标登记</w:t>
      </w:r>
      <w:r>
        <w:rPr>
          <w:rFonts w:hint="eastAsia" w:ascii="宋体" w:hAnsi="宋体" w:eastAsia="宋体" w:cs="宋体"/>
          <w:color w:val="auto"/>
          <w:sz w:val="24"/>
          <w:highlight w:val="none"/>
        </w:rPr>
        <w:t>环节，采取网上</w:t>
      </w:r>
      <w:r>
        <w:rPr>
          <w:rFonts w:hint="eastAsia" w:ascii="宋体" w:hAnsi="宋体" w:eastAsia="宋体" w:cs="宋体"/>
          <w:color w:val="auto"/>
          <w:sz w:val="24"/>
          <w:highlight w:val="none"/>
          <w:lang w:eastAsia="zh-CN"/>
        </w:rPr>
        <w:t>登记</w:t>
      </w:r>
      <w:r>
        <w:rPr>
          <w:rFonts w:hint="eastAsia" w:ascii="宋体" w:hAnsi="宋体" w:eastAsia="宋体" w:cs="宋体"/>
          <w:color w:val="auto"/>
          <w:sz w:val="24"/>
          <w:highlight w:val="none"/>
        </w:rPr>
        <w:t>方式进行投标</w:t>
      </w:r>
      <w:r>
        <w:rPr>
          <w:rFonts w:hint="eastAsia" w:ascii="宋体" w:hAnsi="宋体" w:eastAsia="宋体" w:cs="宋体"/>
          <w:color w:val="auto"/>
          <w:sz w:val="24"/>
          <w:highlight w:val="none"/>
          <w:lang w:eastAsia="zh-CN"/>
        </w:rPr>
        <w:t>登记</w:t>
      </w:r>
      <w:r>
        <w:rPr>
          <w:rFonts w:hint="eastAsia" w:ascii="宋体" w:hAnsi="宋体" w:eastAsia="宋体" w:cs="宋体"/>
          <w:color w:val="auto"/>
          <w:sz w:val="24"/>
          <w:highlight w:val="none"/>
        </w:rPr>
        <w:t>。网上</w:t>
      </w:r>
      <w:r>
        <w:rPr>
          <w:rFonts w:hint="eastAsia" w:ascii="宋体" w:hAnsi="宋体" w:eastAsia="宋体" w:cs="宋体"/>
          <w:color w:val="auto"/>
          <w:sz w:val="24"/>
          <w:highlight w:val="none"/>
          <w:lang w:eastAsia="zh-CN"/>
        </w:rPr>
        <w:t>登记</w:t>
      </w:r>
      <w:r>
        <w:rPr>
          <w:rFonts w:hint="eastAsia" w:ascii="宋体" w:hAnsi="宋体" w:eastAsia="宋体" w:cs="宋体"/>
          <w:color w:val="auto"/>
          <w:sz w:val="24"/>
          <w:highlight w:val="none"/>
        </w:rPr>
        <w:t>开始日期（含本日）：</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分，网上</w:t>
      </w:r>
      <w:r>
        <w:rPr>
          <w:rFonts w:hint="eastAsia" w:ascii="宋体" w:hAnsi="宋体" w:eastAsia="宋体" w:cs="宋体"/>
          <w:color w:val="auto"/>
          <w:sz w:val="24"/>
          <w:highlight w:val="none"/>
          <w:lang w:eastAsia="zh-CN"/>
        </w:rPr>
        <w:t>登记</w:t>
      </w:r>
      <w:r>
        <w:rPr>
          <w:rFonts w:hint="eastAsia" w:ascii="宋体" w:hAnsi="宋体" w:eastAsia="宋体" w:cs="宋体"/>
          <w:color w:val="auto"/>
          <w:sz w:val="24"/>
          <w:highlight w:val="none"/>
        </w:rPr>
        <w:t>截止日期（含本日）：</w:t>
      </w:r>
      <w:r>
        <w:rPr>
          <w:rFonts w:hint="eastAsia" w:ascii="宋体" w:hAnsi="宋体" w:cs="宋体"/>
          <w:color w:val="auto"/>
          <w:sz w:val="24"/>
          <w:highlight w:val="none"/>
          <w:lang w:val="en-US" w:eastAsia="zh-CN"/>
        </w:rPr>
        <w:t>2023</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4.4本项目采用</w:t>
      </w:r>
      <w:r>
        <w:rPr>
          <w:rFonts w:hint="eastAsia" w:asciiTheme="minorEastAsia" w:hAnsiTheme="minorEastAsia" w:eastAsiaTheme="minorEastAsia" w:cstheme="minorEastAsia"/>
          <w:color w:val="auto"/>
          <w:sz w:val="24"/>
          <w:highlight w:val="none"/>
          <w:u w:val="single"/>
        </w:rPr>
        <w:t>资格后审</w:t>
      </w:r>
      <w:r>
        <w:rPr>
          <w:rFonts w:hint="eastAsia" w:asciiTheme="minorEastAsia" w:hAnsiTheme="minorEastAsia" w:eastAsiaTheme="minorEastAsia" w:cstheme="minorEastAsia"/>
          <w:color w:val="auto"/>
          <w:sz w:val="24"/>
          <w:highlight w:val="none"/>
        </w:rPr>
        <w:t>方式。</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注：（1）电子招投标操作流程详见广州公共资源交易中心网站发布的最新版操作指引。</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（2）从本公告发布之日起开始计算备标时间。</w:t>
      </w:r>
    </w:p>
    <w:p>
      <w:pPr>
        <w:pStyle w:val="309"/>
        <w:tabs>
          <w:tab w:val="clear" w:pos="435"/>
        </w:tabs>
        <w:adjustRightInd w:val="0"/>
        <w:snapToGrid w:val="0"/>
        <w:spacing w:line="360" w:lineRule="auto"/>
        <w:outlineLvl w:val="2"/>
        <w:rPr>
          <w:rFonts w:asciiTheme="minorEastAsia" w:hAnsiTheme="minorEastAsia" w:eastAsiaTheme="minorEastAsia" w:cstheme="minorEastAsia"/>
          <w:b/>
          <w:color w:val="auto"/>
          <w:sz w:val="24"/>
          <w:szCs w:val="24"/>
          <w:highlight w:val="none"/>
        </w:rPr>
      </w:pPr>
      <w:bookmarkStart w:id="42" w:name="_Toc7130"/>
      <w:bookmarkStart w:id="43" w:name="_Toc10981"/>
      <w:bookmarkStart w:id="44" w:name="_Toc20395"/>
      <w:bookmarkStart w:id="45" w:name="_Toc13930"/>
      <w:bookmarkStart w:id="46" w:name="_Toc24112"/>
      <w:r>
        <w:rPr>
          <w:rFonts w:hint="eastAsia" w:asciiTheme="minorEastAsia" w:hAnsiTheme="minorEastAsia" w:eastAsiaTheme="minorEastAsia" w:cstheme="minorEastAsia"/>
          <w:b/>
          <w:color w:val="auto"/>
          <w:sz w:val="24"/>
          <w:szCs w:val="24"/>
          <w:highlight w:val="none"/>
        </w:rPr>
        <w:t>5.投标文件的递交及相关事宜</w:t>
      </w:r>
      <w:bookmarkEnd w:id="42"/>
      <w:bookmarkEnd w:id="43"/>
      <w:bookmarkEnd w:id="44"/>
      <w:bookmarkEnd w:id="45"/>
      <w:bookmarkEnd w:id="46"/>
    </w:p>
    <w:p>
      <w:pPr>
        <w:tabs>
          <w:tab w:val="left" w:pos="360"/>
        </w:tabs>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5.1递交电子投标文件。</w:t>
      </w:r>
    </w:p>
    <w:p>
      <w:pPr>
        <w:tabs>
          <w:tab w:val="left" w:pos="360"/>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投标文件递交的截止时间（投标截止时间，下同）为</w:t>
      </w:r>
      <w:r>
        <w:rPr>
          <w:rFonts w:hint="eastAsia" w:asciiTheme="minorEastAsia" w:hAnsiTheme="minorEastAsia" w:eastAsiaTheme="minorEastAsia" w:cstheme="minorEastAsia"/>
          <w:color w:val="auto"/>
          <w:sz w:val="24"/>
          <w:highlight w:val="none"/>
          <w:lang w:val="en-US" w:eastAsia="zh-CN"/>
        </w:rPr>
        <w:t>2023</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分，投标人应在截止时间前通过广州公共资源交易中心网（网址：http://www.gzggzy.cn）递交电子投标文件。</w:t>
      </w:r>
    </w:p>
    <w:p>
      <w:pPr>
        <w:tabs>
          <w:tab w:val="left" w:pos="360"/>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lang w:val="en-US" w:eastAsia="zh-CN"/>
        </w:rPr>
        <w:t>递交</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highlight w:val="none"/>
          <w:lang w:val="en-US" w:eastAsia="zh-CN"/>
        </w:rPr>
        <w:t>电子</w:t>
      </w:r>
      <w:r>
        <w:rPr>
          <w:rFonts w:hint="eastAsia" w:asciiTheme="minorEastAsia" w:hAnsiTheme="minorEastAsia" w:eastAsiaTheme="minorEastAsia" w:cstheme="minorEastAsia"/>
          <w:color w:val="auto"/>
          <w:sz w:val="24"/>
          <w:highlight w:val="none"/>
        </w:rPr>
        <w:t>光盘（备用）。</w:t>
      </w:r>
    </w:p>
    <w:p>
      <w:pPr>
        <w:tabs>
          <w:tab w:val="left" w:pos="360"/>
        </w:tabs>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highlight w:val="none"/>
          <w:lang w:val="en-US" w:eastAsia="zh-CN"/>
        </w:rPr>
        <w:t>电子</w:t>
      </w:r>
      <w:r>
        <w:rPr>
          <w:rFonts w:hint="eastAsia" w:asciiTheme="minorEastAsia" w:hAnsiTheme="minorEastAsia" w:eastAsiaTheme="minorEastAsia" w:cstheme="minorEastAsia"/>
          <w:color w:val="auto"/>
          <w:sz w:val="24"/>
          <w:highlight w:val="none"/>
        </w:rPr>
        <w:t>光盘（备用）递交时间：</w:t>
      </w:r>
      <w:r>
        <w:rPr>
          <w:rFonts w:hint="eastAsia" w:asciiTheme="minorEastAsia" w:hAnsiTheme="minorEastAsia" w:eastAsiaTheme="minorEastAsia" w:cstheme="minorEastAsia"/>
          <w:color w:val="auto"/>
          <w:sz w:val="24"/>
          <w:highlight w:val="none"/>
          <w:lang w:val="en-US" w:eastAsia="zh-CN"/>
        </w:rPr>
        <w:t>2023</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分至</w:t>
      </w:r>
      <w:r>
        <w:rPr>
          <w:rFonts w:hint="eastAsia" w:asciiTheme="minorEastAsia" w:hAnsiTheme="minorEastAsia" w:eastAsiaTheme="minorEastAsia" w:cstheme="minorEastAsia"/>
          <w:color w:val="auto"/>
          <w:sz w:val="24"/>
          <w:highlight w:val="none"/>
          <w:lang w:val="en-US" w:eastAsia="zh-CN"/>
        </w:rPr>
        <w:t>2023</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分；地点：广州公共资源交易中心花都交易部（广州市花都区玫瑰路10号滨晖大厦首层至二层）。（电子光盘需按规定封装。投标人在将数据刻录到光盘之后，投标前自行检查文件是否可以读取）</w:t>
      </w:r>
    </w:p>
    <w:p>
      <w:pPr>
        <w:tabs>
          <w:tab w:val="left" w:pos="360"/>
        </w:tabs>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投标人应在递交投标文件截止时间前，登录广州公共资源交易中心网投标人服务专区完成投标人的相关信息录入；投标人核对并确认投标文件信息无误后，上传带有电子签名及电子签章的加密投标文件。在递交投标文件截止时间前，投标人可以补充、修改或撤回投标文件。投标文件须于递交投标文件截止时间前完整上传并保存到广州公共资源交易中心的电子评标系统且取得回执。</w:t>
      </w:r>
    </w:p>
    <w:p>
      <w:pPr>
        <w:numPr>
          <w:ins w:id="0" w:author="黄淘淘" w:date=""/>
        </w:numPr>
        <w:tabs>
          <w:tab w:val="left" w:pos="360"/>
        </w:tabs>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5.4逾期送达的投标文件，电子招标投标交易平台将予以拒收。</w:t>
      </w:r>
    </w:p>
    <w:p>
      <w:pPr>
        <w:pStyle w:val="309"/>
        <w:tabs>
          <w:tab w:val="clear" w:pos="435"/>
        </w:tabs>
        <w:adjustRightInd w:val="0"/>
        <w:snapToGrid w:val="0"/>
        <w:spacing w:line="360" w:lineRule="auto"/>
        <w:outlineLvl w:val="2"/>
        <w:rPr>
          <w:rFonts w:asciiTheme="minorEastAsia" w:hAnsiTheme="minorEastAsia" w:eastAsiaTheme="minorEastAsia" w:cstheme="minorEastAsia"/>
          <w:b/>
          <w:color w:val="auto"/>
          <w:sz w:val="24"/>
          <w:szCs w:val="24"/>
          <w:highlight w:val="none"/>
        </w:rPr>
      </w:pPr>
      <w:bookmarkStart w:id="47" w:name="_Toc16736"/>
      <w:bookmarkStart w:id="48" w:name="_Toc27478"/>
      <w:bookmarkStart w:id="49" w:name="_Toc12585"/>
      <w:bookmarkStart w:id="50" w:name="_Toc3022"/>
      <w:bookmarkStart w:id="51" w:name="_Toc29386"/>
      <w:r>
        <w:rPr>
          <w:rFonts w:hint="eastAsia" w:asciiTheme="minorEastAsia" w:hAnsiTheme="minorEastAsia" w:eastAsiaTheme="minorEastAsia" w:cstheme="minorEastAsia"/>
          <w:b/>
          <w:color w:val="auto"/>
          <w:sz w:val="24"/>
          <w:szCs w:val="24"/>
          <w:highlight w:val="none"/>
        </w:rPr>
        <w:t>6.发布公告的媒体</w:t>
      </w:r>
      <w:bookmarkEnd w:id="47"/>
      <w:bookmarkEnd w:id="48"/>
      <w:bookmarkEnd w:id="49"/>
      <w:bookmarkEnd w:id="50"/>
      <w:bookmarkEnd w:id="51"/>
    </w:p>
    <w:p>
      <w:pPr>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本次招标公告同时在</w:t>
      </w:r>
      <w:r>
        <w:rPr>
          <w:rFonts w:hint="eastAsia" w:asciiTheme="minorEastAsia" w:hAnsiTheme="minorEastAsia" w:eastAsiaTheme="minorEastAsia" w:cstheme="minorEastAsia"/>
          <w:color w:val="auto"/>
          <w:sz w:val="24"/>
          <w:highlight w:val="none"/>
          <w:u w:val="single"/>
        </w:rPr>
        <w:t>广东省招标投标监管网、中国招标投标公共服务平台、广州公共资源交易中心网</w:t>
      </w:r>
      <w:r>
        <w:rPr>
          <w:rFonts w:hint="eastAsia" w:asciiTheme="minorEastAsia" w:hAnsiTheme="minorEastAsia" w:eastAsiaTheme="minorEastAsia" w:cstheme="minorEastAsia"/>
          <w:color w:val="auto"/>
          <w:kern w:val="0"/>
          <w:sz w:val="24"/>
          <w:highlight w:val="none"/>
        </w:rPr>
        <w:t>上</w:t>
      </w:r>
      <w:r>
        <w:rPr>
          <w:rFonts w:hint="eastAsia" w:asciiTheme="minorEastAsia" w:hAnsiTheme="minorEastAsia" w:eastAsiaTheme="minorEastAsia" w:cstheme="minorEastAsia"/>
          <w:color w:val="auto"/>
          <w:spacing w:val="-1"/>
          <w:kern w:val="0"/>
          <w:sz w:val="24"/>
          <w:highlight w:val="none"/>
        </w:rPr>
        <w:t>发</w:t>
      </w:r>
      <w:r>
        <w:rPr>
          <w:rFonts w:hint="eastAsia" w:asciiTheme="minorEastAsia" w:hAnsiTheme="minorEastAsia" w:eastAsiaTheme="minorEastAsia" w:cstheme="minorEastAsia"/>
          <w:color w:val="auto"/>
          <w:kern w:val="0"/>
          <w:sz w:val="24"/>
          <w:highlight w:val="none"/>
        </w:rPr>
        <w:t>布。本公告的修改、补充，在</w:t>
      </w:r>
      <w:r>
        <w:rPr>
          <w:rFonts w:hint="eastAsia" w:asciiTheme="minorEastAsia" w:hAnsiTheme="minorEastAsia" w:eastAsiaTheme="minorEastAsia" w:cstheme="minorEastAsia"/>
          <w:color w:val="auto"/>
          <w:kern w:val="0"/>
          <w:sz w:val="24"/>
          <w:highlight w:val="none"/>
          <w:u w:val="single"/>
        </w:rPr>
        <w:t>广州公共资源交易中心网</w:t>
      </w:r>
      <w:r>
        <w:rPr>
          <w:rFonts w:hint="eastAsia" w:asciiTheme="minorEastAsia" w:hAnsiTheme="minorEastAsia" w:eastAsiaTheme="minorEastAsia" w:cstheme="minorEastAsia"/>
          <w:color w:val="auto"/>
          <w:kern w:val="0"/>
          <w:sz w:val="24"/>
          <w:highlight w:val="none"/>
        </w:rPr>
        <w:t>发布</w:t>
      </w:r>
      <w:r>
        <w:rPr>
          <w:rFonts w:hint="eastAsia" w:asciiTheme="minorEastAsia" w:hAnsiTheme="minorEastAsia" w:eastAsiaTheme="minorEastAsia" w:cstheme="minorEastAsia"/>
          <w:color w:val="auto"/>
          <w:sz w:val="24"/>
          <w:highlight w:val="none"/>
        </w:rPr>
        <w:t>。</w:t>
      </w:r>
    </w:p>
    <w:bookmarkEnd w:id="174"/>
    <w:p>
      <w:pPr>
        <w:pStyle w:val="309"/>
        <w:spacing w:line="336" w:lineRule="auto"/>
        <w:outlineLvl w:val="2"/>
        <w:rPr>
          <w:rFonts w:asciiTheme="minorEastAsia" w:hAnsiTheme="minorEastAsia" w:eastAsiaTheme="minorEastAsia" w:cstheme="minorEastAsia"/>
          <w:b/>
          <w:color w:val="auto"/>
          <w:sz w:val="24"/>
          <w:szCs w:val="24"/>
          <w:highlight w:val="none"/>
        </w:rPr>
      </w:pPr>
      <w:bookmarkStart w:id="52" w:name="_Toc31018"/>
      <w:bookmarkStart w:id="53" w:name="_Toc18411"/>
      <w:bookmarkStart w:id="54" w:name="_Toc20794"/>
      <w:bookmarkStart w:id="55" w:name="_Toc375"/>
      <w:bookmarkStart w:id="56" w:name="_Toc7078"/>
      <w:r>
        <w:rPr>
          <w:rFonts w:hint="eastAsia" w:asciiTheme="minorEastAsia" w:hAnsiTheme="minorEastAsia" w:eastAsiaTheme="minorEastAsia" w:cstheme="minorEastAsia"/>
          <w:b/>
          <w:color w:val="auto"/>
          <w:sz w:val="24"/>
          <w:szCs w:val="24"/>
          <w:highlight w:val="none"/>
        </w:rPr>
        <w:t>7．联系方式</w:t>
      </w:r>
      <w:bookmarkEnd w:id="52"/>
      <w:bookmarkEnd w:id="53"/>
      <w:bookmarkEnd w:id="54"/>
      <w:bookmarkEnd w:id="55"/>
      <w:bookmarkEnd w:id="56"/>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招标人：广州市花都区交通运输局</w:t>
      </w:r>
    </w:p>
    <w:p>
      <w:pPr>
        <w:snapToGrid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kern w:val="0"/>
          <w:sz w:val="24"/>
          <w:highlight w:val="none"/>
        </w:rPr>
        <w:t>广州市花都区紫薇路23号</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邮政编码：510800</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lang w:eastAsia="zh-CN"/>
        </w:rPr>
        <w:t>李小姐</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电话：020-36807776</w:t>
      </w:r>
    </w:p>
    <w:p>
      <w:pPr>
        <w:snapToGrid w:val="0"/>
        <w:spacing w:line="336" w:lineRule="auto"/>
        <w:ind w:firstLine="480" w:firstLineChars="200"/>
        <w:rPr>
          <w:rFonts w:asciiTheme="minorEastAsia" w:hAnsiTheme="minorEastAsia" w:eastAsiaTheme="minorEastAsia" w:cstheme="minorEastAsia"/>
          <w:color w:val="auto"/>
          <w:sz w:val="24"/>
          <w:highlight w:val="none"/>
        </w:rPr>
      </w:pPr>
    </w:p>
    <w:p>
      <w:pPr>
        <w:snapToGrid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招标代理机构：</w:t>
      </w:r>
      <w:r>
        <w:rPr>
          <w:rFonts w:hint="eastAsia" w:asciiTheme="minorEastAsia" w:hAnsiTheme="minorEastAsia" w:eastAsiaTheme="minorEastAsia" w:cstheme="minorEastAsia"/>
          <w:color w:val="auto"/>
          <w:sz w:val="24"/>
          <w:highlight w:val="none"/>
          <w:lang w:eastAsia="zh-CN"/>
        </w:rPr>
        <w:t>广州市交正工程咨询有限公司</w:t>
      </w:r>
    </w:p>
    <w:p>
      <w:pPr>
        <w:snapToGrid w:val="0"/>
        <w:spacing w:line="336"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地址：广州市番禺区洛溪康宁西路118号2号楼</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邮政编码：511431</w:t>
      </w:r>
    </w:p>
    <w:p>
      <w:pPr>
        <w:snapToGrid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lang w:val="en-US" w:eastAsia="zh-CN"/>
        </w:rPr>
        <w:t>黄</w:t>
      </w:r>
      <w:r>
        <w:rPr>
          <w:rFonts w:hint="eastAsia" w:asciiTheme="minorEastAsia" w:hAnsiTheme="minorEastAsia" w:eastAsiaTheme="minorEastAsia" w:cstheme="minorEastAsia"/>
          <w:color w:val="auto"/>
          <w:sz w:val="24"/>
          <w:highlight w:val="none"/>
          <w:lang w:eastAsia="zh-CN"/>
        </w:rPr>
        <w:t>小姐</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电话：020-39185654</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传真：020-36173090</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邮箱：GZJZZBDL@163.com</w:t>
      </w:r>
    </w:p>
    <w:p>
      <w:pPr>
        <w:snapToGrid w:val="0"/>
        <w:spacing w:line="336" w:lineRule="auto"/>
        <w:ind w:firstLine="480" w:firstLineChars="200"/>
        <w:rPr>
          <w:rFonts w:asciiTheme="minorEastAsia" w:hAnsiTheme="minorEastAsia" w:eastAsiaTheme="minorEastAsia" w:cstheme="minorEastAsia"/>
          <w:color w:val="auto"/>
          <w:sz w:val="24"/>
          <w:highlight w:val="none"/>
        </w:rPr>
      </w:pP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异议受理部门：广州市花都区交通运输局</w:t>
      </w:r>
    </w:p>
    <w:p>
      <w:pPr>
        <w:snapToGrid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kern w:val="0"/>
          <w:sz w:val="24"/>
          <w:highlight w:val="none"/>
        </w:rPr>
        <w:t>广州市花都区紫薇路23号</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lang w:eastAsia="zh-CN"/>
        </w:rPr>
        <w:t>李小姐</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电话：020-36807776</w:t>
      </w:r>
    </w:p>
    <w:p>
      <w:pPr>
        <w:snapToGrid w:val="0"/>
        <w:spacing w:line="336" w:lineRule="auto"/>
        <w:ind w:firstLine="480" w:firstLineChars="200"/>
        <w:rPr>
          <w:rFonts w:asciiTheme="minorEastAsia" w:hAnsiTheme="minorEastAsia" w:eastAsiaTheme="minorEastAsia" w:cstheme="minorEastAsia"/>
          <w:color w:val="auto"/>
          <w:sz w:val="24"/>
          <w:highlight w:val="none"/>
        </w:rPr>
      </w:pP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招标监督机构：广州市花都区交通运输局</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kern w:val="0"/>
          <w:sz w:val="24"/>
          <w:highlight w:val="none"/>
        </w:rPr>
        <w:t>广州市花都区紫薇路23号</w:t>
      </w:r>
    </w:p>
    <w:p>
      <w:pPr>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话：020-36805818</w:t>
      </w:r>
    </w:p>
    <w:p>
      <w:pPr>
        <w:snapToGrid w:val="0"/>
        <w:spacing w:line="336" w:lineRule="auto"/>
        <w:ind w:firstLine="480" w:firstLineChars="200"/>
        <w:rPr>
          <w:rFonts w:asciiTheme="minorEastAsia" w:hAnsiTheme="minorEastAsia" w:eastAsiaTheme="minorEastAsia" w:cstheme="minorEastAsia"/>
          <w:color w:val="auto"/>
          <w:sz w:val="24"/>
          <w:highlight w:val="none"/>
        </w:rPr>
      </w:pPr>
    </w:p>
    <w:p>
      <w:pPr>
        <w:wordWrap w:val="0"/>
        <w:snapToGrid w:val="0"/>
        <w:spacing w:line="336" w:lineRule="auto"/>
        <w:ind w:firstLine="2400" w:firstLineChars="100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lang w:eastAsia="zh-CN"/>
        </w:rPr>
        <w:t>202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年</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日</w:t>
      </w:r>
    </w:p>
    <w:p>
      <w:pPr>
        <w:snapToGrid w:val="0"/>
        <w:spacing w:line="336" w:lineRule="auto"/>
        <w:rPr>
          <w:rFonts w:asciiTheme="minorEastAsia" w:hAnsiTheme="minorEastAsia" w:eastAsiaTheme="minorEastAsia" w:cstheme="minorEastAsia"/>
          <w:color w:val="auto"/>
          <w:sz w:val="24"/>
          <w:highlight w:val="none"/>
        </w:rPr>
      </w:pPr>
    </w:p>
    <w:p>
      <w:pPr>
        <w:spacing w:line="336" w:lineRule="auto"/>
        <w:rPr>
          <w:rFonts w:ascii="宋体" w:hAnsi="宋体" w:cs="宋体"/>
          <w:color w:val="auto"/>
          <w:highlight w:val="none"/>
        </w:rPr>
      </w:pPr>
      <w:bookmarkStart w:id="57" w:name="_Toc227765634"/>
      <w:r>
        <w:rPr>
          <w:rFonts w:hint="eastAsia" w:ascii="宋体" w:hAnsi="宋体" w:cs="宋体"/>
          <w:color w:val="auto"/>
          <w:sz w:val="24"/>
          <w:highlight w:val="none"/>
        </w:rPr>
        <w:br w:type="page"/>
      </w:r>
    </w:p>
    <w:p>
      <w:pPr>
        <w:rPr>
          <w:rFonts w:ascii="宋体" w:cs="宋体"/>
          <w:color w:val="auto"/>
          <w:sz w:val="24"/>
          <w:highlight w:val="none"/>
        </w:rPr>
      </w:pPr>
    </w:p>
    <w:p>
      <w:pPr>
        <w:rPr>
          <w:color w:val="auto"/>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color w:val="auto"/>
          <w:highlight w:val="none"/>
        </w:rPr>
      </w:pPr>
    </w:p>
    <w:p>
      <w:pPr>
        <w:spacing w:line="336" w:lineRule="auto"/>
        <w:rPr>
          <w:rFonts w:ascii="黑体" w:eastAsia="黑体"/>
          <w:color w:val="auto"/>
          <w:sz w:val="28"/>
          <w:szCs w:val="20"/>
          <w:highlight w:val="none"/>
        </w:rPr>
      </w:pPr>
    </w:p>
    <w:p>
      <w:pPr>
        <w:pStyle w:val="4"/>
        <w:numPr>
          <w:ilvl w:val="0"/>
          <w:numId w:val="0"/>
        </w:numPr>
        <w:spacing w:line="360" w:lineRule="auto"/>
        <w:rPr>
          <w:rFonts w:ascii="方正姚体" w:hAnsi="宋体" w:eastAsia="方正姚体"/>
          <w:b/>
          <w:bCs/>
          <w:color w:val="auto"/>
          <w:sz w:val="52"/>
          <w:szCs w:val="52"/>
          <w:highlight w:val="none"/>
        </w:rPr>
        <w:sectPr>
          <w:footerReference r:id="rId12" w:type="first"/>
          <w:footerReference r:id="rId11" w:type="default"/>
          <w:footnotePr>
            <w:numFmt w:val="decimalEnclosedCircleChinese"/>
          </w:footnotePr>
          <w:pgSz w:w="11906" w:h="16838"/>
          <w:pgMar w:top="1134" w:right="1418" w:bottom="1134" w:left="1418" w:header="567" w:footer="851" w:gutter="0"/>
          <w:pgBorders>
            <w:top w:val="none" w:sz="0" w:space="0"/>
            <w:left w:val="none" w:sz="0" w:space="0"/>
            <w:bottom w:val="none" w:sz="0" w:space="0"/>
            <w:right w:val="none" w:sz="0" w:space="0"/>
          </w:pgBorders>
          <w:pgNumType w:fmt="decimal" w:start="1"/>
          <w:cols w:space="720" w:num="1"/>
          <w:titlePg/>
          <w:docGrid w:linePitch="312" w:charSpace="0"/>
        </w:sectPr>
      </w:pPr>
      <w:bookmarkStart w:id="58" w:name="_Toc21826"/>
      <w:bookmarkStart w:id="59" w:name="_Toc32562"/>
      <w:r>
        <w:rPr>
          <w:rFonts w:hint="eastAsia" w:ascii="方正姚体" w:hAnsi="宋体" w:eastAsia="方正姚体"/>
          <w:b/>
          <w:bCs/>
          <w:color w:val="auto"/>
          <w:sz w:val="52"/>
          <w:szCs w:val="52"/>
          <w:highlight w:val="none"/>
        </w:rPr>
        <w:t>第二章投标人须知</w:t>
      </w:r>
      <w:bookmarkEnd w:id="57"/>
      <w:bookmarkEnd w:id="58"/>
      <w:bookmarkEnd w:id="59"/>
    </w:p>
    <w:p>
      <w:pPr>
        <w:jc w:val="center"/>
        <w:outlineLvl w:val="1"/>
        <w:rPr>
          <w:rFonts w:ascii="黑体" w:hAnsi="黑体" w:eastAsia="黑体" w:cs="黑体"/>
          <w:b/>
          <w:bCs/>
          <w:color w:val="auto"/>
          <w:sz w:val="42"/>
          <w:szCs w:val="42"/>
          <w:highlight w:val="none"/>
        </w:rPr>
      </w:pPr>
      <w:bookmarkStart w:id="60" w:name="_Toc30563"/>
      <w:bookmarkStart w:id="61" w:name="_Toc32245"/>
      <w:bookmarkStart w:id="62" w:name="_Toc24239"/>
      <w:bookmarkStart w:id="63" w:name="_Toc10870"/>
      <w:r>
        <w:rPr>
          <w:rFonts w:hint="eastAsia" w:ascii="黑体" w:hAnsi="黑体" w:eastAsia="黑体" w:cs="黑体"/>
          <w:b/>
          <w:bCs/>
          <w:color w:val="auto"/>
          <w:sz w:val="42"/>
          <w:szCs w:val="42"/>
          <w:highlight w:val="none"/>
        </w:rPr>
        <w:t>第二章  投标人须知</w:t>
      </w:r>
      <w:bookmarkEnd w:id="60"/>
      <w:bookmarkEnd w:id="61"/>
      <w:bookmarkEnd w:id="62"/>
      <w:bookmarkEnd w:id="63"/>
    </w:p>
    <w:p>
      <w:pPr>
        <w:spacing w:line="440" w:lineRule="exact"/>
        <w:jc w:val="center"/>
        <w:rPr>
          <w:rFonts w:ascii="MingLiU_HKSCS" w:hAnsi="MingLiU_HKSCS" w:eastAsia="黑体"/>
          <w:color w:val="auto"/>
          <w:sz w:val="29"/>
          <w:szCs w:val="29"/>
          <w:highlight w:val="none"/>
        </w:rPr>
      </w:pPr>
      <w:r>
        <w:rPr>
          <w:rFonts w:hint="eastAsia" w:ascii="MingLiU_HKSCS" w:hAnsi="MingLiU_HKSCS" w:eastAsia="黑体"/>
          <w:color w:val="auto"/>
          <w:sz w:val="29"/>
          <w:szCs w:val="29"/>
          <w:highlight w:val="none"/>
        </w:rPr>
        <w:t xml:space="preserve"> </w:t>
      </w:r>
    </w:p>
    <w:p>
      <w:pPr>
        <w:pStyle w:val="3"/>
        <w:widowControl/>
        <w:spacing w:before="240" w:after="240" w:line="240" w:lineRule="atLeast"/>
        <w:rPr>
          <w:rFonts w:ascii="黑体" w:hAnsi="MingLiU_HKSCS" w:eastAsia="黑体"/>
          <w:b/>
          <w:color w:val="auto"/>
          <w:kern w:val="44"/>
          <w:szCs w:val="28"/>
          <w:highlight w:val="none"/>
        </w:rPr>
      </w:pPr>
      <w:bookmarkStart w:id="64" w:name="_Toc8997"/>
      <w:bookmarkStart w:id="65" w:name="_Toc16300"/>
      <w:bookmarkStart w:id="66" w:name="_Toc23741"/>
      <w:bookmarkStart w:id="67" w:name="_Toc7229"/>
      <w:bookmarkStart w:id="68" w:name="_Toc30832"/>
      <w:r>
        <w:rPr>
          <w:rFonts w:hint="eastAsia" w:ascii="黑体" w:hAnsi="宋体" w:eastAsia="黑体" w:cs="黑体"/>
          <w:b/>
          <w:color w:val="auto"/>
          <w:kern w:val="44"/>
          <w:szCs w:val="28"/>
          <w:highlight w:val="none"/>
        </w:rPr>
        <w:t>投标人须知前附表</w:t>
      </w:r>
      <w:bookmarkEnd w:id="64"/>
      <w:bookmarkEnd w:id="65"/>
      <w:bookmarkEnd w:id="66"/>
      <w:bookmarkEnd w:id="67"/>
      <w:bookmarkEnd w:id="68"/>
    </w:p>
    <w:p>
      <w:pPr>
        <w:spacing w:line="360" w:lineRule="auto"/>
        <w:rPr>
          <w:rFonts w:ascii="宋体" w:hAnsi="宋体" w:cs="宋体"/>
          <w:color w:val="auto"/>
          <w:szCs w:val="21"/>
          <w:highlight w:val="none"/>
        </w:rPr>
      </w:pPr>
      <w:r>
        <w:rPr>
          <w:rFonts w:hint="eastAsia" w:ascii="宋体" w:hAnsi="宋体" w:cs="宋体"/>
          <w:color w:val="auto"/>
          <w:szCs w:val="21"/>
          <w:highlight w:val="none"/>
        </w:rPr>
        <w:t>注：“投标人须知前附表”中的附录表格同属“投标人须知前附表”内容，具有同等效力。</w:t>
      </w:r>
    </w:p>
    <w:tbl>
      <w:tblPr>
        <w:tblStyle w:val="75"/>
        <w:tblW w:w="9299" w:type="dxa"/>
        <w:tblInd w:w="0" w:type="dxa"/>
        <w:tblLayout w:type="fixed"/>
        <w:tblCellMar>
          <w:top w:w="0" w:type="dxa"/>
          <w:left w:w="108" w:type="dxa"/>
          <w:bottom w:w="0" w:type="dxa"/>
          <w:right w:w="108" w:type="dxa"/>
        </w:tblCellMar>
      </w:tblPr>
      <w:tblGrid>
        <w:gridCol w:w="1009"/>
        <w:gridCol w:w="2643"/>
        <w:gridCol w:w="5647"/>
      </w:tblGrid>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招标人：广州市花都区交通运输局</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地址：广州市花都区紫薇路23号</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邮政编码：510800</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联系人：</w:t>
            </w:r>
            <w:r>
              <w:rPr>
                <w:rFonts w:hint="eastAsia" w:ascii="宋体" w:hAnsi="宋体" w:cs="宋体"/>
                <w:color w:val="auto"/>
                <w:szCs w:val="21"/>
                <w:highlight w:val="none"/>
                <w:u w:val="single"/>
                <w:lang w:eastAsia="zh-CN"/>
              </w:rPr>
              <w:t>李小姐</w:t>
            </w: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电话：020-36807776</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招标代理机构：</w:t>
            </w:r>
            <w:r>
              <w:rPr>
                <w:rFonts w:hint="eastAsia" w:ascii="宋体" w:hAnsi="宋体" w:cs="宋体"/>
                <w:color w:val="auto"/>
                <w:szCs w:val="21"/>
                <w:highlight w:val="none"/>
                <w:u w:val="single"/>
                <w:lang w:eastAsia="zh-CN"/>
              </w:rPr>
              <w:t>广州市交正工程咨询有限公司</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地址：广州市番禺区洛溪康宁西路118号2号楼</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邮政编码：511431</w:t>
            </w:r>
          </w:p>
          <w:p>
            <w:pPr>
              <w:spacing w:line="360"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联系人：黄小姐</w:t>
            </w:r>
          </w:p>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电话：020-39185654</w:t>
            </w:r>
          </w:p>
        </w:tc>
      </w:tr>
      <w:tr>
        <w:tblPrEx>
          <w:tblCellMar>
            <w:top w:w="0" w:type="dxa"/>
            <w:left w:w="108" w:type="dxa"/>
            <w:bottom w:w="0" w:type="dxa"/>
            <w:right w:w="108" w:type="dxa"/>
          </w:tblCellMar>
        </w:tblPrEx>
        <w:trPr>
          <w:trHeight w:val="482"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新花大道（花都大道-迎宾大道）工程第三方检测监测（第3标段）</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1.1.5</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项目建设地点</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1.1.6</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项目建设规模</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1.1.7</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工程项目预计开工日期和建设周期</w:t>
            </w:r>
          </w:p>
        </w:tc>
        <w:tc>
          <w:tcPr>
            <w:tcW w:w="5647" w:type="dxa"/>
            <w:tcBorders>
              <w:top w:val="single" w:color="auto" w:sz="4" w:space="0"/>
              <w:left w:val="nil"/>
              <w:bottom w:val="single" w:color="auto" w:sz="4" w:space="0"/>
              <w:right w:val="single" w:color="auto" w:sz="4" w:space="0"/>
            </w:tcBorders>
            <w:shd w:val="clear" w:color="auto" w:fill="auto"/>
            <w:vAlign w:val="center"/>
          </w:tcPr>
          <w:p>
            <w:pPr>
              <w:ind w:right="-239"/>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工程项目预计开工日期：开工时间以招标人通知为准。</w:t>
            </w:r>
          </w:p>
          <w:p>
            <w:pPr>
              <w:spacing w:line="360" w:lineRule="auto"/>
              <w:rPr>
                <w:rFonts w:ascii="宋体" w:hAnsi="宋体" w:cs="宋体"/>
                <w:color w:val="auto"/>
                <w:szCs w:val="21"/>
                <w:highlight w:val="none"/>
              </w:rPr>
            </w:pPr>
            <w:r>
              <w:rPr>
                <w:rFonts w:hint="eastAsia" w:ascii="宋体" w:hAnsi="宋体" w:eastAsia="宋体" w:cs="宋体"/>
                <w:color w:val="auto"/>
                <w:szCs w:val="21"/>
                <w:highlight w:val="none"/>
              </w:rPr>
              <w:t>建设周期：以</w:t>
            </w:r>
            <w:r>
              <w:rPr>
                <w:rFonts w:hint="eastAsia" w:ascii="宋体" w:hAnsi="宋体" w:cs="宋体"/>
                <w:color w:val="auto"/>
                <w:szCs w:val="21"/>
                <w:highlight w:val="none"/>
                <w:lang w:val="en-US" w:eastAsia="zh-CN"/>
              </w:rPr>
              <w:t>招标人</w:t>
            </w:r>
            <w:r>
              <w:rPr>
                <w:rFonts w:hint="eastAsia" w:ascii="宋体" w:hAnsi="宋体" w:eastAsia="宋体" w:cs="宋体"/>
                <w:color w:val="auto"/>
                <w:szCs w:val="21"/>
                <w:highlight w:val="none"/>
              </w:rPr>
              <w:t>通知为准。</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1.1.8</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建筑安装工程费/工程概算投资额</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1.2.1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资金来源及比例</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bCs/>
                <w:color w:val="auto"/>
                <w:szCs w:val="21"/>
                <w:highlight w:val="none"/>
              </w:rPr>
              <w:t>财政资金100%</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1.2.2</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资金落实情况</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已落实</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1.3.1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招标范围</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1.3.2</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服务期限</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val="0"/>
              <w:spacing w:beforeLines="15" w:beforeAutospacing="0" w:afterLines="15" w:afterAutospacing="0" w:line="360" w:lineRule="auto"/>
              <w:jc w:val="both"/>
              <w:rPr>
                <w:rFonts w:cs="宋体"/>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详见招标公告</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1.3.3</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质量标准</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cs="宋体" w:eastAsia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符合国家及省、市有关检测监测标准</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1.4.1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投标人资质条件、能力和信誉</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（1）资质要求：见招标公告投标人资格要求</w:t>
            </w:r>
          </w:p>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（2）财务要求： / </w:t>
            </w:r>
          </w:p>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（3）业绩要求： / </w:t>
            </w:r>
          </w:p>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（4）信誉要求： / </w:t>
            </w:r>
          </w:p>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（5）项目负责人的资格要求：见招标公告投标人资格要求</w:t>
            </w:r>
          </w:p>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（6）其他主要人员要求： / </w:t>
            </w:r>
          </w:p>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（7）试验检测仪器设备要求： / </w:t>
            </w:r>
          </w:p>
          <w:p>
            <w:pPr>
              <w:pStyle w:val="68"/>
              <w:widowControl w:val="0"/>
              <w:topLinePunct/>
              <w:spacing w:beforeAutospacing="0" w:afterAutospacing="0" w:line="360" w:lineRule="auto"/>
              <w:jc w:val="both"/>
              <w:rPr>
                <w:rFonts w:cs="宋体"/>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（8）其他要求：见招标公告投标人资格要求</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1.4.2</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是否接受联合体投标</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不接受</w:t>
            </w:r>
          </w:p>
          <w:p>
            <w:pPr>
              <w:spacing w:line="360" w:lineRule="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szCs w:val="21"/>
                <w:highlight w:val="none"/>
              </w:rPr>
              <w:t>接受，应满足下列要求：详见招标公告</w:t>
            </w:r>
            <w:r>
              <w:rPr>
                <w:rFonts w:hint="eastAsia" w:asciiTheme="minorEastAsia" w:hAnsiTheme="minorEastAsia" w:eastAsiaTheme="minorEastAsia" w:cstheme="minorEastAsia"/>
                <w:color w:val="auto"/>
                <w:szCs w:val="21"/>
                <w:highlight w:val="none"/>
                <w:lang w:val="en-US" w:eastAsia="zh-CN"/>
              </w:rPr>
              <w:t>3.4</w:t>
            </w:r>
            <w:r>
              <w:rPr>
                <w:rFonts w:hint="eastAsia" w:asciiTheme="minorEastAsia" w:hAnsiTheme="minorEastAsia" w:eastAsiaTheme="minorEastAsia" w:cstheme="minorEastAsia"/>
                <w:color w:val="auto"/>
                <w:szCs w:val="21"/>
                <w:highlight w:val="none"/>
              </w:rPr>
              <w:t>。</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1.4.3</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投标人不得存在的其他情形</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pacing w:val="10"/>
                <w:szCs w:val="21"/>
                <w:highlight w:val="none"/>
              </w:rPr>
            </w:pPr>
            <w:r>
              <w:rPr>
                <w:rFonts w:hint="eastAsia" w:asciiTheme="minorEastAsia" w:hAnsiTheme="minorEastAsia" w:eastAsiaTheme="minorEastAsia" w:cstheme="minorEastAsia"/>
                <w:color w:val="auto"/>
                <w:szCs w:val="21"/>
                <w:highlight w:val="none"/>
              </w:rPr>
              <w:t>本公司自202</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rPr>
              <w:t>日至今因以往检测工作中存在伪造检测数据、出具虚假检测报告的行为被各级建设行政主管部门或市场监督管理部门行政处罚或通报的。</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1.9.1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踏勘现场</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szCs w:val="21"/>
                <w:highlight w:val="none"/>
              </w:rPr>
              <w:t>不组织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组织</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投标预备会</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szCs w:val="21"/>
                <w:highlight w:val="none"/>
              </w:rPr>
              <w:t>不召开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召开</w:t>
            </w:r>
          </w:p>
        </w:tc>
      </w:tr>
      <w:tr>
        <w:tblPrEx>
          <w:tblCellMar>
            <w:top w:w="0" w:type="dxa"/>
            <w:left w:w="108" w:type="dxa"/>
            <w:bottom w:w="0" w:type="dxa"/>
            <w:right w:w="108" w:type="dxa"/>
          </w:tblCellMar>
        </w:tblPrEx>
        <w:trPr>
          <w:trHeight w:val="657"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1.10.2</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highlight w:val="none"/>
              </w:rPr>
              <w:t>投标人在投标预备会前提出问题</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时间：</w:t>
            </w:r>
            <w:r>
              <w:rPr>
                <w:rFonts w:hint="eastAsia" w:asciiTheme="minorEastAsia" w:hAnsiTheme="minorEastAsia" w:eastAsiaTheme="minorEastAsia" w:cstheme="minorEastAsia"/>
                <w:color w:val="auto"/>
                <w:szCs w:val="21"/>
                <w:highlight w:val="none"/>
              </w:rPr>
              <w:t>/</w:t>
            </w:r>
          </w:p>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地点:/</w:t>
            </w:r>
          </w:p>
        </w:tc>
      </w:tr>
      <w:tr>
        <w:tblPrEx>
          <w:tblCellMar>
            <w:top w:w="0" w:type="dxa"/>
            <w:left w:w="108" w:type="dxa"/>
            <w:bottom w:w="0" w:type="dxa"/>
            <w:right w:w="108" w:type="dxa"/>
          </w:tblCellMar>
        </w:tblPrEx>
        <w:trPr>
          <w:trHeight w:val="63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1.10.3</w:t>
            </w:r>
          </w:p>
        </w:tc>
        <w:tc>
          <w:tcPr>
            <w:tcW w:w="264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招标文件澄清发出的形式</w:t>
            </w:r>
          </w:p>
        </w:tc>
        <w:tc>
          <w:tcPr>
            <w:tcW w:w="5647" w:type="dxa"/>
            <w:tcBorders>
              <w:top w:val="single" w:color="auto" w:sz="4" w:space="0"/>
              <w:left w:val="nil"/>
              <w:bottom w:val="single" w:color="auto" w:sz="4" w:space="0"/>
              <w:right w:val="single" w:color="auto" w:sz="4" w:space="0"/>
            </w:tcBorders>
            <w:shd w:val="clear" w:color="auto" w:fill="auto"/>
            <w:vAlign w:val="center"/>
          </w:tcPr>
          <w:p>
            <w:pPr>
              <w:snapToGrid w:val="0"/>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（此为投标预备会的答疑澄清）</w:t>
            </w:r>
          </w:p>
        </w:tc>
      </w:tr>
      <w:tr>
        <w:tblPrEx>
          <w:tblCellMar>
            <w:top w:w="0" w:type="dxa"/>
            <w:left w:w="108" w:type="dxa"/>
            <w:bottom w:w="0" w:type="dxa"/>
            <w:right w:w="108" w:type="dxa"/>
          </w:tblCellMar>
        </w:tblPrEx>
        <w:trPr>
          <w:trHeight w:val="440"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1.12.1</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实质性要求和条件</w:t>
            </w:r>
          </w:p>
        </w:tc>
        <w:tc>
          <w:tcPr>
            <w:tcW w:w="56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topLinePunct/>
              <w:snapToGrid w:val="0"/>
              <w:jc w:val="both"/>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w:t>
            </w:r>
          </w:p>
        </w:tc>
      </w:tr>
      <w:tr>
        <w:tblPrEx>
          <w:tblCellMar>
            <w:top w:w="0" w:type="dxa"/>
            <w:left w:w="108" w:type="dxa"/>
            <w:bottom w:w="0" w:type="dxa"/>
            <w:right w:w="108" w:type="dxa"/>
          </w:tblCellMar>
        </w:tblPrEx>
        <w:trPr>
          <w:trHeight w:val="350"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color w:val="auto"/>
                <w:sz w:val="20"/>
                <w:szCs w:val="20"/>
                <w:highlight w:val="none"/>
              </w:rPr>
            </w:pPr>
            <w:r>
              <w:rPr>
                <w:rFonts w:hint="eastAsia" w:asciiTheme="minorEastAsia" w:hAnsiTheme="minorEastAsia" w:eastAsiaTheme="minorEastAsia" w:cstheme="minorEastAsia"/>
                <w:color w:val="auto"/>
                <w:szCs w:val="21"/>
                <w:highlight w:val="none"/>
              </w:rPr>
              <w:t>1.12.3</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color w:val="auto"/>
                <w:sz w:val="20"/>
                <w:szCs w:val="20"/>
                <w:highlight w:val="none"/>
              </w:rPr>
            </w:pPr>
            <w:r>
              <w:rPr>
                <w:rFonts w:hint="eastAsia" w:asciiTheme="minorEastAsia" w:hAnsiTheme="minorEastAsia" w:eastAsiaTheme="minorEastAsia" w:cstheme="minorEastAsia"/>
                <w:color w:val="auto"/>
                <w:szCs w:val="21"/>
                <w:highlight w:val="none"/>
              </w:rPr>
              <w:t>偏差</w:t>
            </w:r>
          </w:p>
        </w:tc>
        <w:tc>
          <w:tcPr>
            <w:tcW w:w="5647" w:type="dxa"/>
            <w:tcBorders>
              <w:top w:val="single" w:color="auto" w:sz="4" w:space="0"/>
              <w:left w:val="single" w:color="auto" w:sz="4" w:space="0"/>
              <w:bottom w:val="single" w:color="auto" w:sz="4" w:space="0"/>
              <w:right w:val="single" w:color="auto" w:sz="4" w:space="0"/>
            </w:tcBorders>
            <w:shd w:val="clear" w:color="auto" w:fill="auto"/>
          </w:tcPr>
          <w:p>
            <w:pPr>
              <w:snapToGrid w:val="0"/>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szCs w:val="21"/>
                <w:highlight w:val="none"/>
              </w:rPr>
              <w:t>不允许</w:t>
            </w:r>
          </w:p>
          <w:p>
            <w:pPr>
              <w:pStyle w:val="25"/>
              <w:topLinePunct/>
              <w:snapToGrid w:val="0"/>
              <w:jc w:val="both"/>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允许，偏差范围：/</w:t>
            </w:r>
          </w:p>
          <w:p>
            <w:pPr>
              <w:pStyle w:val="25"/>
              <w:topLinePunct/>
              <w:snapToGrid w:val="0"/>
              <w:ind w:firstLine="840" w:firstLineChars="400"/>
              <w:jc w:val="both"/>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偏差幅度：/</w:t>
            </w:r>
          </w:p>
        </w:tc>
      </w:tr>
      <w:tr>
        <w:tblPrEx>
          <w:tblCellMar>
            <w:top w:w="0" w:type="dxa"/>
            <w:left w:w="108" w:type="dxa"/>
            <w:bottom w:w="0" w:type="dxa"/>
            <w:right w:w="108" w:type="dxa"/>
          </w:tblCellMar>
        </w:tblPrEx>
        <w:trPr>
          <w:trHeight w:val="457"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2.1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构成招标文件的其他资料</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w:t>
            </w:r>
          </w:p>
        </w:tc>
      </w:tr>
      <w:tr>
        <w:tblPrEx>
          <w:tblCellMar>
            <w:top w:w="0" w:type="dxa"/>
            <w:left w:w="108" w:type="dxa"/>
            <w:bottom w:w="0" w:type="dxa"/>
            <w:right w:w="108" w:type="dxa"/>
          </w:tblCellMar>
        </w:tblPrEx>
        <w:trPr>
          <w:trHeight w:val="350" w:hRule="atLeast"/>
        </w:trPr>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2.2.1</w:t>
            </w:r>
          </w:p>
        </w:tc>
        <w:tc>
          <w:tcPr>
            <w:tcW w:w="2643" w:type="dxa"/>
            <w:vMerge w:val="restar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投标人要求澄清招标文件</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时间：投标文件递交截止时间</w:t>
            </w:r>
            <w:r>
              <w:rPr>
                <w:rFonts w:hint="eastAsia" w:asciiTheme="minorEastAsia" w:hAnsiTheme="minorEastAsia" w:eastAsiaTheme="minorEastAsia" w:cstheme="minorEastAsia"/>
                <w:color w:val="auto"/>
                <w:szCs w:val="21"/>
                <w:highlight w:val="none"/>
                <w:u w:val="single"/>
              </w:rPr>
              <w:t>18</w:t>
            </w:r>
            <w:r>
              <w:rPr>
                <w:rFonts w:hint="eastAsia" w:asciiTheme="minorEastAsia" w:hAnsiTheme="minorEastAsia" w:eastAsiaTheme="minorEastAsia" w:cstheme="minorEastAsia"/>
                <w:color w:val="auto"/>
                <w:szCs w:val="21"/>
                <w:highlight w:val="none"/>
              </w:rPr>
              <w:t>天前</w:t>
            </w:r>
          </w:p>
        </w:tc>
      </w:tr>
      <w:tr>
        <w:tblPrEx>
          <w:tblCellMar>
            <w:top w:w="0" w:type="dxa"/>
            <w:left w:w="108" w:type="dxa"/>
            <w:bottom w:w="0" w:type="dxa"/>
            <w:right w:w="108" w:type="dxa"/>
          </w:tblCellMar>
        </w:tblPrEx>
        <w:trPr>
          <w:trHeight w:val="3983" w:hRule="atLeast"/>
        </w:trPr>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color w:val="auto"/>
                <w:sz w:val="20"/>
                <w:szCs w:val="20"/>
                <w:highlight w:val="none"/>
              </w:rPr>
            </w:pPr>
          </w:p>
        </w:tc>
        <w:tc>
          <w:tcPr>
            <w:tcW w:w="2643" w:type="dxa"/>
            <w:vMerge w:val="continue"/>
            <w:tcBorders>
              <w:top w:val="single" w:color="auto" w:sz="4" w:space="0"/>
              <w:left w:val="nil"/>
              <w:bottom w:val="single" w:color="auto" w:sz="4" w:space="0"/>
              <w:right w:val="single" w:color="auto" w:sz="4" w:space="0"/>
            </w:tcBorders>
            <w:shd w:val="clear" w:color="auto" w:fill="auto"/>
            <w:vAlign w:val="center"/>
          </w:tcPr>
          <w:p>
            <w:pPr>
              <w:spacing w:line="360" w:lineRule="auto"/>
              <w:rPr>
                <w:color w:val="auto"/>
                <w:sz w:val="20"/>
                <w:szCs w:val="20"/>
                <w:highlight w:val="none"/>
              </w:rPr>
            </w:pP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形式：招标答疑采用网上答疑方式进行。投标人若对招标文件有疑问的，可在规定的时间内通过广州公共资源交易中心网站将问题提交给招标人或招标代理人，提交问题时一律不得署名。</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网上答疑操作指南：登录交易中心数字交易平台，进入“我是投标人”-&gt;“我的投标”-&gt;“招标答疑提问”查询项目并提问。</w:t>
            </w:r>
          </w:p>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kern w:val="2"/>
                <w:sz w:val="21"/>
                <w:szCs w:val="21"/>
                <w:highlight w:val="none"/>
              </w:rPr>
              <w:t>具体操作详见广州公共资源交易中心网站发布的《</w:t>
            </w:r>
            <w:r>
              <w:rPr>
                <w:rFonts w:hint="eastAsia" w:asciiTheme="minorEastAsia" w:hAnsiTheme="minorEastAsia" w:eastAsiaTheme="minorEastAsia" w:cstheme="minorEastAsia"/>
                <w:color w:val="auto"/>
                <w:szCs w:val="21"/>
                <w:highlight w:val="none"/>
              </w:rPr>
              <w:t>房屋建筑和市政基础设施工程全流程电子化项目专章（适用于投标人）</w:t>
            </w:r>
            <w:r>
              <w:rPr>
                <w:rFonts w:hint="eastAsia" w:asciiTheme="minorEastAsia" w:hAnsiTheme="minorEastAsia" w:eastAsiaTheme="minorEastAsia" w:cstheme="minorEastAsia"/>
                <w:color w:val="auto"/>
                <w:kern w:val="2"/>
                <w:sz w:val="21"/>
                <w:szCs w:val="21"/>
                <w:highlight w:val="none"/>
              </w:rPr>
              <w:t>》。</w:t>
            </w:r>
          </w:p>
        </w:tc>
      </w:tr>
      <w:tr>
        <w:tblPrEx>
          <w:tblCellMar>
            <w:top w:w="0" w:type="dxa"/>
            <w:left w:w="108" w:type="dxa"/>
            <w:bottom w:w="0" w:type="dxa"/>
            <w:right w:w="108" w:type="dxa"/>
          </w:tblCellMar>
        </w:tblPrEx>
        <w:trPr>
          <w:trHeight w:val="968"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2.2.2</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招标文件澄清发出的形式</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在递交投标文件截止时间15天前；在广州公共资源交易中心网站通过项目答疑专区网上公开发布。</w:t>
            </w:r>
          </w:p>
        </w:tc>
      </w:tr>
      <w:tr>
        <w:tblPrEx>
          <w:tblCellMar>
            <w:top w:w="0" w:type="dxa"/>
            <w:left w:w="108" w:type="dxa"/>
            <w:bottom w:w="0" w:type="dxa"/>
            <w:right w:w="108" w:type="dxa"/>
          </w:tblCellMar>
        </w:tblPrEx>
        <w:trPr>
          <w:trHeight w:val="350" w:hRule="atLeast"/>
        </w:trPr>
        <w:tc>
          <w:tcPr>
            <w:tcW w:w="1009" w:type="dxa"/>
            <w:vMerge w:val="restart"/>
            <w:tcBorders>
              <w:top w:val="nil"/>
              <w:left w:val="single" w:color="auto" w:sz="4" w:space="0"/>
              <w:bottom w:val="nil"/>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2.2.3</w:t>
            </w:r>
          </w:p>
        </w:tc>
        <w:tc>
          <w:tcPr>
            <w:tcW w:w="2643" w:type="dxa"/>
            <w:vMerge w:val="restart"/>
            <w:tcBorders>
              <w:top w:val="nil"/>
              <w:left w:val="nil"/>
              <w:bottom w:val="nil"/>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投标人确认收到招标文件澄清</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时间：发出即视作收到</w:t>
            </w:r>
          </w:p>
        </w:tc>
      </w:tr>
      <w:tr>
        <w:tblPrEx>
          <w:tblCellMar>
            <w:top w:w="0" w:type="dxa"/>
            <w:left w:w="108" w:type="dxa"/>
            <w:bottom w:w="0" w:type="dxa"/>
            <w:right w:w="108" w:type="dxa"/>
          </w:tblCellMar>
        </w:tblPrEx>
        <w:trPr>
          <w:trHeight w:val="350" w:hRule="atLeast"/>
        </w:trPr>
        <w:tc>
          <w:tcPr>
            <w:tcW w:w="1009" w:type="dxa"/>
            <w:vMerge w:val="continue"/>
            <w:tcBorders>
              <w:top w:val="nil"/>
              <w:left w:val="single" w:color="auto" w:sz="4" w:space="0"/>
              <w:bottom w:val="nil"/>
              <w:right w:val="single" w:color="auto" w:sz="4" w:space="0"/>
            </w:tcBorders>
            <w:shd w:val="clear" w:color="auto" w:fill="auto"/>
            <w:vAlign w:val="center"/>
          </w:tcPr>
          <w:p>
            <w:pPr>
              <w:spacing w:line="360" w:lineRule="auto"/>
              <w:rPr>
                <w:color w:val="auto"/>
                <w:sz w:val="20"/>
                <w:szCs w:val="20"/>
                <w:highlight w:val="none"/>
              </w:rPr>
            </w:pPr>
          </w:p>
        </w:tc>
        <w:tc>
          <w:tcPr>
            <w:tcW w:w="2643" w:type="dxa"/>
            <w:vMerge w:val="continue"/>
            <w:tcBorders>
              <w:top w:val="nil"/>
              <w:left w:val="nil"/>
              <w:bottom w:val="nil"/>
              <w:right w:val="single" w:color="auto" w:sz="4" w:space="0"/>
            </w:tcBorders>
            <w:shd w:val="clear" w:color="auto" w:fill="auto"/>
            <w:vAlign w:val="center"/>
          </w:tcPr>
          <w:p>
            <w:pPr>
              <w:spacing w:line="360" w:lineRule="auto"/>
              <w:rPr>
                <w:color w:val="auto"/>
                <w:sz w:val="20"/>
                <w:szCs w:val="20"/>
                <w:highlight w:val="none"/>
              </w:rPr>
            </w:pP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形式：招标文件澄清（招标答疑纪要）一经在广州公共资源交易中心网站发布，视作已发放给所有投标人。</w:t>
            </w:r>
          </w:p>
        </w:tc>
      </w:tr>
      <w:tr>
        <w:tblPrEx>
          <w:tblCellMar>
            <w:top w:w="0" w:type="dxa"/>
            <w:left w:w="108" w:type="dxa"/>
            <w:bottom w:w="0" w:type="dxa"/>
            <w:right w:w="108" w:type="dxa"/>
          </w:tblCellMar>
        </w:tblPrEx>
        <w:trPr>
          <w:trHeight w:val="442"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2.3.1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招标文件修改发出的形式</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以补充公告或项目答疑澄清的方式在广州公共资源交易中心网站发布。</w:t>
            </w:r>
          </w:p>
        </w:tc>
      </w:tr>
      <w:tr>
        <w:tblPrEx>
          <w:tblCellMar>
            <w:top w:w="0" w:type="dxa"/>
            <w:left w:w="108" w:type="dxa"/>
            <w:bottom w:w="0" w:type="dxa"/>
            <w:right w:w="108" w:type="dxa"/>
          </w:tblCellMar>
        </w:tblPrEx>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2.3.2</w:t>
            </w:r>
          </w:p>
        </w:tc>
        <w:tc>
          <w:tcPr>
            <w:tcW w:w="2643" w:type="dxa"/>
            <w:vMerge w:val="restar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投标人确认收到招标文件修改</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cs="宋体"/>
                <w:color w:val="auto"/>
                <w:szCs w:val="21"/>
                <w:highlight w:val="none"/>
              </w:rPr>
            </w:pPr>
            <w:r>
              <w:rPr>
                <w:rFonts w:hint="eastAsia" w:asciiTheme="minorEastAsia" w:hAnsiTheme="minorEastAsia" w:eastAsiaTheme="minorEastAsia" w:cstheme="minorEastAsia"/>
                <w:color w:val="auto"/>
                <w:szCs w:val="21"/>
                <w:highlight w:val="none"/>
              </w:rPr>
              <w:t>时间：发出即视作收到</w:t>
            </w:r>
          </w:p>
        </w:tc>
      </w:tr>
      <w:tr>
        <w:tblPrEx>
          <w:tblCellMar>
            <w:top w:w="0" w:type="dxa"/>
            <w:left w:w="108" w:type="dxa"/>
            <w:bottom w:w="0" w:type="dxa"/>
            <w:right w:w="108" w:type="dxa"/>
          </w:tblCellMar>
        </w:tblPrEx>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p>
        </w:tc>
        <w:tc>
          <w:tcPr>
            <w:tcW w:w="2643" w:type="dxa"/>
            <w:vMerge w:val="continue"/>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cs="宋体"/>
                <w:color w:val="auto"/>
                <w:szCs w:val="21"/>
                <w:highlight w:val="none"/>
              </w:rPr>
            </w:pPr>
            <w:r>
              <w:rPr>
                <w:rFonts w:hint="eastAsia" w:asciiTheme="minorEastAsia" w:hAnsiTheme="minorEastAsia" w:eastAsiaTheme="minorEastAsia" w:cstheme="minorEastAsia"/>
                <w:color w:val="auto"/>
                <w:szCs w:val="21"/>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3.1.1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构成投标文件的其他资料</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cs="宋体"/>
                <w:color w:val="auto"/>
                <w:szCs w:val="21"/>
                <w:highlight w:val="none"/>
              </w:rPr>
            </w:pPr>
            <w:r>
              <w:rPr>
                <w:rFonts w:hint="eastAsia" w:asciiTheme="minorEastAsia" w:hAnsiTheme="minorEastAsia" w:eastAsiaTheme="minorEastAsia" w:cstheme="minorEastAsia"/>
                <w:color w:val="auto"/>
                <w:szCs w:val="21"/>
                <w:highlight w:val="none"/>
              </w:rPr>
              <w:t>/</w:t>
            </w:r>
          </w:p>
        </w:tc>
      </w:tr>
      <w:tr>
        <w:tblPrEx>
          <w:tblCellMar>
            <w:top w:w="0" w:type="dxa"/>
            <w:left w:w="108" w:type="dxa"/>
            <w:bottom w:w="0" w:type="dxa"/>
            <w:right w:w="108" w:type="dxa"/>
          </w:tblCellMar>
        </w:tblPrEx>
        <w:trPr>
          <w:trHeight w:val="532"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增值税税金的计算方法</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u w:val="single"/>
                <w:lang w:val="en-US" w:eastAsia="zh-CN"/>
              </w:rPr>
              <w:t>/</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3.2.3</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报价方式</w:t>
            </w:r>
          </w:p>
        </w:tc>
        <w:tc>
          <w:tcPr>
            <w:tcW w:w="564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（1）投标报价:本项目按</w:t>
            </w:r>
            <w:r>
              <w:rPr>
                <w:rFonts w:hint="eastAsia" w:ascii="宋体" w:hAnsi="宋体" w:eastAsia="宋体" w:cs="宋体"/>
                <w:b/>
                <w:bCs/>
                <w:color w:val="auto"/>
                <w:szCs w:val="21"/>
                <w:highlight w:val="none"/>
              </w:rPr>
              <w:t>投标费率（%）</w:t>
            </w:r>
            <w:r>
              <w:rPr>
                <w:rFonts w:hint="eastAsia" w:ascii="宋体" w:hAnsi="宋体" w:eastAsia="宋体" w:cs="宋体"/>
                <w:color w:val="auto"/>
                <w:szCs w:val="21"/>
                <w:highlight w:val="none"/>
              </w:rPr>
              <w:t>进行报价。（最高投标费率上限：≦100%，若超过视为无效报价，投标文件被视为无效处理。）</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w:t>
            </w:r>
            <w:r>
              <w:rPr>
                <w:rFonts w:hint="eastAsia" w:ascii="宋体" w:hAnsi="宋体" w:eastAsia="宋体" w:cs="宋体"/>
                <w:color w:val="auto"/>
                <w:szCs w:val="21"/>
                <w:highlight w:val="none"/>
                <w:lang w:eastAsia="zh-CN"/>
              </w:rPr>
              <w:t>最高投标限价</w:t>
            </w:r>
            <w:r>
              <w:rPr>
                <w:rFonts w:hint="eastAsia" w:ascii="宋体" w:hAnsi="宋体" w:eastAsia="宋体" w:cs="宋体"/>
                <w:color w:val="auto"/>
                <w:szCs w:val="21"/>
                <w:highlight w:val="none"/>
              </w:rPr>
              <w:t>只作为招标的依据，</w:t>
            </w:r>
            <w:r>
              <w:rPr>
                <w:rFonts w:hint="eastAsia" w:ascii="宋体" w:hAnsi="宋体" w:eastAsia="宋体" w:cs="宋体"/>
                <w:b/>
                <w:bCs/>
                <w:color w:val="auto"/>
                <w:szCs w:val="21"/>
                <w:highlight w:val="none"/>
              </w:rPr>
              <w:t>投标费率（%）</w:t>
            </w:r>
            <w:r>
              <w:rPr>
                <w:rFonts w:hint="eastAsia" w:ascii="宋体" w:hAnsi="宋体" w:eastAsia="宋体" w:cs="宋体"/>
                <w:color w:val="auto"/>
                <w:szCs w:val="21"/>
                <w:highlight w:val="none"/>
              </w:rPr>
              <w:t>作为签订合同的依据。</w:t>
            </w:r>
          </w:p>
          <w:p>
            <w:pPr>
              <w:pStyle w:val="68"/>
              <w:widowControl w:val="0"/>
              <w:topLinePunct/>
              <w:spacing w:beforeAutospacing="0" w:afterAutospacing="0" w:line="360" w:lineRule="auto"/>
              <w:jc w:val="both"/>
              <w:rPr>
                <w:rFonts w:cs="宋体"/>
                <w:color w:val="auto"/>
                <w:kern w:val="2"/>
                <w:sz w:val="21"/>
                <w:szCs w:val="21"/>
                <w:highlight w:val="none"/>
              </w:rPr>
            </w:pPr>
            <w:r>
              <w:rPr>
                <w:rFonts w:hint="eastAsia" w:ascii="宋体" w:hAnsi="宋体" w:eastAsia="宋体" w:cs="宋体"/>
                <w:color w:val="auto"/>
                <w:sz w:val="21"/>
                <w:szCs w:val="21"/>
                <w:highlight w:val="none"/>
              </w:rPr>
              <w:t>（3）最终合同结算价以财政部门审核的结算价并结合所报</w:t>
            </w:r>
            <w:r>
              <w:rPr>
                <w:rFonts w:hint="eastAsia" w:ascii="宋体" w:hAnsi="宋体" w:eastAsia="宋体" w:cs="宋体"/>
                <w:b/>
                <w:bCs/>
                <w:color w:val="auto"/>
                <w:sz w:val="21"/>
                <w:szCs w:val="21"/>
                <w:highlight w:val="none"/>
              </w:rPr>
              <w:t>投标费率（%）</w:t>
            </w:r>
            <w:r>
              <w:rPr>
                <w:rFonts w:hint="eastAsia" w:ascii="宋体" w:hAnsi="宋体" w:eastAsia="宋体" w:cs="宋体"/>
                <w:color w:val="auto"/>
                <w:sz w:val="21"/>
                <w:szCs w:val="21"/>
                <w:highlight w:val="none"/>
              </w:rPr>
              <w:t>结算（结算价最终不得超过财政概算评审价）</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3.2.4</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最高投标限价</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rPr>
                <w:rFonts w:asciiTheme="minorEastAsia" w:hAnsiTheme="minorEastAsia" w:eastAsiaTheme="minorEastAsia" w:cstheme="minorEastAsia"/>
                <w:color w:val="auto"/>
                <w:kern w:val="2"/>
                <w:sz w:val="21"/>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kern w:val="2"/>
                <w:sz w:val="21"/>
                <w:szCs w:val="21"/>
                <w:highlight w:val="none"/>
              </w:rPr>
              <w:t>有，最高投标限价</w:t>
            </w:r>
            <w:r>
              <w:rPr>
                <w:rFonts w:hint="eastAsia" w:cs="宋体"/>
                <w:color w:val="auto"/>
                <w:kern w:val="2"/>
                <w:sz w:val="21"/>
                <w:szCs w:val="21"/>
                <w:highlight w:val="none"/>
                <w:u w:val="single"/>
                <w:lang w:val="en-US" w:eastAsia="zh-CN"/>
              </w:rPr>
              <w:t>1761.5</w:t>
            </w:r>
            <w:r>
              <w:rPr>
                <w:rFonts w:hint="eastAsia" w:asciiTheme="minorEastAsia" w:hAnsiTheme="minorEastAsia" w:eastAsiaTheme="minorEastAsia" w:cstheme="minorEastAsia"/>
                <w:color w:val="auto"/>
                <w:kern w:val="2"/>
                <w:sz w:val="21"/>
                <w:szCs w:val="21"/>
                <w:highlight w:val="none"/>
                <w:u w:val="single"/>
              </w:rPr>
              <w:t>万元</w:t>
            </w:r>
            <w:r>
              <w:rPr>
                <w:rFonts w:hint="eastAsia" w:asciiTheme="minorEastAsia" w:hAnsiTheme="minorEastAsia" w:eastAsiaTheme="minorEastAsia" w:cstheme="minorEastAsia"/>
                <w:color w:val="auto"/>
                <w:kern w:val="2"/>
                <w:sz w:val="21"/>
                <w:szCs w:val="21"/>
                <w:highlight w:val="none"/>
                <w:u w:val="single"/>
              </w:rPr>
              <w:t>。</w:t>
            </w:r>
          </w:p>
          <w:p>
            <w:pPr>
              <w:pStyle w:val="68"/>
              <w:widowControl w:val="0"/>
              <w:topLinePunct/>
              <w:spacing w:beforeAutospacing="0" w:afterAutospacing="0" w:line="360" w:lineRule="auto"/>
              <w:jc w:val="both"/>
              <w:rPr>
                <w:color w:val="auto"/>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kern w:val="2"/>
                <w:sz w:val="21"/>
                <w:szCs w:val="21"/>
                <w:highlight w:val="none"/>
              </w:rPr>
              <w:t>无</w:t>
            </w:r>
          </w:p>
        </w:tc>
      </w:tr>
      <w:tr>
        <w:tblPrEx>
          <w:tblCellMar>
            <w:top w:w="0" w:type="dxa"/>
            <w:left w:w="108" w:type="dxa"/>
            <w:bottom w:w="0" w:type="dxa"/>
            <w:right w:w="108" w:type="dxa"/>
          </w:tblCellMar>
        </w:tblPrEx>
        <w:trPr>
          <w:trHeight w:val="90"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3.2.5</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投标报价的其他要求</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cs="宋体"/>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投标人必须详细审阅全部招标文件,充分考虑职责和义务,全面地理解招标文件对投标报价的要求,并按招标人提出的条件及内容进行报价。</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3.3.1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cs="宋体"/>
                <w:color w:val="auto"/>
                <w:szCs w:val="21"/>
                <w:highlight w:val="none"/>
                <w:u w:val="single"/>
              </w:rPr>
            </w:pPr>
            <w:r>
              <w:rPr>
                <w:rFonts w:hint="eastAsia" w:asciiTheme="minorEastAsia" w:hAnsiTheme="minorEastAsia" w:eastAsiaTheme="minorEastAsia" w:cstheme="minorEastAsia"/>
                <w:color w:val="auto"/>
                <w:kern w:val="2"/>
                <w:sz w:val="21"/>
                <w:szCs w:val="21"/>
                <w:highlight w:val="none"/>
              </w:rPr>
              <w:t>自投标人提交投标文件截止之日起计算</w:t>
            </w:r>
            <w:r>
              <w:rPr>
                <w:rFonts w:hint="eastAsia" w:asciiTheme="minorEastAsia" w:hAnsiTheme="minorEastAsia" w:eastAsiaTheme="minorEastAsia" w:cstheme="minorEastAsia"/>
                <w:color w:val="auto"/>
                <w:kern w:val="2"/>
                <w:sz w:val="21"/>
                <w:szCs w:val="21"/>
                <w:highlight w:val="none"/>
                <w:u w:val="single"/>
              </w:rPr>
              <w:t>120</w:t>
            </w:r>
            <w:r>
              <w:rPr>
                <w:rFonts w:hint="eastAsia" w:asciiTheme="minorEastAsia" w:hAnsiTheme="minorEastAsia" w:eastAsiaTheme="minorEastAsia" w:cstheme="minorEastAsia"/>
                <w:color w:val="auto"/>
                <w:kern w:val="2"/>
                <w:sz w:val="21"/>
                <w:szCs w:val="21"/>
                <w:highlight w:val="none"/>
              </w:rPr>
              <w:t>日</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3.4.1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投标保证金</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asciiTheme="minorEastAsia" w:hAnsiTheme="minorEastAsia" w:eastAsiaTheme="minorEastAsia" w:cstheme="minorEastAsia"/>
                <w:color w:val="auto"/>
                <w:kern w:val="2"/>
                <w:sz w:val="21"/>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kern w:val="2"/>
                <w:sz w:val="21"/>
                <w:szCs w:val="21"/>
                <w:highlight w:val="none"/>
              </w:rPr>
              <w:t>要求，投标保证金的金额：</w:t>
            </w:r>
            <w:r>
              <w:rPr>
                <w:rFonts w:hint="eastAsia" w:asciiTheme="minorEastAsia" w:hAnsiTheme="minorEastAsia" w:eastAsiaTheme="minorEastAsia" w:cstheme="minorEastAsia"/>
                <w:color w:val="auto"/>
                <w:kern w:val="2"/>
                <w:sz w:val="21"/>
                <w:szCs w:val="21"/>
                <w:highlight w:val="none"/>
                <w:u w:val="single"/>
                <w:lang w:val="en-US" w:eastAsia="zh-CN"/>
              </w:rPr>
              <w:t>10</w:t>
            </w:r>
            <w:r>
              <w:rPr>
                <w:rFonts w:hint="eastAsia" w:asciiTheme="minorEastAsia" w:hAnsiTheme="minorEastAsia" w:eastAsiaTheme="minorEastAsia" w:cstheme="minorEastAsia"/>
                <w:color w:val="auto"/>
                <w:kern w:val="2"/>
                <w:sz w:val="21"/>
                <w:szCs w:val="21"/>
                <w:highlight w:val="none"/>
                <w:u w:val="single"/>
              </w:rPr>
              <w:t>万元</w:t>
            </w:r>
          </w:p>
          <w:p>
            <w:pPr>
              <w:pStyle w:val="4"/>
              <w:numPr>
                <w:ilvl w:val="-1"/>
                <w:numId w:val="0"/>
              </w:numPr>
              <w:ind w:left="0" w:firstLine="0"/>
              <w:jc w:val="both"/>
              <w:rPr>
                <w:rFonts w:hint="default" w:eastAsia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投标保证金的形式：银行保函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保险</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现金、银行汇票、银行本票、银行电汇、支票（现金支票、转账支票）等</w:t>
            </w:r>
            <w:r>
              <w:rPr>
                <w:rFonts w:hint="eastAsia" w:asciiTheme="minorEastAsia" w:hAnsiTheme="minorEastAsia" w:eastAsiaTheme="minorEastAsia" w:cstheme="minorEastAsia"/>
                <w:color w:val="auto"/>
                <w:sz w:val="21"/>
                <w:szCs w:val="21"/>
                <w:highlight w:val="none"/>
                <w:lang w:val="en-US" w:eastAsia="zh-CN"/>
              </w:rPr>
              <w:t>或其他合法形式。</w:t>
            </w:r>
          </w:p>
          <w:p>
            <w:pPr>
              <w:numPr>
                <w:ins w:id="1" w:author="as3" w:date="2022-09-01T10:19:32Z"/>
              </w:numPr>
              <w:spacing w:line="360" w:lineRule="auto"/>
              <w:jc w:val="left"/>
              <w:rPr>
                <w:rFonts w:hint="eastAsia" w:eastAsia="黑体"/>
                <w:color w:val="auto"/>
                <w:highlight w:val="none"/>
                <w:lang w:eastAsia="zh-CN"/>
              </w:rPr>
            </w:pP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招标人指定的开户银行及账号如下：</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开户银行：中国建设银行广州市天润路支行</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户    名：广州交易集团有限公司</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账</w:t>
            </w:r>
            <w:r>
              <w:rPr>
                <w:rFonts w:hint="eastAsia" w:asciiTheme="minorEastAsia" w:hAnsiTheme="minorEastAsia" w:eastAsiaTheme="minorEastAsia" w:cstheme="minorEastAsia"/>
                <w:color w:val="auto"/>
                <w:szCs w:val="21"/>
                <w:highlight w:val="none"/>
              </w:rPr>
              <w:t xml:space="preserve">    号：44001583404059333333</w:t>
            </w:r>
          </w:p>
          <w:p>
            <w:pPr>
              <w:spacing w:line="360" w:lineRule="auto"/>
              <w:jc w:val="left"/>
              <w:rPr>
                <w:rFonts w:hint="eastAsia" w:asciiTheme="minorEastAsia" w:hAnsiTheme="minorEastAsia" w:eastAsiaTheme="minorEastAsia" w:cstheme="minorEastAsia"/>
                <w:color w:val="auto"/>
                <w:szCs w:val="21"/>
                <w:highlight w:val="none"/>
              </w:rPr>
            </w:pP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如</w:t>
            </w:r>
            <w:r>
              <w:rPr>
                <w:rFonts w:hint="eastAsia" w:asciiTheme="minorEastAsia" w:hAnsiTheme="minorEastAsia" w:eastAsiaTheme="minorEastAsia" w:cstheme="minorEastAsia"/>
                <w:color w:val="auto"/>
                <w:szCs w:val="21"/>
                <w:highlight w:val="none"/>
              </w:rPr>
              <w:t>采用</w:t>
            </w:r>
            <w:r>
              <w:rPr>
                <w:rFonts w:hint="eastAsia" w:asciiTheme="minorEastAsia" w:hAnsiTheme="minorEastAsia" w:eastAsiaTheme="minorEastAsia" w:cstheme="minorEastAsia"/>
                <w:b/>
                <w:bCs/>
                <w:color w:val="auto"/>
                <w:sz w:val="21"/>
                <w:szCs w:val="21"/>
                <w:highlight w:val="none"/>
              </w:rPr>
              <w:t>银行汇票</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银行电汇</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Cs w:val="21"/>
                <w:highlight w:val="none"/>
              </w:rPr>
              <w:t>现金</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支票</w:t>
            </w:r>
            <w:r>
              <w:rPr>
                <w:rFonts w:hint="eastAsia" w:asciiTheme="minorEastAsia" w:hAnsiTheme="minorEastAsia" w:eastAsiaTheme="minorEastAsia" w:cstheme="minorEastAsia"/>
                <w:b w:val="0"/>
                <w:bCs w:val="0"/>
                <w:color w:val="auto"/>
                <w:szCs w:val="21"/>
                <w:highlight w:val="none"/>
              </w:rPr>
              <w:t>方</w:t>
            </w:r>
            <w:r>
              <w:rPr>
                <w:rFonts w:hint="eastAsia" w:asciiTheme="minorEastAsia" w:hAnsiTheme="minorEastAsia" w:eastAsiaTheme="minorEastAsia" w:cstheme="minorEastAsia"/>
                <w:color w:val="auto"/>
                <w:szCs w:val="21"/>
                <w:highlight w:val="none"/>
              </w:rPr>
              <w:t>式：由投标人的基本账户转入招标人指定的账户，投标保证金到达招标人指定账户时间为递交投标文件截止时间前（以到账时间为准）；具体操作详见《广州公共资源交易中心关于投标项目保证金操作指引的说明》。</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如采用</w:t>
            </w:r>
            <w:r>
              <w:rPr>
                <w:rFonts w:hint="eastAsia" w:asciiTheme="minorEastAsia" w:hAnsiTheme="minorEastAsia" w:eastAsiaTheme="minorEastAsia" w:cstheme="minorEastAsia"/>
                <w:b/>
                <w:bCs/>
                <w:color w:val="auto"/>
                <w:szCs w:val="21"/>
                <w:highlight w:val="none"/>
              </w:rPr>
              <w:t>保函</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保险</w:t>
            </w:r>
            <w:r>
              <w:rPr>
                <w:rFonts w:hint="eastAsia" w:asciiTheme="minorEastAsia" w:hAnsiTheme="minorEastAsia" w:eastAsiaTheme="minorEastAsia" w:cstheme="minorEastAsia"/>
                <w:color w:val="auto"/>
                <w:szCs w:val="21"/>
                <w:highlight w:val="none"/>
              </w:rPr>
              <w:t>等形式提交的，在开标前不强制要求提交相关文本原件，但投标人应在投标文件中提交投标保函或投标保证保险文本的扫描件并加盖投标人电子印章。评审结束后，中标候选人应在中标候选人公示前提交其办理的投标保函或投标保证保险扫描件并在网上予以公示。</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如投标人选择在开标前提交纸质原件的，可在投标截止时间前单独密封递交至开标室（时间及地点同递交备用投标文件电子光盘的时间及地点）。</w:t>
            </w:r>
          </w:p>
          <w:p>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其中采用广州公共资源交易中心电子投标保函的，以广州公共资源交易中心的相关操作指引为准</w:t>
            </w:r>
            <w:r>
              <w:rPr>
                <w:rFonts w:hint="eastAsia" w:asciiTheme="minorEastAsia" w:hAnsiTheme="minorEastAsia" w:eastAsiaTheme="minorEastAsia" w:cstheme="minorEastAsia"/>
                <w:color w:val="auto"/>
                <w:szCs w:val="21"/>
                <w:highlight w:val="none"/>
                <w:lang w:eastAsia="zh-CN"/>
              </w:rPr>
              <w:t>。</w:t>
            </w:r>
          </w:p>
          <w:p>
            <w:pPr>
              <w:spacing w:line="360" w:lineRule="auto"/>
              <w:ind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联合体投标时，投标保证金由联合体牵头</w:t>
            </w:r>
            <w:r>
              <w:rPr>
                <w:rFonts w:hint="eastAsia" w:asciiTheme="minorEastAsia" w:hAnsiTheme="minorEastAsia" w:eastAsiaTheme="minorEastAsia" w:cstheme="minorEastAsia"/>
                <w:color w:val="auto"/>
                <w:szCs w:val="21"/>
                <w:highlight w:val="none"/>
                <w:lang w:val="en-US" w:eastAsia="zh-CN"/>
              </w:rPr>
              <w:t>人</w:t>
            </w:r>
            <w:r>
              <w:rPr>
                <w:rFonts w:hint="eastAsia" w:asciiTheme="minorEastAsia" w:hAnsiTheme="minorEastAsia" w:eastAsiaTheme="minorEastAsia" w:cstheme="minorEastAsia"/>
                <w:color w:val="auto"/>
                <w:szCs w:val="21"/>
                <w:highlight w:val="none"/>
              </w:rPr>
              <w:t>递交。</w:t>
            </w:r>
          </w:p>
          <w:p>
            <w:pPr>
              <w:spacing w:line="360" w:lineRule="auto"/>
              <w:jc w:val="left"/>
              <w:rPr>
                <w:rFonts w:cs="宋体"/>
                <w:color w:val="auto"/>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不要求</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3.4.3</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投标保证金的利息计算原则</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cs="宋体"/>
                <w:color w:val="auto"/>
                <w:szCs w:val="21"/>
                <w:highlight w:val="none"/>
              </w:rPr>
            </w:pPr>
            <w:r>
              <w:rPr>
                <w:rFonts w:hint="eastAsia" w:asciiTheme="minorEastAsia" w:hAnsiTheme="minorEastAsia" w:eastAsiaTheme="minorEastAsia" w:cstheme="minorEastAsia"/>
                <w:color w:val="auto"/>
                <w:kern w:val="2"/>
                <w:sz w:val="21"/>
                <w:szCs w:val="21"/>
                <w:highlight w:val="none"/>
              </w:rPr>
              <w:t>按广州公共资源交易中心相关规定执行</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3.4.4</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其他可以不予退还投标保证金的情形</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cs="宋体"/>
                <w:color w:val="auto"/>
                <w:szCs w:val="21"/>
                <w:highlight w:val="none"/>
              </w:rPr>
            </w:pPr>
            <w:r>
              <w:rPr>
                <w:rFonts w:hint="eastAsia" w:asciiTheme="minorEastAsia" w:hAnsiTheme="minorEastAsia" w:eastAsiaTheme="minorEastAsia" w:cstheme="minorEastAsia"/>
                <w:color w:val="auto"/>
                <w:szCs w:val="21"/>
                <w:highlight w:val="none"/>
                <w:u w:val="single"/>
              </w:rPr>
              <w:t>按相关法律</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lang w:val="en-US" w:eastAsia="zh-CN"/>
              </w:rPr>
              <w:t>行政</w:t>
            </w:r>
            <w:r>
              <w:rPr>
                <w:rFonts w:hint="eastAsia" w:asciiTheme="minorEastAsia" w:hAnsiTheme="minorEastAsia" w:eastAsiaTheme="minorEastAsia" w:cstheme="minorEastAsia"/>
                <w:color w:val="auto"/>
                <w:szCs w:val="21"/>
                <w:highlight w:val="none"/>
                <w:u w:val="single"/>
              </w:rPr>
              <w:t>法规</w:t>
            </w:r>
            <w:r>
              <w:rPr>
                <w:rFonts w:hint="eastAsia" w:asciiTheme="minorEastAsia" w:hAnsiTheme="minorEastAsia" w:eastAsiaTheme="minorEastAsia" w:cstheme="minorEastAsia"/>
                <w:color w:val="auto"/>
                <w:szCs w:val="21"/>
                <w:highlight w:val="none"/>
                <w:u w:val="single"/>
                <w:lang w:val="en-US" w:eastAsia="zh-CN"/>
              </w:rPr>
              <w:t>规定</w:t>
            </w:r>
            <w:r>
              <w:rPr>
                <w:rFonts w:hint="eastAsia" w:asciiTheme="minorEastAsia" w:hAnsiTheme="minorEastAsia" w:eastAsiaTheme="minorEastAsia" w:cstheme="minorEastAsia"/>
                <w:color w:val="auto"/>
                <w:szCs w:val="21"/>
                <w:highlight w:val="none"/>
                <w:u w:val="single"/>
              </w:rPr>
              <w:t>执行</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3.5</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资格审查资料的特殊要求</w:t>
            </w:r>
          </w:p>
        </w:tc>
        <w:tc>
          <w:tcPr>
            <w:tcW w:w="5647" w:type="dxa"/>
            <w:tcBorders>
              <w:top w:val="single" w:color="auto" w:sz="4" w:space="0"/>
              <w:left w:val="nil"/>
              <w:bottom w:val="single" w:color="auto" w:sz="4" w:space="0"/>
              <w:right w:val="single" w:color="auto" w:sz="4" w:space="0"/>
            </w:tcBorders>
            <w:shd w:val="clear" w:color="auto" w:fill="auto"/>
            <w:vAlign w:val="center"/>
          </w:tcPr>
          <w:p>
            <w:pPr>
              <w:widowControl w:val="0"/>
              <w:topLinePunct/>
              <w:spacing w:beforeAutospacing="0" w:afterAutospacing="0" w:line="360" w:lineRule="auto"/>
              <w:jc w:val="both"/>
              <w:rPr>
                <w:rFonts w:asciiTheme="minorEastAsia" w:hAnsiTheme="minorEastAsia" w:eastAsiaTheme="minorEastAsia" w:cstheme="minorEastAsia"/>
                <w:color w:val="auto"/>
                <w:kern w:val="2"/>
                <w:sz w:val="21"/>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kern w:val="2"/>
                <w:sz w:val="21"/>
                <w:szCs w:val="21"/>
                <w:highlight w:val="none"/>
              </w:rPr>
              <w:t>无</w:t>
            </w:r>
          </w:p>
          <w:p>
            <w:pPr>
              <w:spacing w:line="360" w:lineRule="auto"/>
              <w:ind w:firstLine="0" w:firstLineChars="0"/>
              <w:rPr>
                <w:rFonts w:hint="eastAsia" w:asciiTheme="minorEastAsia" w:hAnsiTheme="minorEastAsia" w:eastAsiaTheme="minorEastAsia" w:cstheme="minorEastAsia"/>
                <w:color w:val="auto"/>
                <w:sz w:val="21"/>
                <w:szCs w:val="22"/>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kern w:val="2"/>
                <w:sz w:val="21"/>
                <w:szCs w:val="21"/>
                <w:highlight w:val="none"/>
              </w:rPr>
              <w:t>有，</w:t>
            </w:r>
            <w:r>
              <w:rPr>
                <w:rFonts w:hint="eastAsia" w:asciiTheme="minorEastAsia" w:hAnsiTheme="minorEastAsia" w:eastAsiaTheme="minorEastAsia" w:cstheme="minorEastAsia"/>
                <w:color w:val="auto"/>
                <w:sz w:val="21"/>
                <w:szCs w:val="22"/>
                <w:highlight w:val="none"/>
              </w:rPr>
              <w:t>具体要求：</w:t>
            </w:r>
          </w:p>
          <w:p>
            <w:pPr>
              <w:widowControl w:val="0"/>
              <w:topLinePunct/>
              <w:spacing w:beforeAutospacing="0" w:afterAutospacing="0" w:line="360" w:lineRule="auto"/>
              <w:jc w:val="both"/>
              <w:rPr>
                <w:rFonts w:cs="宋体"/>
                <w:color w:val="auto"/>
                <w:kern w:val="2"/>
                <w:sz w:val="21"/>
                <w:szCs w:val="21"/>
                <w:highlight w:val="none"/>
              </w:rPr>
            </w:pPr>
            <w:r>
              <w:rPr>
                <w:rFonts w:hint="eastAsia" w:asciiTheme="minorEastAsia" w:hAnsiTheme="minorEastAsia" w:eastAsiaTheme="minorEastAsia" w:cstheme="minorEastAsia"/>
                <w:color w:val="auto"/>
                <w:szCs w:val="22"/>
                <w:highlight w:val="none"/>
                <w:u w:val="single"/>
              </w:rPr>
              <w:t>本项目投标文件格式其他资料要求提供的“近年</w:t>
            </w:r>
            <w:r>
              <w:rPr>
                <w:rFonts w:hint="eastAsia" w:asciiTheme="minorEastAsia" w:hAnsiTheme="minorEastAsia" w:eastAsiaTheme="minorEastAsia" w:cstheme="minorEastAsia"/>
                <w:color w:val="auto"/>
                <w:szCs w:val="22"/>
                <w:highlight w:val="none"/>
                <w:u w:val="single"/>
                <w:lang w:val="en-US" w:eastAsia="zh-CN"/>
              </w:rPr>
              <w:t>承接</w:t>
            </w:r>
            <w:r>
              <w:rPr>
                <w:rFonts w:hint="eastAsia" w:asciiTheme="minorEastAsia" w:hAnsiTheme="minorEastAsia" w:eastAsiaTheme="minorEastAsia" w:cstheme="minorEastAsia"/>
                <w:color w:val="auto"/>
                <w:szCs w:val="22"/>
                <w:highlight w:val="none"/>
                <w:u w:val="single"/>
              </w:rPr>
              <w:t>的类似项目情况汇总表”、“近年</w:t>
            </w:r>
            <w:r>
              <w:rPr>
                <w:rFonts w:hint="eastAsia" w:asciiTheme="minorEastAsia" w:hAnsiTheme="minorEastAsia" w:eastAsiaTheme="minorEastAsia" w:cstheme="minorEastAsia"/>
                <w:color w:val="auto"/>
                <w:szCs w:val="22"/>
                <w:highlight w:val="none"/>
                <w:u w:val="single"/>
                <w:lang w:val="en-US" w:eastAsia="zh-CN"/>
              </w:rPr>
              <w:t>承接</w:t>
            </w:r>
            <w:r>
              <w:rPr>
                <w:rFonts w:hint="eastAsia" w:asciiTheme="minorEastAsia" w:hAnsiTheme="minorEastAsia" w:eastAsiaTheme="minorEastAsia" w:cstheme="minorEastAsia"/>
                <w:color w:val="auto"/>
                <w:szCs w:val="22"/>
                <w:highlight w:val="none"/>
                <w:u w:val="single"/>
              </w:rPr>
              <w:t>的类似项目情况表”、“拟</w:t>
            </w:r>
            <w:r>
              <w:rPr>
                <w:rFonts w:hint="eastAsia" w:asciiTheme="minorEastAsia" w:hAnsiTheme="minorEastAsia" w:eastAsiaTheme="minorEastAsia" w:cstheme="minorEastAsia"/>
                <w:color w:val="auto"/>
                <w:szCs w:val="22"/>
                <w:highlight w:val="none"/>
                <w:u w:val="single"/>
                <w:lang w:val="en-US" w:eastAsia="zh-CN"/>
              </w:rPr>
              <w:t>投入</w:t>
            </w:r>
            <w:r>
              <w:rPr>
                <w:rFonts w:hint="eastAsia" w:asciiTheme="minorEastAsia" w:hAnsiTheme="minorEastAsia" w:eastAsiaTheme="minorEastAsia" w:cstheme="minorEastAsia"/>
                <w:color w:val="auto"/>
                <w:szCs w:val="22"/>
                <w:highlight w:val="none"/>
                <w:u w:val="single"/>
              </w:rPr>
              <w:t>的主要人员汇总表”、“拟投入本项目的主要人员简历表”、“拟投入本项目的主要检测监测仪器设备一览表”，</w:t>
            </w:r>
            <w:r>
              <w:rPr>
                <w:rFonts w:hint="eastAsia" w:asciiTheme="minorEastAsia" w:hAnsiTheme="minorEastAsia" w:eastAsiaTheme="minorEastAsia" w:cstheme="minorEastAsia"/>
                <w:b/>
                <w:bCs/>
                <w:color w:val="auto"/>
                <w:szCs w:val="22"/>
                <w:highlight w:val="none"/>
                <w:u w:val="single"/>
              </w:rPr>
              <w:t>但不作为资格审查内容，上述内容资料需提供且作为评标资料（如有）。</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3.5.3</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近年</w:t>
            </w:r>
            <w:r>
              <w:rPr>
                <w:rFonts w:hint="eastAsia" w:asciiTheme="minorEastAsia" w:hAnsiTheme="minorEastAsia" w:eastAsiaTheme="minorEastAsia" w:cstheme="minorEastAsia"/>
                <w:color w:val="auto"/>
                <w:szCs w:val="21"/>
                <w:highlight w:val="none"/>
                <w:lang w:val="en-US" w:eastAsia="zh-CN"/>
              </w:rPr>
              <w:t>承接</w:t>
            </w:r>
            <w:r>
              <w:rPr>
                <w:rFonts w:hint="eastAsia" w:asciiTheme="minorEastAsia" w:hAnsiTheme="minorEastAsia" w:eastAsiaTheme="minorEastAsia" w:cstheme="minorEastAsia"/>
                <w:color w:val="auto"/>
                <w:szCs w:val="21"/>
                <w:highlight w:val="none"/>
              </w:rPr>
              <w:t>的类似项目情况的时间要求</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32"/>
                <w:szCs w:val="32"/>
                <w:highlight w:val="none"/>
                <w:lang w:eastAsia="zh-CN"/>
              </w:rPr>
            </w:pPr>
            <w:r>
              <w:rPr>
                <w:rFonts w:hint="eastAsia" w:asciiTheme="minorEastAsia" w:hAnsiTheme="minorEastAsia" w:eastAsiaTheme="minorEastAsia" w:cstheme="minorEastAsia"/>
                <w:color w:val="auto"/>
                <w:kern w:val="2"/>
                <w:sz w:val="21"/>
                <w:szCs w:val="21"/>
                <w:highlight w:val="none"/>
              </w:rPr>
              <w:t>201</w:t>
            </w:r>
            <w:r>
              <w:rPr>
                <w:rFonts w:hint="eastAsia" w:asciiTheme="minorEastAsia" w:hAnsiTheme="minorEastAsia" w:eastAsiaTheme="minorEastAsia" w:cstheme="minorEastAsia"/>
                <w:color w:val="auto"/>
                <w:kern w:val="2"/>
                <w:sz w:val="21"/>
                <w:szCs w:val="21"/>
                <w:highlight w:val="none"/>
                <w:lang w:val="en-US" w:eastAsia="zh-CN"/>
              </w:rPr>
              <w:t>8</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rPr>
              <w:t>月1日至投标文件递交截止之日止</w:t>
            </w:r>
            <w:r>
              <w:rPr>
                <w:rFonts w:hint="eastAsia" w:asciiTheme="minorEastAsia" w:hAnsiTheme="minorEastAsia" w:eastAsiaTheme="minorEastAsia" w:cstheme="minorEastAsia"/>
                <w:color w:val="auto"/>
                <w:kern w:val="2"/>
                <w:sz w:val="21"/>
                <w:szCs w:val="21"/>
                <w:highlight w:val="none"/>
                <w:lang w:eastAsia="zh-CN"/>
              </w:rPr>
              <w:t>。</w:t>
            </w:r>
          </w:p>
        </w:tc>
      </w:tr>
      <w:tr>
        <w:tblPrEx>
          <w:tblCellMar>
            <w:top w:w="0" w:type="dxa"/>
            <w:left w:w="108" w:type="dxa"/>
            <w:bottom w:w="0" w:type="dxa"/>
            <w:right w:w="108" w:type="dxa"/>
          </w:tblCellMar>
        </w:tblPrEx>
        <w:trPr>
          <w:trHeight w:val="1168"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3.6.1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是否允许递交备选投标方案</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asciiTheme="minorEastAsia" w:hAnsiTheme="minorEastAsia" w:eastAsiaTheme="minorEastAsia" w:cstheme="minorEastAsia"/>
                <w:color w:val="auto"/>
                <w:kern w:val="2"/>
                <w:sz w:val="21"/>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kern w:val="2"/>
                <w:sz w:val="21"/>
                <w:szCs w:val="21"/>
                <w:highlight w:val="none"/>
              </w:rPr>
              <w:t>不允许</w:t>
            </w:r>
          </w:p>
          <w:p>
            <w:pPr>
              <w:pStyle w:val="68"/>
              <w:widowControl w:val="0"/>
              <w:topLinePunct/>
              <w:spacing w:beforeAutospacing="0" w:afterAutospacing="0" w:line="360" w:lineRule="auto"/>
              <w:jc w:val="both"/>
              <w:rPr>
                <w:rFonts w:cs="宋体"/>
                <w:color w:val="auto"/>
                <w:kern w:val="2"/>
                <w:sz w:val="21"/>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kern w:val="2"/>
                <w:sz w:val="21"/>
                <w:szCs w:val="21"/>
                <w:highlight w:val="none"/>
              </w:rPr>
              <w:t>允许</w:t>
            </w:r>
          </w:p>
        </w:tc>
      </w:tr>
      <w:tr>
        <w:tblPrEx>
          <w:tblCellMar>
            <w:top w:w="0" w:type="dxa"/>
            <w:left w:w="108" w:type="dxa"/>
            <w:bottom w:w="0" w:type="dxa"/>
            <w:right w:w="108" w:type="dxa"/>
          </w:tblCellMar>
        </w:tblPrEx>
        <w:trPr>
          <w:trHeight w:val="999"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3.7.3</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投标文件所附证书证件要求</w:t>
            </w:r>
          </w:p>
        </w:tc>
        <w:tc>
          <w:tcPr>
            <w:tcW w:w="56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cs="宋体"/>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rPr>
              <w:t>证书证件需为原件清晰扫描件，并采用单位数字证书，按照招标文件要求在相应位置加盖电子印章。</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3.7.3</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投标文件签字或盖章要求</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具体操作详见广州公共资源交易中心网站发布的《房屋建筑和市政基础设施工程全流程电子化项目专章</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适用于投标人）</w:t>
            </w:r>
            <w:r>
              <w:rPr>
                <w:rFonts w:hint="eastAsia" w:asciiTheme="minorEastAsia" w:hAnsiTheme="minorEastAsia" w:eastAsiaTheme="minorEastAsia" w:cstheme="minorEastAsia"/>
                <w:color w:val="auto"/>
                <w:kern w:val="2"/>
                <w:sz w:val="21"/>
                <w:szCs w:val="21"/>
                <w:highlight w:val="none"/>
              </w:rPr>
              <w:t>》。</w:t>
            </w:r>
          </w:p>
          <w:p>
            <w:pPr>
              <w:pStyle w:val="68"/>
              <w:widowControl w:val="0"/>
              <w:topLinePunct/>
              <w:spacing w:beforeAutospacing="0" w:afterAutospacing="0" w:line="360" w:lineRule="auto"/>
              <w:jc w:val="both"/>
              <w:rPr>
                <w:rFonts w:cs="宋体"/>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联合体投标时，除《联合体协议书》必须联合体各方分别按要求进行签字、盖章外，投标文件封面及其他内容落款中的“投标人”应填写联合体各方的单位全称【格式为：(主)XXXX公司(成)XXXX公司(成)……】，由联合体牵头方签字、盖章即可。</w:t>
            </w:r>
          </w:p>
        </w:tc>
      </w:tr>
      <w:tr>
        <w:tblPrEx>
          <w:tblCellMar>
            <w:top w:w="0" w:type="dxa"/>
            <w:left w:w="108" w:type="dxa"/>
            <w:bottom w:w="0" w:type="dxa"/>
            <w:right w:w="108" w:type="dxa"/>
          </w:tblCellMar>
        </w:tblPrEx>
        <w:trPr>
          <w:trHeight w:val="150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4.1.1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投标文件加密要求</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hint="eastAsia" w:cs="宋体" w:eastAsiaTheme="minorEastAsia"/>
                <w:color w:val="auto"/>
                <w:szCs w:val="21"/>
                <w:highlight w:val="none"/>
                <w:u w:val="single"/>
                <w:lang w:eastAsia="zh-CN"/>
              </w:rPr>
            </w:pPr>
            <w:r>
              <w:rPr>
                <w:rFonts w:hint="eastAsia" w:asciiTheme="minorEastAsia" w:hAnsiTheme="minorEastAsia" w:eastAsiaTheme="minorEastAsia" w:cstheme="minorEastAsia"/>
                <w:color w:val="auto"/>
                <w:kern w:val="2"/>
                <w:sz w:val="21"/>
                <w:szCs w:val="21"/>
                <w:highlight w:val="none"/>
              </w:rPr>
              <w:t>网上递交的电子投标文件须进行加密。具体操作详见广州公共资源交易中心网站发布的《房屋建筑和市政基础设施工程全流程电子化项目专章</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适用于投标人）</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封套上应载明的信息</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对递交的备用投标文件电子光盘进行封装，封套上应注明如下信息：</w:t>
            </w:r>
          </w:p>
          <w:p>
            <w:pPr>
              <w:pStyle w:val="68"/>
              <w:widowControl w:val="0"/>
              <w:topLinePunct/>
              <w:spacing w:beforeAutospacing="0" w:afterAutospacing="0" w:line="360" w:lineRule="auto"/>
              <w:jc w:val="both"/>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招标人名称：</w:t>
            </w:r>
            <w:r>
              <w:rPr>
                <w:rFonts w:hint="eastAsia" w:cs="宋体"/>
                <w:color w:val="auto"/>
                <w:kern w:val="2"/>
                <w:sz w:val="21"/>
                <w:szCs w:val="21"/>
                <w:highlight w:val="none"/>
                <w:u w:val="single"/>
              </w:rPr>
              <w:t>广州市花都区交通运输局</w:t>
            </w:r>
          </w:p>
          <w:p>
            <w:pPr>
              <w:pStyle w:val="68"/>
              <w:widowControl w:val="0"/>
              <w:topLinePunct/>
              <w:spacing w:beforeAutospacing="0" w:afterAutospacing="0" w:line="360" w:lineRule="auto"/>
              <w:jc w:val="both"/>
              <w:rPr>
                <w:rFonts w:asciiTheme="minorEastAsia" w:hAnsiTheme="minorEastAsia" w:eastAsiaTheme="minorEastAsia" w:cstheme="minorEastAsia"/>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rPr>
              <w:t>招标人地址：</w:t>
            </w:r>
            <w:r>
              <w:rPr>
                <w:rFonts w:hint="eastAsia" w:asciiTheme="minorEastAsia" w:hAnsiTheme="minorEastAsia" w:eastAsiaTheme="minorEastAsia" w:cstheme="minorEastAsia"/>
                <w:color w:val="auto"/>
                <w:kern w:val="2"/>
                <w:sz w:val="21"/>
                <w:szCs w:val="21"/>
                <w:highlight w:val="none"/>
                <w:u w:val="single"/>
              </w:rPr>
              <w:t>广州市花都区紫薇路23号</w:t>
            </w:r>
          </w:p>
          <w:p>
            <w:pPr>
              <w:pStyle w:val="68"/>
              <w:widowControl w:val="0"/>
              <w:topLinePunct/>
              <w:spacing w:beforeAutospacing="0" w:afterAutospacing="0" w:line="360" w:lineRule="auto"/>
              <w:jc w:val="both"/>
              <w:rPr>
                <w:rFonts w:hint="eastAsia" w:asciiTheme="minorEastAsia" w:hAnsiTheme="minorEastAsia" w:eastAsiaTheme="minorEastAsia" w:cstheme="minorEastAsia"/>
                <w:color w:val="auto"/>
                <w:kern w:val="2"/>
                <w:sz w:val="21"/>
                <w:szCs w:val="21"/>
                <w:highlight w:val="none"/>
                <w:lang w:eastAsia="zh-CN"/>
              </w:rPr>
            </w:pPr>
            <w:r>
              <w:rPr>
                <w:rFonts w:hint="eastAsia" w:cs="宋体" w:eastAsiaTheme="minorEastAsia"/>
                <w:color w:val="auto"/>
                <w:kern w:val="2"/>
                <w:sz w:val="21"/>
                <w:szCs w:val="21"/>
                <w:highlight w:val="none"/>
                <w:u w:val="single"/>
                <w:lang w:eastAsia="zh-CN"/>
              </w:rPr>
              <w:t>新花大道（花都大道-迎宾大道）工程第三方检测监测（第3标段）</w:t>
            </w:r>
            <w:r>
              <w:rPr>
                <w:rFonts w:hint="eastAsia" w:asciiTheme="minorEastAsia" w:hAnsiTheme="minorEastAsia" w:eastAsiaTheme="minorEastAsia" w:cstheme="minorEastAsia"/>
                <w:color w:val="auto"/>
                <w:kern w:val="2"/>
                <w:sz w:val="21"/>
                <w:szCs w:val="21"/>
                <w:highlight w:val="none"/>
              </w:rPr>
              <w:t>投标文件</w:t>
            </w:r>
          </w:p>
          <w:p>
            <w:pPr>
              <w:pStyle w:val="68"/>
              <w:widowControl w:val="0"/>
              <w:topLinePunct/>
              <w:spacing w:beforeAutospacing="0" w:afterAutospacing="0" w:line="360" w:lineRule="auto"/>
              <w:jc w:val="both"/>
              <w:rPr>
                <w:rFonts w:asciiTheme="minorEastAsia" w:hAnsiTheme="minorEastAsia" w:eastAsiaTheme="minorEastAsia" w:cstheme="minorEastAsia"/>
                <w:color w:val="auto"/>
                <w:kern w:val="2"/>
                <w:sz w:val="21"/>
                <w:szCs w:val="21"/>
                <w:highlight w:val="none"/>
                <w:u w:val="single"/>
              </w:rPr>
            </w:pPr>
            <w:r>
              <w:rPr>
                <w:rFonts w:hint="eastAsia" w:asciiTheme="minorEastAsia" w:hAnsiTheme="minorEastAsia" w:eastAsiaTheme="minorEastAsia" w:cstheme="minorEastAsia"/>
                <w:color w:val="auto"/>
                <w:kern w:val="2"/>
                <w:sz w:val="21"/>
                <w:szCs w:val="21"/>
                <w:highlight w:val="none"/>
              </w:rPr>
              <w:t>招标项目编号：</w:t>
            </w:r>
            <w:r>
              <w:rPr>
                <w:rFonts w:hint="eastAsia" w:asciiTheme="minorEastAsia" w:hAnsiTheme="minorEastAsia" w:eastAsiaTheme="minorEastAsia" w:cstheme="minorEastAsia"/>
                <w:color w:val="auto"/>
                <w:kern w:val="2"/>
                <w:sz w:val="21"/>
                <w:szCs w:val="21"/>
                <w:highlight w:val="none"/>
                <w:u w:val="single"/>
              </w:rPr>
              <w:t xml:space="preserve">               </w:t>
            </w:r>
          </w:p>
          <w:p>
            <w:pPr>
              <w:pStyle w:val="68"/>
              <w:widowControl w:val="0"/>
              <w:topLinePunct/>
              <w:spacing w:beforeAutospacing="0" w:afterAutospacing="0" w:line="360" w:lineRule="auto"/>
              <w:jc w:val="both"/>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在</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lang w:eastAsia="zh-CN"/>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时</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分前不得开启</w:t>
            </w:r>
          </w:p>
          <w:p>
            <w:pPr>
              <w:pStyle w:val="68"/>
              <w:widowControl w:val="0"/>
              <w:topLinePunct/>
              <w:spacing w:beforeAutospacing="0" w:afterAutospacing="0" w:line="360" w:lineRule="auto"/>
              <w:jc w:val="both"/>
              <w:rPr>
                <w:rFonts w:cs="宋体"/>
                <w:color w:val="auto"/>
                <w:szCs w:val="21"/>
                <w:highlight w:val="none"/>
              </w:rPr>
            </w:pPr>
            <w:r>
              <w:rPr>
                <w:rFonts w:hint="eastAsia" w:asciiTheme="minorEastAsia" w:hAnsiTheme="minorEastAsia" w:eastAsiaTheme="minorEastAsia" w:cstheme="minorEastAsia"/>
                <w:color w:val="auto"/>
                <w:kern w:val="2"/>
                <w:sz w:val="21"/>
                <w:szCs w:val="21"/>
                <w:highlight w:val="none"/>
              </w:rPr>
              <w:t>投标人名称：</w:t>
            </w:r>
            <w:r>
              <w:rPr>
                <w:rFonts w:hint="eastAsia" w:asciiTheme="minorEastAsia" w:hAnsiTheme="minorEastAsia" w:eastAsiaTheme="minorEastAsia" w:cstheme="minorEastAsia"/>
                <w:color w:val="auto"/>
                <w:kern w:val="2"/>
                <w:highlight w:val="none"/>
                <w:u w:val="single"/>
              </w:rPr>
              <w:t xml:space="preserve">                    </w:t>
            </w:r>
          </w:p>
        </w:tc>
      </w:tr>
      <w:tr>
        <w:tblPrEx>
          <w:tblCellMar>
            <w:top w:w="0" w:type="dxa"/>
            <w:left w:w="108" w:type="dxa"/>
            <w:bottom w:w="0" w:type="dxa"/>
            <w:right w:w="108" w:type="dxa"/>
          </w:tblCellMar>
        </w:tblPrEx>
        <w:trPr>
          <w:trHeight w:val="435"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4.2.1</w:t>
            </w:r>
          </w:p>
        </w:tc>
        <w:tc>
          <w:tcPr>
            <w:tcW w:w="2643" w:type="dxa"/>
            <w:tcBorders>
              <w:top w:val="single" w:color="auto" w:sz="4" w:space="0"/>
              <w:left w:val="nil"/>
              <w:bottom w:val="single" w:color="auto" w:sz="4" w:space="0"/>
              <w:right w:val="single" w:color="auto" w:sz="4" w:space="0"/>
            </w:tcBorders>
            <w:shd w:val="clear" w:color="auto" w:fill="auto"/>
            <w:vAlign w:val="center"/>
          </w:tcPr>
          <w:p>
            <w:pPr>
              <w:snapToGrid w:val="0"/>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投标截止时间</w:t>
            </w:r>
          </w:p>
        </w:tc>
        <w:tc>
          <w:tcPr>
            <w:tcW w:w="5647" w:type="dxa"/>
            <w:tcBorders>
              <w:top w:val="single" w:color="auto" w:sz="4" w:space="0"/>
              <w:left w:val="nil"/>
              <w:bottom w:val="single" w:color="auto" w:sz="4" w:space="0"/>
              <w:right w:val="single" w:color="auto" w:sz="4" w:space="0"/>
            </w:tcBorders>
            <w:shd w:val="clear" w:color="auto" w:fill="auto"/>
            <w:vAlign w:val="center"/>
          </w:tcPr>
          <w:p>
            <w:pPr>
              <w:snapToGrid w:val="0"/>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u w:val="single"/>
              </w:rPr>
              <w:t>详见招标公告</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4.2.3</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是否退还投标文件</w:t>
            </w:r>
          </w:p>
        </w:tc>
        <w:tc>
          <w:tcPr>
            <w:tcW w:w="5647" w:type="dxa"/>
            <w:tcBorders>
              <w:top w:val="single" w:color="auto" w:sz="4" w:space="0"/>
              <w:left w:val="nil"/>
              <w:bottom w:val="single" w:color="auto" w:sz="4" w:space="0"/>
              <w:right w:val="single" w:color="auto" w:sz="4" w:space="0"/>
            </w:tcBorders>
            <w:shd w:val="clear" w:color="auto" w:fill="auto"/>
            <w:vAlign w:val="center"/>
          </w:tcPr>
          <w:p>
            <w:pPr>
              <w:pStyle w:val="68"/>
              <w:widowControl w:val="0"/>
              <w:topLinePunct/>
              <w:spacing w:beforeAutospacing="0" w:afterAutospacing="0" w:line="360" w:lineRule="auto"/>
              <w:jc w:val="both"/>
              <w:rPr>
                <w:rFonts w:asciiTheme="minorEastAsia" w:hAnsiTheme="minorEastAsia" w:eastAsiaTheme="minorEastAsia" w:cstheme="minorEastAsia"/>
                <w:color w:val="auto"/>
                <w:kern w:val="2"/>
                <w:sz w:val="21"/>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kern w:val="2"/>
                <w:sz w:val="21"/>
                <w:szCs w:val="21"/>
                <w:highlight w:val="none"/>
              </w:rPr>
              <w:t>否</w:t>
            </w:r>
          </w:p>
          <w:p>
            <w:pPr>
              <w:pStyle w:val="68"/>
              <w:widowControl w:val="0"/>
              <w:topLinePunct/>
              <w:spacing w:beforeAutospacing="0" w:afterAutospacing="0" w:line="360" w:lineRule="auto"/>
              <w:jc w:val="both"/>
              <w:rPr>
                <w:rFonts w:cs="宋体"/>
                <w:color w:val="auto"/>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kern w:val="2"/>
                <w:sz w:val="21"/>
                <w:szCs w:val="21"/>
                <w:highlight w:val="none"/>
              </w:rPr>
              <w:t>是</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5.1</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开标时间和地点</w:t>
            </w:r>
          </w:p>
        </w:tc>
        <w:tc>
          <w:tcPr>
            <w:tcW w:w="56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投标文件开标时间：</w:t>
            </w:r>
            <w:r>
              <w:rPr>
                <w:rFonts w:hint="eastAsia" w:asciiTheme="minorEastAsia" w:hAnsiTheme="minorEastAsia" w:eastAsiaTheme="minorEastAsia" w:cstheme="minorEastAsia"/>
                <w:color w:val="auto"/>
                <w:szCs w:val="21"/>
                <w:highlight w:val="none"/>
                <w:u w:val="single"/>
              </w:rPr>
              <w:t>同投标截止时间</w:t>
            </w:r>
          </w:p>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投标文件开标地点：</w:t>
            </w:r>
            <w:r>
              <w:rPr>
                <w:rFonts w:hint="eastAsia" w:asciiTheme="minorEastAsia" w:hAnsiTheme="minorEastAsia" w:eastAsiaTheme="minorEastAsia" w:cstheme="minorEastAsia"/>
                <w:color w:val="auto"/>
                <w:szCs w:val="21"/>
                <w:highlight w:val="none"/>
                <w:u w:val="single"/>
              </w:rPr>
              <w:t>本电子招投标项目在本章4.2.1项规定的投标截止时间（开标时间），在广州公共资源交易中心花都交易部公开开标，并邀请所有投标人的法定代表人或其委托代理人准时参加。</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5.2</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开标程序</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5.2.1 主持人按下列程序进行开标：</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（1）宣布开标纪律；</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（2）公布在投标截止时间前递交投标文件的投标人名称；</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（3）宣布开标人、唱标人、记录人、监标人等有关人员姓名；</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在投标截止时间后半小时内，投标人通过电子招标投标交易平台对已递交的电子投标文件进行解密，再由招标人或招标代理机构进行解密。解密完成后，公布招标项目名称、投标人名称、投标保证金的递交情况、投标</w:t>
            </w:r>
            <w:r>
              <w:rPr>
                <w:rFonts w:hint="eastAsia" w:asciiTheme="minorEastAsia" w:hAnsiTheme="minorEastAsia" w:eastAsiaTheme="minorEastAsia" w:cstheme="minorEastAsia"/>
                <w:color w:val="auto"/>
                <w:szCs w:val="21"/>
                <w:highlight w:val="none"/>
                <w:lang w:val="en-US" w:eastAsia="zh-CN"/>
              </w:rPr>
              <w:t>费率</w:t>
            </w:r>
            <w:r>
              <w:rPr>
                <w:rFonts w:hint="eastAsia" w:asciiTheme="minorEastAsia" w:hAnsiTheme="minorEastAsia" w:eastAsiaTheme="minorEastAsia" w:cstheme="minorEastAsia"/>
                <w:color w:val="auto"/>
                <w:szCs w:val="21"/>
                <w:highlight w:val="none"/>
              </w:rPr>
              <w:t>、服务期及其他内容，并记录在案；</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（5）投标人代表、招标人代表、监标人、记录人等有关人员在开标记录上签字确认；若有关人员不签字的，不影响开标程序；</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（6）开标结束。</w:t>
            </w:r>
          </w:p>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5.2.2 投标截止时间前未完成投标文件传输的或因投标人之外的原因造成投标文件未解密的，视为投标人撤回投标文件。因投标人原因造成投标文件未解密的或未在投标截止时间后半小时内解密的，视为撤销其投标文件。</w:t>
            </w:r>
          </w:p>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5.2.3 开标时，两个（含两个）以上的投标人加密打包投标文件电脑机器特征码一致的，不参与下一程序，并由评标委员会否决其投标。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910"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6.1.1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评标委员会的组建</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评标委员会构成：5人</w:t>
            </w:r>
            <w:r>
              <w:rPr>
                <w:rFonts w:hint="eastAsia" w:asciiTheme="minorEastAsia" w:hAnsiTheme="minorEastAsia" w:eastAsiaTheme="minorEastAsia" w:cstheme="minorEastAsia"/>
                <w:color w:val="auto"/>
                <w:szCs w:val="21"/>
                <w:highlight w:val="none"/>
                <w:lang w:val="en-US" w:eastAsia="zh-CN"/>
              </w:rPr>
              <w:t>或以上单数；</w:t>
            </w:r>
          </w:p>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评标委员会</w:t>
            </w:r>
            <w:r>
              <w:rPr>
                <w:rFonts w:hint="eastAsia" w:asciiTheme="minorEastAsia" w:hAnsiTheme="minorEastAsia" w:eastAsiaTheme="minorEastAsia" w:cstheme="minorEastAsia"/>
                <w:color w:val="auto"/>
                <w:szCs w:val="21"/>
                <w:highlight w:val="none"/>
                <w:lang w:val="en-US" w:eastAsia="zh-CN"/>
              </w:rPr>
              <w:t>由招标人依法组建。</w:t>
            </w:r>
          </w:p>
        </w:tc>
      </w:tr>
      <w:tr>
        <w:tblPrEx>
          <w:tblCellMar>
            <w:top w:w="0" w:type="dxa"/>
            <w:left w:w="108" w:type="dxa"/>
            <w:bottom w:w="0" w:type="dxa"/>
            <w:right w:w="108" w:type="dxa"/>
          </w:tblCellMar>
        </w:tblPrEx>
        <w:trPr>
          <w:trHeight w:val="890"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6.3.2</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评标委员会推荐中标候选人的人数</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left"/>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评标委员会推荐中标候选人的人数为3名</w:t>
            </w:r>
          </w:p>
        </w:tc>
      </w:tr>
      <w:tr>
        <w:tblPrEx>
          <w:tblCellMar>
            <w:top w:w="0" w:type="dxa"/>
            <w:left w:w="108" w:type="dxa"/>
            <w:bottom w:w="0" w:type="dxa"/>
            <w:right w:w="108" w:type="dxa"/>
          </w:tblCellMar>
        </w:tblPrEx>
        <w:trPr>
          <w:trHeight w:val="1282"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7.1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中标候选人公示媒介及期限</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公示媒介：广东省招标投标监管网、广州公共资源交易中心网站</w:t>
            </w:r>
          </w:p>
          <w:p>
            <w:pPr>
              <w:spacing w:line="360" w:lineRule="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公示期限：3日</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7.4</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是否授权评标委员会确定中标人</w:t>
            </w:r>
          </w:p>
        </w:tc>
        <w:tc>
          <w:tcPr>
            <w:tcW w:w="5647"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szCs w:val="21"/>
                <w:highlight w:val="none"/>
              </w:rPr>
              <w:t>否</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是</w:t>
            </w:r>
          </w:p>
        </w:tc>
      </w:tr>
      <w:tr>
        <w:tblPrEx>
          <w:tblCellMar>
            <w:top w:w="0" w:type="dxa"/>
            <w:left w:w="108" w:type="dxa"/>
            <w:bottom w:w="0" w:type="dxa"/>
            <w:right w:w="108" w:type="dxa"/>
          </w:tblCellMar>
        </w:tblPrEx>
        <w:trPr>
          <w:trHeight w:val="907"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7.5</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中标通知书和中标结果通知发出的形式</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cs="宋体"/>
                <w:color w:val="auto"/>
                <w:szCs w:val="21"/>
                <w:highlight w:val="none"/>
              </w:rPr>
            </w:pPr>
            <w:r>
              <w:rPr>
                <w:rFonts w:hint="eastAsia" w:asciiTheme="minorEastAsia" w:hAnsiTheme="minorEastAsia" w:eastAsiaTheme="minorEastAsia" w:cstheme="minorEastAsia"/>
                <w:color w:val="auto"/>
                <w:szCs w:val="21"/>
                <w:highlight w:val="none"/>
              </w:rPr>
              <w:t>中标通知书以</w:t>
            </w:r>
            <w:r>
              <w:rPr>
                <w:rFonts w:hint="eastAsia" w:asciiTheme="minorEastAsia" w:hAnsiTheme="minorEastAsia" w:eastAsiaTheme="minorEastAsia" w:cstheme="minorEastAsia"/>
                <w:color w:val="auto"/>
                <w:szCs w:val="21"/>
                <w:highlight w:val="none"/>
                <w:lang w:val="en-US" w:eastAsia="zh-CN"/>
              </w:rPr>
              <w:t>电子</w:t>
            </w:r>
            <w:r>
              <w:rPr>
                <w:rFonts w:hint="eastAsia" w:asciiTheme="minorEastAsia" w:hAnsiTheme="minorEastAsia" w:eastAsiaTheme="minorEastAsia" w:cstheme="minorEastAsia"/>
                <w:color w:val="auto"/>
                <w:szCs w:val="21"/>
                <w:highlight w:val="none"/>
              </w:rPr>
              <w:t>形式发出；中标结果在广东省招标投标监管网、广州公共资源交易中心网发布，视为已送达未中标的投标人，不再另行通知。</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cstheme="minorEastAsia"/>
                <w:color w:val="auto"/>
                <w:szCs w:val="21"/>
                <w:highlight w:val="none"/>
                <w:u w:val="singl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Theme="minorEastAsia" w:hAnsiTheme="minorEastAsia" w:eastAsiaTheme="minorEastAsia" w:cstheme="minorEastAsia"/>
                <w:color w:val="auto"/>
                <w:szCs w:val="21"/>
                <w:highlight w:val="none"/>
              </w:rPr>
              <w:t>要求，履约保证金的形式：由投标人自主选择</w:t>
            </w:r>
            <w:r>
              <w:rPr>
                <w:rFonts w:hint="eastAsia" w:asciiTheme="minorEastAsia" w:hAnsiTheme="minorEastAsia" w:eastAsiaTheme="minorEastAsia" w:cstheme="minorEastAsia"/>
                <w:color w:val="auto"/>
                <w:szCs w:val="21"/>
                <w:highlight w:val="none"/>
                <w:u w:val="single"/>
              </w:rPr>
              <w:t>采用现金（或支票）、银行保函、或其他合法形式。</w:t>
            </w:r>
          </w:p>
          <w:p>
            <w:pP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履约保证金的金额：</w:t>
            </w:r>
            <w:r>
              <w:rPr>
                <w:rFonts w:hint="eastAsia" w:asciiTheme="minorEastAsia" w:hAnsiTheme="minorEastAsia" w:eastAsiaTheme="minorEastAsia" w:cstheme="minorEastAsia"/>
                <w:color w:val="auto"/>
                <w:szCs w:val="21"/>
                <w:highlight w:val="none"/>
                <w:u w:val="single"/>
                <w:lang w:val="en-US" w:eastAsia="zh-CN"/>
              </w:rPr>
              <w:t>中标合同金额</w:t>
            </w:r>
            <w:r>
              <w:rPr>
                <w:rFonts w:hint="eastAsia" w:asciiTheme="minorEastAsia" w:hAnsiTheme="minorEastAsia" w:eastAsiaTheme="minorEastAsia" w:cstheme="minorEastAsia"/>
                <w:color w:val="auto"/>
                <w:szCs w:val="21"/>
                <w:highlight w:val="none"/>
                <w:u w:val="single"/>
                <w:lang w:eastAsia="zh-CN"/>
              </w:rPr>
              <w:t>的</w:t>
            </w:r>
            <w:r>
              <w:rPr>
                <w:rFonts w:hint="eastAsia" w:asciiTheme="minorEastAsia" w:hAnsiTheme="minorEastAsia" w:eastAsiaTheme="minorEastAsia" w:cstheme="minorEastAsia"/>
                <w:color w:val="auto"/>
                <w:szCs w:val="21"/>
                <w:highlight w:val="none"/>
                <w:u w:val="single"/>
                <w:lang w:val="en-US" w:eastAsia="zh-CN"/>
              </w:rPr>
              <w:t>10%</w:t>
            </w:r>
          </w:p>
          <w:p>
            <w:pPr>
              <w:spacing w:line="360" w:lineRule="auto"/>
              <w:ind w:firstLine="405" w:firstLineChars="209"/>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pacing w:val="-8"/>
                <w:szCs w:val="21"/>
                <w:highlight w:val="none"/>
              </w:rPr>
              <w:t>采用银行保函时，出具保函的银行级别</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lang w:val="en-US" w:eastAsia="zh-CN"/>
              </w:rPr>
              <w:t>广东省内或</w:t>
            </w:r>
            <w:r>
              <w:rPr>
                <w:rFonts w:hint="eastAsia" w:asciiTheme="minorEastAsia" w:hAnsiTheme="minorEastAsia" w:eastAsiaTheme="minorEastAsia" w:cstheme="minorEastAsia"/>
                <w:color w:val="auto"/>
                <w:szCs w:val="21"/>
                <w:highlight w:val="none"/>
                <w:u w:val="single"/>
              </w:rPr>
              <w:t>投标人公司注册所在地的全国性国有商业银行或股份制商业银行的分支机构。</w:t>
            </w:r>
          </w:p>
          <w:p>
            <w:pPr>
              <w:spacing w:line="360" w:lineRule="auto"/>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不要求</w:t>
            </w:r>
          </w:p>
        </w:tc>
      </w:tr>
      <w:tr>
        <w:tblPrEx>
          <w:tblCellMar>
            <w:top w:w="0" w:type="dxa"/>
            <w:left w:w="108" w:type="dxa"/>
            <w:bottom w:w="0" w:type="dxa"/>
            <w:right w:w="108" w:type="dxa"/>
          </w:tblCellMar>
        </w:tblPrEx>
        <w:trPr>
          <w:trHeight w:val="2132"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8.5.1</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监督部门</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105" w:hanging="105" w:hangingChars="5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监督部门：</w:t>
            </w:r>
            <w:r>
              <w:rPr>
                <w:rFonts w:hint="eastAsia" w:asciiTheme="minorEastAsia" w:hAnsiTheme="minorEastAsia" w:eastAsiaTheme="minorEastAsia" w:cstheme="minorEastAsia"/>
                <w:color w:val="auto"/>
                <w:szCs w:val="21"/>
                <w:highlight w:val="none"/>
                <w:u w:val="single"/>
              </w:rPr>
              <w:t>广州市花都区交通运输局</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广州市花都区紫薇路23号</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020-36805818</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020-36805818</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 编：</w:t>
            </w:r>
            <w:r>
              <w:rPr>
                <w:rFonts w:hint="eastAsia" w:asciiTheme="minorEastAsia" w:hAnsiTheme="minorEastAsia" w:eastAsiaTheme="minorEastAsia" w:cstheme="minorEastAsia"/>
                <w:color w:val="auto"/>
                <w:szCs w:val="21"/>
                <w:highlight w:val="none"/>
                <w:u w:val="single"/>
              </w:rPr>
              <w:t>510800</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2643"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是否采用电子招标投标</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□否</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是，具体要求：</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1、具体操作详见附件《房屋建筑和市政基础设施工程全流程电子化项目专章</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适用于投标人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2、现场提交投标文件光盘备用</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投标人将按《房屋建筑和市政基础设施工程全流程电子化项目专章</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适用于投标人</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》的操作方法制作的非加密的电子投标文件刻入光盘（1份），在</w:t>
            </w:r>
            <w:r>
              <w:rPr>
                <w:rFonts w:hint="eastAsia" w:ascii="宋体" w:hAnsi="宋体" w:cs="宋体"/>
                <w:b/>
                <w:bCs/>
                <w:color w:val="auto"/>
                <w:szCs w:val="21"/>
                <w:highlight w:val="none"/>
                <w:u w:val="single"/>
                <w:lang w:val="en-US" w:eastAsia="zh-CN"/>
              </w:rPr>
              <w:t>开标现场（投标截止时间前）</w:t>
            </w:r>
            <w:r>
              <w:rPr>
                <w:rFonts w:hint="eastAsia" w:ascii="宋体" w:hAnsi="宋体" w:cs="宋体"/>
                <w:color w:val="auto"/>
                <w:szCs w:val="21"/>
                <w:highlight w:val="none"/>
                <w:u w:val="single"/>
              </w:rPr>
              <w:t>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3、补救方案</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（1）投标文件解密失败的补救方案：</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（2）评标时突发情况的补救方案</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若遇不可抗力发生（如：网络瘫痪、服务器损坏、交易系统故障短期无法恢复等因素），由评标委员会开启现场递交的全部投标文件光盘，并按光盘内容进行评审。</w:t>
            </w:r>
          </w:p>
          <w:p>
            <w:pPr>
              <w:spacing w:line="360" w:lineRule="auto"/>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u w:val="single"/>
              </w:rPr>
              <w:t>（3）除发生上述情况外，开标评标均以投标人通过交易平台网上递交的电子投标文件为准。</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8290"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需要补充的其他内容</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10.1</w:t>
            </w:r>
          </w:p>
        </w:tc>
        <w:tc>
          <w:tcPr>
            <w:tcW w:w="2643"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Times New Roman" w:eastAsia="宋体" w:cs="Times New Roman"/>
                <w:color w:val="auto"/>
                <w:kern w:val="2"/>
                <w:sz w:val="24"/>
                <w:szCs w:val="24"/>
                <w:highlight w:val="none"/>
                <w:lang w:val="en-US" w:eastAsia="zh-CN" w:bidi="ar-SA"/>
              </w:rPr>
            </w:pPr>
            <w:r>
              <w:rPr>
                <w:rFonts w:hint="eastAsia" w:asciiTheme="minorEastAsia" w:hAnsiTheme="minorEastAsia" w:eastAsiaTheme="minorEastAsia" w:cstheme="minorEastAsia"/>
                <w:color w:val="auto"/>
                <w:highlight w:val="none"/>
              </w:rPr>
              <w:t>特别提示</w:t>
            </w:r>
          </w:p>
        </w:tc>
        <w:tc>
          <w:tcPr>
            <w:tcW w:w="5647"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投标人在本项目中存在下列行为的，将被拒绝一定时期内参与我单位后续工程投标。（注：拒绝投标时限由招标人视严重程度确定，最低三个月起，自招标人发出通知之日起计）：</w:t>
            </w:r>
          </w:p>
          <w:p>
            <w:pPr>
              <w:widowControl/>
              <w:shd w:val="clear" w:color="auto" w:fill="FFFFFF"/>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（1）将中标工程转包或者违法分包的；</w:t>
            </w:r>
          </w:p>
          <w:p>
            <w:pPr>
              <w:widowControl/>
              <w:shd w:val="clear" w:color="auto" w:fill="FFFFFF"/>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（2）在中标工程中不执行质量、安全生产相关规定的，造成质量或安全事故的；</w:t>
            </w:r>
          </w:p>
          <w:p>
            <w:pPr>
              <w:widowControl/>
              <w:shd w:val="clear" w:color="auto" w:fill="FFFFFF"/>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（3）存在围标或串标情形的；</w:t>
            </w:r>
          </w:p>
          <w:p>
            <w:pPr>
              <w:spacing w:line="360" w:lineRule="auto"/>
              <w:rPr>
                <w:rFonts w:hint="eastAsia" w:ascii="宋体" w:hAnsi="Times New Roman" w:eastAsia="宋体" w:cs="Times New Roman"/>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Cs w:val="21"/>
                <w:highlight w:val="none"/>
              </w:rPr>
              <w:t>（4）存在弄虚作假骗取中标情形的；</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10.2</w:t>
            </w:r>
          </w:p>
        </w:tc>
        <w:tc>
          <w:tcPr>
            <w:tcW w:w="2643"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送达</w:t>
            </w:r>
          </w:p>
        </w:tc>
        <w:tc>
          <w:tcPr>
            <w:tcW w:w="5647"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eastAsia" w:ascii="宋体"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《投诉处理决定书》和《行政处理决定书》在</w:t>
            </w:r>
            <w:r>
              <w:rPr>
                <w:rFonts w:hint="eastAsia" w:asciiTheme="minorEastAsia" w:hAnsiTheme="minorEastAsia" w:eastAsiaTheme="minorEastAsia" w:cstheme="minorEastAsia"/>
                <w:color w:val="auto"/>
                <w:kern w:val="0"/>
                <w:szCs w:val="21"/>
                <w:highlight w:val="none"/>
                <w:lang w:val="en-US" w:eastAsia="zh-CN"/>
              </w:rPr>
              <w:t>花都区交通运输局</w:t>
            </w:r>
            <w:r>
              <w:rPr>
                <w:rFonts w:hint="eastAsia" w:asciiTheme="minorEastAsia" w:hAnsiTheme="minorEastAsia" w:eastAsiaTheme="minorEastAsia" w:cstheme="minorEastAsia"/>
                <w:color w:val="auto"/>
                <w:kern w:val="0"/>
                <w:szCs w:val="21"/>
                <w:highlight w:val="none"/>
              </w:rPr>
              <w:t>上公布的，视为送达其他与决定书有关的当事人。</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10.3</w:t>
            </w:r>
          </w:p>
        </w:tc>
        <w:tc>
          <w:tcPr>
            <w:tcW w:w="2643"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adjustRightInd w:val="0"/>
              <w:spacing w:line="360" w:lineRule="auto"/>
              <w:jc w:val="center"/>
              <w:rPr>
                <w:rFonts w:hint="eastAsia" w:ascii="宋体"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招标失败的情形</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1" w:leftChars="0"/>
              <w:rPr>
                <w:rFonts w:hint="eastAsia" w:ascii="宋体"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本项目采用资格后审方式，通过初步评审的投标人不足3名时为招标失败。招标人分析招标失败原因，修正招标方案，报有关管理部门核准后，重新组织招标。</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10.4</w:t>
            </w:r>
          </w:p>
        </w:tc>
        <w:tc>
          <w:tcPr>
            <w:tcW w:w="2643"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adjustRightInd w:val="0"/>
              <w:spacing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中标候选人公示要求</w:t>
            </w:r>
          </w:p>
        </w:tc>
        <w:tc>
          <w:tcPr>
            <w:tcW w:w="5647"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在产生中标候选人后，招标人将中标候选人的投标文件商务部分的电子版（报价清单、方案等涉及商业秘密的内容除外）在广州公共资源交易中心网</w:t>
            </w:r>
            <w:r>
              <w:rPr>
                <w:rFonts w:hint="eastAsia" w:asciiTheme="minorEastAsia" w:hAnsiTheme="minorEastAsia" w:eastAsiaTheme="minorEastAsia" w:cstheme="minorEastAsia"/>
                <w:color w:val="auto"/>
                <w:szCs w:val="21"/>
                <w:highlight w:val="none"/>
                <w:lang w:val="en-US" w:eastAsia="zh-CN"/>
              </w:rPr>
              <w:t>站</w:t>
            </w:r>
            <w:r>
              <w:rPr>
                <w:rFonts w:hint="eastAsia" w:asciiTheme="minorEastAsia" w:hAnsiTheme="minorEastAsia" w:eastAsiaTheme="minorEastAsia" w:cstheme="minorEastAsia"/>
                <w:color w:val="auto"/>
                <w:szCs w:val="21"/>
                <w:highlight w:val="none"/>
              </w:rPr>
              <w:t>、广东省招标投标监管网公开。</w:t>
            </w:r>
          </w:p>
          <w:p>
            <w:pPr>
              <w:spacing w:line="360" w:lineRule="auto"/>
              <w:ind w:left="1" w:leftChars="0"/>
              <w:rPr>
                <w:rFonts w:hint="eastAsia" w:ascii="宋体" w:hAnsi="宋体"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中标单位在中标候选人公示后3个工作日内，补送书面投标文件（加盖公章）及电子文件光盘给招标人。</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10.5</w:t>
            </w:r>
          </w:p>
        </w:tc>
        <w:tc>
          <w:tcPr>
            <w:tcW w:w="8290"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szCs w:val="21"/>
              </w:rPr>
              <w:t>除招标文件有特别说明外，近三年指20</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月1日至投标文件递交截止之日止；近五年指20</w:t>
            </w:r>
            <w:r>
              <w:rPr>
                <w:rFonts w:asciiTheme="minorEastAsia" w:hAnsiTheme="minorEastAsia" w:eastAsiaTheme="minorEastAsia" w:cstheme="minorEastAsia"/>
                <w:szCs w:val="21"/>
              </w:rPr>
              <w:t>18</w:t>
            </w:r>
            <w:r>
              <w:rPr>
                <w:rFonts w:hint="eastAsia" w:asciiTheme="minorEastAsia" w:hAnsiTheme="minorEastAsia" w:eastAsiaTheme="minorEastAsia" w:cstheme="minorEastAsia"/>
                <w:szCs w:val="21"/>
              </w:rPr>
              <w:t>年</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月1日至投标文件递交截止之日止。</w:t>
            </w:r>
          </w:p>
        </w:tc>
      </w:tr>
      <w:tr>
        <w:tblPrEx>
          <w:tblCellMar>
            <w:top w:w="0" w:type="dxa"/>
            <w:left w:w="108" w:type="dxa"/>
            <w:bottom w:w="0" w:type="dxa"/>
            <w:right w:w="108" w:type="dxa"/>
          </w:tblCellMar>
        </w:tblPrEx>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10.6</w:t>
            </w:r>
          </w:p>
        </w:tc>
        <w:tc>
          <w:tcPr>
            <w:tcW w:w="8290"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中标人在领取中标通知书前需向广州公共资源交易中心缴纳公共资源交易服务费，具体按广州公共资源交易中心相关规定执行。</w:t>
            </w:r>
          </w:p>
        </w:tc>
      </w:tr>
    </w:tbl>
    <w:p>
      <w:pPr>
        <w:spacing w:line="360" w:lineRule="auto"/>
        <w:rPr>
          <w:rFonts w:ascii="宋体"/>
          <w:color w:val="auto"/>
          <w:sz w:val="24"/>
          <w:highlight w:val="none"/>
        </w:rPr>
      </w:pPr>
    </w:p>
    <w:p>
      <w:pPr>
        <w:spacing w:line="360" w:lineRule="auto"/>
        <w:rPr>
          <w:rFonts w:ascii="宋体" w:hAnsi="宋体" w:cs="宋体"/>
          <w:color w:val="auto"/>
          <w:sz w:val="18"/>
          <w:szCs w:val="18"/>
          <w:highlight w:val="none"/>
        </w:rPr>
      </w:pPr>
      <w:r>
        <w:rPr>
          <w:rFonts w:ascii="宋体"/>
          <w:color w:val="auto"/>
          <w:sz w:val="24"/>
          <w:highlight w:val="none"/>
        </w:rPr>
        <w:br w:type="page"/>
      </w:r>
      <w:bookmarkStart w:id="69" w:name="_Toc350430869"/>
    </w:p>
    <w:p>
      <w:pPr>
        <w:jc w:val="center"/>
        <w:rPr>
          <w:rFonts w:ascii="宋体" w:hAnsi="宋体"/>
          <w:b/>
          <w:bCs/>
          <w:color w:val="auto"/>
          <w:sz w:val="32"/>
          <w:szCs w:val="32"/>
          <w:highlight w:val="none"/>
        </w:rPr>
      </w:pPr>
      <w:r>
        <w:rPr>
          <w:rFonts w:hint="eastAsia" w:ascii="宋体" w:hAnsi="宋体"/>
          <w:b/>
          <w:bCs/>
          <w:color w:val="auto"/>
          <w:sz w:val="32"/>
          <w:szCs w:val="32"/>
          <w:highlight w:val="none"/>
        </w:rPr>
        <w:t>第二章 投标人须知正文</w:t>
      </w:r>
    </w:p>
    <w:p>
      <w:pPr>
        <w:jc w:val="center"/>
        <w:rPr>
          <w:rFonts w:ascii="宋体" w:hAnsi="宋体"/>
          <w:color w:val="auto"/>
          <w:sz w:val="32"/>
          <w:szCs w:val="32"/>
          <w:highlight w:val="none"/>
        </w:rPr>
      </w:pPr>
    </w:p>
    <w:p>
      <w:pPr>
        <w:spacing w:line="360" w:lineRule="auto"/>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 xml:space="preserve">1. 总则 </w:t>
      </w:r>
    </w:p>
    <w:p>
      <w:pPr>
        <w:spacing w:line="360" w:lineRule="auto"/>
        <w:jc w:val="left"/>
        <w:rPr>
          <w:rFonts w:ascii="宋体" w:hAnsi="宋体" w:cs="宋体"/>
          <w:b/>
          <w:bCs/>
          <w:color w:val="auto"/>
          <w:sz w:val="28"/>
          <w:szCs w:val="28"/>
          <w:highlight w:val="none"/>
        </w:rPr>
      </w:pPr>
      <w:r>
        <w:rPr>
          <w:rFonts w:hint="eastAsia" w:ascii="宋体" w:hAnsi="宋体" w:cs="宋体"/>
          <w:b/>
          <w:bCs/>
          <w:color w:val="auto"/>
          <w:sz w:val="23"/>
          <w:szCs w:val="23"/>
          <w:highlight w:val="none"/>
        </w:rPr>
        <w:t>1.1 项目概况</w:t>
      </w:r>
      <w:r>
        <w:rPr>
          <w:rFonts w:hint="eastAsia" w:ascii="宋体" w:hAnsi="宋体" w:cs="宋体"/>
          <w:b/>
          <w:bCs/>
          <w:color w:val="auto"/>
          <w:sz w:val="28"/>
          <w:szCs w:val="28"/>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1.1.1 根据《中华人民共和国招标投标法》《中华人民共和国招标投标法实施条例》《公路工程建设项目招标投标管理办法》等有关法律、法规和规章的规定，本招标项目已具备招标条件，现对</w:t>
      </w:r>
      <w:r>
        <w:rPr>
          <w:rFonts w:hint="eastAsia" w:ascii="宋体" w:hAnsi="宋体" w:cs="宋体"/>
          <w:color w:val="auto"/>
          <w:sz w:val="23"/>
          <w:highlight w:val="none"/>
          <w:lang w:eastAsia="zh-CN"/>
        </w:rPr>
        <w:t>第三方检测监测</w:t>
      </w:r>
      <w:r>
        <w:rPr>
          <w:rFonts w:hint="eastAsia" w:ascii="宋体" w:hAnsi="宋体" w:cs="宋体"/>
          <w:color w:val="auto"/>
          <w:sz w:val="23"/>
          <w:highlight w:val="none"/>
        </w:rPr>
        <w:t xml:space="preserve">进行招标。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1.1.2 招标人：见投标人须知前附表。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1.1.3 招标代理机构：见投标人须知前附表。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1.1.4 招标项目名称：见投标人须知前附表。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1.1.5 项目建设地点：见投标人须知前附表。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1.1.6 项目建设规模：见投标人须知前附表。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1.1.7 工程项目施工预计开工日期和建设周期：见投标人须知前附表。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1.1.8 建筑安装工程费/工程概算投资额：见投标人须知前附表。</w:t>
      </w:r>
    </w:p>
    <w:p>
      <w:pPr>
        <w:spacing w:line="360" w:lineRule="auto"/>
        <w:jc w:val="left"/>
        <w:rPr>
          <w:rFonts w:ascii="宋体" w:hAnsi="宋体" w:cs="宋体"/>
          <w:color w:val="auto"/>
          <w:sz w:val="23"/>
          <w:highlight w:val="none"/>
        </w:rPr>
      </w:pPr>
      <w:r>
        <w:rPr>
          <w:rFonts w:hint="eastAsia" w:ascii="宋体" w:hAnsi="宋体" w:cs="宋体"/>
          <w:b/>
          <w:bCs/>
          <w:color w:val="auto"/>
          <w:sz w:val="23"/>
          <w:szCs w:val="23"/>
          <w:highlight w:val="none"/>
        </w:rPr>
        <w:t>1.2 招标项目的资金来源和落实情况</w:t>
      </w:r>
      <w:r>
        <w:rPr>
          <w:rFonts w:hint="eastAsia" w:ascii="宋体" w:hAnsi="宋体" w:cs="宋体"/>
          <w:color w:val="auto"/>
          <w:sz w:val="23"/>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1.2.1 资金来源及比例：见投标人须知前附表。</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1.2.2 资金落实情况：见投标人须知前附表。</w:t>
      </w:r>
    </w:p>
    <w:p>
      <w:pPr>
        <w:spacing w:line="360" w:lineRule="auto"/>
        <w:jc w:val="left"/>
        <w:rPr>
          <w:rFonts w:ascii="宋体" w:hAnsi="宋体" w:cs="宋体"/>
          <w:color w:val="auto"/>
          <w:sz w:val="23"/>
          <w:szCs w:val="23"/>
          <w:highlight w:val="none"/>
        </w:rPr>
      </w:pPr>
      <w:r>
        <w:rPr>
          <w:rFonts w:hint="eastAsia" w:ascii="宋体" w:hAnsi="宋体" w:cs="宋体"/>
          <w:b/>
          <w:bCs/>
          <w:color w:val="auto"/>
          <w:sz w:val="23"/>
          <w:szCs w:val="23"/>
          <w:highlight w:val="none"/>
        </w:rPr>
        <w:t>1.3 招标范围、服务期限、质量</w:t>
      </w:r>
      <w:r>
        <w:rPr>
          <w:rFonts w:hint="eastAsia" w:ascii="宋体" w:hAnsi="宋体" w:cs="宋体"/>
          <w:b/>
          <w:bCs/>
          <w:color w:val="auto"/>
          <w:sz w:val="23"/>
          <w:szCs w:val="23"/>
          <w:highlight w:val="none"/>
          <w:lang w:eastAsia="zh-CN"/>
        </w:rPr>
        <w:t>标准</w:t>
      </w:r>
      <w:r>
        <w:rPr>
          <w:rFonts w:hint="eastAsia" w:ascii="宋体" w:hAnsi="宋体" w:cs="宋体"/>
          <w:color w:val="auto"/>
          <w:sz w:val="23"/>
          <w:szCs w:val="23"/>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1.3.1 招标范围：见投标人须知前附表。</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1.3.2 服务期限：见投标人须知前附表。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1.3.3 质量标准：见投标人须知前附表。  </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1.4 投标人资格要求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1.4.1 投标人应具备承担本招标项目资质条件、能力和信誉： </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（1）资质要求：见投标人须知前附表；</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（2）财务要求：见投标人须知前附表；</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（3）业绩要求：见投标人须知前附表；</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（4）信誉要求：见投标人须知前附表；</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（5）项目负责人的资格要求：见投标人须知前附表；</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（6）其他主要人员要求：见投标人须知前附表。</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（7）试验检测仪器设备要求：见投标人须知前附表。</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（8）其他要求：见投标人须知前附表。</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需要提交的相关证明材料见本章第3.5款的规定。 </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1.4.2 投标人须知前附表规定接受联合体投标的，联合体除应符合本章第 1.4.1 项和投标人须知前附表的要求外，还应遵守以下规定：</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（1）联合体各方应按招标文件提供的格式签订联合体协议书，明确联合体牵头人和各方权利义务，并承诺就中标项目向招标人承担连带责任；</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（2）由同一专业的单位组成的联合体，按照资质等级较低的单位确定资质等级；</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（3）联合体各方不得再以自己名义单独或参加其他联合体在本招标项目中投标，否则各相关投标均无效。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1.4.3 投标人不得存在下列情形之一：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（1）为招标人不具有独立法人资格的附属机构（单位）；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（2）与招标人存在利害关系且可能影响招标公正性；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（3）与本招标项目的其他投标人同为一个单位负责人；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（4）与本招标项目的其他投标人存在控股、管理关系；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（5）为本招标项目的代建人；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（6）为本招标项目的招标代理机构；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（7）与本招标项目的代建人或招标代理机构同为一个法定代表人；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（8）与本招标项目的代建人或招标代理机构存在控股或参股关系；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（9）与本招标项目对应工程的施工承包人以及建筑材料、建筑构配件和设备供应商有隶属关系或其他利害关系；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（10）被依法暂停或者取消投标资格；</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（11）被责令停业，暂扣或吊销执照，或吊销资质证书；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（12）进入清算程序，或被宣告破产，或其他丧失履约能力的情形；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（13）近</w:t>
      </w:r>
      <w:r>
        <w:rPr>
          <w:rFonts w:hint="eastAsia" w:ascii="宋体" w:hAnsi="宋体" w:cs="宋体"/>
          <w:color w:val="auto"/>
          <w:sz w:val="23"/>
          <w:highlight w:val="none"/>
          <w:lang w:val="en-US" w:eastAsia="zh-CN"/>
        </w:rPr>
        <w:t>二</w:t>
      </w:r>
      <w:r>
        <w:rPr>
          <w:rFonts w:hint="eastAsia" w:ascii="宋体" w:hAnsi="宋体" w:cs="宋体"/>
          <w:color w:val="auto"/>
          <w:sz w:val="23"/>
          <w:highlight w:val="none"/>
        </w:rPr>
        <w:t>年发生重大</w:t>
      </w:r>
      <w:r>
        <w:rPr>
          <w:rFonts w:hint="eastAsia" w:ascii="宋体" w:hAnsi="宋体" w:cs="宋体"/>
          <w:color w:val="auto"/>
          <w:sz w:val="23"/>
          <w:highlight w:val="none"/>
          <w:lang w:val="en-US" w:eastAsia="zh-CN"/>
        </w:rPr>
        <w:t>检测或监测</w:t>
      </w:r>
      <w:r>
        <w:rPr>
          <w:rFonts w:hint="eastAsia" w:ascii="宋体" w:hAnsi="宋体" w:cs="宋体"/>
          <w:color w:val="auto"/>
          <w:sz w:val="23"/>
          <w:highlight w:val="none"/>
        </w:rPr>
        <w:t>质量问题（以相关行业主管部门的行政处罚决定或司法机关出具的有关法律文书为准）；</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（14）在国家企业信用信息公示系统（http://www.gsxt.gov.cn/）中被列入严重违法失信企业名单</w:t>
      </w:r>
      <w:r>
        <w:rPr>
          <w:rFonts w:hint="eastAsia" w:ascii="宋体" w:hAnsi="宋体" w:cs="宋体"/>
          <w:color w:val="auto"/>
          <w:sz w:val="23"/>
          <w:highlight w:val="none"/>
          <w:lang w:eastAsia="zh-CN"/>
        </w:rPr>
        <w:t>（</w:t>
      </w:r>
      <w:r>
        <w:rPr>
          <w:rFonts w:hint="eastAsia" w:ascii="宋体" w:hAnsi="宋体" w:cs="宋体"/>
          <w:color w:val="auto"/>
          <w:sz w:val="23"/>
          <w:highlight w:val="none"/>
          <w:lang w:val="en-US" w:eastAsia="zh-CN"/>
        </w:rPr>
        <w:t>事业单位不适用</w:t>
      </w:r>
      <w:r>
        <w:rPr>
          <w:rFonts w:hint="eastAsia" w:ascii="宋体" w:hAnsi="宋体" w:cs="宋体"/>
          <w:color w:val="auto"/>
          <w:sz w:val="23"/>
          <w:highlight w:val="none"/>
          <w:lang w:eastAsia="zh-CN"/>
        </w:rPr>
        <w:t>）</w:t>
      </w:r>
      <w:r>
        <w:rPr>
          <w:rFonts w:hint="eastAsia" w:ascii="宋体" w:hAnsi="宋体" w:cs="宋体"/>
          <w:color w:val="auto"/>
          <w:sz w:val="23"/>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（15）在“信用中国”网站（http://www.creditchina.gov.cn/）中被列入失信被执行人名单；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（16）在近三年内投标人</w:t>
      </w:r>
      <w:r>
        <w:rPr>
          <w:rFonts w:hint="eastAsia" w:ascii="宋体" w:hAnsi="宋体" w:cs="宋体"/>
          <w:color w:val="auto"/>
          <w:sz w:val="23"/>
          <w:highlight w:val="none"/>
          <w:lang w:val="en-US" w:eastAsia="zh-CN"/>
        </w:rPr>
        <w:t>或</w:t>
      </w:r>
      <w:r>
        <w:rPr>
          <w:rFonts w:hint="eastAsia" w:ascii="宋体" w:hAnsi="宋体" w:cs="宋体"/>
          <w:color w:val="auto"/>
          <w:sz w:val="23"/>
          <w:highlight w:val="none"/>
        </w:rPr>
        <w:t>其法定代表人、拟委任的项目负责人有行贿犯罪行为的。</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（17）法律法规或投标人须知前附表规定的其他情形。</w:t>
      </w:r>
    </w:p>
    <w:p>
      <w:pPr>
        <w:spacing w:line="360" w:lineRule="auto"/>
        <w:rPr>
          <w:rFonts w:ascii="宋体" w:hAnsi="宋体" w:cs="宋体"/>
          <w:b/>
          <w:bCs/>
          <w:color w:val="auto"/>
          <w:sz w:val="23"/>
          <w:highlight w:val="none"/>
        </w:rPr>
      </w:pPr>
      <w:r>
        <w:rPr>
          <w:rFonts w:hint="eastAsia" w:ascii="宋体" w:hAnsi="宋体" w:cs="宋体"/>
          <w:b/>
          <w:bCs/>
          <w:color w:val="auto"/>
          <w:sz w:val="23"/>
          <w:highlight w:val="none"/>
        </w:rPr>
        <w:t>1.5 费用承担</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投标人准备和参加活动发生的费用自理。</w:t>
      </w:r>
    </w:p>
    <w:p>
      <w:pPr>
        <w:spacing w:line="360" w:lineRule="auto"/>
        <w:rPr>
          <w:rFonts w:ascii="宋体" w:hAnsi="宋体" w:cs="宋体"/>
          <w:b/>
          <w:bCs/>
          <w:color w:val="auto"/>
          <w:sz w:val="23"/>
          <w:highlight w:val="none"/>
        </w:rPr>
      </w:pPr>
      <w:r>
        <w:rPr>
          <w:rFonts w:hint="eastAsia" w:ascii="宋体" w:hAnsi="宋体" w:cs="宋体"/>
          <w:b/>
          <w:bCs/>
          <w:color w:val="auto"/>
          <w:sz w:val="23"/>
          <w:highlight w:val="none"/>
        </w:rPr>
        <w:t>1.6 保密</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参与招投标活动的各方应对招标文件和投标文件中的商业和技术等秘密保密，否则应承担相应的法律责任。</w:t>
      </w:r>
    </w:p>
    <w:p>
      <w:pPr>
        <w:spacing w:line="360" w:lineRule="auto"/>
        <w:rPr>
          <w:rFonts w:ascii="宋体" w:hAnsi="宋体" w:cs="宋体"/>
          <w:b/>
          <w:bCs/>
          <w:color w:val="auto"/>
          <w:sz w:val="23"/>
          <w:highlight w:val="none"/>
        </w:rPr>
      </w:pPr>
      <w:r>
        <w:rPr>
          <w:rFonts w:hint="eastAsia" w:ascii="宋体" w:hAnsi="宋体" w:cs="宋体"/>
          <w:b/>
          <w:bCs/>
          <w:color w:val="auto"/>
          <w:sz w:val="23"/>
          <w:highlight w:val="none"/>
        </w:rPr>
        <w:t>1.7 语言文字</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招标投标文件使用的语言文字为中文。专用术语使用外文的，应附有中文注释。</w:t>
      </w:r>
    </w:p>
    <w:p>
      <w:pPr>
        <w:spacing w:line="360" w:lineRule="auto"/>
        <w:rPr>
          <w:rFonts w:ascii="宋体" w:hAnsi="宋体" w:cs="宋体"/>
          <w:b/>
          <w:bCs/>
          <w:color w:val="auto"/>
          <w:sz w:val="23"/>
          <w:highlight w:val="none"/>
        </w:rPr>
      </w:pPr>
      <w:r>
        <w:rPr>
          <w:rFonts w:hint="eastAsia" w:ascii="宋体" w:hAnsi="宋体" w:cs="宋体"/>
          <w:b/>
          <w:bCs/>
          <w:color w:val="auto"/>
          <w:sz w:val="23"/>
          <w:highlight w:val="none"/>
        </w:rPr>
        <w:t>1.8 计量单位</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所有计量均采用中华人民共和国法定计量单位。</w:t>
      </w:r>
    </w:p>
    <w:p>
      <w:pPr>
        <w:spacing w:line="360" w:lineRule="auto"/>
        <w:rPr>
          <w:rFonts w:ascii="宋体" w:hAnsi="宋体" w:cs="宋体"/>
          <w:b/>
          <w:bCs/>
          <w:color w:val="auto"/>
          <w:sz w:val="23"/>
          <w:highlight w:val="none"/>
        </w:rPr>
      </w:pPr>
      <w:r>
        <w:rPr>
          <w:rFonts w:hint="eastAsia" w:ascii="宋体" w:hAnsi="宋体" w:cs="宋体"/>
          <w:b/>
          <w:bCs/>
          <w:color w:val="auto"/>
          <w:sz w:val="23"/>
          <w:highlight w:val="none"/>
        </w:rPr>
        <w:t>1.9 踏勘现场</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1.9.2 投标人踏勘现场发生的费用自理。</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1.9.3 除招标人的原因外，投标人自行负责在踏勘现场中所发生的人员伤亡和财产损失。</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1.9.4 招标人在踏勘现场中介绍的工程场地和相关的周边环境情况，供投标人在编制投标文件时参考，招标人不对投标人据此作出的判断和决策负责。</w:t>
      </w:r>
    </w:p>
    <w:p>
      <w:pPr>
        <w:spacing w:line="360" w:lineRule="auto"/>
        <w:rPr>
          <w:rFonts w:ascii="宋体" w:hAnsi="宋体" w:cs="宋体"/>
          <w:b/>
          <w:bCs/>
          <w:color w:val="auto"/>
          <w:sz w:val="23"/>
          <w:highlight w:val="none"/>
        </w:rPr>
      </w:pPr>
      <w:r>
        <w:rPr>
          <w:rFonts w:hint="eastAsia" w:ascii="宋体" w:hAnsi="宋体" w:cs="宋体"/>
          <w:b/>
          <w:bCs/>
          <w:color w:val="auto"/>
          <w:sz w:val="23"/>
          <w:highlight w:val="none"/>
        </w:rPr>
        <w:t>1.10 投标预备会</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1.10.1 投标人须知前附表规定召开投标预备会的，招标人按投标人须知前附表规定的时间和地点召开投标预备会，澄清投标人提出的问题。</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1.10.2 投标人应按投标人须知前附表规定的时间和形式将提出的问题送达招标人，以便招标人在会议期间澄清。</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1.10.3 投标预备会后，招标人将对投标人所提问题的澄清，以投标人须知前附表规定的形式通知所有购买招标文件的投标人。该澄清内容为招标文件的组成部分。</w:t>
      </w:r>
    </w:p>
    <w:p>
      <w:pPr>
        <w:spacing w:line="360" w:lineRule="auto"/>
        <w:rPr>
          <w:rFonts w:ascii="宋体" w:hAnsi="宋体" w:cs="宋体"/>
          <w:b/>
          <w:bCs/>
          <w:color w:val="auto"/>
          <w:sz w:val="23"/>
          <w:highlight w:val="none"/>
        </w:rPr>
      </w:pPr>
      <w:r>
        <w:rPr>
          <w:rFonts w:hint="eastAsia" w:ascii="宋体" w:hAnsi="宋体" w:cs="宋体"/>
          <w:b/>
          <w:bCs/>
          <w:color w:val="auto"/>
          <w:sz w:val="23"/>
          <w:highlight w:val="none"/>
        </w:rPr>
        <w:t>1.11 分包</w:t>
      </w:r>
    </w:p>
    <w:p>
      <w:pPr>
        <w:spacing w:line="360" w:lineRule="auto"/>
        <w:ind w:firstLine="460" w:firstLineChars="200"/>
        <w:rPr>
          <w:rFonts w:hint="eastAsia" w:ascii="宋体" w:hAnsi="宋体" w:cs="宋体"/>
          <w:b/>
          <w:bCs/>
          <w:color w:val="auto"/>
          <w:sz w:val="23"/>
          <w:highlight w:val="none"/>
        </w:rPr>
      </w:pPr>
      <w:r>
        <w:rPr>
          <w:rFonts w:hint="eastAsia" w:ascii="宋体" w:hAnsi="宋体" w:cs="宋体"/>
          <w:color w:val="auto"/>
          <w:sz w:val="23"/>
          <w:highlight w:val="none"/>
        </w:rPr>
        <w:t>对于非主要检测工作，中标人不具备资质的，经招标人同意后可依法分包给具备相关资质的检测单位，分包的检测工作不得再次分包。</w:t>
      </w:r>
    </w:p>
    <w:p>
      <w:pPr>
        <w:spacing w:line="360" w:lineRule="auto"/>
        <w:rPr>
          <w:rFonts w:ascii="宋体" w:hAnsi="宋体" w:cs="宋体"/>
          <w:b/>
          <w:bCs/>
          <w:color w:val="auto"/>
          <w:sz w:val="23"/>
          <w:highlight w:val="none"/>
        </w:rPr>
      </w:pPr>
      <w:r>
        <w:rPr>
          <w:rFonts w:hint="eastAsia" w:ascii="宋体" w:hAnsi="宋体" w:cs="宋体"/>
          <w:b/>
          <w:bCs/>
          <w:color w:val="auto"/>
          <w:sz w:val="23"/>
          <w:highlight w:val="none"/>
        </w:rPr>
        <w:t>1.12 响应和偏差</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1.12.1 投标文件应当对招标文件的实质性要求和条件作出满足性或更有利于招标人的响应，否则，投标人的投标将被否决。实质性要求和条件见投标人须知前附表。</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1.12.2 投标人应根据招标文件的要求提供</w:t>
      </w:r>
      <w:r>
        <w:rPr>
          <w:rFonts w:hint="eastAsia" w:ascii="宋体" w:hAnsi="宋体" w:cs="宋体"/>
          <w:color w:val="auto"/>
          <w:sz w:val="23"/>
          <w:highlight w:val="none"/>
          <w:lang w:val="en-US" w:eastAsia="zh-CN"/>
        </w:rPr>
        <w:t>检测监测</w:t>
      </w:r>
      <w:r>
        <w:rPr>
          <w:rFonts w:hint="eastAsia" w:ascii="宋体" w:hAnsi="宋体" w:cs="宋体"/>
          <w:color w:val="auto"/>
          <w:sz w:val="23"/>
          <w:highlight w:val="none"/>
        </w:rPr>
        <w:t>方案等内容以对招标文件作出响应。</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1.12.3 投标人须知前附表允许投标文件偏离招标文件某些要求的，偏差应当符合招标文件规定的偏差范围和幅度。 </w:t>
      </w:r>
    </w:p>
    <w:p>
      <w:pPr>
        <w:spacing w:line="360" w:lineRule="auto"/>
        <w:jc w:val="left"/>
        <w:rPr>
          <w:rFonts w:ascii="宋体" w:hAnsi="宋体" w:cs="宋体"/>
          <w:color w:val="auto"/>
          <w:sz w:val="28"/>
          <w:highlight w:val="none"/>
        </w:rPr>
      </w:pPr>
      <w:r>
        <w:rPr>
          <w:rFonts w:hint="eastAsia" w:ascii="宋体" w:hAnsi="宋体" w:cs="宋体"/>
          <w:b/>
          <w:bCs/>
          <w:color w:val="auto"/>
          <w:sz w:val="30"/>
          <w:szCs w:val="30"/>
          <w:highlight w:val="none"/>
        </w:rPr>
        <w:t>2. 招标文件</w:t>
      </w:r>
      <w:r>
        <w:rPr>
          <w:rFonts w:hint="eastAsia" w:ascii="宋体" w:hAnsi="宋体" w:cs="宋体"/>
          <w:color w:val="auto"/>
          <w:sz w:val="28"/>
          <w:highlight w:val="none"/>
        </w:rPr>
        <w:t xml:space="preserve"> </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2.1 招标文件的组成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本招标文件包括：</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（1）招标公告；</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（2）投标人须知；</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（3）评标办法；</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（4）合同条款及格式；</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（5）委托人要求；</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（6）投标文件格式；</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（7）投标人须知前附表规定的其他资料。</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根据本章第1.10款、第2.2款和第2.3款对招标文件所作的澄清、修改，构成招标文件的组成部分。</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当招标文件、招标文件的澄清或修改等在同一内容的表述上不一致时，以最后发出的文件为准。</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2.2 招标文件的澄清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2.2.3 投标人在收到澄清后，应按投标人须知前附表规定的时间和形式通知招标人，确认已收到该澄清。</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2.2.4 除非招标人认为确有必要答复，否则，招标人有权拒绝回复投标人在本章第2.2.1项规定的时间后的任何澄清要求。</w:t>
      </w:r>
    </w:p>
    <w:p>
      <w:pPr>
        <w:spacing w:line="360" w:lineRule="auto"/>
        <w:jc w:val="left"/>
        <w:rPr>
          <w:rFonts w:ascii="宋体" w:hAnsi="宋体" w:cs="宋体"/>
          <w:color w:val="auto"/>
          <w:sz w:val="23"/>
          <w:highlight w:val="none"/>
        </w:rPr>
      </w:pPr>
      <w:r>
        <w:rPr>
          <w:rFonts w:hint="eastAsia" w:ascii="宋体" w:hAnsi="宋体" w:cs="宋体"/>
          <w:b/>
          <w:bCs/>
          <w:color w:val="auto"/>
          <w:sz w:val="23"/>
          <w:highlight w:val="none"/>
        </w:rPr>
        <w:t>2.3 招标文件的修改</w:t>
      </w:r>
      <w:r>
        <w:rPr>
          <w:rFonts w:hint="eastAsia" w:ascii="宋体" w:hAnsi="宋体" w:cs="宋体"/>
          <w:color w:val="auto"/>
          <w:sz w:val="23"/>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2.3.2 投标人收到修改内容后，应按投标人须知前附表规定的时间和形式通知招标人，确认已收到该修改。</w:t>
      </w:r>
    </w:p>
    <w:p>
      <w:pPr>
        <w:spacing w:line="360" w:lineRule="auto"/>
        <w:jc w:val="left"/>
        <w:rPr>
          <w:rFonts w:ascii="宋体" w:hAnsi="宋体" w:cs="宋体"/>
          <w:color w:val="auto"/>
          <w:sz w:val="23"/>
          <w:highlight w:val="none"/>
        </w:rPr>
      </w:pPr>
      <w:r>
        <w:rPr>
          <w:rFonts w:hint="eastAsia" w:ascii="宋体" w:hAnsi="宋体" w:cs="宋体"/>
          <w:b/>
          <w:bCs/>
          <w:color w:val="auto"/>
          <w:sz w:val="23"/>
          <w:highlight w:val="none"/>
        </w:rPr>
        <w:t>2.4 招标文件的异议</w:t>
      </w:r>
      <w:r>
        <w:rPr>
          <w:rFonts w:hint="eastAsia" w:ascii="宋体" w:hAnsi="宋体" w:cs="宋体"/>
          <w:color w:val="auto"/>
          <w:sz w:val="23"/>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投标人或者其他利害关系人对招标文件有异议的，应当在投标截止时间10日前以书面形式提出。招标人将在收到异议之日起3日内作出答复；作出答复前，将暂停招标投标活动。</w:t>
      </w:r>
    </w:p>
    <w:p>
      <w:pPr>
        <w:spacing w:line="360" w:lineRule="auto"/>
        <w:jc w:val="left"/>
        <w:rPr>
          <w:rFonts w:ascii="宋体" w:hAnsi="宋体" w:cs="宋体"/>
          <w:color w:val="auto"/>
          <w:sz w:val="28"/>
          <w:highlight w:val="none"/>
        </w:rPr>
      </w:pPr>
      <w:r>
        <w:rPr>
          <w:rFonts w:hint="eastAsia" w:ascii="宋体" w:hAnsi="宋体" w:cs="宋体"/>
          <w:b/>
          <w:bCs/>
          <w:color w:val="auto"/>
          <w:sz w:val="30"/>
          <w:szCs w:val="30"/>
          <w:highlight w:val="none"/>
        </w:rPr>
        <w:t>3. 投标文件</w:t>
      </w:r>
      <w:r>
        <w:rPr>
          <w:rFonts w:hint="eastAsia" w:ascii="宋体" w:hAnsi="宋体" w:cs="宋体"/>
          <w:color w:val="auto"/>
          <w:sz w:val="28"/>
          <w:highlight w:val="none"/>
        </w:rPr>
        <w:t xml:space="preserve"> </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3.1 投标文件的组成 </w:t>
      </w:r>
    </w:p>
    <w:p>
      <w:pPr>
        <w:spacing w:afterLines="0"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3.1.1 投标文件应包括下列内容：  </w:t>
      </w:r>
    </w:p>
    <w:p>
      <w:pPr>
        <w:spacing w:afterLines="0"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lang w:val="en-US" w:eastAsia="zh-CN"/>
        </w:rPr>
        <w:t>1.</w:t>
      </w:r>
      <w:r>
        <w:rPr>
          <w:rFonts w:hint="eastAsia" w:ascii="宋体" w:hAnsi="宋体" w:cs="宋体"/>
          <w:color w:val="auto"/>
          <w:sz w:val="23"/>
          <w:highlight w:val="none"/>
        </w:rPr>
        <w:t>投标函及投标函附录；</w:t>
      </w:r>
    </w:p>
    <w:p>
      <w:pPr>
        <w:spacing w:afterLines="0"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2</w:t>
      </w:r>
      <w:r>
        <w:rPr>
          <w:rFonts w:hint="eastAsia" w:ascii="宋体" w:hAnsi="宋体" w:cs="宋体"/>
          <w:color w:val="auto"/>
          <w:sz w:val="23"/>
          <w:highlight w:val="none"/>
          <w:lang w:val="en-US" w:eastAsia="zh-CN"/>
        </w:rPr>
        <w:t>.</w:t>
      </w:r>
      <w:r>
        <w:rPr>
          <w:rFonts w:hint="eastAsia" w:ascii="宋体" w:hAnsi="宋体" w:cs="宋体"/>
          <w:color w:val="auto"/>
          <w:sz w:val="23"/>
          <w:highlight w:val="none"/>
        </w:rPr>
        <w:t>授权委托书或法定代表人身份证明；</w:t>
      </w:r>
    </w:p>
    <w:p>
      <w:pPr>
        <w:spacing w:afterLines="0"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3</w:t>
      </w:r>
      <w:r>
        <w:rPr>
          <w:rFonts w:hint="eastAsia" w:ascii="宋体" w:hAnsi="宋体" w:cs="宋体"/>
          <w:color w:val="auto"/>
          <w:sz w:val="23"/>
          <w:highlight w:val="none"/>
          <w:lang w:val="en-US" w:eastAsia="zh-CN"/>
        </w:rPr>
        <w:t>.</w:t>
      </w:r>
      <w:r>
        <w:rPr>
          <w:rFonts w:hint="eastAsia" w:ascii="宋体" w:hAnsi="宋体" w:cs="宋体"/>
          <w:color w:val="auto"/>
          <w:sz w:val="23"/>
          <w:highlight w:val="none"/>
        </w:rPr>
        <w:t>联合体协议书</w:t>
      </w:r>
      <w:r>
        <w:rPr>
          <w:rFonts w:hint="eastAsia" w:ascii="宋体" w:hAnsi="宋体" w:cs="宋体"/>
          <w:color w:val="auto"/>
          <w:sz w:val="23"/>
          <w:highlight w:val="none"/>
          <w:lang w:eastAsia="zh-CN"/>
        </w:rPr>
        <w:t>（</w:t>
      </w:r>
      <w:r>
        <w:rPr>
          <w:rFonts w:hint="eastAsia" w:ascii="宋体" w:hAnsi="宋体" w:cs="宋体"/>
          <w:color w:val="auto"/>
          <w:sz w:val="23"/>
          <w:highlight w:val="none"/>
          <w:lang w:val="en-US" w:eastAsia="zh-CN"/>
        </w:rPr>
        <w:t>如有</w:t>
      </w:r>
      <w:r>
        <w:rPr>
          <w:rFonts w:hint="eastAsia" w:ascii="宋体" w:hAnsi="宋体" w:cs="宋体"/>
          <w:color w:val="auto"/>
          <w:sz w:val="23"/>
          <w:highlight w:val="none"/>
          <w:lang w:eastAsia="zh-CN"/>
        </w:rPr>
        <w:t>）；</w:t>
      </w:r>
    </w:p>
    <w:p>
      <w:pPr>
        <w:spacing w:afterLines="0" w:line="360" w:lineRule="auto"/>
        <w:ind w:firstLine="460" w:firstLineChars="200"/>
        <w:jc w:val="left"/>
        <w:rPr>
          <w:rFonts w:hint="eastAsia" w:ascii="宋体" w:hAnsi="宋体" w:eastAsia="宋体" w:cs="宋体"/>
          <w:color w:val="auto"/>
          <w:sz w:val="23"/>
          <w:highlight w:val="none"/>
          <w:lang w:eastAsia="zh-CN"/>
        </w:rPr>
      </w:pPr>
      <w:r>
        <w:rPr>
          <w:rFonts w:hint="eastAsia" w:ascii="宋体" w:hAnsi="宋体" w:cs="宋体"/>
          <w:color w:val="auto"/>
          <w:sz w:val="23"/>
          <w:highlight w:val="none"/>
        </w:rPr>
        <w:t>4</w:t>
      </w:r>
      <w:r>
        <w:rPr>
          <w:rFonts w:hint="eastAsia" w:ascii="宋体" w:hAnsi="宋体" w:cs="宋体"/>
          <w:color w:val="auto"/>
          <w:sz w:val="23"/>
          <w:highlight w:val="none"/>
          <w:lang w:val="en-US" w:eastAsia="zh-CN"/>
        </w:rPr>
        <w:t>.</w:t>
      </w:r>
      <w:r>
        <w:rPr>
          <w:rFonts w:hint="eastAsia" w:ascii="宋体" w:hAnsi="宋体" w:cs="宋体"/>
          <w:color w:val="auto"/>
          <w:sz w:val="23"/>
          <w:highlight w:val="none"/>
        </w:rPr>
        <w:t>投标保证金；</w:t>
      </w:r>
    </w:p>
    <w:p>
      <w:pPr>
        <w:spacing w:afterLines="0"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lang w:val="en-US" w:eastAsia="zh-CN"/>
        </w:rPr>
        <w:t>5.</w:t>
      </w:r>
      <w:r>
        <w:rPr>
          <w:rFonts w:hint="eastAsia" w:ascii="宋体" w:hAnsi="宋体" w:cs="宋体"/>
          <w:color w:val="auto"/>
          <w:sz w:val="23"/>
          <w:highlight w:val="none"/>
        </w:rPr>
        <w:t>资格审查资料；</w:t>
      </w:r>
    </w:p>
    <w:p>
      <w:pPr>
        <w:spacing w:afterLines="0"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lang w:val="en-US" w:eastAsia="zh-CN"/>
        </w:rPr>
        <w:t>6.</w:t>
      </w:r>
      <w:r>
        <w:rPr>
          <w:rFonts w:hint="eastAsia" w:ascii="宋体" w:hAnsi="宋体" w:cs="宋体"/>
          <w:color w:val="auto"/>
          <w:sz w:val="23"/>
          <w:highlight w:val="none"/>
          <w:lang w:eastAsia="zh-CN"/>
        </w:rPr>
        <w:t>检测监测</w:t>
      </w:r>
      <w:r>
        <w:rPr>
          <w:rFonts w:hint="eastAsia" w:ascii="宋体" w:hAnsi="宋体" w:cs="宋体"/>
          <w:color w:val="auto"/>
          <w:sz w:val="23"/>
          <w:highlight w:val="none"/>
        </w:rPr>
        <w:t>方案；</w:t>
      </w:r>
    </w:p>
    <w:p>
      <w:pPr>
        <w:spacing w:afterLines="0"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lang w:val="en-US" w:eastAsia="zh-CN"/>
        </w:rPr>
        <w:t>7.</w:t>
      </w:r>
      <w:r>
        <w:rPr>
          <w:rFonts w:hint="eastAsia" w:ascii="宋体" w:hAnsi="宋体" w:cs="宋体"/>
          <w:color w:val="auto"/>
          <w:sz w:val="23"/>
          <w:highlight w:val="none"/>
        </w:rPr>
        <w:t>其他资料。</w:t>
      </w:r>
    </w:p>
    <w:p>
      <w:pPr>
        <w:spacing w:after="0" w:afterLines="0" w:line="360" w:lineRule="auto"/>
        <w:ind w:firstLine="460"/>
        <w:jc w:val="left"/>
        <w:rPr>
          <w:rFonts w:hint="eastAsia" w:ascii="宋体" w:hAnsi="宋体" w:cs="宋体"/>
          <w:color w:val="auto"/>
          <w:sz w:val="23"/>
          <w:highlight w:val="none"/>
        </w:rPr>
      </w:pPr>
      <w:r>
        <w:rPr>
          <w:rFonts w:hint="eastAsia" w:ascii="宋体" w:hAnsi="宋体" w:cs="宋体"/>
          <w:color w:val="auto"/>
          <w:sz w:val="23"/>
          <w:highlight w:val="none"/>
        </w:rPr>
        <w:t>（1）近年</w:t>
      </w:r>
      <w:r>
        <w:rPr>
          <w:rFonts w:hint="eastAsia" w:ascii="宋体" w:hAnsi="宋体" w:cs="宋体"/>
          <w:color w:val="auto"/>
          <w:sz w:val="23"/>
          <w:highlight w:val="none"/>
          <w:lang w:val="en-US" w:eastAsia="zh-CN"/>
        </w:rPr>
        <w:t>承接</w:t>
      </w:r>
      <w:r>
        <w:rPr>
          <w:rFonts w:hint="eastAsia" w:ascii="宋体" w:hAnsi="宋体" w:cs="宋体"/>
          <w:color w:val="auto"/>
          <w:sz w:val="23"/>
          <w:highlight w:val="none"/>
        </w:rPr>
        <w:t>的类似项目情况汇总表</w:t>
      </w:r>
      <w:r>
        <w:rPr>
          <w:rFonts w:hint="eastAsia" w:ascii="宋体" w:hAnsi="宋体" w:cs="宋体"/>
          <w:color w:val="auto"/>
          <w:sz w:val="23"/>
          <w:highlight w:val="none"/>
          <w:lang w:val="en-US" w:eastAsia="zh-CN"/>
        </w:rPr>
        <w:t>；</w:t>
      </w:r>
    </w:p>
    <w:p>
      <w:pPr>
        <w:spacing w:after="0" w:afterLines="0" w:line="360" w:lineRule="auto"/>
        <w:ind w:firstLine="460"/>
        <w:jc w:val="left"/>
        <w:rPr>
          <w:rFonts w:hint="default" w:ascii="宋体" w:hAnsi="宋体" w:cs="宋体"/>
          <w:color w:val="auto"/>
          <w:sz w:val="23"/>
          <w:highlight w:val="none"/>
        </w:rPr>
      </w:pPr>
      <w:r>
        <w:rPr>
          <w:rFonts w:hint="eastAsia" w:ascii="宋体" w:hAnsi="宋体" w:cs="宋体"/>
          <w:color w:val="auto"/>
          <w:sz w:val="23"/>
          <w:highlight w:val="none"/>
        </w:rPr>
        <w:t>（2）近年</w:t>
      </w:r>
      <w:r>
        <w:rPr>
          <w:rFonts w:hint="eastAsia" w:ascii="宋体" w:hAnsi="宋体" w:cs="宋体"/>
          <w:color w:val="auto"/>
          <w:sz w:val="23"/>
          <w:highlight w:val="none"/>
          <w:lang w:val="en-US" w:eastAsia="zh-CN"/>
        </w:rPr>
        <w:t>承接</w:t>
      </w:r>
      <w:r>
        <w:rPr>
          <w:rFonts w:hint="eastAsia" w:ascii="宋体" w:hAnsi="宋体" w:cs="宋体"/>
          <w:color w:val="auto"/>
          <w:sz w:val="23"/>
          <w:highlight w:val="none"/>
        </w:rPr>
        <w:t>的类似项目情况表</w:t>
      </w:r>
      <w:r>
        <w:rPr>
          <w:rFonts w:hint="eastAsia" w:ascii="宋体" w:hAnsi="宋体" w:cs="宋体"/>
          <w:color w:val="auto"/>
          <w:sz w:val="23"/>
          <w:highlight w:val="none"/>
          <w:lang w:val="en-US" w:eastAsia="zh-CN"/>
        </w:rPr>
        <w:t>；</w:t>
      </w:r>
    </w:p>
    <w:p>
      <w:pPr>
        <w:spacing w:after="0" w:afterLines="0" w:line="360" w:lineRule="auto"/>
        <w:ind w:firstLine="460"/>
        <w:jc w:val="left"/>
        <w:rPr>
          <w:rFonts w:hint="eastAsia" w:ascii="宋体" w:hAnsi="宋体" w:cs="宋体"/>
          <w:color w:val="auto"/>
          <w:sz w:val="23"/>
          <w:highlight w:val="none"/>
        </w:rPr>
      </w:pPr>
      <w:r>
        <w:rPr>
          <w:rFonts w:hint="eastAsia" w:ascii="宋体" w:hAnsi="宋体" w:cs="宋体"/>
          <w:color w:val="auto"/>
          <w:sz w:val="23"/>
          <w:highlight w:val="none"/>
        </w:rPr>
        <w:t>（3）拟</w:t>
      </w:r>
      <w:r>
        <w:rPr>
          <w:rFonts w:hint="eastAsia" w:ascii="宋体" w:hAnsi="宋体" w:cs="宋体"/>
          <w:color w:val="auto"/>
          <w:sz w:val="23"/>
          <w:highlight w:val="none"/>
          <w:lang w:val="en-US" w:eastAsia="zh-CN"/>
        </w:rPr>
        <w:t>投入</w:t>
      </w:r>
      <w:r>
        <w:rPr>
          <w:rFonts w:hint="eastAsia" w:ascii="宋体" w:hAnsi="宋体" w:cs="宋体"/>
          <w:color w:val="auto"/>
          <w:sz w:val="23"/>
          <w:highlight w:val="none"/>
        </w:rPr>
        <w:t>本项目的主要人员</w:t>
      </w:r>
      <w:r>
        <w:rPr>
          <w:rFonts w:hint="eastAsia" w:ascii="宋体" w:hAnsi="宋体" w:cs="宋体"/>
          <w:color w:val="auto"/>
          <w:sz w:val="23"/>
          <w:highlight w:val="none"/>
          <w:lang w:val="en-US" w:eastAsia="zh-CN"/>
        </w:rPr>
        <w:t>汇总</w:t>
      </w:r>
      <w:r>
        <w:rPr>
          <w:rFonts w:hint="eastAsia" w:ascii="宋体" w:hAnsi="宋体" w:cs="宋体"/>
          <w:color w:val="auto"/>
          <w:sz w:val="23"/>
          <w:highlight w:val="none"/>
        </w:rPr>
        <w:t>表</w:t>
      </w:r>
      <w:r>
        <w:rPr>
          <w:rFonts w:hint="eastAsia" w:ascii="宋体" w:hAnsi="宋体" w:cs="宋体"/>
          <w:color w:val="auto"/>
          <w:sz w:val="23"/>
          <w:highlight w:val="none"/>
          <w:lang w:val="en-US" w:eastAsia="zh-CN"/>
        </w:rPr>
        <w:t>；</w:t>
      </w:r>
    </w:p>
    <w:p>
      <w:pPr>
        <w:spacing w:after="0" w:afterLines="0" w:line="360" w:lineRule="auto"/>
        <w:ind w:firstLine="460"/>
        <w:jc w:val="left"/>
        <w:rPr>
          <w:rFonts w:hint="eastAsia" w:ascii="宋体" w:hAnsi="宋体" w:cs="宋体"/>
          <w:color w:val="auto"/>
          <w:sz w:val="23"/>
          <w:highlight w:val="none"/>
        </w:rPr>
      </w:pPr>
      <w:r>
        <w:rPr>
          <w:rFonts w:hint="eastAsia" w:ascii="宋体" w:hAnsi="宋体" w:cs="宋体"/>
          <w:color w:val="auto"/>
          <w:sz w:val="23"/>
          <w:highlight w:val="none"/>
        </w:rPr>
        <w:t>（4）拟投入本项目的主要人员简历表</w:t>
      </w:r>
      <w:r>
        <w:rPr>
          <w:rFonts w:hint="eastAsia" w:ascii="宋体" w:hAnsi="宋体" w:cs="宋体"/>
          <w:color w:val="auto"/>
          <w:sz w:val="23"/>
          <w:highlight w:val="none"/>
          <w:lang w:val="en-US" w:eastAsia="zh-CN"/>
        </w:rPr>
        <w:t>；</w:t>
      </w:r>
    </w:p>
    <w:p>
      <w:pPr>
        <w:spacing w:after="0" w:afterLines="0" w:line="360" w:lineRule="auto"/>
        <w:ind w:firstLine="460"/>
        <w:jc w:val="left"/>
        <w:rPr>
          <w:rFonts w:hint="eastAsia" w:ascii="宋体" w:hAnsi="宋体" w:cs="宋体"/>
          <w:color w:val="auto"/>
          <w:sz w:val="23"/>
          <w:highlight w:val="none"/>
          <w:lang w:val="en-US" w:eastAsia="zh-CN"/>
        </w:rPr>
      </w:pPr>
      <w:r>
        <w:rPr>
          <w:rFonts w:hint="eastAsia" w:ascii="宋体" w:hAnsi="宋体" w:cs="宋体"/>
          <w:color w:val="auto"/>
          <w:sz w:val="23"/>
          <w:highlight w:val="none"/>
        </w:rPr>
        <w:t>（5）拟投入本项目的主要检测监测仪器设备一览表</w:t>
      </w:r>
      <w:r>
        <w:rPr>
          <w:rFonts w:hint="eastAsia" w:ascii="宋体" w:hAnsi="宋体" w:cs="宋体"/>
          <w:color w:val="auto"/>
          <w:sz w:val="23"/>
          <w:highlight w:val="none"/>
          <w:lang w:val="en-US" w:eastAsia="zh-CN"/>
        </w:rPr>
        <w:t>；</w:t>
      </w:r>
    </w:p>
    <w:p>
      <w:pPr>
        <w:spacing w:after="0" w:afterLines="0" w:line="360" w:lineRule="auto"/>
        <w:ind w:firstLine="460"/>
        <w:jc w:val="left"/>
        <w:rPr>
          <w:rFonts w:hint="eastAsia" w:ascii="宋体" w:hAnsi="宋体" w:cs="宋体"/>
          <w:color w:val="auto"/>
          <w:sz w:val="23"/>
          <w:highlight w:val="none"/>
        </w:rPr>
      </w:pPr>
      <w:r>
        <w:rPr>
          <w:rFonts w:hint="eastAsia" w:ascii="宋体" w:hAnsi="宋体" w:cs="宋体"/>
          <w:color w:val="auto"/>
          <w:sz w:val="23"/>
          <w:highlight w:val="none"/>
        </w:rPr>
        <w:t>（6）招标文件规定需提供的资料或投标人认为需增加提供的其它资料</w:t>
      </w:r>
      <w:r>
        <w:rPr>
          <w:rFonts w:hint="eastAsia" w:ascii="宋体" w:hAnsi="宋体" w:cs="宋体"/>
          <w:color w:val="auto"/>
          <w:sz w:val="23"/>
          <w:highlight w:val="none"/>
          <w:lang w:eastAsia="zh-CN"/>
        </w:rPr>
        <w:t>。</w:t>
      </w:r>
    </w:p>
    <w:p>
      <w:pPr>
        <w:spacing w:afterLines="0"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投标人在评标过程中作出的符合法律法规和招标文件规定的澄清确认，构成投标文件的组成部分。</w:t>
      </w:r>
    </w:p>
    <w:p>
      <w:pPr>
        <w:spacing w:afterLines="0"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3.1.2 投标人须知前附表规定不接受联合体投标的，或投标人没有组成联合体的，投标文件不包括联合体协议书。</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3.1.3 投标人须知前附表未要求提交投标保证金的，投标文件不包括本章第3.1.1（</w:t>
      </w:r>
      <w:r>
        <w:rPr>
          <w:rFonts w:hint="eastAsia" w:ascii="宋体" w:hAnsi="宋体" w:cs="宋体"/>
          <w:color w:val="auto"/>
          <w:sz w:val="23"/>
          <w:highlight w:val="none"/>
          <w:lang w:val="en-US" w:eastAsia="zh-CN"/>
        </w:rPr>
        <w:t>3</w:t>
      </w:r>
      <w:r>
        <w:rPr>
          <w:rFonts w:hint="eastAsia" w:ascii="宋体" w:hAnsi="宋体" w:cs="宋体"/>
          <w:color w:val="auto"/>
          <w:sz w:val="23"/>
          <w:highlight w:val="none"/>
        </w:rPr>
        <w:t>）目所指的投标保证金。</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3.2 投标报价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3.2.1</w:t>
      </w:r>
      <w:r>
        <w:rPr>
          <w:rFonts w:hint="eastAsia" w:ascii="宋体" w:hAnsi="宋体" w:cs="宋体"/>
          <w:color w:val="auto"/>
          <w:sz w:val="23"/>
          <w:highlight w:val="none"/>
          <w:lang w:val="en-US" w:eastAsia="zh-CN"/>
        </w:rPr>
        <w:t xml:space="preserve"> </w:t>
      </w:r>
      <w:r>
        <w:rPr>
          <w:rFonts w:hint="eastAsia" w:ascii="宋体" w:hAnsi="宋体" w:cs="宋体"/>
          <w:color w:val="auto"/>
          <w:sz w:val="23"/>
          <w:highlight w:val="none"/>
        </w:rPr>
        <w:t>投标报价应包括国家规定的增值税税金，除投标人须知前附表另有规定外，增值税税金按一般计税方法计算。投标人应按第六章“投标文件格式”的要求在投标函中进行报价。</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3.2.2 投标人应充分了解该项目的总体情况以及影响投标报价的其他要素。</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3.2.3 本项目的报价方式见投标人须知前附表。投标人在投标截止时间前修改投标函中的投标报价总额。此修改须符合本章第4.3款的有关要求。</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3.2.4 招标人设有最高投标限价的，投标人的投标报价不得超过最高投标限价，最高投标限价在投标人须知前附表中载明。</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3.2.5 投标报价的其他要求见投标人须知前附表。</w:t>
      </w:r>
    </w:p>
    <w:p>
      <w:pPr>
        <w:spacing w:line="360" w:lineRule="auto"/>
        <w:jc w:val="left"/>
        <w:rPr>
          <w:rFonts w:ascii="宋体" w:hAnsi="宋体" w:cs="宋体"/>
          <w:color w:val="auto"/>
          <w:sz w:val="23"/>
          <w:highlight w:val="none"/>
        </w:rPr>
      </w:pPr>
      <w:r>
        <w:rPr>
          <w:rFonts w:hint="eastAsia" w:ascii="宋体" w:hAnsi="宋体" w:cs="宋体"/>
          <w:b/>
          <w:bCs/>
          <w:color w:val="auto"/>
          <w:sz w:val="23"/>
          <w:highlight w:val="none"/>
        </w:rPr>
        <w:t>3.3 投标有效期</w:t>
      </w:r>
      <w:r>
        <w:rPr>
          <w:rFonts w:hint="eastAsia" w:ascii="宋体" w:hAnsi="宋体" w:cs="宋体"/>
          <w:color w:val="auto"/>
          <w:sz w:val="23"/>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3.3.1 除投标人须知前附表另有规定外，投标有效期为</w:t>
      </w:r>
      <w:r>
        <w:rPr>
          <w:rFonts w:hint="eastAsia" w:ascii="宋体" w:hAnsi="宋体" w:cs="宋体"/>
          <w:color w:val="auto"/>
          <w:sz w:val="23"/>
          <w:highlight w:val="none"/>
          <w:lang w:val="en-US" w:eastAsia="zh-CN"/>
        </w:rPr>
        <w:t>90</w:t>
      </w:r>
      <w:r>
        <w:rPr>
          <w:rFonts w:hint="eastAsia" w:ascii="宋体" w:hAnsi="宋体" w:cs="宋体"/>
          <w:color w:val="auto"/>
          <w:sz w:val="23"/>
          <w:highlight w:val="none"/>
        </w:rPr>
        <w:t>天。</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3.3.2 在投标有效期内，投标人撤销投标文件的，应承担招标文件和法律规定的责任。</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 </w:t>
      </w:r>
    </w:p>
    <w:p>
      <w:pPr>
        <w:spacing w:line="360" w:lineRule="auto"/>
        <w:jc w:val="left"/>
        <w:rPr>
          <w:rFonts w:hint="eastAsia" w:ascii="宋体" w:hAnsi="宋体" w:cs="宋体"/>
          <w:color w:val="auto"/>
          <w:sz w:val="23"/>
          <w:highlight w:val="none"/>
        </w:rPr>
      </w:pPr>
      <w:r>
        <w:rPr>
          <w:rFonts w:hint="eastAsia" w:ascii="宋体" w:hAnsi="宋体" w:cs="宋体"/>
          <w:b/>
          <w:bCs/>
          <w:color w:val="auto"/>
          <w:sz w:val="23"/>
          <w:highlight w:val="none"/>
        </w:rPr>
        <w:t>3.4 投标保证金</w:t>
      </w:r>
      <w:r>
        <w:rPr>
          <w:rFonts w:hint="eastAsia" w:ascii="宋体" w:hAnsi="宋体" w:cs="宋体"/>
          <w:color w:val="auto"/>
          <w:sz w:val="23"/>
          <w:highlight w:val="none"/>
        </w:rPr>
        <w:t xml:space="preserve"> </w:t>
      </w:r>
    </w:p>
    <w:p>
      <w:pPr>
        <w:spacing w:line="360" w:lineRule="auto"/>
        <w:ind w:firstLine="460" w:firstLineChars="200"/>
        <w:jc w:val="left"/>
        <w:rPr>
          <w:rFonts w:hint="eastAsia" w:ascii="宋体" w:hAnsi="宋体" w:eastAsia="宋体" w:cs="宋体"/>
          <w:color w:val="auto"/>
          <w:sz w:val="23"/>
          <w:highlight w:val="none"/>
          <w:lang w:eastAsia="zh-CN"/>
        </w:rPr>
      </w:pPr>
      <w:r>
        <w:rPr>
          <w:rFonts w:hint="eastAsia" w:ascii="宋体" w:hAnsi="宋体" w:cs="宋体"/>
          <w:color w:val="auto"/>
          <w:sz w:val="23"/>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联合体投标的，其投标保证金可以由牵头人递交，并应符合投标人须知前附表的规定</w:t>
      </w:r>
      <w:r>
        <w:rPr>
          <w:rFonts w:hint="eastAsia" w:ascii="宋体" w:hAnsi="宋体" w:cs="宋体"/>
          <w:color w:val="auto"/>
          <w:sz w:val="23"/>
          <w:highlight w:val="none"/>
          <w:lang w:eastAsia="zh-CN"/>
        </w:rPr>
        <w:t>。</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无论采取何种形式的投标保证金，投标保证金有效期均应与投标有效期一致。招标人如果按本章第3.3.3项的规定延长了投标有效期，则投标保证金的有效期也相应延长。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3.4.2 投标人不按本章第3.4.1项要求提交投标保证金的，评标委员会将否决其投标。</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3.4.3 招标人最迟将在与中标人签订合同后5日内，向未中标的投标人和中标人退还投标保证金。投标保证金以现金或者支票形式递交的，还应退还银行同期存款利息。</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利息计算原则见投标人须知前附表。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3.4.4 有下列情形之一的，投标保证金将不予退还：</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（1）投标人在投标有效期内撤销投标文件；</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（2）中标人在收到中标通知书后，无正当理由不与招标人订立合同，在签订合同时向招标人提出附加条件，或者不按照招标文件要求提交履约保证金；</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（3）发生投标人须知前附表规定的其他可以不予退还投标保证金的情形。</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3.5 资格审查资料</w:t>
      </w:r>
    </w:p>
    <w:p>
      <w:pPr>
        <w:spacing w:line="360" w:lineRule="auto"/>
        <w:ind w:firstLine="460" w:firstLineChars="200"/>
        <w:jc w:val="left"/>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除投标人须知前附表另有规定外，投标人应按下列规定提供资格审查资料，以证明其满足本章第1.4款规定的资质等要求。</w:t>
      </w:r>
    </w:p>
    <w:p>
      <w:pPr>
        <w:spacing w:line="360" w:lineRule="auto"/>
        <w:ind w:firstLine="460" w:firstLineChars="200"/>
        <w:jc w:val="left"/>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3.5.1 “投标人基本情况表”应附投标人营业执照或事业单位法人证书、建设行政主管部门颁发的建设工程质量检测机构资质证书、检验检测机构资质认证（CMA）证书、勘察资质证书以及其他相关资料。</w:t>
      </w:r>
    </w:p>
    <w:p>
      <w:pPr>
        <w:spacing w:line="360" w:lineRule="auto"/>
        <w:ind w:firstLine="460" w:firstLineChars="200"/>
        <w:jc w:val="left"/>
        <w:rPr>
          <w:rFonts w:hint="eastAsia" w:asciiTheme="minorEastAsia" w:hAnsiTheme="minorEastAsia" w:eastAsiaTheme="minorEastAsia" w:cstheme="minorEastAsia"/>
          <w:color w:val="auto"/>
          <w:sz w:val="23"/>
          <w:szCs w:val="23"/>
          <w:highlight w:val="none"/>
          <w:lang w:eastAsia="zh-CN"/>
        </w:rPr>
      </w:pPr>
      <w:r>
        <w:rPr>
          <w:rFonts w:hint="eastAsia" w:asciiTheme="minorEastAsia" w:hAnsiTheme="minorEastAsia" w:eastAsiaTheme="minorEastAsia" w:cstheme="minorEastAsia"/>
          <w:color w:val="auto"/>
          <w:sz w:val="23"/>
          <w:szCs w:val="23"/>
          <w:highlight w:val="none"/>
        </w:rPr>
        <w:t>投标人需按规定格式签名盖章《投标人声明》</w:t>
      </w:r>
      <w:r>
        <w:rPr>
          <w:rFonts w:hint="eastAsia" w:asciiTheme="minorEastAsia" w:hAnsiTheme="minorEastAsia" w:eastAsiaTheme="minorEastAsia" w:cstheme="minorEastAsia"/>
          <w:color w:val="auto"/>
          <w:sz w:val="23"/>
          <w:szCs w:val="23"/>
          <w:highlight w:val="none"/>
          <w:lang w:val="en-US" w:eastAsia="zh-CN"/>
        </w:rPr>
        <w:t>和</w:t>
      </w:r>
      <w:r>
        <w:rPr>
          <w:rFonts w:hint="eastAsia" w:asciiTheme="minorEastAsia" w:hAnsiTheme="minorEastAsia" w:eastAsiaTheme="minorEastAsia" w:cstheme="minorEastAsia"/>
          <w:color w:val="auto"/>
          <w:sz w:val="23"/>
          <w:szCs w:val="23"/>
          <w:highlight w:val="none"/>
        </w:rPr>
        <w:t>《承诺书》（格式见招标文件第六章投标文件格式）</w:t>
      </w:r>
      <w:r>
        <w:rPr>
          <w:rFonts w:hint="eastAsia" w:asciiTheme="minorEastAsia" w:hAnsiTheme="minorEastAsia" w:eastAsiaTheme="minorEastAsia" w:cstheme="minorEastAsia"/>
          <w:color w:val="auto"/>
          <w:sz w:val="23"/>
          <w:szCs w:val="23"/>
          <w:highlight w:val="none"/>
          <w:lang w:eastAsia="zh-CN"/>
        </w:rPr>
        <w:t>；</w:t>
      </w:r>
    </w:p>
    <w:p>
      <w:pPr>
        <w:pStyle w:val="74"/>
        <w:spacing w:line="360" w:lineRule="auto"/>
        <w:ind w:left="0" w:leftChars="0" w:firstLine="460" w:firstLineChars="200"/>
        <w:rPr>
          <w:rFonts w:hint="eastAsia" w:ascii="宋体" w:hAnsi="宋体" w:cs="宋体"/>
          <w:color w:val="auto"/>
          <w:sz w:val="23"/>
          <w:szCs w:val="23"/>
          <w:highlight w:val="none"/>
        </w:rPr>
      </w:pPr>
      <w:r>
        <w:rPr>
          <w:rFonts w:hint="eastAsia" w:ascii="宋体" w:hAnsi="宋体" w:cs="宋体"/>
          <w:b w:val="0"/>
          <w:bCs w:val="0"/>
          <w:color w:val="auto"/>
          <w:sz w:val="23"/>
          <w:szCs w:val="23"/>
          <w:highlight w:val="none"/>
          <w:lang w:val="en-US" w:eastAsia="zh-CN"/>
        </w:rPr>
        <w:t xml:space="preserve">3.5.2 </w:t>
      </w:r>
      <w:r>
        <w:rPr>
          <w:rFonts w:hint="eastAsia" w:ascii="宋体" w:hAnsi="宋体" w:cs="宋体"/>
          <w:color w:val="auto"/>
          <w:sz w:val="23"/>
          <w:szCs w:val="23"/>
          <w:highlight w:val="none"/>
        </w:rPr>
        <w:t>本项目</w:t>
      </w:r>
      <w:r>
        <w:rPr>
          <w:rFonts w:hint="eastAsia" w:ascii="宋体" w:hAnsi="宋体" w:cs="宋体"/>
          <w:color w:val="auto"/>
          <w:sz w:val="23"/>
          <w:szCs w:val="23"/>
          <w:highlight w:val="none"/>
          <w:lang w:val="en-US" w:eastAsia="zh-CN"/>
        </w:rPr>
        <w:t>投标文件格式其他资料</w:t>
      </w:r>
      <w:r>
        <w:rPr>
          <w:rFonts w:hint="eastAsia" w:ascii="宋体" w:hAnsi="宋体" w:cs="宋体"/>
          <w:b/>
          <w:bCs/>
          <w:color w:val="auto"/>
          <w:sz w:val="23"/>
          <w:szCs w:val="23"/>
          <w:highlight w:val="none"/>
          <w:lang w:eastAsia="zh-CN"/>
        </w:rPr>
        <w:t>（</w:t>
      </w:r>
      <w:r>
        <w:rPr>
          <w:rFonts w:hint="eastAsia" w:ascii="宋体" w:hAnsi="宋体" w:cs="宋体"/>
          <w:b/>
          <w:bCs/>
          <w:color w:val="auto"/>
          <w:sz w:val="23"/>
          <w:szCs w:val="23"/>
          <w:highlight w:val="none"/>
          <w:lang w:val="en-US" w:eastAsia="zh-CN"/>
        </w:rPr>
        <w:t>不包括“</w:t>
      </w:r>
      <w:r>
        <w:rPr>
          <w:rFonts w:hint="eastAsia" w:ascii="宋体" w:hAnsi="宋体" w:cs="宋体"/>
          <w:b/>
          <w:bCs/>
          <w:color w:val="auto"/>
          <w:sz w:val="23"/>
          <w:szCs w:val="23"/>
          <w:highlight w:val="none"/>
        </w:rPr>
        <w:t>拟委任</w:t>
      </w:r>
      <w:r>
        <w:rPr>
          <w:rFonts w:hint="eastAsia" w:ascii="宋体" w:hAnsi="宋体" w:cs="宋体"/>
          <w:b/>
          <w:bCs/>
          <w:color w:val="auto"/>
          <w:sz w:val="23"/>
          <w:szCs w:val="23"/>
          <w:highlight w:val="none"/>
          <w:lang w:val="en-US" w:eastAsia="zh-CN"/>
        </w:rPr>
        <w:t>项目负责人简历表”</w:t>
      </w:r>
      <w:r>
        <w:rPr>
          <w:rFonts w:hint="eastAsia" w:ascii="宋体" w:hAnsi="宋体" w:cs="宋体"/>
          <w:b/>
          <w:bCs/>
          <w:color w:val="auto"/>
          <w:sz w:val="23"/>
          <w:szCs w:val="23"/>
          <w:highlight w:val="none"/>
          <w:lang w:eastAsia="zh-CN"/>
        </w:rPr>
        <w:t>）</w:t>
      </w:r>
      <w:r>
        <w:rPr>
          <w:rFonts w:hint="eastAsia" w:ascii="宋体" w:hAnsi="宋体" w:cs="宋体"/>
          <w:color w:val="auto"/>
          <w:sz w:val="23"/>
          <w:szCs w:val="23"/>
          <w:highlight w:val="none"/>
          <w:lang w:val="en-US" w:eastAsia="zh-CN"/>
        </w:rPr>
        <w:t>要求</w:t>
      </w:r>
      <w:r>
        <w:rPr>
          <w:rFonts w:hint="eastAsia" w:ascii="宋体" w:hAnsi="宋体" w:cs="宋体"/>
          <w:color w:val="auto"/>
          <w:sz w:val="23"/>
          <w:szCs w:val="23"/>
          <w:highlight w:val="none"/>
        </w:rPr>
        <w:t>提供的</w:t>
      </w:r>
      <w:r>
        <w:rPr>
          <w:rFonts w:hint="eastAsia" w:ascii="宋体" w:hAnsi="宋体" w:cs="宋体"/>
          <w:color w:val="auto"/>
          <w:sz w:val="23"/>
          <w:szCs w:val="23"/>
          <w:highlight w:val="none"/>
          <w:lang w:eastAsia="zh-CN"/>
        </w:rPr>
        <w:t>“</w:t>
      </w:r>
      <w:r>
        <w:rPr>
          <w:rFonts w:hint="eastAsia" w:ascii="宋体" w:hAnsi="宋体" w:cs="宋体"/>
          <w:color w:val="auto"/>
          <w:sz w:val="23"/>
          <w:szCs w:val="23"/>
          <w:highlight w:val="none"/>
        </w:rPr>
        <w:t>近年</w:t>
      </w:r>
      <w:r>
        <w:rPr>
          <w:rFonts w:hint="eastAsia" w:ascii="宋体" w:hAnsi="宋体" w:cs="宋体"/>
          <w:color w:val="auto"/>
          <w:sz w:val="23"/>
          <w:szCs w:val="23"/>
          <w:highlight w:val="none"/>
          <w:lang w:val="en-US" w:eastAsia="zh-CN"/>
        </w:rPr>
        <w:t>承接</w:t>
      </w:r>
      <w:r>
        <w:rPr>
          <w:rFonts w:hint="eastAsia" w:ascii="宋体" w:hAnsi="宋体" w:cs="宋体"/>
          <w:color w:val="auto"/>
          <w:sz w:val="23"/>
          <w:szCs w:val="23"/>
          <w:highlight w:val="none"/>
        </w:rPr>
        <w:t>的类似项目情况汇总表</w:t>
      </w:r>
      <w:r>
        <w:rPr>
          <w:rFonts w:hint="eastAsia" w:ascii="宋体" w:hAnsi="宋体" w:cs="宋体"/>
          <w:color w:val="auto"/>
          <w:sz w:val="23"/>
          <w:szCs w:val="23"/>
          <w:highlight w:val="none"/>
          <w:lang w:eastAsia="zh-CN"/>
        </w:rPr>
        <w:t>”、“</w:t>
      </w:r>
      <w:r>
        <w:rPr>
          <w:rFonts w:hint="eastAsia" w:ascii="宋体" w:hAnsi="宋体" w:cs="宋体"/>
          <w:color w:val="auto"/>
          <w:sz w:val="23"/>
          <w:szCs w:val="23"/>
          <w:highlight w:val="none"/>
        </w:rPr>
        <w:t>近年</w:t>
      </w:r>
      <w:r>
        <w:rPr>
          <w:rFonts w:hint="eastAsia" w:ascii="宋体" w:hAnsi="宋体" w:cs="宋体"/>
          <w:color w:val="auto"/>
          <w:sz w:val="23"/>
          <w:szCs w:val="23"/>
          <w:highlight w:val="none"/>
          <w:lang w:val="en-US" w:eastAsia="zh-CN"/>
        </w:rPr>
        <w:t>承接</w:t>
      </w:r>
      <w:r>
        <w:rPr>
          <w:rFonts w:hint="eastAsia" w:ascii="宋体" w:hAnsi="宋体" w:cs="宋体"/>
          <w:color w:val="auto"/>
          <w:sz w:val="23"/>
          <w:szCs w:val="23"/>
          <w:highlight w:val="none"/>
        </w:rPr>
        <w:t>的类似项目情况表</w:t>
      </w:r>
      <w:r>
        <w:rPr>
          <w:rFonts w:hint="eastAsia" w:ascii="宋体" w:hAnsi="宋体" w:cs="宋体"/>
          <w:color w:val="auto"/>
          <w:sz w:val="23"/>
          <w:szCs w:val="23"/>
          <w:highlight w:val="none"/>
          <w:lang w:eastAsia="zh-CN"/>
        </w:rPr>
        <w:t>”、“</w:t>
      </w:r>
      <w:r>
        <w:rPr>
          <w:rFonts w:hint="eastAsia" w:ascii="宋体" w:hAnsi="宋体" w:cs="宋体"/>
          <w:color w:val="auto"/>
          <w:sz w:val="23"/>
          <w:szCs w:val="23"/>
          <w:highlight w:val="none"/>
        </w:rPr>
        <w:t>拟委任的主要人员汇总表</w:t>
      </w:r>
      <w:r>
        <w:rPr>
          <w:rFonts w:hint="eastAsia" w:ascii="宋体" w:hAnsi="宋体" w:cs="宋体"/>
          <w:color w:val="auto"/>
          <w:sz w:val="23"/>
          <w:szCs w:val="23"/>
          <w:highlight w:val="none"/>
          <w:lang w:eastAsia="zh-CN"/>
        </w:rPr>
        <w:t>”、“</w:t>
      </w:r>
      <w:r>
        <w:rPr>
          <w:rFonts w:hint="eastAsia" w:ascii="宋体" w:hAnsi="宋体" w:cs="宋体"/>
          <w:color w:val="auto"/>
          <w:sz w:val="23"/>
          <w:szCs w:val="23"/>
          <w:highlight w:val="none"/>
        </w:rPr>
        <w:t>拟投入本项目的主要人员简历表</w:t>
      </w:r>
      <w:r>
        <w:rPr>
          <w:rFonts w:hint="eastAsia" w:ascii="宋体" w:hAnsi="宋体" w:cs="宋体"/>
          <w:color w:val="auto"/>
          <w:sz w:val="23"/>
          <w:szCs w:val="23"/>
          <w:highlight w:val="none"/>
          <w:lang w:eastAsia="zh-CN"/>
        </w:rPr>
        <w:t>”、</w:t>
      </w:r>
      <w:r>
        <w:rPr>
          <w:rFonts w:ascii="宋体" w:hAnsi="宋体" w:cs="宋体"/>
          <w:color w:val="auto"/>
          <w:sz w:val="23"/>
          <w:szCs w:val="23"/>
          <w:highlight w:val="none"/>
        </w:rPr>
        <w:t>“</w:t>
      </w:r>
      <w:r>
        <w:rPr>
          <w:rFonts w:hint="eastAsia" w:ascii="宋体" w:hAnsi="宋体" w:cs="宋体"/>
          <w:color w:val="auto"/>
          <w:sz w:val="23"/>
          <w:szCs w:val="23"/>
          <w:highlight w:val="none"/>
        </w:rPr>
        <w:t>拟投入本项目的主要</w:t>
      </w:r>
      <w:r>
        <w:rPr>
          <w:rFonts w:hint="eastAsia" w:ascii="宋体" w:hAnsi="宋体" w:cs="宋体"/>
          <w:color w:val="auto"/>
          <w:sz w:val="23"/>
          <w:szCs w:val="23"/>
          <w:highlight w:val="none"/>
          <w:lang w:val="en-US" w:eastAsia="zh-CN"/>
        </w:rPr>
        <w:t>检测监测</w:t>
      </w:r>
      <w:r>
        <w:rPr>
          <w:rFonts w:hint="eastAsia" w:ascii="宋体" w:hAnsi="宋体" w:cs="宋体"/>
          <w:color w:val="auto"/>
          <w:sz w:val="23"/>
          <w:szCs w:val="23"/>
          <w:highlight w:val="none"/>
        </w:rPr>
        <w:t>仪器设备</w:t>
      </w:r>
      <w:r>
        <w:rPr>
          <w:rFonts w:hint="eastAsia" w:ascii="宋体" w:hAnsi="宋体" w:cs="宋体"/>
          <w:color w:val="auto"/>
          <w:sz w:val="23"/>
          <w:szCs w:val="23"/>
          <w:highlight w:val="none"/>
          <w:lang w:val="en-US" w:eastAsia="zh-CN"/>
        </w:rPr>
        <w:t>一览</w:t>
      </w:r>
      <w:r>
        <w:rPr>
          <w:rFonts w:hint="eastAsia" w:ascii="宋体" w:hAnsi="宋体" w:cs="宋体"/>
          <w:color w:val="auto"/>
          <w:sz w:val="23"/>
          <w:szCs w:val="23"/>
          <w:highlight w:val="none"/>
        </w:rPr>
        <w:t>表</w:t>
      </w:r>
      <w:r>
        <w:rPr>
          <w:rFonts w:ascii="宋体" w:hAnsi="宋体" w:cs="宋体"/>
          <w:color w:val="auto"/>
          <w:sz w:val="23"/>
          <w:szCs w:val="23"/>
          <w:highlight w:val="none"/>
        </w:rPr>
        <w:t>”</w:t>
      </w:r>
      <w:r>
        <w:rPr>
          <w:rFonts w:hint="eastAsia" w:ascii="宋体" w:hAnsi="宋体" w:cs="宋体"/>
          <w:color w:val="auto"/>
          <w:sz w:val="23"/>
          <w:szCs w:val="23"/>
          <w:highlight w:val="none"/>
        </w:rPr>
        <w:t>，</w:t>
      </w:r>
      <w:r>
        <w:rPr>
          <w:rFonts w:hint="eastAsia" w:ascii="宋体" w:hAnsi="宋体" w:cs="宋体"/>
          <w:b/>
          <w:bCs/>
          <w:color w:val="auto"/>
          <w:sz w:val="23"/>
          <w:szCs w:val="23"/>
          <w:highlight w:val="none"/>
        </w:rPr>
        <w:t>不作为资格审查内容，上述内容资料需提供且作为评标资料（如有）</w:t>
      </w:r>
      <w:r>
        <w:rPr>
          <w:rFonts w:hint="eastAsia" w:ascii="宋体" w:hAnsi="宋体" w:cs="宋体"/>
          <w:color w:val="auto"/>
          <w:sz w:val="23"/>
          <w:szCs w:val="23"/>
          <w:highlight w:val="none"/>
        </w:rPr>
        <w:t>。</w:t>
      </w:r>
    </w:p>
    <w:p>
      <w:pPr>
        <w:pStyle w:val="74"/>
        <w:spacing w:line="360" w:lineRule="auto"/>
        <w:ind w:left="0" w:leftChars="0" w:firstLine="460" w:firstLineChars="200"/>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3"/>
          <w:szCs w:val="23"/>
          <w:highlight w:val="none"/>
          <w:lang w:eastAsia="zh-CN"/>
        </w:rPr>
        <w:t>3.5.</w:t>
      </w:r>
      <w:r>
        <w:rPr>
          <w:rFonts w:hint="eastAsia" w:asciiTheme="minorEastAsia" w:hAnsiTheme="minorEastAsia" w:eastAsiaTheme="minorEastAsia" w:cstheme="minorEastAsia"/>
          <w:color w:val="auto"/>
          <w:sz w:val="23"/>
          <w:szCs w:val="23"/>
          <w:highlight w:val="none"/>
          <w:lang w:val="en-US" w:eastAsia="zh-CN"/>
        </w:rPr>
        <w:t>3 “近年承接的类似项目情况表”</w:t>
      </w:r>
      <w:r>
        <w:rPr>
          <w:rFonts w:hint="eastAsia" w:asciiTheme="minorEastAsia" w:hAnsiTheme="minorEastAsia" w:eastAsiaTheme="minorEastAsia" w:cstheme="minorEastAsia"/>
          <w:color w:val="auto"/>
          <w:sz w:val="23"/>
          <w:szCs w:val="23"/>
          <w:highlight w:val="none"/>
        </w:rPr>
        <w:t>应提交合同文件和中标通知书（或免招标证明）等证明文件，否则业绩无效，业绩时间和金额以合同文件为准。</w:t>
      </w:r>
    </w:p>
    <w:p>
      <w:pPr>
        <w:pStyle w:val="74"/>
        <w:spacing w:line="360" w:lineRule="auto"/>
        <w:ind w:left="0" w:leftChars="0" w:firstLine="460" w:firstLineChars="200"/>
        <w:rPr>
          <w:rFonts w:hint="default"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3"/>
          <w:szCs w:val="23"/>
          <w:highlight w:val="none"/>
          <w:lang w:val="en-US" w:eastAsia="zh-CN"/>
        </w:rPr>
        <w:t>3.5.4 “拟投入本项目的主要人员简历表”后应附人员身份证、职称证书、检测员证或检测鉴定培训合格证、一级注册结构工程师或注册土木工程师（岩土）证书及全国建筑市场监管公共服务平台（四库一平台）网页截图（如有）等有关证明材料和社保缴费明细复印件。所提供的投入人员必须为投标单位人员，需提供在社保系统打印的缴费明细扫描件（社保时段为投标文件递交截止日前半年时间内连续不少于三个月）。</w:t>
      </w:r>
    </w:p>
    <w:p>
      <w:pPr>
        <w:pStyle w:val="74"/>
        <w:spacing w:line="360" w:lineRule="auto"/>
        <w:ind w:left="0" w:leftChars="0" w:firstLine="460" w:firstLineChars="200"/>
        <w:rPr>
          <w:rFonts w:hint="eastAsia" w:asciiTheme="minorEastAsia" w:hAnsiTheme="minorEastAsia" w:eastAsiaTheme="minorEastAsia" w:cstheme="minorEastAsia"/>
          <w:color w:val="auto"/>
          <w:sz w:val="23"/>
          <w:szCs w:val="23"/>
          <w:highlight w:val="none"/>
          <w:lang w:val="en-US" w:eastAsia="zh-CN"/>
        </w:rPr>
      </w:pPr>
      <w:r>
        <w:rPr>
          <w:rFonts w:hint="eastAsia" w:asciiTheme="minorEastAsia" w:hAnsiTheme="minorEastAsia" w:eastAsiaTheme="minorEastAsia" w:cstheme="minorEastAsia"/>
          <w:color w:val="auto"/>
          <w:sz w:val="23"/>
          <w:szCs w:val="23"/>
          <w:highlight w:val="none"/>
        </w:rPr>
        <w:t>3.</w:t>
      </w:r>
      <w:r>
        <w:rPr>
          <w:rFonts w:hint="eastAsia" w:asciiTheme="minorEastAsia" w:hAnsiTheme="minorEastAsia" w:eastAsiaTheme="minorEastAsia" w:cstheme="minorEastAsia"/>
          <w:color w:val="auto"/>
          <w:sz w:val="23"/>
          <w:szCs w:val="23"/>
          <w:highlight w:val="none"/>
          <w:lang w:eastAsia="zh-CN"/>
        </w:rPr>
        <w:t>5</w:t>
      </w:r>
      <w:r>
        <w:rPr>
          <w:rFonts w:hint="eastAsia" w:asciiTheme="minorEastAsia" w:hAnsiTheme="minorEastAsia" w:eastAsiaTheme="minorEastAsia" w:cstheme="minorEastAsia"/>
          <w:color w:val="auto"/>
          <w:sz w:val="23"/>
          <w:szCs w:val="23"/>
          <w:highlight w:val="none"/>
        </w:rPr>
        <w:t>.</w:t>
      </w:r>
      <w:r>
        <w:rPr>
          <w:rFonts w:hint="eastAsia" w:asciiTheme="minorEastAsia" w:hAnsiTheme="minorEastAsia" w:eastAsiaTheme="minorEastAsia" w:cstheme="minorEastAsia"/>
          <w:color w:val="auto"/>
          <w:sz w:val="23"/>
          <w:szCs w:val="23"/>
          <w:highlight w:val="none"/>
          <w:lang w:val="en-US" w:eastAsia="zh-CN"/>
        </w:rPr>
        <w:t>5 “</w:t>
      </w:r>
      <w:r>
        <w:rPr>
          <w:rFonts w:hint="eastAsia" w:asciiTheme="minorEastAsia" w:hAnsiTheme="minorEastAsia" w:eastAsiaTheme="minorEastAsia" w:cstheme="minorEastAsia"/>
          <w:color w:val="auto"/>
          <w:sz w:val="23"/>
          <w:szCs w:val="23"/>
          <w:highlight w:val="none"/>
        </w:rPr>
        <w:t>拟投入本项目的主要检测监测仪器设备一览表</w:t>
      </w:r>
      <w:r>
        <w:rPr>
          <w:rFonts w:hint="eastAsia" w:asciiTheme="minorEastAsia" w:hAnsiTheme="minorEastAsia" w:eastAsiaTheme="minorEastAsia" w:cstheme="minorEastAsia"/>
          <w:color w:val="auto"/>
          <w:sz w:val="23"/>
          <w:szCs w:val="23"/>
          <w:highlight w:val="none"/>
          <w:lang w:val="en-US" w:eastAsia="zh-CN"/>
        </w:rPr>
        <w:t>”</w:t>
      </w:r>
      <w:r>
        <w:rPr>
          <w:rFonts w:hint="eastAsia" w:asciiTheme="minorEastAsia" w:hAnsiTheme="minorEastAsia" w:eastAsiaTheme="minorEastAsia" w:cstheme="minorEastAsia"/>
          <w:color w:val="auto"/>
          <w:sz w:val="23"/>
          <w:szCs w:val="23"/>
          <w:highlight w:val="none"/>
        </w:rPr>
        <w:t>所列仪器须提供</w:t>
      </w:r>
      <w:r>
        <w:rPr>
          <w:rFonts w:hint="eastAsia" w:asciiTheme="minorEastAsia" w:hAnsiTheme="minorEastAsia" w:eastAsiaTheme="minorEastAsia" w:cstheme="minorEastAsia"/>
          <w:color w:val="auto"/>
          <w:sz w:val="23"/>
          <w:szCs w:val="23"/>
          <w:highlight w:val="none"/>
          <w:lang w:val="en-US" w:eastAsia="zh-CN"/>
        </w:rPr>
        <w:t>设备</w:t>
      </w:r>
      <w:r>
        <w:rPr>
          <w:rFonts w:hint="eastAsia" w:asciiTheme="minorEastAsia" w:hAnsiTheme="minorEastAsia" w:eastAsiaTheme="minorEastAsia" w:cstheme="minorEastAsia"/>
          <w:color w:val="auto"/>
          <w:sz w:val="23"/>
          <w:szCs w:val="23"/>
          <w:highlight w:val="none"/>
        </w:rPr>
        <w:t>购</w:t>
      </w:r>
      <w:r>
        <w:rPr>
          <w:rFonts w:hint="eastAsia" w:asciiTheme="minorEastAsia" w:hAnsiTheme="minorEastAsia" w:eastAsiaTheme="minorEastAsia" w:cstheme="minorEastAsia"/>
          <w:color w:val="auto"/>
          <w:sz w:val="23"/>
          <w:szCs w:val="23"/>
          <w:highlight w:val="none"/>
          <w:lang w:val="en-US" w:eastAsia="zh-CN"/>
        </w:rPr>
        <w:t>置</w:t>
      </w:r>
      <w:r>
        <w:rPr>
          <w:rFonts w:hint="eastAsia" w:asciiTheme="minorEastAsia" w:hAnsiTheme="minorEastAsia" w:eastAsiaTheme="minorEastAsia" w:cstheme="minorEastAsia"/>
          <w:color w:val="auto"/>
          <w:sz w:val="23"/>
          <w:szCs w:val="23"/>
          <w:highlight w:val="none"/>
        </w:rPr>
        <w:t>发票</w:t>
      </w:r>
      <w:r>
        <w:rPr>
          <w:rFonts w:hint="eastAsia" w:asciiTheme="minorEastAsia" w:hAnsiTheme="minorEastAsia" w:eastAsiaTheme="minorEastAsia" w:cstheme="minorEastAsia"/>
          <w:color w:val="auto"/>
          <w:sz w:val="23"/>
          <w:szCs w:val="23"/>
          <w:highlight w:val="none"/>
          <w:lang w:eastAsia="zh-CN"/>
        </w:rPr>
        <w:t>（</w:t>
      </w:r>
      <w:r>
        <w:rPr>
          <w:rFonts w:hint="eastAsia" w:asciiTheme="minorEastAsia" w:hAnsiTheme="minorEastAsia" w:eastAsiaTheme="minorEastAsia" w:cstheme="minorEastAsia"/>
          <w:color w:val="auto"/>
          <w:sz w:val="23"/>
          <w:szCs w:val="23"/>
          <w:highlight w:val="none"/>
          <w:lang w:val="en-US" w:eastAsia="zh-CN"/>
        </w:rPr>
        <w:t>如有</w:t>
      </w:r>
      <w:r>
        <w:rPr>
          <w:rFonts w:hint="eastAsia" w:asciiTheme="minorEastAsia" w:hAnsiTheme="minorEastAsia" w:eastAsiaTheme="minorEastAsia" w:cstheme="minorEastAsia"/>
          <w:color w:val="auto"/>
          <w:sz w:val="23"/>
          <w:szCs w:val="23"/>
          <w:highlight w:val="none"/>
          <w:lang w:eastAsia="zh-CN"/>
        </w:rPr>
        <w:t>）</w:t>
      </w:r>
      <w:r>
        <w:rPr>
          <w:rFonts w:hint="eastAsia" w:asciiTheme="minorEastAsia" w:hAnsiTheme="minorEastAsia" w:eastAsiaTheme="minorEastAsia" w:cstheme="minorEastAsia"/>
          <w:color w:val="auto"/>
          <w:sz w:val="23"/>
          <w:szCs w:val="23"/>
          <w:highlight w:val="none"/>
        </w:rPr>
        <w:t>、仪器设备检定或标定证书</w:t>
      </w:r>
      <w:r>
        <w:rPr>
          <w:rFonts w:hint="eastAsia" w:asciiTheme="minorEastAsia" w:hAnsiTheme="minorEastAsia" w:eastAsiaTheme="minorEastAsia" w:cstheme="minorEastAsia"/>
          <w:color w:val="auto"/>
          <w:sz w:val="23"/>
          <w:szCs w:val="23"/>
          <w:highlight w:val="none"/>
          <w:lang w:val="en-US" w:eastAsia="zh-CN"/>
        </w:rPr>
        <w:t>等</w:t>
      </w:r>
      <w:r>
        <w:rPr>
          <w:rFonts w:hint="eastAsia" w:asciiTheme="minorEastAsia" w:hAnsiTheme="minorEastAsia" w:eastAsiaTheme="minorEastAsia" w:cstheme="minorEastAsia"/>
          <w:color w:val="auto"/>
          <w:sz w:val="23"/>
          <w:szCs w:val="23"/>
          <w:highlight w:val="none"/>
        </w:rPr>
        <w:t>相关证明材料的原件扫描件。未提供证明材料的检测及监测设备不予认可。</w:t>
      </w:r>
    </w:p>
    <w:p>
      <w:pPr>
        <w:pStyle w:val="74"/>
        <w:spacing w:line="360" w:lineRule="auto"/>
        <w:ind w:left="0" w:leftChars="0" w:firstLine="460" w:firstLineChars="20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lang w:val="en-US" w:eastAsia="zh-CN"/>
        </w:rPr>
        <w:t>3.5.6</w:t>
      </w:r>
      <w:r>
        <w:rPr>
          <w:rFonts w:hint="eastAsia" w:asciiTheme="minorEastAsia" w:hAnsiTheme="minorEastAsia" w:eastAsiaTheme="minorEastAsia" w:cstheme="minorEastAsia"/>
          <w:color w:val="auto"/>
          <w:sz w:val="23"/>
          <w:szCs w:val="23"/>
          <w:highlight w:val="none"/>
        </w:rPr>
        <w:t>投标人提供的网页信息截图或证明材料扫描件内容必须清晰可辨，如因网页信息截图或证明材料扫描件内容模糊导致评标时无法判断的，后果由投标人自负。</w:t>
      </w:r>
    </w:p>
    <w:p>
      <w:pPr>
        <w:pStyle w:val="74"/>
        <w:spacing w:line="360" w:lineRule="auto"/>
        <w:ind w:left="0" w:leftChars="0" w:firstLine="460" w:firstLineChars="200"/>
        <w:rPr>
          <w:rFonts w:hint="eastAsia" w:asciiTheme="minorEastAsia" w:hAnsiTheme="minorEastAsia" w:eastAsiaTheme="minorEastAsia" w:cstheme="minorEastAsia"/>
          <w:color w:val="auto"/>
          <w:sz w:val="23"/>
          <w:szCs w:val="23"/>
          <w:highlight w:val="none"/>
        </w:rPr>
      </w:pPr>
      <w:r>
        <w:rPr>
          <w:rFonts w:hint="eastAsia" w:asciiTheme="minorEastAsia" w:hAnsiTheme="minorEastAsia" w:eastAsiaTheme="minorEastAsia" w:cstheme="minorEastAsia"/>
          <w:color w:val="auto"/>
          <w:sz w:val="23"/>
          <w:szCs w:val="23"/>
          <w:highlight w:val="none"/>
        </w:rPr>
        <w:t>投标人须知前附表规定接受联合体投标的，本章第3.</w:t>
      </w:r>
      <w:r>
        <w:rPr>
          <w:rFonts w:hint="eastAsia" w:asciiTheme="minorEastAsia" w:hAnsiTheme="minorEastAsia" w:eastAsiaTheme="minorEastAsia" w:cstheme="minorEastAsia"/>
          <w:color w:val="auto"/>
          <w:sz w:val="23"/>
          <w:szCs w:val="23"/>
          <w:highlight w:val="none"/>
          <w:lang w:eastAsia="zh-CN"/>
        </w:rPr>
        <w:t>5</w:t>
      </w:r>
      <w:r>
        <w:rPr>
          <w:rFonts w:hint="eastAsia" w:asciiTheme="minorEastAsia" w:hAnsiTheme="minorEastAsia" w:eastAsiaTheme="minorEastAsia" w:cstheme="minorEastAsia"/>
          <w:color w:val="auto"/>
          <w:sz w:val="23"/>
          <w:szCs w:val="23"/>
          <w:highlight w:val="none"/>
        </w:rPr>
        <w:t>.</w:t>
      </w:r>
      <w:r>
        <w:rPr>
          <w:rFonts w:hint="eastAsia" w:asciiTheme="minorEastAsia" w:hAnsiTheme="minorEastAsia" w:eastAsiaTheme="minorEastAsia" w:cstheme="minorEastAsia"/>
          <w:color w:val="auto"/>
          <w:sz w:val="23"/>
          <w:szCs w:val="23"/>
          <w:highlight w:val="none"/>
          <w:lang w:val="en-US" w:eastAsia="zh-CN"/>
        </w:rPr>
        <w:t>1</w:t>
      </w:r>
      <w:r>
        <w:rPr>
          <w:rFonts w:hint="eastAsia" w:asciiTheme="minorEastAsia" w:hAnsiTheme="minorEastAsia" w:eastAsiaTheme="minorEastAsia" w:cstheme="minorEastAsia"/>
          <w:color w:val="auto"/>
          <w:sz w:val="23"/>
          <w:szCs w:val="23"/>
          <w:highlight w:val="none"/>
        </w:rPr>
        <w:t>项至第3.</w:t>
      </w:r>
      <w:r>
        <w:rPr>
          <w:rFonts w:hint="eastAsia" w:asciiTheme="minorEastAsia" w:hAnsiTheme="minorEastAsia" w:eastAsiaTheme="minorEastAsia" w:cstheme="minorEastAsia"/>
          <w:color w:val="auto"/>
          <w:sz w:val="23"/>
          <w:szCs w:val="23"/>
          <w:highlight w:val="none"/>
          <w:lang w:eastAsia="zh-CN"/>
        </w:rPr>
        <w:t>5</w:t>
      </w:r>
      <w:r>
        <w:rPr>
          <w:rFonts w:hint="eastAsia" w:asciiTheme="minorEastAsia" w:hAnsiTheme="minorEastAsia" w:eastAsiaTheme="minorEastAsia" w:cstheme="minorEastAsia"/>
          <w:color w:val="auto"/>
          <w:sz w:val="23"/>
          <w:szCs w:val="23"/>
          <w:highlight w:val="none"/>
        </w:rPr>
        <w:t>.</w:t>
      </w:r>
      <w:r>
        <w:rPr>
          <w:rFonts w:hint="eastAsia" w:asciiTheme="minorEastAsia" w:hAnsiTheme="minorEastAsia" w:eastAsiaTheme="minorEastAsia" w:cstheme="minorEastAsia"/>
          <w:color w:val="auto"/>
          <w:sz w:val="23"/>
          <w:szCs w:val="23"/>
          <w:highlight w:val="none"/>
          <w:lang w:eastAsia="zh-CN"/>
        </w:rPr>
        <w:t>5</w:t>
      </w:r>
      <w:r>
        <w:rPr>
          <w:rFonts w:hint="eastAsia" w:asciiTheme="minorEastAsia" w:hAnsiTheme="minorEastAsia" w:eastAsiaTheme="minorEastAsia" w:cstheme="minorEastAsia"/>
          <w:color w:val="auto"/>
          <w:sz w:val="23"/>
          <w:szCs w:val="23"/>
          <w:highlight w:val="none"/>
        </w:rPr>
        <w:t>项规定的表格和资料应包括联合体各方相关情况。</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3.6 备选投标方案 </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3.6.1 除投标人须知前附表规定允许外，投标人不得递交备选投标方案，否则其投标将被否决。</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3.6.2</w:t>
      </w:r>
      <w:r>
        <w:rPr>
          <w:rFonts w:hint="eastAsia" w:ascii="宋体" w:hAnsi="宋体" w:cs="宋体"/>
          <w:color w:val="auto"/>
          <w:sz w:val="23"/>
          <w:highlight w:val="none"/>
          <w:lang w:val="en-US" w:eastAsia="zh-CN"/>
        </w:rPr>
        <w:t xml:space="preserve"> </w:t>
      </w:r>
      <w:r>
        <w:rPr>
          <w:rFonts w:hint="eastAsia" w:ascii="宋体" w:hAnsi="宋体" w:cs="宋体"/>
          <w:color w:val="auto"/>
          <w:sz w:val="23"/>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3.6.3</w:t>
      </w:r>
      <w:r>
        <w:rPr>
          <w:rFonts w:hint="eastAsia" w:ascii="宋体" w:hAnsi="宋体" w:cs="宋体"/>
          <w:color w:val="auto"/>
          <w:sz w:val="23"/>
          <w:highlight w:val="none"/>
          <w:lang w:val="en-US" w:eastAsia="zh-CN"/>
        </w:rPr>
        <w:t xml:space="preserve"> </w:t>
      </w:r>
      <w:r>
        <w:rPr>
          <w:rFonts w:hint="eastAsia" w:ascii="宋体" w:hAnsi="宋体" w:cs="宋体"/>
          <w:color w:val="auto"/>
          <w:sz w:val="23"/>
          <w:highlight w:val="none"/>
        </w:rPr>
        <w:t>投标人提供两个或两个以上投标费率，或者在投标文件中提供一个</w:t>
      </w:r>
      <w:r>
        <w:rPr>
          <w:rFonts w:hint="eastAsia" w:ascii="宋体" w:hAnsi="宋体" w:cs="宋体"/>
          <w:color w:val="auto"/>
          <w:sz w:val="23"/>
          <w:highlight w:val="none"/>
          <w:lang w:val="en-US" w:eastAsia="zh-CN"/>
        </w:rPr>
        <w:t>投标</w:t>
      </w:r>
      <w:r>
        <w:rPr>
          <w:rFonts w:hint="eastAsia" w:ascii="宋体" w:hAnsi="宋体" w:cs="宋体"/>
          <w:color w:val="auto"/>
          <w:sz w:val="23"/>
          <w:highlight w:val="none"/>
        </w:rPr>
        <w:t>费率，但同时提供两个或两个以上服务方案的，视为提供备选方案。</w:t>
      </w:r>
    </w:p>
    <w:p>
      <w:pPr>
        <w:spacing w:line="360" w:lineRule="auto"/>
        <w:jc w:val="left"/>
        <w:rPr>
          <w:rFonts w:ascii="宋体" w:hAnsi="宋体" w:cs="宋体"/>
          <w:color w:val="auto"/>
          <w:sz w:val="23"/>
          <w:highlight w:val="none"/>
        </w:rPr>
      </w:pPr>
      <w:r>
        <w:rPr>
          <w:rFonts w:hint="eastAsia" w:ascii="宋体" w:hAnsi="宋体" w:cs="宋体"/>
          <w:b/>
          <w:bCs/>
          <w:color w:val="auto"/>
          <w:sz w:val="23"/>
          <w:highlight w:val="none"/>
        </w:rPr>
        <w:t>3.7 投标文件的编制</w:t>
      </w:r>
      <w:r>
        <w:rPr>
          <w:rFonts w:hint="eastAsia" w:ascii="宋体" w:hAnsi="宋体" w:cs="宋体"/>
          <w:color w:val="auto"/>
          <w:sz w:val="23"/>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3.7.1 投标文件应按第六章“投标文件格式”进行编写，如有必要，可以增加附页，作为投标文件的组成部分。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3.7.2 投标文件应对招标文件有关服务期限、质量</w:t>
      </w:r>
      <w:r>
        <w:rPr>
          <w:rFonts w:hint="eastAsia" w:ascii="宋体" w:hAnsi="宋体" w:cs="宋体"/>
          <w:color w:val="auto"/>
          <w:sz w:val="23"/>
          <w:highlight w:val="none"/>
          <w:lang w:val="en-US" w:eastAsia="zh-CN"/>
        </w:rPr>
        <w:t>标准</w:t>
      </w:r>
      <w:r>
        <w:rPr>
          <w:rFonts w:hint="eastAsia" w:ascii="宋体" w:hAnsi="宋体" w:cs="宋体"/>
          <w:color w:val="auto"/>
          <w:sz w:val="23"/>
          <w:highlight w:val="none"/>
        </w:rPr>
        <w:t xml:space="preserve">、投标有效期等实质性内容作出响应。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3.7.3 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jc w:val="left"/>
        <w:rPr>
          <w:rFonts w:ascii="宋体" w:hAnsi="宋体" w:cs="宋体"/>
          <w:color w:val="auto"/>
          <w:sz w:val="28"/>
          <w:highlight w:val="none"/>
        </w:rPr>
      </w:pPr>
      <w:r>
        <w:rPr>
          <w:rFonts w:hint="eastAsia" w:ascii="宋体" w:hAnsi="宋体" w:cs="宋体"/>
          <w:b/>
          <w:bCs/>
          <w:color w:val="auto"/>
          <w:sz w:val="30"/>
          <w:szCs w:val="30"/>
          <w:highlight w:val="none"/>
        </w:rPr>
        <w:t>4. 投标</w:t>
      </w:r>
      <w:r>
        <w:rPr>
          <w:rFonts w:hint="eastAsia" w:ascii="宋体" w:hAnsi="宋体" w:cs="宋体"/>
          <w:color w:val="auto"/>
          <w:sz w:val="28"/>
          <w:highlight w:val="none"/>
        </w:rPr>
        <w:t xml:space="preserve"> </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4.1 投标文件的密封和标识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4.1.1 网上递交的电子投标文件须进行加密。具体操作详见广州公共资源交易中心网站发布的《房屋建筑和市政基础设施工程全流程电子化项目专章》。</w:t>
      </w:r>
    </w:p>
    <w:p>
      <w:pPr>
        <w:spacing w:line="360" w:lineRule="auto"/>
        <w:ind w:firstLine="460" w:firstLineChars="200"/>
        <w:jc w:val="left"/>
        <w:rPr>
          <w:rFonts w:hint="eastAsia" w:ascii="宋体" w:hAnsi="宋体" w:cs="宋体"/>
          <w:color w:val="auto"/>
          <w:sz w:val="23"/>
          <w:highlight w:val="none"/>
        </w:rPr>
      </w:pPr>
      <w:r>
        <w:rPr>
          <w:rFonts w:hint="eastAsia" w:ascii="宋体" w:hAnsi="宋体" w:cs="宋体"/>
          <w:color w:val="auto"/>
          <w:sz w:val="23"/>
          <w:highlight w:val="none"/>
        </w:rPr>
        <w:t>4.1.2 投标文件封套上应写明的内容见投标人须知前附表。</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4.1.3 未按本章第4.1.1项要求密封的招标文件，招标人将予以拒收。</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4.2 投标文件的递交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4.2.1 投标人应在投标人须知前附表规定的投标截止时间前递交投标文件。</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4.2.2 投标人通过下载招标文件的电子招标投标交易平台递交电子投标文件。</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4.2.3 除投标人须知前附表另有规定外，投标人所递交的投标文件不予退还。投标人少于3个的，投标文件当场退还给投标人。</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4.2.4 投标人完成电子投标文件上传后，电子招标投标交易平台即时向投标人发出递交回执通知。递交时间以递交回执通知载明的传输完成时间为准。</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4.2.5 逾期送达的投标文件，电子招标投标交易平台将予以拒收。</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4.3 投标文件的修改与撤回 </w:t>
      </w:r>
    </w:p>
    <w:p>
      <w:pPr>
        <w:spacing w:line="360" w:lineRule="auto"/>
        <w:ind w:firstLine="460" w:firstLineChars="200"/>
        <w:jc w:val="both"/>
        <w:rPr>
          <w:rFonts w:ascii="宋体" w:hAnsi="宋体" w:cs="宋体"/>
          <w:color w:val="auto"/>
          <w:sz w:val="23"/>
          <w:highlight w:val="none"/>
        </w:rPr>
      </w:pPr>
      <w:r>
        <w:rPr>
          <w:rFonts w:hint="eastAsia" w:ascii="宋体" w:hAnsi="宋体" w:cs="宋体"/>
          <w:color w:val="auto"/>
          <w:sz w:val="23"/>
          <w:highlight w:val="none"/>
        </w:rPr>
        <w:t>4.3.1 在本章第4.2.1项规定的投标截止时间前，投标人可以修改或撤回已递交文件，但应以书面形式通知投标人。</w:t>
      </w:r>
    </w:p>
    <w:p>
      <w:pPr>
        <w:spacing w:line="360" w:lineRule="auto"/>
        <w:ind w:firstLine="460" w:firstLineChars="200"/>
        <w:jc w:val="both"/>
        <w:rPr>
          <w:rFonts w:ascii="宋体" w:hAnsi="宋体" w:cs="宋体"/>
          <w:color w:val="auto"/>
          <w:sz w:val="23"/>
          <w:highlight w:val="none"/>
        </w:rPr>
      </w:pPr>
      <w:r>
        <w:rPr>
          <w:rFonts w:hint="eastAsia" w:ascii="宋体" w:hAnsi="宋体" w:cs="宋体"/>
          <w:color w:val="auto"/>
          <w:sz w:val="23"/>
          <w:highlight w:val="none"/>
        </w:rPr>
        <w:t>4.3.2 投标人修改或撤回已递交投标文件的通知，应按照本章第3.7.3项的要求加盖电子印章。电子招标投标交易平台收到通知后，即时向投标人发出确认回执通知。</w:t>
      </w:r>
    </w:p>
    <w:p>
      <w:pPr>
        <w:spacing w:line="360" w:lineRule="auto"/>
        <w:ind w:firstLine="460" w:firstLineChars="200"/>
        <w:jc w:val="both"/>
        <w:rPr>
          <w:rFonts w:ascii="宋体" w:hAnsi="宋体" w:cs="宋体"/>
          <w:color w:val="auto"/>
          <w:sz w:val="23"/>
          <w:highlight w:val="none"/>
        </w:rPr>
      </w:pPr>
      <w:r>
        <w:rPr>
          <w:rFonts w:hint="eastAsia" w:ascii="宋体" w:hAnsi="宋体" w:cs="宋体"/>
          <w:color w:val="auto"/>
          <w:sz w:val="23"/>
          <w:highlight w:val="none"/>
        </w:rPr>
        <w:t>4.3.3 投标人撤回投标文件的，招标人自收到投标人书面撤回通知之日起5日内退还已收取的投标保证金。</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 xml:space="preserve">4.3.4 </w:t>
      </w:r>
      <w:r>
        <w:rPr>
          <w:rFonts w:hint="eastAsia" w:ascii="宋体" w:hAnsi="宋体" w:cs="宋体"/>
          <w:color w:val="auto"/>
          <w:sz w:val="23"/>
          <w:szCs w:val="24"/>
          <w:highlight w:val="none"/>
        </w:rPr>
        <w:t>修改的内容为投标文件的组成部分。修改的投标文件应按照本章第3条、第4条的规定进行编制、密封、标记和递交，并标明“修改”字样。</w:t>
      </w:r>
    </w:p>
    <w:p>
      <w:pPr>
        <w:spacing w:line="360" w:lineRule="auto"/>
        <w:jc w:val="left"/>
        <w:rPr>
          <w:rFonts w:ascii="宋体" w:hAnsi="宋体" w:cs="宋体"/>
          <w:color w:val="auto"/>
          <w:sz w:val="28"/>
          <w:highlight w:val="none"/>
        </w:rPr>
      </w:pPr>
      <w:r>
        <w:rPr>
          <w:rFonts w:hint="eastAsia" w:ascii="宋体" w:hAnsi="宋体" w:cs="宋体"/>
          <w:b/>
          <w:bCs/>
          <w:color w:val="auto"/>
          <w:sz w:val="30"/>
          <w:szCs w:val="30"/>
          <w:highlight w:val="none"/>
        </w:rPr>
        <w:t>5. 开标</w:t>
      </w:r>
      <w:r>
        <w:rPr>
          <w:rFonts w:hint="eastAsia" w:ascii="宋体" w:hAnsi="宋体" w:cs="宋体"/>
          <w:color w:val="auto"/>
          <w:sz w:val="28"/>
          <w:highlight w:val="none"/>
        </w:rPr>
        <w:t xml:space="preserve"> </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5.1 开标时间和地点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本电子招投标项目在本章4.2.1项规定的投标截止时间（开标时间），通过电子招标投标交易平台公开开标，所有投标人的法定代表人或其委托代理人应当准时参加。</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5.2 开标程序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5.2.1 主持人按下列程序进行开标：</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（1）宣布开标纪律；</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（2）公布在投标截止时间前递交投标文件的投标人名称；</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（3）宣布开标人、唱标人、记录人、监标人等有关人员姓名；</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在投标截止时间后半小时内，投标人通过电子招标投标交易平台对已递交的电子投标文件进行解密，再由招标人或招标代理机构进行解密。解密完成后，公布招标项目名称、投标人名称、投标保证金的递交情况、投标</w:t>
      </w:r>
      <w:r>
        <w:rPr>
          <w:rFonts w:hint="eastAsia" w:ascii="宋体" w:hAnsi="宋体" w:cs="宋体"/>
          <w:color w:val="auto"/>
          <w:sz w:val="23"/>
          <w:highlight w:val="none"/>
          <w:lang w:val="en-US" w:eastAsia="zh-CN"/>
        </w:rPr>
        <w:t>费率</w:t>
      </w:r>
      <w:r>
        <w:rPr>
          <w:rFonts w:hint="eastAsia" w:ascii="宋体" w:hAnsi="宋体" w:cs="宋体"/>
          <w:color w:val="auto"/>
          <w:sz w:val="23"/>
          <w:highlight w:val="none"/>
        </w:rPr>
        <w:t>、服务期及其他内容，并记录在案；</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（5）投标人代表、招标人代表、监标人、记录人等有关人员在开标记录上签字确认；若有关人员不签字的，不影响开标程序；</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（6）开标结束。</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5.2.2 投标截止时间前未完成投标文件传输的或因投标人之外的原因造成投标文件未解密的，视为投标人撤回投标文件。因投标人原因造成投标文件未解密的或未在投标截止时间后半小时</w:t>
      </w:r>
      <w:r>
        <w:rPr>
          <w:rFonts w:hint="eastAsia" w:ascii="宋体" w:hAnsi="宋体" w:cs="宋体"/>
          <w:color w:val="auto"/>
          <w:sz w:val="23"/>
          <w:highlight w:val="none"/>
          <w:lang w:val="en-US" w:eastAsia="zh-CN"/>
        </w:rPr>
        <w:t>内</w:t>
      </w:r>
      <w:r>
        <w:rPr>
          <w:rFonts w:hint="eastAsia" w:ascii="宋体" w:hAnsi="宋体" w:cs="宋体"/>
          <w:color w:val="auto"/>
          <w:sz w:val="23"/>
          <w:highlight w:val="none"/>
        </w:rPr>
        <w:t>解密的，视为撤销其投标文件。</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5.2.3 开标时，两个（含两个）以上的投标人加密打包投标文件电脑机器特征码一致的，不参与下一程序，并由评标委员会否决其投标。</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5.3 开标异议 </w:t>
      </w:r>
    </w:p>
    <w:p>
      <w:pPr>
        <w:spacing w:line="360" w:lineRule="auto"/>
        <w:ind w:firstLine="460" w:firstLineChars="200"/>
        <w:jc w:val="left"/>
        <w:rPr>
          <w:rFonts w:hint="eastAsia" w:ascii="宋体" w:hAnsi="宋体" w:eastAsia="宋体" w:cs="宋体"/>
          <w:color w:val="auto"/>
          <w:sz w:val="23"/>
          <w:highlight w:val="none"/>
          <w:lang w:eastAsia="zh-CN"/>
        </w:rPr>
      </w:pPr>
      <w:r>
        <w:rPr>
          <w:rFonts w:hint="eastAsia" w:ascii="宋体" w:hAnsi="宋体" w:cs="宋体"/>
          <w:color w:val="auto"/>
          <w:sz w:val="23"/>
          <w:highlight w:val="none"/>
        </w:rPr>
        <w:t>投标人对开标有异议的，应</w:t>
      </w:r>
      <w:r>
        <w:rPr>
          <w:rFonts w:hint="eastAsia" w:ascii="宋体" w:hAnsi="宋体" w:cs="宋体"/>
          <w:color w:val="auto"/>
          <w:sz w:val="23"/>
          <w:highlight w:val="none"/>
          <w:lang w:val="en-US" w:eastAsia="zh-CN"/>
        </w:rPr>
        <w:t>当</w:t>
      </w:r>
      <w:r>
        <w:rPr>
          <w:rFonts w:hint="eastAsia" w:ascii="宋体" w:hAnsi="宋体" w:cs="宋体"/>
          <w:color w:val="auto"/>
          <w:sz w:val="23"/>
          <w:highlight w:val="none"/>
        </w:rPr>
        <w:t>在开标现场提出，招标人当场作出答复，并制作记录</w:t>
      </w:r>
      <w:r>
        <w:rPr>
          <w:rFonts w:hint="eastAsia" w:ascii="宋体" w:hAnsi="宋体" w:cs="宋体"/>
          <w:color w:val="auto"/>
          <w:sz w:val="23"/>
          <w:highlight w:val="none"/>
          <w:lang w:eastAsia="zh-CN"/>
        </w:rPr>
        <w:t>。</w:t>
      </w:r>
    </w:p>
    <w:p>
      <w:pPr>
        <w:spacing w:line="360" w:lineRule="auto"/>
        <w:jc w:val="left"/>
        <w:rPr>
          <w:rFonts w:ascii="宋体" w:hAnsi="宋体" w:cs="宋体"/>
          <w:color w:val="auto"/>
          <w:sz w:val="28"/>
          <w:highlight w:val="none"/>
        </w:rPr>
      </w:pPr>
      <w:r>
        <w:rPr>
          <w:rFonts w:hint="eastAsia" w:ascii="宋体" w:hAnsi="宋体" w:cs="宋体"/>
          <w:b/>
          <w:bCs/>
          <w:color w:val="auto"/>
          <w:sz w:val="30"/>
          <w:szCs w:val="30"/>
          <w:highlight w:val="none"/>
        </w:rPr>
        <w:t>6. 评标</w:t>
      </w:r>
      <w:r>
        <w:rPr>
          <w:rFonts w:hint="eastAsia" w:ascii="宋体" w:hAnsi="宋体" w:cs="宋体"/>
          <w:color w:val="auto"/>
          <w:sz w:val="28"/>
          <w:highlight w:val="none"/>
        </w:rPr>
        <w:t xml:space="preserve"> </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6.1 评标委员会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6.1.2 评标委员会成员有下列情形之一的，应主动提出回避：</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（1）投标人或投标人主要负责人的近亲属；</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（2）项目主管部门或者行政监督部门的人员；</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（3）与投标人有经济利益关系，可能影响对投标公正评审的；</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（4）曾因在招标、评标以及其他与招标投标有关活动中从事违法行为而受过行政处罚或刑事处罚的；</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（5）与投标人有其他利害关系。</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6.2 评标原则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评标活动遵循公平、公正、科学和择优的原则。</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6.3 评标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6.3.1 评标委员会按照第三章“评标办法”规定的方法、评审因素、标准和程序对投标文件进行评审。第三章“评标办法”没有规定的方法、评审因素和标准，不作为评标依据。</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6.3.2 评标完成后，评标委员会应当向招标人提交书面评标报告和中标候选人名单。评标委员会推荐中标候选人的人数见投标人须知前附表。</w:t>
      </w:r>
    </w:p>
    <w:p>
      <w:pPr>
        <w:spacing w:line="360" w:lineRule="auto"/>
        <w:jc w:val="left"/>
        <w:rPr>
          <w:rFonts w:ascii="宋体" w:hAnsi="宋体" w:cs="宋体"/>
          <w:color w:val="auto"/>
          <w:sz w:val="28"/>
          <w:highlight w:val="none"/>
        </w:rPr>
      </w:pPr>
      <w:r>
        <w:rPr>
          <w:rFonts w:hint="eastAsia" w:ascii="宋体" w:hAnsi="宋体" w:cs="宋体"/>
          <w:b/>
          <w:bCs/>
          <w:color w:val="auto"/>
          <w:sz w:val="30"/>
          <w:szCs w:val="30"/>
          <w:highlight w:val="none"/>
        </w:rPr>
        <w:t>7. 合同授予</w:t>
      </w:r>
      <w:r>
        <w:rPr>
          <w:rFonts w:hint="eastAsia" w:ascii="宋体" w:hAnsi="宋体" w:cs="宋体"/>
          <w:color w:val="auto"/>
          <w:sz w:val="28"/>
          <w:highlight w:val="none"/>
        </w:rPr>
        <w:t xml:space="preserve"> </w:t>
      </w:r>
    </w:p>
    <w:p>
      <w:pPr>
        <w:spacing w:line="360" w:lineRule="auto"/>
        <w:jc w:val="left"/>
        <w:rPr>
          <w:rFonts w:ascii="宋体" w:hAnsi="宋体" w:cs="宋体"/>
          <w:color w:val="auto"/>
          <w:sz w:val="23"/>
          <w:highlight w:val="none"/>
        </w:rPr>
      </w:pPr>
      <w:r>
        <w:rPr>
          <w:rFonts w:hint="eastAsia" w:ascii="宋体" w:hAnsi="宋体" w:cs="宋体"/>
          <w:b/>
          <w:bCs/>
          <w:color w:val="auto"/>
          <w:sz w:val="23"/>
          <w:highlight w:val="none"/>
        </w:rPr>
        <w:t>7.1 中标候选人公示</w:t>
      </w:r>
      <w:r>
        <w:rPr>
          <w:rFonts w:hint="eastAsia" w:ascii="宋体" w:hAnsi="宋体" w:cs="宋体"/>
          <w:color w:val="auto"/>
          <w:sz w:val="23"/>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招标人在收到评标报告之日起3日内，按照投标人须知前附表规定的公示媒介和期限公示中标候选人，公示期不得少于3</w:t>
      </w:r>
      <w:r>
        <w:rPr>
          <w:rFonts w:hint="eastAsia" w:ascii="宋体" w:hAnsi="宋体" w:cs="宋体"/>
          <w:color w:val="auto"/>
          <w:sz w:val="23"/>
          <w:highlight w:val="none"/>
          <w:lang w:val="en-US" w:eastAsia="zh-CN"/>
        </w:rPr>
        <w:t>天</w:t>
      </w:r>
      <w:r>
        <w:rPr>
          <w:rFonts w:hint="eastAsia" w:ascii="宋体" w:hAnsi="宋体" w:cs="宋体"/>
          <w:color w:val="auto"/>
          <w:sz w:val="23"/>
          <w:highlight w:val="none"/>
        </w:rPr>
        <w:t>。</w:t>
      </w:r>
    </w:p>
    <w:p>
      <w:pPr>
        <w:spacing w:line="360" w:lineRule="auto"/>
        <w:ind w:firstLine="0" w:firstLineChars="0"/>
        <w:jc w:val="left"/>
        <w:rPr>
          <w:rFonts w:ascii="宋体" w:hAnsi="宋体" w:cs="宋体"/>
          <w:b/>
          <w:bCs/>
          <w:color w:val="auto"/>
          <w:sz w:val="23"/>
          <w:highlight w:val="none"/>
        </w:rPr>
      </w:pPr>
      <w:r>
        <w:rPr>
          <w:rFonts w:hint="eastAsia" w:ascii="宋体" w:hAnsi="宋体" w:cs="宋体"/>
          <w:b/>
          <w:bCs/>
          <w:color w:val="auto"/>
          <w:sz w:val="23"/>
          <w:highlight w:val="none"/>
        </w:rPr>
        <w:t xml:space="preserve">7.2 评标结果异议 </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投标人或</w:t>
      </w:r>
      <w:r>
        <w:rPr>
          <w:rFonts w:hint="eastAsia" w:ascii="宋体" w:hAnsi="宋体" w:cs="宋体"/>
          <w:color w:val="auto"/>
          <w:sz w:val="23"/>
          <w:highlight w:val="none"/>
          <w:lang w:val="en-US" w:eastAsia="zh-CN"/>
        </w:rPr>
        <w:t>者</w:t>
      </w:r>
      <w:r>
        <w:rPr>
          <w:rFonts w:hint="eastAsia" w:ascii="宋体" w:hAnsi="宋体" w:cs="宋体"/>
          <w:color w:val="auto"/>
          <w:sz w:val="23"/>
          <w:highlight w:val="none"/>
        </w:rPr>
        <w:t>其他利害关系人对评标结果有异议的，应在中标候选人公示期间提出。招标人将在收到异议之日起3日内作出答复；作出答复前，将暂停招标投标活动。</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7.3 中标候选人履约能力审查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7.4 定标 </w:t>
      </w:r>
    </w:p>
    <w:p>
      <w:pPr>
        <w:spacing w:line="360" w:lineRule="auto"/>
        <w:ind w:firstLine="460" w:firstLineChars="200"/>
        <w:jc w:val="left"/>
        <w:rPr>
          <w:rFonts w:hint="eastAsia" w:ascii="宋体" w:hAnsi="宋体" w:cs="宋体"/>
          <w:b/>
          <w:bCs/>
          <w:color w:val="auto"/>
          <w:sz w:val="23"/>
          <w:highlight w:val="none"/>
        </w:rPr>
      </w:pPr>
      <w:r>
        <w:rPr>
          <w:rFonts w:hint="eastAsia" w:ascii="宋体" w:hAnsi="宋体" w:cs="宋体"/>
          <w:color w:val="auto"/>
          <w:sz w:val="23"/>
          <w:highlight w:val="none"/>
        </w:rPr>
        <w:t>按照投标人须知前附表的规定，招标人或招标人授权的评标委员会依法确定中标人。</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7.5 中标通知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 xml:space="preserve">在本章第3.3款规定的投标有效期内，招标人以投标人须知前附表规定的形式向中标人发出中标通知书，同时将中标结果通知未中标的投标人。 </w:t>
      </w:r>
    </w:p>
    <w:p>
      <w:pPr>
        <w:spacing w:line="360" w:lineRule="auto"/>
        <w:jc w:val="both"/>
        <w:rPr>
          <w:rFonts w:ascii="宋体" w:hAnsi="宋体" w:cs="宋体"/>
          <w:b/>
          <w:bCs/>
          <w:color w:val="auto"/>
          <w:sz w:val="23"/>
          <w:highlight w:val="none"/>
        </w:rPr>
      </w:pPr>
      <w:r>
        <w:rPr>
          <w:rFonts w:hint="eastAsia" w:ascii="宋体" w:hAnsi="宋体" w:cs="宋体"/>
          <w:b/>
          <w:bCs/>
          <w:color w:val="auto"/>
          <w:sz w:val="23"/>
          <w:highlight w:val="none"/>
        </w:rPr>
        <w:t xml:space="preserve">7.6 履约保证金 </w:t>
      </w:r>
    </w:p>
    <w:p>
      <w:pPr>
        <w:spacing w:line="360" w:lineRule="auto"/>
        <w:ind w:firstLine="460" w:firstLineChars="200"/>
        <w:jc w:val="both"/>
        <w:rPr>
          <w:rFonts w:hint="eastAsia" w:ascii="宋体" w:hAnsi="宋体" w:eastAsia="宋体" w:cs="宋体"/>
          <w:color w:val="auto"/>
          <w:sz w:val="23"/>
          <w:highlight w:val="none"/>
          <w:lang w:eastAsia="zh-CN"/>
        </w:rPr>
      </w:pPr>
      <w:r>
        <w:rPr>
          <w:rFonts w:hint="eastAsia" w:ascii="宋体" w:hAnsi="宋体" w:cs="宋体"/>
          <w:color w:val="auto"/>
          <w:sz w:val="23"/>
          <w:highlight w:val="none"/>
        </w:rPr>
        <w:t>7.</w:t>
      </w:r>
      <w:r>
        <w:rPr>
          <w:rFonts w:hint="eastAsia" w:ascii="宋体" w:hAnsi="宋体" w:cs="宋体"/>
          <w:color w:val="auto"/>
          <w:sz w:val="23"/>
          <w:highlight w:val="none"/>
          <w:lang w:val="en-US" w:eastAsia="zh-CN"/>
        </w:rPr>
        <w:t>6</w:t>
      </w:r>
      <w:r>
        <w:rPr>
          <w:rFonts w:hint="eastAsia" w:ascii="宋体" w:hAnsi="宋体" w:cs="宋体"/>
          <w:color w:val="auto"/>
          <w:sz w:val="23"/>
          <w:highlight w:val="none"/>
        </w:rPr>
        <w:t>.1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者联合体中牵头人的名义提交</w:t>
      </w:r>
      <w:r>
        <w:rPr>
          <w:rFonts w:hint="eastAsia" w:ascii="宋体" w:hAnsi="宋体" w:cs="宋体"/>
          <w:color w:val="auto"/>
          <w:sz w:val="23"/>
          <w:highlight w:val="none"/>
          <w:lang w:eastAsia="zh-CN"/>
        </w:rPr>
        <w:t>。</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7.</w:t>
      </w:r>
      <w:r>
        <w:rPr>
          <w:rFonts w:hint="eastAsia" w:ascii="宋体" w:hAnsi="宋体" w:cs="宋体"/>
          <w:color w:val="auto"/>
          <w:sz w:val="23"/>
          <w:highlight w:val="none"/>
          <w:lang w:val="en-US" w:eastAsia="zh-CN"/>
        </w:rPr>
        <w:t>6</w:t>
      </w:r>
      <w:r>
        <w:rPr>
          <w:rFonts w:hint="eastAsia" w:ascii="宋体" w:hAnsi="宋体" w:cs="宋体"/>
          <w:color w:val="auto"/>
          <w:sz w:val="23"/>
          <w:highlight w:val="none"/>
        </w:rPr>
        <w:t>.2 中标人不能按本章第7.</w:t>
      </w:r>
      <w:r>
        <w:rPr>
          <w:rFonts w:hint="eastAsia" w:ascii="宋体" w:hAnsi="宋体" w:cs="宋体"/>
          <w:color w:val="auto"/>
          <w:sz w:val="23"/>
          <w:highlight w:val="none"/>
          <w:lang w:val="en-US" w:eastAsia="zh-CN"/>
        </w:rPr>
        <w:t>6</w:t>
      </w:r>
      <w:r>
        <w:rPr>
          <w:rFonts w:hint="eastAsia" w:ascii="宋体" w:hAnsi="宋体" w:cs="宋体"/>
          <w:color w:val="auto"/>
          <w:sz w:val="23"/>
          <w:highlight w:val="none"/>
        </w:rPr>
        <w:t xml:space="preserve">.1项要求提交履约保证金的，视为放弃中标，其投标保证金不予退还，给招标人造成的损失超过投标保证金数额的，中标人还应对超过部分予以赔偿。 </w:t>
      </w:r>
    </w:p>
    <w:p>
      <w:pPr>
        <w:spacing w:line="360" w:lineRule="auto"/>
        <w:jc w:val="left"/>
        <w:rPr>
          <w:rFonts w:ascii="宋体" w:hAnsi="宋体" w:cs="宋体"/>
          <w:color w:val="auto"/>
          <w:sz w:val="23"/>
          <w:highlight w:val="none"/>
        </w:rPr>
      </w:pPr>
      <w:r>
        <w:rPr>
          <w:rFonts w:hint="eastAsia" w:ascii="宋体" w:hAnsi="宋体" w:cs="宋体"/>
          <w:b/>
          <w:bCs/>
          <w:color w:val="auto"/>
          <w:sz w:val="23"/>
          <w:highlight w:val="none"/>
        </w:rPr>
        <w:t>7.</w:t>
      </w:r>
      <w:r>
        <w:rPr>
          <w:rFonts w:hint="eastAsia" w:ascii="宋体" w:hAnsi="宋体" w:cs="宋体"/>
          <w:b/>
          <w:bCs/>
          <w:color w:val="auto"/>
          <w:sz w:val="23"/>
          <w:highlight w:val="none"/>
          <w:lang w:val="en-US" w:eastAsia="zh-CN"/>
        </w:rPr>
        <w:t>7</w:t>
      </w:r>
      <w:r>
        <w:rPr>
          <w:rFonts w:hint="eastAsia" w:ascii="宋体" w:hAnsi="宋体" w:cs="宋体"/>
          <w:b/>
          <w:bCs/>
          <w:color w:val="auto"/>
          <w:sz w:val="23"/>
          <w:highlight w:val="none"/>
        </w:rPr>
        <w:t xml:space="preserve"> 签订合同</w:t>
      </w:r>
      <w:r>
        <w:rPr>
          <w:rFonts w:hint="eastAsia" w:ascii="宋体" w:hAnsi="宋体" w:cs="宋体"/>
          <w:color w:val="auto"/>
          <w:sz w:val="23"/>
          <w:highlight w:val="none"/>
        </w:rPr>
        <w:t xml:space="preserve">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7.</w:t>
      </w:r>
      <w:r>
        <w:rPr>
          <w:rFonts w:hint="eastAsia" w:ascii="宋体" w:hAnsi="宋体" w:cs="宋体"/>
          <w:color w:val="auto"/>
          <w:sz w:val="23"/>
          <w:highlight w:val="none"/>
          <w:lang w:val="en-US" w:eastAsia="zh-CN"/>
        </w:rPr>
        <w:t>7</w:t>
      </w:r>
      <w:r>
        <w:rPr>
          <w:rFonts w:hint="eastAsia" w:ascii="宋体" w:hAnsi="宋体" w:cs="宋体"/>
          <w:color w:val="auto"/>
          <w:sz w:val="23"/>
          <w:highlight w:val="none"/>
        </w:rPr>
        <w:t>.1 招标人和中标人应在中标通知书发出之日起30日内，根据招标文件和中标人的投标文件订立书面合同。中标人无正当理由拒签合同，在签订合同时向招标人提出附加条件，或不按照招标文件要求提交履约保证金的，招标人</w:t>
      </w:r>
      <w:r>
        <w:rPr>
          <w:rFonts w:hint="eastAsia" w:ascii="宋体" w:hAnsi="宋体" w:cs="宋体"/>
          <w:color w:val="auto"/>
          <w:sz w:val="23"/>
          <w:highlight w:val="none"/>
          <w:lang w:val="en-US" w:eastAsia="zh-CN"/>
        </w:rPr>
        <w:t>有权</w:t>
      </w:r>
      <w:r>
        <w:rPr>
          <w:rFonts w:hint="eastAsia" w:ascii="宋体" w:hAnsi="宋体" w:cs="宋体"/>
          <w:color w:val="auto"/>
          <w:sz w:val="23"/>
          <w:highlight w:val="none"/>
        </w:rPr>
        <w:t>取消其中标资格，其投标保证金不予退还；给招标人造成的损失超过投标保证金数额的，中标人还应对超过部分予以赔偿。</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7.</w:t>
      </w:r>
      <w:r>
        <w:rPr>
          <w:rFonts w:hint="eastAsia" w:ascii="宋体" w:hAnsi="宋体" w:cs="宋体"/>
          <w:color w:val="auto"/>
          <w:sz w:val="23"/>
          <w:highlight w:val="none"/>
          <w:lang w:val="en-US" w:eastAsia="zh-CN"/>
        </w:rPr>
        <w:t>7</w:t>
      </w:r>
      <w:r>
        <w:rPr>
          <w:rFonts w:hint="eastAsia" w:ascii="宋体" w:hAnsi="宋体" w:cs="宋体"/>
          <w:color w:val="auto"/>
          <w:sz w:val="23"/>
          <w:highlight w:val="none"/>
        </w:rPr>
        <w:t>.2 发出中标通知书后，招标人无正当理由拒签合同，或在签订合同时向中标人提出附加条件的，招标人向中标人退还投标保证金；给中标人造成损失的，还应赔偿损失。</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7.</w:t>
      </w:r>
      <w:r>
        <w:rPr>
          <w:rFonts w:hint="eastAsia" w:ascii="宋体" w:hAnsi="宋体" w:cs="宋体"/>
          <w:color w:val="auto"/>
          <w:sz w:val="23"/>
          <w:highlight w:val="none"/>
          <w:lang w:val="en-US" w:eastAsia="zh-CN"/>
        </w:rPr>
        <w:t>7</w:t>
      </w:r>
      <w:r>
        <w:rPr>
          <w:rFonts w:hint="eastAsia" w:ascii="宋体" w:hAnsi="宋体" w:cs="宋体"/>
          <w:color w:val="auto"/>
          <w:sz w:val="23"/>
          <w:highlight w:val="none"/>
        </w:rPr>
        <w:t>.3 联合体中标的，联合体各方应共同与招标人签订合同，就中标项目向招标人承担连带责任。</w:t>
      </w:r>
    </w:p>
    <w:p>
      <w:pPr>
        <w:spacing w:line="360" w:lineRule="auto"/>
        <w:jc w:val="left"/>
        <w:rPr>
          <w:rFonts w:ascii="宋体" w:hAnsi="宋体" w:cs="宋体"/>
          <w:color w:val="auto"/>
          <w:sz w:val="28"/>
          <w:highlight w:val="none"/>
        </w:rPr>
      </w:pPr>
      <w:r>
        <w:rPr>
          <w:rFonts w:hint="eastAsia" w:ascii="宋体" w:hAnsi="宋体" w:cs="宋体"/>
          <w:b/>
          <w:bCs/>
          <w:color w:val="auto"/>
          <w:sz w:val="30"/>
          <w:szCs w:val="30"/>
          <w:highlight w:val="none"/>
        </w:rPr>
        <w:t>8. 纪律和监督</w:t>
      </w:r>
      <w:r>
        <w:rPr>
          <w:rFonts w:hint="eastAsia" w:ascii="宋体" w:hAnsi="宋体" w:cs="宋体"/>
          <w:color w:val="auto"/>
          <w:sz w:val="28"/>
          <w:highlight w:val="none"/>
        </w:rPr>
        <w:t xml:space="preserve"> </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8.1 对招标人的纪律要求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招标人不得泄露招标投标活动中应当保密的情况和资料，不得与投标人串通损害国家利益、社会公共利益或者他人合法权益。</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8.2 对投标人的纪律要求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8.3 对评标委员会成员的纪律要求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8.4 对与评标活动有关的工作人员的纪律要求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jc w:val="left"/>
        <w:rPr>
          <w:rFonts w:ascii="宋体" w:hAnsi="宋体" w:cs="宋体"/>
          <w:b/>
          <w:bCs/>
          <w:color w:val="auto"/>
          <w:sz w:val="23"/>
          <w:highlight w:val="none"/>
        </w:rPr>
      </w:pPr>
      <w:r>
        <w:rPr>
          <w:rFonts w:hint="eastAsia" w:ascii="宋体" w:hAnsi="宋体" w:cs="宋体"/>
          <w:b/>
          <w:bCs/>
          <w:color w:val="auto"/>
          <w:sz w:val="23"/>
          <w:highlight w:val="none"/>
        </w:rPr>
        <w:t xml:space="preserve">8.5 投诉 </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8.5.1投标人或者其他利害关系人认为招标投标活动不符合法律、行政法规规定的，可以知道或者应当知道之日起10日内向有关行政监督部门投诉。投诉应当有明确的请求和必要的证明材料。</w:t>
      </w:r>
    </w:p>
    <w:p>
      <w:pPr>
        <w:spacing w:line="360" w:lineRule="auto"/>
        <w:ind w:firstLine="460" w:firstLineChars="200"/>
        <w:jc w:val="left"/>
        <w:rPr>
          <w:rFonts w:ascii="宋体" w:hAnsi="宋体" w:cs="宋体"/>
          <w:color w:val="auto"/>
          <w:sz w:val="23"/>
          <w:highlight w:val="none"/>
        </w:rPr>
      </w:pPr>
      <w:r>
        <w:rPr>
          <w:rFonts w:hint="eastAsia" w:ascii="宋体" w:hAnsi="宋体" w:cs="宋体"/>
          <w:color w:val="auto"/>
          <w:sz w:val="23"/>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pPr>
        <w:spacing w:line="360" w:lineRule="auto"/>
        <w:jc w:val="left"/>
        <w:rPr>
          <w:rFonts w:ascii="宋体" w:hAnsi="宋体" w:cs="宋体"/>
          <w:color w:val="auto"/>
          <w:sz w:val="28"/>
          <w:highlight w:val="none"/>
        </w:rPr>
      </w:pPr>
      <w:r>
        <w:rPr>
          <w:rFonts w:hint="eastAsia" w:ascii="宋体" w:hAnsi="宋体" w:cs="宋体"/>
          <w:b/>
          <w:bCs/>
          <w:color w:val="auto"/>
          <w:sz w:val="30"/>
          <w:szCs w:val="30"/>
          <w:highlight w:val="none"/>
        </w:rPr>
        <w:t>9.是否采用电子招标投标</w:t>
      </w:r>
      <w:r>
        <w:rPr>
          <w:rFonts w:hint="eastAsia" w:ascii="宋体" w:hAnsi="宋体" w:cs="宋体"/>
          <w:color w:val="auto"/>
          <w:sz w:val="28"/>
          <w:highlight w:val="none"/>
        </w:rPr>
        <w:t xml:space="preserve"> </w:t>
      </w:r>
    </w:p>
    <w:p>
      <w:pPr>
        <w:spacing w:line="360" w:lineRule="auto"/>
        <w:ind w:firstLine="460" w:firstLineChars="200"/>
        <w:jc w:val="left"/>
        <w:rPr>
          <w:rFonts w:ascii="宋体" w:hAnsi="宋体" w:cs="宋体"/>
          <w:color w:val="auto"/>
          <w:sz w:val="23"/>
          <w:szCs w:val="23"/>
          <w:highlight w:val="none"/>
        </w:rPr>
      </w:pPr>
      <w:r>
        <w:rPr>
          <w:rFonts w:hint="eastAsia" w:ascii="宋体" w:hAnsi="宋体" w:cs="宋体"/>
          <w:color w:val="auto"/>
          <w:sz w:val="23"/>
          <w:szCs w:val="23"/>
          <w:highlight w:val="none"/>
        </w:rPr>
        <w:t>本招标项目采用电子招标投标方式，</w:t>
      </w:r>
      <w:r>
        <w:rPr>
          <w:rFonts w:hint="eastAsia" w:ascii="宋体" w:hAnsi="宋体" w:cs="宋体"/>
          <w:color w:val="auto"/>
          <w:sz w:val="23"/>
          <w:szCs w:val="23"/>
          <w:highlight w:val="none"/>
          <w:lang w:val="en-US" w:eastAsia="zh-CN"/>
        </w:rPr>
        <w:t>具体要求</w:t>
      </w:r>
      <w:r>
        <w:rPr>
          <w:rFonts w:hint="eastAsia" w:ascii="宋体" w:hAnsi="宋体" w:cs="宋体"/>
          <w:color w:val="auto"/>
          <w:sz w:val="23"/>
          <w:szCs w:val="23"/>
          <w:highlight w:val="none"/>
        </w:rPr>
        <w:t>见投标人须知前附表。</w:t>
      </w:r>
    </w:p>
    <w:p>
      <w:pPr>
        <w:spacing w:line="360" w:lineRule="auto"/>
        <w:jc w:val="left"/>
        <w:rPr>
          <w:rFonts w:ascii="宋体" w:hAnsi="宋体" w:cs="宋体"/>
          <w:color w:val="auto"/>
          <w:sz w:val="23"/>
          <w:highlight w:val="none"/>
        </w:rPr>
      </w:pPr>
      <w:r>
        <w:rPr>
          <w:rFonts w:hint="eastAsia" w:ascii="宋体" w:hAnsi="宋体" w:cs="宋体"/>
          <w:b/>
          <w:bCs/>
          <w:color w:val="auto"/>
          <w:sz w:val="30"/>
          <w:szCs w:val="30"/>
          <w:highlight w:val="none"/>
        </w:rPr>
        <w:t>10. 需要补充的其他内容</w:t>
      </w:r>
      <w:r>
        <w:rPr>
          <w:rFonts w:hint="eastAsia" w:ascii="宋体" w:hAnsi="宋体" w:cs="宋体"/>
          <w:color w:val="auto"/>
          <w:sz w:val="28"/>
          <w:highlight w:val="none"/>
        </w:rPr>
        <w:t xml:space="preserve"> </w:t>
      </w:r>
      <w:r>
        <w:rPr>
          <w:rFonts w:hint="eastAsia" w:ascii="宋体" w:hAnsi="宋体" w:cs="宋体"/>
          <w:color w:val="auto"/>
          <w:sz w:val="23"/>
          <w:highlight w:val="none"/>
        </w:rPr>
        <w:t xml:space="preserve"> </w:t>
      </w:r>
    </w:p>
    <w:p>
      <w:pPr>
        <w:spacing w:line="360" w:lineRule="auto"/>
        <w:ind w:firstLine="460" w:firstLineChars="200"/>
        <w:rPr>
          <w:rFonts w:ascii="宋体" w:hAnsi="宋体" w:cs="宋体"/>
          <w:color w:val="auto"/>
          <w:sz w:val="23"/>
          <w:highlight w:val="none"/>
        </w:rPr>
      </w:pPr>
      <w:r>
        <w:rPr>
          <w:rFonts w:hint="eastAsia" w:ascii="宋体" w:hAnsi="宋体" w:cs="宋体"/>
          <w:color w:val="auto"/>
          <w:sz w:val="23"/>
          <w:highlight w:val="none"/>
        </w:rPr>
        <w:t xml:space="preserve">需要补充的其他内容：见投标人须知前附表。 </w:t>
      </w:r>
    </w:p>
    <w:bookmarkEnd w:id="69"/>
    <w:p>
      <w:pPr>
        <w:spacing w:line="360" w:lineRule="auto"/>
        <w:rPr>
          <w:color w:val="auto"/>
          <w:szCs w:val="21"/>
          <w:highlight w:val="none"/>
        </w:rPr>
        <w:sectPr>
          <w:footnotePr>
            <w:numRestart w:val="eachPage"/>
          </w:footnotePr>
          <w:pgSz w:w="11906" w:h="16838"/>
          <w:pgMar w:top="1134" w:right="1418" w:bottom="1134" w:left="1418" w:header="567" w:footer="851"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ind w:firstLine="0"/>
        <w:rPr>
          <w:rFonts w:hint="eastAsia" w:ascii="宋体" w:hAnsi="宋体" w:eastAsia="宋体" w:cs="宋体"/>
          <w:color w:val="auto"/>
          <w:highlight w:val="none"/>
        </w:rPr>
      </w:pPr>
      <w:bookmarkStart w:id="70" w:name="_Toc352691487"/>
      <w:bookmarkEnd w:id="70"/>
      <w:bookmarkStart w:id="71" w:name="_Toc152045543"/>
      <w:bookmarkEnd w:id="71"/>
      <w:bookmarkStart w:id="72" w:name="_Toc247513967"/>
      <w:bookmarkEnd w:id="72"/>
      <w:bookmarkStart w:id="73" w:name="_Toc300834964"/>
      <w:bookmarkEnd w:id="73"/>
      <w:bookmarkStart w:id="74" w:name="_Toc247527568"/>
      <w:bookmarkEnd w:id="74"/>
      <w:bookmarkStart w:id="75" w:name="_Toc361508599"/>
      <w:bookmarkEnd w:id="75"/>
      <w:bookmarkStart w:id="76" w:name="_Toc369531530"/>
      <w:bookmarkEnd w:id="76"/>
      <w:bookmarkStart w:id="77" w:name="_Toc152042319"/>
      <w:bookmarkEnd w:id="77"/>
      <w:bookmarkStart w:id="78" w:name="_Toc384308224"/>
      <w:bookmarkEnd w:id="78"/>
      <w:bookmarkStart w:id="79" w:name="_Toc144974511"/>
      <w:bookmarkEnd w:id="79"/>
      <w:bookmarkStart w:id="80" w:name="_Toc15242"/>
      <w:bookmarkEnd w:id="80"/>
      <w:bookmarkStart w:id="81" w:name="_Toc43906322"/>
      <w:bookmarkStart w:id="82" w:name="_Toc350430876"/>
      <w:r>
        <w:rPr>
          <w:rFonts w:hint="eastAsia" w:ascii="宋体" w:hAnsi="宋体" w:eastAsia="宋体" w:cs="宋体"/>
          <w:color w:val="auto"/>
          <w:sz w:val="24"/>
          <w:highlight w:val="none"/>
        </w:rPr>
        <w:t>附件一：开标记录表</w:t>
      </w:r>
      <w:bookmarkEnd w:id="81"/>
    </w:p>
    <w:p>
      <w:pPr>
        <w:spacing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开标记录表</w:t>
      </w:r>
    </w:p>
    <w:p>
      <w:pPr>
        <w:spacing w:before="120" w:beforeLines="50" w:after="120" w:afterLines="50" w:line="400" w:lineRule="exact"/>
        <w:ind w:right="420"/>
        <w:jc w:val="left"/>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eastAsia="宋体" w:cs="宋体"/>
          <w:color w:val="auto"/>
          <w:highlight w:val="none"/>
          <w:u w:val="single"/>
        </w:rPr>
        <w:t xml:space="preserve">     年  月  日  时  分</w:t>
      </w:r>
    </w:p>
    <w:tbl>
      <w:tblPr>
        <w:tblStyle w:val="75"/>
        <w:tblW w:w="8983" w:type="dxa"/>
        <w:jc w:val="center"/>
        <w:tblLayout w:type="fixed"/>
        <w:tblCellMar>
          <w:top w:w="0" w:type="dxa"/>
          <w:left w:w="108" w:type="dxa"/>
          <w:bottom w:w="0" w:type="dxa"/>
          <w:right w:w="108" w:type="dxa"/>
        </w:tblCellMar>
      </w:tblPr>
      <w:tblGrid>
        <w:gridCol w:w="834"/>
        <w:gridCol w:w="944"/>
        <w:gridCol w:w="678"/>
        <w:gridCol w:w="756"/>
        <w:gridCol w:w="688"/>
        <w:gridCol w:w="778"/>
        <w:gridCol w:w="529"/>
        <w:gridCol w:w="668"/>
        <w:gridCol w:w="779"/>
        <w:gridCol w:w="891"/>
        <w:gridCol w:w="668"/>
        <w:gridCol w:w="770"/>
      </w:tblGrid>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highlight w:val="none"/>
              </w:rPr>
            </w:pPr>
            <w:r>
              <w:rPr>
                <w:rFonts w:hint="eastAsia" w:ascii="宋体" w:hAnsi="宋体" w:eastAsia="宋体" w:cs="宋体"/>
                <w:color w:val="auto"/>
                <w:szCs w:val="21"/>
                <w:highlight w:val="none"/>
              </w:rPr>
              <w:t>序号</w:t>
            </w:r>
          </w:p>
        </w:tc>
        <w:tc>
          <w:tcPr>
            <w:tcW w:w="9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highlight w:val="none"/>
              </w:rPr>
            </w:pPr>
            <w:r>
              <w:rPr>
                <w:rFonts w:hint="eastAsia" w:ascii="宋体" w:hAnsi="宋体" w:eastAsia="宋体" w:cs="宋体"/>
                <w:color w:val="auto"/>
                <w:szCs w:val="21"/>
                <w:highlight w:val="none"/>
              </w:rPr>
              <w:t>投标人</w:t>
            </w:r>
          </w:p>
        </w:tc>
        <w:tc>
          <w:tcPr>
            <w:tcW w:w="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highlight w:val="none"/>
              </w:rPr>
            </w:pPr>
            <w:r>
              <w:rPr>
                <w:rFonts w:hint="eastAsia" w:ascii="宋体" w:hAnsi="宋体" w:eastAsia="宋体" w:cs="宋体"/>
                <w:color w:val="auto"/>
                <w:szCs w:val="21"/>
                <w:highlight w:val="none"/>
              </w:rPr>
              <w:t>投标文件递交情况</w:t>
            </w: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highlight w:val="none"/>
              </w:rPr>
            </w:pPr>
            <w:r>
              <w:rPr>
                <w:rFonts w:hint="eastAsia" w:ascii="宋体" w:hAnsi="宋体" w:eastAsia="宋体" w:cs="宋体"/>
                <w:color w:val="auto"/>
                <w:szCs w:val="21"/>
                <w:highlight w:val="none"/>
              </w:rPr>
              <w:t>投标文件解密情况</w:t>
            </w:r>
          </w:p>
        </w:tc>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rPr>
              <w:t>投标保证金</w:t>
            </w:r>
          </w:p>
        </w:tc>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highlight w:val="none"/>
              </w:rPr>
            </w:pPr>
            <w:r>
              <w:rPr>
                <w:rFonts w:hint="eastAsia" w:ascii="宋体" w:hAnsi="宋体" w:eastAsia="宋体" w:cs="宋体"/>
                <w:color w:val="auto"/>
                <w:szCs w:val="21"/>
                <w:highlight w:val="none"/>
              </w:rPr>
              <w:t>投标费率（%）</w:t>
            </w:r>
          </w:p>
        </w:tc>
        <w:tc>
          <w:tcPr>
            <w:tcW w:w="5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highlight w:val="none"/>
              </w:rPr>
            </w:pPr>
            <w:r>
              <w:rPr>
                <w:rFonts w:hint="eastAsia" w:ascii="宋体" w:hAnsi="宋体" w:eastAsia="宋体" w:cs="宋体"/>
                <w:color w:val="auto"/>
                <w:szCs w:val="21"/>
                <w:highlight w:val="none"/>
              </w:rPr>
              <w:t>项目负责人</w:t>
            </w: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rPr>
              <w:t>服务期限</w:t>
            </w:r>
          </w:p>
        </w:tc>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rPr>
              <w:t>质量标准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highlight w:val="none"/>
              </w:rPr>
            </w:pPr>
            <w:r>
              <w:rPr>
                <w:rFonts w:hint="eastAsia" w:ascii="宋体" w:hAnsi="宋体" w:eastAsia="宋体" w:cs="宋体"/>
                <w:color w:val="auto"/>
                <w:szCs w:val="24"/>
                <w:highlight w:val="none"/>
              </w:rPr>
              <w:t>投标有效期</w:t>
            </w: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highlight w:val="none"/>
              </w:rPr>
            </w:pPr>
            <w:r>
              <w:rPr>
                <w:rFonts w:hint="eastAsia" w:ascii="宋体" w:hAnsi="宋体" w:eastAsia="宋体" w:cs="宋体"/>
                <w:color w:val="auto"/>
                <w:szCs w:val="21"/>
                <w:highlight w:val="none"/>
              </w:rPr>
              <w:t>备注</w:t>
            </w:r>
          </w:p>
        </w:tc>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18"/>
                <w:highlight w:val="none"/>
              </w:rPr>
            </w:pPr>
            <w:r>
              <w:rPr>
                <w:rFonts w:hint="eastAsia" w:ascii="宋体" w:hAnsi="宋体" w:eastAsia="宋体" w:cs="宋体"/>
                <w:color w:val="auto"/>
                <w:szCs w:val="21"/>
                <w:highlight w:val="none"/>
              </w:rPr>
              <w:t>投标人代表签名</w:t>
            </w:r>
          </w:p>
        </w:tc>
      </w:tr>
      <w:tr>
        <w:tblPrEx>
          <w:tblCellMar>
            <w:top w:w="0" w:type="dxa"/>
            <w:left w:w="108" w:type="dxa"/>
            <w:bottom w:w="0" w:type="dxa"/>
            <w:right w:w="108" w:type="dxa"/>
          </w:tblCellMar>
        </w:tblPrEx>
        <w:trPr>
          <w:trHeight w:val="90"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kern w:val="2"/>
                <w:sz w:val="21"/>
                <w:szCs w:val="22"/>
                <w:highlight w:val="none"/>
                <w:lang w:val="en-US" w:eastAsia="zh-CN" w:bidi="ar-SA"/>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502" w:hRule="atLeast"/>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bookmarkStart w:id="83" w:name="_Toc17638"/>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color w:val="auto"/>
                <w:highlight w:val="none"/>
              </w:rPr>
            </w:pPr>
          </w:p>
        </w:tc>
      </w:tr>
      <w:bookmarkEnd w:id="83"/>
    </w:tbl>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spacing w:line="620" w:lineRule="exact"/>
        <w:rPr>
          <w:rFonts w:hint="eastAsia" w:ascii="宋体" w:hAnsi="宋体" w:eastAsia="宋体" w:cs="宋体"/>
          <w:color w:val="auto"/>
          <w:highlight w:val="none"/>
        </w:rPr>
      </w:pPr>
      <w:r>
        <w:rPr>
          <w:rFonts w:hint="eastAsia" w:ascii="宋体" w:hAnsi="宋体" w:eastAsia="宋体" w:cs="宋体"/>
          <w:color w:val="auto"/>
          <w:highlight w:val="none"/>
        </w:rPr>
        <w:t>招标人代表：记录人：监标人：</w:t>
      </w:r>
    </w:p>
    <w:p>
      <w:pPr>
        <w:spacing w:line="620" w:lineRule="exact"/>
        <w:jc w:val="right"/>
        <w:rPr>
          <w:rFonts w:hint="eastAsia" w:ascii="宋体" w:hAnsi="宋体" w:eastAsia="宋体" w:cs="宋体"/>
          <w:color w:val="auto"/>
          <w:sz w:val="20"/>
          <w:highlight w:val="none"/>
        </w:rPr>
      </w:pPr>
      <w:r>
        <w:rPr>
          <w:rFonts w:hint="eastAsia" w:ascii="宋体" w:hAnsi="宋体" w:eastAsia="宋体" w:cs="宋体"/>
          <w:color w:val="auto"/>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注：本表仅供参考，具体以开标时的开标记录表为准。</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color w:val="auto"/>
          <w:sz w:val="24"/>
          <w:szCs w:val="24"/>
          <w:highlight w:val="none"/>
        </w:rPr>
      </w:pPr>
      <w:bookmarkStart w:id="84" w:name="_Toc36132265"/>
      <w:bookmarkStart w:id="85" w:name="_Toc43906323"/>
      <w:r>
        <w:rPr>
          <w:rFonts w:hint="eastAsia"/>
          <w:color w:val="auto"/>
          <w:sz w:val="24"/>
          <w:szCs w:val="24"/>
          <w:highlight w:val="none"/>
        </w:rPr>
        <w:t>附件二：问题澄清通知</w:t>
      </w:r>
      <w:bookmarkEnd w:id="84"/>
      <w:bookmarkEnd w:id="85"/>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问题澄清通知</w:t>
      </w:r>
    </w:p>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（编号：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（投标人名称）：</w:t>
      </w:r>
    </w:p>
    <w:p>
      <w:pPr>
        <w:spacing w:line="360" w:lineRule="auto"/>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评标委员会对你方的投标文件进行了仔细的审查，现需你方对下列问题以书面形式予以澄清、说明或补正：</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p>
      <w:pPr>
        <w:spacing w:line="360" w:lineRule="auto"/>
        <w:ind w:firstLine="420" w:firstLineChars="200"/>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请将上述问题的澄清、说明或补正于</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时前递交至</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（详细地址）或传真至</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（传真号码）或通过下载招标文件的电子招标交易平台上传。采用传真方式的，应在</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时前将原件递交至</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（详细地址）。</w:t>
      </w:r>
    </w:p>
    <w:p>
      <w:pPr>
        <w:spacing w:line="360" w:lineRule="auto"/>
        <w:ind w:firstLine="420" w:firstLineChars="200"/>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p>
    <w:p>
      <w:pPr>
        <w:spacing w:line="360" w:lineRule="auto"/>
        <w:ind w:firstLine="1470" w:firstLineChars="7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评标委员会授权的招标人或招标代理机构：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（签字或盖章）</w:t>
      </w:r>
    </w:p>
    <w:p>
      <w:pPr>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pPr>
        <w:rPr>
          <w:rFonts w:hint="eastAsia" w:ascii="宋体" w:hAnsi="宋体" w:eastAsia="宋体" w:cs="宋体"/>
          <w:color w:val="auto"/>
          <w:szCs w:val="24"/>
          <w:highlight w:val="none"/>
        </w:rPr>
      </w:pPr>
    </w:p>
    <w:p>
      <w:pPr>
        <w:keepNext w:val="0"/>
        <w:keepLines w:val="0"/>
        <w:spacing w:before="0" w:after="0" w:line="240" w:lineRule="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86" w:name="_Toc36132266"/>
      <w:bookmarkStart w:id="87" w:name="_Toc43906324"/>
      <w:r>
        <w:rPr>
          <w:rFonts w:hint="eastAsia" w:ascii="宋体" w:hAnsi="宋体" w:eastAsia="宋体" w:cs="宋体"/>
          <w:b w:val="0"/>
          <w:bCs w:val="0"/>
          <w:color w:val="auto"/>
          <w:sz w:val="24"/>
          <w:szCs w:val="24"/>
          <w:highlight w:val="none"/>
        </w:rPr>
        <w:t>附件三：问题的澄清</w:t>
      </w:r>
      <w:bookmarkEnd w:id="86"/>
      <w:bookmarkEnd w:id="87"/>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问题的澄清</w:t>
      </w:r>
    </w:p>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（编号：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pPr>
        <w:spacing w:line="360" w:lineRule="auto"/>
        <w:rPr>
          <w:rFonts w:hint="eastAsia" w:ascii="宋体" w:hAnsi="宋体" w:eastAsia="宋体" w:cs="宋体"/>
          <w:color w:val="auto"/>
          <w:szCs w:val="24"/>
          <w:highlight w:val="none"/>
        </w:rPr>
      </w:pP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w:t>
      </w:r>
    </w:p>
    <w:p>
      <w:pPr>
        <w:spacing w:line="360" w:lineRule="auto"/>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问题澄清通知（编号：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）已收悉，现澄清、说明或补正如下：</w:t>
      </w:r>
    </w:p>
    <w:p>
      <w:pPr>
        <w:spacing w:line="360" w:lineRule="auto"/>
        <w:ind w:firstLine="840" w:firstLine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p>
      <w:pPr>
        <w:spacing w:line="360" w:lineRule="auto"/>
        <w:ind w:firstLine="840" w:firstLine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p>
      <w:pPr>
        <w:spacing w:line="360" w:lineRule="auto"/>
        <w:ind w:firstLine="840" w:firstLine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p>
      <w:pPr>
        <w:spacing w:line="360" w:lineRule="auto"/>
        <w:ind w:firstLine="420" w:firstLineChars="200"/>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上述问题澄清、说明或补正，不改变我方投标文件的实质性内容，构成我方投标文件的组成部分。</w:t>
      </w:r>
    </w:p>
    <w:p>
      <w:pPr>
        <w:spacing w:line="360" w:lineRule="auto"/>
        <w:ind w:firstLine="420" w:firstLineChars="200"/>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p>
    <w:p>
      <w:pPr>
        <w:spacing w:line="360" w:lineRule="auto"/>
        <w:ind w:firstLine="420" w:firstLineChars="200"/>
        <w:rPr>
          <w:rFonts w:hint="eastAsia" w:ascii="宋体" w:hAnsi="宋体" w:eastAsia="宋体" w:cs="宋体"/>
          <w:color w:val="auto"/>
          <w:szCs w:val="24"/>
          <w:highlight w:val="none"/>
        </w:rPr>
      </w:pPr>
    </w:p>
    <w:p>
      <w:pPr>
        <w:spacing w:line="360" w:lineRule="auto"/>
        <w:ind w:firstLine="2940" w:firstLineChars="1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（盖单位章）</w:t>
      </w:r>
    </w:p>
    <w:p>
      <w:pPr>
        <w:spacing w:line="360" w:lineRule="auto"/>
        <w:ind w:firstLine="2940" w:firstLineChars="1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（签字或盖章）</w:t>
      </w:r>
    </w:p>
    <w:p>
      <w:pPr>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pPr>
        <w:rPr>
          <w:rFonts w:ascii="宋体" w:cs="宋体"/>
          <w:color w:val="auto"/>
          <w:sz w:val="24"/>
          <w:highlight w:val="none"/>
        </w:rPr>
      </w:pPr>
      <w:r>
        <w:rPr>
          <w:rFonts w:hint="eastAsia" w:ascii="宋体" w:hAnsi="宋体" w:eastAsia="宋体" w:cs="宋体"/>
          <w:color w:val="auto"/>
          <w:highlight w:val="none"/>
        </w:rPr>
        <w:br w:type="page"/>
      </w:r>
    </w:p>
    <w:p>
      <w:pPr>
        <w:rPr>
          <w:color w:val="auto"/>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color w:val="auto"/>
          <w:highlight w:val="none"/>
        </w:rPr>
      </w:pPr>
    </w:p>
    <w:p>
      <w:pPr>
        <w:rPr>
          <w:color w:val="auto"/>
          <w:highlight w:val="none"/>
        </w:rPr>
      </w:pPr>
    </w:p>
    <w:p>
      <w:pPr>
        <w:pStyle w:val="2"/>
        <w:rPr>
          <w:rFonts w:ascii="方正姚体" w:eastAsia="方正姚体"/>
          <w:color w:val="auto"/>
          <w:sz w:val="52"/>
          <w:szCs w:val="52"/>
          <w:highlight w:val="none"/>
        </w:rPr>
      </w:pPr>
    </w:p>
    <w:p>
      <w:pPr>
        <w:pStyle w:val="4"/>
        <w:numPr>
          <w:ilvl w:val="0"/>
          <w:numId w:val="0"/>
        </w:numPr>
        <w:tabs>
          <w:tab w:val="clear" w:pos="435"/>
        </w:tabs>
        <w:spacing w:line="360" w:lineRule="auto"/>
        <w:rPr>
          <w:rFonts w:ascii="方正姚体" w:hAnsi="方正姚体" w:eastAsia="方正姚体" w:cs="方正姚体"/>
          <w:b/>
          <w:bCs/>
          <w:color w:val="auto"/>
          <w:sz w:val="52"/>
          <w:szCs w:val="52"/>
          <w:highlight w:val="none"/>
        </w:rPr>
        <w:sectPr>
          <w:footnotePr>
            <w:numFmt w:val="decimalEnclosedCircleChinese"/>
          </w:footnotePr>
          <w:pgSz w:w="11906" w:h="16838"/>
          <w:pgMar w:top="1134" w:right="1418" w:bottom="1134" w:left="1418" w:header="567" w:footer="851" w:gutter="0"/>
          <w:pgBorders>
            <w:top w:val="none" w:sz="0" w:space="0"/>
            <w:left w:val="none" w:sz="0" w:space="0"/>
            <w:bottom w:val="none" w:sz="0" w:space="0"/>
            <w:right w:val="none" w:sz="0" w:space="0"/>
          </w:pgBorders>
          <w:pgNumType w:fmt="decimal"/>
          <w:cols w:space="720" w:num="1"/>
          <w:docGrid w:linePitch="312" w:charSpace="0"/>
        </w:sectPr>
      </w:pPr>
      <w:bookmarkStart w:id="88" w:name="_Toc28038"/>
      <w:bookmarkStart w:id="89" w:name="_Toc12485"/>
      <w:r>
        <w:rPr>
          <w:rFonts w:hint="eastAsia" w:ascii="方正姚体" w:hAnsi="方正姚体" w:eastAsia="方正姚体" w:cs="方正姚体"/>
          <w:b/>
          <w:bCs/>
          <w:color w:val="auto"/>
          <w:sz w:val="52"/>
          <w:szCs w:val="52"/>
          <w:highlight w:val="none"/>
        </w:rPr>
        <w:t>第三章评标办法</w:t>
      </w:r>
      <w:bookmarkEnd w:id="88"/>
      <w:bookmarkEnd w:id="89"/>
    </w:p>
    <w:bookmarkEnd w:id="82"/>
    <w:p>
      <w:pPr>
        <w:pStyle w:val="3"/>
        <w:spacing w:before="48" w:beforeLines="20" w:after="48" w:afterLines="20" w:line="360" w:lineRule="auto"/>
        <w:jc w:val="center"/>
        <w:rPr>
          <w:rFonts w:hint="eastAsia" w:ascii="黑体" w:hAnsi="黑体" w:eastAsia="黑体" w:cs="黑体"/>
          <w:color w:val="auto"/>
          <w:sz w:val="44"/>
          <w:szCs w:val="44"/>
          <w:highlight w:val="none"/>
        </w:rPr>
      </w:pPr>
      <w:bookmarkStart w:id="90" w:name="_Toc43906325"/>
      <w:r>
        <w:rPr>
          <w:rFonts w:hint="eastAsia" w:ascii="黑体" w:hAnsi="黑体" w:eastAsia="黑体" w:cs="黑体"/>
          <w:color w:val="auto"/>
          <w:sz w:val="44"/>
          <w:szCs w:val="44"/>
          <w:highlight w:val="none"/>
        </w:rPr>
        <w:t>第三章 评标办法（综合评估法）</w:t>
      </w:r>
      <w:bookmarkEnd w:id="90"/>
    </w:p>
    <w:p>
      <w:pPr>
        <w:keepLines w:val="0"/>
        <w:spacing w:line="240" w:lineRule="auto"/>
        <w:jc w:val="left"/>
        <w:rPr>
          <w:rFonts w:hint="eastAsia"/>
          <w:color w:val="auto"/>
          <w:highlight w:val="none"/>
        </w:rPr>
      </w:pPr>
      <w:bookmarkStart w:id="91" w:name="_Toc43906326"/>
      <w:r>
        <w:rPr>
          <w:rFonts w:hint="eastAsia"/>
          <w:color w:val="auto"/>
          <w:highlight w:val="none"/>
        </w:rPr>
        <w:t>评标办法前附表</w:t>
      </w:r>
      <w:bookmarkEnd w:id="91"/>
    </w:p>
    <w:tbl>
      <w:tblPr>
        <w:tblStyle w:val="75"/>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
        <w:gridCol w:w="777"/>
        <w:gridCol w:w="2331"/>
        <w:gridCol w:w="5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37" w:type="dxa"/>
            <w:gridSpan w:val="3"/>
            <w:noWrap w:val="0"/>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331" w:type="dxa"/>
            <w:noWrap w:val="0"/>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w:t>
            </w:r>
          </w:p>
        </w:tc>
        <w:tc>
          <w:tcPr>
            <w:tcW w:w="5518" w:type="dxa"/>
            <w:noWrap w:val="0"/>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787" w:type="dxa"/>
            <w:gridSpan w:val="2"/>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w:t>
            </w: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中标候选人排序方法</w:t>
            </w:r>
          </w:p>
        </w:tc>
        <w:tc>
          <w:tcPr>
            <w:tcW w:w="5518" w:type="dxa"/>
            <w:noWrap w:val="0"/>
            <w:vAlign w:val="center"/>
          </w:tcPr>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标采用综合评估法。评标委员会按照各投标人得分从高到低排列先后次序，推荐得分最高的第一名投标人为第一中标候选人，推荐得分第二名的投标人为第二中标候选人，如此类推，推荐三名中标候选人，并编写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报告。若两家或以上的投标人总得分相同时，则投标</w:t>
            </w:r>
            <w:r>
              <w:rPr>
                <w:rFonts w:hint="eastAsia" w:ascii="宋体" w:hAnsi="宋体" w:eastAsia="宋体" w:cs="宋体"/>
                <w:color w:val="auto"/>
                <w:sz w:val="24"/>
                <w:szCs w:val="24"/>
                <w:highlight w:val="none"/>
                <w:lang w:eastAsia="zh-CN"/>
              </w:rPr>
              <w:t>费率</w:t>
            </w:r>
            <w:r>
              <w:rPr>
                <w:rFonts w:hint="eastAsia" w:ascii="宋体" w:hAnsi="宋体" w:eastAsia="宋体" w:cs="宋体"/>
                <w:color w:val="auto"/>
                <w:sz w:val="24"/>
                <w:highlight w:val="none"/>
              </w:rPr>
              <w:t>低的优先；若投标</w:t>
            </w:r>
            <w:r>
              <w:rPr>
                <w:rFonts w:hint="eastAsia" w:ascii="宋体" w:hAnsi="宋体" w:eastAsia="宋体" w:cs="宋体"/>
                <w:color w:val="auto"/>
                <w:sz w:val="24"/>
                <w:szCs w:val="24"/>
                <w:highlight w:val="none"/>
                <w:lang w:eastAsia="zh-CN"/>
              </w:rPr>
              <w:t>费率</w:t>
            </w:r>
            <w:r>
              <w:rPr>
                <w:rFonts w:hint="eastAsia" w:ascii="宋体" w:hAnsi="宋体" w:eastAsia="宋体" w:cs="宋体"/>
                <w:color w:val="auto"/>
                <w:sz w:val="24"/>
                <w:highlight w:val="none"/>
              </w:rPr>
              <w:t>也相等，则</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rPr>
              <w:t>得分高的优先；若</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rPr>
              <w:t>得分也相等的，由评标委员会采用记名投票方式，以得票多的优先，确定中标候选人的排序。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50" w:type="dxa"/>
            <w:vMerge w:val="restart"/>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p>
        </w:tc>
        <w:tc>
          <w:tcPr>
            <w:tcW w:w="787" w:type="dxa"/>
            <w:gridSpan w:val="2"/>
            <w:vMerge w:val="restart"/>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形式评审标准</w:t>
            </w: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5518" w:type="dxa"/>
            <w:noWrap w:val="0"/>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投标函及投标函</w:t>
            </w:r>
            <w:r>
              <w:rPr>
                <w:rFonts w:hint="eastAsia" w:ascii="宋体" w:hAnsi="宋体" w:cs="宋体"/>
                <w:color w:val="auto"/>
                <w:sz w:val="24"/>
                <w:szCs w:val="24"/>
                <w:highlight w:val="none"/>
                <w:lang w:val="en-US" w:eastAsia="zh-CN"/>
              </w:rPr>
              <w:t>附录</w:t>
            </w:r>
            <w:r>
              <w:rPr>
                <w:rFonts w:hint="eastAsia" w:ascii="宋体" w:hAnsi="宋体" w:eastAsia="宋体" w:cs="宋体"/>
                <w:color w:val="auto"/>
                <w:sz w:val="24"/>
                <w:szCs w:val="24"/>
                <w:highlight w:val="none"/>
              </w:rPr>
              <w:t>签字盖章</w:t>
            </w:r>
          </w:p>
        </w:tc>
        <w:tc>
          <w:tcPr>
            <w:tcW w:w="5518" w:type="dxa"/>
            <w:noWrap w:val="0"/>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有法定代表人或其委托代理人签字</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加盖单位章。由法定代表人签字的，应附法定代表人身份证明，由代理人签字的，应附授权委托书，身份证明或授权委托书应符合第六章“投标文件格式”的要求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5518" w:type="dxa"/>
            <w:noWrap w:val="0"/>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符合第六章</w:t>
            </w:r>
            <w:r>
              <w:rPr>
                <w:rFonts w:hint="eastAsia" w:ascii="宋体" w:hAnsi="宋体" w:eastAsia="宋体" w:cs="宋体"/>
                <w:color w:val="auto"/>
                <w:sz w:val="24"/>
                <w:szCs w:val="24"/>
                <w:highlight w:val="none"/>
              </w:rPr>
              <w:t>“投标文件格式”</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联合体投标人</w:t>
            </w:r>
          </w:p>
        </w:tc>
        <w:tc>
          <w:tcPr>
            <w:tcW w:w="5518" w:type="dxa"/>
            <w:noWrap w:val="0"/>
            <w:vAlign w:val="center"/>
          </w:tcPr>
          <w:p>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提交符合招标文件要求的联合体协议书，明确各方承担连带责任，并明确联合体牵头人。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tc>
        <w:tc>
          <w:tcPr>
            <w:tcW w:w="5518" w:type="dxa"/>
            <w:noWrap w:val="0"/>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rPr>
                <w:rFonts w:hint="eastAsia" w:ascii="宋体" w:hAnsi="宋体" w:eastAsia="宋体" w:cs="宋体"/>
                <w:color w:val="auto"/>
                <w:sz w:val="24"/>
                <w:highlight w:val="none"/>
              </w:rPr>
            </w:pPr>
          </w:p>
        </w:tc>
        <w:tc>
          <w:tcPr>
            <w:tcW w:w="2331" w:type="dxa"/>
            <w:noWrap w:val="0"/>
            <w:vAlign w:val="top"/>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投标人机器码</w:t>
            </w:r>
          </w:p>
        </w:tc>
        <w:tc>
          <w:tcPr>
            <w:tcW w:w="5518" w:type="dxa"/>
            <w:noWrap w:val="0"/>
            <w:vAlign w:val="top"/>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投标人与其他投标人加密打包投标文件电脑机器特征码一致的（以广州公共资源交易中心评标系统的检索信息为准）将被否决。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restart"/>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p>
        </w:tc>
        <w:tc>
          <w:tcPr>
            <w:tcW w:w="787" w:type="dxa"/>
            <w:gridSpan w:val="2"/>
            <w:vMerge w:val="restart"/>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资格评审标准</w:t>
            </w:r>
          </w:p>
        </w:tc>
        <w:tc>
          <w:tcPr>
            <w:tcW w:w="2331" w:type="dxa"/>
            <w:noWrap w:val="0"/>
            <w:vAlign w:val="center"/>
          </w:tcPr>
          <w:p>
            <w:pPr>
              <w:spacing w:line="400" w:lineRule="exact"/>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投标人参加投标的意思表达清楚，投标人代表被授权有效</w:t>
            </w:r>
          </w:p>
        </w:tc>
        <w:tc>
          <w:tcPr>
            <w:tcW w:w="5518" w:type="dxa"/>
            <w:noWrap w:val="0"/>
            <w:vAlign w:val="center"/>
          </w:tcPr>
          <w:p>
            <w:pPr>
              <w:spacing w:line="400" w:lineRule="exac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符合第二章“投标人须知”第3.5.</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项规定</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具备有效的营业执照或事业单位法人证书。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5518" w:type="dxa"/>
            <w:noWrap w:val="0"/>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财务要求</w:t>
            </w:r>
          </w:p>
        </w:tc>
        <w:tc>
          <w:tcPr>
            <w:tcW w:w="5518" w:type="dxa"/>
            <w:noWrap w:val="0"/>
            <w:vAlign w:val="center"/>
          </w:tcPr>
          <w:p>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业绩要求</w:t>
            </w:r>
          </w:p>
        </w:tc>
        <w:tc>
          <w:tcPr>
            <w:tcW w:w="5518" w:type="dxa"/>
            <w:noWrap w:val="0"/>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5518" w:type="dxa"/>
            <w:noWrap w:val="0"/>
            <w:vAlign w:val="center"/>
          </w:tcPr>
          <w:p>
            <w:p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其他主要人员</w:t>
            </w:r>
          </w:p>
        </w:tc>
        <w:tc>
          <w:tcPr>
            <w:tcW w:w="5518" w:type="dxa"/>
            <w:noWrap w:val="0"/>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试验检测仪器设备</w:t>
            </w:r>
          </w:p>
        </w:tc>
        <w:tc>
          <w:tcPr>
            <w:tcW w:w="5518" w:type="dxa"/>
            <w:noWrap w:val="0"/>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518" w:type="dxa"/>
            <w:noWrap w:val="0"/>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联合体投标人</w:t>
            </w:r>
          </w:p>
        </w:tc>
        <w:tc>
          <w:tcPr>
            <w:tcW w:w="5518" w:type="dxa"/>
            <w:noWrap w:val="0"/>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不存在禁止投标的情形</w:t>
            </w:r>
          </w:p>
        </w:tc>
        <w:tc>
          <w:tcPr>
            <w:tcW w:w="5518" w:type="dxa"/>
            <w:noWrap w:val="0"/>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不存在第二章“投标人须知”第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restart"/>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2.1.3</w:t>
            </w:r>
          </w:p>
        </w:tc>
        <w:tc>
          <w:tcPr>
            <w:tcW w:w="787" w:type="dxa"/>
            <w:gridSpan w:val="2"/>
            <w:vMerge w:val="restart"/>
            <w:noWrap w:val="0"/>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响应性评审标准</w:t>
            </w:r>
          </w:p>
        </w:tc>
        <w:tc>
          <w:tcPr>
            <w:tcW w:w="2331" w:type="dxa"/>
            <w:noWrap w:val="0"/>
            <w:vAlign w:val="center"/>
          </w:tcPr>
          <w:p>
            <w:pPr>
              <w:spacing w:line="400" w:lineRule="exact"/>
              <w:jc w:val="center"/>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投标报价</w:t>
            </w:r>
          </w:p>
        </w:tc>
        <w:tc>
          <w:tcPr>
            <w:tcW w:w="5518" w:type="dxa"/>
            <w:noWrap w:val="0"/>
            <w:vAlign w:val="center"/>
          </w:tcPr>
          <w:p>
            <w:pPr>
              <w:spacing w:line="400" w:lineRule="exact"/>
              <w:rPr>
                <w:rFonts w:hint="eastAsia" w:ascii="宋体" w:hAnsi="宋体" w:eastAsia="宋体" w:cs="宋体"/>
                <w:strike/>
                <w:color w:val="auto"/>
                <w:sz w:val="24"/>
                <w:szCs w:val="24"/>
                <w:highlight w:val="none"/>
                <w:lang w:eastAsia="zh-CN"/>
              </w:rPr>
            </w:pPr>
            <w:r>
              <w:rPr>
                <w:rFonts w:hint="eastAsia" w:ascii="宋体" w:hAnsi="宋体" w:eastAsia="宋体" w:cs="宋体"/>
                <w:color w:val="auto"/>
                <w:sz w:val="24"/>
                <w:szCs w:val="24"/>
                <w:highlight w:val="none"/>
              </w:rPr>
              <w:t>符合第二章“投标人须知”第3.2款规定</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5518" w:type="dxa"/>
            <w:noWrap w:val="0"/>
            <w:vAlign w:val="center"/>
          </w:tcPr>
          <w:p>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符合第二章“投标人须知”第1.3.1项规定</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5518" w:type="dxa"/>
            <w:noWrap w:val="0"/>
            <w:vAlign w:val="center"/>
          </w:tcPr>
          <w:p>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符合第二章“投标人须知”第1.3.2项规定</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5518" w:type="dxa"/>
            <w:noWrap w:val="0"/>
            <w:vAlign w:val="center"/>
          </w:tcPr>
          <w:p>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符合第二章“投标人须知”第1.3.3项规定</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518" w:type="dxa"/>
            <w:noWrap w:val="0"/>
            <w:vAlign w:val="top"/>
          </w:tcPr>
          <w:p>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符合第二章“投标人须知”第 3.3.1 项规定</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518" w:type="dxa"/>
            <w:noWrap w:val="0"/>
            <w:vAlign w:val="top"/>
          </w:tcPr>
          <w:p>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符合第二章“投标人须知”第 3.4.1 项规定</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Merge w:val="continue"/>
            <w:noWrap w:val="0"/>
            <w:vAlign w:val="center"/>
          </w:tcPr>
          <w:p>
            <w:pPr>
              <w:spacing w:line="400" w:lineRule="exact"/>
              <w:jc w:val="center"/>
              <w:rPr>
                <w:rFonts w:hint="eastAsia" w:ascii="宋体" w:hAnsi="宋体" w:eastAsia="宋体" w:cs="宋体"/>
                <w:color w:val="auto"/>
                <w:sz w:val="24"/>
                <w:highlight w:val="none"/>
              </w:rPr>
            </w:pPr>
          </w:p>
        </w:tc>
        <w:tc>
          <w:tcPr>
            <w:tcW w:w="787" w:type="dxa"/>
            <w:gridSpan w:val="2"/>
            <w:vMerge w:val="continue"/>
            <w:noWrap w:val="0"/>
            <w:vAlign w:val="center"/>
          </w:tcPr>
          <w:p>
            <w:pPr>
              <w:spacing w:line="400" w:lineRule="exact"/>
              <w:jc w:val="center"/>
              <w:rPr>
                <w:rFonts w:hint="eastAsia" w:ascii="宋体" w:hAnsi="宋体" w:eastAsia="宋体" w:cs="宋体"/>
                <w:color w:val="auto"/>
                <w:sz w:val="24"/>
                <w:highlight w:val="none"/>
              </w:rPr>
            </w:pP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串通投标情形</w:t>
            </w:r>
          </w:p>
        </w:tc>
        <w:tc>
          <w:tcPr>
            <w:tcW w:w="5518" w:type="dxa"/>
            <w:noWrap w:val="0"/>
            <w:vAlign w:val="top"/>
          </w:tcPr>
          <w:p>
            <w:pPr>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不存在串通投标情形（串通投标情形以《中华人民共和国招标投标法实施条例》和《广东省实施&lt;中华人民共和国招标投标法&gt;》的规定为准）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37" w:type="dxa"/>
            <w:gridSpan w:val="3"/>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331" w:type="dxa"/>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5518" w:type="dxa"/>
            <w:noWrap w:val="0"/>
            <w:vAlign w:val="center"/>
          </w:tcPr>
          <w:p>
            <w:pPr>
              <w:spacing w:line="400" w:lineRule="exact"/>
              <w:rPr>
                <w:rFonts w:hint="eastAsia" w:ascii="宋体" w:hAnsi="宋体" w:eastAsia="宋体" w:cs="宋体"/>
                <w:color w:val="auto"/>
                <w:sz w:val="24"/>
                <w:szCs w:val="24"/>
                <w:highlight w:val="none"/>
              </w:rPr>
            </w:pPr>
            <w:r>
              <w:rPr>
                <w:rFonts w:hint="eastAsia" w:ascii="宋体" w:hAnsi="宋体" w:cs="宋体"/>
                <w:b/>
                <w:color w:val="auto"/>
                <w:sz w:val="24"/>
                <w:highlight w:val="none"/>
              </w:rPr>
              <w:t>资信业绩部分</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u w:val="single"/>
                <w:lang w:val="en-US" w:eastAsia="zh-CN"/>
              </w:rPr>
              <w:t>75</w:t>
            </w:r>
            <w:r>
              <w:rPr>
                <w:rFonts w:hint="eastAsia" w:ascii="宋体" w:hAnsi="宋体" w:eastAsia="宋体" w:cs="宋体"/>
                <w:b/>
                <w:bCs/>
                <w:color w:val="auto"/>
                <w:sz w:val="24"/>
                <w:szCs w:val="24"/>
                <w:highlight w:val="none"/>
              </w:rPr>
              <w:t>分</w:t>
            </w:r>
          </w:p>
          <w:p>
            <w:pPr>
              <w:spacing w:line="400" w:lineRule="exact"/>
              <w:rPr>
                <w:rFonts w:hint="eastAsia" w:ascii="宋体" w:hAnsi="宋体" w:eastAsia="宋体" w:cs="宋体"/>
                <w:b/>
                <w:bCs/>
                <w:color w:val="auto"/>
                <w:sz w:val="24"/>
                <w:szCs w:val="24"/>
                <w:highlight w:val="none"/>
              </w:rPr>
            </w:pPr>
            <w:r>
              <w:rPr>
                <w:rFonts w:hint="eastAsia" w:ascii="宋体" w:hAnsi="宋体" w:cs="宋体"/>
                <w:b/>
                <w:color w:val="auto"/>
                <w:sz w:val="24"/>
                <w:highlight w:val="none"/>
              </w:rPr>
              <w:t>检测及监测技术方案部分</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u w:val="single"/>
                <w:lang w:eastAsia="zh-CN"/>
              </w:rPr>
              <w:t>1</w:t>
            </w:r>
            <w:r>
              <w:rPr>
                <w:rFonts w:hint="eastAsia" w:ascii="宋体" w:hAnsi="宋体" w:cs="宋体"/>
                <w:b/>
                <w:color w:val="auto"/>
                <w:sz w:val="24"/>
                <w:szCs w:val="24"/>
                <w:highlight w:val="none"/>
                <w:u w:val="single"/>
                <w:lang w:val="en-US" w:eastAsia="zh-CN"/>
              </w:rPr>
              <w:t>5</w:t>
            </w:r>
            <w:r>
              <w:rPr>
                <w:rFonts w:hint="eastAsia" w:ascii="宋体" w:hAnsi="宋体" w:eastAsia="宋体" w:cs="宋体"/>
                <w:b/>
                <w:bCs/>
                <w:color w:val="auto"/>
                <w:sz w:val="24"/>
                <w:szCs w:val="24"/>
                <w:highlight w:val="none"/>
              </w:rPr>
              <w:t>分</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投标报价</w:t>
            </w:r>
            <w:r>
              <w:rPr>
                <w:rFonts w:hint="eastAsia" w:ascii="宋体" w:hAnsi="宋体" w:eastAsia="宋体" w:cs="宋体"/>
                <w:color w:val="auto"/>
                <w:sz w:val="24"/>
                <w:szCs w:val="24"/>
                <w:highlight w:val="none"/>
              </w:rPr>
              <w:t>：</w:t>
            </w:r>
            <w:r>
              <w:rPr>
                <w:rFonts w:hint="eastAsia" w:ascii="宋体" w:hAnsi="宋体" w:cs="宋体"/>
                <w:b/>
                <w:color w:val="auto"/>
                <w:sz w:val="24"/>
                <w:szCs w:val="24"/>
                <w:highlight w:val="none"/>
                <w:u w:val="single"/>
                <w:lang w:eastAsia="zh-CN"/>
              </w:rPr>
              <w:t>1</w:t>
            </w:r>
            <w:r>
              <w:rPr>
                <w:rFonts w:hint="eastAsia" w:ascii="宋体" w:hAnsi="宋体" w:cs="宋体"/>
                <w:b/>
                <w:color w:val="auto"/>
                <w:sz w:val="24"/>
                <w:szCs w:val="24"/>
                <w:highlight w:val="none"/>
                <w:u w:val="single"/>
                <w:lang w:val="en-US" w:eastAsia="zh-CN"/>
              </w:rPr>
              <w:t>0</w:t>
            </w:r>
            <w:r>
              <w:rPr>
                <w:rFonts w:hint="eastAsia" w:ascii="宋体" w:hAnsi="宋体" w:eastAsia="宋体" w:cs="宋体"/>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537" w:type="dxa"/>
            <w:gridSpan w:val="3"/>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331"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w:t>
            </w:r>
            <w:r>
              <w:rPr>
                <w:rFonts w:hint="eastAsia" w:ascii="宋体" w:hAnsi="宋体" w:eastAsia="宋体" w:cs="宋体"/>
                <w:color w:val="auto"/>
                <w:sz w:val="24"/>
                <w:szCs w:val="24"/>
                <w:highlight w:val="none"/>
                <w:lang w:eastAsia="zh-CN"/>
              </w:rPr>
              <w:t>费率</w:t>
            </w:r>
            <w:r>
              <w:rPr>
                <w:rFonts w:hint="eastAsia" w:ascii="宋体" w:hAnsi="宋体" w:eastAsia="宋体" w:cs="宋体"/>
                <w:color w:val="auto"/>
                <w:sz w:val="24"/>
                <w:szCs w:val="24"/>
                <w:highlight w:val="none"/>
              </w:rPr>
              <w:t>计算方法</w:t>
            </w:r>
          </w:p>
        </w:tc>
        <w:tc>
          <w:tcPr>
            <w:tcW w:w="5518" w:type="dxa"/>
            <w:noWrap w:val="0"/>
            <w:vAlign w:val="center"/>
          </w:tcPr>
          <w:p>
            <w:pPr>
              <w:snapToGrid w:val="0"/>
              <w:spacing w:line="240" w:lineRule="auto"/>
              <w:ind w:firstLine="456" w:firstLineChars="19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当通过初步评审的有效投标人大于5名且投标费率为有效投标费率时，去掉一个最高费率和一个最低费率，取余下有效投标费率的算术平均值作为评标基准费率。当通过初步评审的有效投标人小于或等于5名时，取所有</w:t>
            </w:r>
            <w:r>
              <w:rPr>
                <w:rFonts w:hint="eastAsia" w:ascii="宋体" w:hAnsi="宋体" w:eastAsia="宋体" w:cs="宋体"/>
                <w:color w:val="auto"/>
                <w:sz w:val="24"/>
                <w:szCs w:val="24"/>
                <w:highlight w:val="none"/>
              </w:rPr>
              <w:t>初步评审</w:t>
            </w:r>
            <w:r>
              <w:rPr>
                <w:rFonts w:hint="eastAsia" w:ascii="宋体" w:hAnsi="宋体" w:cs="宋体"/>
                <w:color w:val="auto"/>
                <w:sz w:val="24"/>
                <w:szCs w:val="24"/>
                <w:highlight w:val="none"/>
              </w:rPr>
              <w:t>的有效投标费率的算术平均值作为评标基准费率。</w:t>
            </w:r>
          </w:p>
          <w:p>
            <w:pPr>
              <w:snapToGrid w:val="0"/>
              <w:spacing w:line="240" w:lineRule="auto"/>
              <w:ind w:firstLine="456" w:firstLineChars="19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最高投标费率上限：100%，若超过视为无效</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费率，将否决其投标。</w:t>
            </w:r>
          </w:p>
          <w:p>
            <w:pPr>
              <w:snapToGrid w:val="0"/>
              <w:spacing w:line="240" w:lineRule="auto"/>
              <w:ind w:firstLine="456" w:firstLineChars="19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对低于80%的投标费率，投标人必须提供详细的成本分析供评标委员会评审，由评标委员会判定其是否低于企业自身成本。</w:t>
            </w:r>
          </w:p>
          <w:p>
            <w:pPr>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在评标过程中，评标委员会发现投标人的</w:t>
            </w:r>
            <w:r>
              <w:rPr>
                <w:rFonts w:hint="eastAsia" w:ascii="宋体" w:hAnsi="宋体" w:cs="宋体"/>
                <w:color w:val="auto"/>
                <w:sz w:val="24"/>
                <w:szCs w:val="24"/>
                <w:highlight w:val="none"/>
                <w:lang w:val="en-US" w:eastAsia="zh-CN"/>
              </w:rPr>
              <w:t>投标费</w:t>
            </w:r>
            <w:r>
              <w:rPr>
                <w:rFonts w:hint="eastAsia" w:ascii="宋体" w:hAnsi="宋体" w:cs="宋体"/>
                <w:color w:val="auto"/>
                <w:sz w:val="24"/>
                <w:szCs w:val="24"/>
                <w:highlight w:val="none"/>
              </w:rPr>
              <w:t>率低于80%，投标人不能合理说明或者不能提供相关证明材料的，由评标委员会认定该投标人以低于成本报价竞标，应当否决其投标。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37" w:type="dxa"/>
            <w:gridSpan w:val="3"/>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2331"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费率</w:t>
            </w:r>
            <w:r>
              <w:rPr>
                <w:rFonts w:hint="eastAsia" w:ascii="宋体" w:hAnsi="宋体" w:eastAsia="宋体" w:cs="宋体"/>
                <w:color w:val="auto"/>
                <w:sz w:val="24"/>
                <w:szCs w:val="24"/>
                <w:highlight w:val="none"/>
              </w:rPr>
              <w:t>的偏差率计算公式</w:t>
            </w:r>
          </w:p>
        </w:tc>
        <w:tc>
          <w:tcPr>
            <w:tcW w:w="5518"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cs="宋体"/>
                <w:color w:val="auto"/>
                <w:sz w:val="24"/>
                <w:highlight w:val="none"/>
              </w:rPr>
              <w:t>偏差率=|投标人投标费率-评标基准费率|/评标基准费率</w:t>
            </w:r>
            <w:r>
              <w:rPr>
                <w:rFonts w:hint="default" w:ascii="Arial" w:hAnsi="Arial" w:cs="Arial"/>
                <w:color w:val="auto"/>
                <w:sz w:val="24"/>
                <w:highlight w:val="none"/>
              </w:rPr>
              <w:t>×</w:t>
            </w:r>
            <w:r>
              <w:rPr>
                <w:rFonts w:hint="eastAsia" w:ascii="宋体" w:hAnsi="宋体" w:cs="宋体"/>
                <w:color w:val="auto"/>
                <w:sz w:val="24"/>
                <w:highlight w:val="none"/>
              </w:rPr>
              <w:t>100%，（偏差率四舍五入保留2位小数）。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0" w:type="dxa"/>
            <w:gridSpan w:val="2"/>
            <w:vMerge w:val="restart"/>
            <w:tcBorders>
              <w:top w:val="single" w:color="auto" w:sz="4" w:space="0"/>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eastAsia="zh-CN"/>
              </w:rPr>
              <w:t>4</w:t>
            </w:r>
          </w:p>
          <w:p>
            <w:pPr>
              <w:pStyle w:val="159"/>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7" w:type="dxa"/>
            <w:vMerge w:val="restart"/>
            <w:tcBorders>
              <w:top w:val="single" w:color="auto" w:sz="4" w:space="0"/>
              <w:left w:val="single" w:color="auto" w:sz="4" w:space="0"/>
              <w:right w:val="single" w:color="auto" w:sz="4" w:space="0"/>
            </w:tcBorders>
            <w:noWrap w:val="0"/>
            <w:vAlign w:val="center"/>
          </w:tcPr>
          <w:p>
            <w:pPr>
              <w:pStyle w:val="159"/>
              <w:adjustRightInd w:val="0"/>
              <w:snapToGrid w:val="0"/>
              <w:spacing w:line="240" w:lineRule="auto"/>
              <w:jc w:val="center"/>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rPr>
              <w:t>资信业绩</w:t>
            </w:r>
            <w:r>
              <w:rPr>
                <w:rFonts w:hint="eastAsia" w:ascii="宋体" w:hAnsi="宋体" w:cs="宋体"/>
                <w:color w:val="auto"/>
                <w:sz w:val="24"/>
                <w:szCs w:val="24"/>
                <w:highlight w:val="none"/>
                <w:lang w:val="en-US" w:eastAsia="zh-CN"/>
              </w:rPr>
              <w:t>评分标准</w:t>
            </w:r>
          </w:p>
          <w:p>
            <w:pPr>
              <w:pStyle w:val="159"/>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7</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分）</w:t>
            </w:r>
          </w:p>
        </w:tc>
        <w:tc>
          <w:tcPr>
            <w:tcW w:w="23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单位业绩</w:t>
            </w:r>
          </w:p>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51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r>
              <w:rPr>
                <w:rFonts w:hint="eastAsia" w:ascii="宋体" w:hAnsi="宋体" w:cs="宋体"/>
                <w:sz w:val="24"/>
              </w:rPr>
              <w:t>类似工程业绩（如联合体投标的，本项可由联合体各方合计提供）：</w:t>
            </w:r>
          </w:p>
          <w:p>
            <w:pPr>
              <w:rPr>
                <w:rFonts w:ascii="宋体" w:hAnsi="宋体" w:cs="宋体"/>
                <w:sz w:val="24"/>
              </w:rPr>
            </w:pPr>
            <w:r>
              <w:rPr>
                <w:rFonts w:hint="eastAsia" w:ascii="宋体" w:hAnsi="宋体" w:cs="宋体"/>
                <w:sz w:val="24"/>
              </w:rPr>
              <w:t>1、201</w:t>
            </w:r>
            <w:r>
              <w:rPr>
                <w:rFonts w:ascii="宋体" w:hAnsi="宋体" w:cs="宋体"/>
                <w:sz w:val="24"/>
              </w:rPr>
              <w:t>8</w:t>
            </w:r>
            <w:r>
              <w:rPr>
                <w:rFonts w:hint="eastAsia" w:ascii="宋体" w:hAnsi="宋体" w:cs="宋体"/>
                <w:sz w:val="24"/>
              </w:rPr>
              <w:t>年</w:t>
            </w:r>
            <w:r>
              <w:rPr>
                <w:rFonts w:ascii="宋体" w:hAnsi="宋体" w:cs="宋体"/>
                <w:sz w:val="24"/>
              </w:rPr>
              <w:t>1</w:t>
            </w:r>
            <w:r>
              <w:rPr>
                <w:rFonts w:hint="eastAsia" w:ascii="宋体" w:hAnsi="宋体" w:cs="宋体"/>
                <w:sz w:val="24"/>
              </w:rPr>
              <w:t>月1日至今承接过项目合同金额≥</w:t>
            </w:r>
            <w:r>
              <w:rPr>
                <w:rFonts w:hint="eastAsia" w:ascii="宋体" w:hAnsi="宋体" w:cs="宋体"/>
                <w:sz w:val="24"/>
                <w:lang w:val="en-US" w:eastAsia="zh-CN"/>
              </w:rPr>
              <w:t>1200</w:t>
            </w:r>
            <w:r>
              <w:rPr>
                <w:rFonts w:hint="eastAsia" w:ascii="宋体" w:hAnsi="宋体" w:cs="宋体"/>
                <w:sz w:val="24"/>
              </w:rPr>
              <w:t>万元的类似工程业绩，每项得</w:t>
            </w:r>
            <w:r>
              <w:rPr>
                <w:rFonts w:hint="eastAsia" w:ascii="宋体" w:hAnsi="宋体" w:cs="宋体"/>
                <w:sz w:val="24"/>
                <w:lang w:val="en-US" w:eastAsia="zh-CN"/>
              </w:rPr>
              <w:t>2</w:t>
            </w:r>
            <w:r>
              <w:rPr>
                <w:rFonts w:hint="eastAsia" w:ascii="宋体" w:hAnsi="宋体" w:cs="宋体"/>
                <w:sz w:val="24"/>
              </w:rPr>
              <w:t>分；最多得1</w:t>
            </w:r>
            <w:r>
              <w:rPr>
                <w:rFonts w:ascii="宋体" w:hAnsi="宋体" w:cs="宋体"/>
                <w:sz w:val="24"/>
              </w:rPr>
              <w:t>0</w:t>
            </w:r>
            <w:r>
              <w:rPr>
                <w:rFonts w:hint="eastAsia" w:ascii="宋体" w:hAnsi="宋体" w:cs="宋体"/>
                <w:sz w:val="24"/>
              </w:rPr>
              <w:t>分。</w:t>
            </w:r>
          </w:p>
          <w:p>
            <w:pPr>
              <w:spacing w:line="240" w:lineRule="auto"/>
              <w:rPr>
                <w:rFonts w:hint="default" w:ascii="宋体" w:hAnsi="宋体" w:eastAsia="宋体" w:cs="宋体"/>
                <w:color w:val="auto"/>
                <w:sz w:val="24"/>
                <w:szCs w:val="24"/>
                <w:highlight w:val="none"/>
                <w:lang w:val="en-US" w:eastAsia="zh-CN"/>
              </w:rPr>
            </w:pPr>
            <w:r>
              <w:rPr>
                <w:rFonts w:hint="eastAsia" w:ascii="宋体" w:hAnsi="宋体" w:cs="宋体"/>
                <w:sz w:val="24"/>
              </w:rPr>
              <w:t>注:本评审项最多得1</w:t>
            </w:r>
            <w:r>
              <w:rPr>
                <w:rFonts w:ascii="宋体" w:hAnsi="宋体" w:cs="宋体"/>
                <w:sz w:val="24"/>
              </w:rPr>
              <w:t>0</w:t>
            </w:r>
            <w:r>
              <w:rPr>
                <w:rFonts w:hint="eastAsia" w:ascii="宋体" w:hAnsi="宋体" w:cs="宋体"/>
                <w:sz w:val="24"/>
              </w:rPr>
              <w:t>分。类似工程业绩是指：包含工程检测或监测内容的业绩。投标人须按第六章投标文件格式填写“近年承接的类似项目情况表”并按招标文件第二章“投标人须知”第3.5.3项的要求提供相关证明材料。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jc w:val="center"/>
        </w:trPr>
        <w:tc>
          <w:tcPr>
            <w:tcW w:w="760" w:type="dxa"/>
            <w:gridSpan w:val="2"/>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sz w:val="24"/>
                <w:szCs w:val="24"/>
                <w:highlight w:val="none"/>
              </w:rPr>
            </w:pPr>
          </w:p>
        </w:tc>
        <w:tc>
          <w:tcPr>
            <w:tcW w:w="777" w:type="dxa"/>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kern w:val="2"/>
                <w:sz w:val="24"/>
                <w:szCs w:val="24"/>
                <w:highlight w:val="none"/>
                <w:lang w:eastAsia="zh-CN"/>
              </w:rPr>
            </w:pPr>
          </w:p>
        </w:tc>
        <w:tc>
          <w:tcPr>
            <w:tcW w:w="23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企业信用诚信</w:t>
            </w:r>
          </w:p>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518"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宋体" w:hAnsi="宋体" w:cs="宋体"/>
                <w:sz w:val="24"/>
              </w:rPr>
            </w:pPr>
            <w:r>
              <w:rPr>
                <w:rFonts w:hint="eastAsia" w:ascii="宋体" w:hAnsi="宋体" w:cs="宋体"/>
                <w:sz w:val="24"/>
              </w:rPr>
              <w:t>投标人（如为联合体，指联合体</w:t>
            </w:r>
            <w:r>
              <w:rPr>
                <w:rFonts w:hint="eastAsia" w:ascii="宋体" w:hAnsi="宋体" w:cs="宋体"/>
                <w:sz w:val="24"/>
                <w:lang w:val="en-US" w:eastAsia="zh-CN"/>
              </w:rPr>
              <w:t>牵头人</w:t>
            </w:r>
            <w:r>
              <w:rPr>
                <w:rFonts w:hint="eastAsia" w:ascii="宋体" w:hAnsi="宋体" w:cs="宋体"/>
                <w:sz w:val="24"/>
              </w:rPr>
              <w:t>）具有</w:t>
            </w:r>
            <w:r>
              <w:rPr>
                <w:rFonts w:hint="eastAsia" w:ascii="宋体" w:hAnsi="宋体" w:cs="宋体"/>
                <w:color w:val="auto"/>
                <w:sz w:val="24"/>
                <w:highlight w:val="none"/>
              </w:rPr>
              <w:t>省级或以上行业协会颁发的(检测机构）</w:t>
            </w:r>
            <w:r>
              <w:rPr>
                <w:rFonts w:hint="eastAsia" w:ascii="宋体" w:hAnsi="宋体" w:cs="宋体"/>
                <w:sz w:val="24"/>
              </w:rPr>
              <w:t>企业信用等级证书：信用等级评价为AAA级及以上，得</w:t>
            </w:r>
            <w:r>
              <w:rPr>
                <w:rFonts w:ascii="宋体" w:hAnsi="宋体" w:cs="宋体"/>
                <w:sz w:val="24"/>
              </w:rPr>
              <w:t>5</w:t>
            </w:r>
            <w:r>
              <w:rPr>
                <w:rFonts w:hint="eastAsia" w:ascii="宋体" w:hAnsi="宋体" w:cs="宋体"/>
                <w:sz w:val="24"/>
              </w:rPr>
              <w:t>分；信用等级评价为AA级，得</w:t>
            </w:r>
            <w:r>
              <w:rPr>
                <w:rFonts w:ascii="宋体" w:hAnsi="宋体" w:cs="宋体"/>
                <w:sz w:val="24"/>
              </w:rPr>
              <w:t>3</w:t>
            </w:r>
            <w:r>
              <w:rPr>
                <w:rFonts w:hint="eastAsia" w:ascii="宋体" w:hAnsi="宋体" w:cs="宋体"/>
                <w:sz w:val="24"/>
              </w:rPr>
              <w:t>分；信用等级评价为A级，得1分；</w:t>
            </w:r>
            <w:r>
              <w:rPr>
                <w:rFonts w:hint="eastAsia" w:ascii="宋体" w:hAnsi="宋体" w:cs="宋体"/>
                <w:color w:val="auto"/>
                <w:sz w:val="24"/>
                <w:highlight w:val="none"/>
              </w:rPr>
              <w:t>其余情况不得分</w:t>
            </w:r>
            <w:r>
              <w:rPr>
                <w:rFonts w:hint="eastAsia" w:ascii="宋体" w:hAnsi="宋体" w:cs="宋体"/>
                <w:color w:val="auto"/>
                <w:sz w:val="24"/>
                <w:highlight w:val="none"/>
                <w:lang w:eastAsia="zh-CN"/>
              </w:rPr>
              <w:t>，</w:t>
            </w:r>
            <w:r>
              <w:rPr>
                <w:rFonts w:hint="eastAsia" w:ascii="宋体" w:hAnsi="宋体" w:cs="宋体"/>
                <w:sz w:val="24"/>
              </w:rPr>
              <w:t>本项最多得5分。</w:t>
            </w:r>
          </w:p>
          <w:p>
            <w:pPr>
              <w:spacing w:line="240" w:lineRule="auto"/>
              <w:rPr>
                <w:rFonts w:hint="default" w:ascii="宋体" w:hAnsi="宋体" w:eastAsia="宋体" w:cs="宋体"/>
                <w:color w:val="auto"/>
                <w:sz w:val="24"/>
                <w:szCs w:val="24"/>
                <w:highlight w:val="none"/>
                <w:lang w:val="en-US" w:eastAsia="zh-CN"/>
              </w:rPr>
            </w:pPr>
            <w:r>
              <w:rPr>
                <w:rFonts w:hint="eastAsia" w:ascii="宋体" w:hAnsi="宋体" w:cs="宋体"/>
                <w:b w:val="0"/>
                <w:bCs/>
                <w:sz w:val="24"/>
              </w:rPr>
              <w:t>注：</w:t>
            </w:r>
            <w:r>
              <w:rPr>
                <w:rFonts w:hint="eastAsia" w:ascii="宋体" w:hAnsi="宋体" w:cs="宋体"/>
                <w:b w:val="0"/>
                <w:bCs/>
                <w:sz w:val="24"/>
                <w:lang w:eastAsia="zh-CN"/>
              </w:rPr>
              <w:t>须提供有效期内的证书原件清晰扫描件并加盖公章，否则不得分。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0" w:type="dxa"/>
            <w:gridSpan w:val="2"/>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sz w:val="24"/>
                <w:szCs w:val="24"/>
                <w:highlight w:val="none"/>
              </w:rPr>
            </w:pPr>
          </w:p>
        </w:tc>
        <w:tc>
          <w:tcPr>
            <w:tcW w:w="777" w:type="dxa"/>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kern w:val="2"/>
                <w:sz w:val="24"/>
                <w:szCs w:val="24"/>
                <w:highlight w:val="none"/>
                <w:lang w:eastAsia="zh-CN"/>
              </w:rPr>
            </w:pPr>
          </w:p>
        </w:tc>
        <w:tc>
          <w:tcPr>
            <w:tcW w:w="23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企业管理</w:t>
            </w:r>
          </w:p>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分）</w:t>
            </w:r>
          </w:p>
        </w:tc>
        <w:tc>
          <w:tcPr>
            <w:tcW w:w="5518"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rPr>
                <w:rFonts w:hint="eastAsia" w:ascii="宋体" w:hAnsi="宋体" w:cs="宋体"/>
                <w:sz w:val="24"/>
                <w:lang w:eastAsia="zh-CN"/>
              </w:rPr>
            </w:pPr>
            <w:r>
              <w:rPr>
                <w:rFonts w:hint="eastAsia" w:ascii="宋体" w:hAnsi="宋体" w:cs="宋体"/>
                <w:sz w:val="24"/>
                <w:lang w:val="en-US" w:eastAsia="zh-CN"/>
              </w:rPr>
              <w:t>1、</w:t>
            </w:r>
            <w:r>
              <w:rPr>
                <w:rFonts w:hint="eastAsia" w:ascii="宋体" w:hAnsi="宋体" w:cs="宋体"/>
                <w:sz w:val="24"/>
              </w:rPr>
              <w:t>投标人（如为联合体，本项可由联合体各方合计提供）2020年1月1日至今获得</w:t>
            </w:r>
            <w:r>
              <w:rPr>
                <w:rFonts w:hint="eastAsia" w:ascii="宋体" w:hAnsi="宋体" w:cs="宋体"/>
                <w:sz w:val="24"/>
                <w:lang w:eastAsia="zh-CN"/>
              </w:rPr>
              <w:t>：</w:t>
            </w:r>
            <w:r>
              <w:rPr>
                <w:rFonts w:hint="eastAsia" w:ascii="宋体" w:hAnsi="宋体" w:cs="宋体"/>
                <w:sz w:val="24"/>
                <w:lang w:eastAsia="zh-CN"/>
              </w:rPr>
              <w:br w:type="textWrapping"/>
            </w:r>
            <w:r>
              <w:rPr>
                <w:rFonts w:hint="default" w:ascii="宋体" w:hAnsi="宋体" w:cs="宋体"/>
                <w:sz w:val="24"/>
                <w:lang w:eastAsia="zh-CN"/>
              </w:rPr>
              <w:t>①</w:t>
            </w:r>
            <w:r>
              <w:rPr>
                <w:rFonts w:hint="eastAsia" w:ascii="宋体" w:hAnsi="宋体" w:cs="宋体"/>
                <w:sz w:val="24"/>
              </w:rPr>
              <w:t>国家级行业协会（学会）与检测/监测有关的科学技术</w:t>
            </w:r>
            <w:r>
              <w:rPr>
                <w:rFonts w:hint="eastAsia" w:ascii="宋体" w:hAnsi="宋体" w:cs="宋体"/>
                <w:sz w:val="24"/>
                <w:lang w:val="en-US" w:eastAsia="zh-CN"/>
              </w:rPr>
              <w:t>奖</w:t>
            </w:r>
            <w:r>
              <w:rPr>
                <w:rFonts w:hint="eastAsia" w:ascii="宋体" w:hAnsi="宋体" w:cs="宋体"/>
                <w:sz w:val="24"/>
              </w:rPr>
              <w:t>或科技进步奖或</w:t>
            </w:r>
            <w:r>
              <w:rPr>
                <w:rFonts w:hint="eastAsia" w:ascii="宋体" w:hAnsi="宋体" w:cs="宋体"/>
                <w:sz w:val="24"/>
                <w:lang w:val="en-US" w:eastAsia="zh-CN"/>
              </w:rPr>
              <w:t>优秀</w:t>
            </w:r>
            <w:r>
              <w:rPr>
                <w:rFonts w:hint="eastAsia" w:ascii="宋体" w:hAnsi="宋体" w:cs="宋体"/>
                <w:sz w:val="24"/>
              </w:rPr>
              <w:t>工程奖</w:t>
            </w:r>
            <w:r>
              <w:rPr>
                <w:rFonts w:hint="eastAsia" w:ascii="宋体" w:hAnsi="宋体" w:cs="宋体"/>
                <w:sz w:val="24"/>
                <w:lang w:val="en-US" w:eastAsia="zh-CN"/>
              </w:rPr>
              <w:t>等</w:t>
            </w:r>
            <w:r>
              <w:rPr>
                <w:rFonts w:hint="eastAsia" w:ascii="宋体" w:hAnsi="宋体" w:cs="宋体"/>
                <w:sz w:val="24"/>
              </w:rPr>
              <w:t>奖项，每个得</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lang w:eastAsia="zh-CN"/>
              </w:rPr>
              <w:t>；</w:t>
            </w:r>
          </w:p>
          <w:p>
            <w:pPr>
              <w:numPr>
                <w:ilvl w:val="0"/>
                <w:numId w:val="0"/>
              </w:numPr>
              <w:rPr>
                <w:rFonts w:hint="eastAsia" w:ascii="宋体" w:hAnsi="宋体" w:cs="宋体"/>
                <w:sz w:val="24"/>
                <w:lang w:eastAsia="zh-CN"/>
              </w:rPr>
            </w:pPr>
            <w:r>
              <w:rPr>
                <w:rFonts w:hint="default" w:ascii="宋体" w:hAnsi="宋体" w:cs="宋体"/>
                <w:sz w:val="24"/>
                <w:lang w:eastAsia="zh-CN"/>
              </w:rPr>
              <w:t>②</w:t>
            </w:r>
            <w:r>
              <w:rPr>
                <w:rFonts w:hint="eastAsia" w:ascii="宋体" w:hAnsi="宋体" w:cs="宋体"/>
                <w:sz w:val="24"/>
              </w:rPr>
              <w:t>获得省部级行业协会（学会）与检测/监测有关的科学技术</w:t>
            </w:r>
            <w:r>
              <w:rPr>
                <w:rFonts w:hint="eastAsia" w:ascii="宋体" w:hAnsi="宋体" w:cs="宋体"/>
                <w:sz w:val="24"/>
                <w:lang w:val="en-US" w:eastAsia="zh-CN"/>
              </w:rPr>
              <w:t>奖</w:t>
            </w:r>
            <w:r>
              <w:rPr>
                <w:rFonts w:hint="eastAsia" w:ascii="宋体" w:hAnsi="宋体" w:cs="宋体"/>
                <w:sz w:val="24"/>
              </w:rPr>
              <w:t>或科技进步奖或</w:t>
            </w:r>
            <w:r>
              <w:rPr>
                <w:rFonts w:hint="eastAsia" w:ascii="宋体" w:hAnsi="宋体" w:cs="宋体"/>
                <w:sz w:val="24"/>
                <w:lang w:val="en-US" w:eastAsia="zh-CN"/>
              </w:rPr>
              <w:t>优秀</w:t>
            </w:r>
            <w:r>
              <w:rPr>
                <w:rFonts w:hint="eastAsia" w:ascii="宋体" w:hAnsi="宋体" w:cs="宋体"/>
                <w:sz w:val="24"/>
              </w:rPr>
              <w:t>工程奖</w:t>
            </w:r>
            <w:r>
              <w:rPr>
                <w:rFonts w:hint="eastAsia" w:ascii="宋体" w:hAnsi="宋体" w:cs="宋体"/>
                <w:sz w:val="24"/>
                <w:lang w:val="en-US" w:eastAsia="zh-CN"/>
              </w:rPr>
              <w:t>等</w:t>
            </w:r>
            <w:r>
              <w:rPr>
                <w:rFonts w:hint="eastAsia" w:ascii="宋体" w:hAnsi="宋体" w:cs="宋体"/>
                <w:sz w:val="24"/>
              </w:rPr>
              <w:t>奖项，每个得</w:t>
            </w:r>
            <w:r>
              <w:rPr>
                <w:rFonts w:hint="eastAsia" w:ascii="宋体" w:hAnsi="宋体" w:cs="宋体"/>
                <w:sz w:val="24"/>
                <w:lang w:val="en-US" w:eastAsia="zh-CN"/>
              </w:rPr>
              <w:t>1</w:t>
            </w:r>
            <w:r>
              <w:rPr>
                <w:rFonts w:hint="eastAsia" w:ascii="宋体" w:hAnsi="宋体" w:cs="宋体"/>
                <w:sz w:val="24"/>
              </w:rPr>
              <w:t>分</w:t>
            </w:r>
            <w:r>
              <w:rPr>
                <w:rFonts w:hint="eastAsia" w:ascii="宋体" w:hAnsi="宋体" w:cs="宋体"/>
                <w:sz w:val="24"/>
                <w:lang w:eastAsia="zh-CN"/>
              </w:rPr>
              <w:t>；</w:t>
            </w:r>
          </w:p>
          <w:p>
            <w:pPr>
              <w:numPr>
                <w:ilvl w:val="0"/>
                <w:numId w:val="0"/>
              </w:numPr>
              <w:rPr>
                <w:rFonts w:hint="eastAsia" w:ascii="宋体" w:hAnsi="宋体" w:cs="宋体"/>
                <w:sz w:val="24"/>
              </w:rPr>
            </w:pPr>
            <w:r>
              <w:rPr>
                <w:rFonts w:hint="default" w:ascii="宋体" w:hAnsi="宋体" w:cs="宋体"/>
                <w:sz w:val="24"/>
              </w:rPr>
              <w:t>③</w:t>
            </w:r>
            <w:r>
              <w:rPr>
                <w:rFonts w:hint="eastAsia" w:ascii="宋体" w:hAnsi="宋体" w:cs="宋体"/>
                <w:sz w:val="24"/>
              </w:rPr>
              <w:t>获得市级行业协会（学会）与检测/监测有关的科学技术</w:t>
            </w:r>
            <w:r>
              <w:rPr>
                <w:rFonts w:hint="eastAsia" w:ascii="宋体" w:hAnsi="宋体" w:cs="宋体"/>
                <w:sz w:val="24"/>
                <w:lang w:val="en-US" w:eastAsia="zh-CN"/>
              </w:rPr>
              <w:t>奖</w:t>
            </w:r>
            <w:r>
              <w:rPr>
                <w:rFonts w:hint="eastAsia" w:ascii="宋体" w:hAnsi="宋体" w:cs="宋体"/>
                <w:sz w:val="24"/>
              </w:rPr>
              <w:t>或科技进步奖或</w:t>
            </w:r>
            <w:r>
              <w:rPr>
                <w:rFonts w:hint="eastAsia" w:ascii="宋体" w:hAnsi="宋体" w:cs="宋体"/>
                <w:sz w:val="24"/>
                <w:lang w:val="en-US" w:eastAsia="zh-CN"/>
              </w:rPr>
              <w:t>优秀</w:t>
            </w:r>
            <w:r>
              <w:rPr>
                <w:rFonts w:hint="eastAsia" w:ascii="宋体" w:hAnsi="宋体" w:cs="宋体"/>
                <w:sz w:val="24"/>
              </w:rPr>
              <w:t>工程奖</w:t>
            </w:r>
            <w:r>
              <w:rPr>
                <w:rFonts w:hint="eastAsia" w:ascii="宋体" w:hAnsi="宋体" w:cs="宋体"/>
                <w:sz w:val="24"/>
                <w:lang w:val="en-US" w:eastAsia="zh-CN"/>
              </w:rPr>
              <w:t>等</w:t>
            </w:r>
            <w:r>
              <w:rPr>
                <w:rFonts w:hint="eastAsia" w:ascii="宋体" w:hAnsi="宋体" w:cs="宋体"/>
                <w:sz w:val="24"/>
              </w:rPr>
              <w:t>奖项，每个得</w:t>
            </w:r>
            <w:r>
              <w:rPr>
                <w:rFonts w:hint="eastAsia" w:ascii="宋体" w:hAnsi="宋体" w:cs="宋体"/>
                <w:sz w:val="24"/>
                <w:lang w:val="en-US" w:eastAsia="zh-CN"/>
              </w:rPr>
              <w:t>0.5</w:t>
            </w:r>
            <w:r>
              <w:rPr>
                <w:rFonts w:hint="eastAsia" w:ascii="宋体" w:hAnsi="宋体" w:cs="宋体"/>
                <w:sz w:val="24"/>
              </w:rPr>
              <w:t>分；</w:t>
            </w:r>
          </w:p>
          <w:p>
            <w:pPr>
              <w:numPr>
                <w:ilvl w:val="0"/>
                <w:numId w:val="0"/>
              </w:numPr>
              <w:rPr>
                <w:rFonts w:hint="eastAsia" w:ascii="宋体" w:hAnsi="宋体" w:cs="宋体"/>
                <w:sz w:val="24"/>
              </w:rPr>
            </w:pPr>
            <w:r>
              <w:rPr>
                <w:rFonts w:hint="eastAsia" w:ascii="宋体" w:hAnsi="宋体" w:cs="宋体"/>
                <w:sz w:val="24"/>
                <w:lang w:val="en-US" w:eastAsia="zh-CN"/>
              </w:rPr>
              <w:t>同一项目获得奖项按最高分计</w:t>
            </w:r>
            <w:r>
              <w:rPr>
                <w:rFonts w:hint="eastAsia" w:ascii="宋体" w:hAnsi="宋体" w:cs="宋体"/>
                <w:sz w:val="24"/>
              </w:rPr>
              <w:t>，不</w:t>
            </w:r>
            <w:r>
              <w:rPr>
                <w:rFonts w:hint="eastAsia" w:ascii="宋体" w:hAnsi="宋体" w:cs="宋体"/>
                <w:sz w:val="24"/>
                <w:lang w:val="en-US" w:eastAsia="zh-CN"/>
              </w:rPr>
              <w:t>可</w:t>
            </w:r>
            <w:r>
              <w:rPr>
                <w:rFonts w:hint="eastAsia" w:ascii="宋体" w:hAnsi="宋体" w:cs="宋体"/>
                <w:sz w:val="24"/>
              </w:rPr>
              <w:t>重复得分，</w:t>
            </w:r>
            <w:r>
              <w:rPr>
                <w:rFonts w:hint="eastAsia" w:ascii="宋体" w:hAnsi="宋体" w:cs="宋体"/>
                <w:sz w:val="24"/>
                <w:lang w:val="en-US" w:eastAsia="zh-CN"/>
              </w:rPr>
              <w:t>本小项</w:t>
            </w:r>
            <w:r>
              <w:rPr>
                <w:rFonts w:hint="eastAsia" w:ascii="宋体" w:hAnsi="宋体" w:cs="宋体"/>
                <w:sz w:val="24"/>
              </w:rPr>
              <w:t>最多</w:t>
            </w:r>
            <w:r>
              <w:rPr>
                <w:rFonts w:hint="eastAsia" w:ascii="宋体" w:hAnsi="宋体" w:cs="宋体"/>
                <w:sz w:val="24"/>
                <w:lang w:val="en-US" w:eastAsia="zh-CN"/>
              </w:rPr>
              <w:t>得</w:t>
            </w:r>
            <w:r>
              <w:rPr>
                <w:rFonts w:hint="eastAsia" w:ascii="宋体" w:hAnsi="宋体" w:cs="宋体"/>
                <w:sz w:val="24"/>
              </w:rPr>
              <w:t>8分；</w:t>
            </w:r>
          </w:p>
          <w:p>
            <w:pPr>
              <w:numPr>
                <w:ilvl w:val="0"/>
                <w:numId w:val="0"/>
              </w:numPr>
              <w:rPr>
                <w:rFonts w:hint="eastAsia" w:ascii="宋体" w:hAnsi="宋体" w:cs="宋体"/>
                <w:color w:val="auto"/>
                <w:sz w:val="24"/>
                <w:szCs w:val="24"/>
                <w:highlight w:val="none"/>
                <w:lang w:val="en-US" w:eastAsia="zh-CN"/>
              </w:rPr>
            </w:pPr>
            <w:r>
              <w:rPr>
                <w:rFonts w:hint="eastAsia" w:ascii="宋体" w:hAnsi="宋体" w:cs="宋体"/>
                <w:sz w:val="24"/>
                <w:lang w:val="en-US" w:eastAsia="zh-CN"/>
              </w:rPr>
              <w:t>注：</w:t>
            </w:r>
            <w:r>
              <w:rPr>
                <w:rFonts w:hint="eastAsia" w:ascii="宋体" w:hAnsi="宋体" w:cs="宋体"/>
                <w:sz w:val="24"/>
              </w:rPr>
              <w:t>须提供相关证明材料的原件清晰扫描件</w:t>
            </w:r>
            <w:r>
              <w:rPr>
                <w:rFonts w:hint="eastAsia" w:ascii="宋体" w:hAnsi="宋体" w:cs="宋体"/>
                <w:sz w:val="24"/>
                <w:lang w:eastAsia="zh-CN"/>
              </w:rPr>
              <w:t>，</w:t>
            </w:r>
            <w:r>
              <w:rPr>
                <w:rFonts w:hint="eastAsia" w:ascii="宋体" w:hAnsi="宋体" w:cs="宋体"/>
                <w:sz w:val="24"/>
              </w:rPr>
              <w:t>并加盖公章，否则不得分。</w:t>
            </w:r>
          </w:p>
          <w:p>
            <w:pPr>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根据投标人</w:t>
            </w:r>
            <w:r>
              <w:rPr>
                <w:rFonts w:hint="eastAsia" w:ascii="宋体" w:hAnsi="宋体" w:cs="宋体"/>
                <w:sz w:val="24"/>
              </w:rPr>
              <w:t>（如为联合体，指联合体</w:t>
            </w:r>
            <w:r>
              <w:rPr>
                <w:rFonts w:hint="eastAsia" w:ascii="宋体" w:hAnsi="宋体" w:cs="宋体"/>
                <w:sz w:val="24"/>
                <w:lang w:val="en-US" w:eastAsia="zh-CN"/>
              </w:rPr>
              <w:t>牵头人</w:t>
            </w:r>
            <w:r>
              <w:rPr>
                <w:rFonts w:hint="eastAsia" w:ascii="宋体" w:hAnsi="宋体" w:cs="宋体"/>
                <w:sz w:val="24"/>
              </w:rPr>
              <w:t>）</w:t>
            </w:r>
            <w:r>
              <w:rPr>
                <w:rFonts w:hint="eastAsia" w:ascii="宋体" w:hAnsi="宋体" w:eastAsia="宋体" w:cs="宋体"/>
                <w:color w:val="auto"/>
                <w:sz w:val="24"/>
                <w:szCs w:val="24"/>
                <w:highlight w:val="none"/>
              </w:rPr>
              <w:t>获得有效期内的</w:t>
            </w:r>
            <w:r>
              <w:rPr>
                <w:rFonts w:hint="eastAsia" w:ascii="宋体" w:hAnsi="宋体" w:cs="宋体"/>
                <w:sz w:val="24"/>
              </w:rPr>
              <w:t>质量管理体系认证、环境管理体系认证、职业健康安全管理体系认证、诚信管理体系认证、测量管理体系认证</w:t>
            </w:r>
            <w:r>
              <w:rPr>
                <w:rFonts w:hint="eastAsia" w:ascii="宋体" w:hAnsi="宋体" w:eastAsia="宋体" w:cs="宋体"/>
                <w:color w:val="auto"/>
                <w:sz w:val="24"/>
                <w:szCs w:val="24"/>
                <w:highlight w:val="none"/>
              </w:rPr>
              <w:t>证书进行评审：</w:t>
            </w:r>
          </w:p>
          <w:p>
            <w:pPr>
              <w:spacing w:line="240" w:lineRule="auto"/>
              <w:rPr>
                <w:rFonts w:hint="default" w:ascii="宋体" w:hAnsi="宋体" w:cs="宋体"/>
                <w:color w:val="auto"/>
                <w:sz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cs="宋体"/>
                <w:color w:val="auto"/>
                <w:sz w:val="24"/>
                <w:szCs w:val="24"/>
                <w:highlight w:val="none"/>
                <w:lang w:val="en-US" w:eastAsia="zh-CN"/>
              </w:rPr>
              <w:t>获得5项体系认证证书</w:t>
            </w:r>
            <w:r>
              <w:rPr>
                <w:rFonts w:hint="eastAsia" w:ascii="宋体" w:hAnsi="宋体" w:cs="宋体"/>
                <w:color w:val="auto"/>
                <w:sz w:val="24"/>
                <w:highlight w:val="none"/>
                <w:lang w:val="en-US" w:eastAsia="zh-CN"/>
              </w:rPr>
              <w:t>，得7分；</w:t>
            </w:r>
          </w:p>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②</w:t>
            </w:r>
            <w:r>
              <w:rPr>
                <w:rFonts w:hint="eastAsia" w:ascii="宋体" w:hAnsi="宋体" w:cs="宋体"/>
                <w:color w:val="auto"/>
                <w:sz w:val="24"/>
                <w:szCs w:val="24"/>
                <w:highlight w:val="none"/>
                <w:lang w:val="en-US" w:eastAsia="zh-CN"/>
              </w:rPr>
              <w:t>获得4项体系认证证书</w:t>
            </w:r>
            <w:r>
              <w:rPr>
                <w:rFonts w:hint="eastAsia" w:ascii="宋体" w:hAnsi="宋体" w:cs="宋体"/>
                <w:color w:val="auto"/>
                <w:sz w:val="24"/>
                <w:highlight w:val="none"/>
              </w:rPr>
              <w:t>，得4分</w:t>
            </w:r>
            <w:r>
              <w:rPr>
                <w:rFonts w:hint="eastAsia" w:ascii="宋体" w:hAnsi="宋体" w:cs="宋体"/>
                <w:color w:val="auto"/>
                <w:sz w:val="24"/>
                <w:highlight w:val="none"/>
                <w:lang w:eastAsia="zh-CN"/>
              </w:rPr>
              <w:t>；</w:t>
            </w:r>
          </w:p>
          <w:p>
            <w:pPr>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③</w:t>
            </w:r>
            <w:r>
              <w:rPr>
                <w:rFonts w:hint="eastAsia" w:ascii="宋体" w:hAnsi="宋体" w:cs="宋体"/>
                <w:color w:val="auto"/>
                <w:sz w:val="24"/>
                <w:szCs w:val="24"/>
                <w:highlight w:val="none"/>
                <w:lang w:val="en-US" w:eastAsia="zh-CN"/>
              </w:rPr>
              <w:t>获得3项体系认证证书</w:t>
            </w:r>
            <w:r>
              <w:rPr>
                <w:rFonts w:hint="eastAsia" w:ascii="宋体" w:hAnsi="宋体" w:eastAsia="宋体" w:cs="宋体"/>
                <w:color w:val="auto"/>
                <w:sz w:val="24"/>
                <w:szCs w:val="24"/>
                <w:highlight w:val="none"/>
              </w:rPr>
              <w:t>，得1分</w:t>
            </w:r>
            <w:r>
              <w:rPr>
                <w:rFonts w:hint="eastAsia" w:ascii="宋体" w:hAnsi="宋体" w:cs="宋体"/>
                <w:color w:val="auto"/>
                <w:sz w:val="24"/>
                <w:szCs w:val="24"/>
                <w:highlight w:val="none"/>
                <w:lang w:eastAsia="zh-CN"/>
              </w:rPr>
              <w:t>。</w:t>
            </w:r>
          </w:p>
          <w:p>
            <w:pPr>
              <w:spacing w:line="24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其余情况不得分，本小项</w:t>
            </w:r>
            <w:r>
              <w:rPr>
                <w:rFonts w:hint="eastAsia" w:ascii="宋体" w:hAnsi="宋体" w:eastAsia="宋体" w:cs="宋体"/>
                <w:color w:val="auto"/>
                <w:sz w:val="24"/>
                <w:szCs w:val="24"/>
                <w:highlight w:val="none"/>
              </w:rPr>
              <w:t>最多得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spacing w:line="240" w:lineRule="auto"/>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rPr>
              <w:t>提供认证证书</w:t>
            </w:r>
            <w:r>
              <w:rPr>
                <w:rFonts w:hint="eastAsia" w:ascii="宋体" w:hAnsi="宋体" w:cs="宋体"/>
                <w:color w:val="auto"/>
                <w:sz w:val="24"/>
                <w:szCs w:val="24"/>
                <w:highlight w:val="none"/>
                <w:lang w:val="en-US" w:eastAsia="zh-CN"/>
              </w:rPr>
              <w:t>扫描件</w:t>
            </w:r>
            <w:r>
              <w:rPr>
                <w:rFonts w:hint="eastAsia" w:ascii="宋体" w:hAnsi="宋体" w:cs="宋体"/>
                <w:color w:val="auto"/>
                <w:sz w:val="24"/>
                <w:highlight w:val="none"/>
              </w:rPr>
              <w:t>及在全国认证认可信息公共服务平台（http://cx.cnca.cn/）查询截图打印页</w:t>
            </w:r>
            <w:r>
              <w:rPr>
                <w:rFonts w:hint="eastAsia" w:ascii="宋体" w:hAnsi="宋体" w:eastAsia="宋体" w:cs="宋体"/>
                <w:color w:val="auto"/>
                <w:sz w:val="24"/>
                <w:szCs w:val="24"/>
                <w:highlight w:val="none"/>
              </w:rPr>
              <w:t>并加盖公章</w:t>
            </w:r>
            <w:r>
              <w:rPr>
                <w:rFonts w:hint="eastAsia" w:ascii="宋体" w:hAnsi="宋体" w:cs="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0" w:type="dxa"/>
            <w:gridSpan w:val="2"/>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sz w:val="24"/>
                <w:szCs w:val="24"/>
                <w:highlight w:val="none"/>
              </w:rPr>
            </w:pPr>
          </w:p>
        </w:tc>
        <w:tc>
          <w:tcPr>
            <w:tcW w:w="777" w:type="dxa"/>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kern w:val="2"/>
                <w:sz w:val="24"/>
                <w:szCs w:val="24"/>
                <w:highlight w:val="none"/>
                <w:lang w:eastAsia="zh-CN"/>
              </w:rPr>
            </w:pPr>
          </w:p>
        </w:tc>
        <w:tc>
          <w:tcPr>
            <w:tcW w:w="2331" w:type="dxa"/>
            <w:vMerge w:val="restart"/>
            <w:tcBorders>
              <w:top w:val="single" w:color="auto" w:sz="4" w:space="0"/>
              <w:left w:val="single" w:color="auto" w:sz="4" w:space="0"/>
              <w:right w:val="single" w:color="auto" w:sz="4" w:space="0"/>
            </w:tcBorders>
            <w:noWrap w:val="0"/>
            <w:vAlign w:val="center"/>
          </w:tcPr>
          <w:p>
            <w:pPr>
              <w:tabs>
                <w:tab w:val="left" w:pos="425"/>
              </w:tabs>
              <w:adjustRightInd w:val="0"/>
              <w:snapToGrid w:val="0"/>
              <w:spacing w:line="240" w:lineRule="auto"/>
              <w:ind w:hanging="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拟投入本项目人员的技术水平</w:t>
            </w:r>
          </w:p>
          <w:p>
            <w:pPr>
              <w:adjustRightInd w:val="0"/>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c>
          <w:tcPr>
            <w:tcW w:w="551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r>
              <w:rPr>
                <w:rFonts w:hint="eastAsia" w:ascii="宋体" w:hAnsi="宋体" w:cs="宋体"/>
                <w:sz w:val="24"/>
              </w:rPr>
              <w:t>项目负责人</w:t>
            </w:r>
            <w:r>
              <w:rPr>
                <w:rFonts w:hint="eastAsia" w:ascii="宋体" w:hAnsi="宋体" w:cs="宋体"/>
                <w:sz w:val="24"/>
                <w:lang w:eastAsia="zh-CN"/>
              </w:rPr>
              <w:t>（</w:t>
            </w:r>
            <w:r>
              <w:rPr>
                <w:rFonts w:hint="eastAsia" w:ascii="宋体" w:hAnsi="宋体" w:cs="宋体"/>
                <w:sz w:val="24"/>
              </w:rPr>
              <w:t>若为联合体投标，由联合体牵头人委派）：</w:t>
            </w:r>
          </w:p>
          <w:p>
            <w:pPr>
              <w:rPr>
                <w:rFonts w:hint="eastAsia" w:ascii="宋体" w:hAnsi="宋体" w:eastAsia="宋体" w:cs="宋体"/>
                <w:sz w:val="24"/>
                <w:lang w:eastAsia="zh-CN"/>
              </w:rPr>
            </w:pPr>
            <w:r>
              <w:rPr>
                <w:rFonts w:hint="eastAsia" w:ascii="宋体" w:hAnsi="宋体" w:cs="宋体"/>
                <w:sz w:val="24"/>
              </w:rPr>
              <w:t>1、具有注册土木工程师（岩土）执业资格证书得</w:t>
            </w:r>
            <w:r>
              <w:rPr>
                <w:rFonts w:ascii="宋体" w:hAnsi="宋体" w:cs="宋体"/>
                <w:sz w:val="24"/>
              </w:rPr>
              <w:t>5</w:t>
            </w:r>
            <w:r>
              <w:rPr>
                <w:rFonts w:hint="eastAsia" w:ascii="宋体" w:hAnsi="宋体" w:cs="宋体"/>
                <w:sz w:val="24"/>
              </w:rPr>
              <w:t>分</w:t>
            </w:r>
            <w:r>
              <w:rPr>
                <w:rFonts w:hint="eastAsia" w:ascii="宋体" w:hAnsi="宋体" w:cs="宋体"/>
                <w:sz w:val="24"/>
                <w:lang w:eastAsia="zh-CN"/>
              </w:rPr>
              <w:t>；</w:t>
            </w:r>
          </w:p>
          <w:p>
            <w:pPr>
              <w:rPr>
                <w:rFonts w:hint="eastAsia" w:ascii="宋体" w:hAnsi="宋体" w:eastAsia="宋体" w:cs="宋体"/>
                <w:sz w:val="24"/>
                <w:lang w:eastAsia="zh-CN"/>
              </w:rPr>
            </w:pPr>
            <w:r>
              <w:rPr>
                <w:rFonts w:hint="eastAsia" w:ascii="宋体" w:hAnsi="宋体" w:cs="宋体"/>
                <w:sz w:val="24"/>
              </w:rPr>
              <w:t>2、具有一级注册结构工程师执业资格证书得</w:t>
            </w:r>
            <w:r>
              <w:rPr>
                <w:rFonts w:ascii="宋体" w:hAnsi="宋体" w:cs="宋体"/>
                <w:sz w:val="24"/>
              </w:rPr>
              <w:t>5</w:t>
            </w:r>
            <w:r>
              <w:rPr>
                <w:rFonts w:hint="eastAsia" w:ascii="宋体" w:hAnsi="宋体" w:cs="宋体"/>
                <w:sz w:val="24"/>
              </w:rPr>
              <w:t>分</w:t>
            </w:r>
            <w:r>
              <w:rPr>
                <w:rFonts w:hint="eastAsia" w:ascii="宋体" w:hAnsi="宋体" w:cs="宋体"/>
                <w:sz w:val="24"/>
                <w:lang w:eastAsia="zh-CN"/>
              </w:rPr>
              <w:t>；</w:t>
            </w:r>
          </w:p>
          <w:p>
            <w:pPr>
              <w:rPr>
                <w:rFonts w:ascii="宋体" w:hAnsi="宋体" w:cs="宋体"/>
                <w:sz w:val="24"/>
              </w:rPr>
            </w:pPr>
            <w:r>
              <w:rPr>
                <w:rFonts w:hint="eastAsia" w:ascii="宋体" w:hAnsi="宋体" w:cs="宋体"/>
                <w:sz w:val="24"/>
              </w:rPr>
              <w:t>3</w:t>
            </w:r>
            <w:r>
              <w:rPr>
                <w:rFonts w:ascii="宋体" w:hAnsi="宋体" w:cs="宋体"/>
                <w:sz w:val="24"/>
              </w:rPr>
              <w:t>、具有</w:t>
            </w:r>
            <w:r>
              <w:rPr>
                <w:rFonts w:hint="eastAsia" w:ascii="宋体" w:hAnsi="宋体" w:cs="宋体"/>
                <w:sz w:val="24"/>
              </w:rPr>
              <w:t>省建设工程质量安全检测和鉴定协会颁发的</w:t>
            </w:r>
            <w:r>
              <w:rPr>
                <w:rFonts w:hint="eastAsia" w:ascii="宋体" w:hAnsi="宋体" w:cs="宋体"/>
                <w:sz w:val="24"/>
                <w:highlight w:val="none"/>
              </w:rPr>
              <w:t>地基与基桩承载力检测（静载荷试验）、桩身完整性检测（钻孔取芯</w:t>
            </w:r>
            <w:r>
              <w:rPr>
                <w:rFonts w:ascii="宋体" w:hAnsi="宋体" w:cs="宋体"/>
                <w:sz w:val="24"/>
                <w:highlight w:val="none"/>
              </w:rPr>
              <w:t>[</w:t>
            </w:r>
            <w:r>
              <w:rPr>
                <w:rFonts w:hint="eastAsia" w:ascii="宋体" w:hAnsi="宋体" w:cs="宋体"/>
                <w:sz w:val="24"/>
                <w:highlight w:val="none"/>
              </w:rPr>
              <w:t>编审</w:t>
            </w:r>
            <w:r>
              <w:rPr>
                <w:rFonts w:ascii="宋体" w:hAnsi="宋体" w:cs="宋体"/>
                <w:sz w:val="24"/>
                <w:highlight w:val="none"/>
              </w:rPr>
              <w:t>]</w:t>
            </w:r>
            <w:r>
              <w:rPr>
                <w:rFonts w:hint="eastAsia" w:ascii="宋体" w:hAnsi="宋体" w:cs="宋体"/>
                <w:sz w:val="24"/>
                <w:highlight w:val="none"/>
              </w:rPr>
              <w:t>）、桩身完整性检测（低应变）、岩土工程室内试验、混凝土结构实体检测、混凝土构件结构性能、砌体结构检测、常用非金属材料检测、常用金属材料检测、</w:t>
            </w:r>
            <w:r>
              <w:rPr>
                <w:rFonts w:hint="eastAsia" w:ascii="宋体" w:hAnsi="宋体" w:cs="宋体"/>
                <w:sz w:val="24"/>
                <w:highlight w:val="none"/>
                <w:lang w:val="en-US" w:eastAsia="zh-CN"/>
              </w:rPr>
              <w:t>建筑变形测量、基坑监测、</w:t>
            </w:r>
            <w:r>
              <w:rPr>
                <w:rFonts w:hint="eastAsia" w:ascii="宋体" w:hAnsi="宋体" w:cs="宋体"/>
                <w:sz w:val="24"/>
                <w:highlight w:val="none"/>
              </w:rPr>
              <w:t>城镇排水管道检测员</w:t>
            </w:r>
            <w:r>
              <w:rPr>
                <w:rFonts w:hint="eastAsia" w:ascii="宋体" w:hAnsi="宋体" w:cs="宋体"/>
                <w:sz w:val="24"/>
                <w:lang w:val="en-US" w:eastAsia="zh-CN"/>
              </w:rPr>
              <w:t>等任意一项</w:t>
            </w:r>
            <w:r>
              <w:rPr>
                <w:rFonts w:hint="eastAsia" w:ascii="宋体" w:hAnsi="宋体" w:cs="宋体"/>
                <w:sz w:val="24"/>
              </w:rPr>
              <w:t>检测员证</w:t>
            </w:r>
            <w:r>
              <w:rPr>
                <w:rFonts w:hint="eastAsia" w:ascii="宋体" w:hAnsi="宋体" w:cs="宋体"/>
                <w:sz w:val="24"/>
                <w:lang w:val="en-US" w:eastAsia="zh-CN"/>
              </w:rPr>
              <w:t>或</w:t>
            </w:r>
            <w:r>
              <w:rPr>
                <w:rFonts w:hint="eastAsia" w:ascii="宋体" w:hAnsi="宋体" w:cs="宋体"/>
                <w:sz w:val="24"/>
              </w:rPr>
              <w:t>检测鉴定培训合格证的</w:t>
            </w:r>
            <w:r>
              <w:rPr>
                <w:rFonts w:hint="eastAsia" w:ascii="宋体" w:hAnsi="宋体" w:cs="宋体"/>
                <w:sz w:val="24"/>
                <w:lang w:eastAsia="zh-CN"/>
              </w:rPr>
              <w:t>，</w:t>
            </w:r>
            <w:r>
              <w:rPr>
                <w:rFonts w:hint="eastAsia" w:ascii="宋体" w:hAnsi="宋体" w:cs="宋体"/>
                <w:sz w:val="24"/>
                <w:lang w:val="en-US" w:eastAsia="zh-CN"/>
              </w:rPr>
              <w:t>每增加一项</w:t>
            </w:r>
            <w:r>
              <w:rPr>
                <w:rFonts w:hint="eastAsia" w:ascii="宋体" w:hAnsi="宋体" w:cs="宋体"/>
                <w:sz w:val="24"/>
              </w:rPr>
              <w:t>得</w:t>
            </w:r>
            <w:r>
              <w:rPr>
                <w:rFonts w:ascii="宋体" w:hAnsi="宋体" w:cs="宋体"/>
                <w:sz w:val="24"/>
              </w:rPr>
              <w:t>0.5</w:t>
            </w:r>
            <w:r>
              <w:rPr>
                <w:rFonts w:hint="eastAsia" w:ascii="宋体" w:hAnsi="宋体" w:cs="宋体"/>
                <w:sz w:val="24"/>
              </w:rPr>
              <w:t>分；此项最高得5分。</w:t>
            </w:r>
          </w:p>
          <w:p>
            <w:pPr>
              <w:spacing w:line="240" w:lineRule="auto"/>
              <w:rPr>
                <w:rFonts w:hint="eastAsia" w:ascii="宋体" w:hAnsi="宋体" w:eastAsia="宋体" w:cs="宋体"/>
                <w:color w:val="auto"/>
                <w:sz w:val="24"/>
                <w:szCs w:val="24"/>
                <w:highlight w:val="none"/>
              </w:rPr>
            </w:pPr>
            <w:r>
              <w:rPr>
                <w:rFonts w:hint="eastAsia" w:ascii="宋体" w:hAnsi="宋体" w:cs="宋体"/>
                <w:sz w:val="24"/>
              </w:rPr>
              <w:t>上述三项合计最高得1</w:t>
            </w:r>
            <w:r>
              <w:rPr>
                <w:rFonts w:ascii="宋体" w:hAnsi="宋体" w:cs="宋体"/>
                <w:sz w:val="24"/>
              </w:rPr>
              <w:t>5</w:t>
            </w:r>
            <w:r>
              <w:rPr>
                <w:rFonts w:hint="eastAsia" w:ascii="宋体" w:hAnsi="宋体" w:cs="宋体"/>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1" w:hRule="atLeast"/>
          <w:jc w:val="center"/>
        </w:trPr>
        <w:tc>
          <w:tcPr>
            <w:tcW w:w="760" w:type="dxa"/>
            <w:gridSpan w:val="2"/>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sz w:val="24"/>
                <w:szCs w:val="24"/>
                <w:highlight w:val="none"/>
              </w:rPr>
            </w:pPr>
          </w:p>
        </w:tc>
        <w:tc>
          <w:tcPr>
            <w:tcW w:w="777" w:type="dxa"/>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kern w:val="2"/>
                <w:sz w:val="24"/>
                <w:szCs w:val="24"/>
                <w:highlight w:val="none"/>
                <w:lang w:eastAsia="zh-CN"/>
              </w:rPr>
            </w:pPr>
          </w:p>
        </w:tc>
        <w:tc>
          <w:tcPr>
            <w:tcW w:w="2331" w:type="dxa"/>
            <w:vMerge w:val="continue"/>
            <w:tcBorders>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p>
        </w:tc>
        <w:tc>
          <w:tcPr>
            <w:tcW w:w="551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sz w:val="24"/>
              </w:rPr>
            </w:pPr>
            <w:r>
              <w:rPr>
                <w:rFonts w:hint="eastAsia" w:ascii="宋体" w:hAnsi="宋体" w:cs="宋体"/>
                <w:sz w:val="24"/>
              </w:rPr>
              <w:t>技术负责人</w:t>
            </w:r>
            <w:r>
              <w:rPr>
                <w:rFonts w:hint="eastAsia" w:ascii="宋体" w:hAnsi="宋体" w:cs="宋体"/>
                <w:sz w:val="24"/>
                <w:lang w:eastAsia="zh-CN"/>
              </w:rPr>
              <w:t>（</w:t>
            </w:r>
            <w:r>
              <w:rPr>
                <w:rFonts w:hint="eastAsia" w:ascii="宋体" w:hAnsi="宋体" w:cs="宋体"/>
                <w:b/>
                <w:bCs w:val="0"/>
                <w:color w:val="auto"/>
                <w:sz w:val="24"/>
                <w:highlight w:val="none"/>
              </w:rPr>
              <w:t>若为联合体投标，由联合体牵头人委派</w:t>
            </w:r>
            <w:r>
              <w:rPr>
                <w:rFonts w:hint="eastAsia" w:ascii="宋体" w:hAnsi="宋体" w:cs="宋体"/>
                <w:sz w:val="24"/>
              </w:rPr>
              <w:t>）：</w:t>
            </w:r>
          </w:p>
          <w:p>
            <w:pPr>
              <w:rPr>
                <w:rFonts w:ascii="宋体" w:hAnsi="宋体" w:cs="宋体"/>
                <w:sz w:val="24"/>
              </w:rPr>
            </w:pPr>
            <w:r>
              <w:rPr>
                <w:rFonts w:hint="eastAsia" w:ascii="宋体" w:hAnsi="宋体" w:cs="宋体"/>
                <w:sz w:val="24"/>
              </w:rPr>
              <w:t>1、具有注册土木工程师（岩土）执业资格证书得</w:t>
            </w:r>
            <w:r>
              <w:rPr>
                <w:rFonts w:ascii="宋体" w:hAnsi="宋体" w:cs="宋体"/>
                <w:sz w:val="24"/>
              </w:rPr>
              <w:t>5</w:t>
            </w:r>
            <w:r>
              <w:rPr>
                <w:rFonts w:hint="eastAsia" w:ascii="宋体" w:hAnsi="宋体" w:cs="宋体"/>
                <w:sz w:val="24"/>
              </w:rPr>
              <w:t>分。</w:t>
            </w:r>
          </w:p>
          <w:p>
            <w:pPr>
              <w:rPr>
                <w:rFonts w:ascii="宋体" w:hAnsi="宋体" w:cs="宋体"/>
                <w:sz w:val="24"/>
              </w:rPr>
            </w:pPr>
            <w:r>
              <w:rPr>
                <w:rFonts w:hint="eastAsia" w:ascii="宋体" w:hAnsi="宋体" w:cs="宋体"/>
                <w:sz w:val="24"/>
              </w:rPr>
              <w:t>2、具有一级注册结构工程师执业资格证书得</w:t>
            </w:r>
            <w:r>
              <w:rPr>
                <w:rFonts w:ascii="宋体" w:hAnsi="宋体" w:cs="宋体"/>
                <w:sz w:val="24"/>
              </w:rPr>
              <w:t>5</w:t>
            </w:r>
            <w:r>
              <w:rPr>
                <w:rFonts w:hint="eastAsia" w:ascii="宋体" w:hAnsi="宋体" w:cs="宋体"/>
                <w:sz w:val="24"/>
              </w:rPr>
              <w:t>分。</w:t>
            </w:r>
          </w:p>
          <w:p>
            <w:pPr>
              <w:rPr>
                <w:rFonts w:ascii="宋体" w:hAnsi="宋体" w:cs="宋体"/>
                <w:sz w:val="24"/>
              </w:rPr>
            </w:pPr>
            <w:r>
              <w:rPr>
                <w:rFonts w:hint="eastAsia" w:ascii="宋体" w:hAnsi="宋体" w:cs="宋体"/>
                <w:sz w:val="24"/>
              </w:rPr>
              <w:t>3、</w:t>
            </w:r>
            <w:r>
              <w:rPr>
                <w:rFonts w:ascii="宋体" w:hAnsi="宋体" w:cs="宋体"/>
                <w:sz w:val="24"/>
              </w:rPr>
              <w:t>具有</w:t>
            </w:r>
            <w:r>
              <w:rPr>
                <w:rFonts w:hint="eastAsia" w:ascii="宋体" w:hAnsi="宋体" w:cs="宋体"/>
                <w:sz w:val="24"/>
              </w:rPr>
              <w:t>省建设工程质量安全检测和鉴定协会颁发的地基与基桩承载力检测（静载荷试验）、桩身完整性检测（钻孔取芯</w:t>
            </w:r>
            <w:r>
              <w:rPr>
                <w:rFonts w:ascii="宋体" w:hAnsi="宋体" w:cs="宋体"/>
                <w:sz w:val="24"/>
              </w:rPr>
              <w:t>[</w:t>
            </w:r>
            <w:r>
              <w:rPr>
                <w:rFonts w:hint="eastAsia" w:ascii="宋体" w:hAnsi="宋体" w:cs="宋体"/>
                <w:sz w:val="24"/>
              </w:rPr>
              <w:t>编审</w:t>
            </w:r>
            <w:r>
              <w:rPr>
                <w:rFonts w:ascii="宋体" w:hAnsi="宋体" w:cs="宋体"/>
                <w:sz w:val="24"/>
              </w:rPr>
              <w:t>]</w:t>
            </w:r>
            <w:r>
              <w:rPr>
                <w:rFonts w:hint="eastAsia" w:ascii="宋体" w:hAnsi="宋体" w:cs="宋体"/>
                <w:sz w:val="24"/>
              </w:rPr>
              <w:t>）、桩身完整性检测（低应变）、岩土工程室内试验、混凝土结构实体检测、混凝土构件结构性能、砌体结构检测、常用非金属材料检测、常用金属材料检测、</w:t>
            </w:r>
            <w:r>
              <w:rPr>
                <w:rFonts w:hint="eastAsia" w:ascii="宋体" w:hAnsi="宋体" w:cs="宋体"/>
                <w:sz w:val="24"/>
                <w:lang w:val="en-US" w:eastAsia="zh-CN"/>
              </w:rPr>
              <w:t>建筑变形测量、基坑监测、</w:t>
            </w:r>
            <w:r>
              <w:rPr>
                <w:rFonts w:hint="eastAsia" w:ascii="宋体" w:hAnsi="宋体" w:cs="宋体"/>
                <w:sz w:val="24"/>
              </w:rPr>
              <w:t>城镇排水管道检测员</w:t>
            </w:r>
            <w:r>
              <w:rPr>
                <w:rFonts w:hint="eastAsia" w:ascii="宋体" w:hAnsi="宋体" w:cs="宋体"/>
                <w:sz w:val="24"/>
                <w:lang w:val="en-US" w:eastAsia="zh-CN"/>
              </w:rPr>
              <w:t>等任意一项</w:t>
            </w:r>
            <w:r>
              <w:rPr>
                <w:rFonts w:hint="eastAsia" w:ascii="宋体" w:hAnsi="宋体" w:cs="宋体"/>
                <w:sz w:val="24"/>
              </w:rPr>
              <w:t>检测员证</w:t>
            </w:r>
            <w:r>
              <w:rPr>
                <w:rFonts w:hint="eastAsia" w:ascii="宋体" w:hAnsi="宋体" w:cs="宋体"/>
                <w:sz w:val="24"/>
                <w:lang w:val="en-US" w:eastAsia="zh-CN"/>
              </w:rPr>
              <w:t>或</w:t>
            </w:r>
            <w:r>
              <w:rPr>
                <w:rFonts w:hint="eastAsia" w:ascii="宋体" w:hAnsi="宋体" w:cs="宋体"/>
                <w:sz w:val="24"/>
              </w:rPr>
              <w:t>检测鉴定培训合格证的</w:t>
            </w:r>
            <w:r>
              <w:rPr>
                <w:rFonts w:hint="eastAsia" w:ascii="宋体" w:hAnsi="宋体" w:cs="宋体"/>
                <w:sz w:val="24"/>
                <w:lang w:eastAsia="zh-CN"/>
              </w:rPr>
              <w:t>，</w:t>
            </w:r>
            <w:r>
              <w:rPr>
                <w:rFonts w:hint="eastAsia" w:ascii="宋体" w:hAnsi="宋体" w:cs="宋体"/>
                <w:sz w:val="24"/>
                <w:lang w:val="en-US" w:eastAsia="zh-CN"/>
              </w:rPr>
              <w:t>每增加一项</w:t>
            </w:r>
            <w:r>
              <w:rPr>
                <w:rFonts w:hint="eastAsia" w:ascii="宋体" w:hAnsi="宋体" w:cs="宋体"/>
                <w:sz w:val="24"/>
              </w:rPr>
              <w:t>得</w:t>
            </w:r>
            <w:r>
              <w:rPr>
                <w:rFonts w:ascii="宋体" w:hAnsi="宋体" w:cs="宋体"/>
                <w:sz w:val="24"/>
              </w:rPr>
              <w:t>0.5</w:t>
            </w:r>
            <w:r>
              <w:rPr>
                <w:rFonts w:hint="eastAsia" w:ascii="宋体" w:hAnsi="宋体" w:cs="宋体"/>
                <w:sz w:val="24"/>
              </w:rPr>
              <w:t>分；此项最高得</w:t>
            </w:r>
            <w:r>
              <w:rPr>
                <w:rFonts w:ascii="宋体" w:hAnsi="宋体" w:cs="宋体"/>
                <w:sz w:val="24"/>
              </w:rPr>
              <w:t>5</w:t>
            </w:r>
            <w:r>
              <w:rPr>
                <w:rFonts w:hint="eastAsia" w:ascii="宋体" w:hAnsi="宋体" w:cs="宋体"/>
                <w:sz w:val="24"/>
              </w:rPr>
              <w:t>分。</w:t>
            </w:r>
          </w:p>
          <w:p>
            <w:pPr>
              <w:spacing w:line="240" w:lineRule="auto"/>
              <w:rPr>
                <w:rFonts w:hint="eastAsia" w:ascii="宋体" w:hAnsi="宋体" w:cs="宋体"/>
                <w:b w:val="0"/>
                <w:bCs/>
                <w:color w:val="auto"/>
                <w:sz w:val="24"/>
                <w:highlight w:val="none"/>
              </w:rPr>
            </w:pPr>
            <w:r>
              <w:rPr>
                <w:rFonts w:hint="eastAsia" w:ascii="宋体" w:hAnsi="宋体" w:cs="宋体"/>
                <w:sz w:val="24"/>
              </w:rPr>
              <w:t>上述三项合计最高得1</w:t>
            </w:r>
            <w:r>
              <w:rPr>
                <w:rFonts w:ascii="宋体" w:hAnsi="宋体" w:cs="宋体"/>
                <w:sz w:val="24"/>
              </w:rPr>
              <w:t>5</w:t>
            </w:r>
            <w:r>
              <w:rPr>
                <w:rFonts w:hint="eastAsia" w:ascii="宋体" w:hAnsi="宋体" w:cs="宋体"/>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760" w:type="dxa"/>
            <w:gridSpan w:val="2"/>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sz w:val="24"/>
                <w:szCs w:val="24"/>
                <w:highlight w:val="none"/>
              </w:rPr>
            </w:pPr>
          </w:p>
        </w:tc>
        <w:tc>
          <w:tcPr>
            <w:tcW w:w="777" w:type="dxa"/>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kern w:val="2"/>
                <w:sz w:val="24"/>
                <w:szCs w:val="24"/>
                <w:highlight w:val="none"/>
                <w:lang w:eastAsia="zh-CN"/>
              </w:rPr>
            </w:pPr>
          </w:p>
        </w:tc>
        <w:tc>
          <w:tcPr>
            <w:tcW w:w="233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p>
        </w:tc>
        <w:tc>
          <w:tcPr>
            <w:tcW w:w="551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b/>
                <w:bCs w:val="0"/>
                <w:sz w:val="24"/>
              </w:rPr>
            </w:pPr>
            <w:r>
              <w:rPr>
                <w:rFonts w:hint="eastAsia" w:ascii="宋体" w:hAnsi="宋体" w:cs="宋体"/>
                <w:b/>
                <w:bCs w:val="0"/>
                <w:color w:val="auto"/>
                <w:sz w:val="24"/>
                <w:highlight w:val="none"/>
              </w:rPr>
              <w:t>主要专业技术人员（</w:t>
            </w:r>
            <w:r>
              <w:rPr>
                <w:rFonts w:hint="eastAsia" w:ascii="宋体" w:hAnsi="宋体" w:cs="宋体"/>
                <w:b/>
                <w:bCs w:val="0"/>
                <w:sz w:val="24"/>
              </w:rPr>
              <w:t>如为联合体，本项可由联合体各方合计提供）：</w:t>
            </w:r>
          </w:p>
          <w:p>
            <w:pPr>
              <w:adjustRightInd w:val="0"/>
              <w:snapToGrid w:val="0"/>
              <w:spacing w:line="240" w:lineRule="auto"/>
              <w:rPr>
                <w:rFonts w:hint="eastAsia" w:ascii="宋体" w:hAnsi="宋体" w:eastAsia="宋体" w:cs="宋体"/>
                <w:sz w:val="24"/>
              </w:rPr>
            </w:pPr>
            <w:r>
              <w:rPr>
                <w:rFonts w:hint="eastAsia" w:ascii="宋体" w:hAnsi="宋体" w:eastAsia="宋体" w:cs="宋体"/>
                <w:sz w:val="24"/>
                <w:lang w:val="en-US" w:eastAsia="zh-CN"/>
              </w:rPr>
              <w:t>①</w:t>
            </w:r>
            <w:r>
              <w:rPr>
                <w:rFonts w:hint="eastAsia" w:ascii="宋体" w:hAnsi="宋体" w:eastAsia="宋体" w:cs="宋体"/>
                <w:color w:val="auto"/>
                <w:sz w:val="24"/>
                <w:szCs w:val="24"/>
                <w:highlight w:val="none"/>
              </w:rPr>
              <w:t>根据</w:t>
            </w:r>
            <w:r>
              <w:rPr>
                <w:rFonts w:hint="eastAsia" w:ascii="宋体" w:hAnsi="宋体" w:eastAsia="宋体" w:cs="宋体"/>
                <w:sz w:val="24"/>
                <w:lang w:val="en-US" w:eastAsia="zh-CN"/>
              </w:rPr>
              <w:t>投标人投入</w:t>
            </w:r>
            <w:r>
              <w:rPr>
                <w:rFonts w:hint="eastAsia" w:ascii="宋体" w:hAnsi="宋体" w:eastAsia="宋体" w:cs="宋体"/>
                <w:sz w:val="24"/>
              </w:rPr>
              <w:t>具有</w:t>
            </w:r>
            <w:r>
              <w:rPr>
                <w:rFonts w:hint="eastAsia" w:ascii="宋体" w:hAnsi="宋体" w:eastAsia="宋体" w:cs="宋体"/>
                <w:sz w:val="24"/>
                <w:highlight w:val="none"/>
              </w:rPr>
              <w:t>省建设工程质量安全检测和鉴定协会颁发的省建设工程质量安全检测和鉴定协会颁发的地基与基桩承载力检测（静载荷试验）、桩身完整性检测（钻孔取芯[编审]）、桩身完整性检测（低应变）、岩土工程室内试验、混凝土结构实体检测、混凝土构件结构性能、砌体结构检测、常用非金属材料检测、常用金属材料检测、</w:t>
            </w:r>
            <w:r>
              <w:rPr>
                <w:rFonts w:hint="eastAsia" w:ascii="宋体" w:hAnsi="宋体" w:eastAsia="宋体" w:cs="宋体"/>
                <w:sz w:val="24"/>
                <w:highlight w:val="none"/>
                <w:lang w:val="en-US" w:eastAsia="zh-CN"/>
              </w:rPr>
              <w:t>建筑变形测量、基坑监测、</w:t>
            </w:r>
            <w:r>
              <w:rPr>
                <w:rFonts w:hint="eastAsia" w:ascii="宋体" w:hAnsi="宋体" w:eastAsia="宋体" w:cs="宋体"/>
                <w:sz w:val="24"/>
                <w:highlight w:val="none"/>
              </w:rPr>
              <w:t>城镇排水管道</w:t>
            </w:r>
            <w:r>
              <w:rPr>
                <w:rFonts w:hint="eastAsia" w:ascii="宋体" w:hAnsi="宋体" w:eastAsia="宋体" w:cs="宋体"/>
                <w:sz w:val="24"/>
                <w:highlight w:val="none"/>
                <w:lang w:val="en-US" w:eastAsia="zh-CN"/>
              </w:rPr>
              <w:t>等任意一项</w:t>
            </w:r>
            <w:r>
              <w:rPr>
                <w:rFonts w:hint="eastAsia" w:ascii="宋体" w:hAnsi="宋体" w:eastAsia="宋体" w:cs="宋体"/>
                <w:sz w:val="24"/>
                <w:highlight w:val="none"/>
              </w:rPr>
              <w:t>检测员证</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检测鉴定培训合格证</w:t>
            </w:r>
            <w:r>
              <w:rPr>
                <w:rFonts w:hint="eastAsia" w:ascii="宋体" w:hAnsi="宋体" w:eastAsia="宋体" w:cs="宋体"/>
                <w:sz w:val="24"/>
              </w:rPr>
              <w:t>且具有工程师或以上职称人员</w:t>
            </w:r>
            <w:r>
              <w:rPr>
                <w:rFonts w:hint="eastAsia" w:ascii="宋体" w:hAnsi="宋体" w:eastAsia="宋体" w:cs="宋体"/>
                <w:sz w:val="24"/>
                <w:lang w:val="en-US" w:eastAsia="zh-CN"/>
              </w:rPr>
              <w:t>进行评审</w:t>
            </w:r>
            <w:r>
              <w:rPr>
                <w:rFonts w:hint="eastAsia" w:ascii="宋体" w:hAnsi="宋体" w:eastAsia="宋体" w:cs="宋体"/>
                <w:sz w:val="24"/>
              </w:rPr>
              <w:t>：</w:t>
            </w:r>
          </w:p>
          <w:p>
            <w:pPr>
              <w:adjustRightInd w:val="0"/>
              <w:snapToGrid w:val="0"/>
              <w:spacing w:line="240" w:lineRule="auto"/>
              <w:rPr>
                <w:rFonts w:hint="eastAsia" w:ascii="宋体" w:hAnsi="宋体" w:eastAsia="宋体" w:cs="宋体"/>
                <w:sz w:val="24"/>
              </w:rPr>
            </w:pPr>
            <w:r>
              <w:rPr>
                <w:rFonts w:hint="eastAsia" w:ascii="宋体" w:hAnsi="宋体" w:eastAsia="宋体" w:cs="宋体"/>
                <w:sz w:val="24"/>
                <w:lang w:val="en-US" w:eastAsia="zh-CN"/>
              </w:rPr>
              <w:t>投入</w:t>
            </w:r>
            <w:r>
              <w:rPr>
                <w:rFonts w:hint="eastAsia" w:ascii="宋体" w:hAnsi="宋体" w:eastAsia="宋体" w:cs="宋体"/>
                <w:sz w:val="24"/>
              </w:rPr>
              <w:t>20人（含）以上得3分；</w:t>
            </w:r>
          </w:p>
          <w:p>
            <w:pPr>
              <w:adjustRightInd w:val="0"/>
              <w:snapToGrid w:val="0"/>
              <w:spacing w:line="240" w:lineRule="auto"/>
              <w:rPr>
                <w:rFonts w:hint="eastAsia" w:ascii="宋体" w:hAnsi="宋体" w:eastAsia="宋体" w:cs="宋体"/>
                <w:sz w:val="24"/>
              </w:rPr>
            </w:pPr>
            <w:r>
              <w:rPr>
                <w:rFonts w:hint="eastAsia" w:ascii="宋体" w:hAnsi="宋体" w:eastAsia="宋体" w:cs="宋体"/>
                <w:sz w:val="24"/>
                <w:lang w:val="en-US" w:eastAsia="zh-CN"/>
              </w:rPr>
              <w:t>投入</w:t>
            </w:r>
            <w:r>
              <w:rPr>
                <w:rFonts w:hint="eastAsia" w:ascii="宋体" w:hAnsi="宋体" w:eastAsia="宋体" w:cs="宋体"/>
                <w:sz w:val="24"/>
              </w:rPr>
              <w:t>15-19人</w:t>
            </w:r>
            <w:r>
              <w:rPr>
                <w:rFonts w:hint="eastAsia" w:ascii="宋体" w:hAnsi="宋体" w:eastAsia="宋体" w:cs="宋体"/>
                <w:sz w:val="24"/>
                <w:lang w:eastAsia="zh-CN"/>
              </w:rPr>
              <w:t>（</w:t>
            </w:r>
            <w:r>
              <w:rPr>
                <w:rFonts w:hint="eastAsia" w:ascii="宋体" w:hAnsi="宋体" w:eastAsia="宋体" w:cs="宋体"/>
                <w:sz w:val="24"/>
                <w:lang w:val="en-US" w:eastAsia="zh-CN"/>
              </w:rPr>
              <w:t>含界值</w:t>
            </w:r>
            <w:r>
              <w:rPr>
                <w:rFonts w:hint="eastAsia" w:ascii="宋体" w:hAnsi="宋体" w:eastAsia="宋体" w:cs="宋体"/>
                <w:sz w:val="24"/>
                <w:lang w:eastAsia="zh-CN"/>
              </w:rPr>
              <w:t>）</w:t>
            </w:r>
            <w:r>
              <w:rPr>
                <w:rFonts w:hint="eastAsia" w:ascii="宋体" w:hAnsi="宋体" w:eastAsia="宋体" w:cs="宋体"/>
                <w:sz w:val="24"/>
                <w:lang w:val="en-US" w:eastAsia="zh-CN"/>
              </w:rPr>
              <w:t>得</w:t>
            </w:r>
            <w:r>
              <w:rPr>
                <w:rFonts w:hint="eastAsia" w:ascii="宋体" w:hAnsi="宋体" w:eastAsia="宋体" w:cs="宋体"/>
                <w:sz w:val="24"/>
              </w:rPr>
              <w:t>2分；</w:t>
            </w:r>
          </w:p>
          <w:p>
            <w:pPr>
              <w:adjustRightInd w:val="0"/>
              <w:snapToGrid w:val="0"/>
              <w:spacing w:line="240" w:lineRule="auto"/>
              <w:rPr>
                <w:rFonts w:hint="eastAsia" w:ascii="宋体" w:hAnsi="宋体" w:eastAsia="宋体" w:cs="宋体"/>
                <w:sz w:val="24"/>
              </w:rPr>
            </w:pPr>
            <w:r>
              <w:rPr>
                <w:rFonts w:hint="eastAsia" w:ascii="宋体" w:hAnsi="宋体" w:eastAsia="宋体" w:cs="宋体"/>
                <w:sz w:val="24"/>
                <w:lang w:val="en-US" w:eastAsia="zh-CN"/>
              </w:rPr>
              <w:t>投入</w:t>
            </w:r>
            <w:r>
              <w:rPr>
                <w:rFonts w:hint="eastAsia" w:ascii="宋体" w:hAnsi="宋体" w:eastAsia="宋体" w:cs="宋体"/>
                <w:sz w:val="24"/>
              </w:rPr>
              <w:t>10-14人</w:t>
            </w:r>
            <w:r>
              <w:rPr>
                <w:rFonts w:hint="eastAsia" w:ascii="宋体" w:hAnsi="宋体" w:eastAsia="宋体" w:cs="宋体"/>
                <w:sz w:val="24"/>
                <w:lang w:eastAsia="zh-CN"/>
              </w:rPr>
              <w:t>（</w:t>
            </w:r>
            <w:r>
              <w:rPr>
                <w:rFonts w:hint="eastAsia" w:ascii="宋体" w:hAnsi="宋体" w:eastAsia="宋体" w:cs="宋体"/>
                <w:sz w:val="24"/>
                <w:lang w:val="en-US" w:eastAsia="zh-CN"/>
              </w:rPr>
              <w:t>含界值</w:t>
            </w:r>
            <w:r>
              <w:rPr>
                <w:rFonts w:hint="eastAsia" w:ascii="宋体" w:hAnsi="宋体" w:eastAsia="宋体" w:cs="宋体"/>
                <w:sz w:val="24"/>
                <w:lang w:eastAsia="zh-CN"/>
              </w:rPr>
              <w:t>）</w:t>
            </w:r>
            <w:r>
              <w:rPr>
                <w:rFonts w:hint="eastAsia" w:ascii="宋体" w:hAnsi="宋体" w:eastAsia="宋体" w:cs="宋体"/>
                <w:sz w:val="24"/>
              </w:rPr>
              <w:t>得1分；</w:t>
            </w:r>
          </w:p>
          <w:p>
            <w:pPr>
              <w:pStyle w:val="2"/>
              <w:ind w:left="0" w:leftChars="0" w:firstLine="0" w:firstLineChars="0"/>
              <w:rPr>
                <w:rFonts w:hint="eastAsia" w:ascii="宋体" w:hAnsi="宋体" w:eastAsia="宋体" w:cs="宋体"/>
                <w:lang w:val="en-US" w:eastAsia="zh-CN"/>
              </w:rPr>
            </w:pPr>
            <w:r>
              <w:rPr>
                <w:rFonts w:hint="eastAsia" w:ascii="宋体" w:hAnsi="宋体" w:eastAsia="宋体" w:cs="宋体"/>
                <w:sz w:val="24"/>
                <w:lang w:val="en-US" w:eastAsia="zh-CN"/>
              </w:rPr>
              <w:t>其余情况不得分。</w:t>
            </w:r>
          </w:p>
          <w:p>
            <w:pPr>
              <w:adjustRightInd w:val="0"/>
              <w:snapToGrid w:val="0"/>
              <w:spacing w:line="240" w:lineRule="auto"/>
              <w:rPr>
                <w:rFonts w:hint="eastAsia" w:ascii="宋体" w:hAnsi="宋体" w:eastAsia="宋体" w:cs="宋体"/>
                <w:sz w:val="24"/>
              </w:rPr>
            </w:pPr>
            <w:r>
              <w:rPr>
                <w:rFonts w:hint="eastAsia" w:ascii="宋体" w:hAnsi="宋体" w:eastAsia="宋体" w:cs="宋体"/>
                <w:sz w:val="24"/>
              </w:rPr>
              <w:t>②</w:t>
            </w:r>
            <w:r>
              <w:rPr>
                <w:rFonts w:hint="eastAsia" w:ascii="宋体" w:hAnsi="宋体" w:eastAsia="宋体" w:cs="宋体"/>
                <w:sz w:val="24"/>
                <w:lang w:val="en-US" w:eastAsia="zh-CN"/>
              </w:rPr>
              <w:t xml:space="preserve"> 在满足</w:t>
            </w:r>
            <w:r>
              <w:rPr>
                <w:rFonts w:hint="eastAsia" w:ascii="宋体" w:hAnsi="宋体" w:eastAsia="宋体" w:cs="宋体"/>
                <w:sz w:val="24"/>
              </w:rPr>
              <w:t>①人员</w:t>
            </w:r>
            <w:r>
              <w:rPr>
                <w:rFonts w:hint="eastAsia" w:ascii="宋体" w:hAnsi="宋体" w:cs="宋体"/>
                <w:sz w:val="24"/>
                <w:lang w:val="en-US" w:eastAsia="zh-CN"/>
              </w:rPr>
              <w:t>数量</w:t>
            </w:r>
            <w:r>
              <w:rPr>
                <w:rFonts w:hint="eastAsia" w:ascii="宋体" w:hAnsi="宋体" w:eastAsia="宋体" w:cs="宋体"/>
                <w:sz w:val="24"/>
                <w:lang w:val="en-US" w:eastAsia="zh-CN"/>
              </w:rPr>
              <w:t>基础上，拟投入</w:t>
            </w:r>
            <w:r>
              <w:rPr>
                <w:rFonts w:hint="eastAsia" w:ascii="宋体" w:hAnsi="宋体" w:cs="宋体"/>
                <w:sz w:val="24"/>
                <w:lang w:val="en-US" w:eastAsia="zh-CN"/>
              </w:rPr>
              <w:t>的</w:t>
            </w:r>
            <w:r>
              <w:rPr>
                <w:rFonts w:hint="eastAsia" w:ascii="宋体" w:hAnsi="宋体" w:eastAsia="宋体" w:cs="宋体"/>
                <w:sz w:val="24"/>
                <w:lang w:val="en-US" w:eastAsia="zh-CN"/>
              </w:rPr>
              <w:t>人员</w:t>
            </w:r>
            <w:r>
              <w:rPr>
                <w:rFonts w:hint="eastAsia" w:ascii="宋体" w:hAnsi="宋体" w:eastAsia="宋体" w:cs="宋体"/>
                <w:sz w:val="24"/>
              </w:rPr>
              <w:t>中具有高级工程师或以上职称的，每人加0.5分，最多加2分。</w:t>
            </w:r>
          </w:p>
          <w:p>
            <w:pPr>
              <w:adjustRightInd w:val="0"/>
              <w:snapToGrid w:val="0"/>
              <w:spacing w:line="240" w:lineRule="auto"/>
              <w:rPr>
                <w:rFonts w:hint="eastAsia" w:ascii="宋体" w:hAnsi="宋体" w:cs="宋体"/>
                <w:b w:val="0"/>
                <w:bCs/>
                <w:color w:val="auto"/>
                <w:sz w:val="24"/>
                <w:highlight w:val="none"/>
              </w:rPr>
            </w:pPr>
            <w:r>
              <w:rPr>
                <w:rFonts w:hint="eastAsia" w:ascii="宋体" w:hAnsi="宋体" w:eastAsia="宋体" w:cs="宋体"/>
                <w:bCs/>
                <w:color w:val="auto"/>
                <w:sz w:val="24"/>
                <w:highlight w:val="none"/>
              </w:rPr>
              <w:t>注：</w:t>
            </w:r>
            <w:r>
              <w:rPr>
                <w:rFonts w:hint="eastAsia" w:ascii="宋体" w:hAnsi="宋体" w:eastAsia="宋体" w:cs="宋体"/>
                <w:bCs/>
                <w:color w:val="auto"/>
                <w:sz w:val="24"/>
                <w:highlight w:val="none"/>
                <w:lang w:val="en-US" w:eastAsia="zh-CN"/>
              </w:rPr>
              <w:t>本项最高得5分。</w:t>
            </w:r>
            <w:r>
              <w:rPr>
                <w:rFonts w:hint="eastAsia" w:ascii="宋体" w:hAnsi="宋体" w:eastAsia="宋体" w:cs="宋体"/>
                <w:bCs/>
                <w:color w:val="auto"/>
                <w:sz w:val="24"/>
                <w:highlight w:val="none"/>
              </w:rPr>
              <w:t>投标人须按第六章投标文件格式填写“拟投入本项目的主要人员简历表”并按招标文件第二章“投标人须知”第3.5.4项的要求提供相关证明材料。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760" w:type="dxa"/>
            <w:gridSpan w:val="2"/>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sz w:val="24"/>
                <w:szCs w:val="24"/>
                <w:highlight w:val="none"/>
              </w:rPr>
            </w:pPr>
          </w:p>
        </w:tc>
        <w:tc>
          <w:tcPr>
            <w:tcW w:w="777" w:type="dxa"/>
            <w:vMerge w:val="continue"/>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kern w:val="2"/>
                <w:sz w:val="24"/>
                <w:szCs w:val="24"/>
                <w:highlight w:val="none"/>
                <w:lang w:eastAsia="zh-CN"/>
              </w:rPr>
            </w:pPr>
          </w:p>
        </w:tc>
        <w:tc>
          <w:tcPr>
            <w:tcW w:w="2331" w:type="dxa"/>
            <w:tcBorders>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拟投入本项目的检测设备</w:t>
            </w:r>
          </w:p>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51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rPr>
            </w:pPr>
            <w:r>
              <w:rPr>
                <w:rFonts w:hint="eastAsia" w:ascii="宋体" w:hAnsi="宋体" w:cs="宋体"/>
                <w:sz w:val="24"/>
              </w:rPr>
              <w:t>拟投入的设备包括万能试验机、数显混凝土渗透仪、跨孔超声检测仪、精密压力表、百分表、千斤顶、基桩动态测量仪、桩基静载荷测试分析仪、弯沉仪、锚杆拉力计、砼回弹仪、混凝土钻芯机、分光光度计</w:t>
            </w:r>
            <w:r>
              <w:rPr>
                <w:rFonts w:hint="eastAsia" w:ascii="宋体" w:hAnsi="宋体" w:cs="宋体"/>
                <w:sz w:val="24"/>
                <w:lang w:eastAsia="zh-CN"/>
              </w:rPr>
              <w:t>、</w:t>
            </w:r>
            <w:r>
              <w:rPr>
                <w:rFonts w:hint="eastAsia" w:ascii="宋体" w:hAnsi="宋体" w:cs="宋体"/>
                <w:sz w:val="24"/>
              </w:rPr>
              <w:t>全站仪、水准仪、测斜仪等：</w:t>
            </w:r>
          </w:p>
          <w:p>
            <w:pPr>
              <w:rPr>
                <w:rFonts w:ascii="宋体" w:hAnsi="宋体" w:cs="宋体"/>
                <w:sz w:val="24"/>
              </w:rPr>
            </w:pPr>
            <w:r>
              <w:rPr>
                <w:rFonts w:hint="eastAsia" w:ascii="宋体" w:hAnsi="宋体" w:cs="宋体"/>
                <w:sz w:val="24"/>
                <w:lang w:val="en-US" w:eastAsia="zh-CN"/>
              </w:rPr>
              <w:t>1、</w:t>
            </w:r>
            <w:r>
              <w:rPr>
                <w:rFonts w:hint="eastAsia" w:ascii="宋体" w:hAnsi="宋体" w:cs="宋体"/>
                <w:sz w:val="24"/>
              </w:rPr>
              <w:t>上述全部设备属于自有且年检合格，得</w:t>
            </w:r>
            <w:r>
              <w:rPr>
                <w:rFonts w:hint="eastAsia" w:ascii="宋体" w:hAnsi="宋体" w:cs="宋体"/>
                <w:sz w:val="24"/>
                <w:lang w:val="en-US" w:eastAsia="zh-CN"/>
              </w:rPr>
              <w:t>10</w:t>
            </w:r>
            <w:r>
              <w:rPr>
                <w:rFonts w:hint="eastAsia" w:ascii="宋体" w:hAnsi="宋体" w:cs="宋体"/>
                <w:sz w:val="24"/>
              </w:rPr>
              <w:t>分；</w:t>
            </w:r>
          </w:p>
          <w:p>
            <w:pPr>
              <w:rPr>
                <w:rFonts w:ascii="宋体" w:hAnsi="宋体" w:cs="宋体"/>
                <w:sz w:val="24"/>
              </w:rPr>
            </w:pPr>
            <w:r>
              <w:rPr>
                <w:rFonts w:hint="eastAsia" w:ascii="宋体" w:hAnsi="宋体" w:cs="宋体"/>
                <w:sz w:val="24"/>
              </w:rPr>
              <w:t>2、</w:t>
            </w:r>
            <w:r>
              <w:rPr>
                <w:rFonts w:hint="eastAsia" w:ascii="宋体" w:hAnsi="宋体" w:cs="宋体"/>
                <w:sz w:val="24"/>
                <w:lang w:val="en-US" w:eastAsia="zh-CN"/>
              </w:rPr>
              <w:t>投入13台以上的（含13台）的</w:t>
            </w:r>
            <w:r>
              <w:rPr>
                <w:rFonts w:hint="eastAsia" w:ascii="宋体" w:hAnsi="宋体" w:cs="宋体"/>
                <w:sz w:val="24"/>
              </w:rPr>
              <w:t>上述设备属于自有且年检合格，得</w:t>
            </w:r>
            <w:r>
              <w:rPr>
                <w:rFonts w:hint="eastAsia" w:ascii="宋体" w:hAnsi="宋体" w:cs="宋体"/>
                <w:sz w:val="24"/>
                <w:lang w:val="en-US" w:eastAsia="zh-CN"/>
              </w:rPr>
              <w:t>7</w:t>
            </w:r>
            <w:r>
              <w:rPr>
                <w:rFonts w:hint="eastAsia" w:ascii="宋体" w:hAnsi="宋体" w:cs="宋体"/>
                <w:sz w:val="24"/>
              </w:rPr>
              <w:t>分；</w:t>
            </w:r>
          </w:p>
          <w:p>
            <w:pPr>
              <w:rPr>
                <w:rFonts w:ascii="宋体" w:hAnsi="宋体" w:cs="宋体"/>
                <w:sz w:val="24"/>
              </w:rPr>
            </w:pPr>
            <w:r>
              <w:rPr>
                <w:rFonts w:hint="eastAsia" w:ascii="宋体" w:hAnsi="宋体" w:cs="宋体"/>
                <w:sz w:val="24"/>
              </w:rPr>
              <w:t>3、</w:t>
            </w:r>
            <w:r>
              <w:rPr>
                <w:rFonts w:hint="eastAsia" w:ascii="宋体" w:hAnsi="宋体" w:cs="宋体"/>
                <w:sz w:val="24"/>
                <w:lang w:val="en-US" w:eastAsia="zh-CN"/>
              </w:rPr>
              <w:t>投入10台~13台（含10台）</w:t>
            </w:r>
            <w:r>
              <w:rPr>
                <w:rFonts w:hint="eastAsia" w:ascii="宋体" w:hAnsi="宋体" w:cs="宋体"/>
                <w:sz w:val="24"/>
              </w:rPr>
              <w:t>的上述设备属于自有且年检合格，得</w:t>
            </w:r>
            <w:r>
              <w:rPr>
                <w:rFonts w:hint="eastAsia" w:ascii="宋体" w:hAnsi="宋体" w:cs="宋体"/>
                <w:sz w:val="24"/>
                <w:lang w:val="en-US" w:eastAsia="zh-CN"/>
              </w:rPr>
              <w:t>4</w:t>
            </w:r>
            <w:r>
              <w:rPr>
                <w:rFonts w:hint="eastAsia" w:ascii="宋体" w:hAnsi="宋体" w:cs="宋体"/>
                <w:sz w:val="24"/>
              </w:rPr>
              <w:t>分；</w:t>
            </w:r>
          </w:p>
          <w:p>
            <w:pPr>
              <w:rPr>
                <w:rFonts w:ascii="宋体" w:hAnsi="宋体" w:cs="宋体"/>
                <w:sz w:val="24"/>
              </w:rPr>
            </w:pPr>
            <w:r>
              <w:rPr>
                <w:rFonts w:hint="eastAsia" w:ascii="宋体" w:hAnsi="宋体" w:cs="宋体"/>
                <w:sz w:val="24"/>
              </w:rPr>
              <w:t>4、</w:t>
            </w:r>
            <w:r>
              <w:rPr>
                <w:rFonts w:hint="eastAsia" w:ascii="宋体" w:hAnsi="宋体" w:cs="宋体"/>
                <w:sz w:val="24"/>
                <w:lang w:val="en-US" w:eastAsia="zh-CN"/>
              </w:rPr>
              <w:t>投入10台</w:t>
            </w:r>
            <w:r>
              <w:rPr>
                <w:rFonts w:hint="eastAsia" w:ascii="宋体" w:hAnsi="宋体" w:cs="宋体"/>
                <w:sz w:val="24"/>
              </w:rPr>
              <w:t>以下的上述设备属于自有且年检合格，不得分。</w:t>
            </w:r>
          </w:p>
          <w:p>
            <w:pPr>
              <w:spacing w:line="240" w:lineRule="auto"/>
              <w:rPr>
                <w:rFonts w:hint="eastAsia" w:ascii="宋体" w:hAnsi="宋体" w:cs="宋体"/>
                <w:bCs/>
                <w:color w:val="auto"/>
                <w:sz w:val="24"/>
                <w:szCs w:val="24"/>
                <w:highlight w:val="none"/>
              </w:rPr>
            </w:pPr>
            <w:r>
              <w:rPr>
                <w:rFonts w:hint="eastAsia" w:ascii="宋体" w:hAnsi="宋体" w:cs="宋体"/>
                <w:sz w:val="24"/>
              </w:rPr>
              <w:t>注：本项最</w:t>
            </w:r>
            <w:r>
              <w:rPr>
                <w:rFonts w:hint="eastAsia" w:ascii="宋体" w:hAnsi="宋体" w:cs="宋体"/>
                <w:sz w:val="24"/>
                <w:lang w:val="en-US" w:eastAsia="zh-CN"/>
              </w:rPr>
              <w:t>高</w:t>
            </w:r>
            <w:r>
              <w:rPr>
                <w:rFonts w:hint="eastAsia" w:ascii="宋体" w:hAnsi="宋体" w:cs="宋体"/>
                <w:sz w:val="24"/>
              </w:rPr>
              <w:t>得</w:t>
            </w:r>
            <w:r>
              <w:rPr>
                <w:rFonts w:hint="eastAsia" w:ascii="宋体" w:hAnsi="宋体" w:cs="宋体"/>
                <w:sz w:val="24"/>
                <w:lang w:val="en-US" w:eastAsia="zh-CN"/>
              </w:rPr>
              <w:t>10</w:t>
            </w:r>
            <w:r>
              <w:rPr>
                <w:rFonts w:hint="eastAsia" w:ascii="宋体" w:hAnsi="宋体" w:cs="宋体"/>
                <w:sz w:val="24"/>
              </w:rPr>
              <w:t>分。投标人须按第六章投标文件格式填写“拟投入本项目的主要检测监测仪器设备一览表”并按招标文件第二章“投标人须知”第3.5.5项的要求提供相关证明材料。如联合体投标的，本项可由联合体各方合计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0" w:hRule="atLeast"/>
          <w:jc w:val="center"/>
        </w:trPr>
        <w:tc>
          <w:tcPr>
            <w:tcW w:w="760" w:type="dxa"/>
            <w:gridSpan w:val="2"/>
            <w:tcBorders>
              <w:left w:val="single" w:color="auto" w:sz="4" w:space="0"/>
              <w:right w:val="single" w:color="auto" w:sz="4" w:space="0"/>
            </w:tcBorders>
            <w:noWrap w:val="0"/>
            <w:vAlign w:val="center"/>
          </w:tcPr>
          <w:p>
            <w:pPr>
              <w:pStyle w:val="159"/>
              <w:adjustRightInd w:val="0"/>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eastAsia="zh-CN"/>
              </w:rPr>
              <w:t>4</w:t>
            </w:r>
          </w:p>
          <w:p>
            <w:pPr>
              <w:pStyle w:val="159"/>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77" w:type="dxa"/>
            <w:tcBorders>
              <w:left w:val="single" w:color="auto" w:sz="4" w:space="0"/>
              <w:right w:val="single" w:color="auto" w:sz="4" w:space="0"/>
            </w:tcBorders>
            <w:noWrap w:val="0"/>
            <w:vAlign w:val="center"/>
          </w:tcPr>
          <w:p>
            <w:pPr>
              <w:pStyle w:val="159"/>
              <w:adjustRightInd w:val="0"/>
              <w:snapToGrid w:val="0"/>
              <w:spacing w:line="24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sz w:val="24"/>
                <w:szCs w:val="24"/>
                <w:highlight w:val="none"/>
                <w:lang w:val="en-US" w:eastAsia="zh-CN"/>
              </w:rPr>
              <w:t>技术评分</w:t>
            </w:r>
          </w:p>
        </w:tc>
        <w:tc>
          <w:tcPr>
            <w:tcW w:w="2331" w:type="dxa"/>
            <w:tcBorders>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检测监测方案</w:t>
            </w:r>
          </w:p>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（15分）</w:t>
            </w:r>
          </w:p>
        </w:tc>
        <w:tc>
          <w:tcPr>
            <w:tcW w:w="55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根据投标人的</w:t>
            </w:r>
            <w:r>
              <w:rPr>
                <w:rFonts w:hint="eastAsia" w:ascii="宋体" w:hAnsi="宋体" w:cs="宋体"/>
                <w:color w:val="auto"/>
                <w:kern w:val="2"/>
                <w:sz w:val="24"/>
                <w:szCs w:val="24"/>
                <w:highlight w:val="none"/>
                <w:lang w:val="en-US" w:eastAsia="zh-CN"/>
              </w:rPr>
              <w:t>检测监测</w:t>
            </w:r>
            <w:r>
              <w:rPr>
                <w:rFonts w:hint="eastAsia" w:ascii="宋体" w:hAnsi="宋体" w:eastAsia="宋体" w:cs="宋体"/>
                <w:color w:val="auto"/>
                <w:kern w:val="2"/>
                <w:sz w:val="24"/>
                <w:szCs w:val="24"/>
                <w:highlight w:val="none"/>
              </w:rPr>
              <w:t>方案进行评审</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分为优、良、中、差四个等级，具体如下：</w:t>
            </w:r>
          </w:p>
          <w:p>
            <w:pPr>
              <w:spacing w:line="240" w:lineRule="auto"/>
              <w:rPr>
                <w:rFonts w:hint="eastAsia" w:ascii="宋体" w:hAnsi="宋体" w:cs="宋体"/>
                <w:color w:val="auto"/>
                <w:sz w:val="24"/>
                <w:highlight w:val="none"/>
              </w:rPr>
            </w:pPr>
            <w:r>
              <w:rPr>
                <w:rFonts w:hint="eastAsia" w:ascii="宋体" w:hAnsi="宋体" w:cs="宋体"/>
                <w:color w:val="auto"/>
                <w:sz w:val="24"/>
                <w:highlight w:val="none"/>
              </w:rPr>
              <w:t>优：检测、监测方案详细、具体，内容齐全，能满足本工程提出的所有项目；方案针对性强，重点、难点分析准确，有合理可行的针对重点、难点的解决措施；有合理可行的保证通过相关验收、满足工程进度确保措施。得</w:t>
            </w:r>
            <w:r>
              <w:rPr>
                <w:rFonts w:hint="eastAsia" w:ascii="宋体" w:hAnsi="宋体" w:cs="宋体"/>
                <w:color w:val="auto"/>
                <w:sz w:val="24"/>
                <w:highlight w:val="none"/>
                <w:lang w:eastAsia="zh-CN"/>
              </w:rPr>
              <w:t>（</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15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分；</w:t>
            </w:r>
          </w:p>
          <w:p>
            <w:pPr>
              <w:spacing w:line="240" w:lineRule="auto"/>
              <w:rPr>
                <w:rFonts w:hint="eastAsia" w:ascii="宋体" w:hAnsi="宋体" w:cs="宋体"/>
                <w:color w:val="auto"/>
                <w:sz w:val="24"/>
                <w:highlight w:val="none"/>
              </w:rPr>
            </w:pPr>
            <w:r>
              <w:rPr>
                <w:rFonts w:hint="eastAsia" w:ascii="宋体" w:hAnsi="宋体" w:cs="宋体"/>
                <w:color w:val="auto"/>
                <w:sz w:val="24"/>
                <w:highlight w:val="none"/>
              </w:rPr>
              <w:t>良：检测、监测方案较详细、较具体，内容较齐全；方案针对性较强，重点、难点分析较准确，有合理可行的针对重点、难点的解决措施；有比较可行的保证通过相关验收、满足工程进度确保措施，得</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w:t>
            </w:r>
          </w:p>
          <w:p>
            <w:pPr>
              <w:spacing w:line="240" w:lineRule="auto"/>
              <w:rPr>
                <w:rFonts w:hint="eastAsia" w:ascii="宋体" w:hAnsi="宋体" w:cs="宋体"/>
                <w:color w:val="auto"/>
                <w:sz w:val="24"/>
                <w:highlight w:val="none"/>
              </w:rPr>
            </w:pPr>
            <w:r>
              <w:rPr>
                <w:rFonts w:hint="eastAsia" w:ascii="宋体" w:hAnsi="宋体" w:cs="宋体"/>
                <w:color w:val="auto"/>
                <w:sz w:val="24"/>
                <w:highlight w:val="none"/>
              </w:rPr>
              <w:t>中：检测、监测方案基本内容满足要求，方法基本符合规范要求；方案针对性一般，重点、难点分析</w:t>
            </w:r>
            <w:r>
              <w:rPr>
                <w:rFonts w:hint="eastAsia" w:ascii="宋体" w:hAnsi="宋体" w:cs="宋体"/>
                <w:color w:val="auto"/>
                <w:sz w:val="24"/>
                <w:highlight w:val="none"/>
                <w:lang w:val="en-US" w:eastAsia="zh-CN"/>
              </w:rPr>
              <w:t>一般</w:t>
            </w:r>
            <w:r>
              <w:rPr>
                <w:rFonts w:hint="eastAsia" w:ascii="宋体" w:hAnsi="宋体" w:cs="宋体"/>
                <w:color w:val="auto"/>
                <w:sz w:val="24"/>
                <w:highlight w:val="none"/>
              </w:rPr>
              <w:t>，针对重点、难点的解决措施</w:t>
            </w:r>
            <w:r>
              <w:rPr>
                <w:rFonts w:hint="eastAsia" w:ascii="宋体" w:hAnsi="宋体" w:cs="宋体"/>
                <w:color w:val="auto"/>
                <w:sz w:val="24"/>
                <w:highlight w:val="none"/>
                <w:lang w:val="en-US" w:eastAsia="zh-CN"/>
              </w:rPr>
              <w:t>一般</w:t>
            </w:r>
            <w:r>
              <w:rPr>
                <w:rFonts w:hint="eastAsia" w:ascii="宋体" w:hAnsi="宋体" w:cs="宋体"/>
                <w:color w:val="auto"/>
                <w:sz w:val="24"/>
                <w:highlight w:val="none"/>
              </w:rPr>
              <w:t>；保证通过相关验收</w:t>
            </w:r>
            <w:r>
              <w:rPr>
                <w:rFonts w:hint="eastAsia" w:ascii="宋体" w:hAnsi="宋体" w:cs="宋体"/>
                <w:color w:val="auto"/>
                <w:sz w:val="24"/>
                <w:highlight w:val="none"/>
                <w:lang w:eastAsia="zh-CN"/>
              </w:rPr>
              <w:t>、</w:t>
            </w:r>
            <w:r>
              <w:rPr>
                <w:rFonts w:hint="eastAsia" w:ascii="宋体" w:hAnsi="宋体" w:cs="宋体"/>
                <w:color w:val="auto"/>
                <w:sz w:val="24"/>
                <w:highlight w:val="none"/>
              </w:rPr>
              <w:t>满足确保工程进度措施</w:t>
            </w:r>
            <w:r>
              <w:rPr>
                <w:rFonts w:hint="eastAsia" w:ascii="宋体" w:hAnsi="宋体" w:cs="宋体"/>
                <w:color w:val="auto"/>
                <w:sz w:val="24"/>
                <w:highlight w:val="none"/>
                <w:lang w:val="en-US" w:eastAsia="zh-CN"/>
              </w:rPr>
              <w:t>一般,</w:t>
            </w:r>
            <w:r>
              <w:rPr>
                <w:rFonts w:hint="eastAsia" w:ascii="宋体" w:hAnsi="宋体" w:cs="宋体"/>
                <w:color w:val="auto"/>
                <w:sz w:val="24"/>
                <w:highlight w:val="none"/>
              </w:rPr>
              <w:t>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lang w:eastAsia="zh-CN"/>
              </w:rPr>
              <w:t>,</w:t>
            </w: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分；</w:t>
            </w:r>
          </w:p>
          <w:p>
            <w:pPr>
              <w:spacing w:line="240" w:lineRule="auto"/>
              <w:rPr>
                <w:rFonts w:hint="eastAsia" w:ascii="宋体" w:hAnsi="宋体" w:eastAsia="宋体" w:cs="宋体"/>
                <w:color w:val="auto"/>
                <w:sz w:val="24"/>
                <w:szCs w:val="24"/>
                <w:highlight w:val="none"/>
              </w:rPr>
            </w:pPr>
            <w:r>
              <w:rPr>
                <w:rFonts w:hint="eastAsia" w:ascii="宋体" w:hAnsi="宋体" w:cs="宋体"/>
                <w:color w:val="auto"/>
                <w:sz w:val="24"/>
                <w:highlight w:val="none"/>
              </w:rPr>
              <w:t>差：检测、监测方案不能满足要求或未提供检测</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760" w:type="dxa"/>
            <w:gridSpan w:val="2"/>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2.2.4（3）</w:t>
            </w:r>
          </w:p>
        </w:tc>
        <w:tc>
          <w:tcPr>
            <w:tcW w:w="777" w:type="dxa"/>
            <w:tcBorders>
              <w:left w:val="single" w:color="auto" w:sz="4" w:space="0"/>
              <w:right w:val="single" w:color="auto" w:sz="4" w:space="0"/>
            </w:tcBorders>
            <w:noWrap w:val="0"/>
            <w:vAlign w:val="center"/>
          </w:tcPr>
          <w:p>
            <w:pPr>
              <w:pStyle w:val="159"/>
              <w:adjustRightInd w:val="0"/>
              <w:snapToGrid w:val="0"/>
              <w:spacing w:line="240" w:lineRule="auto"/>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投标费率得分（</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0分）</w:t>
            </w:r>
          </w:p>
        </w:tc>
        <w:tc>
          <w:tcPr>
            <w:tcW w:w="7849" w:type="dxa"/>
            <w:gridSpan w:val="2"/>
            <w:tcBorders>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以评标基准费率作为计算各有效投标费率得分的基础，当有效投标费率等于评标基准费率时得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0分；有效投标费率与评标基准费率之差，每上偏1%扣1.0分，下偏1%扣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分。最低分为0分。</w:t>
            </w:r>
          </w:p>
        </w:tc>
      </w:tr>
    </w:tbl>
    <w:p>
      <w:pPr>
        <w:rPr>
          <w:rFonts w:hint="eastAsia" w:ascii="宋体" w:hAnsi="宋体" w:eastAsia="宋体" w:cs="宋体"/>
          <w:color w:val="auto"/>
          <w:highlight w:val="none"/>
        </w:rPr>
      </w:pPr>
      <w:r>
        <w:rPr>
          <w:rFonts w:hint="eastAsia" w:ascii="宋体" w:hAnsi="宋体" w:eastAsia="宋体" w:cs="宋体"/>
          <w:color w:val="auto"/>
          <w:highlight w:val="none"/>
        </w:rPr>
        <w:t>备注：</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一、</w:t>
      </w:r>
      <w:r>
        <w:rPr>
          <w:rFonts w:hint="eastAsia" w:ascii="宋体" w:hAnsi="宋体" w:eastAsia="宋体" w:cs="宋体"/>
          <w:color w:val="auto"/>
          <w:sz w:val="21"/>
          <w:szCs w:val="21"/>
          <w:highlight w:val="none"/>
          <w:lang w:eastAsia="zh-CN"/>
        </w:rPr>
        <w:t>评标委员会成员有对投标人的上述</w:t>
      </w:r>
      <w:r>
        <w:rPr>
          <w:rFonts w:hint="eastAsia" w:ascii="宋体" w:hAnsi="宋体" w:eastAsia="宋体" w:cs="宋体"/>
          <w:color w:val="auto"/>
          <w:sz w:val="21"/>
          <w:szCs w:val="21"/>
          <w:highlight w:val="none"/>
        </w:rPr>
        <w:t>形式评审标准</w:t>
      </w:r>
      <w:r>
        <w:rPr>
          <w:rFonts w:hint="eastAsia" w:ascii="宋体" w:hAnsi="宋体" w:eastAsia="宋体" w:cs="宋体"/>
          <w:color w:val="auto"/>
          <w:sz w:val="21"/>
          <w:szCs w:val="21"/>
          <w:highlight w:val="none"/>
          <w:lang w:eastAsia="zh-CN"/>
        </w:rPr>
        <w:t>、资格评审标准、</w:t>
      </w:r>
      <w:r>
        <w:rPr>
          <w:rFonts w:hint="eastAsia" w:ascii="宋体" w:hAnsi="宋体" w:eastAsia="宋体" w:cs="宋体"/>
          <w:color w:val="auto"/>
          <w:sz w:val="21"/>
          <w:szCs w:val="21"/>
          <w:highlight w:val="none"/>
        </w:rPr>
        <w:t>响应性评审标准</w:t>
      </w:r>
      <w:r>
        <w:rPr>
          <w:rFonts w:hint="eastAsia" w:ascii="宋体" w:hAnsi="宋体" w:eastAsia="宋体" w:cs="宋体"/>
          <w:color w:val="auto"/>
          <w:sz w:val="21"/>
          <w:szCs w:val="21"/>
          <w:highlight w:val="none"/>
          <w:lang w:eastAsia="zh-CN"/>
        </w:rPr>
        <w:t>意见存在异议的，评标委员会以票决的方式进行，以超过半数的原则确定是否通过。</w:t>
      </w:r>
    </w:p>
    <w:p>
      <w:pPr>
        <w:rPr>
          <w:rFonts w:hint="eastAsia" w:ascii="宋体" w:hAnsi="宋体" w:eastAsia="宋体" w:cs="宋体"/>
          <w:color w:val="auto"/>
          <w:highlight w:val="none"/>
        </w:rPr>
      </w:pPr>
      <w:r>
        <w:rPr>
          <w:rFonts w:hint="eastAsia" w:ascii="宋体" w:hAnsi="宋体" w:cs="宋体"/>
          <w:color w:val="auto"/>
          <w:highlight w:val="none"/>
          <w:lang w:val="en-US" w:eastAsia="zh-CN"/>
        </w:rPr>
        <w:t>二</w:t>
      </w:r>
      <w:r>
        <w:rPr>
          <w:rFonts w:hint="eastAsia" w:ascii="宋体" w:hAnsi="宋体" w:eastAsia="宋体" w:cs="宋体"/>
          <w:color w:val="auto"/>
          <w:highlight w:val="none"/>
        </w:rPr>
        <w:t>、评标委员会成员针对表中各单项内容对投标人进行评分，投标人</w:t>
      </w:r>
      <w:r>
        <w:rPr>
          <w:rFonts w:hint="eastAsia" w:ascii="宋体" w:hAnsi="宋体" w:cs="宋体"/>
          <w:color w:val="auto"/>
          <w:highlight w:val="none"/>
          <w:lang w:val="en-US" w:eastAsia="zh-CN"/>
        </w:rPr>
        <w:t>技术评分得分</w:t>
      </w:r>
      <w:r>
        <w:rPr>
          <w:rFonts w:hint="eastAsia" w:ascii="宋体" w:hAnsi="宋体" w:eastAsia="宋体" w:cs="宋体"/>
          <w:color w:val="auto"/>
          <w:highlight w:val="none"/>
        </w:rPr>
        <w:t>为评标委员会各成员该项评分的算术平均值，得分精确到小数点后两位，第三位小数四舍五入。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7"/>
        <w:kinsoku w:val="0"/>
        <w:overflowPunct w:val="0"/>
        <w:spacing w:before="0" w:after="0" w:line="360" w:lineRule="auto"/>
        <w:rPr>
          <w:rFonts w:hint="eastAsia" w:ascii="宋体" w:hAnsi="宋体" w:eastAsia="宋体" w:cs="宋体"/>
          <w:color w:val="auto"/>
          <w:highlight w:val="none"/>
        </w:rPr>
      </w:pPr>
      <w:bookmarkStart w:id="92" w:name="bookmark85"/>
      <w:bookmarkEnd w:id="92"/>
      <w:r>
        <w:rPr>
          <w:rFonts w:hint="eastAsia" w:ascii="宋体" w:hAnsi="宋体" w:eastAsia="宋体" w:cs="宋体"/>
          <w:color w:val="auto"/>
          <w:highlight w:val="none"/>
        </w:rPr>
        <w:t>1. 评标方法</w:t>
      </w:r>
    </w:p>
    <w:p>
      <w:pPr>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w:t>
      </w:r>
      <w:r>
        <w:rPr>
          <w:rFonts w:hint="eastAsia" w:ascii="宋体" w:hAnsi="宋体" w:eastAsia="宋体" w:cs="宋体"/>
          <w:color w:val="auto"/>
          <w:sz w:val="24"/>
          <w:szCs w:val="24"/>
          <w:highlight w:val="none"/>
          <w:u w:val="none"/>
          <w:lang w:eastAsia="zh-CN"/>
        </w:rPr>
        <w:t>费率</w:t>
      </w:r>
      <w:r>
        <w:rPr>
          <w:rFonts w:hint="eastAsia" w:ascii="宋体" w:hAnsi="宋体" w:eastAsia="宋体" w:cs="宋体"/>
          <w:color w:val="auto"/>
          <w:sz w:val="24"/>
          <w:highlight w:val="none"/>
          <w:u w:val="none"/>
        </w:rPr>
        <w:t>低的优先；投标</w:t>
      </w:r>
      <w:r>
        <w:rPr>
          <w:rFonts w:hint="eastAsia" w:ascii="宋体" w:hAnsi="宋体" w:eastAsia="宋体" w:cs="宋体"/>
          <w:color w:val="auto"/>
          <w:sz w:val="24"/>
          <w:szCs w:val="24"/>
          <w:highlight w:val="none"/>
          <w:u w:val="none"/>
          <w:lang w:eastAsia="zh-CN"/>
        </w:rPr>
        <w:t>费率</w:t>
      </w:r>
      <w:r>
        <w:rPr>
          <w:rFonts w:hint="eastAsia" w:ascii="宋体" w:hAnsi="宋体" w:eastAsia="宋体" w:cs="宋体"/>
          <w:color w:val="auto"/>
          <w:sz w:val="24"/>
          <w:highlight w:val="none"/>
          <w:u w:val="none"/>
        </w:rPr>
        <w:t>也相等的，以</w:t>
      </w:r>
      <w:r>
        <w:rPr>
          <w:rFonts w:hint="eastAsia" w:ascii="宋体" w:hAnsi="宋体" w:cs="宋体"/>
          <w:color w:val="auto"/>
          <w:sz w:val="24"/>
          <w:highlight w:val="none"/>
          <w:u w:val="none"/>
          <w:lang w:val="en-US" w:eastAsia="zh-CN"/>
        </w:rPr>
        <w:t>方案</w:t>
      </w:r>
      <w:r>
        <w:rPr>
          <w:rFonts w:hint="eastAsia" w:ascii="宋体" w:hAnsi="宋体" w:eastAsia="宋体" w:cs="宋体"/>
          <w:color w:val="auto"/>
          <w:sz w:val="24"/>
          <w:highlight w:val="none"/>
          <w:u w:val="none"/>
        </w:rPr>
        <w:t>得分高的优先；如仍存在相同情况，则对具有相同情况的投标人，按中标候选人数量规定，由评标委员会采用记名投票方式，以得票多的优先。</w:t>
      </w:r>
    </w:p>
    <w:p>
      <w:pPr>
        <w:pStyle w:val="7"/>
        <w:kinsoku w:val="0"/>
        <w:overflowPunct w:val="0"/>
        <w:spacing w:line="360" w:lineRule="auto"/>
        <w:rPr>
          <w:rFonts w:hint="eastAsia" w:ascii="宋体" w:hAnsi="宋体" w:eastAsia="宋体" w:cs="宋体"/>
          <w:color w:val="auto"/>
          <w:highlight w:val="none"/>
        </w:rPr>
      </w:pPr>
      <w:bookmarkStart w:id="93" w:name="_Toc43906327"/>
      <w:r>
        <w:rPr>
          <w:rFonts w:hint="eastAsia" w:ascii="宋体" w:hAnsi="宋体" w:eastAsia="宋体" w:cs="宋体"/>
          <w:color w:val="auto"/>
          <w:highlight w:val="none"/>
        </w:rPr>
        <w:t>2. 评审标准</w:t>
      </w:r>
      <w:bookmarkEnd w:id="93"/>
    </w:p>
    <w:p>
      <w:pPr>
        <w:pStyle w:val="7"/>
        <w:kinsoku w:val="0"/>
        <w:overflowPunct w:val="0"/>
        <w:spacing w:before="0" w:after="0" w:line="360" w:lineRule="auto"/>
        <w:rPr>
          <w:rFonts w:hint="eastAsia" w:ascii="宋体" w:hAnsi="宋体" w:eastAsia="宋体" w:cs="宋体"/>
          <w:color w:val="auto"/>
          <w:highlight w:val="none"/>
          <w:u w:val="single"/>
        </w:rPr>
      </w:pPr>
      <w:bookmarkStart w:id="94" w:name="bookmark86"/>
      <w:bookmarkEnd w:id="94"/>
      <w:r>
        <w:rPr>
          <w:rFonts w:hint="eastAsia" w:ascii="宋体" w:hAnsi="宋体" w:eastAsia="宋体" w:cs="宋体"/>
          <w:color w:val="auto"/>
          <w:highlight w:val="none"/>
        </w:rPr>
        <w:t>2.1 初步评审标准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2.1.1形式评审标准：见评标办法前附表。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2.1.2资格评审标准：见评标办法前附表。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2.1.3响应性评审标准：见评标办法前附表。</w:t>
      </w:r>
    </w:p>
    <w:p>
      <w:pPr>
        <w:rPr>
          <w:rFonts w:hint="eastAsia" w:ascii="宋体" w:hAnsi="宋体" w:eastAsia="宋体" w:cs="宋体"/>
          <w:color w:val="auto"/>
          <w:highlight w:val="none"/>
        </w:rPr>
      </w:pPr>
    </w:p>
    <w:p>
      <w:pPr>
        <w:pStyle w:val="7"/>
        <w:kinsoku w:val="0"/>
        <w:overflowPunct w:val="0"/>
        <w:spacing w:before="0" w:after="0" w:line="360" w:lineRule="auto"/>
        <w:rPr>
          <w:rFonts w:hint="eastAsia" w:ascii="宋体" w:hAnsi="宋体" w:eastAsia="宋体" w:cs="宋体"/>
          <w:color w:val="auto"/>
          <w:highlight w:val="none"/>
        </w:rPr>
      </w:pPr>
      <w:bookmarkStart w:id="95" w:name="bookmark87"/>
      <w:bookmarkEnd w:id="95"/>
      <w:r>
        <w:rPr>
          <w:rFonts w:hint="eastAsia" w:ascii="宋体" w:hAnsi="宋体" w:eastAsia="宋体" w:cs="宋体"/>
          <w:color w:val="auto"/>
          <w:highlight w:val="none"/>
        </w:rPr>
        <w:t>2.2 分值构成与评分标准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2.2.1分值构成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（1）商务评分部分：见评标办法前附表；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（2）技术评分部分：见评标办法前附表；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2.2.2评标基准价计算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2.2.3投标报价的计算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费率</w:t>
      </w:r>
      <w:r>
        <w:rPr>
          <w:rFonts w:hint="eastAsia" w:ascii="宋体" w:hAnsi="宋体" w:eastAsia="宋体" w:cs="宋体"/>
          <w:color w:val="auto"/>
          <w:sz w:val="24"/>
          <w:szCs w:val="24"/>
          <w:highlight w:val="none"/>
        </w:rPr>
        <w:t>的偏差率计算公式：见评标办法前附表。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2.2.4评分标准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（2）检测监测方案评分标准：见评标办法前附表；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pPr>
        <w:pStyle w:val="4"/>
        <w:numPr>
          <w:ilvl w:val="0"/>
          <w:numId w:val="0"/>
        </w:numPr>
        <w:spacing w:line="360" w:lineRule="auto"/>
        <w:jc w:val="left"/>
        <w:rPr>
          <w:rFonts w:hint="eastAsia"/>
          <w:color w:val="auto"/>
          <w:highlight w:val="none"/>
        </w:rPr>
      </w:pPr>
      <w:bookmarkStart w:id="96" w:name="bookmark88"/>
      <w:bookmarkEnd w:id="96"/>
      <w:bookmarkStart w:id="97" w:name="_Toc43906328"/>
      <w:r>
        <w:rPr>
          <w:rFonts w:hint="eastAsia" w:ascii="宋体" w:hAnsi="宋体" w:eastAsia="宋体" w:cs="宋体"/>
          <w:b/>
          <w:color w:val="auto"/>
          <w:kern w:val="2"/>
          <w:highlight w:val="none"/>
        </w:rPr>
        <w:t>3. 评标程序</w:t>
      </w:r>
      <w:bookmarkEnd w:id="97"/>
    </w:p>
    <w:p>
      <w:pPr>
        <w:pStyle w:val="7"/>
        <w:kinsoku w:val="0"/>
        <w:overflowPunct w:val="0"/>
        <w:spacing w:before="0" w:after="0" w:line="360" w:lineRule="auto"/>
        <w:rPr>
          <w:rFonts w:hint="eastAsia" w:ascii="宋体" w:hAnsi="宋体" w:eastAsia="宋体" w:cs="宋体"/>
          <w:color w:val="auto"/>
          <w:highlight w:val="none"/>
        </w:rPr>
      </w:pPr>
      <w:bookmarkStart w:id="98" w:name="bookmark89"/>
      <w:bookmarkEnd w:id="98"/>
      <w:r>
        <w:rPr>
          <w:rFonts w:hint="eastAsia" w:ascii="宋体" w:hAnsi="宋体" w:eastAsia="宋体" w:cs="宋体"/>
          <w:color w:val="auto"/>
          <w:highlight w:val="none"/>
        </w:rPr>
        <w:t>3.1 初步评审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3.1.2投标人有以下情形之一的，评标委员会应当否决其投标：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pPr>
        <w:rPr>
          <w:rFonts w:hint="eastAsia" w:ascii="宋体" w:hAnsi="宋体" w:eastAsia="宋体" w:cs="宋体"/>
          <w:color w:val="auto"/>
          <w:highlight w:val="none"/>
        </w:rPr>
      </w:pPr>
    </w:p>
    <w:p>
      <w:pPr>
        <w:pStyle w:val="7"/>
        <w:kinsoku w:val="0"/>
        <w:overflowPunct w:val="0"/>
        <w:spacing w:before="0" w:after="0" w:line="360" w:lineRule="auto"/>
        <w:rPr>
          <w:rFonts w:hint="eastAsia" w:ascii="宋体" w:hAnsi="宋体" w:eastAsia="宋体" w:cs="宋体"/>
          <w:color w:val="auto"/>
          <w:highlight w:val="none"/>
        </w:rPr>
      </w:pPr>
      <w:bookmarkStart w:id="99" w:name="bookmark90"/>
      <w:bookmarkEnd w:id="99"/>
      <w:r>
        <w:rPr>
          <w:rFonts w:hint="eastAsia" w:ascii="宋体" w:hAnsi="宋体" w:eastAsia="宋体" w:cs="宋体"/>
          <w:color w:val="auto"/>
          <w:highlight w:val="none"/>
        </w:rPr>
        <w:t>3.2 详细评审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3.2.1评标委员会按本章第2.2款规定的量化因素和分值进行打分，并计算出综合评估得分。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（1）按本章第2.2.4（1）目规定的评审因素和分值对商务部分计算出得分A；</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（2）按本章第2.2.4（2）目规定的评审因素和分值对技术部分计算出得分B；</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（3）按本章第2.2.4（3）目规定的评审因素和分值对投标报价计算出得分C；</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3.2.2评分分值计算保留小数点后两位，小数点后第三位“四舍五入”。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3.2.3投标人得分=A+B+C。</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rPr>
          <w:rFonts w:hint="eastAsia" w:ascii="宋体" w:hAnsi="宋体" w:eastAsia="宋体" w:cs="宋体"/>
          <w:color w:val="auto"/>
          <w:highlight w:val="none"/>
        </w:rPr>
      </w:pPr>
    </w:p>
    <w:p>
      <w:pPr>
        <w:pStyle w:val="7"/>
        <w:kinsoku w:val="0"/>
        <w:overflowPunct w:val="0"/>
        <w:spacing w:before="0" w:after="0" w:line="360" w:lineRule="auto"/>
        <w:rPr>
          <w:rFonts w:hint="eastAsia" w:ascii="宋体" w:hAnsi="宋体" w:eastAsia="宋体" w:cs="宋体"/>
          <w:color w:val="auto"/>
          <w:highlight w:val="none"/>
        </w:rPr>
      </w:pPr>
      <w:bookmarkStart w:id="100" w:name="bookmark91"/>
      <w:bookmarkEnd w:id="100"/>
      <w:r>
        <w:rPr>
          <w:rFonts w:hint="eastAsia" w:ascii="宋体" w:hAnsi="宋体" w:eastAsia="宋体" w:cs="宋体"/>
          <w:color w:val="auto"/>
          <w:highlight w:val="none"/>
        </w:rPr>
        <w:t>3.3 投标文件的澄清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3.3.2澄清、说明或补正不得超出投标文件的范围且不得改变投标文件的实质性内容，并构成投标文件的组成部分。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3.3.3评标委员会对投标人提交的澄清、说明或补正有疑问的，可以要求投标人进一步澄清、说明或补正，直至满足评标委员会的要求。</w:t>
      </w:r>
    </w:p>
    <w:p>
      <w:pPr>
        <w:rPr>
          <w:rFonts w:hint="eastAsia" w:ascii="宋体" w:hAnsi="宋体" w:eastAsia="宋体" w:cs="宋体"/>
          <w:color w:val="auto"/>
          <w:highlight w:val="none"/>
        </w:rPr>
      </w:pPr>
    </w:p>
    <w:p>
      <w:pPr>
        <w:pStyle w:val="7"/>
        <w:kinsoku w:val="0"/>
        <w:overflowPunct w:val="0"/>
        <w:spacing w:before="0" w:after="0" w:line="360" w:lineRule="auto"/>
        <w:rPr>
          <w:rFonts w:hint="eastAsia" w:ascii="宋体" w:hAnsi="宋体" w:eastAsia="宋体" w:cs="宋体"/>
          <w:color w:val="auto"/>
          <w:highlight w:val="none"/>
        </w:rPr>
      </w:pPr>
      <w:bookmarkStart w:id="101" w:name="bookmark92"/>
      <w:bookmarkEnd w:id="101"/>
      <w:r>
        <w:rPr>
          <w:rFonts w:hint="eastAsia" w:ascii="宋体" w:hAnsi="宋体" w:eastAsia="宋体" w:cs="宋体"/>
          <w:color w:val="auto"/>
          <w:highlight w:val="none"/>
        </w:rPr>
        <w:t>3.4 评标结果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3.4.1除第二章“投标人须知”前附表授权直接确定中标人外，评标委员会按照得分由高到低的顺序推荐中标候选人，并标明排序。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3.4.2评标委员会完成评标后，应当向招标人提交书面评标报告和中标候选人名单。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numPr>
          <w:ins w:id="2" w:author="as3" w:date="2022-09-02T13:45:38Z"/>
        </w:numPr>
        <w:rPr>
          <w:color w:val="auto"/>
          <w:highlight w:val="none"/>
        </w:rPr>
      </w:pPr>
      <w:r>
        <w:rPr>
          <w:rFonts w:hint="eastAsia" w:ascii="宋体" w:hAnsi="宋体" w:eastAsia="宋体" w:cs="宋体"/>
          <w:color w:val="auto"/>
          <w:highlight w:val="none"/>
        </w:rPr>
        <w:br w:type="page"/>
      </w:r>
    </w:p>
    <w:p>
      <w:pPr>
        <w:pStyle w:val="4"/>
        <w:numPr>
          <w:ilvl w:val="-1"/>
          <w:numId w:val="0"/>
        </w:numPr>
        <w:ind w:left="0" w:firstLine="0"/>
        <w:jc w:val="both"/>
        <w:rPr>
          <w:color w:val="auto"/>
          <w:highlight w:val="none"/>
        </w:rPr>
      </w:pPr>
    </w:p>
    <w:p>
      <w:pPr>
        <w:rPr>
          <w:rFonts w:ascii="宋体" w:cs="宋体"/>
          <w:color w:val="auto"/>
          <w:sz w:val="24"/>
          <w:highlight w:val="none"/>
        </w:rPr>
      </w:pPr>
    </w:p>
    <w:p>
      <w:pPr>
        <w:rPr>
          <w:color w:val="auto"/>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color w:val="auto"/>
          <w:highlight w:val="none"/>
        </w:rPr>
      </w:pPr>
    </w:p>
    <w:p>
      <w:pPr>
        <w:spacing w:line="336" w:lineRule="auto"/>
        <w:rPr>
          <w:rFonts w:ascii="黑体" w:eastAsia="黑体"/>
          <w:color w:val="auto"/>
          <w:sz w:val="28"/>
          <w:szCs w:val="20"/>
          <w:highlight w:val="none"/>
        </w:rPr>
      </w:pPr>
    </w:p>
    <w:p>
      <w:pPr>
        <w:pStyle w:val="4"/>
        <w:numPr>
          <w:ilvl w:val="0"/>
          <w:numId w:val="0"/>
        </w:numPr>
        <w:tabs>
          <w:tab w:val="clear" w:pos="435"/>
        </w:tabs>
        <w:spacing w:line="360" w:lineRule="auto"/>
        <w:rPr>
          <w:color w:val="auto"/>
          <w:highlight w:val="none"/>
        </w:rPr>
      </w:pPr>
      <w:bookmarkStart w:id="102" w:name="_Toc4139"/>
      <w:bookmarkStart w:id="103" w:name="_Toc15806"/>
      <w:r>
        <w:rPr>
          <w:rFonts w:hint="eastAsia" w:ascii="方正姚体" w:hAnsi="方正姚体" w:eastAsia="方正姚体" w:cs="方正姚体"/>
          <w:b/>
          <w:bCs/>
          <w:color w:val="auto"/>
          <w:sz w:val="52"/>
          <w:szCs w:val="52"/>
          <w:highlight w:val="none"/>
        </w:rPr>
        <w:t>第四章合同条款及格式</w:t>
      </w:r>
      <w:bookmarkEnd w:id="102"/>
      <w:bookmarkEnd w:id="103"/>
    </w:p>
    <w:p>
      <w:pPr>
        <w:spacing w:line="360" w:lineRule="auto"/>
        <w:jc w:val="center"/>
        <w:rPr>
          <w:rFonts w:ascii="方正姚体" w:hAnsi="宋体" w:eastAsia="方正姚体"/>
          <w:b/>
          <w:bCs/>
          <w:color w:val="auto"/>
          <w:sz w:val="52"/>
          <w:szCs w:val="52"/>
          <w:highlight w:val="none"/>
        </w:rPr>
      </w:pPr>
    </w:p>
    <w:p>
      <w:pPr>
        <w:spacing w:line="360" w:lineRule="auto"/>
        <w:jc w:val="center"/>
        <w:rPr>
          <w:rFonts w:ascii="方正姚体" w:hAnsi="宋体" w:eastAsia="方正姚体"/>
          <w:b/>
          <w:bCs/>
          <w:color w:val="auto"/>
          <w:sz w:val="52"/>
          <w:szCs w:val="52"/>
          <w:highlight w:val="none"/>
        </w:rPr>
      </w:pPr>
    </w:p>
    <w:p>
      <w:pPr>
        <w:spacing w:line="360" w:lineRule="auto"/>
        <w:jc w:val="center"/>
        <w:rPr>
          <w:rFonts w:ascii="方正姚体" w:hAnsi="宋体" w:eastAsia="方正姚体"/>
          <w:b/>
          <w:bCs/>
          <w:color w:val="auto"/>
          <w:sz w:val="52"/>
          <w:szCs w:val="52"/>
          <w:highlight w:val="none"/>
        </w:rPr>
      </w:pPr>
    </w:p>
    <w:p>
      <w:pPr>
        <w:spacing w:line="360" w:lineRule="auto"/>
        <w:jc w:val="center"/>
        <w:rPr>
          <w:rFonts w:ascii="方正姚体" w:hAnsi="宋体" w:eastAsia="方正姚体"/>
          <w:b/>
          <w:bCs/>
          <w:color w:val="auto"/>
          <w:sz w:val="52"/>
          <w:szCs w:val="52"/>
          <w:highlight w:val="none"/>
        </w:rPr>
      </w:pPr>
    </w:p>
    <w:p>
      <w:pPr>
        <w:spacing w:line="360" w:lineRule="auto"/>
        <w:jc w:val="center"/>
        <w:rPr>
          <w:rFonts w:ascii="方正姚体" w:hAnsi="宋体" w:eastAsia="方正姚体"/>
          <w:b/>
          <w:bCs/>
          <w:color w:val="auto"/>
          <w:sz w:val="52"/>
          <w:szCs w:val="52"/>
          <w:highlight w:val="none"/>
        </w:rPr>
      </w:pPr>
    </w:p>
    <w:p>
      <w:pPr>
        <w:spacing w:line="360" w:lineRule="auto"/>
        <w:jc w:val="center"/>
        <w:rPr>
          <w:rFonts w:ascii="方正姚体" w:hAnsi="宋体" w:eastAsia="方正姚体"/>
          <w:b/>
          <w:bCs/>
          <w:color w:val="auto"/>
          <w:sz w:val="52"/>
          <w:szCs w:val="52"/>
          <w:highlight w:val="none"/>
        </w:rPr>
      </w:pPr>
    </w:p>
    <w:p>
      <w:pPr>
        <w:spacing w:line="360" w:lineRule="auto"/>
        <w:rPr>
          <w:rFonts w:ascii="方正姚体" w:hAnsi="宋体" w:eastAsia="方正姚体"/>
          <w:b/>
          <w:bCs/>
          <w:color w:val="auto"/>
          <w:sz w:val="52"/>
          <w:szCs w:val="52"/>
          <w:highlight w:val="none"/>
        </w:rPr>
      </w:pPr>
    </w:p>
    <w:p>
      <w:pPr>
        <w:spacing w:line="360" w:lineRule="auto"/>
        <w:rPr>
          <w:rFonts w:ascii="方正姚体" w:hAnsi="宋体" w:eastAsia="方正姚体"/>
          <w:b/>
          <w:bCs/>
          <w:color w:val="auto"/>
          <w:sz w:val="24"/>
          <w:highlight w:val="none"/>
        </w:rPr>
        <w:sectPr>
          <w:footnotePr>
            <w:numFmt w:val="decimalEnclosedCircleChinese"/>
          </w:footnotePr>
          <w:pgSz w:w="11906" w:h="16838"/>
          <w:pgMar w:top="1134" w:right="1418" w:bottom="1134" w:left="1418" w:header="567" w:footer="851" w:gutter="0"/>
          <w:pgBorders>
            <w:top w:val="none" w:sz="0" w:space="0"/>
            <w:left w:val="none" w:sz="0" w:space="0"/>
            <w:bottom w:val="none" w:sz="0" w:space="0"/>
            <w:right w:val="none" w:sz="0" w:space="0"/>
          </w:pgBorders>
          <w:pgNumType w:fmt="decimal"/>
          <w:cols w:space="720" w:num="1"/>
          <w:docGrid w:linePitch="312" w:charSpace="0"/>
        </w:sectPr>
      </w:pPr>
    </w:p>
    <w:p>
      <w:pPr>
        <w:tabs>
          <w:tab w:val="left" w:pos="4354"/>
        </w:tabs>
        <w:spacing w:after="240"/>
        <w:jc w:val="center"/>
        <w:rPr>
          <w:rFonts w:ascii="宋体" w:hAnsi="宋体"/>
          <w:b/>
          <w:bCs/>
          <w:color w:val="auto"/>
          <w:sz w:val="44"/>
          <w:szCs w:val="44"/>
          <w:highlight w:val="none"/>
        </w:rPr>
      </w:pPr>
    </w:p>
    <w:p>
      <w:pPr>
        <w:spacing w:after="240"/>
        <w:jc w:val="center"/>
        <w:rPr>
          <w:rFonts w:ascii="宋体" w:hAnsi="宋体"/>
          <w:b/>
          <w:bCs/>
          <w:color w:val="auto"/>
          <w:sz w:val="44"/>
          <w:szCs w:val="44"/>
          <w:highlight w:val="none"/>
        </w:rPr>
      </w:pPr>
      <w:r>
        <w:rPr>
          <w:rFonts w:hint="eastAsia" w:ascii="宋体" w:hAnsi="宋体"/>
          <w:b/>
          <w:bCs/>
          <w:color w:val="auto"/>
          <w:sz w:val="44"/>
          <w:szCs w:val="44"/>
          <w:highlight w:val="none"/>
          <w:lang w:val="en-US" w:eastAsia="zh-CN"/>
        </w:rPr>
        <w:t>新花大道（花都大道-迎宾大道）工程第三方检测监测（第3标段）</w:t>
      </w:r>
      <w:r>
        <w:rPr>
          <w:rFonts w:hint="eastAsia" w:ascii="宋体" w:hAnsi="宋体"/>
          <w:b/>
          <w:bCs/>
          <w:color w:val="auto"/>
          <w:sz w:val="44"/>
          <w:szCs w:val="44"/>
          <w:highlight w:val="none"/>
        </w:rPr>
        <w:t>服务合同</w:t>
      </w:r>
    </w:p>
    <w:p>
      <w:pPr>
        <w:spacing w:after="240"/>
        <w:jc w:val="center"/>
        <w:rPr>
          <w:rFonts w:ascii="宋体" w:hAnsi="宋体"/>
          <w:b/>
          <w:bCs/>
          <w:color w:val="auto"/>
          <w:sz w:val="44"/>
          <w:szCs w:val="44"/>
          <w:highlight w:val="none"/>
        </w:rPr>
      </w:pPr>
    </w:p>
    <w:p>
      <w:pPr>
        <w:spacing w:beforeLines="200" w:after="240" w:line="480" w:lineRule="auto"/>
        <w:jc w:val="center"/>
        <w:rPr>
          <w:rFonts w:ascii="宋体" w:hAnsi="宋体"/>
          <w:b/>
          <w:bCs/>
          <w:color w:val="auto"/>
          <w:sz w:val="44"/>
          <w:szCs w:val="44"/>
          <w:highlight w:val="none"/>
        </w:rPr>
      </w:pPr>
      <w:r>
        <w:rPr>
          <w:rFonts w:hint="eastAsia" w:ascii="宋体" w:hAnsi="宋体"/>
          <w:b/>
          <w:bCs/>
          <w:color w:val="auto"/>
          <w:sz w:val="44"/>
          <w:szCs w:val="44"/>
          <w:highlight w:val="none"/>
        </w:rPr>
        <w:t>（注：合同条款最终以双方签约的版本为准）</w:t>
      </w:r>
    </w:p>
    <w:p>
      <w:pPr>
        <w:tabs>
          <w:tab w:val="left" w:pos="6720"/>
        </w:tabs>
        <w:rPr>
          <w:rFonts w:ascii="宋体" w:hAnsi="宋体"/>
          <w:color w:val="auto"/>
          <w:sz w:val="24"/>
          <w:highlight w:val="none"/>
        </w:rPr>
      </w:pPr>
    </w:p>
    <w:p>
      <w:pPr>
        <w:rPr>
          <w:rFonts w:ascii="宋体" w:hAnsi="宋体"/>
          <w:color w:val="auto"/>
          <w:sz w:val="24"/>
          <w:highlight w:val="none"/>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rPr>
          <w:rFonts w:ascii="宋体" w:hAnsi="宋体"/>
          <w:color w:val="auto"/>
          <w:sz w:val="24"/>
          <w:highlight w:val="none"/>
        </w:rPr>
      </w:pPr>
    </w:p>
    <w:p>
      <w:pPr>
        <w:widowControl/>
        <w:snapToGrid w:val="0"/>
        <w:spacing w:line="360" w:lineRule="auto"/>
        <w:ind w:left="1905" w:leftChars="150" w:hanging="1590" w:hangingChars="495"/>
        <w:rPr>
          <w:rFonts w:ascii="宋体" w:hAnsi="宋体"/>
          <w:bCs/>
          <w:iCs/>
          <w:color w:val="auto"/>
          <w:sz w:val="32"/>
          <w:szCs w:val="32"/>
          <w:highlight w:val="none"/>
          <w:u w:val="single"/>
          <w:lang w:val="en-US"/>
        </w:rPr>
      </w:pPr>
      <w:r>
        <w:rPr>
          <w:rFonts w:hint="eastAsia"/>
          <w:b/>
          <w:color w:val="auto"/>
          <w:sz w:val="32"/>
          <w:szCs w:val="32"/>
          <w:highlight w:val="none"/>
        </w:rPr>
        <w:t>工程名称：</w:t>
      </w:r>
      <w:r>
        <w:rPr>
          <w:rFonts w:hint="eastAsia" w:ascii="宋体" w:hAnsi="宋体"/>
          <w:bCs/>
          <w:iCs/>
          <w:color w:val="auto"/>
          <w:sz w:val="32"/>
          <w:szCs w:val="32"/>
          <w:highlight w:val="none"/>
          <w:u w:val="single"/>
          <w:lang w:val="en-US" w:eastAsia="zh-CN"/>
        </w:rPr>
        <w:t>新花大道（花都大道-迎宾大道）工程第三方检测监测（第3标段）</w:t>
      </w:r>
    </w:p>
    <w:p>
      <w:pPr>
        <w:adjustRightInd w:val="0"/>
        <w:snapToGrid w:val="0"/>
        <w:spacing w:before="100" w:beforeAutospacing="1" w:after="100" w:afterAutospacing="1" w:line="360" w:lineRule="auto"/>
        <w:ind w:left="315" w:leftChars="150"/>
        <w:rPr>
          <w:rFonts w:ascii="宋体" w:hAnsi="宋体"/>
          <w:bCs/>
          <w:iCs/>
          <w:color w:val="auto"/>
          <w:sz w:val="32"/>
          <w:szCs w:val="32"/>
          <w:highlight w:val="none"/>
          <w:u w:val="single"/>
        </w:rPr>
      </w:pPr>
      <w:r>
        <w:rPr>
          <w:rFonts w:hint="eastAsia"/>
          <w:b/>
          <w:color w:val="auto"/>
          <w:sz w:val="32"/>
          <w:szCs w:val="32"/>
          <w:highlight w:val="none"/>
        </w:rPr>
        <w:t>委托人（甲方）：</w:t>
      </w:r>
      <w:r>
        <w:rPr>
          <w:rFonts w:hint="eastAsia" w:ascii="宋体" w:hAnsi="宋体"/>
          <w:bCs/>
          <w:iCs/>
          <w:color w:val="auto"/>
          <w:sz w:val="32"/>
          <w:szCs w:val="32"/>
          <w:highlight w:val="none"/>
          <w:u w:val="single"/>
        </w:rPr>
        <w:t>广州市花都区交通运输局</w:t>
      </w:r>
    </w:p>
    <w:p>
      <w:pPr>
        <w:adjustRightInd w:val="0"/>
        <w:snapToGrid w:val="0"/>
        <w:spacing w:before="100" w:beforeAutospacing="1" w:after="100" w:afterAutospacing="1" w:line="360" w:lineRule="auto"/>
        <w:ind w:left="2564" w:leftChars="150" w:hanging="2249" w:hangingChars="700"/>
        <w:rPr>
          <w:rFonts w:hint="eastAsia" w:ascii="宋体" w:eastAsia="宋体"/>
          <w:bCs/>
          <w:iCs/>
          <w:color w:val="auto"/>
          <w:sz w:val="32"/>
          <w:szCs w:val="32"/>
          <w:highlight w:val="none"/>
          <w:u w:val="single"/>
          <w:lang w:val="en-US" w:eastAsia="zh-CN"/>
        </w:rPr>
      </w:pPr>
      <w:r>
        <w:rPr>
          <w:rFonts w:hint="eastAsia"/>
          <w:b/>
          <w:color w:val="auto"/>
          <w:sz w:val="32"/>
          <w:szCs w:val="32"/>
          <w:highlight w:val="none"/>
        </w:rPr>
        <w:t>受托人（乙方）：</w:t>
      </w:r>
      <w:r>
        <w:rPr>
          <w:rFonts w:ascii="宋体" w:hAnsi="宋体"/>
          <w:bCs/>
          <w:iCs/>
          <w:color w:val="auto"/>
          <w:sz w:val="32"/>
          <w:szCs w:val="32"/>
          <w:highlight w:val="none"/>
          <w:u w:val="single"/>
        </w:rPr>
        <w:t xml:space="preserve"> </w:t>
      </w:r>
      <w:r>
        <w:rPr>
          <w:rFonts w:hint="eastAsia" w:ascii="宋体" w:hAnsi="宋体"/>
          <w:bCs/>
          <w:iCs/>
          <w:color w:val="auto"/>
          <w:sz w:val="32"/>
          <w:szCs w:val="32"/>
          <w:highlight w:val="none"/>
          <w:u w:val="single"/>
          <w:lang w:val="en-US" w:eastAsia="zh-CN"/>
        </w:rPr>
        <w:t xml:space="preserve">                  </w:t>
      </w:r>
      <w:r>
        <w:rPr>
          <w:rFonts w:ascii="宋体" w:hAnsi="宋体"/>
          <w:bCs/>
          <w:iCs/>
          <w:color w:val="auto"/>
          <w:sz w:val="32"/>
          <w:szCs w:val="32"/>
          <w:highlight w:val="none"/>
          <w:u w:val="single"/>
        </w:rPr>
        <w:t xml:space="preserve"> </w:t>
      </w:r>
      <w:r>
        <w:rPr>
          <w:rFonts w:hint="eastAsia" w:ascii="宋体" w:hAnsi="宋体"/>
          <w:bCs/>
          <w:iCs/>
          <w:color w:val="auto"/>
          <w:sz w:val="32"/>
          <w:szCs w:val="32"/>
          <w:highlight w:val="none"/>
          <w:u w:val="single"/>
          <w:lang w:val="en-US" w:eastAsia="zh-CN"/>
        </w:rPr>
        <w:t xml:space="preserve">  </w:t>
      </w:r>
    </w:p>
    <w:p>
      <w:pPr>
        <w:adjustRightInd w:val="0"/>
        <w:snapToGrid w:val="0"/>
        <w:spacing w:before="100" w:beforeAutospacing="1" w:after="100" w:afterAutospacing="1" w:line="360" w:lineRule="auto"/>
        <w:ind w:left="315" w:leftChars="150"/>
        <w:rPr>
          <w:rFonts w:hint="eastAsia" w:ascii="宋体" w:hAnsi="宋体" w:eastAsia="宋体"/>
          <w:bCs/>
          <w:iCs/>
          <w:color w:val="auto"/>
          <w:sz w:val="32"/>
          <w:szCs w:val="32"/>
          <w:highlight w:val="none"/>
          <w:u w:val="single"/>
          <w:lang w:val="en-US" w:eastAsia="zh-CN"/>
        </w:rPr>
      </w:pPr>
      <w:r>
        <w:rPr>
          <w:rFonts w:hint="eastAsia"/>
          <w:b/>
          <w:color w:val="auto"/>
          <w:sz w:val="32"/>
          <w:szCs w:val="32"/>
          <w:highlight w:val="none"/>
        </w:rPr>
        <w:t>甲方合同编号：</w:t>
      </w:r>
      <w:r>
        <w:rPr>
          <w:rFonts w:hint="eastAsia" w:ascii="宋体" w:hAnsi="宋体"/>
          <w:bCs/>
          <w:iCs/>
          <w:color w:val="auto"/>
          <w:sz w:val="32"/>
          <w:szCs w:val="32"/>
          <w:highlight w:val="none"/>
          <w:u w:val="single"/>
          <w:lang w:val="en-US" w:eastAsia="zh-CN"/>
        </w:rPr>
        <w:t xml:space="preserve">     </w:t>
      </w:r>
    </w:p>
    <w:p>
      <w:pPr>
        <w:adjustRightInd w:val="0"/>
        <w:snapToGrid w:val="0"/>
        <w:spacing w:before="100" w:beforeAutospacing="1" w:after="100" w:afterAutospacing="1" w:line="360" w:lineRule="auto"/>
        <w:ind w:left="315" w:leftChars="150"/>
        <w:rPr>
          <w:color w:val="auto"/>
          <w:sz w:val="32"/>
          <w:szCs w:val="32"/>
          <w:highlight w:val="none"/>
          <w:u w:val="single"/>
        </w:rPr>
      </w:pPr>
      <w:r>
        <w:rPr>
          <w:rFonts w:hint="eastAsia"/>
          <w:b/>
          <w:color w:val="auto"/>
          <w:sz w:val="32"/>
          <w:szCs w:val="32"/>
          <w:highlight w:val="none"/>
        </w:rPr>
        <w:t>签订日期：</w:t>
      </w:r>
      <w:r>
        <w:rPr>
          <w:color w:val="auto"/>
          <w:sz w:val="32"/>
          <w:szCs w:val="32"/>
          <w:highlight w:val="none"/>
          <w:u w:val="single"/>
        </w:rPr>
        <w:t xml:space="preserve">  </w:t>
      </w:r>
      <w:r>
        <w:rPr>
          <w:rFonts w:hint="eastAsia" w:ascii="Times New Roman" w:eastAsia="宋体"/>
          <w:color w:val="auto"/>
          <w:sz w:val="32"/>
          <w:szCs w:val="32"/>
          <w:highlight w:val="none"/>
          <w:u w:val="single"/>
          <w:lang w:val="en-US" w:eastAsia="zh-CN"/>
        </w:rPr>
        <w:t xml:space="preserve">  </w:t>
      </w:r>
      <w:r>
        <w:rPr>
          <w:rFonts w:hint="eastAsia"/>
          <w:color w:val="auto"/>
          <w:sz w:val="32"/>
          <w:szCs w:val="32"/>
          <w:highlight w:val="none"/>
          <w:u w:val="single"/>
        </w:rPr>
        <w:t>年</w:t>
      </w:r>
      <w:r>
        <w:rPr>
          <w:rFonts w:hint="eastAsia" w:ascii="Times New Roman" w:eastAsia="宋体"/>
          <w:color w:val="auto"/>
          <w:sz w:val="32"/>
          <w:szCs w:val="32"/>
          <w:highlight w:val="none"/>
          <w:u w:val="single"/>
          <w:lang w:val="en-US" w:eastAsia="zh-CN"/>
        </w:rPr>
        <w:t xml:space="preserve">  </w:t>
      </w:r>
      <w:r>
        <w:rPr>
          <w:rFonts w:hint="eastAsia"/>
          <w:color w:val="auto"/>
          <w:sz w:val="32"/>
          <w:szCs w:val="32"/>
          <w:highlight w:val="none"/>
          <w:u w:val="single"/>
        </w:rPr>
        <w:t>月</w:t>
      </w:r>
      <w:r>
        <w:rPr>
          <w:rFonts w:hint="eastAsia" w:ascii="Times New Roman" w:eastAsia="宋体"/>
          <w:color w:val="auto"/>
          <w:sz w:val="32"/>
          <w:szCs w:val="32"/>
          <w:highlight w:val="none"/>
          <w:u w:val="single"/>
          <w:lang w:val="en-US" w:eastAsia="zh-CN"/>
        </w:rPr>
        <w:t xml:space="preserve">   </w:t>
      </w:r>
      <w:r>
        <w:rPr>
          <w:rFonts w:hint="eastAsia"/>
          <w:color w:val="auto"/>
          <w:sz w:val="32"/>
          <w:szCs w:val="32"/>
          <w:highlight w:val="none"/>
          <w:u w:val="single"/>
        </w:rPr>
        <w:t>日</w:t>
      </w:r>
      <w:r>
        <w:rPr>
          <w:color w:val="auto"/>
          <w:sz w:val="32"/>
          <w:szCs w:val="32"/>
          <w:highlight w:val="none"/>
          <w:u w:val="single"/>
        </w:rPr>
        <w:t xml:space="preserve"> </w:t>
      </w:r>
    </w:p>
    <w:p>
      <w:pPr>
        <w:adjustRightInd w:val="0"/>
        <w:snapToGrid w:val="0"/>
        <w:spacing w:before="100" w:beforeAutospacing="1" w:after="100" w:afterAutospacing="1" w:line="360" w:lineRule="auto"/>
        <w:ind w:left="0" w:leftChars="0"/>
        <w:rPr>
          <w:color w:val="auto"/>
          <w:sz w:val="32"/>
          <w:szCs w:val="32"/>
          <w:highlight w:val="none"/>
          <w:u w:val="single"/>
        </w:rPr>
      </w:pPr>
    </w:p>
    <w:p>
      <w:pPr>
        <w:adjustRightInd w:val="0"/>
        <w:snapToGrid w:val="0"/>
        <w:spacing w:before="100" w:beforeAutospacing="1" w:after="100" w:afterAutospacing="1" w:line="360" w:lineRule="auto"/>
        <w:ind w:left="0" w:leftChars="0"/>
        <w:rPr>
          <w:color w:val="auto"/>
          <w:sz w:val="32"/>
          <w:szCs w:val="32"/>
          <w:highlight w:val="none"/>
          <w:u w:val="single"/>
        </w:rPr>
        <w:sectPr>
          <w:footerReference r:id="rId13" w:type="default"/>
          <w:pgSz w:w="11906" w:h="16838"/>
          <w:pgMar w:top="1080" w:right="1440" w:bottom="1080" w:left="1440" w:header="284" w:footer="617" w:gutter="0"/>
          <w:pgBorders>
            <w:top w:val="none" w:sz="0" w:space="0"/>
            <w:left w:val="none" w:sz="0" w:space="0"/>
            <w:bottom w:val="none" w:sz="0" w:space="0"/>
            <w:right w:val="none" w:sz="0" w:space="0"/>
          </w:pgBorders>
          <w:pgNumType w:fmt="decimal"/>
          <w:cols w:space="425" w:num="1"/>
          <w:docGrid w:type="lines" w:linePitch="312" w:charSpace="0"/>
        </w:sectPr>
      </w:pPr>
    </w:p>
    <w:p>
      <w:pPr>
        <w:spacing w:after="240"/>
        <w:jc w:val="center"/>
        <w:rPr>
          <w:rFonts w:ascii="宋体" w:hAnsi="宋体"/>
          <w:b/>
          <w:bCs/>
          <w:color w:val="auto"/>
          <w:sz w:val="44"/>
          <w:szCs w:val="44"/>
          <w:highlight w:val="none"/>
        </w:rPr>
      </w:pPr>
      <w:r>
        <w:rPr>
          <w:rFonts w:hint="eastAsia" w:ascii="宋体" w:hAnsi="宋体"/>
          <w:b/>
          <w:bCs/>
          <w:color w:val="auto"/>
          <w:sz w:val="44"/>
          <w:szCs w:val="44"/>
          <w:highlight w:val="none"/>
          <w:lang w:val="en-US" w:eastAsia="zh-CN"/>
        </w:rPr>
        <w:t>新花大道（花都大道-迎宾大道）工程第三方检测监测（第3标段）</w:t>
      </w:r>
      <w:r>
        <w:rPr>
          <w:rFonts w:hint="eastAsia" w:ascii="宋体" w:hAnsi="宋体"/>
          <w:b/>
          <w:bCs/>
          <w:color w:val="auto"/>
          <w:sz w:val="44"/>
          <w:szCs w:val="44"/>
          <w:highlight w:val="none"/>
        </w:rPr>
        <w:t>服务合同</w:t>
      </w:r>
    </w:p>
    <w:p>
      <w:pPr>
        <w:adjustRightInd w:val="0"/>
        <w:snapToGrid w:val="0"/>
        <w:spacing w:line="360" w:lineRule="auto"/>
        <w:jc w:val="left"/>
        <w:rPr>
          <w:rFonts w:ascii="宋体" w:hAnsi="宋体" w:cs="宋体"/>
          <w:color w:val="auto"/>
          <w:kern w:val="0"/>
          <w:sz w:val="24"/>
          <w:highlight w:val="none"/>
        </w:rPr>
      </w:pPr>
    </w:p>
    <w:p>
      <w:pPr>
        <w:adjustRightInd w:val="0"/>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委托人</w:t>
      </w:r>
      <w:r>
        <w:rPr>
          <w:rFonts w:hint="eastAsia" w:ascii="宋体" w:hAnsi="宋体" w:cs="宋体"/>
          <w:color w:val="auto"/>
          <w:kern w:val="0"/>
          <w:sz w:val="24"/>
          <w:highlight w:val="none"/>
          <w:lang w:eastAsia="zh-CN"/>
        </w:rPr>
        <w:t>（</w:t>
      </w:r>
      <w:r>
        <w:rPr>
          <w:rFonts w:ascii="宋体" w:hAnsi="宋体" w:cs="宋体"/>
          <w:color w:val="auto"/>
          <w:kern w:val="0"/>
          <w:sz w:val="24"/>
          <w:highlight w:val="none"/>
        </w:rPr>
        <w:t>甲方</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广州市花都区交通运输局</w:t>
      </w:r>
    </w:p>
    <w:p>
      <w:pPr>
        <w:spacing w:line="360" w:lineRule="auto"/>
        <w:rPr>
          <w:rFonts w:hint="default" w:ascii="宋体" w:hAnsi="宋体" w:cs="宋体"/>
          <w:color w:val="auto"/>
          <w:kern w:val="0"/>
          <w:sz w:val="24"/>
          <w:highlight w:val="none"/>
          <w:lang w:val="en-US"/>
        </w:rPr>
      </w:pPr>
      <w:r>
        <w:rPr>
          <w:rFonts w:hint="eastAsia" w:ascii="宋体" w:hAnsi="宋体" w:cs="宋体"/>
          <w:color w:val="auto"/>
          <w:kern w:val="0"/>
          <w:sz w:val="24"/>
          <w:highlight w:val="none"/>
        </w:rPr>
        <w:t>受托人（乙方）：</w:t>
      </w:r>
      <w:r>
        <w:rPr>
          <w:rFonts w:hint="eastAsia" w:ascii="宋体" w:hAnsi="宋体" w:cs="宋体"/>
          <w:color w:val="auto"/>
          <w:kern w:val="0"/>
          <w:sz w:val="24"/>
          <w:highlight w:val="none"/>
          <w:u w:val="single"/>
          <w:lang w:val="en-US" w:eastAsia="zh-CN"/>
        </w:rPr>
        <w:t xml:space="preserve">                      </w:t>
      </w:r>
    </w:p>
    <w:p>
      <w:pPr>
        <w:widowControl w:val="0"/>
        <w:spacing w:line="360" w:lineRule="auto"/>
        <w:ind w:left="0" w:leftChars="0" w:firstLine="480" w:firstLineChars="200"/>
        <w:jc w:val="both"/>
        <w:rPr>
          <w:rFonts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甲方委托乙方承担</w:t>
      </w:r>
      <w:r>
        <w:rPr>
          <w:rFonts w:hint="eastAsia" w:ascii="宋体" w:hAnsi="宋体" w:cs="Times New Roman"/>
          <w:b/>
          <w:color w:val="auto"/>
          <w:kern w:val="2"/>
          <w:sz w:val="24"/>
          <w:szCs w:val="24"/>
          <w:highlight w:val="none"/>
          <w:u w:val="single"/>
          <w:lang w:val="en-US" w:eastAsia="zh-CN" w:bidi="ar-SA"/>
        </w:rPr>
        <w:t>新花大道（花都大道-迎宾大道）工程第三方检测监测（第3标段）</w:t>
      </w:r>
      <w:r>
        <w:rPr>
          <w:rFonts w:hint="eastAsia" w:ascii="宋体" w:hAnsi="宋体" w:eastAsia="宋体" w:cs="Times New Roman"/>
          <w:b/>
          <w:color w:val="auto"/>
          <w:kern w:val="2"/>
          <w:sz w:val="24"/>
          <w:szCs w:val="24"/>
          <w:highlight w:val="none"/>
          <w:u w:val="single"/>
          <w:lang w:val="en-US" w:eastAsia="zh-CN" w:bidi="ar-SA"/>
        </w:rPr>
        <w:t>服务</w:t>
      </w:r>
      <w:r>
        <w:rPr>
          <w:rFonts w:hint="eastAsia" w:ascii="宋体" w:hAnsi="宋体" w:eastAsia="宋体" w:cs="Times New Roman"/>
          <w:bCs/>
          <w:color w:val="auto"/>
          <w:kern w:val="2"/>
          <w:sz w:val="24"/>
          <w:szCs w:val="24"/>
          <w:highlight w:val="none"/>
          <w:lang w:val="en-US" w:eastAsia="zh-CN" w:bidi="ar-SA"/>
        </w:rPr>
        <w:t>工作。依据《中华人民共和国民法典》的有关规定，结合本工程的具体情况，为明确责任、协作配合，经协商一致，签订本合同，共同遵守。</w:t>
      </w:r>
    </w:p>
    <w:p>
      <w:pPr>
        <w:widowControl w:val="0"/>
        <w:spacing w:line="360" w:lineRule="auto"/>
        <w:jc w:val="both"/>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工程名称：新花大道（花都大道-迎宾大道）工程（第</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标段）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工程地点：广州市花都区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概况：项目位于花都区花山镇和空港经济区起步区交界处，呈南北走向，北起花都大道，南至迎宾大道，全长约8.65千米。项目采用双向8车道城市主干路技术标准建设，设计速度为60千米小时,近期标准路基段按51米红线实施,跨河涌桥宽60米。项目全线包含路基段约4.25千米，6座立交(分别为:花都大道立交、平石路立交、三东大道立交、商业大道立交、清莲路立交及迎宾大道立交)，3座跨河涌桥(1座80米T型梁桥、2座30米小箱梁桥）以及6座人行天桥，排水管（管径DN500至DN2000雨水管总长约17.3千米;管径DN500至DN2000污水管总长约16.2千米)、电力管沟（横截面1.7米x1.7米，总长约9千米）等，沿线同步新建照明、交通、绿化、配建消火栓及配套给水管网等设施。</w:t>
      </w:r>
    </w:p>
    <w:p>
      <w:pPr>
        <w:widowControl w:val="0"/>
        <w:spacing w:line="360" w:lineRule="auto"/>
        <w:jc w:val="both"/>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二．服务内容、方式和要求</w:t>
      </w:r>
    </w:p>
    <w:p>
      <w:pPr>
        <w:spacing w:line="360" w:lineRule="auto"/>
        <w:ind w:left="-105" w:leftChars="-50" w:firstLine="442" w:firstLineChars="200"/>
        <w:rPr>
          <w:rFonts w:ascii="宋体" w:hAnsi="宋体"/>
          <w:b/>
          <w:color w:val="auto"/>
          <w:spacing w:val="-10"/>
          <w:sz w:val="24"/>
          <w:highlight w:val="none"/>
        </w:rPr>
      </w:pPr>
      <w:r>
        <w:rPr>
          <w:rFonts w:ascii="宋体" w:hAnsi="宋体"/>
          <w:b/>
          <w:color w:val="auto"/>
          <w:spacing w:val="-10"/>
          <w:sz w:val="24"/>
          <w:highlight w:val="none"/>
        </w:rPr>
        <w:t>1、服务内容：</w:t>
      </w:r>
    </w:p>
    <w:p>
      <w:pPr>
        <w:spacing w:line="360" w:lineRule="auto"/>
        <w:ind w:left="-105" w:lef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（1）检测服务内容：对</w:t>
      </w:r>
      <w:r>
        <w:rPr>
          <w:rFonts w:hint="eastAsia" w:ascii="宋体" w:hAnsi="宋体"/>
          <w:bCs/>
          <w:iCs/>
          <w:color w:val="auto"/>
          <w:sz w:val="24"/>
          <w:highlight w:val="none"/>
          <w:u w:val="single"/>
          <w:lang w:val="en-US" w:eastAsia="zh-CN"/>
        </w:rPr>
        <w:t>新花大道（花都大道-迎宾大道）工程（第3标段）</w:t>
      </w:r>
      <w:r>
        <w:rPr>
          <w:rFonts w:hint="eastAsia" w:ascii="宋体" w:hAnsi="宋体" w:cs="宋体"/>
          <w:color w:val="auto"/>
          <w:kern w:val="0"/>
          <w:sz w:val="24"/>
          <w:highlight w:val="none"/>
        </w:rPr>
        <w:t>进入施工现场的建筑材料、构配件的见证取样检测、涉及结构安全项目的抽样检测等；对建设工程主管部门、监督部门要求的具有质量监控作用的地基基础检测项目、市政路桥工程检测项目，以及为工程验收提供依据的检测项目服务范围进行工程检测、试验工作，含道路工程检测；沥青检验与试验；照明工程检测等（具体以工程量清单及施工图纸为准）。</w:t>
      </w:r>
    </w:p>
    <w:p>
      <w:pPr>
        <w:spacing w:line="360" w:lineRule="auto"/>
        <w:ind w:left="-105" w:lef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（2）监测服务内容：对</w:t>
      </w:r>
      <w:r>
        <w:rPr>
          <w:rFonts w:hint="eastAsia" w:ascii="宋体" w:hAnsi="宋体"/>
          <w:bCs/>
          <w:iCs/>
          <w:color w:val="auto"/>
          <w:sz w:val="24"/>
          <w:highlight w:val="none"/>
          <w:u w:val="single"/>
          <w:lang w:val="en-US" w:eastAsia="zh-CN"/>
        </w:rPr>
        <w:t>新花大道（花都大道-迎宾大道）工程（第3标段）</w:t>
      </w:r>
      <w:r>
        <w:rPr>
          <w:rFonts w:hint="eastAsia" w:ascii="宋体" w:hAnsi="宋体" w:cs="宋体"/>
          <w:color w:val="auto"/>
          <w:kern w:val="0"/>
          <w:sz w:val="24"/>
          <w:highlight w:val="none"/>
        </w:rPr>
        <w:t>进行基坑监测等及相关申报监测技术成果审批服务，以便为安全施工及工程验收提供依据，具体内容以施工图纸、工程量清单及相关文件所包含的全部内容为准，包括但不限于以下内容：1、基坑顶位移、沉降观测，深层水平位移监测，地下水位监测，周边地表及管线沉降观测，内支撑轴力监测等项目以及日常基坑工程巡视等。</w:t>
      </w:r>
    </w:p>
    <w:p>
      <w:pPr>
        <w:spacing w:line="360" w:lineRule="auto"/>
        <w:ind w:left="-105" w:leftChars="-50" w:firstLine="480" w:firstLineChars="200"/>
        <w:rPr>
          <w:rFonts w:ascii="宋体" w:hAnsi="宋体"/>
          <w:b/>
          <w:color w:val="auto"/>
          <w:sz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服务范围除以上工程</w:t>
      </w:r>
      <w:r>
        <w:rPr>
          <w:rFonts w:hint="eastAsia" w:ascii="宋体" w:hAnsi="宋体" w:cs="宋体"/>
          <w:color w:val="auto"/>
          <w:kern w:val="0"/>
          <w:sz w:val="24"/>
          <w:highlight w:val="none"/>
        </w:rPr>
        <w:t>检测、</w:t>
      </w:r>
      <w:r>
        <w:rPr>
          <w:rFonts w:ascii="宋体" w:hAnsi="宋体" w:cs="宋体"/>
          <w:color w:val="auto"/>
          <w:kern w:val="0"/>
          <w:sz w:val="24"/>
          <w:highlight w:val="none"/>
        </w:rPr>
        <w:t>监测工作外，还包括：</w:t>
      </w:r>
      <w:r>
        <w:rPr>
          <w:rFonts w:hint="eastAsia" w:ascii="宋体" w:hAnsi="宋体" w:cs="宋体"/>
          <w:color w:val="auto"/>
          <w:kern w:val="0"/>
          <w:sz w:val="24"/>
          <w:highlight w:val="none"/>
        </w:rPr>
        <w:t>①根据《</w:t>
      </w:r>
      <w:r>
        <w:rPr>
          <w:rFonts w:ascii="宋体" w:hAnsi="宋体" w:cs="宋体"/>
          <w:color w:val="auto"/>
          <w:kern w:val="0"/>
          <w:sz w:val="24"/>
          <w:highlight w:val="none"/>
        </w:rPr>
        <w:t>广州市城乡建设委员会关于启用地下工程及深基坑安全监测信息管理系统的通知</w:t>
      </w:r>
      <w:r>
        <w:rPr>
          <w:rFonts w:hint="eastAsia" w:ascii="宋体" w:hAnsi="宋体" w:cs="宋体"/>
          <w:color w:val="auto"/>
          <w:kern w:val="0"/>
          <w:sz w:val="24"/>
          <w:highlight w:val="none"/>
        </w:rPr>
        <w:t>》要求，乙方需做好信息化管理工作（含电子数据上传）；②</w:t>
      </w:r>
      <w:r>
        <w:rPr>
          <w:rFonts w:ascii="宋体" w:hAnsi="宋体" w:cs="宋体"/>
          <w:color w:val="auto"/>
          <w:kern w:val="0"/>
          <w:sz w:val="24"/>
          <w:highlight w:val="none"/>
        </w:rPr>
        <w:t>与工程所在行政区域的相关建设行政主管部门和监督部门进行</w:t>
      </w:r>
      <w:r>
        <w:rPr>
          <w:rFonts w:hint="eastAsia" w:ascii="宋体" w:hAnsi="宋体" w:cs="宋体"/>
          <w:color w:val="auto"/>
          <w:kern w:val="0"/>
          <w:sz w:val="24"/>
          <w:highlight w:val="none"/>
        </w:rPr>
        <w:t>检测、监测</w:t>
      </w:r>
      <w:r>
        <w:rPr>
          <w:rFonts w:ascii="宋体" w:hAnsi="宋体" w:cs="宋体"/>
          <w:color w:val="auto"/>
          <w:kern w:val="0"/>
          <w:sz w:val="24"/>
          <w:highlight w:val="none"/>
        </w:rPr>
        <w:t>工作的协调，申报</w:t>
      </w:r>
      <w:r>
        <w:rPr>
          <w:rFonts w:hint="eastAsia" w:ascii="宋体" w:hAnsi="宋体" w:cs="宋体"/>
          <w:color w:val="auto"/>
          <w:kern w:val="0"/>
          <w:sz w:val="24"/>
          <w:highlight w:val="none"/>
        </w:rPr>
        <w:t>检测、监测</w:t>
      </w:r>
      <w:r>
        <w:rPr>
          <w:rFonts w:ascii="宋体" w:hAnsi="宋体" w:cs="宋体"/>
          <w:color w:val="auto"/>
          <w:kern w:val="0"/>
          <w:sz w:val="24"/>
          <w:highlight w:val="none"/>
        </w:rPr>
        <w:t>技术成果的审批。保证技术成果能够通过相关部门认可，确保不因</w:t>
      </w:r>
      <w:r>
        <w:rPr>
          <w:rFonts w:hint="eastAsia" w:ascii="宋体" w:hAnsi="宋体" w:cs="宋体"/>
          <w:color w:val="auto"/>
          <w:kern w:val="0"/>
          <w:sz w:val="24"/>
          <w:highlight w:val="none"/>
        </w:rPr>
        <w:t>检测、监测</w:t>
      </w:r>
      <w:r>
        <w:rPr>
          <w:rFonts w:ascii="宋体" w:hAnsi="宋体" w:cs="宋体"/>
          <w:color w:val="auto"/>
          <w:kern w:val="0"/>
          <w:sz w:val="24"/>
          <w:highlight w:val="none"/>
        </w:rPr>
        <w:t>工作影响本工程项目的建设进度和竣工验收</w:t>
      </w:r>
      <w:r>
        <w:rPr>
          <w:rFonts w:hint="eastAsia" w:ascii="宋体" w:hAnsi="宋体" w:cs="宋体"/>
          <w:color w:val="auto"/>
          <w:kern w:val="0"/>
          <w:sz w:val="24"/>
          <w:highlight w:val="none"/>
        </w:rPr>
        <w:t>；③</w:t>
      </w:r>
      <w:r>
        <w:rPr>
          <w:rFonts w:ascii="宋体" w:hAnsi="宋体" w:cs="宋体"/>
          <w:color w:val="auto"/>
          <w:kern w:val="0"/>
          <w:sz w:val="24"/>
          <w:highlight w:val="none"/>
        </w:rPr>
        <w:t>在进行</w:t>
      </w:r>
      <w:r>
        <w:rPr>
          <w:rFonts w:hint="eastAsia" w:ascii="宋体" w:hAnsi="宋体" w:cs="宋体"/>
          <w:color w:val="auto"/>
          <w:kern w:val="0"/>
          <w:sz w:val="24"/>
          <w:highlight w:val="none"/>
        </w:rPr>
        <w:t>检测、监测</w:t>
      </w:r>
      <w:r>
        <w:rPr>
          <w:rFonts w:ascii="宋体" w:hAnsi="宋体" w:cs="宋体"/>
          <w:color w:val="auto"/>
          <w:kern w:val="0"/>
          <w:sz w:val="24"/>
          <w:highlight w:val="none"/>
        </w:rPr>
        <w:t>任务的过程中与该工程相关的施工单位、监理单位、设计单位、咨询单位、建设主管部门等相关单位的协调工作</w:t>
      </w:r>
      <w:r>
        <w:rPr>
          <w:rFonts w:hint="eastAsia" w:ascii="宋体" w:hAnsi="宋体"/>
          <w:color w:val="auto"/>
          <w:sz w:val="24"/>
          <w:highlight w:val="none"/>
        </w:rPr>
        <w:t>。</w:t>
      </w:r>
    </w:p>
    <w:p>
      <w:pPr>
        <w:spacing w:line="360" w:lineRule="auto"/>
        <w:ind w:left="-105" w:leftChars="-50" w:firstLine="442" w:firstLineChars="200"/>
        <w:rPr>
          <w:rFonts w:ascii="宋体" w:hAnsi="宋体"/>
          <w:b/>
          <w:color w:val="auto"/>
          <w:spacing w:val="-10"/>
          <w:sz w:val="24"/>
          <w:highlight w:val="none"/>
        </w:rPr>
      </w:pPr>
      <w:r>
        <w:rPr>
          <w:rFonts w:ascii="宋体" w:hAnsi="宋体"/>
          <w:b/>
          <w:color w:val="auto"/>
          <w:spacing w:val="-10"/>
          <w:sz w:val="24"/>
          <w:highlight w:val="none"/>
        </w:rPr>
        <w:t>2、</w:t>
      </w:r>
      <w:r>
        <w:rPr>
          <w:rFonts w:hint="eastAsia" w:ascii="宋体" w:hAnsi="宋体"/>
          <w:b/>
          <w:color w:val="auto"/>
          <w:spacing w:val="-10"/>
          <w:sz w:val="24"/>
          <w:highlight w:val="none"/>
        </w:rPr>
        <w:t>检测、监测的要求：</w:t>
      </w:r>
    </w:p>
    <w:p>
      <w:pPr>
        <w:spacing w:line="360" w:lineRule="auto"/>
        <w:ind w:firstLine="561"/>
        <w:rPr>
          <w:rFonts w:ascii="宋体"/>
          <w:color w:val="auto"/>
          <w:sz w:val="24"/>
          <w:highlight w:val="none"/>
        </w:rPr>
      </w:pPr>
      <w:r>
        <w:rPr>
          <w:rFonts w:hint="eastAsia" w:ascii="宋体" w:hAnsi="宋体"/>
          <w:color w:val="auto"/>
          <w:spacing w:val="-10"/>
          <w:sz w:val="24"/>
          <w:highlight w:val="none"/>
        </w:rPr>
        <w:t>（1）</w:t>
      </w:r>
      <w:r>
        <w:rPr>
          <w:rFonts w:hint="eastAsia" w:ascii="宋体" w:hAnsi="宋体"/>
          <w:color w:val="auto"/>
          <w:sz w:val="24"/>
          <w:highlight w:val="none"/>
        </w:rPr>
        <w:t>本项目地基基础检测技术方案必须符合</w:t>
      </w:r>
      <w:r>
        <w:rPr>
          <w:rFonts w:ascii="宋体" w:hAnsi="宋体"/>
          <w:color w:val="auto"/>
          <w:sz w:val="24"/>
          <w:highlight w:val="none"/>
        </w:rPr>
        <w:t>《建筑地基基础检测规范》</w:t>
      </w:r>
      <w:r>
        <w:rPr>
          <w:rFonts w:hint="eastAsia" w:ascii="宋体" w:hAnsi="宋体"/>
          <w:color w:val="auto"/>
          <w:sz w:val="24"/>
          <w:highlight w:val="none"/>
        </w:rPr>
        <w:t>（</w:t>
      </w:r>
      <w:r>
        <w:rPr>
          <w:rFonts w:ascii="宋体" w:hAnsi="宋体"/>
          <w:color w:val="auto"/>
          <w:sz w:val="24"/>
          <w:highlight w:val="none"/>
        </w:rPr>
        <w:t>DBJ15–60–2019</w:t>
      </w:r>
      <w:r>
        <w:rPr>
          <w:rFonts w:hint="eastAsia" w:ascii="宋体" w:hAnsi="宋体"/>
          <w:color w:val="auto"/>
          <w:sz w:val="24"/>
          <w:highlight w:val="none"/>
        </w:rPr>
        <w:t>）及《建筑地基基础设计规范》（</w:t>
      </w:r>
      <w:r>
        <w:rPr>
          <w:rFonts w:ascii="宋体" w:hAnsi="宋体"/>
          <w:color w:val="auto"/>
          <w:sz w:val="24"/>
          <w:highlight w:val="none"/>
        </w:rPr>
        <w:t>GB50007-2011</w:t>
      </w:r>
      <w:r>
        <w:rPr>
          <w:rFonts w:hint="eastAsia" w:ascii="宋体" w:hAnsi="宋体"/>
          <w:color w:val="auto"/>
          <w:sz w:val="24"/>
          <w:highlight w:val="none"/>
        </w:rPr>
        <w:t>）。</w:t>
      </w:r>
    </w:p>
    <w:p>
      <w:pPr>
        <w:spacing w:line="360" w:lineRule="auto"/>
        <w:ind w:firstLine="561"/>
        <w:rPr>
          <w:rFonts w:ascii="宋体" w:hAnsi="宋体"/>
          <w:color w:val="auto"/>
          <w:sz w:val="24"/>
          <w:highlight w:val="none"/>
        </w:rPr>
      </w:pPr>
      <w:r>
        <w:rPr>
          <w:rFonts w:hint="eastAsia" w:ascii="宋体" w:hAnsi="宋体"/>
          <w:color w:val="auto"/>
          <w:sz w:val="24"/>
          <w:highlight w:val="none"/>
        </w:rPr>
        <w:t>（2）本项目的钻孔抽芯检测、超声波法检测、低应变动力检测技术方案必须符合广东省标准《建筑地基基础设计规范》（GBJ15-31-2003）、</w:t>
      </w:r>
      <w:r>
        <w:rPr>
          <w:rFonts w:ascii="宋体" w:hAnsi="宋体"/>
          <w:color w:val="auto"/>
          <w:sz w:val="24"/>
          <w:highlight w:val="none"/>
        </w:rPr>
        <w:t>《建筑地基基础检测规范》</w:t>
      </w:r>
      <w:r>
        <w:rPr>
          <w:rFonts w:hint="eastAsia" w:ascii="宋体" w:hAnsi="宋体"/>
          <w:color w:val="auto"/>
          <w:sz w:val="24"/>
          <w:highlight w:val="none"/>
        </w:rPr>
        <w:t>（</w:t>
      </w:r>
      <w:r>
        <w:rPr>
          <w:rFonts w:ascii="宋体" w:hAnsi="宋体"/>
          <w:color w:val="auto"/>
          <w:sz w:val="24"/>
          <w:highlight w:val="none"/>
        </w:rPr>
        <w:t>DBJ15–60–2019</w:t>
      </w:r>
      <w:r>
        <w:rPr>
          <w:rFonts w:hint="eastAsia" w:ascii="宋体" w:hAnsi="宋体"/>
          <w:color w:val="auto"/>
          <w:sz w:val="24"/>
          <w:highlight w:val="none"/>
        </w:rPr>
        <w:t>）、国家行业标准《建筑基桩检测技术规范》</w:t>
      </w:r>
      <w:r>
        <w:rPr>
          <w:rFonts w:ascii="宋体" w:hAnsi="宋体"/>
          <w:color w:val="auto"/>
          <w:sz w:val="24"/>
          <w:highlight w:val="none"/>
        </w:rPr>
        <w:t>JGJ106-2014</w:t>
      </w:r>
      <w:r>
        <w:rPr>
          <w:rFonts w:hint="eastAsia" w:ascii="宋体" w:hAnsi="宋体"/>
          <w:color w:val="auto"/>
          <w:sz w:val="24"/>
          <w:highlight w:val="none"/>
        </w:rPr>
        <w:t>、国家及地方现行有关技术规范或规定以及设计单位的技术要求。</w:t>
      </w:r>
    </w:p>
    <w:p>
      <w:pPr>
        <w:spacing w:line="360" w:lineRule="auto"/>
        <w:ind w:firstLine="561"/>
        <w:rPr>
          <w:rFonts w:ascii="宋体" w:hAnsi="宋体"/>
          <w:color w:val="auto"/>
          <w:sz w:val="24"/>
          <w:highlight w:val="none"/>
        </w:rPr>
      </w:pPr>
      <w:r>
        <w:rPr>
          <w:rFonts w:hint="eastAsia" w:ascii="宋体" w:hAnsi="宋体"/>
          <w:color w:val="auto"/>
          <w:sz w:val="24"/>
          <w:highlight w:val="none"/>
        </w:rPr>
        <w:t>（3）本项目的道路工程检测、交通工程检测、排水工程检测技术方案必须符合《公路路基路面现场测试规程》（</w:t>
      </w:r>
      <w:r>
        <w:rPr>
          <w:rFonts w:ascii="宋体" w:hAnsi="宋体"/>
          <w:color w:val="auto"/>
          <w:sz w:val="24"/>
          <w:highlight w:val="none"/>
        </w:rPr>
        <w:t>JTG 3450-2019</w:t>
      </w:r>
      <w:r>
        <w:rPr>
          <w:rFonts w:hint="eastAsia" w:ascii="宋体" w:hAnsi="宋体"/>
          <w:color w:val="auto"/>
          <w:sz w:val="24"/>
          <w:highlight w:val="none"/>
        </w:rPr>
        <w:t>）、《公路工程质量检验评定标准》（</w:t>
      </w:r>
      <w:r>
        <w:rPr>
          <w:rFonts w:ascii="宋体" w:hAnsi="宋体"/>
          <w:color w:val="auto"/>
          <w:sz w:val="24"/>
          <w:highlight w:val="none"/>
        </w:rPr>
        <w:t>JTG F80/1-2017</w:t>
      </w:r>
      <w:r>
        <w:rPr>
          <w:rFonts w:hint="eastAsia" w:ascii="宋体" w:hAnsi="宋体"/>
          <w:color w:val="auto"/>
          <w:sz w:val="24"/>
          <w:highlight w:val="none"/>
        </w:rPr>
        <w:t>）、《公路路面基层施工技术细则》（JTG/T F20-2015）、《给排水管道工程施工及验收规范》（GB50268-2008）等。</w:t>
      </w:r>
    </w:p>
    <w:p>
      <w:pPr>
        <w:spacing w:line="360" w:lineRule="auto"/>
        <w:ind w:firstLine="561"/>
        <w:rPr>
          <w:rFonts w:ascii="宋体" w:hAnsi="宋体"/>
          <w:color w:val="auto"/>
          <w:sz w:val="24"/>
          <w:highlight w:val="none"/>
        </w:rPr>
      </w:pPr>
      <w:r>
        <w:rPr>
          <w:rFonts w:hint="eastAsia" w:ascii="宋体" w:hAnsi="宋体"/>
          <w:color w:val="auto"/>
          <w:sz w:val="24"/>
          <w:highlight w:val="none"/>
        </w:rPr>
        <w:t>（4）本项目的照明绿化工程检测技术方案必须符合《工作场所照度测定方法》（GB/T 18204.21-2000）、《园林绿化用植物材料》DB440100/T 105-2006、《广东城市绿化工程施工和验收规范》DB44/T 581-2009、《城市绿化和园林绿地用植物材料木本苗》CJ/T 24-1999等。</w:t>
      </w:r>
    </w:p>
    <w:p>
      <w:pPr>
        <w:spacing w:line="360" w:lineRule="auto"/>
        <w:ind w:left="-105" w:leftChars="-50" w:firstLine="480" w:firstLineChars="200"/>
        <w:rPr>
          <w:rFonts w:ascii="宋体"/>
          <w:bCs/>
          <w:color w:val="auto"/>
          <w:sz w:val="24"/>
          <w:highlight w:val="none"/>
        </w:rPr>
      </w:pPr>
      <w:r>
        <w:rPr>
          <w:rFonts w:hint="eastAsia" w:ascii="宋体" w:hAnsi="宋体"/>
          <w:color w:val="auto"/>
          <w:sz w:val="24"/>
          <w:highlight w:val="none"/>
        </w:rPr>
        <w:t>检测、监测技术方案必须符合</w:t>
      </w:r>
      <w:r>
        <w:rPr>
          <w:rFonts w:hint="eastAsia" w:ascii="宋体" w:hAnsi="宋体"/>
          <w:b/>
          <w:color w:val="auto"/>
          <w:sz w:val="24"/>
          <w:highlight w:val="none"/>
        </w:rPr>
        <w:t>国家及地方现行有关技术规范或规定以及设计单位的技术要求。</w:t>
      </w:r>
      <w:r>
        <w:rPr>
          <w:rFonts w:hint="eastAsia" w:ascii="宋体" w:hAnsi="宋体"/>
          <w:bCs/>
          <w:color w:val="auto"/>
          <w:sz w:val="24"/>
          <w:highlight w:val="none"/>
        </w:rPr>
        <w:t>受托人工作</w:t>
      </w:r>
      <w:r>
        <w:rPr>
          <w:rFonts w:hint="eastAsia" w:ascii="宋体" w:hAnsi="宋体"/>
          <w:color w:val="auto"/>
          <w:sz w:val="24"/>
          <w:highlight w:val="none"/>
        </w:rPr>
        <w:t>包括但不限于以下内容：检测、</w:t>
      </w:r>
      <w:r>
        <w:rPr>
          <w:rFonts w:hint="eastAsia" w:ascii="宋体" w:hAnsi="宋体"/>
          <w:bCs/>
          <w:color w:val="auto"/>
          <w:sz w:val="24"/>
          <w:highlight w:val="none"/>
        </w:rPr>
        <w:t>监测方案编制、方案送审（有关行政管理部门）、试验及相关需要的配套工作、编制并提交检测、监测成果报告等全部工作。</w:t>
      </w:r>
    </w:p>
    <w:p>
      <w:pPr>
        <w:spacing w:line="360" w:lineRule="auto"/>
        <w:ind w:left="-105" w:leftChars="-50" w:firstLine="482" w:firstLineChars="200"/>
        <w:rPr>
          <w:rFonts w:ascii="宋体" w:hAnsi="宋体"/>
          <w:b/>
          <w:color w:val="auto"/>
          <w:sz w:val="24"/>
          <w:highlight w:val="none"/>
        </w:rPr>
      </w:pPr>
      <w:r>
        <w:rPr>
          <w:rFonts w:hint="eastAsia" w:ascii="宋体" w:hAnsi="宋体"/>
          <w:b/>
          <w:bCs/>
          <w:color w:val="auto"/>
          <w:sz w:val="24"/>
          <w:highlight w:val="none"/>
        </w:rPr>
        <w:t>最终具体检测、监测项目及数量以花都区质量监督部门要求为准，按实际检测、监测发生量进行结算，超出质量监督部门要求完成的数量不予结算。</w:t>
      </w:r>
    </w:p>
    <w:p>
      <w:pPr>
        <w:spacing w:line="360" w:lineRule="auto"/>
        <w:ind w:left="-105" w:leftChars="-50" w:firstLine="442" w:firstLineChars="200"/>
        <w:rPr>
          <w:rFonts w:ascii="宋体" w:hAnsi="宋体"/>
          <w:b/>
          <w:color w:val="auto"/>
          <w:spacing w:val="-10"/>
          <w:sz w:val="24"/>
          <w:highlight w:val="none"/>
        </w:rPr>
      </w:pPr>
      <w:r>
        <w:rPr>
          <w:rFonts w:ascii="宋体" w:hAnsi="宋体"/>
          <w:b/>
          <w:color w:val="auto"/>
          <w:spacing w:val="-10"/>
          <w:sz w:val="24"/>
          <w:highlight w:val="none"/>
        </w:rPr>
        <w:t>3、服务范围除以上工作外，还包括：</w:t>
      </w:r>
    </w:p>
    <w:p>
      <w:pPr>
        <w:spacing w:line="360" w:lineRule="auto"/>
        <w:ind w:left="-105" w:leftChars="-50" w:firstLine="480" w:firstLineChars="200"/>
        <w:rPr>
          <w:rFonts w:ascii="宋体" w:hAnsi="宋体"/>
          <w:color w:val="auto"/>
          <w:sz w:val="24"/>
          <w:highlight w:val="none"/>
        </w:rPr>
      </w:pPr>
      <w:r>
        <w:rPr>
          <w:rFonts w:hint="eastAsia" w:ascii="宋体" w:hAnsi="宋体" w:cs="宋体"/>
          <w:color w:val="auto"/>
          <w:kern w:val="0"/>
          <w:sz w:val="24"/>
          <w:highlight w:val="none"/>
        </w:rPr>
        <w:t>建设工程主管部门、监督部门要求的，由业主公开招标选定的具有质量监控作用的基坑监测项目和地基基础检测项目，以及为工程验收提供依据的检测、监测项目服务范围。</w:t>
      </w:r>
    </w:p>
    <w:p>
      <w:pPr>
        <w:widowControl w:val="0"/>
        <w:adjustRightInd w:val="0"/>
        <w:spacing w:line="360" w:lineRule="auto"/>
        <w:ind w:left="-105" w:leftChars="-50" w:firstLine="482" w:firstLineChars="200"/>
        <w:jc w:val="both"/>
        <w:rPr>
          <w:rFonts w:ascii="宋体" w:hAnsi="宋体" w:eastAsia="宋体" w:cs="Times New Roman"/>
          <w:color w:val="auto"/>
          <w:kern w:val="2"/>
          <w:sz w:val="24"/>
          <w:szCs w:val="24"/>
          <w:highlight w:val="none"/>
          <w:u w:val="single"/>
          <w:lang w:val="en-US" w:eastAsia="zh-CN" w:bidi="ar-SA"/>
        </w:rPr>
      </w:pPr>
      <w:r>
        <w:rPr>
          <w:rFonts w:ascii="宋体" w:hAnsi="宋体" w:eastAsia="宋体" w:cs="Times New Roman"/>
          <w:b/>
          <w:bCs/>
          <w:color w:val="auto"/>
          <w:kern w:val="2"/>
          <w:sz w:val="24"/>
          <w:szCs w:val="24"/>
          <w:highlight w:val="none"/>
          <w:lang w:val="en-US" w:eastAsia="zh-CN" w:bidi="ar-SA"/>
        </w:rPr>
        <w:t>4、</w:t>
      </w:r>
      <w:r>
        <w:rPr>
          <w:rFonts w:hint="eastAsia" w:ascii="宋体" w:hAnsi="宋体" w:eastAsia="宋体" w:cs="Times New Roman"/>
          <w:b/>
          <w:bCs/>
          <w:snapToGrid w:val="0"/>
          <w:color w:val="auto"/>
          <w:kern w:val="2"/>
          <w:sz w:val="24"/>
          <w:szCs w:val="24"/>
          <w:highlight w:val="none"/>
          <w:lang w:val="en-US" w:eastAsia="zh-CN" w:bidi="ar-SA"/>
        </w:rPr>
        <w:t>工</w:t>
      </w:r>
      <w:r>
        <w:rPr>
          <w:rFonts w:hint="eastAsia" w:ascii="宋体" w:hAnsi="宋体" w:eastAsia="宋体" w:cs="Times New Roman"/>
          <w:b/>
          <w:snapToGrid w:val="0"/>
          <w:color w:val="auto"/>
          <w:kern w:val="2"/>
          <w:sz w:val="24"/>
          <w:szCs w:val="24"/>
          <w:highlight w:val="none"/>
          <w:lang w:val="en-US" w:eastAsia="zh-CN" w:bidi="ar-SA"/>
        </w:rPr>
        <w:t>程检测、监测的成果提交</w:t>
      </w:r>
    </w:p>
    <w:p>
      <w:pPr>
        <w:spacing w:line="360" w:lineRule="auto"/>
        <w:ind w:left="-105" w:leftChars="-50" w:firstLine="480" w:firstLineChars="200"/>
        <w:rPr>
          <w:rFonts w:ascii="宋体" w:hAnsi="宋体" w:cs="宋体"/>
          <w:color w:val="auto"/>
          <w:kern w:val="0"/>
          <w:sz w:val="24"/>
          <w:highlight w:val="none"/>
          <w:u w:val="single"/>
        </w:rPr>
      </w:pPr>
      <w:r>
        <w:rPr>
          <w:rFonts w:hint="eastAsia" w:ascii="宋体" w:hAnsi="宋体"/>
          <w:snapToGrid w:val="0"/>
          <w:color w:val="auto"/>
          <w:kern w:val="0"/>
          <w:sz w:val="24"/>
          <w:highlight w:val="none"/>
          <w:u w:val="single"/>
        </w:rPr>
        <w:t>（</w:t>
      </w:r>
      <w:r>
        <w:rPr>
          <w:rFonts w:ascii="宋体" w:hAnsi="宋体" w:cs="宋体"/>
          <w:color w:val="auto"/>
          <w:kern w:val="0"/>
          <w:sz w:val="24"/>
          <w:highlight w:val="none"/>
          <w:u w:val="single"/>
        </w:rPr>
        <w:t>1）受托人在</w:t>
      </w:r>
      <w:r>
        <w:rPr>
          <w:rFonts w:hint="eastAsia" w:ascii="宋体" w:hAnsi="宋体" w:cs="宋体"/>
          <w:color w:val="auto"/>
          <w:kern w:val="0"/>
          <w:sz w:val="24"/>
          <w:highlight w:val="none"/>
          <w:u w:val="single"/>
        </w:rPr>
        <w:t>检测、监测工作完成后，应按本合同约定和委托人要求及时提交有效的试验检测、监测报告。监测初步报告应在每次监测后</w:t>
      </w:r>
      <w:r>
        <w:rPr>
          <w:rFonts w:ascii="宋体" w:hAnsi="宋体" w:cs="宋体"/>
          <w:color w:val="auto"/>
          <w:kern w:val="0"/>
          <w:sz w:val="24"/>
          <w:highlight w:val="none"/>
          <w:u w:val="single"/>
        </w:rPr>
        <w:t>3天内提交，一式</w:t>
      </w:r>
      <w:r>
        <w:rPr>
          <w:rFonts w:hint="eastAsia" w:ascii="宋体" w:hAnsi="宋体" w:cs="宋体"/>
          <w:color w:val="auto"/>
          <w:kern w:val="0"/>
          <w:sz w:val="24"/>
          <w:highlight w:val="none"/>
          <w:u w:val="single"/>
        </w:rPr>
        <w:t>三份，最终报告应在监测完成后</w:t>
      </w:r>
      <w:r>
        <w:rPr>
          <w:rFonts w:ascii="宋体" w:hAnsi="宋体" w:cs="宋体"/>
          <w:color w:val="auto"/>
          <w:kern w:val="0"/>
          <w:sz w:val="24"/>
          <w:highlight w:val="none"/>
          <w:u w:val="single"/>
        </w:rPr>
        <w:t>15天内提交</w:t>
      </w:r>
      <w:r>
        <w:rPr>
          <w:rFonts w:hint="eastAsia" w:ascii="宋体" w:hAnsi="宋体" w:cs="宋体"/>
          <w:color w:val="auto"/>
          <w:kern w:val="0"/>
          <w:sz w:val="24"/>
          <w:highlight w:val="none"/>
          <w:u w:val="single"/>
        </w:rPr>
        <w:t>；检测报告应在每次试验检测后</w:t>
      </w:r>
      <w:r>
        <w:rPr>
          <w:rFonts w:ascii="宋体" w:hAnsi="宋体" w:cs="宋体"/>
          <w:color w:val="auto"/>
          <w:kern w:val="0"/>
          <w:sz w:val="24"/>
          <w:highlight w:val="none"/>
          <w:u w:val="single"/>
        </w:rPr>
        <w:t>10天内提交；</w:t>
      </w:r>
      <w:r>
        <w:rPr>
          <w:rFonts w:hint="eastAsia" w:ascii="宋体" w:hAnsi="宋体" w:cs="宋体"/>
          <w:color w:val="auto"/>
          <w:kern w:val="0"/>
          <w:sz w:val="24"/>
          <w:highlight w:val="none"/>
          <w:u w:val="single"/>
        </w:rPr>
        <w:t>检测、监测报告一式十份需加盖检测（监测）报告专用章和检验检测专用章（</w:t>
      </w:r>
      <w:r>
        <w:rPr>
          <w:rFonts w:ascii="宋体" w:hAnsi="宋体" w:cs="宋体"/>
          <w:color w:val="auto"/>
          <w:kern w:val="0"/>
          <w:sz w:val="24"/>
          <w:highlight w:val="none"/>
          <w:u w:val="single"/>
        </w:rPr>
        <w:t>CMA章）。</w:t>
      </w:r>
    </w:p>
    <w:p>
      <w:pPr>
        <w:spacing w:line="360" w:lineRule="auto"/>
        <w:ind w:left="-105" w:leftChars="-50"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2）所有</w:t>
      </w:r>
      <w:r>
        <w:rPr>
          <w:rFonts w:hint="eastAsia" w:ascii="宋体" w:hAnsi="宋体" w:cs="宋体"/>
          <w:color w:val="auto"/>
          <w:kern w:val="0"/>
          <w:sz w:val="24"/>
          <w:highlight w:val="none"/>
          <w:u w:val="single"/>
        </w:rPr>
        <w:t>检测、监测报告必须符合国家和地方现行的规范、标准。</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检测、监测报告内容包括但不限于：</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fldChar w:fldCharType="begin"/>
      </w:r>
      <w:r>
        <w:rPr>
          <w:rFonts w:ascii="宋体" w:hAnsi="宋体"/>
          <w:color w:val="auto"/>
          <w:sz w:val="24"/>
          <w:highlight w:val="none"/>
        </w:rPr>
        <w:instrText xml:space="preserve"> = 1 \* GB3 </w:instrText>
      </w:r>
      <w:r>
        <w:rPr>
          <w:rFonts w:hint="eastAsia" w:ascii="宋体" w:hAnsi="宋体"/>
          <w:color w:val="auto"/>
          <w:sz w:val="24"/>
          <w:highlight w:val="none"/>
        </w:rPr>
        <w:fldChar w:fldCharType="separate"/>
      </w:r>
      <w:r>
        <w:rPr>
          <w:rFonts w:hint="eastAsia" w:ascii="宋体" w:hAnsi="宋体"/>
          <w:color w:val="auto"/>
          <w:sz w:val="24"/>
          <w:highlight w:val="none"/>
        </w:rPr>
        <w:t>①</w:t>
      </w:r>
      <w:r>
        <w:rPr>
          <w:rFonts w:hint="eastAsia" w:ascii="宋体" w:hAnsi="宋体"/>
          <w:color w:val="auto"/>
          <w:sz w:val="24"/>
          <w:highlight w:val="none"/>
        </w:rPr>
        <w:fldChar w:fldCharType="end"/>
      </w:r>
      <w:r>
        <w:rPr>
          <w:rFonts w:ascii="宋体" w:hAnsi="宋体"/>
          <w:color w:val="auto"/>
          <w:sz w:val="24"/>
          <w:highlight w:val="none"/>
        </w:rPr>
        <w:t xml:space="preserve"> 委托方名称，工程名称，工程地点，建设、勘察、设计、监理和施工单位，基础类型，设计要求，</w:t>
      </w:r>
      <w:r>
        <w:rPr>
          <w:rFonts w:hint="eastAsia" w:ascii="宋体" w:hAnsi="宋体" w:cs="宋体"/>
          <w:color w:val="auto"/>
          <w:kern w:val="0"/>
          <w:sz w:val="24"/>
          <w:highlight w:val="none"/>
        </w:rPr>
        <w:t>检测、监测</w:t>
      </w:r>
      <w:r>
        <w:rPr>
          <w:rFonts w:hint="eastAsia" w:ascii="宋体" w:hAnsi="宋体"/>
          <w:color w:val="auto"/>
          <w:sz w:val="24"/>
          <w:highlight w:val="none"/>
        </w:rPr>
        <w:t>目的，</w:t>
      </w:r>
      <w:r>
        <w:rPr>
          <w:rFonts w:hint="eastAsia" w:ascii="宋体" w:hAnsi="宋体" w:cs="宋体"/>
          <w:color w:val="auto"/>
          <w:kern w:val="0"/>
          <w:sz w:val="24"/>
          <w:highlight w:val="none"/>
        </w:rPr>
        <w:t>检测、监测</w:t>
      </w:r>
      <w:r>
        <w:rPr>
          <w:rFonts w:hint="eastAsia" w:ascii="宋体" w:hAnsi="宋体"/>
          <w:color w:val="auto"/>
          <w:sz w:val="24"/>
          <w:highlight w:val="none"/>
        </w:rPr>
        <w:t>依据，</w:t>
      </w:r>
      <w:r>
        <w:rPr>
          <w:rFonts w:hint="eastAsia" w:ascii="宋体" w:hAnsi="宋体" w:cs="宋体"/>
          <w:color w:val="auto"/>
          <w:kern w:val="0"/>
          <w:sz w:val="24"/>
          <w:highlight w:val="none"/>
        </w:rPr>
        <w:t>检测、监测</w:t>
      </w:r>
      <w:r>
        <w:rPr>
          <w:rFonts w:hint="eastAsia" w:ascii="宋体" w:hAnsi="宋体"/>
          <w:color w:val="auto"/>
          <w:sz w:val="24"/>
          <w:highlight w:val="none"/>
        </w:rPr>
        <w:t>数量，</w:t>
      </w:r>
      <w:r>
        <w:rPr>
          <w:rFonts w:hint="eastAsia" w:ascii="宋体" w:hAnsi="宋体" w:cs="宋体"/>
          <w:color w:val="auto"/>
          <w:kern w:val="0"/>
          <w:sz w:val="24"/>
          <w:highlight w:val="none"/>
        </w:rPr>
        <w:t>检测、监测</w:t>
      </w:r>
      <w:r>
        <w:rPr>
          <w:rFonts w:hint="eastAsia" w:ascii="宋体" w:hAnsi="宋体"/>
          <w:color w:val="auto"/>
          <w:sz w:val="24"/>
          <w:highlight w:val="none"/>
        </w:rPr>
        <w:t>日期；</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fldChar w:fldCharType="begin"/>
      </w:r>
      <w:r>
        <w:rPr>
          <w:rFonts w:ascii="宋体" w:hAnsi="宋体"/>
          <w:color w:val="auto"/>
          <w:sz w:val="24"/>
          <w:highlight w:val="none"/>
        </w:rPr>
        <w:instrText xml:space="preserve"> = 2 \* GB3 </w:instrText>
      </w:r>
      <w:r>
        <w:rPr>
          <w:rFonts w:hint="eastAsia" w:ascii="宋体" w:hAnsi="宋体"/>
          <w:color w:val="auto"/>
          <w:sz w:val="24"/>
          <w:highlight w:val="none"/>
        </w:rPr>
        <w:fldChar w:fldCharType="separate"/>
      </w:r>
      <w:r>
        <w:rPr>
          <w:rFonts w:hint="eastAsia" w:ascii="宋体" w:hAnsi="宋体"/>
          <w:color w:val="auto"/>
          <w:sz w:val="24"/>
          <w:highlight w:val="none"/>
        </w:rPr>
        <w:t>②</w:t>
      </w:r>
      <w:r>
        <w:rPr>
          <w:rFonts w:hint="eastAsia" w:ascii="宋体" w:hAnsi="宋体"/>
          <w:color w:val="auto"/>
          <w:sz w:val="24"/>
          <w:highlight w:val="none"/>
        </w:rPr>
        <w:fldChar w:fldCharType="end"/>
      </w:r>
      <w:r>
        <w:rPr>
          <w:rFonts w:ascii="宋体" w:hAnsi="宋体"/>
          <w:color w:val="auto"/>
          <w:sz w:val="24"/>
          <w:highlight w:val="none"/>
        </w:rPr>
        <w:t xml:space="preserve"> 主要岩土工程勘察资料；</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fldChar w:fldCharType="begin"/>
      </w:r>
      <w:r>
        <w:rPr>
          <w:rFonts w:ascii="宋体" w:hAnsi="宋体"/>
          <w:color w:val="auto"/>
          <w:sz w:val="24"/>
          <w:highlight w:val="none"/>
        </w:rPr>
        <w:instrText xml:space="preserve"> = 3 \* GB3 </w:instrText>
      </w:r>
      <w:r>
        <w:rPr>
          <w:rFonts w:hint="eastAsia" w:ascii="宋体" w:hAnsi="宋体"/>
          <w:color w:val="auto"/>
          <w:sz w:val="24"/>
          <w:highlight w:val="none"/>
        </w:rPr>
        <w:fldChar w:fldCharType="separate"/>
      </w:r>
      <w:r>
        <w:rPr>
          <w:rFonts w:hint="eastAsia" w:ascii="宋体" w:hAnsi="宋体"/>
          <w:color w:val="auto"/>
          <w:sz w:val="24"/>
          <w:highlight w:val="none"/>
        </w:rPr>
        <w:t>③</w:t>
      </w:r>
      <w:r>
        <w:rPr>
          <w:rFonts w:hint="eastAsia" w:ascii="宋体" w:hAnsi="宋体"/>
          <w:color w:val="auto"/>
          <w:sz w:val="24"/>
          <w:highlight w:val="none"/>
        </w:rPr>
        <w:fldChar w:fldCharType="end"/>
      </w:r>
      <w:r>
        <w:rPr>
          <w:rFonts w:ascii="宋体" w:hAnsi="宋体"/>
          <w:color w:val="auto"/>
          <w:sz w:val="24"/>
          <w:highlight w:val="none"/>
        </w:rPr>
        <w:t xml:space="preserve"> </w:t>
      </w:r>
      <w:r>
        <w:rPr>
          <w:rFonts w:hint="eastAsia" w:ascii="宋体" w:hAnsi="宋体" w:cs="宋体"/>
          <w:color w:val="auto"/>
          <w:kern w:val="0"/>
          <w:sz w:val="24"/>
          <w:highlight w:val="none"/>
        </w:rPr>
        <w:t>检测、监测</w:t>
      </w:r>
      <w:r>
        <w:rPr>
          <w:rFonts w:hint="eastAsia" w:ascii="宋体" w:hAnsi="宋体"/>
          <w:color w:val="auto"/>
          <w:sz w:val="24"/>
          <w:highlight w:val="none"/>
        </w:rPr>
        <w:t>对象的编号、位置和相关施工记录；</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fldChar w:fldCharType="begin"/>
      </w:r>
      <w:r>
        <w:rPr>
          <w:rFonts w:ascii="宋体" w:hAnsi="宋体"/>
          <w:color w:val="auto"/>
          <w:sz w:val="24"/>
          <w:highlight w:val="none"/>
        </w:rPr>
        <w:instrText xml:space="preserve"> = 4 \* GB3 </w:instrText>
      </w:r>
      <w:r>
        <w:rPr>
          <w:rFonts w:hint="eastAsia" w:ascii="宋体" w:hAnsi="宋体"/>
          <w:color w:val="auto"/>
          <w:sz w:val="24"/>
          <w:highlight w:val="none"/>
        </w:rPr>
        <w:fldChar w:fldCharType="separate"/>
      </w:r>
      <w:r>
        <w:rPr>
          <w:rFonts w:hint="eastAsia" w:ascii="宋体" w:hAnsi="宋体"/>
          <w:color w:val="auto"/>
          <w:sz w:val="24"/>
          <w:highlight w:val="none"/>
        </w:rPr>
        <w:t>④</w:t>
      </w:r>
      <w:r>
        <w:rPr>
          <w:rFonts w:hint="eastAsia" w:ascii="宋体" w:hAnsi="宋体"/>
          <w:color w:val="auto"/>
          <w:sz w:val="24"/>
          <w:highlight w:val="none"/>
        </w:rPr>
        <w:fldChar w:fldCharType="end"/>
      </w:r>
      <w:r>
        <w:rPr>
          <w:rFonts w:ascii="宋体" w:hAnsi="宋体"/>
          <w:color w:val="auto"/>
          <w:sz w:val="24"/>
          <w:highlight w:val="none"/>
        </w:rPr>
        <w:t xml:space="preserve"> 主要</w:t>
      </w:r>
      <w:r>
        <w:rPr>
          <w:rFonts w:hint="eastAsia" w:ascii="宋体" w:hAnsi="宋体" w:cs="宋体"/>
          <w:color w:val="auto"/>
          <w:kern w:val="0"/>
          <w:sz w:val="24"/>
          <w:highlight w:val="none"/>
        </w:rPr>
        <w:t>检测、监测</w:t>
      </w:r>
      <w:r>
        <w:rPr>
          <w:rFonts w:hint="eastAsia" w:ascii="宋体" w:hAnsi="宋体"/>
          <w:color w:val="auto"/>
          <w:sz w:val="24"/>
          <w:highlight w:val="none"/>
        </w:rPr>
        <w:t>仪器设备；</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fldChar w:fldCharType="begin"/>
      </w:r>
      <w:r>
        <w:rPr>
          <w:rFonts w:ascii="宋体" w:hAnsi="宋体"/>
          <w:color w:val="auto"/>
          <w:sz w:val="24"/>
          <w:highlight w:val="none"/>
        </w:rPr>
        <w:instrText xml:space="preserve"> = 5 \* GB3 </w:instrText>
      </w:r>
      <w:r>
        <w:rPr>
          <w:rFonts w:hint="eastAsia" w:ascii="宋体" w:hAnsi="宋体"/>
          <w:color w:val="auto"/>
          <w:sz w:val="24"/>
          <w:highlight w:val="none"/>
        </w:rPr>
        <w:fldChar w:fldCharType="separate"/>
      </w:r>
      <w:r>
        <w:rPr>
          <w:rFonts w:hint="eastAsia" w:ascii="宋体" w:hAnsi="宋体"/>
          <w:color w:val="auto"/>
          <w:sz w:val="24"/>
          <w:highlight w:val="none"/>
        </w:rPr>
        <w:t>⑤</w:t>
      </w:r>
      <w:r>
        <w:rPr>
          <w:rFonts w:hint="eastAsia" w:ascii="宋体" w:hAnsi="宋体"/>
          <w:color w:val="auto"/>
          <w:sz w:val="24"/>
          <w:highlight w:val="none"/>
        </w:rPr>
        <w:fldChar w:fldCharType="end"/>
      </w:r>
      <w:r>
        <w:rPr>
          <w:rFonts w:ascii="宋体" w:hAnsi="宋体"/>
          <w:color w:val="auto"/>
          <w:sz w:val="24"/>
          <w:highlight w:val="none"/>
        </w:rPr>
        <w:t xml:space="preserve"> </w:t>
      </w:r>
      <w:r>
        <w:rPr>
          <w:rFonts w:hint="eastAsia" w:ascii="宋体" w:hAnsi="宋体" w:cs="宋体"/>
          <w:color w:val="auto"/>
          <w:kern w:val="0"/>
          <w:sz w:val="24"/>
          <w:highlight w:val="none"/>
        </w:rPr>
        <w:t>检测、监测</w:t>
      </w:r>
      <w:r>
        <w:rPr>
          <w:rFonts w:hint="eastAsia" w:ascii="宋体" w:hAnsi="宋体"/>
          <w:color w:val="auto"/>
          <w:sz w:val="24"/>
          <w:highlight w:val="none"/>
        </w:rPr>
        <w:t>方法；</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fldChar w:fldCharType="begin"/>
      </w:r>
      <w:r>
        <w:rPr>
          <w:rFonts w:ascii="宋体" w:hAnsi="宋体"/>
          <w:color w:val="auto"/>
          <w:sz w:val="24"/>
          <w:highlight w:val="none"/>
        </w:rPr>
        <w:instrText xml:space="preserve"> = 6 \* GB3 </w:instrText>
      </w:r>
      <w:r>
        <w:rPr>
          <w:rFonts w:hint="eastAsia" w:ascii="宋体" w:hAnsi="宋体"/>
          <w:color w:val="auto"/>
          <w:sz w:val="24"/>
          <w:highlight w:val="none"/>
        </w:rPr>
        <w:fldChar w:fldCharType="separate"/>
      </w:r>
      <w:r>
        <w:rPr>
          <w:rFonts w:hint="eastAsia" w:ascii="宋体" w:hAnsi="宋体"/>
          <w:color w:val="auto"/>
          <w:sz w:val="24"/>
          <w:highlight w:val="none"/>
        </w:rPr>
        <w:t>⑥</w:t>
      </w:r>
      <w:r>
        <w:rPr>
          <w:rFonts w:hint="eastAsia" w:ascii="宋体" w:hAnsi="宋体"/>
          <w:color w:val="auto"/>
          <w:sz w:val="24"/>
          <w:highlight w:val="none"/>
        </w:rPr>
        <w:fldChar w:fldCharType="end"/>
      </w:r>
      <w:r>
        <w:rPr>
          <w:rFonts w:ascii="宋体" w:hAnsi="宋体"/>
          <w:color w:val="auto"/>
          <w:sz w:val="24"/>
          <w:highlight w:val="none"/>
        </w:rPr>
        <w:t xml:space="preserve"> 实测与计算分析图表和</w:t>
      </w:r>
      <w:r>
        <w:rPr>
          <w:rFonts w:hint="eastAsia" w:ascii="宋体" w:hAnsi="宋体" w:cs="宋体"/>
          <w:color w:val="auto"/>
          <w:kern w:val="0"/>
          <w:sz w:val="24"/>
          <w:highlight w:val="none"/>
        </w:rPr>
        <w:t>检测、监测</w:t>
      </w:r>
      <w:r>
        <w:rPr>
          <w:rFonts w:hint="eastAsia" w:ascii="宋体" w:hAnsi="宋体"/>
          <w:color w:val="auto"/>
          <w:sz w:val="24"/>
          <w:highlight w:val="none"/>
        </w:rPr>
        <w:t>数据汇总结果；</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fldChar w:fldCharType="begin"/>
      </w:r>
      <w:r>
        <w:rPr>
          <w:rFonts w:ascii="宋体" w:hAnsi="宋体"/>
          <w:color w:val="auto"/>
          <w:sz w:val="24"/>
          <w:highlight w:val="none"/>
        </w:rPr>
        <w:instrText xml:space="preserve"> = 7 \* GB3 </w:instrText>
      </w:r>
      <w:r>
        <w:rPr>
          <w:rFonts w:hint="eastAsia" w:ascii="宋体" w:hAnsi="宋体"/>
          <w:color w:val="auto"/>
          <w:sz w:val="24"/>
          <w:highlight w:val="none"/>
        </w:rPr>
        <w:fldChar w:fldCharType="separate"/>
      </w:r>
      <w:r>
        <w:rPr>
          <w:rFonts w:hint="eastAsia" w:ascii="宋体" w:hAnsi="宋体"/>
          <w:color w:val="auto"/>
          <w:sz w:val="24"/>
          <w:highlight w:val="none"/>
        </w:rPr>
        <w:t>⑦</w:t>
      </w:r>
      <w:r>
        <w:rPr>
          <w:rFonts w:hint="eastAsia" w:ascii="宋体" w:hAnsi="宋体"/>
          <w:color w:val="auto"/>
          <w:sz w:val="24"/>
          <w:highlight w:val="none"/>
        </w:rPr>
        <w:fldChar w:fldCharType="end"/>
      </w:r>
      <w:r>
        <w:rPr>
          <w:rFonts w:ascii="宋体" w:hAnsi="宋体"/>
          <w:color w:val="auto"/>
          <w:sz w:val="24"/>
          <w:highlight w:val="none"/>
        </w:rPr>
        <w:t xml:space="preserve"> </w:t>
      </w:r>
      <w:r>
        <w:rPr>
          <w:rFonts w:hint="eastAsia" w:ascii="宋体" w:hAnsi="宋体" w:cs="宋体"/>
          <w:color w:val="auto"/>
          <w:kern w:val="0"/>
          <w:sz w:val="24"/>
          <w:highlight w:val="none"/>
        </w:rPr>
        <w:t>检测、监测</w:t>
      </w:r>
      <w:r>
        <w:rPr>
          <w:rFonts w:hint="eastAsia" w:ascii="宋体" w:hAnsi="宋体"/>
          <w:color w:val="auto"/>
          <w:sz w:val="24"/>
          <w:highlight w:val="none"/>
        </w:rPr>
        <w:t>过程中的异常情况描述</w:t>
      </w:r>
      <w:r>
        <w:rPr>
          <w:rFonts w:ascii="宋体" w:hAnsi="宋体"/>
          <w:color w:val="auto"/>
          <w:sz w:val="24"/>
          <w:highlight w:val="none"/>
        </w:rPr>
        <w:t>(必要时)；</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fldChar w:fldCharType="begin"/>
      </w:r>
      <w:r>
        <w:rPr>
          <w:rFonts w:ascii="宋体" w:hAnsi="宋体"/>
          <w:color w:val="auto"/>
          <w:sz w:val="24"/>
          <w:highlight w:val="none"/>
        </w:rPr>
        <w:instrText xml:space="preserve"> = 8 \* GB3 </w:instrText>
      </w:r>
      <w:r>
        <w:rPr>
          <w:rFonts w:hint="eastAsia" w:ascii="宋体" w:hAnsi="宋体"/>
          <w:color w:val="auto"/>
          <w:sz w:val="24"/>
          <w:highlight w:val="none"/>
        </w:rPr>
        <w:fldChar w:fldCharType="separate"/>
      </w:r>
      <w:r>
        <w:rPr>
          <w:rFonts w:hint="eastAsia" w:ascii="宋体" w:hAnsi="宋体"/>
          <w:color w:val="auto"/>
          <w:sz w:val="24"/>
          <w:highlight w:val="none"/>
        </w:rPr>
        <w:t>⑧</w:t>
      </w:r>
      <w:r>
        <w:rPr>
          <w:rFonts w:hint="eastAsia" w:ascii="宋体" w:hAnsi="宋体"/>
          <w:color w:val="auto"/>
          <w:sz w:val="24"/>
          <w:highlight w:val="none"/>
        </w:rPr>
        <w:fldChar w:fldCharType="end"/>
      </w:r>
      <w:r>
        <w:rPr>
          <w:rFonts w:hint="eastAsia" w:ascii="宋体" w:hAnsi="宋体"/>
          <w:color w:val="auto"/>
          <w:sz w:val="24"/>
          <w:highlight w:val="none"/>
          <w:lang w:val="en-US" w:eastAsia="zh-CN"/>
        </w:rPr>
        <w:t xml:space="preserve"> </w:t>
      </w:r>
      <w:r>
        <w:rPr>
          <w:rFonts w:hint="eastAsia" w:ascii="宋体" w:hAnsi="宋体" w:cs="宋体"/>
          <w:color w:val="auto"/>
          <w:kern w:val="0"/>
          <w:sz w:val="24"/>
          <w:highlight w:val="none"/>
        </w:rPr>
        <w:t>检测、监测</w:t>
      </w:r>
      <w:r>
        <w:rPr>
          <w:rFonts w:hint="eastAsia" w:ascii="宋体" w:hAnsi="宋体"/>
          <w:color w:val="auto"/>
          <w:sz w:val="24"/>
          <w:highlight w:val="none"/>
        </w:rPr>
        <w:t>结论。</w:t>
      </w:r>
    </w:p>
    <w:p>
      <w:pPr>
        <w:widowControl w:val="0"/>
        <w:spacing w:line="360" w:lineRule="auto"/>
        <w:jc w:val="both"/>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三．合同组成文件及解释顺序：</w:t>
      </w:r>
    </w:p>
    <w:p>
      <w:pPr>
        <w:spacing w:line="360" w:lineRule="auto"/>
        <w:ind w:left="-105" w:leftChars="-50"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）本技术服务合同；</w:t>
      </w:r>
    </w:p>
    <w:p>
      <w:pPr>
        <w:spacing w:line="360" w:lineRule="auto"/>
        <w:ind w:left="-105" w:leftChars="-50"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）标准、规范及有关技术文件；</w:t>
      </w:r>
    </w:p>
    <w:p>
      <w:pPr>
        <w:spacing w:line="360" w:lineRule="auto"/>
        <w:ind w:left="-105" w:leftChars="-50"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）工程报价单；</w:t>
      </w:r>
    </w:p>
    <w:p>
      <w:pPr>
        <w:spacing w:line="360" w:lineRule="auto"/>
        <w:ind w:left="-105" w:leftChars="-50" w:firstLine="480" w:firstLineChars="200"/>
        <w:rPr>
          <w:rFonts w:ascii="宋体" w:hAnsi="宋体"/>
          <w:bCs/>
          <w:color w:val="auto"/>
          <w:sz w:val="24"/>
          <w:highlight w:val="none"/>
        </w:rPr>
      </w:pPr>
      <w:r>
        <w:rPr>
          <w:rFonts w:hint="eastAsia" w:ascii="宋体" w:hAnsi="宋体"/>
          <w:bCs/>
          <w:color w:val="auto"/>
          <w:sz w:val="24"/>
          <w:highlight w:val="none"/>
        </w:rPr>
        <w:t>（4）合同附件。</w:t>
      </w:r>
      <w:r>
        <w:rPr>
          <w:rFonts w:ascii="宋体" w:hAnsi="宋体"/>
          <w:bCs/>
          <w:color w:val="auto"/>
          <w:sz w:val="24"/>
          <w:highlight w:val="none"/>
        </w:rPr>
        <w:t xml:space="preserve"> </w:t>
      </w:r>
    </w:p>
    <w:p>
      <w:pPr>
        <w:widowControl w:val="0"/>
        <w:spacing w:line="360" w:lineRule="auto"/>
        <w:jc w:val="both"/>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四．双方权利、责任和义务</w:t>
      </w:r>
    </w:p>
    <w:p>
      <w:pPr>
        <w:widowControl w:val="0"/>
        <w:adjustRightInd w:val="0"/>
        <w:spacing w:line="360" w:lineRule="auto"/>
        <w:ind w:left="-105" w:leftChars="-50" w:firstLine="482" w:firstLineChars="200"/>
        <w:jc w:val="both"/>
        <w:rPr>
          <w:rFonts w:ascii="宋体" w:hAnsi="宋体" w:eastAsia="宋体" w:cs="Times New Roman"/>
          <w:b/>
          <w:snapToGrid w:val="0"/>
          <w:color w:val="auto"/>
          <w:kern w:val="2"/>
          <w:sz w:val="24"/>
          <w:szCs w:val="24"/>
          <w:highlight w:val="none"/>
          <w:lang w:val="en-US" w:eastAsia="zh-CN" w:bidi="ar-SA"/>
        </w:rPr>
      </w:pPr>
      <w:r>
        <w:rPr>
          <w:rFonts w:hint="eastAsia" w:ascii="宋体" w:hAnsi="宋体" w:eastAsia="宋体" w:cs="Times New Roman"/>
          <w:b/>
          <w:snapToGrid w:val="0"/>
          <w:color w:val="auto"/>
          <w:kern w:val="2"/>
          <w:sz w:val="24"/>
          <w:szCs w:val="24"/>
          <w:highlight w:val="none"/>
          <w:lang w:val="en-US" w:eastAsia="zh-CN" w:bidi="ar-SA"/>
        </w:rPr>
        <w:t>（一）委托人的权利</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1、委托人有权对受托人编制的本项目</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实施方案进行审核和批准。</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2、受托人</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人员不按</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合同履行</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职责的，委托人有权要求受托人更换</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人员，如受托人不更换或更换后的</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人员仍不按本合同履行</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职责，委托人有权单方面解除本合同并要求受托人承担相应的赔偿责任。</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3、本合同约定项目技术服务成果的知识产权归属委托人所有，非经委托人许可，受托人不得以任何方式复制、备份、转让和利用；否则，受托人应赔偿由此给委托人造成的一切损失。</w:t>
      </w:r>
    </w:p>
    <w:p>
      <w:pPr>
        <w:widowControl w:val="0"/>
        <w:adjustRightInd w:val="0"/>
        <w:spacing w:line="360" w:lineRule="auto"/>
        <w:ind w:left="-105" w:leftChars="-50" w:firstLine="482" w:firstLineChars="200"/>
        <w:jc w:val="both"/>
        <w:rPr>
          <w:rFonts w:ascii="宋体" w:hAnsi="宋体" w:eastAsia="宋体" w:cs="Times New Roman"/>
          <w:b/>
          <w:snapToGrid w:val="0"/>
          <w:color w:val="auto"/>
          <w:kern w:val="2"/>
          <w:sz w:val="24"/>
          <w:szCs w:val="24"/>
          <w:highlight w:val="none"/>
          <w:lang w:val="en-US" w:eastAsia="zh-CN" w:bidi="ar-SA"/>
        </w:rPr>
      </w:pPr>
      <w:r>
        <w:rPr>
          <w:rFonts w:hint="eastAsia" w:ascii="宋体" w:hAnsi="宋体" w:eastAsia="宋体" w:cs="Times New Roman"/>
          <w:b/>
          <w:snapToGrid w:val="0"/>
          <w:color w:val="auto"/>
          <w:kern w:val="2"/>
          <w:sz w:val="24"/>
          <w:szCs w:val="24"/>
          <w:highlight w:val="none"/>
          <w:lang w:val="en-US" w:eastAsia="zh-CN" w:bidi="ar-SA"/>
        </w:rPr>
        <w:t>（二）委托人的义务</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1、向受托人提供开展</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工作所必须的设计文件、工程资料、技术资料等。</w:t>
      </w:r>
    </w:p>
    <w:p>
      <w:pPr>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2、委托人授权</w:t>
      </w:r>
      <w:r>
        <w:rPr>
          <w:rFonts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XXX</w:t>
      </w:r>
      <w:r>
        <w:rPr>
          <w:rFonts w:ascii="宋体" w:hAnsi="宋体"/>
          <w:bCs/>
          <w:color w:val="auto"/>
          <w:sz w:val="24"/>
          <w:highlight w:val="none"/>
          <w:u w:val="single"/>
        </w:rPr>
        <w:t xml:space="preserve"> </w:t>
      </w:r>
      <w:r>
        <w:rPr>
          <w:rFonts w:hint="eastAsia" w:ascii="宋体" w:hAnsi="宋体"/>
          <w:bCs/>
          <w:color w:val="auto"/>
          <w:sz w:val="24"/>
          <w:highlight w:val="none"/>
        </w:rPr>
        <w:t>作为委托人代表，负责与受托人联系。更换联系代表，要提前通知受托人。</w:t>
      </w:r>
    </w:p>
    <w:p>
      <w:pPr>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3、委托人应在收到受托人书面提交并要求作出决定事宜的相关文件之日起3个工作日内作出书面答复。</w:t>
      </w:r>
    </w:p>
    <w:p>
      <w:pPr>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4、委托人应协调</w:t>
      </w:r>
      <w:r>
        <w:rPr>
          <w:rFonts w:hint="eastAsia" w:ascii="宋体" w:hAnsi="宋体"/>
          <w:snapToGrid w:val="0"/>
          <w:color w:val="auto"/>
          <w:kern w:val="0"/>
          <w:sz w:val="24"/>
          <w:highlight w:val="none"/>
        </w:rPr>
        <w:t>受托人</w:t>
      </w:r>
      <w:r>
        <w:rPr>
          <w:rFonts w:hint="eastAsia" w:ascii="宋体" w:hAnsi="宋体"/>
          <w:bCs/>
          <w:color w:val="auto"/>
          <w:sz w:val="24"/>
          <w:highlight w:val="none"/>
        </w:rPr>
        <w:t>与现场各方关系，</w:t>
      </w:r>
      <w:r>
        <w:rPr>
          <w:rFonts w:hint="eastAsia" w:ascii="宋体" w:hAnsi="宋体"/>
          <w:color w:val="auto"/>
          <w:sz w:val="24"/>
          <w:highlight w:val="none"/>
        </w:rPr>
        <w:t>负责提供</w:t>
      </w:r>
      <w:r>
        <w:rPr>
          <w:rFonts w:hint="eastAsia" w:ascii="宋体" w:hAnsi="宋体" w:cs="宋体"/>
          <w:color w:val="auto"/>
          <w:kern w:val="0"/>
          <w:sz w:val="24"/>
          <w:highlight w:val="none"/>
        </w:rPr>
        <w:t>检测、监测</w:t>
      </w:r>
      <w:r>
        <w:rPr>
          <w:rFonts w:hint="eastAsia" w:ascii="宋体" w:hAnsi="宋体"/>
          <w:color w:val="auto"/>
          <w:sz w:val="24"/>
          <w:highlight w:val="none"/>
        </w:rPr>
        <w:t>的场地</w:t>
      </w:r>
      <w:r>
        <w:rPr>
          <w:rFonts w:hint="eastAsia" w:ascii="宋体" w:hAnsi="宋体"/>
          <w:bCs/>
          <w:color w:val="auto"/>
          <w:sz w:val="24"/>
          <w:highlight w:val="none"/>
        </w:rPr>
        <w:t>；告知驻场单位（监理单位、施工单位）对</w:t>
      </w:r>
      <w:r>
        <w:rPr>
          <w:rFonts w:hint="eastAsia" w:ascii="宋体" w:hAnsi="宋体" w:cs="宋体"/>
          <w:color w:val="auto"/>
          <w:kern w:val="0"/>
          <w:sz w:val="24"/>
          <w:highlight w:val="none"/>
        </w:rPr>
        <w:t>检测、监测</w:t>
      </w:r>
      <w:r>
        <w:rPr>
          <w:rFonts w:hint="eastAsia" w:ascii="宋体" w:hAnsi="宋体"/>
          <w:bCs/>
          <w:color w:val="auto"/>
          <w:sz w:val="24"/>
          <w:highlight w:val="none"/>
        </w:rPr>
        <w:t>的部位及位置并做好前期准备工作。</w:t>
      </w:r>
    </w:p>
    <w:p>
      <w:pPr>
        <w:tabs>
          <w:tab w:val="left" w:pos="420"/>
        </w:tabs>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5、委托人应严格要求施工单位不得损坏基准网</w:t>
      </w:r>
      <w:r>
        <w:rPr>
          <w:rFonts w:hint="eastAsia" w:ascii="宋体" w:hAnsi="宋体"/>
          <w:bCs/>
          <w:color w:val="auto"/>
          <w:sz w:val="24"/>
          <w:highlight w:val="none"/>
        </w:rPr>
        <w:t>、监测点、检测部位。当已选定的桩</w:t>
      </w:r>
      <w:r>
        <w:rPr>
          <w:rFonts w:ascii="宋体" w:hAnsi="宋体"/>
          <w:bCs/>
          <w:color w:val="auto"/>
          <w:sz w:val="24"/>
          <w:highlight w:val="none"/>
        </w:rPr>
        <w:t>(点)位无法满足现场检测条件要求时，委托人应负责重新选择桩(点)位。</w:t>
      </w:r>
    </w:p>
    <w:p>
      <w:pPr>
        <w:tabs>
          <w:tab w:val="left" w:pos="420"/>
        </w:tabs>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6、在</w:t>
      </w:r>
      <w:r>
        <w:rPr>
          <w:rFonts w:hint="eastAsia" w:ascii="宋体" w:hAnsi="宋体"/>
          <w:snapToGrid w:val="0"/>
          <w:color w:val="auto"/>
          <w:kern w:val="0"/>
          <w:sz w:val="24"/>
          <w:highlight w:val="none"/>
        </w:rPr>
        <w:t>受托人</w:t>
      </w:r>
      <w:r>
        <w:rPr>
          <w:rFonts w:hint="eastAsia" w:ascii="宋体" w:hAnsi="宋体"/>
          <w:bCs/>
          <w:color w:val="auto"/>
          <w:sz w:val="24"/>
          <w:highlight w:val="none"/>
        </w:rPr>
        <w:t>进场前提供</w:t>
      </w:r>
      <w:r>
        <w:rPr>
          <w:rFonts w:hint="eastAsia" w:ascii="宋体" w:hAnsi="宋体" w:cs="宋体"/>
          <w:color w:val="auto"/>
          <w:kern w:val="0"/>
          <w:sz w:val="24"/>
          <w:highlight w:val="none"/>
        </w:rPr>
        <w:t>检测、监测</w:t>
      </w:r>
      <w:r>
        <w:rPr>
          <w:rFonts w:hint="eastAsia" w:ascii="宋体" w:hAnsi="宋体"/>
          <w:bCs/>
          <w:color w:val="auto"/>
          <w:sz w:val="24"/>
          <w:highlight w:val="none"/>
        </w:rPr>
        <w:t>所需的技术资料，包括岩土工程勘察资料、有关的设计及施工资料。对</w:t>
      </w:r>
      <w:r>
        <w:rPr>
          <w:rFonts w:hint="eastAsia" w:ascii="宋体" w:hAnsi="宋体" w:cs="宋体"/>
          <w:color w:val="auto"/>
          <w:kern w:val="0"/>
          <w:sz w:val="24"/>
          <w:highlight w:val="none"/>
        </w:rPr>
        <w:t>检测、监测</w:t>
      </w:r>
      <w:r>
        <w:rPr>
          <w:rFonts w:hint="eastAsia" w:ascii="宋体" w:hAnsi="宋体"/>
          <w:bCs/>
          <w:color w:val="auto"/>
          <w:sz w:val="24"/>
          <w:highlight w:val="none"/>
        </w:rPr>
        <w:t>有特别技术要求的，应以书面形式提出。</w:t>
      </w:r>
    </w:p>
    <w:p>
      <w:pPr>
        <w:spacing w:line="360" w:lineRule="auto"/>
        <w:ind w:left="-29" w:leftChars="-14" w:firstLine="480" w:firstLineChars="200"/>
        <w:rPr>
          <w:rFonts w:ascii="宋体" w:hAnsi="宋体"/>
          <w:bCs/>
          <w:color w:val="auto"/>
          <w:sz w:val="24"/>
          <w:highlight w:val="none"/>
        </w:rPr>
      </w:pPr>
      <w:r>
        <w:rPr>
          <w:rFonts w:ascii="宋体" w:hAnsi="宋体"/>
          <w:bCs/>
          <w:color w:val="auto"/>
          <w:sz w:val="24"/>
          <w:highlight w:val="none"/>
        </w:rPr>
        <w:t>7、指定专人或现场监理工程师对受托人的现场检测作旁站式监督。</w:t>
      </w:r>
    </w:p>
    <w:p>
      <w:pPr>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8</w:t>
      </w:r>
      <w:r>
        <w:rPr>
          <w:rFonts w:hint="eastAsia" w:ascii="宋体" w:hAnsi="宋体"/>
          <w:bCs/>
          <w:color w:val="auto"/>
          <w:sz w:val="24"/>
          <w:highlight w:val="none"/>
        </w:rPr>
        <w:t>、负责提供以下的现场条件：①平整道路；②提供电源、水源接驳点各一个供</w:t>
      </w:r>
      <w:r>
        <w:rPr>
          <w:rFonts w:hint="eastAsia" w:ascii="宋体" w:hAnsi="宋体"/>
          <w:snapToGrid w:val="0"/>
          <w:color w:val="auto"/>
          <w:kern w:val="0"/>
          <w:sz w:val="24"/>
          <w:highlight w:val="none"/>
        </w:rPr>
        <w:t>受托人</w:t>
      </w:r>
      <w:r>
        <w:rPr>
          <w:rFonts w:hint="eastAsia" w:ascii="宋体" w:hAnsi="宋体"/>
          <w:bCs/>
          <w:color w:val="auto"/>
          <w:sz w:val="24"/>
          <w:highlight w:val="none"/>
        </w:rPr>
        <w:t>使用（水电使用费及其他相关费用由</w:t>
      </w:r>
      <w:r>
        <w:rPr>
          <w:rFonts w:hint="eastAsia" w:ascii="宋体" w:hAnsi="宋体"/>
          <w:snapToGrid w:val="0"/>
          <w:color w:val="auto"/>
          <w:kern w:val="0"/>
          <w:sz w:val="24"/>
          <w:highlight w:val="none"/>
        </w:rPr>
        <w:t>受托人</w:t>
      </w:r>
      <w:r>
        <w:rPr>
          <w:rFonts w:hint="eastAsia" w:ascii="宋体" w:hAnsi="宋体"/>
          <w:bCs/>
          <w:color w:val="auto"/>
          <w:sz w:val="24"/>
          <w:highlight w:val="none"/>
        </w:rPr>
        <w:t>承担）。</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9</w:t>
      </w:r>
      <w:r>
        <w:rPr>
          <w:rFonts w:hint="eastAsia" w:ascii="宋体" w:hAnsi="宋体" w:eastAsia="宋体" w:cs="Times New Roman"/>
          <w:snapToGrid w:val="0"/>
          <w:color w:val="auto"/>
          <w:kern w:val="2"/>
          <w:sz w:val="24"/>
          <w:szCs w:val="24"/>
          <w:highlight w:val="none"/>
          <w:lang w:val="en-US" w:eastAsia="zh-CN" w:bidi="ar-SA"/>
        </w:rPr>
        <w:t>、组织本项目</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成果的审查和验收。</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10</w:t>
      </w:r>
      <w:r>
        <w:rPr>
          <w:rFonts w:hint="eastAsia" w:ascii="宋体" w:hAnsi="宋体" w:eastAsia="宋体" w:cs="Times New Roman"/>
          <w:snapToGrid w:val="0"/>
          <w:color w:val="auto"/>
          <w:kern w:val="2"/>
          <w:sz w:val="24"/>
          <w:szCs w:val="24"/>
          <w:highlight w:val="none"/>
          <w:lang w:val="en-US" w:eastAsia="zh-CN" w:bidi="ar-SA"/>
        </w:rPr>
        <w:t>、委托人应按本合同约定支付服务报酬。</w:t>
      </w:r>
    </w:p>
    <w:p>
      <w:pPr>
        <w:spacing w:line="360" w:lineRule="auto"/>
        <w:ind w:left="-105" w:leftChars="-50" w:firstLine="480" w:firstLineChars="200"/>
        <w:rPr>
          <w:rFonts w:ascii="宋体" w:hAnsi="宋体"/>
          <w:color w:val="auto"/>
          <w:sz w:val="24"/>
          <w:highlight w:val="none"/>
        </w:rPr>
      </w:pPr>
      <w:r>
        <w:rPr>
          <w:rFonts w:ascii="宋体" w:hAnsi="宋体"/>
          <w:snapToGrid w:val="0"/>
          <w:color w:val="auto"/>
          <w:kern w:val="0"/>
          <w:sz w:val="24"/>
          <w:highlight w:val="none"/>
        </w:rPr>
        <w:t>11</w:t>
      </w:r>
      <w:r>
        <w:rPr>
          <w:rFonts w:hint="eastAsia" w:ascii="宋体" w:hAnsi="宋体"/>
          <w:snapToGrid w:val="0"/>
          <w:color w:val="auto"/>
          <w:kern w:val="0"/>
          <w:sz w:val="24"/>
          <w:highlight w:val="none"/>
        </w:rPr>
        <w:t>、本合同或补充协议中约定应由委托人履行的其他义务。</w:t>
      </w:r>
    </w:p>
    <w:p>
      <w:pPr>
        <w:widowControl w:val="0"/>
        <w:adjustRightInd w:val="0"/>
        <w:spacing w:line="360" w:lineRule="auto"/>
        <w:ind w:left="-105" w:leftChars="-50" w:firstLine="482" w:firstLineChars="200"/>
        <w:jc w:val="both"/>
        <w:rPr>
          <w:rFonts w:ascii="宋体" w:hAnsi="宋体" w:eastAsia="宋体" w:cs="Times New Roman"/>
          <w:b/>
          <w:snapToGrid w:val="0"/>
          <w:color w:val="auto"/>
          <w:kern w:val="2"/>
          <w:sz w:val="24"/>
          <w:szCs w:val="24"/>
          <w:highlight w:val="none"/>
          <w:lang w:val="en-US" w:eastAsia="zh-CN" w:bidi="ar-SA"/>
        </w:rPr>
      </w:pPr>
      <w:r>
        <w:rPr>
          <w:rFonts w:hint="eastAsia" w:ascii="宋体" w:hAnsi="宋体" w:eastAsia="宋体" w:cs="Times New Roman"/>
          <w:b/>
          <w:snapToGrid w:val="0"/>
          <w:color w:val="auto"/>
          <w:kern w:val="2"/>
          <w:sz w:val="24"/>
          <w:szCs w:val="24"/>
          <w:highlight w:val="none"/>
          <w:lang w:val="en-US" w:eastAsia="zh-CN" w:bidi="ar-SA"/>
        </w:rPr>
        <w:t>（三）受托人的权利</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1、有权按照保质量、保工期和降低成本的原则，向委托人提供切实可行的</w:t>
      </w:r>
      <w:r>
        <w:rPr>
          <w:rFonts w:hint="eastAsia" w:ascii="宋体" w:hAnsi="宋体" w:eastAsia="宋体" w:cs="Times New Roman"/>
          <w:snapToGrid w:val="0"/>
          <w:color w:val="auto"/>
          <w:kern w:val="2"/>
          <w:sz w:val="24"/>
          <w:szCs w:val="24"/>
          <w:highlight w:val="none"/>
          <w:lang w:val="en-US" w:eastAsia="zh-CN" w:bidi="ar-SA"/>
        </w:rPr>
        <w:t>检测、监测实施方案。</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2、有权对涉及</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相关工程设计中的技术问题，按照安全和优化的原则，向委托人提出建议。</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3、有权按照本合同的约定进行</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，出具客观、准确、公正的</w:t>
      </w:r>
      <w:r>
        <w:rPr>
          <w:rFonts w:hint="eastAsia" w:ascii="宋体" w:hAnsi="宋体" w:eastAsia="宋体" w:cs="宋体"/>
          <w:color w:val="auto"/>
          <w:kern w:val="0"/>
          <w:sz w:val="24"/>
          <w:szCs w:val="24"/>
          <w:highlight w:val="none"/>
          <w:lang w:val="en-US" w:eastAsia="zh-CN" w:bidi="ar-SA"/>
        </w:rPr>
        <w:t>检测、监测</w:t>
      </w:r>
      <w:r>
        <w:rPr>
          <w:rFonts w:hint="eastAsia" w:ascii="宋体" w:hAnsi="宋体" w:eastAsia="宋体" w:cs="Times New Roman"/>
          <w:snapToGrid w:val="0"/>
          <w:color w:val="auto"/>
          <w:kern w:val="2"/>
          <w:sz w:val="24"/>
          <w:szCs w:val="24"/>
          <w:highlight w:val="none"/>
          <w:lang w:val="en-US" w:eastAsia="zh-CN" w:bidi="ar-SA"/>
        </w:rPr>
        <w:t>报告，不受委托人干涉。</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4、有权按本合同约定获得</w:t>
      </w:r>
      <w:r>
        <w:rPr>
          <w:rFonts w:hint="eastAsia" w:ascii="宋体" w:hAnsi="宋体" w:eastAsia="宋体" w:cs="Times New Roman"/>
          <w:snapToGrid w:val="0"/>
          <w:color w:val="auto"/>
          <w:kern w:val="2"/>
          <w:sz w:val="24"/>
          <w:szCs w:val="24"/>
          <w:highlight w:val="none"/>
          <w:lang w:val="en-US" w:eastAsia="zh-CN" w:bidi="ar-SA"/>
        </w:rPr>
        <w:t>检测、监测服务报酬。</w:t>
      </w:r>
    </w:p>
    <w:p>
      <w:pPr>
        <w:widowControl w:val="0"/>
        <w:adjustRightInd w:val="0"/>
        <w:spacing w:line="360" w:lineRule="auto"/>
        <w:ind w:left="-105" w:leftChars="-50" w:firstLine="482" w:firstLineChars="200"/>
        <w:jc w:val="both"/>
        <w:rPr>
          <w:rFonts w:ascii="宋体" w:hAnsi="宋体" w:eastAsia="宋体" w:cs="Times New Roman"/>
          <w:b/>
          <w:snapToGrid w:val="0"/>
          <w:color w:val="auto"/>
          <w:kern w:val="2"/>
          <w:sz w:val="24"/>
          <w:szCs w:val="24"/>
          <w:highlight w:val="none"/>
          <w:lang w:val="en-US" w:eastAsia="zh-CN" w:bidi="ar-SA"/>
        </w:rPr>
      </w:pPr>
      <w:r>
        <w:rPr>
          <w:rFonts w:hint="eastAsia" w:ascii="宋体" w:hAnsi="宋体" w:eastAsia="宋体" w:cs="Times New Roman"/>
          <w:b/>
          <w:snapToGrid w:val="0"/>
          <w:color w:val="auto"/>
          <w:kern w:val="2"/>
          <w:sz w:val="24"/>
          <w:szCs w:val="24"/>
          <w:highlight w:val="none"/>
          <w:lang w:val="en-US" w:eastAsia="zh-CN" w:bidi="ar-SA"/>
        </w:rPr>
        <w:t>（四）受托人的义务</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1、受托人</w:t>
      </w:r>
      <w:r>
        <w:rPr>
          <w:rFonts w:hint="eastAsia" w:ascii="宋体" w:hAnsi="宋体"/>
          <w:snapToGrid w:val="0"/>
          <w:color w:val="auto"/>
          <w:sz w:val="24"/>
          <w:highlight w:val="none"/>
        </w:rPr>
        <w:t>应当</w:t>
      </w:r>
      <w:r>
        <w:rPr>
          <w:rFonts w:ascii="宋体" w:hAnsi="宋体"/>
          <w:snapToGrid w:val="0"/>
          <w:color w:val="auto"/>
          <w:sz w:val="24"/>
          <w:highlight w:val="none"/>
        </w:rPr>
        <w:t>向委托人提交本合同约定项目的《</w:t>
      </w:r>
      <w:r>
        <w:rPr>
          <w:rFonts w:hint="eastAsia" w:ascii="宋体" w:hAnsi="宋体"/>
          <w:snapToGrid w:val="0"/>
          <w:color w:val="auto"/>
          <w:sz w:val="24"/>
          <w:highlight w:val="none"/>
        </w:rPr>
        <w:t>检测实施方案》、《监测实施方案》，经委托人审核确定后执行，并按照有关规定送质量监督部门备案，委托人以此具体考核受托人的检测、监测工作。如委托人要求受托人对《检测实施方案》、《监测实施方案》等进行合理修改调整，受托人必须在收到委托人修改调整意见之日起</w:t>
      </w:r>
      <w:r>
        <w:rPr>
          <w:rFonts w:ascii="宋体" w:hAnsi="宋体"/>
          <w:snapToGrid w:val="0"/>
          <w:color w:val="auto"/>
          <w:sz w:val="24"/>
          <w:highlight w:val="none"/>
          <w:u w:val="single"/>
        </w:rPr>
        <w:t xml:space="preserve"> 3</w:t>
      </w:r>
      <w:r>
        <w:rPr>
          <w:rFonts w:hint="eastAsia" w:ascii="宋体" w:hAnsi="宋体"/>
          <w:snapToGrid w:val="0"/>
          <w:color w:val="auto"/>
          <w:sz w:val="24"/>
          <w:highlight w:val="none"/>
        </w:rPr>
        <w:t>日内，按委托人要求完成修改调整并报委托人审核。</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2、受托人必须按照其投标文件和</w:t>
      </w:r>
      <w:r>
        <w:rPr>
          <w:rFonts w:hint="eastAsia" w:ascii="宋体" w:hAnsi="宋体"/>
          <w:snapToGrid w:val="0"/>
          <w:color w:val="auto"/>
          <w:sz w:val="24"/>
          <w:highlight w:val="none"/>
        </w:rPr>
        <w:t>《检测实施方案》、《监测实施方案》的承诺，足额、按时派出检测、监测人员和投入设备。当委托人的现场配合条件不能满足检测、监测要求时，受托人可向委托人提出推迟进场申请，经委托人书面同意后方可推迟进场。</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hint="eastAsia" w:ascii="宋体" w:hAnsi="宋体" w:eastAsia="宋体" w:cs="Times New Roman"/>
          <w:snapToGrid w:val="0"/>
          <w:color w:val="auto"/>
          <w:kern w:val="2"/>
          <w:sz w:val="24"/>
          <w:szCs w:val="24"/>
          <w:highlight w:val="none"/>
          <w:lang w:val="en-US" w:eastAsia="zh-CN" w:bidi="ar-SA"/>
        </w:rPr>
        <w:t>（</w:t>
      </w:r>
      <w:r>
        <w:rPr>
          <w:rFonts w:ascii="宋体" w:hAnsi="宋体" w:eastAsia="宋体" w:cs="Times New Roman"/>
          <w:snapToGrid w:val="0"/>
          <w:color w:val="auto"/>
          <w:kern w:val="2"/>
          <w:sz w:val="24"/>
          <w:szCs w:val="24"/>
          <w:highlight w:val="none"/>
          <w:lang w:val="en-US" w:eastAsia="zh-CN" w:bidi="ar-SA"/>
        </w:rPr>
        <w:t>1）受托人必须按照投标文件的承诺建立以项目负责人（技术负责人）为主的现场管理机构。项目负责人（技术负责人）及现场管理机构主要部门负责人</w:t>
      </w:r>
      <w:r>
        <w:rPr>
          <w:rFonts w:hint="eastAsia" w:ascii="宋体" w:hAnsi="宋体" w:eastAsia="宋体" w:cs="Times New Roman"/>
          <w:color w:val="auto"/>
          <w:kern w:val="2"/>
          <w:sz w:val="24"/>
          <w:szCs w:val="24"/>
          <w:highlight w:val="none"/>
          <w:lang w:val="en-US" w:eastAsia="zh-CN" w:bidi="ar-SA"/>
        </w:rPr>
        <w:t>见投标文件中《本项目机构人员一览表》</w:t>
      </w:r>
      <w:r>
        <w:rPr>
          <w:rFonts w:hint="eastAsia" w:ascii="宋体" w:hAnsi="宋体" w:eastAsia="宋体" w:cs="Times New Roman"/>
          <w:snapToGrid w:val="0"/>
          <w:color w:val="auto"/>
          <w:kern w:val="2"/>
          <w:sz w:val="24"/>
          <w:szCs w:val="24"/>
          <w:highlight w:val="none"/>
          <w:lang w:val="en-US" w:eastAsia="zh-CN" w:bidi="ar-SA"/>
        </w:rPr>
        <w:t>。</w:t>
      </w:r>
      <w:r>
        <w:rPr>
          <w:rFonts w:ascii="宋体" w:hAnsi="宋体" w:eastAsia="宋体" w:cs="Times New Roman"/>
          <w:snapToGrid w:val="0"/>
          <w:color w:val="auto"/>
          <w:kern w:val="2"/>
          <w:sz w:val="24"/>
          <w:szCs w:val="24"/>
          <w:highlight w:val="none"/>
          <w:lang w:val="en-US" w:eastAsia="zh-CN" w:bidi="ar-SA"/>
        </w:rPr>
        <w:t>(附件</w:t>
      </w:r>
      <w:r>
        <w:rPr>
          <w:rFonts w:hint="eastAsia" w:ascii="宋体" w:hAnsi="宋体" w:eastAsia="宋体" w:cs="Times New Roman"/>
          <w:snapToGrid w:val="0"/>
          <w:color w:val="auto"/>
          <w:kern w:val="2"/>
          <w:sz w:val="24"/>
          <w:szCs w:val="24"/>
          <w:highlight w:val="none"/>
          <w:lang w:val="en-US" w:eastAsia="zh-CN" w:bidi="ar-SA"/>
        </w:rPr>
        <w:t>5</w:t>
      </w:r>
      <w:r>
        <w:rPr>
          <w:rFonts w:ascii="宋体" w:hAnsi="宋体" w:eastAsia="宋体" w:cs="Times New Roman"/>
          <w:snapToGrid w:val="0"/>
          <w:color w:val="auto"/>
          <w:kern w:val="2"/>
          <w:sz w:val="24"/>
          <w:szCs w:val="24"/>
          <w:highlight w:val="none"/>
          <w:lang w:val="en-US" w:eastAsia="zh-CN" w:bidi="ar-SA"/>
        </w:rPr>
        <w:t>)</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hint="eastAsia" w:ascii="宋体" w:hAnsi="宋体" w:eastAsia="宋体" w:cs="Times New Roman"/>
          <w:snapToGrid w:val="0"/>
          <w:color w:val="auto"/>
          <w:kern w:val="2"/>
          <w:sz w:val="24"/>
          <w:szCs w:val="24"/>
          <w:highlight w:val="none"/>
          <w:lang w:val="en-US" w:eastAsia="zh-CN" w:bidi="ar-SA"/>
        </w:rPr>
        <w:t>（</w:t>
      </w:r>
      <w:r>
        <w:rPr>
          <w:rFonts w:ascii="宋体" w:hAnsi="宋体" w:eastAsia="宋体" w:cs="Times New Roman"/>
          <w:snapToGrid w:val="0"/>
          <w:color w:val="auto"/>
          <w:kern w:val="2"/>
          <w:sz w:val="24"/>
          <w:szCs w:val="24"/>
          <w:highlight w:val="none"/>
          <w:lang w:val="en-US" w:eastAsia="zh-CN" w:bidi="ar-SA"/>
        </w:rPr>
        <w:t>2）</w:t>
      </w:r>
      <w:r>
        <w:rPr>
          <w:rFonts w:hint="eastAsia" w:ascii="宋体" w:hAnsi="宋体" w:eastAsia="宋体" w:cs="Times New Roman"/>
          <w:bCs/>
          <w:color w:val="auto"/>
          <w:kern w:val="2"/>
          <w:sz w:val="24"/>
          <w:szCs w:val="24"/>
          <w:highlight w:val="none"/>
          <w:lang w:val="en-US" w:eastAsia="zh-CN" w:bidi="ar-SA"/>
        </w:rPr>
        <w:t>现场项目组人员必须在委托人发出进场通知之日起</w:t>
      </w:r>
      <w:r>
        <w:rPr>
          <w:rFonts w:ascii="宋体" w:hAnsi="宋体" w:eastAsia="宋体" w:cs="Times New Roman"/>
          <w:bCs/>
          <w:color w:val="auto"/>
          <w:kern w:val="2"/>
          <w:sz w:val="24"/>
          <w:szCs w:val="24"/>
          <w:highlight w:val="none"/>
          <w:lang w:val="en-US" w:eastAsia="zh-CN" w:bidi="ar-SA"/>
        </w:rPr>
        <w:t>24小时内全部到位，并接受委托人代表的查验。在委托人发出进场通知24小时后，上述人员仍未全部到位的，受托人按照本合同条款第八条的有关约定承担违约责任。</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hint="eastAsia" w:ascii="宋体" w:hAnsi="宋体" w:eastAsia="宋体" w:cs="Times New Roman"/>
          <w:snapToGrid w:val="0"/>
          <w:color w:val="auto"/>
          <w:kern w:val="2"/>
          <w:sz w:val="24"/>
          <w:szCs w:val="24"/>
          <w:highlight w:val="none"/>
          <w:lang w:val="en-US" w:eastAsia="zh-CN" w:bidi="ar-SA"/>
        </w:rPr>
        <w:t>（</w:t>
      </w:r>
      <w:r>
        <w:rPr>
          <w:rFonts w:ascii="宋体" w:hAnsi="宋体" w:eastAsia="宋体" w:cs="Times New Roman"/>
          <w:snapToGrid w:val="0"/>
          <w:color w:val="auto"/>
          <w:kern w:val="2"/>
          <w:sz w:val="24"/>
          <w:szCs w:val="24"/>
          <w:highlight w:val="none"/>
          <w:lang w:val="en-US" w:eastAsia="zh-CN" w:bidi="ar-SA"/>
        </w:rPr>
        <w:t>3）受托人所投入人员应与投标文件保持一致，未经委托人同意不得更换。</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hint="eastAsia" w:ascii="宋体" w:hAnsi="宋体" w:eastAsia="宋体" w:cs="Times New Roman"/>
          <w:snapToGrid w:val="0"/>
          <w:color w:val="auto"/>
          <w:kern w:val="2"/>
          <w:sz w:val="24"/>
          <w:szCs w:val="24"/>
          <w:highlight w:val="none"/>
          <w:lang w:val="en-US" w:eastAsia="zh-CN" w:bidi="ar-SA"/>
        </w:rPr>
        <w:t>（</w:t>
      </w:r>
      <w:r>
        <w:rPr>
          <w:rFonts w:ascii="宋体" w:hAnsi="宋体" w:eastAsia="宋体" w:cs="Times New Roman"/>
          <w:snapToGrid w:val="0"/>
          <w:color w:val="auto"/>
          <w:kern w:val="2"/>
          <w:sz w:val="24"/>
          <w:szCs w:val="24"/>
          <w:highlight w:val="none"/>
          <w:lang w:val="en-US" w:eastAsia="zh-CN" w:bidi="ar-SA"/>
        </w:rPr>
        <w:t>4）受托人未经委托人同意擅自更换项目负责人（技术负责人）或</w:t>
      </w:r>
      <w:r>
        <w:rPr>
          <w:rFonts w:hint="eastAsia" w:ascii="宋体" w:hAnsi="宋体" w:eastAsia="宋体" w:cs="Times New Roman"/>
          <w:snapToGrid w:val="0"/>
          <w:color w:val="auto"/>
          <w:kern w:val="2"/>
          <w:sz w:val="24"/>
          <w:szCs w:val="24"/>
          <w:highlight w:val="none"/>
          <w:lang w:val="en-US" w:eastAsia="zh-CN" w:bidi="ar-SA"/>
        </w:rPr>
        <w:t>检测、监测项目主要人员的，除按照本合同条款第八条的有关约定承担违约责任外，还应向委托人支付专项的人员违约金，人员违约金的金额按下表《人员违约金一览表》的约定执行。</w:t>
      </w:r>
    </w:p>
    <w:p>
      <w:pPr>
        <w:adjustRightInd w:val="0"/>
        <w:snapToGrid w:val="0"/>
        <w:spacing w:line="360" w:lineRule="auto"/>
        <w:ind w:left="-105" w:leftChars="-50"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ascii="宋体" w:hAnsi="宋体"/>
          <w:snapToGrid w:val="0"/>
          <w:color w:val="auto"/>
          <w:kern w:val="0"/>
          <w:sz w:val="24"/>
          <w:highlight w:val="none"/>
        </w:rPr>
        <w:t>5）因特殊情况需要，受托人确需更换项目负责人（技术负责人）或</w:t>
      </w:r>
      <w:r>
        <w:rPr>
          <w:rFonts w:hint="eastAsia" w:ascii="宋体" w:hAnsi="宋体"/>
          <w:snapToGrid w:val="0"/>
          <w:color w:val="auto"/>
          <w:kern w:val="0"/>
          <w:sz w:val="24"/>
          <w:highlight w:val="none"/>
        </w:rPr>
        <w:t>检测、监测项目主要人员的，受托人应至少提前</w:t>
      </w:r>
      <w:r>
        <w:rPr>
          <w:rFonts w:ascii="宋体" w:hAnsi="宋体"/>
          <w:snapToGrid w:val="0"/>
          <w:color w:val="auto"/>
          <w:kern w:val="0"/>
          <w:sz w:val="24"/>
          <w:highlight w:val="none"/>
        </w:rPr>
        <w:t>7天以书面形式向监理单位提出意向（附前任和后任人员的详细履历资料），经总监理工程师签署意见后向委托人提出申请，经委托人同意后方可更换，但受托人仍需向委托人支付专项的人员违约金，人员违约金的金额按下表《人员违约金一览表》的约定执行。受托人必须保证后任人员的资质、资历、业绩、实际工作能力不低于前任人员的素质。人员更换后，后任继续行使合同文件约定的前任的职权，履行前任的义务。</w:t>
      </w:r>
    </w:p>
    <w:p>
      <w:pPr>
        <w:adjustRightInd w:val="0"/>
        <w:snapToGrid w:val="0"/>
        <w:spacing w:line="360" w:lineRule="auto"/>
        <w:ind w:left="-105" w:leftChars="-50" w:firstLine="480" w:firstLineChars="200"/>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人员违约金一览表</w:t>
      </w:r>
      <w:r>
        <w:rPr>
          <w:rFonts w:ascii="宋体" w:hAnsi="宋体"/>
          <w:snapToGrid w:val="0"/>
          <w:color w:val="auto"/>
          <w:kern w:val="0"/>
          <w:sz w:val="24"/>
          <w:highlight w:val="none"/>
        </w:rPr>
        <w:t xml:space="preserve"> </w:t>
      </w:r>
    </w:p>
    <w:tbl>
      <w:tblPr>
        <w:tblStyle w:val="75"/>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522"/>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kern w:val="0"/>
                <w:sz w:val="24"/>
                <w:highlight w:val="none"/>
              </w:rPr>
            </w:pPr>
            <w:r>
              <w:rPr>
                <w:rFonts w:hint="eastAsia" w:ascii="宋体" w:hAnsi="宋体"/>
                <w:snapToGrid w:val="0"/>
                <w:color w:val="auto"/>
                <w:kern w:val="0"/>
                <w:sz w:val="24"/>
                <w:highlight w:val="none"/>
              </w:rPr>
              <w:t>序号</w:t>
            </w:r>
          </w:p>
        </w:tc>
        <w:tc>
          <w:tcPr>
            <w:tcW w:w="3522" w:type="dxa"/>
            <w:tcBorders>
              <w:top w:val="single" w:color="auto" w:sz="4" w:space="0"/>
              <w:left w:val="single" w:color="auto" w:sz="4" w:space="0"/>
              <w:bottom w:val="single" w:color="auto" w:sz="4" w:space="0"/>
              <w:right w:val="single" w:color="auto" w:sz="4" w:space="0"/>
            </w:tcBorders>
            <w:vAlign w:val="center"/>
          </w:tcPr>
          <w:p>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kern w:val="0"/>
                <w:sz w:val="24"/>
                <w:highlight w:val="none"/>
              </w:rPr>
            </w:pPr>
            <w:r>
              <w:rPr>
                <w:rFonts w:hint="eastAsia" w:ascii="宋体" w:hAnsi="宋体"/>
                <w:snapToGrid w:val="0"/>
                <w:color w:val="auto"/>
                <w:kern w:val="0"/>
                <w:sz w:val="24"/>
                <w:highlight w:val="none"/>
              </w:rPr>
              <w:t>被更换的项目主要人员</w:t>
            </w:r>
          </w:p>
        </w:tc>
        <w:tc>
          <w:tcPr>
            <w:tcW w:w="3573" w:type="dxa"/>
            <w:tcBorders>
              <w:top w:val="single" w:color="auto" w:sz="4" w:space="0"/>
              <w:left w:val="single" w:color="auto" w:sz="4" w:space="0"/>
              <w:bottom w:val="single" w:color="auto" w:sz="4" w:space="0"/>
              <w:right w:val="single" w:color="auto" w:sz="4" w:space="0"/>
            </w:tcBorders>
            <w:vAlign w:val="center"/>
          </w:tcPr>
          <w:p>
            <w:pPr>
              <w:keepNext w:val="0"/>
              <w:keepLines w:val="0"/>
              <w:adjustRightInd w:val="0"/>
              <w:snapToGrid w:val="0"/>
              <w:spacing w:before="0" w:after="0" w:line="240" w:lineRule="auto"/>
              <w:ind w:left="-105" w:leftChars="-50" w:firstLine="0" w:firstLineChars="0"/>
              <w:jc w:val="center"/>
              <w:outlineLvl w:val="9"/>
              <w:rPr>
                <w:rFonts w:ascii="宋体" w:hAnsi="宋体"/>
                <w:b/>
                <w:bCs/>
                <w:snapToGrid w:val="0"/>
                <w:color w:val="auto"/>
                <w:kern w:val="0"/>
                <w:sz w:val="24"/>
                <w:highlight w:val="none"/>
              </w:rPr>
            </w:pPr>
            <w:r>
              <w:rPr>
                <w:rFonts w:hint="eastAsia" w:ascii="宋体" w:hAnsi="宋体"/>
                <w:snapToGrid w:val="0"/>
                <w:color w:val="auto"/>
                <w:kern w:val="0"/>
                <w:sz w:val="24"/>
                <w:highlight w:val="none"/>
              </w:rPr>
              <w:t>需向委托人支付的违约金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kern w:val="0"/>
                <w:sz w:val="24"/>
                <w:highlight w:val="none"/>
              </w:rPr>
            </w:pPr>
            <w:r>
              <w:rPr>
                <w:rFonts w:ascii="宋体" w:hAnsi="宋体"/>
                <w:snapToGrid w:val="0"/>
                <w:color w:val="auto"/>
                <w:kern w:val="0"/>
                <w:sz w:val="24"/>
                <w:highlight w:val="none"/>
              </w:rPr>
              <w:t>1</w:t>
            </w:r>
          </w:p>
        </w:tc>
        <w:tc>
          <w:tcPr>
            <w:tcW w:w="3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kern w:val="0"/>
                <w:sz w:val="24"/>
                <w:highlight w:val="none"/>
              </w:rPr>
            </w:pPr>
            <w:r>
              <w:rPr>
                <w:rFonts w:hint="eastAsia" w:ascii="宋体" w:hAnsi="宋体"/>
                <w:snapToGrid w:val="0"/>
                <w:color w:val="auto"/>
                <w:kern w:val="0"/>
                <w:sz w:val="24"/>
                <w:highlight w:val="none"/>
              </w:rPr>
              <w:t>项目负责人（技术负责人）</w:t>
            </w:r>
          </w:p>
        </w:tc>
        <w:tc>
          <w:tcPr>
            <w:tcW w:w="3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kern w:val="0"/>
                <w:sz w:val="24"/>
                <w:highlight w:val="none"/>
              </w:rPr>
            </w:pPr>
            <w:r>
              <w:rPr>
                <w:rFonts w:ascii="宋体" w:hAnsi="宋体"/>
                <w:snapToGrid w:val="0"/>
                <w:color w:val="auto"/>
                <w:kern w:val="0"/>
                <w:sz w:val="24"/>
                <w:highlight w:val="none"/>
              </w:rPr>
              <w:t>5千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kern w:val="0"/>
                <w:sz w:val="24"/>
                <w:highlight w:val="none"/>
              </w:rPr>
            </w:pPr>
            <w:r>
              <w:rPr>
                <w:rFonts w:ascii="宋体" w:hAnsi="宋体"/>
                <w:snapToGrid w:val="0"/>
                <w:color w:val="auto"/>
                <w:kern w:val="0"/>
                <w:sz w:val="24"/>
                <w:highlight w:val="none"/>
              </w:rPr>
              <w:t>2</w:t>
            </w:r>
          </w:p>
        </w:tc>
        <w:tc>
          <w:tcPr>
            <w:tcW w:w="3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kern w:val="0"/>
                <w:sz w:val="24"/>
                <w:highlight w:val="none"/>
              </w:rPr>
            </w:pPr>
            <w:r>
              <w:rPr>
                <w:rFonts w:hint="eastAsia" w:ascii="宋体" w:hAnsi="宋体"/>
                <w:color w:val="auto"/>
                <w:sz w:val="24"/>
                <w:highlight w:val="none"/>
              </w:rPr>
              <w:t>检测、</w:t>
            </w:r>
            <w:r>
              <w:rPr>
                <w:rFonts w:hint="eastAsia" w:ascii="宋体" w:hAnsi="宋体"/>
                <w:color w:val="auto"/>
                <w:sz w:val="24"/>
                <w:highlight w:val="none"/>
                <w:lang w:val="en-US" w:eastAsia="zh-CN"/>
              </w:rPr>
              <w:t>监</w:t>
            </w:r>
            <w:r>
              <w:rPr>
                <w:rFonts w:hint="eastAsia" w:ascii="宋体" w:hAnsi="宋体"/>
                <w:color w:val="auto"/>
                <w:sz w:val="24"/>
                <w:highlight w:val="none"/>
              </w:rPr>
              <w:t>测项目主要人员</w:t>
            </w:r>
          </w:p>
        </w:tc>
        <w:tc>
          <w:tcPr>
            <w:tcW w:w="3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left="-105" w:leftChars="-50" w:firstLine="0" w:firstLineChars="0"/>
              <w:jc w:val="center"/>
              <w:rPr>
                <w:rFonts w:ascii="宋体" w:hAnsi="宋体"/>
                <w:snapToGrid w:val="0"/>
                <w:color w:val="auto"/>
                <w:kern w:val="0"/>
                <w:sz w:val="24"/>
                <w:highlight w:val="none"/>
              </w:rPr>
            </w:pPr>
            <w:r>
              <w:rPr>
                <w:rFonts w:ascii="宋体" w:hAnsi="宋体"/>
                <w:snapToGrid w:val="0"/>
                <w:color w:val="auto"/>
                <w:kern w:val="0"/>
                <w:sz w:val="24"/>
                <w:highlight w:val="none"/>
              </w:rPr>
              <w:t>1千/人</w:t>
            </w:r>
          </w:p>
        </w:tc>
      </w:tr>
    </w:tbl>
    <w:p>
      <w:pPr>
        <w:widowControl w:val="0"/>
        <w:tabs>
          <w:tab w:val="left" w:pos="6720"/>
        </w:tabs>
        <w:adjustRightInd w:val="0"/>
        <w:spacing w:line="360" w:lineRule="auto"/>
        <w:ind w:left="0" w:leftChars="0" w:firstLine="480" w:firstLineChars="200"/>
        <w:jc w:val="both"/>
        <w:rPr>
          <w:rFonts w:ascii="宋体" w:hAnsi="宋体" w:eastAsia="宋体" w:cs="Times New Roman"/>
          <w:snapToGrid w:val="0"/>
          <w:color w:val="auto"/>
          <w:kern w:val="2"/>
          <w:sz w:val="24"/>
          <w:szCs w:val="24"/>
          <w:highlight w:val="none"/>
          <w:lang w:val="en-US" w:eastAsia="zh-CN" w:bidi="ar-SA"/>
        </w:rPr>
      </w:pPr>
      <w:r>
        <w:rPr>
          <w:rFonts w:hint="eastAsia" w:ascii="宋体" w:hAnsi="宋体" w:eastAsia="宋体" w:cs="Times New Roman"/>
          <w:snapToGrid w:val="0"/>
          <w:color w:val="auto"/>
          <w:kern w:val="2"/>
          <w:sz w:val="24"/>
          <w:szCs w:val="24"/>
          <w:highlight w:val="none"/>
          <w:lang w:val="en-US" w:eastAsia="zh-CN" w:bidi="ar-SA"/>
        </w:rPr>
        <w:t>（</w:t>
      </w:r>
      <w:r>
        <w:rPr>
          <w:rFonts w:ascii="宋体" w:hAnsi="宋体" w:eastAsia="宋体" w:cs="Times New Roman"/>
          <w:snapToGrid w:val="0"/>
          <w:color w:val="auto"/>
          <w:kern w:val="2"/>
          <w:sz w:val="24"/>
          <w:szCs w:val="24"/>
          <w:highlight w:val="none"/>
          <w:lang w:val="en-US" w:eastAsia="zh-CN" w:bidi="ar-SA"/>
        </w:rPr>
        <w:t>6）项目负责人（技术负责人）或</w:t>
      </w:r>
      <w:r>
        <w:rPr>
          <w:rFonts w:hint="eastAsia" w:ascii="宋体" w:hAnsi="宋体" w:eastAsia="宋体" w:cs="Times New Roman"/>
          <w:snapToGrid w:val="0"/>
          <w:color w:val="auto"/>
          <w:kern w:val="2"/>
          <w:sz w:val="24"/>
          <w:szCs w:val="24"/>
          <w:highlight w:val="none"/>
          <w:lang w:val="en-US" w:eastAsia="zh-CN" w:bidi="ar-SA"/>
        </w:rPr>
        <w:t>检测、监测项目主要人员的实际工作能力和工作表现达不到招标文件明确要求或投标文件的承诺或工作态度存在严重不足，不适应现场工作需要，委托人有权向受托人提出撤换。受托人可以提出整改意见；如委托人不予接受，或认为整改效果不明显的，则受托人必须在收到委托人撤换通知书之日起</w:t>
      </w:r>
      <w:r>
        <w:rPr>
          <w:rFonts w:ascii="宋体" w:hAnsi="宋体" w:eastAsia="宋体" w:cs="Times New Roman"/>
          <w:snapToGrid w:val="0"/>
          <w:color w:val="auto"/>
          <w:kern w:val="2"/>
          <w:sz w:val="24"/>
          <w:szCs w:val="24"/>
          <w:highlight w:val="none"/>
          <w:lang w:val="en-US" w:eastAsia="zh-CN" w:bidi="ar-SA"/>
        </w:rPr>
        <w:t>7天内无条件撤换，所调换来人员的资质、资历、学历、职称、业绩、实际工作能力不低于原</w:t>
      </w:r>
      <w:r>
        <w:rPr>
          <w:rFonts w:hint="eastAsia" w:ascii="宋体" w:hAnsi="宋体" w:eastAsia="宋体" w:cs="Times New Roman"/>
          <w:color w:val="auto"/>
          <w:kern w:val="2"/>
          <w:sz w:val="24"/>
          <w:szCs w:val="24"/>
          <w:highlight w:val="none"/>
          <w:lang w:val="en-US" w:eastAsia="zh-CN" w:bidi="ar-SA"/>
        </w:rPr>
        <w:t>合同</w:t>
      </w:r>
      <w:r>
        <w:rPr>
          <w:rFonts w:hint="eastAsia" w:ascii="宋体" w:hAnsi="宋体" w:eastAsia="宋体" w:cs="Times New Roman"/>
          <w:snapToGrid w:val="0"/>
          <w:color w:val="auto"/>
          <w:kern w:val="2"/>
          <w:sz w:val="24"/>
          <w:szCs w:val="24"/>
          <w:highlight w:val="none"/>
          <w:lang w:val="en-US" w:eastAsia="zh-CN" w:bidi="ar-SA"/>
        </w:rPr>
        <w:t>投标书中所承诺人员的素质。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7）</w:t>
      </w:r>
      <w:bookmarkStart w:id="104" w:name="_Hlk76659266"/>
      <w:r>
        <w:rPr>
          <w:rFonts w:ascii="宋体" w:hAnsi="宋体"/>
          <w:bCs/>
          <w:color w:val="auto"/>
          <w:sz w:val="24"/>
          <w:highlight w:val="none"/>
        </w:rPr>
        <w:t>项目负责人（技术负责人）、常驻工地现场人员</w:t>
      </w:r>
      <w:bookmarkEnd w:id="104"/>
      <w:r>
        <w:rPr>
          <w:rFonts w:ascii="宋体" w:hAnsi="宋体"/>
          <w:bCs/>
          <w:color w:val="auto"/>
          <w:sz w:val="24"/>
          <w:highlight w:val="none"/>
        </w:rPr>
        <w:t>在工程检测实施期间必须全职在现场办公，不得擅自离岗。因特殊情况需短暂离岗的，应当事先报委托人批准，必须妥善安排工地现场的工作交接，并按以下规定执行：</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a.离场1天内，须将工作交接情况知会委托人代表；</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b.离场2～5天，须将工作交接情况知会委托人代表，并经批准；</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c.一个月内累计离场时间不得超过5天（含节假日）。</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若违反上述规定，受托人按照本合同条款第八条的有关约定承担违约责任。</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8）如委托人要求受托人撤换不合格人员，受托人拒不执行，则自撤换通知下达7天后，视为该岗位已空缺，受托人应按照本合同条款第八条的有关约定承担违约责任。</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3、受托人在基准网和监测点布设完毕后应做好点位交底以及悬挂严禁破坏的警示标牌等工作。</w:t>
      </w:r>
    </w:p>
    <w:p>
      <w:pPr>
        <w:widowControl w:val="0"/>
        <w:adjustRightInd w:val="0"/>
        <w:spacing w:line="360" w:lineRule="auto"/>
        <w:ind w:left="-105" w:leftChars="-50" w:firstLine="480" w:firstLineChars="200"/>
        <w:jc w:val="both"/>
        <w:rPr>
          <w:rFonts w:ascii="宋体" w:hAnsi="宋体" w:eastAsia="宋体" w:cs="Times New Roman"/>
          <w:snapToGrid w:val="0"/>
          <w:color w:val="auto"/>
          <w:kern w:val="2"/>
          <w:sz w:val="24"/>
          <w:szCs w:val="24"/>
          <w:highlight w:val="none"/>
          <w:lang w:val="en-US" w:eastAsia="zh-CN" w:bidi="ar-SA"/>
        </w:rPr>
      </w:pPr>
      <w:r>
        <w:rPr>
          <w:rFonts w:ascii="宋体" w:hAnsi="宋体" w:eastAsia="宋体" w:cs="Times New Roman"/>
          <w:snapToGrid w:val="0"/>
          <w:color w:val="auto"/>
          <w:kern w:val="2"/>
          <w:sz w:val="24"/>
          <w:szCs w:val="24"/>
          <w:highlight w:val="none"/>
          <w:lang w:val="en-US" w:eastAsia="zh-CN" w:bidi="ar-SA"/>
        </w:rPr>
        <w:t>4、受托人应自行完成本合同约定项目的</w:t>
      </w:r>
      <w:r>
        <w:rPr>
          <w:rFonts w:hint="eastAsia" w:ascii="宋体" w:hAnsi="宋体" w:eastAsia="宋体" w:cs="Times New Roman"/>
          <w:snapToGrid w:val="0"/>
          <w:color w:val="auto"/>
          <w:kern w:val="2"/>
          <w:sz w:val="24"/>
          <w:szCs w:val="24"/>
          <w:highlight w:val="none"/>
          <w:lang w:val="en-US" w:eastAsia="zh-CN" w:bidi="ar-SA"/>
        </w:rPr>
        <w:t>检测、监测工作，除本合同另有约定外不得转包和分包</w:t>
      </w:r>
      <w:r>
        <w:rPr>
          <w:rFonts w:hint="eastAsia" w:ascii="宋体" w:hAnsi="宋体" w:eastAsia="宋体" w:cs="Times New Roman"/>
          <w:bCs/>
          <w:snapToGrid w:val="0"/>
          <w:color w:val="auto"/>
          <w:kern w:val="2"/>
          <w:sz w:val="24"/>
          <w:szCs w:val="24"/>
          <w:highlight w:val="none"/>
          <w:lang w:val="en-US" w:eastAsia="zh-CN" w:bidi="ar-SA"/>
        </w:rPr>
        <w:t>。</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5、受托人应认真、勤奋地工作，按时提交各阶段的</w:t>
      </w:r>
      <w:r>
        <w:rPr>
          <w:rFonts w:hint="eastAsia" w:ascii="宋体" w:hAnsi="宋体"/>
          <w:snapToGrid w:val="0"/>
          <w:color w:val="auto"/>
          <w:sz w:val="24"/>
          <w:highlight w:val="none"/>
        </w:rPr>
        <w:t>检测、监测报告并对检测、监测报告数据的真实性、可靠性负责。对检测、监测报告中出现的遗漏或错误负责无偿修改或补充。</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6、</w:t>
      </w:r>
      <w:r>
        <w:rPr>
          <w:rFonts w:hint="eastAsia" w:ascii="宋体" w:hAnsi="宋体"/>
          <w:snapToGrid w:val="0"/>
          <w:color w:val="auto"/>
          <w:sz w:val="24"/>
          <w:highlight w:val="none"/>
        </w:rPr>
        <w:t>检测、监测过程中，发现施工单位违反有关法律、法规、规范和工程建设强制性标准的行为，应及时向委托人报告。</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7、受托人对本方</w:t>
      </w:r>
      <w:r>
        <w:rPr>
          <w:rFonts w:hint="eastAsia" w:ascii="宋体" w:hAnsi="宋体"/>
          <w:snapToGrid w:val="0"/>
          <w:color w:val="auto"/>
          <w:sz w:val="24"/>
          <w:highlight w:val="none"/>
        </w:rPr>
        <w:t>检测、监测人员经常进行检查、指导、管理。</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8、受托人协调委托人、施工单位、监理单位以及设计单位的工作关系并组织本项目的</w:t>
      </w:r>
      <w:r>
        <w:rPr>
          <w:rFonts w:hint="eastAsia" w:ascii="宋体" w:hAnsi="宋体"/>
          <w:snapToGrid w:val="0"/>
          <w:color w:val="auto"/>
          <w:sz w:val="24"/>
          <w:highlight w:val="none"/>
        </w:rPr>
        <w:t>检测、监测工作，按照其投标文件和检测、监测实施方案的承诺安排检测、监测人员，了解工程进度情况，及时通知施工与监理单位开展相关</w:t>
      </w:r>
      <w:r>
        <w:rPr>
          <w:rFonts w:hint="eastAsia" w:ascii="宋体" w:hAnsi="宋体" w:cs="宋体"/>
          <w:color w:val="auto"/>
          <w:kern w:val="0"/>
          <w:sz w:val="24"/>
          <w:highlight w:val="none"/>
        </w:rPr>
        <w:t>检测、监测</w:t>
      </w:r>
      <w:r>
        <w:rPr>
          <w:rFonts w:hint="eastAsia" w:ascii="宋体" w:hAnsi="宋体"/>
          <w:snapToGrid w:val="0"/>
          <w:color w:val="auto"/>
          <w:sz w:val="24"/>
          <w:highlight w:val="none"/>
        </w:rPr>
        <w:t>工作。</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9、受托人应自行解决</w:t>
      </w:r>
      <w:r>
        <w:rPr>
          <w:rFonts w:hint="eastAsia" w:ascii="宋体" w:hAnsi="宋体"/>
          <w:snapToGrid w:val="0"/>
          <w:color w:val="auto"/>
          <w:sz w:val="24"/>
          <w:highlight w:val="none"/>
        </w:rPr>
        <w:t>检测、监测人员交通、通讯费等，由此发生的费用已包含在投标报价中。</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10、受托人应当配合工程设计和施工的需要提供相应的</w:t>
      </w:r>
      <w:r>
        <w:rPr>
          <w:rFonts w:hint="eastAsia" w:ascii="宋体" w:hAnsi="宋体"/>
          <w:snapToGrid w:val="0"/>
          <w:color w:val="auto"/>
          <w:sz w:val="24"/>
          <w:highlight w:val="none"/>
        </w:rPr>
        <w:t>检测、监测服务，并应按委托人要求，采取有效措施及时提供中间资料，以满足施工进度的需要。</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11、</w:t>
      </w:r>
      <w:r>
        <w:rPr>
          <w:rFonts w:hint="eastAsia" w:ascii="宋体" w:hAnsi="宋体"/>
          <w:snapToGrid w:val="0"/>
          <w:color w:val="auto"/>
          <w:sz w:val="24"/>
          <w:highlight w:val="none"/>
        </w:rPr>
        <w:t>检测、监测过程中，如因场地条件、设计方案的变更，需增减检测、监测工程量或改变检测、监测手段的，受托人均应及时向委托人报告，并在委托人批准后方可实施。</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12、</w:t>
      </w:r>
      <w:r>
        <w:rPr>
          <w:rFonts w:hint="eastAsia" w:ascii="宋体" w:hAnsi="宋体"/>
          <w:snapToGrid w:val="0"/>
          <w:color w:val="auto"/>
          <w:sz w:val="24"/>
          <w:highlight w:val="none"/>
        </w:rPr>
        <w:t>检测、监测后，监测数据报警、检测工程质量不合格或由于其他客观情况需要，委托人要求受托人进行复检时，受托人应负责进行检测、监测，由此发生的费用按本合同条款第七款的有关约定执行。</w:t>
      </w:r>
    </w:p>
    <w:p>
      <w:pPr>
        <w:spacing w:line="360" w:lineRule="auto"/>
        <w:ind w:left="-105" w:leftChars="-50" w:firstLine="480" w:firstLineChars="200"/>
        <w:rPr>
          <w:rFonts w:ascii="宋体" w:hAnsi="宋体"/>
          <w:snapToGrid w:val="0"/>
          <w:color w:val="auto"/>
          <w:sz w:val="24"/>
          <w:highlight w:val="none"/>
        </w:rPr>
      </w:pPr>
      <w:r>
        <w:rPr>
          <w:rFonts w:ascii="宋体" w:hAnsi="宋体"/>
          <w:snapToGrid w:val="0"/>
          <w:color w:val="auto"/>
          <w:sz w:val="24"/>
          <w:highlight w:val="none"/>
        </w:rPr>
        <w:t>13、对于委托人书面提交并要求作出决定的事宜，受托人应在收到之日起3个工作日内作出书面答复；对影响施工现场进度的事项应在24小时内作出具有明确处理意见的书面答复。</w:t>
      </w:r>
    </w:p>
    <w:p>
      <w:pPr>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14、按时进行现场试验取样、提交检测报告，负责资料、报告的打印、复印、装订、装箱等工作。</w:t>
      </w:r>
    </w:p>
    <w:p>
      <w:pPr>
        <w:spacing w:line="360" w:lineRule="auto"/>
        <w:ind w:left="-105" w:leftChars="-50" w:firstLine="480" w:firstLineChars="200"/>
        <w:rPr>
          <w:rFonts w:ascii="宋体" w:hAnsi="宋体"/>
          <w:bCs/>
          <w:color w:val="auto"/>
          <w:sz w:val="24"/>
          <w:highlight w:val="none"/>
        </w:rPr>
      </w:pPr>
      <w:r>
        <w:rPr>
          <w:rFonts w:ascii="宋体" w:hAnsi="宋体"/>
          <w:snapToGrid w:val="0"/>
          <w:color w:val="auto"/>
          <w:sz w:val="24"/>
          <w:highlight w:val="none"/>
        </w:rPr>
        <w:t>15</w:t>
      </w:r>
      <w:r>
        <w:rPr>
          <w:rFonts w:hint="eastAsia" w:ascii="宋体" w:hAnsi="宋体"/>
          <w:snapToGrid w:val="0"/>
          <w:color w:val="auto"/>
          <w:sz w:val="24"/>
          <w:highlight w:val="none"/>
        </w:rPr>
        <w:t>、</w:t>
      </w:r>
      <w:r>
        <w:rPr>
          <w:rFonts w:hint="eastAsia" w:ascii="宋体" w:hAnsi="宋体"/>
          <w:bCs/>
          <w:color w:val="auto"/>
          <w:sz w:val="24"/>
          <w:highlight w:val="none"/>
        </w:rPr>
        <w:t>向委托人提供非驻场式的技术咨询、支持服务，包括参加本项目相关会议、安排技术人员到现场解决相关问题。</w:t>
      </w:r>
    </w:p>
    <w:p>
      <w:pPr>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16</w:t>
      </w:r>
      <w:r>
        <w:rPr>
          <w:rFonts w:hint="eastAsia" w:ascii="宋体" w:hAnsi="宋体"/>
          <w:bCs/>
          <w:color w:val="auto"/>
          <w:sz w:val="24"/>
          <w:highlight w:val="none"/>
        </w:rPr>
        <w:t>、应随时接受委托人、监理单位及质量安全监督部门的监督，为确保检测、监测结果的正确，任何人不得干预检测、监测结果。</w:t>
      </w:r>
    </w:p>
    <w:p>
      <w:pPr>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17</w:t>
      </w:r>
      <w:r>
        <w:rPr>
          <w:rFonts w:hint="eastAsia" w:ascii="宋体" w:hAnsi="宋体"/>
          <w:bCs/>
          <w:color w:val="auto"/>
          <w:sz w:val="24"/>
          <w:highlight w:val="none"/>
        </w:rPr>
        <w:t>、保证检测、监测人员具备检测、监测资格，保证持有的检测、监测资质满足地方管理要求。</w:t>
      </w:r>
    </w:p>
    <w:p>
      <w:pPr>
        <w:spacing w:line="360" w:lineRule="auto"/>
        <w:ind w:left="-105" w:leftChars="-50" w:firstLine="480" w:firstLineChars="200"/>
        <w:rPr>
          <w:rFonts w:ascii="宋体" w:hAnsi="宋体"/>
          <w:bCs/>
          <w:color w:val="auto"/>
          <w:sz w:val="24"/>
          <w:highlight w:val="none"/>
        </w:rPr>
      </w:pPr>
      <w:r>
        <w:rPr>
          <w:rFonts w:ascii="宋体" w:hAnsi="宋体"/>
          <w:bCs/>
          <w:color w:val="auto"/>
          <w:sz w:val="24"/>
          <w:highlight w:val="none"/>
        </w:rPr>
        <w:t>18</w:t>
      </w:r>
      <w:r>
        <w:rPr>
          <w:rFonts w:hint="eastAsia" w:ascii="宋体" w:hAnsi="宋体"/>
          <w:bCs/>
          <w:color w:val="auto"/>
          <w:sz w:val="24"/>
          <w:highlight w:val="none"/>
        </w:rPr>
        <w:t>、提供检测、监测仪器设备，负责仪器设备安装及场内中转、进退场。保证检测、监测计量器具在计量检定有效周期内。</w:t>
      </w:r>
    </w:p>
    <w:p>
      <w:pPr>
        <w:spacing w:line="360" w:lineRule="auto"/>
        <w:ind w:left="-105" w:leftChars="-50" w:firstLine="480" w:firstLineChars="200"/>
        <w:rPr>
          <w:rFonts w:ascii="宋体" w:hAnsi="宋体"/>
          <w:color w:val="auto"/>
          <w:sz w:val="24"/>
          <w:highlight w:val="none"/>
        </w:rPr>
      </w:pPr>
      <w:r>
        <w:rPr>
          <w:rFonts w:ascii="宋体" w:hAnsi="宋体"/>
          <w:bCs/>
          <w:color w:val="auto"/>
          <w:sz w:val="24"/>
          <w:highlight w:val="none"/>
        </w:rPr>
        <w:t>19</w:t>
      </w:r>
      <w:r>
        <w:rPr>
          <w:rFonts w:hint="eastAsia" w:ascii="宋体" w:hAnsi="宋体"/>
          <w:bCs/>
          <w:color w:val="auto"/>
          <w:sz w:val="24"/>
          <w:highlight w:val="none"/>
        </w:rPr>
        <w:t>、</w:t>
      </w:r>
      <w:r>
        <w:rPr>
          <w:rFonts w:hint="eastAsia" w:ascii="宋体" w:hAnsi="宋体"/>
          <w:color w:val="auto"/>
          <w:sz w:val="24"/>
          <w:highlight w:val="none"/>
        </w:rPr>
        <w:t>不向任何第三方泄露委托人的检测、监测结果（按政府相关部门要求监测数据上传不属泄露）。</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20</w:t>
      </w:r>
      <w:r>
        <w:rPr>
          <w:rFonts w:hint="eastAsia" w:ascii="宋体" w:hAnsi="宋体"/>
          <w:color w:val="auto"/>
          <w:sz w:val="24"/>
          <w:highlight w:val="none"/>
        </w:rPr>
        <w:t>、与工程所在行政区域的相关建设行政主管部门和监督部门进行检测、监测工作的协调，申报检测、监测技术成果的审批。保证技术成果能够通过相关部门认可，确保不因检测、监测工作影响本工程项目的建设进度和竣工验收。</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、保证检测、监测工作的客观、独立、公正，不得与施工单位串通，损害委托人的利益，否则应按</w:t>
      </w:r>
      <w:r>
        <w:rPr>
          <w:rFonts w:hint="eastAsia" w:ascii="宋体" w:hAnsi="宋体"/>
          <w:snapToGrid w:val="0"/>
          <w:color w:val="auto"/>
          <w:kern w:val="0"/>
          <w:sz w:val="24"/>
          <w:highlight w:val="none"/>
        </w:rPr>
        <w:t>照本合同条款第八条的有关约定承担违约责任</w:t>
      </w:r>
      <w:r>
        <w:rPr>
          <w:rFonts w:hint="eastAsia" w:ascii="宋体" w:hAnsi="宋体"/>
          <w:color w:val="auto"/>
          <w:sz w:val="24"/>
          <w:highlight w:val="none"/>
        </w:rPr>
        <w:t>。</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、对检测、监测过程中发现存在的质量问题，提出具体的处理意见和建议。</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23</w:t>
      </w:r>
      <w:r>
        <w:rPr>
          <w:rFonts w:hint="eastAsia" w:ascii="宋体" w:hAnsi="宋体"/>
          <w:color w:val="auto"/>
          <w:sz w:val="24"/>
          <w:highlight w:val="none"/>
        </w:rPr>
        <w:t>、对检测、监测结果提出异议时，监测单位应无条件配合复检，由此产生的相关费用由责任方承担。</w:t>
      </w:r>
    </w:p>
    <w:p>
      <w:pPr>
        <w:spacing w:line="360" w:lineRule="auto"/>
        <w:ind w:left="-105" w:leftChars="-50" w:firstLine="482" w:firstLineChars="200"/>
        <w:rPr>
          <w:rFonts w:ascii="宋体" w:hAnsi="宋体"/>
          <w:b/>
          <w:color w:val="auto"/>
          <w:sz w:val="24"/>
          <w:highlight w:val="none"/>
        </w:rPr>
      </w:pPr>
      <w:r>
        <w:rPr>
          <w:rFonts w:hint="eastAsia" w:ascii="宋体" w:hAnsi="宋体"/>
          <w:b/>
          <w:color w:val="auto"/>
          <w:sz w:val="24"/>
          <w:highlight w:val="none"/>
        </w:rPr>
        <w:t>五．履行期限、地点和方式</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1．履行期限：从委托人向受托人发出中标通知书之日起到受托人按合同约定时间</w:t>
      </w:r>
      <w:r>
        <w:rPr>
          <w:rFonts w:hint="eastAsia" w:ascii="宋体" w:hAnsi="宋体"/>
          <w:color w:val="auto"/>
          <w:spacing w:val="-10"/>
          <w:sz w:val="24"/>
          <w:highlight w:val="none"/>
        </w:rPr>
        <w:t>完成合同约定全部工作内容为止。</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2．履行地点：</w:t>
      </w:r>
      <w:r>
        <w:rPr>
          <w:rFonts w:hint="eastAsia" w:ascii="宋体" w:hAnsi="宋体"/>
          <w:color w:val="auto"/>
          <w:sz w:val="24"/>
          <w:highlight w:val="none"/>
        </w:rPr>
        <w:t>花都区</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3．第一次进场时间由委托人确定，并提前1天通知受托人。</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检测、监测工作根据委托人的安排，分批进场；检测、监测工作从工程开工至服务项目全部完成，全程跟进。</w:t>
      </w:r>
    </w:p>
    <w:p>
      <w:pPr>
        <w:spacing w:line="360" w:lineRule="auto"/>
        <w:ind w:left="-105" w:leftChars="-50" w:firstLine="482" w:firstLineChars="200"/>
        <w:rPr>
          <w:rFonts w:ascii="宋体" w:hAnsi="宋体"/>
          <w:b/>
          <w:color w:val="auto"/>
          <w:sz w:val="24"/>
          <w:highlight w:val="none"/>
        </w:rPr>
      </w:pPr>
      <w:r>
        <w:rPr>
          <w:rFonts w:hint="eastAsia" w:ascii="宋体" w:hAnsi="宋体"/>
          <w:b/>
          <w:color w:val="auto"/>
          <w:sz w:val="24"/>
          <w:highlight w:val="none"/>
        </w:rPr>
        <w:t>六．检测、监测标准</w:t>
      </w:r>
    </w:p>
    <w:p>
      <w:pPr>
        <w:spacing w:beforeLines="50" w:line="360" w:lineRule="auto"/>
        <w:ind w:left="-105" w:leftChars="-50" w:firstLine="480" w:firstLineChars="200"/>
        <w:rPr>
          <w:rFonts w:ascii="宋体" w:hAnsi="宋体"/>
          <w:bCs/>
          <w:color w:val="auto"/>
          <w:sz w:val="24"/>
          <w:highlight w:val="none"/>
        </w:rPr>
      </w:pPr>
      <w:r>
        <w:rPr>
          <w:rFonts w:hint="eastAsia" w:ascii="宋体" w:hAnsi="宋体"/>
          <w:bCs/>
          <w:color w:val="auto"/>
          <w:sz w:val="24"/>
          <w:highlight w:val="none"/>
        </w:rPr>
        <w:t>工程监测标准参照以下现行规范中的有关条款进行：</w:t>
      </w:r>
    </w:p>
    <w:p>
      <w:pPr>
        <w:adjustRightInd w:val="0"/>
        <w:snapToGrid w:val="0"/>
        <w:spacing w:line="360" w:lineRule="auto"/>
        <w:ind w:left="375"/>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必须符合《建设工程质量管理条例文件汇编》（广州地区建设工程质量安全监督站编制）；</w:t>
      </w:r>
    </w:p>
    <w:p>
      <w:pPr>
        <w:adjustRightInd w:val="0"/>
        <w:snapToGrid w:val="0"/>
        <w:spacing w:line="360" w:lineRule="auto"/>
        <w:ind w:left="375"/>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建筑基坑工程监测技术规范</w:t>
      </w:r>
      <w:r>
        <w:rPr>
          <w:rFonts w:ascii="宋体" w:hAnsi="宋体"/>
          <w:color w:val="auto"/>
          <w:sz w:val="24"/>
          <w:highlight w:val="none"/>
        </w:rPr>
        <w:t xml:space="preserve"> GB20497-2009</w:t>
      </w:r>
      <w:r>
        <w:rPr>
          <w:rFonts w:hint="eastAsia" w:ascii="宋体" w:hAnsi="宋体"/>
          <w:color w:val="auto"/>
          <w:sz w:val="24"/>
          <w:highlight w:val="none"/>
        </w:rPr>
        <w:t>；</w:t>
      </w:r>
    </w:p>
    <w:p>
      <w:pPr>
        <w:adjustRightInd w:val="0"/>
        <w:snapToGrid w:val="0"/>
        <w:spacing w:line="360" w:lineRule="auto"/>
        <w:ind w:left="375"/>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工程测量规范</w:t>
      </w:r>
      <w:r>
        <w:rPr>
          <w:rFonts w:ascii="宋体" w:hAnsi="宋体"/>
          <w:color w:val="auto"/>
          <w:sz w:val="24"/>
          <w:highlight w:val="none"/>
        </w:rPr>
        <w:t xml:space="preserve"> GB50026-2007</w:t>
      </w:r>
      <w:r>
        <w:rPr>
          <w:rFonts w:hint="eastAsia" w:ascii="宋体" w:hAnsi="宋体"/>
          <w:color w:val="auto"/>
          <w:sz w:val="24"/>
          <w:highlight w:val="none"/>
        </w:rPr>
        <w:t>；</w:t>
      </w:r>
    </w:p>
    <w:p>
      <w:pPr>
        <w:adjustRightInd w:val="0"/>
        <w:snapToGrid w:val="0"/>
        <w:spacing w:line="360" w:lineRule="auto"/>
        <w:ind w:left="37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建筑变形测量规范</w:t>
      </w:r>
      <w:r>
        <w:rPr>
          <w:rFonts w:ascii="宋体" w:hAnsi="宋体"/>
          <w:color w:val="auto"/>
          <w:sz w:val="24"/>
          <w:highlight w:val="none"/>
        </w:rPr>
        <w:t xml:space="preserve"> JGJ8-2016</w:t>
      </w:r>
      <w:r>
        <w:rPr>
          <w:rFonts w:hint="eastAsia" w:ascii="宋体" w:hAnsi="宋体"/>
          <w:color w:val="auto"/>
          <w:sz w:val="24"/>
          <w:highlight w:val="none"/>
        </w:rPr>
        <w:t>；</w:t>
      </w:r>
    </w:p>
    <w:p>
      <w:pPr>
        <w:adjustRightInd w:val="0"/>
        <w:snapToGrid w:val="0"/>
        <w:spacing w:line="360" w:lineRule="auto"/>
        <w:ind w:left="375"/>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国家一、二等水准测量规范</w:t>
      </w:r>
      <w:r>
        <w:rPr>
          <w:rFonts w:ascii="宋体" w:hAnsi="宋体"/>
          <w:color w:val="auto"/>
          <w:sz w:val="24"/>
          <w:highlight w:val="none"/>
        </w:rPr>
        <w:t xml:space="preserve"> GB/T12897-2006</w:t>
      </w:r>
      <w:r>
        <w:rPr>
          <w:rFonts w:hint="eastAsia" w:ascii="宋体" w:hAnsi="宋体"/>
          <w:color w:val="auto"/>
          <w:sz w:val="24"/>
          <w:highlight w:val="none"/>
        </w:rPr>
        <w:t>；</w:t>
      </w:r>
    </w:p>
    <w:p>
      <w:pPr>
        <w:adjustRightInd w:val="0"/>
        <w:snapToGrid w:val="0"/>
        <w:spacing w:line="360" w:lineRule="auto"/>
        <w:ind w:left="375"/>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国家三、四等水准测量规范</w:t>
      </w:r>
      <w:r>
        <w:rPr>
          <w:rFonts w:ascii="宋体" w:hAnsi="宋体"/>
          <w:color w:val="auto"/>
          <w:sz w:val="24"/>
          <w:highlight w:val="none"/>
        </w:rPr>
        <w:t xml:space="preserve"> GB/T12898-2009</w:t>
      </w:r>
      <w:r>
        <w:rPr>
          <w:rFonts w:hint="eastAsia" w:ascii="宋体" w:hAnsi="宋体"/>
          <w:color w:val="auto"/>
          <w:sz w:val="24"/>
          <w:highlight w:val="none"/>
        </w:rPr>
        <w:t>；</w:t>
      </w:r>
    </w:p>
    <w:p>
      <w:pPr>
        <w:adjustRightInd w:val="0"/>
        <w:snapToGrid w:val="0"/>
        <w:spacing w:line="360" w:lineRule="auto"/>
        <w:ind w:left="375"/>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建筑基坑支护技术规程</w:t>
      </w:r>
      <w:r>
        <w:rPr>
          <w:rFonts w:ascii="宋体" w:hAnsi="宋体"/>
          <w:color w:val="auto"/>
          <w:sz w:val="24"/>
          <w:highlight w:val="none"/>
        </w:rPr>
        <w:t>JGJ120-2012</w:t>
      </w:r>
      <w:r>
        <w:rPr>
          <w:rFonts w:hint="eastAsia" w:ascii="宋体" w:hAnsi="宋体"/>
          <w:color w:val="auto"/>
          <w:sz w:val="24"/>
          <w:highlight w:val="none"/>
        </w:rPr>
        <w:t>（备案号</w:t>
      </w:r>
      <w:r>
        <w:rPr>
          <w:rFonts w:ascii="宋体" w:hAnsi="宋体"/>
          <w:color w:val="auto"/>
          <w:sz w:val="24"/>
          <w:highlight w:val="none"/>
        </w:rPr>
        <w:t>J1412-2012</w:t>
      </w:r>
      <w:r>
        <w:rPr>
          <w:rFonts w:hint="eastAsia" w:ascii="宋体" w:hAnsi="宋体"/>
          <w:color w:val="auto"/>
          <w:sz w:val="24"/>
          <w:highlight w:val="none"/>
        </w:rPr>
        <w:t>）；</w:t>
      </w:r>
    </w:p>
    <w:p>
      <w:pPr>
        <w:adjustRightInd w:val="0"/>
        <w:snapToGrid w:val="0"/>
        <w:spacing w:line="360" w:lineRule="auto"/>
        <w:ind w:left="375"/>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国家其他监测规范、强制性标准；</w:t>
      </w:r>
    </w:p>
    <w:p>
      <w:pPr>
        <w:adjustRightInd w:val="0"/>
        <w:snapToGrid w:val="0"/>
        <w:spacing w:line="360" w:lineRule="auto"/>
        <w:ind w:left="375"/>
        <w:rPr>
          <w:rFonts w:ascii="宋体" w:hAnsi="宋体"/>
          <w:color w:val="auto"/>
          <w:sz w:val="24"/>
          <w:highlight w:val="none"/>
        </w:rPr>
      </w:pPr>
      <w:r>
        <w:rPr>
          <w:rFonts w:ascii="宋体" w:hAnsi="宋体"/>
          <w:color w:val="auto"/>
          <w:sz w:val="24"/>
          <w:highlight w:val="none"/>
        </w:rPr>
        <w:t>9、</w:t>
      </w:r>
      <w:r>
        <w:rPr>
          <w:rFonts w:hint="eastAsia" w:ascii="宋体" w:hAnsi="宋体"/>
          <w:color w:val="auto"/>
          <w:sz w:val="24"/>
          <w:highlight w:val="none"/>
        </w:rPr>
        <w:t>基坑监测方案与相关设计文件要求。</w:t>
      </w:r>
    </w:p>
    <w:p>
      <w:pPr>
        <w:adjustRightInd w:val="0"/>
        <w:snapToGrid w:val="0"/>
        <w:spacing w:line="360" w:lineRule="auto"/>
        <w:ind w:left="-105"/>
        <w:rPr>
          <w:rFonts w:ascii="宋体" w:hAnsi="宋体"/>
          <w:color w:val="auto"/>
          <w:sz w:val="24"/>
          <w:highlight w:val="none"/>
        </w:rPr>
      </w:pPr>
      <w:r>
        <w:rPr>
          <w:rFonts w:ascii="宋体" w:hAnsi="宋体"/>
          <w:color w:val="auto"/>
          <w:sz w:val="24"/>
          <w:highlight w:val="none"/>
        </w:rPr>
        <w:t xml:space="preserve">    工程检测标准参照以下现行规范中的有关条款进行：</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、广东省标准《建筑地基基础检测规范》</w:t>
      </w:r>
      <w:r>
        <w:rPr>
          <w:rFonts w:ascii="宋体" w:hAnsi="宋体"/>
          <w:color w:val="auto"/>
          <w:sz w:val="24"/>
          <w:highlight w:val="none"/>
        </w:rPr>
        <w:t>DBJ15-60-2019；</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、国家行业标准《建筑基桩检测技术规范》</w:t>
      </w:r>
      <w:r>
        <w:rPr>
          <w:rFonts w:ascii="宋体" w:hAnsi="宋体"/>
          <w:color w:val="auto"/>
          <w:sz w:val="24"/>
          <w:highlight w:val="none"/>
        </w:rPr>
        <w:t>JGJ106-2014；</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、广东省标准《建筑地基处理技术规范》</w:t>
      </w:r>
      <w:r>
        <w:rPr>
          <w:rFonts w:ascii="宋体" w:hAnsi="宋体"/>
          <w:color w:val="auto"/>
          <w:sz w:val="24"/>
          <w:highlight w:val="none"/>
        </w:rPr>
        <w:t>DBJ15-38-2005；</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、国家行业标准《建筑地基处理技术规范》</w:t>
      </w:r>
      <w:r>
        <w:rPr>
          <w:rFonts w:ascii="宋体" w:hAnsi="宋体"/>
          <w:color w:val="auto"/>
          <w:sz w:val="24"/>
          <w:highlight w:val="none"/>
        </w:rPr>
        <w:t>JGJ79-2012；</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广东省标准《建筑地基基础设计规范》</w:t>
      </w:r>
      <w:r>
        <w:rPr>
          <w:rFonts w:ascii="宋体" w:hAnsi="宋体"/>
          <w:color w:val="auto"/>
          <w:sz w:val="24"/>
          <w:highlight w:val="none"/>
        </w:rPr>
        <w:t>DBJ15-31-2003；</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、国家标准《建筑地基基础设计规范》</w:t>
      </w:r>
      <w:r>
        <w:rPr>
          <w:rFonts w:ascii="宋体" w:hAnsi="宋体"/>
          <w:color w:val="auto"/>
          <w:sz w:val="24"/>
          <w:highlight w:val="none"/>
        </w:rPr>
        <w:t>GB50007-2011；</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 xml:space="preserve">7 </w:t>
      </w:r>
      <w:r>
        <w:rPr>
          <w:rFonts w:hint="eastAsia" w:ascii="宋体" w:hAnsi="宋体"/>
          <w:color w:val="auto"/>
          <w:sz w:val="24"/>
          <w:highlight w:val="none"/>
        </w:rPr>
        <w:t>、国家行业标准《建筑桩基技术规范》</w:t>
      </w:r>
      <w:r>
        <w:rPr>
          <w:rFonts w:ascii="宋体" w:hAnsi="宋体"/>
          <w:color w:val="auto"/>
          <w:sz w:val="24"/>
          <w:highlight w:val="none"/>
        </w:rPr>
        <w:t>JGJ94-2008。</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国家标准《混凝土结构工程施工质量验收规范》</w:t>
      </w:r>
      <w:r>
        <w:rPr>
          <w:rFonts w:ascii="宋体" w:hAnsi="宋体"/>
          <w:color w:val="auto"/>
          <w:sz w:val="24"/>
          <w:highlight w:val="none"/>
        </w:rPr>
        <w:t xml:space="preserve"> GB50204-2015</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9、国家行业标准《公路路基路面现场测试规程》JTG 3450-2019</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10、国家行业标准《公路工程质量检验评定标准》JTG F80/1-2017</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11、国家行业标准《公路路面基层施工技术细则》JTG/T F20-2015</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12、国家标准《给排水管道工程施工及验收规范》GB50268-2008</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13、国家标准《工作场所照度测定方法》GB/T 18204.21-2000</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14、广东省标准《园林绿化用植物材料》DB440100/T 105-2006</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15、广东省标准《广东城市绿化工程施工和验收规范》DB44/T 581-2009</w:t>
      </w:r>
    </w:p>
    <w:p>
      <w:pPr>
        <w:adjustRightInd w:val="0"/>
        <w:snapToGrid w:val="0"/>
        <w:spacing w:line="360" w:lineRule="auto"/>
        <w:ind w:left="426"/>
        <w:rPr>
          <w:rFonts w:ascii="宋体" w:hAnsi="宋体"/>
          <w:color w:val="auto"/>
          <w:sz w:val="24"/>
          <w:highlight w:val="none"/>
        </w:rPr>
      </w:pPr>
      <w:r>
        <w:rPr>
          <w:rFonts w:ascii="宋体" w:hAnsi="宋体"/>
          <w:color w:val="auto"/>
          <w:sz w:val="24"/>
          <w:highlight w:val="none"/>
        </w:rPr>
        <w:t>16、广东省标准《城市绿化和园林绿地用植物材料木本苗》CJ/T 24-</w:t>
      </w:r>
      <w:r>
        <w:rPr>
          <w:rFonts w:hint="eastAsia" w:ascii="宋体" w:hAnsi="宋体"/>
          <w:color w:val="auto"/>
          <w:sz w:val="24"/>
          <w:highlight w:val="none"/>
        </w:rPr>
        <w:t>2018</w:t>
      </w:r>
    </w:p>
    <w:p>
      <w:pPr>
        <w:spacing w:line="360" w:lineRule="auto"/>
        <w:ind w:left="-105" w:leftChars="-50" w:firstLine="480" w:firstLineChars="200"/>
        <w:rPr>
          <w:rFonts w:ascii="宋体" w:hAnsi="宋体"/>
          <w:bCs/>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如以上标准有关规定不统一的，以国家标准为准。</w:t>
      </w:r>
    </w:p>
    <w:p>
      <w:pPr>
        <w:spacing w:line="360" w:lineRule="auto"/>
        <w:rPr>
          <w:rFonts w:ascii="宋体" w:hAnsi="宋体"/>
          <w:b/>
          <w:color w:val="auto"/>
          <w:sz w:val="24"/>
          <w:highlight w:val="none"/>
        </w:rPr>
      </w:pPr>
      <w:r>
        <w:rPr>
          <w:rFonts w:hint="eastAsia" w:ascii="宋体" w:hAnsi="宋体"/>
          <w:b/>
          <w:color w:val="auto"/>
          <w:sz w:val="24"/>
          <w:highlight w:val="none"/>
        </w:rPr>
        <w:t>七．合同价款、承包方式及支付方式</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1、（一）合同价款：受托人应按合同约定提供所有</w:t>
      </w:r>
      <w:r>
        <w:rPr>
          <w:rFonts w:hint="eastAsia" w:ascii="宋体" w:hAnsi="宋体"/>
          <w:color w:val="auto"/>
          <w:sz w:val="24"/>
          <w:highlight w:val="none"/>
        </w:rPr>
        <w:t>有效的检测、监测服务工作，委托人支付相应的检测、监测费用。</w:t>
      </w:r>
      <w:r>
        <w:rPr>
          <w:rFonts w:hint="eastAsia" w:ascii="宋体" w:hAnsi="宋体"/>
          <w:b/>
          <w:color w:val="auto"/>
          <w:sz w:val="24"/>
          <w:highlight w:val="none"/>
        </w:rPr>
        <w:t>检测监测费用按《广州市建设工程造价管理站关于调整我市工程检验监测费费率的通知》（穗建造价〔</w:t>
      </w:r>
      <w:r>
        <w:rPr>
          <w:rFonts w:ascii="宋体" w:hAnsi="宋体"/>
          <w:b/>
          <w:color w:val="auto"/>
          <w:sz w:val="24"/>
          <w:highlight w:val="none"/>
        </w:rPr>
        <w:t>2019〕38号）</w:t>
      </w:r>
      <w:r>
        <w:rPr>
          <w:rFonts w:hint="eastAsia" w:ascii="宋体" w:hAnsi="宋体"/>
          <w:b/>
          <w:color w:val="auto"/>
          <w:sz w:val="24"/>
          <w:highlight w:val="none"/>
        </w:rPr>
        <w:t>工程费</w:t>
      </w:r>
      <w:r>
        <w:rPr>
          <w:rFonts w:ascii="宋体" w:hAnsi="宋体"/>
          <w:b/>
          <w:color w:val="auto"/>
          <w:sz w:val="24"/>
          <w:highlight w:val="none"/>
        </w:rPr>
        <w:t>2%</w:t>
      </w:r>
      <w:r>
        <w:rPr>
          <w:rFonts w:hint="eastAsia" w:ascii="宋体" w:hAnsi="宋体"/>
          <w:b/>
          <w:color w:val="auto"/>
          <w:sz w:val="24"/>
          <w:highlight w:val="none"/>
        </w:rPr>
        <w:t>计取，本项目的《广州市交通运输局关于新花大道</w:t>
      </w:r>
      <w:r>
        <w:rPr>
          <w:rFonts w:hint="eastAsia" w:ascii="宋体" w:hAnsi="宋体"/>
          <w:b/>
          <w:color w:val="auto"/>
          <w:sz w:val="24"/>
          <w:highlight w:val="none"/>
          <w:lang w:eastAsia="zh-CN"/>
        </w:rPr>
        <w:t>（</w:t>
      </w:r>
      <w:r>
        <w:rPr>
          <w:rFonts w:hint="eastAsia" w:ascii="宋体" w:hAnsi="宋体"/>
          <w:b/>
          <w:color w:val="auto"/>
          <w:sz w:val="24"/>
          <w:highlight w:val="none"/>
        </w:rPr>
        <w:t>花都大道—迎宾大道</w:t>
      </w:r>
      <w:r>
        <w:rPr>
          <w:rFonts w:hint="eastAsia" w:ascii="宋体" w:hAnsi="宋体"/>
          <w:b/>
          <w:color w:val="auto"/>
          <w:sz w:val="24"/>
          <w:highlight w:val="none"/>
          <w:lang w:eastAsia="zh-CN"/>
        </w:rPr>
        <w:t>）</w:t>
      </w:r>
      <w:r>
        <w:rPr>
          <w:rFonts w:hint="eastAsia" w:ascii="宋体" w:hAnsi="宋体"/>
          <w:b/>
          <w:color w:val="auto"/>
          <w:sz w:val="24"/>
          <w:highlight w:val="none"/>
        </w:rPr>
        <w:t>工程初步设计及概算</w:t>
      </w:r>
      <w:r>
        <w:rPr>
          <w:rFonts w:hint="eastAsia" w:ascii="宋体" w:hAnsi="宋体"/>
          <w:b/>
          <w:color w:val="auto"/>
          <w:sz w:val="24"/>
          <w:highlight w:val="none"/>
          <w:lang w:eastAsia="zh-CN"/>
        </w:rPr>
        <w:t>（</w:t>
      </w:r>
      <w:r>
        <w:rPr>
          <w:rFonts w:hint="eastAsia" w:ascii="宋体" w:hAnsi="宋体"/>
          <w:b/>
          <w:color w:val="auto"/>
          <w:sz w:val="24"/>
          <w:highlight w:val="none"/>
        </w:rPr>
        <w:t>不含建设用地费</w:t>
      </w:r>
      <w:r>
        <w:rPr>
          <w:rFonts w:hint="eastAsia" w:ascii="宋体" w:hAnsi="宋体"/>
          <w:b/>
          <w:color w:val="auto"/>
          <w:sz w:val="24"/>
          <w:highlight w:val="none"/>
          <w:lang w:eastAsia="zh-CN"/>
        </w:rPr>
        <w:t>）</w:t>
      </w:r>
      <w:r>
        <w:rPr>
          <w:rFonts w:hint="eastAsia" w:ascii="宋体" w:hAnsi="宋体"/>
          <w:b/>
          <w:color w:val="auto"/>
          <w:sz w:val="24"/>
          <w:highlight w:val="none"/>
        </w:rPr>
        <w:t>的批复》（</w:t>
      </w:r>
      <w:r>
        <w:rPr>
          <w:rFonts w:hint="eastAsia" w:ascii="宋体" w:hAnsi="宋体"/>
          <w:b/>
          <w:color w:val="auto"/>
          <w:sz w:val="24"/>
          <w:highlight w:val="none"/>
          <w:lang w:val="en-US" w:eastAsia="zh-CN"/>
        </w:rPr>
        <w:t>穗交运函</w:t>
      </w:r>
      <w:r>
        <w:rPr>
          <w:rFonts w:hint="eastAsia" w:ascii="宋体" w:hAnsi="宋体"/>
          <w:b/>
          <w:color w:val="auto"/>
          <w:sz w:val="24"/>
          <w:highlight w:val="none"/>
        </w:rPr>
        <w:t>〔</w:t>
      </w:r>
      <w:r>
        <w:rPr>
          <w:rFonts w:ascii="宋体" w:hAnsi="宋体"/>
          <w:b/>
          <w:color w:val="auto"/>
          <w:sz w:val="24"/>
          <w:highlight w:val="none"/>
        </w:rPr>
        <w:t>202</w:t>
      </w: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val="en-US" w:eastAsia="zh-CN"/>
        </w:rPr>
        <w:t>443</w:t>
      </w:r>
      <w:r>
        <w:rPr>
          <w:rFonts w:hint="eastAsia" w:ascii="宋体" w:hAnsi="宋体"/>
          <w:b/>
          <w:color w:val="auto"/>
          <w:sz w:val="24"/>
          <w:highlight w:val="none"/>
        </w:rPr>
        <w:t>号）（以下简称“</w:t>
      </w:r>
      <w:r>
        <w:rPr>
          <w:rFonts w:hint="eastAsia" w:ascii="宋体" w:hAnsi="宋体"/>
          <w:b/>
          <w:color w:val="auto"/>
          <w:sz w:val="24"/>
          <w:highlight w:val="none"/>
          <w:lang w:eastAsia="zh-CN"/>
        </w:rPr>
        <w:t>初步设计概算</w:t>
      </w:r>
      <w:r>
        <w:rPr>
          <w:rFonts w:hint="eastAsia" w:ascii="宋体" w:hAnsi="宋体"/>
          <w:b/>
          <w:color w:val="auto"/>
          <w:sz w:val="24"/>
          <w:highlight w:val="none"/>
        </w:rPr>
        <w:t>批复”）中工程费用为</w:t>
      </w:r>
      <w:r>
        <w:rPr>
          <w:rFonts w:ascii="宋体" w:hAnsi="宋体"/>
          <w:b/>
          <w:color w:val="auto"/>
          <w:sz w:val="24"/>
          <w:highlight w:val="none"/>
          <w:u w:val="single"/>
        </w:rPr>
        <w:t xml:space="preserve">  </w:t>
      </w:r>
      <w:r>
        <w:rPr>
          <w:rFonts w:hint="eastAsia" w:ascii="宋体" w:hAnsi="宋体"/>
          <w:b/>
          <w:color w:val="auto"/>
          <w:sz w:val="24"/>
          <w:highlight w:val="none"/>
          <w:u w:val="single"/>
          <w:lang w:val="en-US" w:eastAsia="zh-CN"/>
        </w:rPr>
        <w:t>XXX</w:t>
      </w:r>
      <w:r>
        <w:rPr>
          <w:rFonts w:ascii="宋体" w:hAnsi="宋体"/>
          <w:b/>
          <w:color w:val="auto"/>
          <w:sz w:val="24"/>
          <w:highlight w:val="none"/>
          <w:u w:val="single"/>
        </w:rPr>
        <w:t xml:space="preserve"> </w:t>
      </w:r>
      <w:r>
        <w:rPr>
          <w:rFonts w:hint="eastAsia" w:ascii="宋体" w:hAnsi="宋体"/>
          <w:b/>
          <w:color w:val="auto"/>
          <w:sz w:val="24"/>
          <w:highlight w:val="none"/>
        </w:rPr>
        <w:t xml:space="preserve">万元，本项目第三方检测监测费的招标控制价为 </w:t>
      </w:r>
      <w:r>
        <w:rPr>
          <w:rFonts w:hint="eastAsia" w:ascii="宋体" w:hAnsi="宋体"/>
          <w:b/>
          <w:color w:val="auto"/>
          <w:sz w:val="24"/>
          <w:highlight w:val="none"/>
          <w:u w:val="single"/>
          <w:lang w:val="en-US" w:eastAsia="zh-CN"/>
        </w:rPr>
        <w:t xml:space="preserve"> XXX </w:t>
      </w:r>
      <w:r>
        <w:rPr>
          <w:rFonts w:hint="eastAsia" w:ascii="宋体" w:hAnsi="宋体"/>
          <w:b/>
          <w:color w:val="auto"/>
          <w:sz w:val="24"/>
          <w:highlight w:val="none"/>
        </w:rPr>
        <w:t>万元，</w:t>
      </w:r>
      <w:r>
        <w:rPr>
          <w:rFonts w:hint="eastAsia" w:ascii="宋体" w:hAnsi="宋体"/>
          <w:color w:val="auto"/>
          <w:sz w:val="24"/>
          <w:highlight w:val="none"/>
        </w:rPr>
        <w:t>中标费率</w:t>
      </w:r>
      <w:r>
        <w:rPr>
          <w:rFonts w:hint="eastAsia" w:ascii="宋体" w:hAnsi="宋体"/>
          <w:color w:val="auto"/>
          <w:sz w:val="24"/>
          <w:highlight w:val="none"/>
          <w:u w:val="single"/>
          <w:lang w:val="en-US" w:eastAsia="zh-CN"/>
        </w:rPr>
        <w:t xml:space="preserve">  XX </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rPr>
        <w:t>，本合同总价暂定为人民币（大写）</w:t>
      </w:r>
      <w:r>
        <w:rPr>
          <w:rFonts w:hint="eastAsia" w:ascii="宋体" w:hAnsi="宋体"/>
          <w:color w:val="auto"/>
          <w:sz w:val="24"/>
          <w:highlight w:val="none"/>
          <w:u w:val="single"/>
        </w:rPr>
        <w:t>人民币</w:t>
      </w:r>
      <w:r>
        <w:rPr>
          <w:rFonts w:hint="eastAsia" w:ascii="宋体" w:hAnsi="宋体"/>
          <w:color w:val="auto"/>
          <w:sz w:val="24"/>
          <w:highlight w:val="none"/>
          <w:u w:val="single"/>
          <w:lang w:val="en-US" w:eastAsia="zh-CN"/>
        </w:rPr>
        <w:t>XXX</w:t>
      </w:r>
      <w:r>
        <w:rPr>
          <w:rFonts w:hint="eastAsia" w:ascii="宋体" w:hAnsi="宋体"/>
          <w:color w:val="auto"/>
          <w:sz w:val="24"/>
          <w:highlight w:val="none"/>
        </w:rPr>
        <w:t>（小写）￥</w:t>
      </w:r>
      <w:r>
        <w:rPr>
          <w:rFonts w:hint="eastAsia" w:ascii="宋体" w:hAnsi="宋体"/>
          <w:color w:val="auto"/>
          <w:sz w:val="24"/>
          <w:highlight w:val="none"/>
          <w:u w:val="single"/>
          <w:lang w:val="en-US" w:eastAsia="zh-CN"/>
        </w:rPr>
        <w:t xml:space="preserve"> XXX </w:t>
      </w:r>
      <w:r>
        <w:rPr>
          <w:rFonts w:ascii="宋体" w:hAnsi="宋体"/>
          <w:color w:val="auto"/>
          <w:sz w:val="24"/>
          <w:highlight w:val="none"/>
          <w:u w:val="single"/>
        </w:rPr>
        <w:t xml:space="preserve"> </w:t>
      </w:r>
      <w:r>
        <w:rPr>
          <w:rFonts w:hint="eastAsia" w:ascii="宋体" w:hAnsi="宋体"/>
          <w:color w:val="auto"/>
          <w:sz w:val="24"/>
          <w:highlight w:val="none"/>
        </w:rPr>
        <w:t>元，其中第三方检测费用暂定</w:t>
      </w:r>
      <w:r>
        <w:rPr>
          <w:rFonts w:hint="eastAsia" w:ascii="宋体" w:hAnsi="宋体"/>
          <w:color w:val="auto"/>
          <w:sz w:val="24"/>
          <w:highlight w:val="none"/>
          <w:u w:val="single"/>
          <w:lang w:val="en-US" w:eastAsia="zh-CN"/>
        </w:rPr>
        <w:t>XXX</w:t>
      </w:r>
      <w:r>
        <w:rPr>
          <w:rFonts w:hint="eastAsia" w:ascii="宋体" w:hAnsi="宋体"/>
          <w:color w:val="auto"/>
          <w:sz w:val="24"/>
          <w:highlight w:val="none"/>
        </w:rPr>
        <w:t>元，第三方监测费用暂定</w:t>
      </w:r>
      <w:r>
        <w:rPr>
          <w:rFonts w:hint="eastAsia" w:ascii="宋体" w:hAnsi="宋体"/>
          <w:color w:val="auto"/>
          <w:sz w:val="24"/>
          <w:highlight w:val="none"/>
          <w:u w:val="single"/>
          <w:lang w:val="en-US" w:eastAsia="zh-CN"/>
        </w:rPr>
        <w:t xml:space="preserve">XXX </w:t>
      </w:r>
      <w:r>
        <w:rPr>
          <w:rFonts w:hint="eastAsia" w:ascii="宋体" w:hAnsi="宋体"/>
          <w:color w:val="auto"/>
          <w:sz w:val="24"/>
          <w:highlight w:val="none"/>
        </w:rPr>
        <w:t>元，</w:t>
      </w:r>
      <w:bookmarkStart w:id="105" w:name="_Hlk76658382"/>
      <w:r>
        <w:rPr>
          <w:rFonts w:hint="eastAsia" w:ascii="宋体" w:hAnsi="宋体"/>
          <w:color w:val="auto"/>
          <w:sz w:val="24"/>
          <w:highlight w:val="none"/>
        </w:rPr>
        <w:t>经财政部门结算评审后，若</w:t>
      </w:r>
      <w:bookmarkStart w:id="106" w:name="_Hlk76658105"/>
      <w:r>
        <w:rPr>
          <w:rFonts w:hint="eastAsia" w:ascii="宋体" w:hAnsi="宋体"/>
          <w:color w:val="auto"/>
          <w:sz w:val="24"/>
          <w:highlight w:val="none"/>
        </w:rPr>
        <w:t>财政评审价</w:t>
      </w:r>
      <w:bookmarkEnd w:id="106"/>
      <w:r>
        <w:rPr>
          <w:rFonts w:hint="eastAsia" w:ascii="宋体" w:hAnsi="宋体"/>
          <w:color w:val="auto"/>
          <w:sz w:val="24"/>
          <w:highlight w:val="none"/>
        </w:rPr>
        <w:t>高于</w:t>
      </w:r>
      <w:bookmarkStart w:id="107" w:name="_Hlk76658125"/>
      <w:r>
        <w:rPr>
          <w:rFonts w:hint="eastAsia" w:ascii="宋体" w:hAnsi="宋体"/>
          <w:color w:val="auto"/>
          <w:sz w:val="24"/>
          <w:highlight w:val="none"/>
        </w:rPr>
        <w:t>前述合同暂定总价</w:t>
      </w:r>
      <w:bookmarkEnd w:id="107"/>
      <w:r>
        <w:rPr>
          <w:rFonts w:hint="eastAsia" w:ascii="宋体" w:hAnsi="宋体"/>
          <w:color w:val="auto"/>
          <w:sz w:val="24"/>
          <w:highlight w:val="none"/>
        </w:rPr>
        <w:t>的，以合同暂定总价作为双方最终结算价，若财政评审价低于前述合同暂定总价的，以</w:t>
      </w:r>
      <w:r>
        <w:rPr>
          <w:rFonts w:hint="eastAsia" w:ascii="宋体" w:hAnsi="宋体"/>
          <w:strike w:val="0"/>
          <w:dstrike w:val="0"/>
          <w:color w:val="auto"/>
          <w:sz w:val="24"/>
          <w:highlight w:val="none"/>
          <w:lang w:eastAsia="zh-CN"/>
        </w:rPr>
        <w:t>财政评审价</w:t>
      </w:r>
      <w:r>
        <w:rPr>
          <w:rFonts w:hint="eastAsia" w:ascii="宋体" w:hAnsi="宋体"/>
          <w:color w:val="auto"/>
          <w:sz w:val="24"/>
          <w:highlight w:val="none"/>
        </w:rPr>
        <w:t>作为双方最终结算价。</w:t>
      </w:r>
      <w:bookmarkEnd w:id="10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①</w:t>
      </w:r>
      <w:r>
        <w:rPr>
          <w:rFonts w:hint="eastAsia" w:ascii="宋体" w:hAnsi="宋体"/>
          <w:color w:val="auto"/>
          <w:sz w:val="24"/>
          <w:highlight w:val="none"/>
          <w:lang w:val="en-US" w:eastAsia="zh-CN"/>
        </w:rPr>
        <w:t>本项目为总价包干方式承包，委托人根据受托人提供的有关要求完善所有咨询及服务工作，受托人以实际完成的工程量乘以综合单价计量总价，该总价已包含了为完成所有招标要求所可能发生的不可遇见的费用。</w:t>
      </w:r>
      <w:r>
        <w:rPr>
          <w:rFonts w:hint="eastAsia" w:ascii="宋体" w:hAnsi="宋体"/>
          <w:color w:val="auto"/>
          <w:sz w:val="24"/>
          <w:highlight w:val="none"/>
        </w:rPr>
        <w:t>工程量以建设单位确认实际完成检测（监测）量计算，确认形式以委托人</w:t>
      </w:r>
      <w:r>
        <w:rPr>
          <w:rFonts w:hint="eastAsia" w:ascii="宋体" w:hAnsi="宋体" w:cs="宋体"/>
          <w:color w:val="auto"/>
          <w:sz w:val="24"/>
          <w:highlight w:val="none"/>
        </w:rPr>
        <w:t>签发的检测、监测任务开工指令为准，受托人自行增加的额外工作量将不被承认。在检测、监测技术成果完成后，实际工作量应经受托人、监理单位、委托人三方共同确认为准</w:t>
      </w:r>
      <w:r>
        <w:rPr>
          <w:rFonts w:hint="eastAsia" w:ascii="宋体" w:hAnsi="宋体"/>
          <w:color w:val="auto"/>
          <w:sz w:val="24"/>
          <w:highlight w:val="none"/>
        </w:rPr>
        <w:t>；委托人有权根据实际情况对建设内容进行调整（检测（监测）工作量也随之调整），减少的项目无论有无替代，委托人都不予补偿。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②本工程所有检测（监测）项目的综合单价按照在《广东省房屋建筑和市政工程工程质量安全检测收费指导价（第一批）》（粤建检协〔</w:t>
      </w:r>
      <w:r>
        <w:rPr>
          <w:rFonts w:ascii="宋体" w:hAnsi="宋体"/>
          <w:color w:val="auto"/>
          <w:sz w:val="24"/>
          <w:highlight w:val="none"/>
        </w:rPr>
        <w:t>2015〕8号）、〈广东省既有房屋建筑安全性鉴定收费指导价〉的通知</w:t>
      </w:r>
      <w:r>
        <w:rPr>
          <w:rFonts w:hint="eastAsia" w:ascii="宋体" w:hAnsi="宋体"/>
          <w:color w:val="auto"/>
          <w:sz w:val="24"/>
          <w:highlight w:val="none"/>
        </w:rPr>
        <w:t>》（粤建检协〔</w:t>
      </w:r>
      <w:r>
        <w:rPr>
          <w:rFonts w:ascii="宋体" w:hAnsi="宋体"/>
          <w:color w:val="auto"/>
          <w:sz w:val="24"/>
          <w:highlight w:val="none"/>
        </w:rPr>
        <w:t>2015〕8号）相适用的单价</w:t>
      </w:r>
      <w:r>
        <w:rPr>
          <w:rFonts w:hint="eastAsia" w:ascii="宋体" w:hAnsi="宋体"/>
          <w:color w:val="auto"/>
          <w:sz w:val="24"/>
          <w:highlight w:val="none"/>
        </w:rPr>
        <w:t>以中标费率后再</w:t>
      </w:r>
      <w:r>
        <w:rPr>
          <w:rFonts w:ascii="宋体" w:hAnsi="宋体"/>
          <w:color w:val="auto"/>
          <w:sz w:val="24"/>
          <w:highlight w:val="none"/>
        </w:rPr>
        <w:t>下浮30%计算，上述计费文件没有的单价，按以下优先顺序参照《关于建筑工程质量检测收费问题的复函》（粤价函〔2004〕428号）、粤价函〔2012〕1490号文件、勘察设计收费标准〔2002〕10号文件执行，上述计费文件均没有的单价，按由甲乙双方参照市场价格协商确定，工程量按经</w:t>
      </w:r>
      <w:r>
        <w:rPr>
          <w:rFonts w:hint="eastAsia" w:ascii="宋体" w:hAnsi="宋体"/>
          <w:color w:val="auto"/>
          <w:sz w:val="24"/>
          <w:highlight w:val="none"/>
        </w:rPr>
        <w:t>委托人</w:t>
      </w:r>
      <w:r>
        <w:rPr>
          <w:rFonts w:ascii="宋体" w:hAnsi="宋体"/>
          <w:color w:val="auto"/>
          <w:sz w:val="24"/>
          <w:highlight w:val="none"/>
        </w:rPr>
        <w:t>核定的实际发生且相关验收规范要求必须做的量计取。</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③计算公式</w:t>
      </w:r>
      <w:r>
        <w:rPr>
          <w:rFonts w:ascii="宋体" w:hAnsi="宋体"/>
          <w:color w:val="auto"/>
          <w:sz w:val="24"/>
          <w:highlight w:val="none"/>
        </w:rPr>
        <w:t>:检测（监测）费=</w:t>
      </w:r>
      <w:r>
        <w:rPr>
          <w:rFonts w:hint="eastAsia" w:ascii="宋体" w:hAnsi="宋体"/>
          <w:color w:val="auto"/>
          <w:sz w:val="24"/>
          <w:highlight w:val="none"/>
        </w:rPr>
        <w:t>实物工作量×检测（监测）综合单价×投标费率（%）。，经财政部门结算评审后，若财政评审价高于前述合同暂定总价的，以合同暂定价作为双方最终结算价，若财政评审价低于前述合同暂定总价的，以财政评审价作为双方最终结算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以上费用</w:t>
      </w:r>
      <w:r>
        <w:rPr>
          <w:rFonts w:hint="eastAsia" w:ascii="宋体" w:hAnsi="宋体"/>
          <w:bCs/>
          <w:color w:val="auto"/>
          <w:sz w:val="24"/>
          <w:highlight w:val="none"/>
        </w:rPr>
        <w:t>已包含了税费和为完成所有要求而可能产生的不可预见的费用。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lang w:val="en-US" w:eastAsia="zh-CN"/>
        </w:rPr>
        <w:t>2</w:t>
      </w:r>
      <w:r>
        <w:rPr>
          <w:rFonts w:ascii="宋体" w:hAnsi="宋体"/>
          <w:bCs/>
          <w:color w:val="auto"/>
          <w:sz w:val="24"/>
          <w:highlight w:val="none"/>
        </w:rPr>
        <w:t>、合同价款的支付：</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合同签订后，受托人进场后，</w:t>
      </w:r>
      <w:bookmarkStart w:id="108" w:name="_Hlk76658623"/>
      <w:r>
        <w:rPr>
          <w:rFonts w:hint="eastAsia" w:ascii="宋体" w:hAnsi="宋体"/>
          <w:color w:val="auto"/>
          <w:sz w:val="24"/>
          <w:highlight w:val="none"/>
        </w:rPr>
        <w:t>委托人向受托人</w:t>
      </w:r>
      <w:bookmarkEnd w:id="108"/>
      <w:r>
        <w:rPr>
          <w:rFonts w:hint="eastAsia" w:ascii="宋体" w:hAnsi="宋体"/>
          <w:color w:val="auto"/>
          <w:sz w:val="24"/>
          <w:highlight w:val="none"/>
        </w:rPr>
        <w:t>支付合同暂定总价的</w:t>
      </w:r>
      <w:r>
        <w:rPr>
          <w:rFonts w:ascii="宋体" w:hAnsi="宋体"/>
          <w:color w:val="auto"/>
          <w:sz w:val="24"/>
          <w:highlight w:val="none"/>
        </w:rPr>
        <w:t>10%作为预付款；</w:t>
      </w:r>
    </w:p>
    <w:p>
      <w:pPr>
        <w:spacing w:line="360" w:lineRule="auto"/>
        <w:ind w:left="-105" w:leftChars="-50"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2）当工程施工进度完成至50%时，受托方完成已完工项目的全部现场检测、监测工作，提交符合合同约定标准的相应的检测、监测报告等成果资料后，经委托方同意后，甲方向乙方支付至已完成检测、监测金额的50%；</w:t>
      </w:r>
    </w:p>
    <w:p>
      <w:pPr>
        <w:spacing w:line="360" w:lineRule="auto"/>
        <w:ind w:left="-105" w:leftChars="-50" w:firstLine="480" w:firstLineChars="200"/>
        <w:rPr>
          <w:rFonts w:ascii="宋体" w:hAnsi="宋体"/>
          <w:color w:val="auto"/>
          <w:sz w:val="24"/>
          <w:highlight w:val="none"/>
        </w:rPr>
      </w:pPr>
      <w:r>
        <w:rPr>
          <w:rFonts w:ascii="宋体" w:hAnsi="宋体"/>
          <w:color w:val="auto"/>
          <w:sz w:val="24"/>
          <w:highlight w:val="none"/>
        </w:rPr>
        <w:t>3）工程完工，受托人按照委托人要求完成所有的</w:t>
      </w:r>
      <w:r>
        <w:rPr>
          <w:rFonts w:hint="eastAsia" w:ascii="宋体" w:hAnsi="宋体"/>
          <w:color w:val="auto"/>
          <w:sz w:val="24"/>
          <w:highlight w:val="none"/>
        </w:rPr>
        <w:t>检测、监测工作，根据委托人要求提交符合合同约定标准的全部检测、监测成果报告，且项目概（预）算批复后，委托人向受托人支付至合同暂定总价和概（预）算审定价低者的</w:t>
      </w:r>
      <w:r>
        <w:rPr>
          <w:rFonts w:ascii="宋体" w:hAnsi="宋体"/>
          <w:color w:val="auto"/>
          <w:sz w:val="24"/>
          <w:highlight w:val="none"/>
        </w:rPr>
        <w:t>70%；</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）本项目通过财政部门结算评审后，委托人向受托人支付至评审结算价的</w:t>
      </w:r>
      <w:r>
        <w:rPr>
          <w:rFonts w:ascii="宋体" w:hAnsi="宋体"/>
          <w:color w:val="auto"/>
          <w:sz w:val="24"/>
          <w:highlight w:val="none"/>
        </w:rPr>
        <w:t>100%</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）财政投资项目支付需满足财政部门国库支付相关规定，付款时间以财政部门批准时间为准。</w:t>
      </w:r>
    </w:p>
    <w:p>
      <w:pPr>
        <w:spacing w:line="360" w:lineRule="auto"/>
        <w:ind w:left="-105" w:leftChars="-50" w:firstLine="480" w:firstLineChars="200"/>
        <w:rPr>
          <w:rFonts w:hint="eastAsia" w:ascii="宋体" w:hAnsi="宋体" w:eastAsia="宋体"/>
          <w:color w:val="auto"/>
          <w:sz w:val="24"/>
          <w:highlight w:val="none"/>
          <w:lang w:eastAsia="zh-CN"/>
        </w:rPr>
      </w:pPr>
      <w:r>
        <w:rPr>
          <w:rFonts w:ascii="宋体" w:hAnsi="宋体"/>
          <w:color w:val="auto"/>
          <w:sz w:val="24"/>
          <w:highlight w:val="none"/>
        </w:rPr>
        <w:t>6</w:t>
      </w:r>
      <w:r>
        <w:rPr>
          <w:rFonts w:hint="eastAsia" w:ascii="宋体" w:hAnsi="宋体"/>
          <w:color w:val="auto"/>
          <w:sz w:val="24"/>
          <w:highlight w:val="none"/>
        </w:rPr>
        <w:t>）受托人在每次请款时需提交等额发票及符合委托人要求的相关请款资料，否则委托人有权拒绝支付</w:t>
      </w:r>
      <w:r>
        <w:rPr>
          <w:rFonts w:hint="eastAsia" w:ascii="宋体" w:hAnsi="宋体"/>
          <w:color w:val="auto"/>
          <w:sz w:val="24"/>
          <w:highlight w:val="none"/>
          <w:lang w:eastAsia="zh-CN"/>
        </w:rPr>
        <w:t>。</w:t>
      </w:r>
    </w:p>
    <w:p>
      <w:pPr>
        <w:spacing w:line="360" w:lineRule="auto"/>
        <w:ind w:left="-105" w:leftChars="-50" w:firstLine="480" w:firstLineChars="200"/>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受托人</w:t>
      </w:r>
      <w:r>
        <w:rPr>
          <w:rFonts w:hint="eastAsia" w:ascii="宋体" w:hAnsi="宋体"/>
          <w:color w:val="auto"/>
          <w:sz w:val="24"/>
          <w:highlight w:val="none"/>
        </w:rPr>
        <w:t>为联合体的，可依据成员单位完成工作量，由委托人支付至</w:t>
      </w:r>
      <w:r>
        <w:rPr>
          <w:rFonts w:hint="eastAsia" w:ascii="宋体" w:hAnsi="宋体"/>
          <w:color w:val="auto"/>
          <w:sz w:val="24"/>
          <w:highlight w:val="none"/>
          <w:lang w:val="en-US" w:eastAsia="zh-CN"/>
        </w:rPr>
        <w:t>联合体</w:t>
      </w:r>
      <w:r>
        <w:rPr>
          <w:rFonts w:hint="eastAsia" w:ascii="宋体" w:hAnsi="宋体" w:cs="宋体"/>
          <w:sz w:val="24"/>
          <w:lang w:val="en-US" w:eastAsia="zh-CN"/>
        </w:rPr>
        <w:t>牵头人</w:t>
      </w:r>
      <w:r>
        <w:rPr>
          <w:rFonts w:hint="eastAsia" w:ascii="宋体" w:hAnsi="宋体"/>
          <w:color w:val="auto"/>
          <w:sz w:val="24"/>
          <w:highlight w:val="none"/>
          <w:lang w:val="en-US" w:eastAsia="zh-CN"/>
        </w:rPr>
        <w:t>指定账户或</w:t>
      </w:r>
      <w:r>
        <w:rPr>
          <w:rFonts w:hint="eastAsia" w:ascii="宋体" w:hAnsi="宋体"/>
          <w:color w:val="auto"/>
          <w:sz w:val="24"/>
          <w:highlight w:val="none"/>
        </w:rPr>
        <w:t>各成员单位指定账户。</w:t>
      </w:r>
    </w:p>
    <w:p>
      <w:pPr>
        <w:widowControl/>
        <w:spacing w:line="360" w:lineRule="auto"/>
        <w:ind w:firstLine="360" w:firstLineChars="150"/>
        <w:jc w:val="left"/>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rPr>
        <w:t>、受托人提供履约担保的约定</w:t>
      </w:r>
    </w:p>
    <w:p>
      <w:pPr>
        <w:widowControl/>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（1） 履约担保的金额（合同</w:t>
      </w:r>
      <w:r>
        <w:rPr>
          <w:rFonts w:hint="eastAsia" w:ascii="宋体" w:hAnsi="宋体" w:cs="宋体"/>
          <w:color w:val="auto"/>
          <w:sz w:val="24"/>
          <w:highlight w:val="none"/>
          <w:lang w:val="en-US" w:eastAsia="zh-CN"/>
        </w:rPr>
        <w:t>总价</w:t>
      </w:r>
      <w:r>
        <w:rPr>
          <w:rFonts w:hint="eastAsia" w:ascii="宋体" w:hAnsi="宋体" w:cs="宋体"/>
          <w:color w:val="auto"/>
          <w:sz w:val="24"/>
          <w:highlight w:val="none"/>
        </w:rPr>
        <w:t>金额的10%）：大写：</w:t>
      </w:r>
      <w:r>
        <w:rPr>
          <w:rFonts w:hint="eastAsia" w:ascii="宋体" w:hAnsi="宋体" w:cs="宋体"/>
          <w:color w:val="auto"/>
          <w:sz w:val="24"/>
          <w:highlight w:val="none"/>
          <w:u w:val="single"/>
          <w:lang w:val="en-US" w:eastAsia="zh-CN"/>
        </w:rPr>
        <w:t>XXX</w:t>
      </w:r>
      <w:r>
        <w:rPr>
          <w:rFonts w:hint="eastAsia" w:ascii="宋体" w:hAnsi="宋体" w:cs="宋体"/>
          <w:color w:val="auto"/>
          <w:sz w:val="24"/>
          <w:highlight w:val="none"/>
        </w:rPr>
        <w:t>元整，小写：￥</w:t>
      </w:r>
      <w:r>
        <w:rPr>
          <w:rFonts w:hint="eastAsia" w:ascii="宋体" w:hAnsi="宋体"/>
          <w:b/>
          <w:bCs/>
          <w:color w:val="auto"/>
          <w:sz w:val="24"/>
          <w:highlight w:val="none"/>
          <w:u w:val="single"/>
          <w:lang w:val="en-US" w:eastAsia="zh-CN"/>
        </w:rPr>
        <w:t>XXX</w:t>
      </w:r>
      <w:r>
        <w:rPr>
          <w:rFonts w:hint="eastAsia" w:ascii="宋体" w:hAnsi="宋体" w:cs="宋体"/>
          <w:color w:val="auto"/>
          <w:sz w:val="24"/>
          <w:highlight w:val="none"/>
        </w:rPr>
        <w:t>元。</w:t>
      </w:r>
    </w:p>
    <w:p>
      <w:pPr>
        <w:widowControl/>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（2） 提供履约担保的时间：签订本合同后15日内。</w:t>
      </w:r>
    </w:p>
    <w:p>
      <w:pPr>
        <w:widowControl/>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（3） 出具履约保函的担保人：在中国注册且营业地点在广东省内的银行。</w:t>
      </w:r>
    </w:p>
    <w:p>
      <w:pPr>
        <w:widowControl/>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4）履约担保退还时间的约定：受托人未按合同的规定履约，委托人有权向履约保函担保人追偿。当工期延期，须延长履约担保的担保期限，并由受托人重新提交履约保函。委托人在工程竣工验收合格、竣工资料移交后30天内退还受托人的履约保函。</w:t>
      </w:r>
    </w:p>
    <w:p>
      <w:pPr>
        <w:widowControl w:val="0"/>
        <w:spacing w:line="360" w:lineRule="auto"/>
        <w:jc w:val="both"/>
        <w:rPr>
          <w:rFonts w:ascii="宋体" w:hAnsi="宋体" w:eastAsia="宋体" w:cs="Times New Roman"/>
          <w:b/>
          <w:color w:val="auto"/>
          <w:kern w:val="2"/>
          <w:sz w:val="21"/>
          <w:szCs w:val="24"/>
          <w:highlight w:val="none"/>
          <w:lang w:val="en-US" w:eastAsia="zh-CN" w:bidi="ar-SA"/>
        </w:rPr>
      </w:pPr>
      <w:r>
        <w:rPr>
          <w:rFonts w:hint="eastAsia" w:ascii="宋体" w:hAnsi="宋体" w:eastAsia="宋体" w:cs="Times New Roman"/>
          <w:b/>
          <w:color w:val="auto"/>
          <w:kern w:val="2"/>
          <w:sz w:val="21"/>
          <w:szCs w:val="24"/>
          <w:highlight w:val="none"/>
          <w:lang w:val="en-US" w:eastAsia="zh-CN" w:bidi="ar-SA"/>
        </w:rPr>
        <w:t>八、违约责任及争议的解决：</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委托人委托现场监理单位在约定的期限内对受托人已经完成的工作量进行确认，若超过约定期限七个工作日仍不回复或者确认的，视为对受托人完成工作无异议，受托人将相关情况书面通知委托人并征得委托人同意后，可据此结算。</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2.受托人应严格按照设计要求及现场监理人员要求，及时到场进行工作。若受托人在合同签订后，经委托人催促不按时进场开展工作或进场后三次未能及时</w:t>
      </w:r>
      <w:r>
        <w:rPr>
          <w:rFonts w:hint="eastAsia" w:ascii="宋体" w:hAnsi="宋体"/>
          <w:color w:val="auto"/>
          <w:sz w:val="24"/>
          <w:highlight w:val="none"/>
        </w:rPr>
        <w:t>提交满足合同约定标准的检测、监测报告，委托人有权解除合同，受托人应全额返还受影响段委托人已付款项并赔偿委托人相关损失。</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3.如受托人提交的</w:t>
      </w:r>
      <w:r>
        <w:rPr>
          <w:rFonts w:hint="eastAsia" w:ascii="宋体" w:hAnsi="宋体"/>
          <w:color w:val="auto"/>
          <w:sz w:val="24"/>
          <w:highlight w:val="none"/>
        </w:rPr>
        <w:t>检测、监测报告不能满足工程建设需要的，受托人应自负费用继续完善，直到满足委托人需要时为止，并承担因此给委托人造成的损失。</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4.因受托人</w:t>
      </w:r>
      <w:r>
        <w:rPr>
          <w:rFonts w:hint="eastAsia" w:ascii="宋体" w:hAnsi="宋体"/>
          <w:color w:val="auto"/>
          <w:sz w:val="24"/>
          <w:highlight w:val="none"/>
        </w:rPr>
        <w:t>检测、监测工作不及时或其提供的测量资料不准确造成基坑发生险情或坍塌的，受托人应承担相应责任，赔偿由此给委托人造成的损失，赔偿金不超过本合同的总价。</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5．基坑出现危险事故征兆的情况下，由于受托人的</w:t>
      </w:r>
      <w:r>
        <w:rPr>
          <w:rFonts w:hint="eastAsia" w:ascii="宋体" w:hAnsi="宋体"/>
          <w:color w:val="auto"/>
          <w:sz w:val="24"/>
          <w:highlight w:val="none"/>
        </w:rPr>
        <w:t>检测、监测工作及分析、报告不及时而导致事故发生的，受托人应承担相应责任，赔偿由此给委托人造成的损失。</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w:t>
      </w:r>
      <w:r>
        <w:rPr>
          <w:rFonts w:hint="eastAsia" w:ascii="宋体" w:hAnsi="宋体"/>
          <w:color w:val="auto"/>
          <w:sz w:val="24"/>
          <w:highlight w:val="none"/>
        </w:rPr>
        <w:t xml:space="preserve">如受托人项目负责人（技术负责人）、常驻工地现场人员擅自离场或空缺的，应当由受托人按照每人每日 </w:t>
      </w:r>
      <w:r>
        <w:rPr>
          <w:rFonts w:ascii="宋体" w:hAnsi="宋体"/>
          <w:color w:val="auto"/>
          <w:sz w:val="24"/>
          <w:highlight w:val="none"/>
        </w:rPr>
        <w:t xml:space="preserve">  </w:t>
      </w:r>
      <w:r>
        <w:rPr>
          <w:rFonts w:hint="eastAsia" w:ascii="宋体" w:hAnsi="宋体"/>
          <w:color w:val="auto"/>
          <w:sz w:val="24"/>
          <w:highlight w:val="none"/>
        </w:rPr>
        <w:t>元的标准向委托人支付违约金。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7.任何一方向对方提出经济赔偿要求的，都应在赔偿事件发生后三十天内以书面形式提出。</w:t>
      </w:r>
      <w:r>
        <w:rPr>
          <w:rFonts w:hint="eastAsia" w:ascii="宋体" w:hAnsi="宋体"/>
          <w:color w:val="auto"/>
          <w:sz w:val="24"/>
          <w:highlight w:val="none"/>
        </w:rPr>
        <w:t>但未按时提出的，不代表放弃赔偿要求。</w:t>
      </w:r>
    </w:p>
    <w:p>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8</w:t>
      </w:r>
      <w:r>
        <w:rPr>
          <w:rFonts w:ascii="宋体" w:hAnsi="宋体"/>
          <w:color w:val="auto"/>
          <w:sz w:val="24"/>
          <w:highlight w:val="none"/>
        </w:rPr>
        <w:t>.合同履行过程中出现分歧，双方应遵循平等互利和诚实信用原则，通过友好协商解决。若协商不成，任何一方可向委托人所在地有管辖权的人民法院提起诉讼。</w:t>
      </w:r>
    </w:p>
    <w:p>
      <w:pPr>
        <w:widowControl w:val="0"/>
        <w:spacing w:line="360" w:lineRule="auto"/>
        <w:jc w:val="both"/>
        <w:rPr>
          <w:rFonts w:ascii="宋体" w:hAnsi="宋体" w:eastAsia="宋体" w:cs="Times New Roman"/>
          <w:b/>
          <w:color w:val="auto"/>
          <w:kern w:val="2"/>
          <w:sz w:val="21"/>
          <w:szCs w:val="24"/>
          <w:highlight w:val="none"/>
          <w:lang w:val="en-US" w:eastAsia="zh-CN" w:bidi="ar-SA"/>
        </w:rPr>
      </w:pPr>
      <w:r>
        <w:rPr>
          <w:rFonts w:hint="eastAsia" w:ascii="宋体" w:hAnsi="宋体" w:eastAsia="宋体" w:cs="Times New Roman"/>
          <w:b/>
          <w:color w:val="auto"/>
          <w:kern w:val="2"/>
          <w:sz w:val="21"/>
          <w:szCs w:val="24"/>
          <w:highlight w:val="none"/>
          <w:lang w:val="en-US" w:eastAsia="zh-CN" w:bidi="ar-SA"/>
        </w:rPr>
        <w:t>九、其他：</w:t>
      </w:r>
    </w:p>
    <w:p>
      <w:pPr>
        <w:spacing w:line="360" w:lineRule="auto"/>
        <w:ind w:right="11" w:firstLine="448" w:firstLineChars="187"/>
        <w:rPr>
          <w:rFonts w:ascii="宋体" w:hAnsi="宋体"/>
          <w:color w:val="auto"/>
          <w:sz w:val="24"/>
          <w:highlight w:val="none"/>
        </w:rPr>
      </w:pPr>
      <w:r>
        <w:rPr>
          <w:rFonts w:ascii="宋体" w:hAnsi="宋体"/>
          <w:color w:val="auto"/>
          <w:sz w:val="24"/>
          <w:highlight w:val="none"/>
        </w:rPr>
        <w:t>1．没有委托人的书面同意，受托人不得将合同约定的义务、责任和权利予以转让。</w:t>
      </w:r>
    </w:p>
    <w:p>
      <w:pPr>
        <w:spacing w:line="360" w:lineRule="auto"/>
        <w:ind w:left="29" w:leftChars="14" w:right="11" w:firstLine="446" w:firstLineChars="186"/>
        <w:rPr>
          <w:rFonts w:ascii="宋体" w:hAnsi="宋体"/>
          <w:color w:val="auto"/>
          <w:sz w:val="24"/>
          <w:highlight w:val="none"/>
        </w:rPr>
      </w:pPr>
      <w:r>
        <w:rPr>
          <w:rFonts w:ascii="宋体" w:hAnsi="宋体"/>
          <w:color w:val="auto"/>
          <w:sz w:val="24"/>
          <w:highlight w:val="none"/>
        </w:rPr>
        <w:t>2．为确保</w:t>
      </w:r>
      <w:r>
        <w:rPr>
          <w:rFonts w:hint="eastAsia" w:ascii="宋体" w:hAnsi="宋体"/>
          <w:color w:val="auto"/>
          <w:sz w:val="24"/>
          <w:highlight w:val="none"/>
        </w:rPr>
        <w:t>检测、监测结果的公正性，任何一方不得干预检测、监测结果。</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3．受托人的设备、材料、人员等的安全及社会保险由受托人自行承担。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4．受托人在收取服务费用时提供有效的服务发票。受托人收取的费用已包括各项税费。</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5．合同自双方签字盖章之日起生效，如受托人在合同双方签字盖章前已按委托人要求进场作业的，则合同生效期为受托人进场作业之日。</w:t>
      </w:r>
    </w:p>
    <w:p>
      <w:pPr>
        <w:tabs>
          <w:tab w:val="left" w:pos="417"/>
        </w:tabs>
        <w:spacing w:line="360" w:lineRule="auto"/>
        <w:ind w:firstLine="480" w:firstLineChars="20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本合同一式捌份；委托人执伍份，受托人执叁份，均具有同等法律效力。</w:t>
      </w:r>
    </w:p>
    <w:p>
      <w:pPr>
        <w:tabs>
          <w:tab w:val="left" w:pos="417"/>
        </w:tabs>
        <w:spacing w:line="360" w:lineRule="auto"/>
        <w:rPr>
          <w:rFonts w:ascii="宋体" w:hAnsi="宋体"/>
          <w:color w:val="auto"/>
          <w:sz w:val="24"/>
          <w:highlight w:val="none"/>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widowControl w:val="0"/>
        <w:ind w:firstLine="480" w:firstLineChars="200"/>
        <w:jc w:val="both"/>
        <w:rPr>
          <w:rFonts w:ascii="宋体" w:hAnsi="宋体" w:eastAsia="宋体" w:cs="Times New Roman"/>
          <w:color w:val="auto"/>
          <w:kern w:val="2"/>
          <w:sz w:val="24"/>
          <w:szCs w:val="24"/>
          <w:highlight w:val="none"/>
          <w:lang w:val="en-US" w:eastAsia="zh-CN" w:bidi="ar-SA"/>
        </w:rPr>
      </w:pPr>
    </w:p>
    <w:p>
      <w:pPr>
        <w:tabs>
          <w:tab w:val="left" w:pos="417"/>
        </w:tabs>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（以下无正文，下页为</w:t>
      </w:r>
      <w:r>
        <w:rPr>
          <w:rFonts w:hint="eastAsia" w:ascii="宋体" w:hAnsi="宋体"/>
          <w:bCs/>
          <w:color w:val="auto"/>
          <w:sz w:val="24"/>
          <w:highlight w:val="none"/>
          <w:u w:val="single"/>
          <w:lang w:val="en-US" w:eastAsia="zh-CN"/>
        </w:rPr>
        <w:t>新花大道（花都大道-迎宾大道）工程第三方检测监测（第3标段）</w:t>
      </w:r>
      <w:r>
        <w:rPr>
          <w:rFonts w:hint="eastAsia" w:ascii="宋体" w:hAnsi="宋体"/>
          <w:bCs/>
          <w:iCs/>
          <w:color w:val="auto"/>
          <w:sz w:val="24"/>
          <w:highlight w:val="none"/>
          <w:u w:val="single"/>
        </w:rPr>
        <w:t>服务</w:t>
      </w:r>
      <w:r>
        <w:rPr>
          <w:rFonts w:hint="eastAsia" w:ascii="宋体" w:hAnsi="宋体"/>
          <w:color w:val="auto"/>
          <w:sz w:val="24"/>
          <w:highlight w:val="none"/>
          <w:u w:val="single"/>
        </w:rPr>
        <w:t>合同的签署页</w:t>
      </w:r>
      <w:r>
        <w:rPr>
          <w:rFonts w:hint="eastAsia" w:ascii="宋体" w:hAnsi="宋体"/>
          <w:color w:val="auto"/>
          <w:sz w:val="24"/>
          <w:highlight w:val="none"/>
          <w:lang w:eastAsia="zh-CN"/>
        </w:rPr>
        <w:t>）</w:t>
      </w:r>
    </w:p>
    <w:tbl>
      <w:tblPr>
        <w:tblStyle w:val="75"/>
        <w:tblpPr w:leftFromText="180" w:rightFromText="180" w:vertAnchor="text" w:horzAnchor="margin" w:tblpY="258"/>
        <w:tblOverlap w:val="never"/>
        <w:tblW w:w="9401" w:type="dxa"/>
        <w:tblInd w:w="0" w:type="dxa"/>
        <w:tblLayout w:type="fixed"/>
        <w:tblCellMar>
          <w:top w:w="0" w:type="dxa"/>
          <w:left w:w="108" w:type="dxa"/>
          <w:bottom w:w="0" w:type="dxa"/>
          <w:right w:w="108" w:type="dxa"/>
        </w:tblCellMar>
      </w:tblPr>
      <w:tblGrid>
        <w:gridCol w:w="4700"/>
        <w:gridCol w:w="4701"/>
      </w:tblGrid>
      <w:tr>
        <w:tblPrEx>
          <w:tblCellMar>
            <w:top w:w="0" w:type="dxa"/>
            <w:left w:w="108" w:type="dxa"/>
            <w:bottom w:w="0" w:type="dxa"/>
            <w:right w:w="108" w:type="dxa"/>
          </w:tblCellMar>
        </w:tblPrEx>
        <w:trPr>
          <w:trHeight w:val="1403" w:hRule="atLeast"/>
        </w:trPr>
        <w:tc>
          <w:tcPr>
            <w:tcW w:w="4700" w:type="dxa"/>
          </w:tcPr>
          <w:p>
            <w:pPr>
              <w:adjustRightInd w:val="0"/>
              <w:snapToGrid w:val="0"/>
              <w:spacing w:line="360" w:lineRule="auto"/>
              <w:rPr>
                <w:rFonts w:ascii="宋体" w:hAnsi="宋体"/>
                <w:bCs/>
                <w:color w:val="auto"/>
                <w:sz w:val="24"/>
                <w:highlight w:val="none"/>
              </w:rPr>
            </w:pPr>
          </w:p>
          <w:p>
            <w:pPr>
              <w:adjustRightInd w:val="0"/>
              <w:snapToGrid w:val="0"/>
              <w:spacing w:line="360" w:lineRule="auto"/>
              <w:rPr>
                <w:rFonts w:ascii="宋体" w:hAnsi="宋体" w:cs="宋体"/>
                <w:color w:val="auto"/>
                <w:kern w:val="0"/>
                <w:sz w:val="24"/>
                <w:highlight w:val="none"/>
                <w:u w:val="single"/>
              </w:rPr>
            </w:pPr>
            <w:r>
              <w:rPr>
                <w:rFonts w:hint="eastAsia" w:ascii="宋体" w:hAnsi="宋体"/>
                <w:bCs/>
                <w:color w:val="auto"/>
                <w:sz w:val="24"/>
                <w:highlight w:val="none"/>
              </w:rPr>
              <w:t>委托人（甲方）：</w:t>
            </w:r>
            <w:r>
              <w:rPr>
                <w:rFonts w:hint="eastAsia" w:ascii="宋体" w:hAnsi="宋体" w:cs="宋体"/>
                <w:color w:val="auto"/>
                <w:kern w:val="0"/>
                <w:sz w:val="24"/>
                <w:highlight w:val="none"/>
                <w:u w:val="single"/>
              </w:rPr>
              <w:t>广州市花都区交通运输局</w:t>
            </w:r>
          </w:p>
        </w:tc>
        <w:tc>
          <w:tcPr>
            <w:tcW w:w="4701" w:type="dxa"/>
          </w:tcPr>
          <w:p>
            <w:pPr>
              <w:spacing w:line="400" w:lineRule="exact"/>
              <w:ind w:left="1800" w:hanging="1800" w:hangingChars="750"/>
              <w:rPr>
                <w:rFonts w:ascii="宋体" w:hAnsi="宋体"/>
                <w:bCs/>
                <w:color w:val="auto"/>
                <w:sz w:val="24"/>
                <w:highlight w:val="none"/>
              </w:rPr>
            </w:pPr>
          </w:p>
          <w:p>
            <w:pPr>
              <w:spacing w:line="400" w:lineRule="exact"/>
              <w:ind w:firstLine="120" w:firstLineChars="50"/>
              <w:rPr>
                <w:rFonts w:ascii="宋体" w:hAnsi="宋体"/>
                <w:bCs/>
                <w:color w:val="auto"/>
                <w:sz w:val="24"/>
                <w:highlight w:val="none"/>
              </w:rPr>
            </w:pPr>
            <w:r>
              <w:rPr>
                <w:rFonts w:hint="eastAsia" w:ascii="宋体" w:hAnsi="宋体"/>
                <w:bCs/>
                <w:color w:val="auto"/>
                <w:sz w:val="24"/>
                <w:highlight w:val="none"/>
              </w:rPr>
              <w:t>受托人（乙方）：</w:t>
            </w:r>
            <w:r>
              <w:rPr>
                <w:rFonts w:hint="eastAsia" w:ascii="宋体" w:hAnsi="宋体" w:cs="宋体"/>
                <w:color w:val="auto"/>
                <w:kern w:val="0"/>
                <w:sz w:val="24"/>
                <w:highlight w:val="none"/>
                <w:u w:val="single"/>
              </w:rPr>
              <w:t xml:space="preserve"> </w:t>
            </w:r>
          </w:p>
        </w:tc>
      </w:tr>
      <w:tr>
        <w:tblPrEx>
          <w:tblCellMar>
            <w:top w:w="0" w:type="dxa"/>
            <w:left w:w="108" w:type="dxa"/>
            <w:bottom w:w="0" w:type="dxa"/>
            <w:right w:w="108" w:type="dxa"/>
          </w:tblCellMar>
        </w:tblPrEx>
        <w:tc>
          <w:tcPr>
            <w:tcW w:w="4700" w:type="dxa"/>
          </w:tcPr>
          <w:p>
            <w:pPr>
              <w:spacing w:line="400" w:lineRule="exact"/>
              <w:rPr>
                <w:rFonts w:ascii="宋体" w:hAnsi="宋体"/>
                <w:bCs/>
                <w:color w:val="auto"/>
                <w:sz w:val="24"/>
                <w:highlight w:val="none"/>
              </w:rPr>
            </w:pPr>
            <w:r>
              <w:rPr>
                <w:rFonts w:hint="eastAsia" w:ascii="宋体" w:hAnsi="宋体"/>
                <w:bCs/>
                <w:color w:val="auto"/>
                <w:sz w:val="24"/>
                <w:highlight w:val="none"/>
              </w:rPr>
              <w:t>法定代表人（签名或盖章）：</w:t>
            </w:r>
          </w:p>
        </w:tc>
        <w:tc>
          <w:tcPr>
            <w:tcW w:w="4701" w:type="dxa"/>
          </w:tcPr>
          <w:p>
            <w:pPr>
              <w:spacing w:line="400" w:lineRule="exact"/>
              <w:rPr>
                <w:rFonts w:ascii="宋体" w:hAnsi="宋体"/>
                <w:bCs/>
                <w:color w:val="auto"/>
                <w:sz w:val="24"/>
                <w:highlight w:val="none"/>
              </w:rPr>
            </w:pPr>
            <w:r>
              <w:rPr>
                <w:rFonts w:hint="eastAsia" w:ascii="宋体" w:hAnsi="宋体"/>
                <w:bCs/>
                <w:color w:val="auto"/>
                <w:sz w:val="24"/>
                <w:highlight w:val="none"/>
              </w:rPr>
              <w:t>法定代表人（签名或盖章）：</w:t>
            </w:r>
          </w:p>
        </w:tc>
      </w:tr>
      <w:tr>
        <w:tblPrEx>
          <w:tblCellMar>
            <w:top w:w="0" w:type="dxa"/>
            <w:left w:w="108" w:type="dxa"/>
            <w:bottom w:w="0" w:type="dxa"/>
            <w:right w:w="108" w:type="dxa"/>
          </w:tblCellMar>
        </w:tblPrEx>
        <w:tc>
          <w:tcPr>
            <w:tcW w:w="4700" w:type="dxa"/>
          </w:tcPr>
          <w:p>
            <w:pPr>
              <w:spacing w:line="400" w:lineRule="exact"/>
              <w:rPr>
                <w:rFonts w:ascii="宋体" w:hAnsi="宋体"/>
                <w:bCs/>
                <w:color w:val="auto"/>
                <w:sz w:val="24"/>
                <w:highlight w:val="none"/>
              </w:rPr>
            </w:pPr>
            <w:r>
              <w:rPr>
                <w:rFonts w:hint="eastAsia" w:ascii="宋体" w:hAnsi="宋体"/>
                <w:bCs/>
                <w:color w:val="auto"/>
                <w:sz w:val="24"/>
                <w:highlight w:val="none"/>
              </w:rPr>
              <w:t>或委托代理人（签名或盖章）</w:t>
            </w:r>
            <w:r>
              <w:rPr>
                <w:rFonts w:ascii="宋体" w:hAnsi="宋体"/>
                <w:bCs/>
                <w:color w:val="auto"/>
                <w:sz w:val="24"/>
                <w:highlight w:val="none"/>
              </w:rPr>
              <w:t>:</w:t>
            </w:r>
          </w:p>
        </w:tc>
        <w:tc>
          <w:tcPr>
            <w:tcW w:w="4701" w:type="dxa"/>
          </w:tcPr>
          <w:p>
            <w:pPr>
              <w:spacing w:line="400" w:lineRule="exact"/>
              <w:rPr>
                <w:rFonts w:ascii="宋体" w:hAnsi="宋体"/>
                <w:bCs/>
                <w:color w:val="auto"/>
                <w:sz w:val="24"/>
                <w:highlight w:val="none"/>
              </w:rPr>
            </w:pPr>
            <w:r>
              <w:rPr>
                <w:rFonts w:hint="eastAsia" w:ascii="宋体" w:hAnsi="宋体"/>
                <w:bCs/>
                <w:color w:val="auto"/>
                <w:sz w:val="24"/>
                <w:highlight w:val="none"/>
              </w:rPr>
              <w:t>或委托代理人（签名或盖章）</w:t>
            </w:r>
            <w:r>
              <w:rPr>
                <w:rFonts w:ascii="宋体" w:hAnsi="宋体"/>
                <w:bCs/>
                <w:color w:val="auto"/>
                <w:sz w:val="24"/>
                <w:highlight w:val="none"/>
              </w:rPr>
              <w:t>:</w:t>
            </w:r>
          </w:p>
        </w:tc>
      </w:tr>
      <w:tr>
        <w:tblPrEx>
          <w:tblCellMar>
            <w:top w:w="0" w:type="dxa"/>
            <w:left w:w="108" w:type="dxa"/>
            <w:bottom w:w="0" w:type="dxa"/>
            <w:right w:w="108" w:type="dxa"/>
          </w:tblCellMar>
        </w:tblPrEx>
        <w:tc>
          <w:tcPr>
            <w:tcW w:w="4700" w:type="dxa"/>
          </w:tcPr>
          <w:p>
            <w:pPr>
              <w:spacing w:line="400" w:lineRule="exact"/>
              <w:ind w:right="-357" w:rightChars="-170"/>
              <w:rPr>
                <w:rFonts w:ascii="宋体" w:hAnsi="宋体"/>
                <w:bCs/>
                <w:color w:val="auto"/>
                <w:sz w:val="24"/>
                <w:highlight w:val="none"/>
              </w:rPr>
            </w:pPr>
            <w:r>
              <w:rPr>
                <w:rFonts w:hint="eastAsia" w:ascii="宋体" w:hAnsi="宋体"/>
                <w:bCs/>
                <w:color w:val="auto"/>
                <w:sz w:val="24"/>
                <w:highlight w:val="none"/>
              </w:rPr>
              <w:t>地址</w:t>
            </w:r>
            <w:r>
              <w:rPr>
                <w:rFonts w:ascii="宋体" w:hAnsi="宋体"/>
                <w:bCs/>
                <w:color w:val="auto"/>
                <w:sz w:val="24"/>
                <w:highlight w:val="none"/>
              </w:rPr>
              <w:t xml:space="preserve">: </w:t>
            </w:r>
          </w:p>
        </w:tc>
        <w:tc>
          <w:tcPr>
            <w:tcW w:w="4701" w:type="dxa"/>
          </w:tcPr>
          <w:p>
            <w:pPr>
              <w:spacing w:line="400" w:lineRule="exact"/>
              <w:ind w:right="-357" w:rightChars="-170"/>
              <w:rPr>
                <w:rFonts w:ascii="宋体" w:hAnsi="宋体"/>
                <w:bCs/>
                <w:color w:val="auto"/>
                <w:sz w:val="24"/>
                <w:highlight w:val="none"/>
              </w:rPr>
            </w:pPr>
            <w:r>
              <w:rPr>
                <w:rFonts w:hint="eastAsia" w:ascii="宋体" w:hAnsi="宋体"/>
                <w:bCs/>
                <w:color w:val="auto"/>
                <w:sz w:val="24"/>
                <w:highlight w:val="none"/>
              </w:rPr>
              <w:t>地址</w:t>
            </w:r>
            <w:r>
              <w:rPr>
                <w:rFonts w:ascii="宋体" w:hAnsi="宋体"/>
                <w:bCs/>
                <w:color w:val="auto"/>
                <w:sz w:val="24"/>
                <w:highlight w:val="none"/>
              </w:rPr>
              <w:t>:</w:t>
            </w:r>
          </w:p>
        </w:tc>
      </w:tr>
      <w:tr>
        <w:tblPrEx>
          <w:tblCellMar>
            <w:top w:w="0" w:type="dxa"/>
            <w:left w:w="108" w:type="dxa"/>
            <w:bottom w:w="0" w:type="dxa"/>
            <w:right w:w="108" w:type="dxa"/>
          </w:tblCellMar>
        </w:tblPrEx>
        <w:trPr>
          <w:trHeight w:val="369" w:hRule="atLeast"/>
        </w:trPr>
        <w:tc>
          <w:tcPr>
            <w:tcW w:w="4700" w:type="dxa"/>
          </w:tcPr>
          <w:p>
            <w:pPr>
              <w:spacing w:line="400" w:lineRule="exact"/>
              <w:rPr>
                <w:rFonts w:ascii="宋体" w:hAnsi="宋体"/>
                <w:bCs/>
                <w:color w:val="auto"/>
                <w:sz w:val="24"/>
                <w:highlight w:val="none"/>
              </w:rPr>
            </w:pPr>
            <w:r>
              <w:rPr>
                <w:rFonts w:hint="eastAsia" w:ascii="宋体" w:hAnsi="宋体"/>
                <w:bCs/>
                <w:color w:val="auto"/>
                <w:sz w:val="24"/>
                <w:highlight w:val="none"/>
              </w:rPr>
              <w:t>邮政编码：</w:t>
            </w:r>
            <w:r>
              <w:rPr>
                <w:rFonts w:ascii="宋体" w:hAnsi="宋体"/>
                <w:bCs/>
                <w:color w:val="auto"/>
                <w:sz w:val="24"/>
                <w:highlight w:val="none"/>
              </w:rPr>
              <w:t xml:space="preserve"> </w:t>
            </w:r>
          </w:p>
        </w:tc>
        <w:tc>
          <w:tcPr>
            <w:tcW w:w="4701" w:type="dxa"/>
          </w:tcPr>
          <w:p>
            <w:pPr>
              <w:spacing w:line="400" w:lineRule="exact"/>
              <w:rPr>
                <w:rFonts w:ascii="宋体" w:hAnsi="宋体"/>
                <w:bCs/>
                <w:color w:val="auto"/>
                <w:sz w:val="24"/>
                <w:highlight w:val="none"/>
              </w:rPr>
            </w:pPr>
            <w:r>
              <w:rPr>
                <w:rFonts w:hint="eastAsia" w:ascii="宋体" w:hAnsi="宋体"/>
                <w:bCs/>
                <w:color w:val="auto"/>
                <w:sz w:val="24"/>
                <w:highlight w:val="none"/>
              </w:rPr>
              <w:t>邮政编码：</w:t>
            </w:r>
          </w:p>
        </w:tc>
      </w:tr>
      <w:tr>
        <w:tblPrEx>
          <w:tblCellMar>
            <w:top w:w="0" w:type="dxa"/>
            <w:left w:w="108" w:type="dxa"/>
            <w:bottom w:w="0" w:type="dxa"/>
            <w:right w:w="108" w:type="dxa"/>
          </w:tblCellMar>
        </w:tblPrEx>
        <w:tc>
          <w:tcPr>
            <w:tcW w:w="4700" w:type="dxa"/>
          </w:tcPr>
          <w:p>
            <w:pPr>
              <w:spacing w:line="400" w:lineRule="exact"/>
              <w:rPr>
                <w:rFonts w:ascii="宋体" w:hAnsi="宋体"/>
                <w:bCs/>
                <w:color w:val="auto"/>
                <w:sz w:val="24"/>
                <w:highlight w:val="none"/>
              </w:rPr>
            </w:pPr>
            <w:r>
              <w:rPr>
                <w:rFonts w:hint="eastAsia" w:ascii="宋体" w:hAnsi="宋体"/>
                <w:bCs/>
                <w:color w:val="auto"/>
                <w:sz w:val="24"/>
                <w:highlight w:val="none"/>
              </w:rPr>
              <w:t>电话</w:t>
            </w:r>
            <w:r>
              <w:rPr>
                <w:rFonts w:ascii="宋体" w:hAnsi="宋体"/>
                <w:bCs/>
                <w:color w:val="auto"/>
                <w:sz w:val="24"/>
                <w:highlight w:val="none"/>
              </w:rPr>
              <w:t xml:space="preserve">: </w:t>
            </w:r>
          </w:p>
        </w:tc>
        <w:tc>
          <w:tcPr>
            <w:tcW w:w="4701" w:type="dxa"/>
          </w:tcPr>
          <w:p>
            <w:pPr>
              <w:spacing w:line="400" w:lineRule="exact"/>
              <w:rPr>
                <w:rFonts w:ascii="宋体" w:hAnsi="宋体"/>
                <w:bCs/>
                <w:color w:val="auto"/>
                <w:sz w:val="24"/>
                <w:highlight w:val="none"/>
              </w:rPr>
            </w:pPr>
            <w:r>
              <w:rPr>
                <w:rFonts w:hint="eastAsia" w:ascii="宋体" w:hAnsi="宋体"/>
                <w:bCs/>
                <w:color w:val="auto"/>
                <w:sz w:val="24"/>
                <w:highlight w:val="none"/>
              </w:rPr>
              <w:t>电话：</w:t>
            </w:r>
            <w:r>
              <w:rPr>
                <w:rFonts w:ascii="宋体" w:hAnsi="宋体"/>
                <w:bCs/>
                <w:color w:val="auto"/>
                <w:sz w:val="24"/>
                <w:highlight w:val="none"/>
              </w:rPr>
              <w:t xml:space="preserve">  </w:t>
            </w:r>
          </w:p>
        </w:tc>
      </w:tr>
      <w:tr>
        <w:tblPrEx>
          <w:tblCellMar>
            <w:top w:w="0" w:type="dxa"/>
            <w:left w:w="108" w:type="dxa"/>
            <w:bottom w:w="0" w:type="dxa"/>
            <w:right w:w="108" w:type="dxa"/>
          </w:tblCellMar>
        </w:tblPrEx>
        <w:tc>
          <w:tcPr>
            <w:tcW w:w="4700" w:type="dxa"/>
          </w:tcPr>
          <w:p>
            <w:pPr>
              <w:spacing w:line="400" w:lineRule="exact"/>
              <w:ind w:right="-315" w:rightChars="-150"/>
              <w:rPr>
                <w:rFonts w:ascii="宋体" w:hAnsi="宋体"/>
                <w:bCs/>
                <w:color w:val="auto"/>
                <w:sz w:val="24"/>
                <w:highlight w:val="none"/>
              </w:rPr>
            </w:pPr>
            <w:r>
              <w:rPr>
                <w:rFonts w:hint="eastAsia" w:ascii="宋体" w:hAnsi="宋体"/>
                <w:bCs/>
                <w:color w:val="auto"/>
                <w:sz w:val="24"/>
                <w:highlight w:val="none"/>
              </w:rPr>
              <w:t>传真</w:t>
            </w:r>
            <w:r>
              <w:rPr>
                <w:rFonts w:ascii="宋体" w:hAnsi="宋体"/>
                <w:bCs/>
                <w:color w:val="auto"/>
                <w:sz w:val="24"/>
                <w:highlight w:val="none"/>
              </w:rPr>
              <w:t>:\</w:t>
            </w:r>
          </w:p>
        </w:tc>
        <w:tc>
          <w:tcPr>
            <w:tcW w:w="4701" w:type="dxa"/>
          </w:tcPr>
          <w:p>
            <w:pPr>
              <w:spacing w:line="400" w:lineRule="exact"/>
              <w:ind w:right="-315" w:rightChars="-150"/>
              <w:rPr>
                <w:rFonts w:ascii="宋体" w:hAnsi="宋体"/>
                <w:bCs/>
                <w:color w:val="auto"/>
                <w:sz w:val="24"/>
                <w:highlight w:val="none"/>
              </w:rPr>
            </w:pPr>
            <w:r>
              <w:rPr>
                <w:rFonts w:hint="eastAsia" w:ascii="宋体" w:hAnsi="宋体"/>
                <w:bCs/>
                <w:color w:val="auto"/>
                <w:sz w:val="24"/>
                <w:highlight w:val="none"/>
              </w:rPr>
              <w:t>传真：</w:t>
            </w:r>
            <w:r>
              <w:rPr>
                <w:rFonts w:ascii="宋体" w:hAnsi="宋体"/>
                <w:bCs/>
                <w:color w:val="auto"/>
                <w:sz w:val="24"/>
                <w:highlight w:val="none"/>
              </w:rPr>
              <w:t xml:space="preserve">  </w:t>
            </w:r>
          </w:p>
        </w:tc>
      </w:tr>
      <w:tr>
        <w:tblPrEx>
          <w:tblCellMar>
            <w:top w:w="0" w:type="dxa"/>
            <w:left w:w="108" w:type="dxa"/>
            <w:bottom w:w="0" w:type="dxa"/>
            <w:right w:w="108" w:type="dxa"/>
          </w:tblCellMar>
        </w:tblPrEx>
        <w:tc>
          <w:tcPr>
            <w:tcW w:w="4700" w:type="dxa"/>
          </w:tcPr>
          <w:p>
            <w:pPr>
              <w:spacing w:line="400" w:lineRule="exact"/>
              <w:ind w:right="-493" w:rightChars="-235"/>
              <w:rPr>
                <w:rFonts w:ascii="宋体" w:hAnsi="宋体"/>
                <w:bCs/>
                <w:color w:val="auto"/>
                <w:sz w:val="24"/>
                <w:highlight w:val="none"/>
              </w:rPr>
            </w:pPr>
            <w:r>
              <w:rPr>
                <w:rFonts w:hint="eastAsia" w:ascii="宋体" w:hAnsi="宋体"/>
                <w:bCs/>
                <w:color w:val="auto"/>
                <w:sz w:val="24"/>
                <w:highlight w:val="none"/>
              </w:rPr>
              <w:t>开户银行：</w:t>
            </w:r>
            <w:r>
              <w:rPr>
                <w:rFonts w:ascii="宋体" w:hAnsi="宋体"/>
                <w:bCs/>
                <w:color w:val="auto"/>
                <w:sz w:val="24"/>
                <w:highlight w:val="none"/>
              </w:rPr>
              <w:t>\</w:t>
            </w:r>
          </w:p>
        </w:tc>
        <w:tc>
          <w:tcPr>
            <w:tcW w:w="4701" w:type="dxa"/>
          </w:tcPr>
          <w:p>
            <w:pPr>
              <w:spacing w:line="400" w:lineRule="exact"/>
              <w:ind w:right="-493" w:rightChars="-235"/>
              <w:jc w:val="left"/>
              <w:rPr>
                <w:rFonts w:ascii="宋体" w:hAnsi="宋体"/>
                <w:bCs/>
                <w:color w:val="auto"/>
                <w:sz w:val="24"/>
                <w:highlight w:val="none"/>
              </w:rPr>
            </w:pPr>
            <w:r>
              <w:rPr>
                <w:rFonts w:hint="eastAsia" w:ascii="宋体" w:hAnsi="宋体"/>
                <w:bCs/>
                <w:color w:val="auto"/>
                <w:sz w:val="24"/>
                <w:highlight w:val="none"/>
              </w:rPr>
              <w:t>开户银行：</w:t>
            </w:r>
            <w:r>
              <w:rPr>
                <w:rFonts w:hint="eastAsia" w:ascii="宋体" w:hAnsi="宋体" w:cs="宋体"/>
                <w:color w:val="auto"/>
                <w:szCs w:val="21"/>
                <w:highlight w:val="none"/>
                <w:u w:val="single"/>
              </w:rPr>
              <w:t xml:space="preserve"> </w:t>
            </w:r>
            <w:r>
              <w:rPr>
                <w:rFonts w:ascii="宋体" w:hAnsi="宋体"/>
                <w:bCs/>
                <w:color w:val="auto"/>
                <w:sz w:val="24"/>
                <w:highlight w:val="none"/>
              </w:rPr>
              <w:t xml:space="preserve">  </w:t>
            </w:r>
          </w:p>
        </w:tc>
      </w:tr>
      <w:tr>
        <w:tblPrEx>
          <w:tblCellMar>
            <w:top w:w="0" w:type="dxa"/>
            <w:left w:w="108" w:type="dxa"/>
            <w:bottom w:w="0" w:type="dxa"/>
            <w:right w:w="108" w:type="dxa"/>
          </w:tblCellMar>
        </w:tblPrEx>
        <w:tc>
          <w:tcPr>
            <w:tcW w:w="4700" w:type="dxa"/>
          </w:tcPr>
          <w:p>
            <w:pPr>
              <w:spacing w:line="400" w:lineRule="exact"/>
              <w:ind w:right="-283" w:rightChars="-135"/>
              <w:rPr>
                <w:rFonts w:ascii="宋体" w:hAnsi="宋体"/>
                <w:bCs/>
                <w:color w:val="auto"/>
                <w:sz w:val="24"/>
                <w:highlight w:val="none"/>
              </w:rPr>
            </w:pPr>
            <w:r>
              <w:rPr>
                <w:rFonts w:hint="eastAsia" w:ascii="宋体" w:hAnsi="宋体"/>
                <w:bCs/>
                <w:color w:val="auto"/>
                <w:sz w:val="24"/>
                <w:highlight w:val="none"/>
              </w:rPr>
              <w:t>银行帐号：</w:t>
            </w:r>
            <w:r>
              <w:rPr>
                <w:rFonts w:ascii="宋体" w:hAnsi="宋体"/>
                <w:bCs/>
                <w:color w:val="auto"/>
                <w:sz w:val="24"/>
                <w:highlight w:val="none"/>
              </w:rPr>
              <w:t>\</w:t>
            </w:r>
          </w:p>
        </w:tc>
        <w:tc>
          <w:tcPr>
            <w:tcW w:w="4701" w:type="dxa"/>
          </w:tcPr>
          <w:p>
            <w:pPr>
              <w:spacing w:line="400" w:lineRule="exact"/>
              <w:ind w:right="-283" w:rightChars="-135"/>
              <w:jc w:val="left"/>
              <w:rPr>
                <w:rFonts w:ascii="宋体" w:hAnsi="宋体"/>
                <w:bCs/>
                <w:color w:val="auto"/>
                <w:sz w:val="24"/>
                <w:highlight w:val="none"/>
              </w:rPr>
            </w:pPr>
            <w:r>
              <w:rPr>
                <w:rFonts w:hint="eastAsia" w:ascii="宋体" w:hAnsi="宋体"/>
                <w:bCs/>
                <w:color w:val="auto"/>
                <w:sz w:val="24"/>
                <w:highlight w:val="none"/>
              </w:rPr>
              <w:t>银行帐号：</w:t>
            </w:r>
            <w:r>
              <w:rPr>
                <w:rFonts w:ascii="宋体" w:hAnsi="宋体"/>
                <w:bCs/>
                <w:color w:val="auto"/>
                <w:sz w:val="24"/>
                <w:highlight w:val="none"/>
              </w:rPr>
              <w:t xml:space="preserve">  </w:t>
            </w:r>
          </w:p>
        </w:tc>
      </w:tr>
      <w:tr>
        <w:tblPrEx>
          <w:tblCellMar>
            <w:top w:w="0" w:type="dxa"/>
            <w:left w:w="108" w:type="dxa"/>
            <w:bottom w:w="0" w:type="dxa"/>
            <w:right w:w="108" w:type="dxa"/>
          </w:tblCellMar>
        </w:tblPrEx>
        <w:tc>
          <w:tcPr>
            <w:tcW w:w="4700" w:type="dxa"/>
          </w:tcPr>
          <w:p>
            <w:pPr>
              <w:spacing w:line="400" w:lineRule="exact"/>
              <w:ind w:right="-283" w:rightChars="-135"/>
              <w:rPr>
                <w:rFonts w:ascii="宋体" w:hAnsi="宋体"/>
                <w:bCs/>
                <w:color w:val="auto"/>
                <w:sz w:val="24"/>
                <w:highlight w:val="none"/>
              </w:rPr>
            </w:pPr>
            <w:r>
              <w:rPr>
                <w:rFonts w:hint="eastAsia" w:ascii="宋体" w:hAnsi="宋体"/>
                <w:bCs/>
                <w:color w:val="auto"/>
                <w:sz w:val="24"/>
                <w:highlight w:val="none"/>
              </w:rPr>
              <w:t>签订日期：</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年</w:t>
            </w:r>
            <w:r>
              <w:rPr>
                <w:rFonts w:ascii="宋体" w:hAnsi="宋体"/>
                <w:bCs/>
                <w:color w:val="auto"/>
                <w:sz w:val="24"/>
                <w:highlight w:val="none"/>
              </w:rPr>
              <w:t xml:space="preserve"> </w:t>
            </w:r>
            <w:r>
              <w:rPr>
                <w:rFonts w:hint="eastAsia" w:ascii="宋体" w:hAnsi="宋体"/>
                <w:bCs/>
                <w:color w:val="auto"/>
                <w:sz w:val="24"/>
                <w:highlight w:val="none"/>
              </w:rPr>
              <w:t>月</w:t>
            </w:r>
            <w:r>
              <w:rPr>
                <w:rFonts w:ascii="宋体" w:hAnsi="宋体"/>
                <w:bCs/>
                <w:color w:val="auto"/>
                <w:sz w:val="24"/>
                <w:highlight w:val="none"/>
              </w:rPr>
              <w:t xml:space="preserve">  </w:t>
            </w:r>
            <w:r>
              <w:rPr>
                <w:rFonts w:hint="eastAsia" w:ascii="宋体" w:hAnsi="宋体"/>
                <w:bCs/>
                <w:color w:val="auto"/>
                <w:sz w:val="24"/>
                <w:highlight w:val="none"/>
              </w:rPr>
              <w:t>日</w:t>
            </w:r>
          </w:p>
        </w:tc>
        <w:tc>
          <w:tcPr>
            <w:tcW w:w="4701" w:type="dxa"/>
          </w:tcPr>
          <w:p>
            <w:pPr>
              <w:spacing w:line="400" w:lineRule="exact"/>
              <w:ind w:right="-283" w:rightChars="-135"/>
              <w:jc w:val="left"/>
              <w:rPr>
                <w:rFonts w:ascii="宋体" w:hAnsi="宋体"/>
                <w:bCs/>
                <w:color w:val="auto"/>
                <w:sz w:val="24"/>
                <w:highlight w:val="none"/>
              </w:rPr>
            </w:pPr>
            <w:r>
              <w:rPr>
                <w:rFonts w:hint="eastAsia" w:ascii="宋体" w:hAnsi="宋体"/>
                <w:bCs/>
                <w:color w:val="auto"/>
                <w:sz w:val="24"/>
                <w:highlight w:val="none"/>
              </w:rPr>
              <w:t>签订日期：</w:t>
            </w:r>
            <w:r>
              <w:rPr>
                <w:rFonts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年</w:t>
            </w:r>
            <w:r>
              <w:rPr>
                <w:rFonts w:ascii="宋体" w:hAnsi="宋体"/>
                <w:bCs/>
                <w:color w:val="auto"/>
                <w:sz w:val="24"/>
                <w:highlight w:val="none"/>
              </w:rPr>
              <w:t xml:space="preserve"> </w:t>
            </w:r>
            <w:r>
              <w:rPr>
                <w:rFonts w:hint="eastAsia" w:ascii="宋体" w:hAnsi="宋体"/>
                <w:bCs/>
                <w:color w:val="auto"/>
                <w:sz w:val="24"/>
                <w:highlight w:val="none"/>
              </w:rPr>
              <w:t>月</w:t>
            </w:r>
            <w:r>
              <w:rPr>
                <w:rFonts w:ascii="宋体" w:hAnsi="宋体"/>
                <w:bCs/>
                <w:color w:val="auto"/>
                <w:sz w:val="24"/>
                <w:highlight w:val="none"/>
              </w:rPr>
              <w:t xml:space="preserve">  </w:t>
            </w:r>
            <w:r>
              <w:rPr>
                <w:rFonts w:hint="eastAsia" w:ascii="宋体" w:hAnsi="宋体"/>
                <w:bCs/>
                <w:color w:val="auto"/>
                <w:sz w:val="24"/>
                <w:highlight w:val="none"/>
              </w:rPr>
              <w:t>日</w:t>
            </w:r>
          </w:p>
        </w:tc>
      </w:tr>
    </w:tbl>
    <w:p>
      <w:pPr>
        <w:spacing w:line="500" w:lineRule="exact"/>
        <w:rPr>
          <w:rFonts w:ascii="宋体" w:hAnsi="宋体"/>
          <w:color w:val="auto"/>
          <w:sz w:val="24"/>
          <w:highlight w:val="none"/>
        </w:rPr>
      </w:pPr>
    </w:p>
    <w:p>
      <w:pPr>
        <w:spacing w:line="500" w:lineRule="exact"/>
        <w:rPr>
          <w:rFonts w:ascii="宋体" w:hAnsi="宋体"/>
          <w:b/>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附件</w:t>
      </w:r>
      <w:r>
        <w:rPr>
          <w:rFonts w:ascii="宋体" w:hAnsi="宋体"/>
          <w:b/>
          <w:color w:val="auto"/>
          <w:sz w:val="24"/>
          <w:highlight w:val="none"/>
        </w:rPr>
        <w:t xml:space="preserve">1 </w:t>
      </w:r>
      <w:r>
        <w:rPr>
          <w:rFonts w:hint="eastAsia" w:ascii="宋体" w:hAnsi="宋体"/>
          <w:b/>
          <w:color w:val="auto"/>
          <w:sz w:val="24"/>
          <w:highlight w:val="none"/>
        </w:rPr>
        <w:t>中标通知书</w:t>
      </w:r>
    </w:p>
    <w:p>
      <w:pPr>
        <w:widowControl w:val="0"/>
        <w:ind w:firstLine="0" w:firstLineChars="0"/>
        <w:jc w:val="both"/>
        <w:rPr>
          <w:rFonts w:ascii="宋体" w:hAnsi="宋体" w:eastAsia="宋体" w:cs="Times New Roman"/>
          <w:color w:val="auto"/>
          <w:kern w:val="2"/>
          <w:sz w:val="24"/>
          <w:szCs w:val="24"/>
          <w:highlight w:val="none"/>
          <w:lang w:val="en-US" w:eastAsia="zh-CN" w:bidi="ar-SA"/>
        </w:rPr>
      </w:pPr>
    </w:p>
    <w:p>
      <w:pPr>
        <w:spacing w:line="500" w:lineRule="exact"/>
        <w:rPr>
          <w:rFonts w:ascii="宋体" w:hAnsi="宋体"/>
          <w:color w:val="auto"/>
          <w:sz w:val="24"/>
          <w:highlight w:val="none"/>
        </w:rPr>
      </w:pPr>
      <w:r>
        <w:rPr>
          <w:rFonts w:hint="eastAsia" w:ascii="宋体" w:hAnsi="宋体"/>
          <w:b/>
          <w:color w:val="auto"/>
          <w:sz w:val="24"/>
          <w:highlight w:val="none"/>
        </w:rPr>
        <w:t>附件</w:t>
      </w:r>
      <w:r>
        <w:rPr>
          <w:rFonts w:ascii="宋体" w:hAnsi="宋体"/>
          <w:b/>
          <w:color w:val="auto"/>
          <w:sz w:val="24"/>
          <w:highlight w:val="none"/>
        </w:rPr>
        <w:t>2</w:t>
      </w:r>
    </w:p>
    <w:p>
      <w:pPr>
        <w:spacing w:line="520" w:lineRule="exact"/>
        <w:jc w:val="center"/>
        <w:rPr>
          <w:rFonts w:ascii="宋体" w:hAnsi="宋体"/>
          <w:b/>
          <w:color w:val="auto"/>
          <w:sz w:val="24"/>
          <w:highlight w:val="none"/>
        </w:rPr>
      </w:pPr>
      <w:r>
        <w:rPr>
          <w:rFonts w:hint="eastAsia" w:ascii="宋体" w:hAnsi="宋体"/>
          <w:b/>
          <w:color w:val="auto"/>
          <w:sz w:val="24"/>
          <w:highlight w:val="none"/>
        </w:rPr>
        <w:t>廉</w:t>
      </w:r>
      <w:r>
        <w:rPr>
          <w:rFonts w:ascii="宋体" w:hAnsi="宋体"/>
          <w:b/>
          <w:color w:val="auto"/>
          <w:sz w:val="24"/>
          <w:highlight w:val="none"/>
        </w:rPr>
        <w:t xml:space="preserve"> </w:t>
      </w:r>
      <w:r>
        <w:rPr>
          <w:rFonts w:hint="eastAsia" w:ascii="宋体" w:hAnsi="宋体"/>
          <w:b/>
          <w:color w:val="auto"/>
          <w:sz w:val="24"/>
          <w:highlight w:val="none"/>
        </w:rPr>
        <w:t>政</w:t>
      </w:r>
      <w:r>
        <w:rPr>
          <w:rFonts w:ascii="宋体" w:hAnsi="宋体"/>
          <w:b/>
          <w:color w:val="auto"/>
          <w:sz w:val="24"/>
          <w:highlight w:val="none"/>
        </w:rPr>
        <w:t xml:space="preserve"> </w:t>
      </w:r>
      <w:r>
        <w:rPr>
          <w:rFonts w:hint="eastAsia" w:ascii="宋体" w:hAnsi="宋体"/>
          <w:b/>
          <w:color w:val="auto"/>
          <w:sz w:val="24"/>
          <w:highlight w:val="none"/>
        </w:rPr>
        <w:t>合</w:t>
      </w:r>
      <w:r>
        <w:rPr>
          <w:rFonts w:ascii="宋体" w:hAnsi="宋体"/>
          <w:b/>
          <w:color w:val="auto"/>
          <w:sz w:val="24"/>
          <w:highlight w:val="none"/>
        </w:rPr>
        <w:t xml:space="preserve"> </w:t>
      </w:r>
      <w:r>
        <w:rPr>
          <w:rFonts w:hint="eastAsia" w:ascii="宋体" w:hAnsi="宋体"/>
          <w:b/>
          <w:color w:val="auto"/>
          <w:sz w:val="24"/>
          <w:highlight w:val="none"/>
        </w:rPr>
        <w:t>同</w:t>
      </w:r>
    </w:p>
    <w:p>
      <w:pPr>
        <w:spacing w:line="520" w:lineRule="exact"/>
        <w:jc w:val="left"/>
        <w:rPr>
          <w:rFonts w:ascii="宋体" w:hAnsi="宋体"/>
          <w:color w:val="auto"/>
          <w:sz w:val="24"/>
          <w:highlight w:val="none"/>
        </w:rPr>
      </w:pPr>
      <w:r>
        <w:rPr>
          <w:rFonts w:hint="eastAsia" w:ascii="宋体" w:hAnsi="宋体"/>
          <w:color w:val="auto"/>
          <w:sz w:val="24"/>
          <w:highlight w:val="none"/>
        </w:rPr>
        <w:t>委托人（全称）：</w:t>
      </w:r>
      <w:r>
        <w:rPr>
          <w:rFonts w:hint="eastAsia" w:ascii="宋体" w:hAnsi="宋体"/>
          <w:color w:val="auto"/>
          <w:sz w:val="24"/>
          <w:highlight w:val="none"/>
          <w:u w:val="single"/>
        </w:rPr>
        <w:t>广州市花都区交通运输局</w:t>
      </w:r>
    </w:p>
    <w:p>
      <w:pPr>
        <w:spacing w:line="520" w:lineRule="exact"/>
        <w:jc w:val="left"/>
        <w:rPr>
          <w:rFonts w:ascii="宋体" w:hAnsi="宋体"/>
          <w:color w:val="auto"/>
          <w:sz w:val="24"/>
          <w:highlight w:val="none"/>
        </w:rPr>
      </w:pPr>
      <w:r>
        <w:rPr>
          <w:rFonts w:hint="eastAsia" w:ascii="宋体" w:hAnsi="宋体"/>
          <w:color w:val="auto"/>
          <w:sz w:val="24"/>
          <w:highlight w:val="none"/>
        </w:rPr>
        <w:t>受托人（全称）：</w:t>
      </w:r>
      <w:r>
        <w:rPr>
          <w:rFonts w:hint="eastAsia" w:ascii="宋体" w:hAnsi="宋体" w:cs="宋体"/>
          <w:color w:val="auto"/>
          <w:kern w:val="0"/>
          <w:sz w:val="24"/>
          <w:highlight w:val="none"/>
          <w:u w:val="single"/>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根据国家、省有关廉政建设的规定，为做好合同工程的廉政建设，保证工程质量与施工安全，提高建设资金的有效使用和投资效益，合同双方当事人就加强合同工程的廉政建设，订立本合同。</w:t>
      </w:r>
      <w:r>
        <w:rPr>
          <w:rFonts w:ascii="宋体" w:hAnsi="宋体"/>
          <w:color w:val="auto"/>
          <w:sz w:val="24"/>
          <w:highlight w:val="none"/>
        </w:rPr>
        <w:t xml:space="preserve"> </w:t>
      </w:r>
    </w:p>
    <w:p>
      <w:pPr>
        <w:spacing w:line="520" w:lineRule="exact"/>
        <w:ind w:firstLine="472" w:firstLineChars="196"/>
        <w:rPr>
          <w:rFonts w:ascii="宋体" w:hAnsi="宋体"/>
          <w:b/>
          <w:color w:val="auto"/>
          <w:sz w:val="24"/>
          <w:highlight w:val="none"/>
        </w:rPr>
      </w:pPr>
      <w:r>
        <w:rPr>
          <w:rFonts w:ascii="宋体" w:hAnsi="宋体"/>
          <w:b/>
          <w:color w:val="auto"/>
          <w:sz w:val="24"/>
          <w:highlight w:val="none"/>
        </w:rPr>
        <w:t xml:space="preserve">1 双方权利和义务 </w:t>
      </w:r>
    </w:p>
    <w:p>
      <w:pPr>
        <w:spacing w:line="520" w:lineRule="exact"/>
        <w:ind w:firstLine="480" w:firstLineChars="200"/>
        <w:outlineLvl w:val="0"/>
        <w:rPr>
          <w:rFonts w:ascii="宋体" w:hAnsi="宋体"/>
          <w:color w:val="auto"/>
          <w:sz w:val="24"/>
          <w:highlight w:val="none"/>
        </w:rPr>
      </w:pPr>
      <w:bookmarkStart w:id="109" w:name="_Toc343033031"/>
      <w:r>
        <w:rPr>
          <w:rFonts w:ascii="宋体" w:hAnsi="宋体"/>
          <w:color w:val="auto"/>
          <w:sz w:val="24"/>
          <w:highlight w:val="none"/>
        </w:rPr>
        <w:t xml:space="preserve">1.1 </w:t>
      </w:r>
      <w:r>
        <w:rPr>
          <w:rFonts w:hint="eastAsia" w:ascii="宋体" w:hAnsi="宋体"/>
          <w:color w:val="auto"/>
          <w:sz w:val="24"/>
          <w:highlight w:val="none"/>
        </w:rPr>
        <w:t>严格遵守国家、省有关法律法规的规定。</w:t>
      </w:r>
      <w:bookmarkEnd w:id="109"/>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10" w:name="_Toc343033032"/>
      <w:r>
        <w:rPr>
          <w:rFonts w:ascii="宋体" w:hAnsi="宋体"/>
          <w:color w:val="auto"/>
          <w:sz w:val="24"/>
          <w:highlight w:val="none"/>
        </w:rPr>
        <w:t xml:space="preserve">1.2 </w:t>
      </w:r>
      <w:r>
        <w:rPr>
          <w:rFonts w:hint="eastAsia" w:ascii="宋体" w:hAnsi="宋体"/>
          <w:color w:val="auto"/>
          <w:sz w:val="24"/>
          <w:highlight w:val="none"/>
        </w:rPr>
        <w:t>严格执行合同工程一切合同文件，自觉按合同办事。</w:t>
      </w:r>
      <w:bookmarkEnd w:id="110"/>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11" w:name="_Toc343033033"/>
      <w:r>
        <w:rPr>
          <w:rFonts w:ascii="宋体" w:hAnsi="宋体"/>
          <w:color w:val="auto"/>
          <w:sz w:val="24"/>
          <w:highlight w:val="none"/>
        </w:rPr>
        <w:t xml:space="preserve">1.3 </w:t>
      </w:r>
      <w:r>
        <w:rPr>
          <w:rFonts w:hint="eastAsia" w:ascii="宋体" w:hAnsi="宋体"/>
          <w:color w:val="auto"/>
          <w:sz w:val="24"/>
          <w:highlight w:val="none"/>
        </w:rPr>
        <w:t>合同双方当事人的业务活动应坚持公平、公开、公正和诚信的原则（法律认定的商业秘密和合同文件另有规定除外），不得损害国家和集体利益，不得违反工程建设管理规章制度。</w:t>
      </w:r>
      <w:bookmarkEnd w:id="111"/>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12" w:name="_Toc343033034"/>
      <w:r>
        <w:rPr>
          <w:rFonts w:ascii="宋体" w:hAnsi="宋体"/>
          <w:color w:val="auto"/>
          <w:sz w:val="24"/>
          <w:highlight w:val="none"/>
        </w:rPr>
        <w:t xml:space="preserve">1.4 </w:t>
      </w:r>
      <w:r>
        <w:rPr>
          <w:rFonts w:hint="eastAsia" w:ascii="宋体" w:hAnsi="宋体"/>
          <w:color w:val="auto"/>
          <w:sz w:val="24"/>
          <w:highlight w:val="none"/>
        </w:rPr>
        <w:t>建立健全廉政制度，开展廉政教育，设立廉政告示牌，公布举报电话，监督并认真查处违法违纪行为。</w:t>
      </w:r>
      <w:bookmarkEnd w:id="112"/>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13" w:name="_Toc343033035"/>
      <w:r>
        <w:rPr>
          <w:rFonts w:ascii="宋体" w:hAnsi="宋体"/>
          <w:color w:val="auto"/>
          <w:sz w:val="24"/>
          <w:highlight w:val="none"/>
        </w:rPr>
        <w:t xml:space="preserve">1.5 </w:t>
      </w:r>
      <w:r>
        <w:rPr>
          <w:rFonts w:hint="eastAsia" w:ascii="宋体" w:hAnsi="宋体"/>
          <w:color w:val="auto"/>
          <w:sz w:val="24"/>
          <w:highlight w:val="none"/>
        </w:rPr>
        <w:t>发现对方在业务活动中有违反廉政建设规定的行为，应及时给予提醒和纠正。</w:t>
      </w:r>
      <w:bookmarkEnd w:id="113"/>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14" w:name="_Toc343033036"/>
      <w:r>
        <w:rPr>
          <w:rFonts w:ascii="宋体" w:hAnsi="宋体"/>
          <w:color w:val="auto"/>
          <w:sz w:val="24"/>
          <w:highlight w:val="none"/>
        </w:rPr>
        <w:t xml:space="preserve">1.6 </w:t>
      </w:r>
      <w:r>
        <w:rPr>
          <w:rFonts w:hint="eastAsia" w:ascii="宋体" w:hAnsi="宋体"/>
          <w:color w:val="auto"/>
          <w:sz w:val="24"/>
          <w:highlight w:val="none"/>
        </w:rPr>
        <w:t>发现对方严重违反合同的行为，有向其上级部门举报、建议给予处理并要求告知处理结果的权利。</w:t>
      </w:r>
      <w:bookmarkEnd w:id="114"/>
    </w:p>
    <w:p>
      <w:pPr>
        <w:spacing w:line="520" w:lineRule="exact"/>
        <w:ind w:firstLine="472" w:firstLineChars="196"/>
        <w:rPr>
          <w:rFonts w:ascii="宋体" w:hAnsi="宋体"/>
          <w:b/>
          <w:color w:val="auto"/>
          <w:sz w:val="24"/>
          <w:highlight w:val="none"/>
        </w:rPr>
      </w:pPr>
      <w:r>
        <w:rPr>
          <w:rFonts w:ascii="宋体" w:hAnsi="宋体"/>
          <w:b/>
          <w:color w:val="auto"/>
          <w:sz w:val="24"/>
          <w:highlight w:val="none"/>
        </w:rPr>
        <w:t xml:space="preserve">2 委托人义务 </w:t>
      </w:r>
    </w:p>
    <w:p>
      <w:pPr>
        <w:spacing w:line="520" w:lineRule="exact"/>
        <w:ind w:firstLine="480" w:firstLineChars="200"/>
        <w:outlineLvl w:val="0"/>
        <w:rPr>
          <w:rFonts w:ascii="宋体" w:hAnsi="宋体"/>
          <w:color w:val="auto"/>
          <w:sz w:val="24"/>
          <w:highlight w:val="none"/>
        </w:rPr>
      </w:pPr>
      <w:bookmarkStart w:id="115" w:name="_Toc343033037"/>
      <w:r>
        <w:rPr>
          <w:rFonts w:ascii="宋体" w:hAnsi="宋体"/>
          <w:color w:val="auto"/>
          <w:sz w:val="24"/>
          <w:highlight w:val="none"/>
        </w:rPr>
        <w:t xml:space="preserve">2.1 </w:t>
      </w:r>
      <w:r>
        <w:rPr>
          <w:rFonts w:hint="eastAsia" w:ascii="宋体" w:hAnsi="宋体"/>
          <w:color w:val="auto"/>
          <w:sz w:val="24"/>
          <w:highlight w:val="none"/>
        </w:rPr>
        <w:t>委托人及其工作人员不得索取或接受受托人的礼金、有价证券和贵重物品，不得在受托人报销任何应由委托人或其工作人员个人支付的费用。</w:t>
      </w:r>
      <w:bookmarkEnd w:id="115"/>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16" w:name="_Toc343033038"/>
      <w:r>
        <w:rPr>
          <w:rFonts w:ascii="宋体" w:hAnsi="宋体"/>
          <w:color w:val="auto"/>
          <w:sz w:val="24"/>
          <w:highlight w:val="none"/>
        </w:rPr>
        <w:t xml:space="preserve">2.2 </w:t>
      </w:r>
      <w:r>
        <w:rPr>
          <w:rFonts w:hint="eastAsia" w:ascii="宋体" w:hAnsi="宋体"/>
          <w:color w:val="auto"/>
          <w:sz w:val="24"/>
          <w:highlight w:val="none"/>
        </w:rPr>
        <w:t>委托人及其工作人员不得参加受托人安排的宴请（工作餐除外）和娱乐活动，不得接受受托人提供的通讯、交通工具和高档办公用品等物品。</w:t>
      </w:r>
      <w:bookmarkEnd w:id="116"/>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17" w:name="_Toc343033039"/>
      <w:r>
        <w:rPr>
          <w:rFonts w:ascii="宋体" w:hAnsi="宋体"/>
          <w:color w:val="auto"/>
          <w:sz w:val="24"/>
          <w:highlight w:val="none"/>
        </w:rPr>
        <w:t xml:space="preserve">2.3 </w:t>
      </w:r>
      <w:r>
        <w:rPr>
          <w:rFonts w:hint="eastAsia" w:ascii="宋体" w:hAnsi="宋体"/>
          <w:color w:val="auto"/>
          <w:sz w:val="24"/>
          <w:highlight w:val="none"/>
        </w:rPr>
        <w:t>委托人及其工作人员不得要求或者接受受托人为其住房装修、婚丧嫁娶活动、配偶子女工作安排以及出国出境、旅游等提供方便。</w:t>
      </w:r>
      <w:bookmarkEnd w:id="117"/>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18" w:name="_Toc343033040"/>
      <w:r>
        <w:rPr>
          <w:rFonts w:ascii="宋体" w:hAnsi="宋体"/>
          <w:color w:val="auto"/>
          <w:sz w:val="24"/>
          <w:highlight w:val="none"/>
        </w:rPr>
        <w:t xml:space="preserve">2 .4 </w:t>
      </w:r>
      <w:r>
        <w:rPr>
          <w:rFonts w:hint="eastAsia" w:ascii="宋体" w:hAnsi="宋体"/>
          <w:color w:val="auto"/>
          <w:sz w:val="24"/>
          <w:highlight w:val="none"/>
        </w:rPr>
        <w:t>委托人及其工作人员不得以任何理由向受托人推荐分包人、推销材料和工程设备，不得要求受托人购买合同以外的材料和工程设备。</w:t>
      </w:r>
      <w:bookmarkEnd w:id="118"/>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19" w:name="_Toc343033041"/>
      <w:r>
        <w:rPr>
          <w:rFonts w:ascii="宋体" w:hAnsi="宋体"/>
          <w:color w:val="auto"/>
          <w:sz w:val="24"/>
          <w:highlight w:val="none"/>
        </w:rPr>
        <w:t xml:space="preserve">2.5 </w:t>
      </w:r>
      <w:r>
        <w:rPr>
          <w:rFonts w:hint="eastAsia" w:ascii="宋体" w:hAnsi="宋体"/>
          <w:color w:val="auto"/>
          <w:sz w:val="24"/>
          <w:highlight w:val="none"/>
        </w:rPr>
        <w:t>委托人及其工作人员要秉公办事，不准营私舞弊，不准利用职权私自为合同工程安排施工队伍，也不得从事与合同工程有关的各种有偿中介活动。</w:t>
      </w:r>
      <w:bookmarkEnd w:id="119"/>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20" w:name="_Toc343033042"/>
      <w:r>
        <w:rPr>
          <w:rFonts w:ascii="宋体" w:hAnsi="宋体"/>
          <w:color w:val="auto"/>
          <w:sz w:val="24"/>
          <w:highlight w:val="none"/>
        </w:rPr>
        <w:t xml:space="preserve">2.6 </w:t>
      </w:r>
      <w:r>
        <w:rPr>
          <w:rFonts w:hint="eastAsia" w:ascii="宋体" w:hAnsi="宋体"/>
          <w:color w:val="auto"/>
          <w:sz w:val="24"/>
          <w:highlight w:val="none"/>
        </w:rPr>
        <w:t>委托人及其工作人员（含其配偶、子女）不得从事与合同工程有关的材料和工程设备供应、工程分包、劳务等经济活动。</w:t>
      </w:r>
      <w:bookmarkEnd w:id="120"/>
      <w:r>
        <w:rPr>
          <w:rFonts w:ascii="宋体" w:hAnsi="宋体"/>
          <w:color w:val="auto"/>
          <w:sz w:val="24"/>
          <w:highlight w:val="none"/>
        </w:rPr>
        <w:t xml:space="preserve"> </w:t>
      </w:r>
    </w:p>
    <w:p>
      <w:pPr>
        <w:spacing w:line="520" w:lineRule="exact"/>
        <w:ind w:firstLine="472" w:firstLineChars="196"/>
        <w:rPr>
          <w:rFonts w:ascii="宋体" w:hAnsi="宋体"/>
          <w:b/>
          <w:color w:val="auto"/>
          <w:sz w:val="24"/>
          <w:highlight w:val="none"/>
        </w:rPr>
      </w:pPr>
      <w:r>
        <w:rPr>
          <w:rFonts w:ascii="宋体" w:hAnsi="宋体"/>
          <w:b/>
          <w:color w:val="auto"/>
          <w:sz w:val="24"/>
          <w:highlight w:val="none"/>
        </w:rPr>
        <w:t xml:space="preserve">3 受托人义务 </w:t>
      </w:r>
    </w:p>
    <w:p>
      <w:pPr>
        <w:spacing w:line="520" w:lineRule="exact"/>
        <w:ind w:firstLine="480" w:firstLineChars="200"/>
        <w:outlineLvl w:val="0"/>
        <w:rPr>
          <w:rFonts w:ascii="宋体" w:hAnsi="宋体"/>
          <w:color w:val="auto"/>
          <w:sz w:val="24"/>
          <w:highlight w:val="none"/>
        </w:rPr>
      </w:pPr>
      <w:bookmarkStart w:id="121" w:name="_Toc343033043"/>
      <w:r>
        <w:rPr>
          <w:rFonts w:ascii="宋体" w:hAnsi="宋体"/>
          <w:color w:val="auto"/>
          <w:sz w:val="24"/>
          <w:highlight w:val="none"/>
        </w:rPr>
        <w:t xml:space="preserve">3.1 </w:t>
      </w:r>
      <w:r>
        <w:rPr>
          <w:rFonts w:hint="eastAsia" w:ascii="宋体" w:hAnsi="宋体"/>
          <w:color w:val="auto"/>
          <w:sz w:val="24"/>
          <w:highlight w:val="none"/>
        </w:rPr>
        <w:t>受托人不得以任何理由向委托人及其工作人员行贿或馈赠礼金、有价证券、贵重礼品。</w:t>
      </w:r>
      <w:bookmarkEnd w:id="121"/>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22" w:name="_Toc343033044"/>
      <w:r>
        <w:rPr>
          <w:rFonts w:ascii="宋体" w:hAnsi="宋体"/>
          <w:color w:val="auto"/>
          <w:sz w:val="24"/>
          <w:highlight w:val="none"/>
        </w:rPr>
        <w:t xml:space="preserve">3.2 </w:t>
      </w:r>
      <w:r>
        <w:rPr>
          <w:rFonts w:hint="eastAsia" w:ascii="宋体" w:hAnsi="宋体"/>
          <w:color w:val="auto"/>
          <w:sz w:val="24"/>
          <w:highlight w:val="none"/>
        </w:rPr>
        <w:t>受托人不得以任何名义为委托人及其工作人员报销应由委托人或其工作人员个人支付的任何费用。</w:t>
      </w:r>
      <w:bookmarkEnd w:id="122"/>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23" w:name="_Toc343033045"/>
      <w:r>
        <w:rPr>
          <w:rFonts w:ascii="宋体" w:hAnsi="宋体"/>
          <w:color w:val="auto"/>
          <w:sz w:val="24"/>
          <w:highlight w:val="none"/>
        </w:rPr>
        <w:t xml:space="preserve">3.3 </w:t>
      </w:r>
      <w:r>
        <w:rPr>
          <w:rFonts w:hint="eastAsia" w:ascii="宋体" w:hAnsi="宋体"/>
          <w:color w:val="auto"/>
          <w:sz w:val="24"/>
          <w:highlight w:val="none"/>
        </w:rPr>
        <w:t>受托人不得以任何理由安排委托人及其工作人员参加宴请（工作餐除外）及娱乐活动。</w:t>
      </w:r>
      <w:bookmarkEnd w:id="123"/>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24" w:name="_Toc343033046"/>
      <w:r>
        <w:rPr>
          <w:rFonts w:ascii="宋体" w:hAnsi="宋体"/>
          <w:color w:val="auto"/>
          <w:sz w:val="24"/>
          <w:highlight w:val="none"/>
        </w:rPr>
        <w:t xml:space="preserve">3.4 </w:t>
      </w:r>
      <w:r>
        <w:rPr>
          <w:rFonts w:hint="eastAsia" w:ascii="宋体" w:hAnsi="宋体"/>
          <w:color w:val="auto"/>
          <w:sz w:val="24"/>
          <w:highlight w:val="none"/>
        </w:rPr>
        <w:t>受托人不得为委托人和个人购置或提供通讯、交通工具和高档办公用品等物品。</w:t>
      </w:r>
      <w:bookmarkEnd w:id="124"/>
      <w:r>
        <w:rPr>
          <w:rFonts w:ascii="宋体" w:hAnsi="宋体"/>
          <w:color w:val="auto"/>
          <w:sz w:val="24"/>
          <w:highlight w:val="none"/>
        </w:rPr>
        <w:t xml:space="preserve"> </w:t>
      </w:r>
    </w:p>
    <w:p>
      <w:pPr>
        <w:spacing w:line="520" w:lineRule="exact"/>
        <w:ind w:firstLine="480" w:firstLineChars="200"/>
        <w:outlineLvl w:val="0"/>
        <w:rPr>
          <w:rFonts w:ascii="宋体" w:hAnsi="宋体"/>
          <w:color w:val="auto"/>
          <w:sz w:val="24"/>
          <w:highlight w:val="none"/>
        </w:rPr>
      </w:pPr>
      <w:bookmarkStart w:id="125" w:name="_Toc343033047"/>
      <w:r>
        <w:rPr>
          <w:rFonts w:ascii="宋体" w:hAnsi="宋体"/>
          <w:color w:val="auto"/>
          <w:sz w:val="24"/>
          <w:highlight w:val="none"/>
        </w:rPr>
        <w:t xml:space="preserve">3.5 </w:t>
      </w:r>
      <w:r>
        <w:rPr>
          <w:rFonts w:hint="eastAsia" w:ascii="宋体" w:hAnsi="宋体"/>
          <w:color w:val="auto"/>
          <w:sz w:val="24"/>
          <w:highlight w:val="none"/>
        </w:rPr>
        <w:t>受托人不得为委托人及其工作人员的住房装修、婚丧嫁娶活动、配偶子女工作安排以及出国出境、旅游等提供方便。</w:t>
      </w:r>
      <w:bookmarkEnd w:id="125"/>
      <w:r>
        <w:rPr>
          <w:rFonts w:ascii="宋体" w:hAnsi="宋体"/>
          <w:color w:val="auto"/>
          <w:sz w:val="24"/>
          <w:highlight w:val="none"/>
        </w:rPr>
        <w:t xml:space="preserve"> </w:t>
      </w:r>
    </w:p>
    <w:p>
      <w:pPr>
        <w:spacing w:line="520" w:lineRule="exact"/>
        <w:ind w:firstLine="472" w:firstLineChars="196"/>
        <w:rPr>
          <w:rFonts w:ascii="宋体" w:hAnsi="宋体"/>
          <w:b/>
          <w:color w:val="auto"/>
          <w:sz w:val="24"/>
          <w:highlight w:val="none"/>
        </w:rPr>
      </w:pPr>
      <w:r>
        <w:rPr>
          <w:rFonts w:ascii="宋体" w:hAnsi="宋体"/>
          <w:b/>
          <w:color w:val="auto"/>
          <w:sz w:val="24"/>
          <w:highlight w:val="none"/>
        </w:rPr>
        <w:t xml:space="preserve">4 违约责任 </w:t>
      </w:r>
    </w:p>
    <w:p>
      <w:pPr>
        <w:spacing w:line="520" w:lineRule="exact"/>
        <w:ind w:firstLine="480" w:firstLineChars="200"/>
        <w:outlineLvl w:val="0"/>
        <w:rPr>
          <w:rFonts w:ascii="宋体" w:hAnsi="宋体"/>
          <w:color w:val="auto"/>
          <w:sz w:val="24"/>
          <w:highlight w:val="none"/>
        </w:rPr>
      </w:pPr>
      <w:bookmarkStart w:id="126" w:name="_Toc343033048"/>
      <w:r>
        <w:rPr>
          <w:rFonts w:ascii="宋体" w:hAnsi="宋体"/>
          <w:color w:val="auto"/>
          <w:sz w:val="24"/>
          <w:highlight w:val="none"/>
        </w:rPr>
        <w:t xml:space="preserve">4.1 </w:t>
      </w:r>
      <w:r>
        <w:rPr>
          <w:rFonts w:hint="eastAsia" w:ascii="宋体" w:hAnsi="宋体"/>
          <w:color w:val="auto"/>
          <w:sz w:val="24"/>
          <w:highlight w:val="none"/>
        </w:rPr>
        <w:t>委托人及其工作人员违反本合同第</w:t>
      </w:r>
      <w:r>
        <w:rPr>
          <w:rFonts w:ascii="宋体" w:hAnsi="宋体"/>
          <w:color w:val="auto"/>
          <w:sz w:val="24"/>
          <w:highlight w:val="none"/>
        </w:rPr>
        <w:t>1条和第2条规定，应按照廉政建设的有关规定给予处分；涉嫌犯罪的，移交司法机关追究刑事责任；给受托人造成损失的，应予赔偿。</w:t>
      </w:r>
      <w:bookmarkEnd w:id="126"/>
    </w:p>
    <w:p>
      <w:pPr>
        <w:spacing w:line="520" w:lineRule="exact"/>
        <w:ind w:firstLine="480" w:firstLineChars="200"/>
        <w:outlineLvl w:val="0"/>
        <w:rPr>
          <w:rFonts w:ascii="宋体" w:hAnsi="宋体"/>
          <w:color w:val="auto"/>
          <w:sz w:val="24"/>
          <w:highlight w:val="none"/>
        </w:rPr>
      </w:pPr>
      <w:bookmarkStart w:id="127" w:name="_Toc343033049"/>
      <w:r>
        <w:rPr>
          <w:rFonts w:ascii="宋体" w:hAnsi="宋体"/>
          <w:color w:val="auto"/>
          <w:sz w:val="24"/>
          <w:highlight w:val="none"/>
        </w:rPr>
        <w:t xml:space="preserve">4.2 </w:t>
      </w:r>
      <w:r>
        <w:rPr>
          <w:rFonts w:hint="eastAsia" w:ascii="宋体" w:hAnsi="宋体"/>
          <w:color w:val="auto"/>
          <w:sz w:val="24"/>
          <w:highlight w:val="none"/>
        </w:rPr>
        <w:t>受托人及其工作人员违反本合同第</w:t>
      </w:r>
      <w:r>
        <w:rPr>
          <w:rFonts w:ascii="宋体" w:hAnsi="宋体"/>
          <w:color w:val="auto"/>
          <w:sz w:val="24"/>
          <w:highlight w:val="none"/>
        </w:rPr>
        <w:t>1条和第3条规定，应按照廉政建设的有关规定给予处分；情节严重的，给予受托人1～3年内不得进入工程建设市场的处罚；涉嫌犯罪的，移交司法机关追究刑事责任；给委托人造成损失的，应予赔偿；</w:t>
      </w:r>
      <w:bookmarkEnd w:id="127"/>
      <w:r>
        <w:rPr>
          <w:rFonts w:ascii="宋体" w:hAnsi="宋体"/>
          <w:color w:val="auto"/>
          <w:sz w:val="24"/>
          <w:highlight w:val="none"/>
        </w:rPr>
        <w:t xml:space="preserve"> </w:t>
      </w:r>
    </w:p>
    <w:p>
      <w:pPr>
        <w:spacing w:line="520" w:lineRule="exact"/>
        <w:ind w:firstLine="472" w:firstLineChars="196"/>
        <w:rPr>
          <w:rFonts w:ascii="宋体" w:hAnsi="宋体"/>
          <w:b/>
          <w:color w:val="auto"/>
          <w:sz w:val="24"/>
          <w:highlight w:val="none"/>
        </w:rPr>
      </w:pPr>
      <w:r>
        <w:rPr>
          <w:rFonts w:ascii="宋体" w:hAnsi="宋体"/>
          <w:b/>
          <w:color w:val="auto"/>
          <w:sz w:val="24"/>
          <w:highlight w:val="none"/>
        </w:rPr>
        <w:t xml:space="preserve">5 双方约定 </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本合同由合同双方当事人或其上级部门负责监督执行，并由合同双方当事人或其上级部门相互约请对本合同执行情况进行检查。</w:t>
      </w:r>
    </w:p>
    <w:p>
      <w:pPr>
        <w:spacing w:line="520" w:lineRule="exact"/>
        <w:ind w:firstLine="472" w:firstLineChars="196"/>
        <w:rPr>
          <w:rFonts w:ascii="宋体" w:hAnsi="宋体"/>
          <w:b/>
          <w:color w:val="auto"/>
          <w:sz w:val="24"/>
          <w:highlight w:val="none"/>
        </w:rPr>
      </w:pPr>
      <w:r>
        <w:rPr>
          <w:rFonts w:ascii="宋体" w:hAnsi="宋体"/>
          <w:b/>
          <w:color w:val="auto"/>
          <w:sz w:val="24"/>
          <w:highlight w:val="none"/>
        </w:rPr>
        <w:t xml:space="preserve">6 合同法律效力 </w:t>
      </w:r>
    </w:p>
    <w:p>
      <w:pPr>
        <w:spacing w:line="520" w:lineRule="exact"/>
        <w:ind w:firstLine="480" w:firstLineChars="200"/>
        <w:rPr>
          <w:rFonts w:ascii="宋体" w:hAnsi="宋体"/>
          <w:color w:val="auto"/>
          <w:sz w:val="24"/>
          <w:highlight w:val="none"/>
          <w:u w:val="single"/>
        </w:rPr>
      </w:pPr>
      <w:r>
        <w:rPr>
          <w:rFonts w:hint="eastAsia" w:ascii="宋体" w:hAnsi="宋体"/>
          <w:color w:val="auto"/>
          <w:sz w:val="24"/>
          <w:highlight w:val="none"/>
        </w:rPr>
        <w:t>本合同作为</w:t>
      </w:r>
      <w:r>
        <w:rPr>
          <w:rFonts w:hint="eastAsia" w:ascii="宋体" w:hAnsi="宋体"/>
          <w:bCs/>
          <w:iCs/>
          <w:color w:val="auto"/>
          <w:sz w:val="24"/>
          <w:highlight w:val="none"/>
          <w:u w:val="single"/>
          <w:lang w:eastAsia="zh-CN"/>
        </w:rPr>
        <w:t>新花大道（花都大道-迎宾大道）工程第三方检测监测（第3标段）</w:t>
      </w:r>
      <w:r>
        <w:rPr>
          <w:rFonts w:hint="eastAsia" w:ascii="宋体" w:hAnsi="宋体"/>
          <w:color w:val="auto"/>
          <w:sz w:val="24"/>
          <w:highlight w:val="none"/>
        </w:rPr>
        <w:t>服务合同的附件，与</w:t>
      </w:r>
      <w:r>
        <w:rPr>
          <w:rFonts w:hint="eastAsia" w:ascii="宋体" w:hAnsi="宋体"/>
          <w:bCs/>
          <w:iCs/>
          <w:color w:val="auto"/>
          <w:sz w:val="24"/>
          <w:highlight w:val="none"/>
          <w:u w:val="single"/>
          <w:lang w:eastAsia="zh-CN"/>
        </w:rPr>
        <w:t>新花大道（花都大道-迎宾大道）工程第三方检测监测（第3标段）</w:t>
      </w:r>
      <w:r>
        <w:rPr>
          <w:rFonts w:hint="eastAsia" w:ascii="宋体" w:hAnsi="宋体"/>
          <w:color w:val="auto"/>
          <w:sz w:val="24"/>
          <w:highlight w:val="none"/>
        </w:rPr>
        <w:t>服务合同具有同等的法律效力。</w:t>
      </w:r>
      <w:r>
        <w:rPr>
          <w:rFonts w:ascii="宋体" w:hAnsi="宋体"/>
          <w:color w:val="auto"/>
          <w:sz w:val="24"/>
          <w:highlight w:val="none"/>
        </w:rPr>
        <w:t xml:space="preserve"> </w:t>
      </w:r>
    </w:p>
    <w:p>
      <w:pPr>
        <w:spacing w:line="520" w:lineRule="exact"/>
        <w:ind w:firstLine="472" w:firstLineChars="196"/>
        <w:rPr>
          <w:rFonts w:ascii="宋体" w:hAnsi="宋体"/>
          <w:b/>
          <w:color w:val="auto"/>
          <w:sz w:val="24"/>
          <w:highlight w:val="none"/>
        </w:rPr>
      </w:pPr>
      <w:r>
        <w:rPr>
          <w:rFonts w:ascii="宋体" w:hAnsi="宋体"/>
          <w:b/>
          <w:color w:val="auto"/>
          <w:sz w:val="24"/>
          <w:highlight w:val="none"/>
        </w:rPr>
        <w:t xml:space="preserve">7 合同生效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本合同自合同双方当事人签署之日起生效，至合同工程竣工验收合格之日后失效。</w:t>
      </w:r>
      <w:r>
        <w:rPr>
          <w:rFonts w:ascii="宋体" w:hAnsi="宋体"/>
          <w:color w:val="auto"/>
          <w:sz w:val="24"/>
          <w:highlight w:val="none"/>
        </w:rPr>
        <w:t xml:space="preserve"> </w:t>
      </w:r>
    </w:p>
    <w:p>
      <w:pPr>
        <w:spacing w:line="520" w:lineRule="exact"/>
        <w:ind w:firstLine="472" w:firstLineChars="196"/>
        <w:rPr>
          <w:rFonts w:ascii="宋体" w:hAnsi="宋体"/>
          <w:b/>
          <w:color w:val="auto"/>
          <w:sz w:val="24"/>
          <w:highlight w:val="none"/>
        </w:rPr>
      </w:pPr>
      <w:r>
        <w:rPr>
          <w:rFonts w:ascii="宋体" w:hAnsi="宋体"/>
          <w:b/>
          <w:color w:val="auto"/>
          <w:sz w:val="24"/>
          <w:highlight w:val="none"/>
        </w:rPr>
        <w:t xml:space="preserve">8 合同份数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ascii="宋体" w:hAnsi="宋体"/>
          <w:color w:val="auto"/>
          <w:sz w:val="24"/>
          <w:highlight w:val="none"/>
          <w:u w:val="single"/>
        </w:rPr>
        <w:t xml:space="preserve">  8 </w:t>
      </w:r>
      <w:r>
        <w:rPr>
          <w:rFonts w:hint="eastAsia" w:ascii="宋体" w:hAnsi="宋体"/>
          <w:color w:val="auto"/>
          <w:sz w:val="24"/>
          <w:highlight w:val="none"/>
        </w:rPr>
        <w:t>份，其中委托人</w:t>
      </w:r>
      <w:r>
        <w:rPr>
          <w:rFonts w:ascii="宋体" w:hAnsi="宋体"/>
          <w:color w:val="auto"/>
          <w:sz w:val="24"/>
          <w:highlight w:val="none"/>
          <w:u w:val="single"/>
        </w:rPr>
        <w:t xml:space="preserve"> 5 </w:t>
      </w:r>
      <w:r>
        <w:rPr>
          <w:rFonts w:hint="eastAsia" w:ascii="宋体" w:hAnsi="宋体"/>
          <w:color w:val="auto"/>
          <w:sz w:val="24"/>
          <w:highlight w:val="none"/>
        </w:rPr>
        <w:t>份，受托人</w:t>
      </w:r>
      <w:r>
        <w:rPr>
          <w:rFonts w:ascii="宋体" w:hAnsi="宋体"/>
          <w:color w:val="auto"/>
          <w:sz w:val="24"/>
          <w:highlight w:val="none"/>
          <w:u w:val="single"/>
        </w:rPr>
        <w:t xml:space="preserve">  3 </w:t>
      </w:r>
      <w:r>
        <w:rPr>
          <w:rFonts w:hint="eastAsia" w:ascii="宋体" w:hAnsi="宋体"/>
          <w:color w:val="auto"/>
          <w:sz w:val="24"/>
          <w:highlight w:val="none"/>
        </w:rPr>
        <w:t>份。有上级部门的，合同双方当事人应各送交其上级部门一份。</w:t>
      </w:r>
      <w:r>
        <w:rPr>
          <w:rFonts w:ascii="宋体" w:hAnsi="宋体"/>
          <w:color w:val="auto"/>
          <w:sz w:val="24"/>
          <w:highlight w:val="none"/>
        </w:rPr>
        <w:t xml:space="preserve"> </w:t>
      </w:r>
    </w:p>
    <w:p>
      <w:pPr>
        <w:spacing w:line="520" w:lineRule="exact"/>
        <w:ind w:firstLine="480" w:firstLineChars="200"/>
        <w:rPr>
          <w:rFonts w:ascii="宋体" w:hAnsi="宋体"/>
          <w:color w:val="auto"/>
          <w:sz w:val="24"/>
          <w:highlight w:val="none"/>
        </w:rPr>
      </w:pPr>
    </w:p>
    <w:p>
      <w:pPr>
        <w:widowControl w:val="0"/>
        <w:ind w:firstLine="420" w:firstLineChars="200"/>
        <w:jc w:val="both"/>
        <w:rPr>
          <w:rFonts w:ascii="Times New Roman" w:hAnsi="Times New Roman" w:eastAsia="宋体" w:cs="Times New Roman"/>
          <w:color w:val="auto"/>
          <w:kern w:val="2"/>
          <w:sz w:val="21"/>
          <w:szCs w:val="24"/>
          <w:highlight w:val="none"/>
          <w:lang w:val="en-US" w:eastAsia="zh-CN" w:bidi="ar-SA"/>
        </w:rPr>
      </w:pPr>
    </w:p>
    <w:tbl>
      <w:tblPr>
        <w:tblStyle w:val="75"/>
        <w:tblW w:w="9242" w:type="dxa"/>
        <w:tblInd w:w="0" w:type="dxa"/>
        <w:tblLayout w:type="fixed"/>
        <w:tblCellMar>
          <w:top w:w="0" w:type="dxa"/>
          <w:left w:w="108" w:type="dxa"/>
          <w:bottom w:w="0" w:type="dxa"/>
          <w:right w:w="108" w:type="dxa"/>
        </w:tblCellMar>
      </w:tblPr>
      <w:tblGrid>
        <w:gridCol w:w="5505"/>
        <w:gridCol w:w="3737"/>
      </w:tblGrid>
      <w:tr>
        <w:tblPrEx>
          <w:tblCellMar>
            <w:top w:w="0" w:type="dxa"/>
            <w:left w:w="108" w:type="dxa"/>
            <w:bottom w:w="0" w:type="dxa"/>
            <w:right w:w="108" w:type="dxa"/>
          </w:tblCellMar>
        </w:tblPrEx>
        <w:tc>
          <w:tcPr>
            <w:tcW w:w="5505" w:type="dxa"/>
            <w:shd w:val="clear" w:color="auto" w:fill="auto"/>
          </w:tcPr>
          <w:p>
            <w:pPr>
              <w:tabs>
                <w:tab w:val="left" w:pos="417"/>
              </w:tabs>
              <w:spacing w:line="420" w:lineRule="auto"/>
              <w:rPr>
                <w:rFonts w:ascii="宋体" w:hAnsi="宋体"/>
                <w:color w:val="auto"/>
                <w:sz w:val="24"/>
                <w:highlight w:val="none"/>
              </w:rPr>
            </w:pPr>
            <w:r>
              <w:rPr>
                <w:rFonts w:hint="eastAsia" w:ascii="宋体" w:hAnsi="宋体"/>
                <w:color w:val="auto"/>
                <w:sz w:val="24"/>
                <w:highlight w:val="none"/>
              </w:rPr>
              <w:t>委托人（盖章）：</w:t>
            </w:r>
          </w:p>
          <w:p>
            <w:pPr>
              <w:spacing w:line="520" w:lineRule="exact"/>
              <w:jc w:val="left"/>
              <w:rPr>
                <w:rFonts w:ascii="宋体" w:hAnsi="宋体"/>
                <w:color w:val="auto"/>
                <w:sz w:val="24"/>
                <w:highlight w:val="none"/>
              </w:rPr>
            </w:pPr>
            <w:r>
              <w:rPr>
                <w:rFonts w:hint="eastAsia" w:ascii="宋体" w:hAnsi="宋体"/>
                <w:color w:val="auto"/>
                <w:sz w:val="24"/>
                <w:highlight w:val="none"/>
              </w:rPr>
              <w:t>广州市花都区交通运输局</w:t>
            </w:r>
          </w:p>
          <w:p>
            <w:pPr>
              <w:wordWrap w:val="0"/>
              <w:topLinePunct/>
              <w:spacing w:line="360" w:lineRule="auto"/>
              <w:rPr>
                <w:rFonts w:ascii="宋体" w:hAnsi="宋体"/>
                <w:color w:val="auto"/>
                <w:sz w:val="24"/>
                <w:highlight w:val="none"/>
              </w:rPr>
            </w:pPr>
          </w:p>
        </w:tc>
        <w:tc>
          <w:tcPr>
            <w:tcW w:w="3737" w:type="dxa"/>
            <w:shd w:val="clear" w:color="auto" w:fill="auto"/>
          </w:tcPr>
          <w:p>
            <w:pPr>
              <w:tabs>
                <w:tab w:val="left" w:pos="417"/>
              </w:tabs>
              <w:spacing w:line="360" w:lineRule="auto"/>
              <w:ind w:left="1680" w:hanging="1680" w:hangingChars="700"/>
              <w:rPr>
                <w:rFonts w:ascii="宋体" w:hAnsi="宋体"/>
                <w:color w:val="auto"/>
                <w:sz w:val="24"/>
                <w:highlight w:val="none"/>
              </w:rPr>
            </w:pPr>
            <w:r>
              <w:rPr>
                <w:rFonts w:hint="eastAsia" w:ascii="宋体" w:hAnsi="宋体"/>
                <w:color w:val="auto"/>
                <w:sz w:val="24"/>
                <w:highlight w:val="none"/>
              </w:rPr>
              <w:t>受托人（盖章）：</w:t>
            </w:r>
          </w:p>
          <w:p>
            <w:pPr>
              <w:tabs>
                <w:tab w:val="left" w:pos="417"/>
              </w:tabs>
              <w:spacing w:line="360" w:lineRule="auto"/>
              <w:ind w:left="1680" w:hanging="1680" w:hangingChars="700"/>
              <w:rPr>
                <w:rFonts w:ascii="宋体" w:hAnsi="宋体"/>
                <w:color w:val="auto"/>
                <w:sz w:val="24"/>
                <w:highlight w:val="none"/>
              </w:rPr>
            </w:pPr>
          </w:p>
        </w:tc>
      </w:tr>
      <w:tr>
        <w:tblPrEx>
          <w:tblCellMar>
            <w:top w:w="0" w:type="dxa"/>
            <w:left w:w="108" w:type="dxa"/>
            <w:bottom w:w="0" w:type="dxa"/>
            <w:right w:w="108" w:type="dxa"/>
          </w:tblCellMar>
        </w:tblPrEx>
        <w:tc>
          <w:tcPr>
            <w:tcW w:w="5505" w:type="dxa"/>
            <w:shd w:val="clear" w:color="auto" w:fill="auto"/>
          </w:tcPr>
          <w:p>
            <w:pPr>
              <w:wordWrap w:val="0"/>
              <w:topLinePunct/>
              <w:spacing w:line="360" w:lineRule="auto"/>
              <w:rPr>
                <w:rFonts w:ascii="宋体"/>
                <w:color w:val="auto"/>
                <w:sz w:val="24"/>
                <w:highlight w:val="none"/>
              </w:rPr>
            </w:pPr>
            <w:r>
              <w:rPr>
                <w:rFonts w:hint="eastAsia" w:ascii="宋体" w:hAnsi="宋体"/>
                <w:color w:val="auto"/>
                <w:sz w:val="24"/>
                <w:highlight w:val="none"/>
              </w:rPr>
              <w:t>法定代表人（签字或盖章）：</w:t>
            </w:r>
            <w:r>
              <w:rPr>
                <w:rFonts w:ascii="宋体" w:hAnsi="宋体"/>
                <w:color w:val="auto"/>
                <w:sz w:val="24"/>
                <w:highlight w:val="none"/>
              </w:rPr>
              <w:t xml:space="preserve">       </w:t>
            </w:r>
          </w:p>
          <w:p>
            <w:pPr>
              <w:tabs>
                <w:tab w:val="left" w:pos="417"/>
              </w:tabs>
              <w:spacing w:line="420" w:lineRule="auto"/>
              <w:rPr>
                <w:rFonts w:ascii="宋体" w:hAnsi="宋体"/>
                <w:color w:val="auto"/>
                <w:sz w:val="24"/>
                <w:highlight w:val="none"/>
              </w:rPr>
            </w:pPr>
            <w:r>
              <w:rPr>
                <w:rFonts w:hint="eastAsia" w:ascii="宋体" w:hAnsi="宋体"/>
                <w:color w:val="auto"/>
                <w:sz w:val="24"/>
                <w:highlight w:val="none"/>
              </w:rPr>
              <w:t>或授权代理人（签字或盖章）：</w:t>
            </w:r>
          </w:p>
        </w:tc>
        <w:tc>
          <w:tcPr>
            <w:tcW w:w="3737" w:type="dxa"/>
            <w:shd w:val="clear" w:color="auto" w:fill="auto"/>
          </w:tcPr>
          <w:p>
            <w:pPr>
              <w:tabs>
                <w:tab w:val="left" w:pos="417"/>
              </w:tabs>
              <w:spacing w:line="360" w:lineRule="auto"/>
              <w:rPr>
                <w:rFonts w:ascii="宋体"/>
                <w:color w:val="auto"/>
                <w:sz w:val="24"/>
                <w:highlight w:val="none"/>
              </w:rPr>
            </w:pPr>
            <w:r>
              <w:rPr>
                <w:rFonts w:hint="eastAsia" w:ascii="宋体" w:hAnsi="宋体"/>
                <w:color w:val="auto"/>
                <w:sz w:val="24"/>
                <w:highlight w:val="none"/>
              </w:rPr>
              <w:t>法定代表人（签字或盖章）：</w:t>
            </w:r>
            <w:r>
              <w:rPr>
                <w:rFonts w:ascii="宋体" w:hAnsi="宋体"/>
                <w:color w:val="auto"/>
                <w:sz w:val="24"/>
                <w:highlight w:val="none"/>
              </w:rPr>
              <w:t xml:space="preserve">       </w:t>
            </w:r>
          </w:p>
          <w:p>
            <w:pPr>
              <w:tabs>
                <w:tab w:val="left" w:pos="417"/>
              </w:tabs>
              <w:spacing w:line="420" w:lineRule="auto"/>
              <w:rPr>
                <w:rFonts w:ascii="宋体" w:hAnsi="宋体"/>
                <w:color w:val="auto"/>
                <w:sz w:val="24"/>
                <w:highlight w:val="none"/>
              </w:rPr>
            </w:pPr>
            <w:r>
              <w:rPr>
                <w:rFonts w:hint="eastAsia" w:ascii="宋体" w:hAnsi="宋体"/>
                <w:color w:val="auto"/>
                <w:sz w:val="24"/>
                <w:highlight w:val="none"/>
              </w:rPr>
              <w:t>或授权代理人（签字或盖章）：</w:t>
            </w:r>
          </w:p>
        </w:tc>
      </w:tr>
      <w:tr>
        <w:tblPrEx>
          <w:tblCellMar>
            <w:top w:w="0" w:type="dxa"/>
            <w:left w:w="108" w:type="dxa"/>
            <w:bottom w:w="0" w:type="dxa"/>
            <w:right w:w="108" w:type="dxa"/>
          </w:tblCellMar>
        </w:tblPrEx>
        <w:tc>
          <w:tcPr>
            <w:tcW w:w="5505" w:type="dxa"/>
            <w:shd w:val="clear" w:color="auto" w:fill="auto"/>
          </w:tcPr>
          <w:p>
            <w:pPr>
              <w:wordWrap w:val="0"/>
              <w:topLinePunct/>
              <w:spacing w:line="360" w:lineRule="auto"/>
              <w:ind w:left="6240" w:right="-651" w:rightChars="-310" w:hanging="6240" w:hangingChars="2600"/>
              <w:rPr>
                <w:rFonts w:ascii="宋体" w:hAnsi="宋体"/>
                <w:color w:val="auto"/>
                <w:sz w:val="24"/>
                <w:highlight w:val="none"/>
              </w:rPr>
            </w:pPr>
            <w:r>
              <w:rPr>
                <w:rFonts w:hint="eastAsia" w:ascii="宋体" w:hAnsi="宋体"/>
                <w:color w:val="auto"/>
                <w:sz w:val="24"/>
                <w:highlight w:val="none"/>
              </w:rPr>
              <w:t>单位地址：广州市花都区紫薇路</w:t>
            </w:r>
            <w:r>
              <w:rPr>
                <w:rFonts w:ascii="宋体" w:hAnsi="宋体"/>
                <w:color w:val="auto"/>
                <w:sz w:val="24"/>
                <w:highlight w:val="none"/>
              </w:rPr>
              <w:t>23号</w:t>
            </w:r>
          </w:p>
          <w:p>
            <w:pPr>
              <w:tabs>
                <w:tab w:val="left" w:pos="417"/>
              </w:tabs>
              <w:spacing w:line="420" w:lineRule="auto"/>
              <w:rPr>
                <w:rFonts w:ascii="宋体" w:hAnsi="宋体"/>
                <w:color w:val="auto"/>
                <w:sz w:val="24"/>
                <w:highlight w:val="none"/>
              </w:rPr>
            </w:pPr>
            <w:r>
              <w:rPr>
                <w:rFonts w:hint="eastAsia" w:ascii="宋体" w:hAnsi="宋体"/>
                <w:color w:val="auto"/>
                <w:sz w:val="24"/>
                <w:highlight w:val="none"/>
              </w:rPr>
              <w:t>邮政编码：</w:t>
            </w:r>
            <w:r>
              <w:rPr>
                <w:rFonts w:ascii="宋体" w:hAnsi="宋体"/>
                <w:color w:val="auto"/>
                <w:sz w:val="24"/>
                <w:highlight w:val="none"/>
              </w:rPr>
              <w:t xml:space="preserve">510800    </w:t>
            </w:r>
          </w:p>
        </w:tc>
        <w:tc>
          <w:tcPr>
            <w:tcW w:w="3737" w:type="dxa"/>
            <w:shd w:val="clear" w:color="auto" w:fill="auto"/>
          </w:tcPr>
          <w:p>
            <w:pPr>
              <w:tabs>
                <w:tab w:val="left" w:pos="417"/>
              </w:tabs>
              <w:spacing w:line="420" w:lineRule="auto"/>
              <w:rPr>
                <w:rFonts w:ascii="宋体" w:hAnsi="宋体"/>
                <w:color w:val="auto"/>
                <w:sz w:val="24"/>
                <w:highlight w:val="none"/>
              </w:rPr>
            </w:pPr>
            <w:r>
              <w:rPr>
                <w:rFonts w:hint="eastAsia" w:ascii="宋体" w:hAnsi="宋体"/>
                <w:color w:val="auto"/>
                <w:sz w:val="24"/>
                <w:highlight w:val="none"/>
              </w:rPr>
              <w:t>单位地址：</w:t>
            </w:r>
            <w:r>
              <w:rPr>
                <w:rFonts w:ascii="宋体" w:hAnsi="宋体"/>
                <w:color w:val="auto"/>
                <w:sz w:val="24"/>
                <w:highlight w:val="none"/>
              </w:rPr>
              <w:t xml:space="preserve">  </w:t>
            </w:r>
          </w:p>
          <w:p>
            <w:pPr>
              <w:tabs>
                <w:tab w:val="left" w:pos="417"/>
              </w:tabs>
              <w:spacing w:line="420" w:lineRule="auto"/>
              <w:rPr>
                <w:rFonts w:ascii="宋体" w:hAnsi="宋体"/>
                <w:color w:val="auto"/>
                <w:sz w:val="24"/>
                <w:highlight w:val="none"/>
              </w:rPr>
            </w:pPr>
            <w:r>
              <w:rPr>
                <w:rFonts w:hint="eastAsia" w:ascii="宋体" w:hAnsi="宋体"/>
                <w:color w:val="auto"/>
                <w:sz w:val="24"/>
                <w:highlight w:val="none"/>
              </w:rPr>
              <w:t>邮政编码：</w:t>
            </w:r>
            <w:r>
              <w:rPr>
                <w:rFonts w:ascii="宋体" w:hAnsi="宋体"/>
                <w:color w:val="auto"/>
                <w:sz w:val="24"/>
                <w:highlight w:val="none"/>
              </w:rPr>
              <w:t xml:space="preserve"> </w:t>
            </w:r>
          </w:p>
        </w:tc>
      </w:tr>
      <w:tr>
        <w:tblPrEx>
          <w:tblCellMar>
            <w:top w:w="0" w:type="dxa"/>
            <w:left w:w="108" w:type="dxa"/>
            <w:bottom w:w="0" w:type="dxa"/>
            <w:right w:w="108" w:type="dxa"/>
          </w:tblCellMar>
        </w:tblPrEx>
        <w:tc>
          <w:tcPr>
            <w:tcW w:w="5505" w:type="dxa"/>
            <w:shd w:val="clear" w:color="auto" w:fill="auto"/>
          </w:tcPr>
          <w:p>
            <w:pPr>
              <w:wordWrap w:val="0"/>
              <w:topLinePunct/>
              <w:spacing w:line="360" w:lineRule="auto"/>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u w:val="single"/>
              </w:rPr>
              <w:t xml:space="preserve">020-86885506 </w:t>
            </w:r>
          </w:p>
        </w:tc>
        <w:tc>
          <w:tcPr>
            <w:tcW w:w="3737" w:type="dxa"/>
            <w:shd w:val="clear" w:color="auto" w:fill="auto"/>
          </w:tcPr>
          <w:p>
            <w:pPr>
              <w:tabs>
                <w:tab w:val="left" w:pos="417"/>
              </w:tabs>
              <w:spacing w:line="420" w:lineRule="auto"/>
              <w:rPr>
                <w:rFonts w:ascii="宋体" w:hAnsi="宋体"/>
                <w:color w:val="auto"/>
                <w:sz w:val="24"/>
                <w:highlight w:val="none"/>
              </w:rPr>
            </w:pPr>
            <w:r>
              <w:rPr>
                <w:rFonts w:hint="eastAsia" w:ascii="宋体" w:hAnsi="宋体"/>
                <w:color w:val="auto"/>
                <w:sz w:val="24"/>
                <w:highlight w:val="none"/>
              </w:rPr>
              <w:t>电话：</w:t>
            </w:r>
          </w:p>
        </w:tc>
      </w:tr>
      <w:tr>
        <w:tblPrEx>
          <w:tblCellMar>
            <w:top w:w="0" w:type="dxa"/>
            <w:left w:w="108" w:type="dxa"/>
            <w:bottom w:w="0" w:type="dxa"/>
            <w:right w:w="108" w:type="dxa"/>
          </w:tblCellMar>
        </w:tblPrEx>
        <w:tc>
          <w:tcPr>
            <w:tcW w:w="5505" w:type="dxa"/>
            <w:shd w:val="clear" w:color="auto" w:fill="auto"/>
          </w:tcPr>
          <w:p>
            <w:pPr>
              <w:tabs>
                <w:tab w:val="left" w:pos="417"/>
              </w:tabs>
              <w:spacing w:line="420" w:lineRule="auto"/>
              <w:rPr>
                <w:rFonts w:ascii="宋体" w:hAnsi="宋体"/>
                <w:color w:val="auto"/>
                <w:sz w:val="24"/>
                <w:highlight w:val="none"/>
              </w:rPr>
            </w:pPr>
            <w:r>
              <w:rPr>
                <w:rFonts w:hint="eastAsia" w:ascii="宋体" w:hAnsi="宋体"/>
                <w:color w:val="auto"/>
                <w:sz w:val="24"/>
                <w:highlight w:val="none"/>
              </w:rPr>
              <w:t>签订日期：</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年  </w:t>
            </w:r>
            <w:r>
              <w:rPr>
                <w:rFonts w:hint="eastAsia" w:ascii="宋体" w:hAnsi="宋体"/>
                <w:color w:val="auto"/>
                <w:sz w:val="24"/>
                <w:highlight w:val="none"/>
                <w:u w:val="single"/>
              </w:rPr>
              <w:t>月</w:t>
            </w:r>
            <w:r>
              <w:rPr>
                <w:rFonts w:ascii="宋体" w:hAnsi="宋体"/>
                <w:color w:val="auto"/>
                <w:sz w:val="24"/>
                <w:highlight w:val="none"/>
                <w:u w:val="single"/>
              </w:rPr>
              <w:t xml:space="preserve"> </w:t>
            </w:r>
            <w:r>
              <w:rPr>
                <w:rFonts w:hint="eastAsia" w:ascii="宋体" w:hAnsi="宋体"/>
                <w:color w:val="auto"/>
                <w:sz w:val="24"/>
                <w:highlight w:val="none"/>
                <w:u w:val="single"/>
              </w:rPr>
              <w:t>日</w:t>
            </w:r>
            <w:r>
              <w:rPr>
                <w:rFonts w:ascii="宋体" w:hAnsi="宋体"/>
                <w:color w:val="auto"/>
                <w:sz w:val="24"/>
                <w:highlight w:val="none"/>
              </w:rPr>
              <w:t xml:space="preserve">  </w:t>
            </w:r>
          </w:p>
        </w:tc>
        <w:tc>
          <w:tcPr>
            <w:tcW w:w="3737" w:type="dxa"/>
            <w:shd w:val="clear" w:color="auto" w:fill="auto"/>
          </w:tcPr>
          <w:p>
            <w:pPr>
              <w:tabs>
                <w:tab w:val="left" w:pos="417"/>
              </w:tabs>
              <w:spacing w:line="420" w:lineRule="auto"/>
              <w:rPr>
                <w:rFonts w:ascii="宋体" w:hAnsi="宋体"/>
                <w:color w:val="auto"/>
                <w:sz w:val="24"/>
                <w:highlight w:val="none"/>
              </w:rPr>
            </w:pPr>
            <w:r>
              <w:rPr>
                <w:rFonts w:hint="eastAsia" w:ascii="宋体" w:hAnsi="宋体"/>
                <w:color w:val="auto"/>
                <w:sz w:val="24"/>
                <w:highlight w:val="none"/>
              </w:rPr>
              <w:t>签订日期：</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年  </w:t>
            </w:r>
            <w:r>
              <w:rPr>
                <w:rFonts w:hint="eastAsia" w:ascii="宋体" w:hAnsi="宋体"/>
                <w:color w:val="auto"/>
                <w:sz w:val="24"/>
                <w:highlight w:val="none"/>
                <w:u w:val="single"/>
              </w:rPr>
              <w:t>月</w:t>
            </w:r>
            <w:r>
              <w:rPr>
                <w:rFonts w:ascii="宋体" w:hAnsi="宋体"/>
                <w:color w:val="auto"/>
                <w:sz w:val="24"/>
                <w:highlight w:val="none"/>
                <w:u w:val="single"/>
              </w:rPr>
              <w:t xml:space="preserve">   </w:t>
            </w:r>
            <w:r>
              <w:rPr>
                <w:rFonts w:hint="eastAsia" w:ascii="宋体" w:hAnsi="宋体"/>
                <w:color w:val="auto"/>
                <w:sz w:val="24"/>
                <w:highlight w:val="none"/>
                <w:u w:val="single"/>
              </w:rPr>
              <w:t>日</w:t>
            </w:r>
            <w:r>
              <w:rPr>
                <w:rFonts w:ascii="宋体" w:hAnsi="宋体"/>
                <w:color w:val="auto"/>
                <w:sz w:val="24"/>
                <w:highlight w:val="none"/>
              </w:rPr>
              <w:t xml:space="preserve">  </w:t>
            </w:r>
          </w:p>
        </w:tc>
      </w:tr>
      <w:tr>
        <w:tblPrEx>
          <w:tblCellMar>
            <w:top w:w="0" w:type="dxa"/>
            <w:left w:w="108" w:type="dxa"/>
            <w:bottom w:w="0" w:type="dxa"/>
            <w:right w:w="108" w:type="dxa"/>
          </w:tblCellMar>
        </w:tblPrEx>
        <w:tc>
          <w:tcPr>
            <w:tcW w:w="5505" w:type="dxa"/>
            <w:shd w:val="clear" w:color="auto" w:fill="auto"/>
          </w:tcPr>
          <w:p>
            <w:pPr>
              <w:spacing w:line="520" w:lineRule="exact"/>
              <w:rPr>
                <w:rFonts w:ascii="宋体" w:hAnsi="宋体"/>
                <w:color w:val="auto"/>
                <w:sz w:val="24"/>
                <w:highlight w:val="none"/>
              </w:rPr>
            </w:pPr>
          </w:p>
        </w:tc>
        <w:tc>
          <w:tcPr>
            <w:tcW w:w="3737" w:type="dxa"/>
            <w:shd w:val="clear" w:color="auto" w:fill="auto"/>
          </w:tcPr>
          <w:p>
            <w:pPr>
              <w:spacing w:line="520" w:lineRule="exact"/>
              <w:rPr>
                <w:rFonts w:ascii="宋体" w:hAnsi="宋体"/>
                <w:color w:val="auto"/>
                <w:sz w:val="24"/>
                <w:highlight w:val="none"/>
              </w:rPr>
            </w:pPr>
          </w:p>
        </w:tc>
      </w:tr>
    </w:tbl>
    <w:p>
      <w:pP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widowControl w:val="0"/>
        <w:ind w:firstLine="420" w:firstLineChars="200"/>
        <w:jc w:val="both"/>
        <w:rPr>
          <w:rFonts w:ascii="Times New Roman" w:hAnsi="Times New Roman" w:eastAsia="宋体" w:cs="Times New Roman"/>
          <w:color w:val="auto"/>
          <w:kern w:val="2"/>
          <w:sz w:val="21"/>
          <w:szCs w:val="24"/>
          <w:highlight w:val="none"/>
          <w:lang w:val="en-US" w:eastAsia="zh-CN" w:bidi="ar-SA"/>
        </w:rPr>
      </w:pPr>
    </w:p>
    <w:p>
      <w:pPr>
        <w:widowControl w:val="0"/>
        <w:ind w:firstLine="420" w:firstLineChars="200"/>
        <w:jc w:val="both"/>
        <w:rPr>
          <w:rFonts w:ascii="Times New Roman" w:hAnsi="Times New Roman" w:eastAsia="宋体" w:cs="Times New Roman"/>
          <w:color w:val="auto"/>
          <w:kern w:val="2"/>
          <w:sz w:val="21"/>
          <w:szCs w:val="24"/>
          <w:highlight w:val="none"/>
          <w:lang w:val="en-US" w:eastAsia="zh-CN" w:bidi="ar-SA"/>
        </w:rPr>
      </w:pPr>
    </w:p>
    <w:p>
      <w:pPr>
        <w:widowControl w:val="0"/>
        <w:ind w:firstLine="420" w:firstLineChars="200"/>
        <w:jc w:val="both"/>
        <w:rPr>
          <w:rFonts w:ascii="Times New Roman" w:hAnsi="Times New Roman" w:eastAsia="宋体" w:cs="Times New Roman"/>
          <w:color w:val="auto"/>
          <w:kern w:val="2"/>
          <w:sz w:val="21"/>
          <w:szCs w:val="24"/>
          <w:highlight w:val="none"/>
          <w:lang w:val="en-US" w:eastAsia="zh-CN" w:bidi="ar-SA"/>
        </w:rPr>
      </w:pPr>
    </w:p>
    <w:p>
      <w:pPr>
        <w:widowControl w:val="0"/>
        <w:ind w:firstLine="420" w:firstLineChars="200"/>
        <w:jc w:val="both"/>
        <w:rPr>
          <w:rFonts w:ascii="Times New Roman" w:hAnsi="Times New Roman" w:eastAsia="宋体" w:cs="Times New Roman"/>
          <w:color w:val="auto"/>
          <w:kern w:val="2"/>
          <w:sz w:val="21"/>
          <w:szCs w:val="24"/>
          <w:highlight w:val="none"/>
          <w:lang w:val="en-US" w:eastAsia="zh-CN" w:bidi="ar-SA"/>
        </w:rPr>
      </w:pPr>
    </w:p>
    <w:p>
      <w:pPr>
        <w:widowControl w:val="0"/>
        <w:ind w:firstLine="420" w:firstLineChars="200"/>
        <w:jc w:val="both"/>
        <w:rPr>
          <w:rFonts w:ascii="Times New Roman" w:hAnsi="Times New Roman" w:eastAsia="宋体" w:cs="Times New Roman"/>
          <w:color w:val="auto"/>
          <w:kern w:val="2"/>
          <w:sz w:val="21"/>
          <w:szCs w:val="24"/>
          <w:highlight w:val="none"/>
          <w:lang w:val="en-US" w:eastAsia="zh-CN" w:bidi="ar-SA"/>
        </w:rPr>
      </w:pPr>
    </w:p>
    <w:p>
      <w:pPr>
        <w:rPr>
          <w:color w:val="auto"/>
          <w:highlight w:val="none"/>
        </w:rPr>
      </w:pPr>
    </w:p>
    <w:p>
      <w:pPr>
        <w:spacing w:line="360" w:lineRule="auto"/>
        <w:rPr>
          <w:rFonts w:ascii="宋体" w:hAnsi="宋体"/>
          <w:b/>
          <w:bCs/>
          <w:color w:val="auto"/>
          <w:sz w:val="24"/>
          <w:highlight w:val="none"/>
        </w:rPr>
        <w:sectPr>
          <w:footerReference r:id="rId14" w:type="default"/>
          <w:pgSz w:w="11906" w:h="16838"/>
          <w:pgMar w:top="1080" w:right="1440" w:bottom="1080" w:left="1440" w:header="284" w:footer="617"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360" w:lineRule="auto"/>
        <w:rPr>
          <w:rFonts w:ascii="宋体" w:hAnsi="宋体"/>
          <w:b/>
          <w:bCs/>
          <w:color w:val="auto"/>
          <w:sz w:val="24"/>
          <w:highlight w:val="none"/>
        </w:rPr>
      </w:pPr>
      <w:r>
        <w:rPr>
          <w:rFonts w:hint="eastAsia" w:ascii="宋体" w:hAnsi="宋体"/>
          <w:b/>
          <w:bCs/>
          <w:color w:val="auto"/>
          <w:sz w:val="24"/>
          <w:highlight w:val="none"/>
        </w:rPr>
        <w:t>附件</w:t>
      </w:r>
      <w:r>
        <w:rPr>
          <w:rFonts w:ascii="宋体" w:hAnsi="宋体"/>
          <w:b/>
          <w:bCs/>
          <w:color w:val="auto"/>
          <w:sz w:val="24"/>
          <w:highlight w:val="none"/>
        </w:rPr>
        <w:t>3（投标</w:t>
      </w:r>
      <w:r>
        <w:rPr>
          <w:rFonts w:hint="eastAsia" w:ascii="宋体" w:hAnsi="宋体"/>
          <w:b/>
          <w:bCs/>
          <w:color w:val="auto"/>
          <w:sz w:val="24"/>
          <w:highlight w:val="none"/>
        </w:rPr>
        <w:t>检测</w:t>
      </w:r>
      <w:r>
        <w:rPr>
          <w:rFonts w:ascii="宋体" w:hAnsi="宋体"/>
          <w:b/>
          <w:bCs/>
          <w:color w:val="auto"/>
          <w:sz w:val="24"/>
          <w:highlight w:val="none"/>
        </w:rPr>
        <w:t>报价表）</w:t>
      </w: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4</w:t>
      </w:r>
      <w:r>
        <w:rPr>
          <w:rFonts w:ascii="宋体" w:hAnsi="宋体"/>
          <w:b/>
          <w:bCs/>
          <w:color w:val="auto"/>
          <w:sz w:val="24"/>
          <w:highlight w:val="none"/>
        </w:rPr>
        <w:t>（投标</w:t>
      </w:r>
      <w:r>
        <w:rPr>
          <w:rFonts w:hint="eastAsia" w:ascii="宋体" w:hAnsi="宋体"/>
          <w:b/>
          <w:bCs/>
          <w:color w:val="auto"/>
          <w:sz w:val="24"/>
          <w:highlight w:val="none"/>
        </w:rPr>
        <w:t>监测</w:t>
      </w:r>
      <w:r>
        <w:rPr>
          <w:rFonts w:ascii="宋体" w:hAnsi="宋体"/>
          <w:b/>
          <w:bCs/>
          <w:color w:val="auto"/>
          <w:sz w:val="24"/>
          <w:highlight w:val="none"/>
        </w:rPr>
        <w:t>报价表）</w:t>
      </w:r>
    </w:p>
    <w:p>
      <w:pPr>
        <w:widowControl w:val="0"/>
        <w:spacing w:line="360" w:lineRule="auto"/>
        <w:ind w:firstLine="0" w:firstLineChars="0"/>
        <w:jc w:val="both"/>
        <w:rPr>
          <w:rFonts w:ascii="宋体" w:hAnsi="宋体" w:eastAsia="宋体" w:cs="Times New Roman"/>
          <w:b/>
          <w:bCs/>
          <w:color w:val="auto"/>
          <w:kern w:val="2"/>
          <w:sz w:val="24"/>
          <w:szCs w:val="24"/>
          <w:highlight w:val="none"/>
          <w:lang w:val="en-US" w:eastAsia="zh-CN" w:bidi="ar-SA"/>
        </w:rPr>
      </w:pPr>
    </w:p>
    <w:p>
      <w:pPr>
        <w:rPr>
          <w:rFonts w:ascii="宋体" w:hAnsi="宋体"/>
          <w:b/>
          <w:bCs/>
          <w:color w:val="auto"/>
          <w:sz w:val="24"/>
          <w:highlight w:val="none"/>
        </w:rPr>
      </w:pPr>
      <w:r>
        <w:rPr>
          <w:rFonts w:hint="eastAsia"/>
          <w:b/>
          <w:color w:val="auto"/>
          <w:sz w:val="24"/>
          <w:highlight w:val="none"/>
        </w:rPr>
        <w:t>附件</w:t>
      </w:r>
      <w:r>
        <w:rPr>
          <w:rFonts w:hint="eastAsia" w:ascii="Times New Roman" w:eastAsia="宋体"/>
          <w:b/>
          <w:color w:val="auto"/>
          <w:sz w:val="24"/>
          <w:highlight w:val="none"/>
          <w:lang w:val="en-US" w:eastAsia="zh-CN"/>
        </w:rPr>
        <w:t>5</w:t>
      </w:r>
      <w:r>
        <w:rPr>
          <w:rFonts w:hint="eastAsia" w:ascii="宋体" w:hAnsi="宋体"/>
          <w:b/>
          <w:bCs/>
          <w:color w:val="auto"/>
          <w:sz w:val="24"/>
          <w:highlight w:val="none"/>
        </w:rPr>
        <w:t>本项目机构人员一览表</w:t>
      </w:r>
    </w:p>
    <w:p>
      <w:pPr>
        <w:rPr>
          <w:color w:val="auto"/>
          <w:highlight w:val="none"/>
        </w:rPr>
      </w:pPr>
    </w:p>
    <w:p>
      <w:pPr>
        <w:rPr>
          <w:color w:val="auto"/>
          <w:highlight w:val="none"/>
        </w:rPr>
      </w:pPr>
    </w:p>
    <w:p>
      <w:pPr>
        <w:rPr>
          <w:rFonts w:ascii="方正姚体" w:hAnsi="宋体" w:eastAsia="方正姚体"/>
          <w:b/>
          <w:bCs/>
          <w:color w:val="auto"/>
          <w:sz w:val="24"/>
          <w:highlight w:val="none"/>
        </w:rPr>
      </w:pPr>
      <w:r>
        <w:rPr>
          <w:rFonts w:ascii="方正姚体" w:hAnsi="宋体" w:eastAsia="方正姚体"/>
          <w:b/>
          <w:bCs/>
          <w:color w:val="auto"/>
          <w:sz w:val="24"/>
          <w:highlight w:val="none"/>
        </w:rPr>
        <w:br w:type="page"/>
      </w:r>
    </w:p>
    <w:p>
      <w:pPr>
        <w:pStyle w:val="2"/>
        <w:rPr>
          <w:color w:val="auto"/>
          <w:highlight w:val="none"/>
        </w:rPr>
      </w:pPr>
    </w:p>
    <w:p>
      <w:pPr>
        <w:spacing w:line="360" w:lineRule="auto"/>
        <w:rPr>
          <w:color w:val="auto"/>
          <w:sz w:val="24"/>
          <w:highlight w:val="none"/>
        </w:rPr>
      </w:pPr>
    </w:p>
    <w:p>
      <w:pPr>
        <w:rPr>
          <w:rFonts w:ascii="宋体" w:cs="宋体"/>
          <w:color w:val="auto"/>
          <w:sz w:val="24"/>
          <w:highlight w:val="none"/>
        </w:rPr>
      </w:pPr>
    </w:p>
    <w:p>
      <w:pPr>
        <w:rPr>
          <w:color w:val="auto"/>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color w:val="auto"/>
          <w:highlight w:val="none"/>
        </w:rPr>
      </w:pPr>
    </w:p>
    <w:p>
      <w:pPr>
        <w:spacing w:line="336" w:lineRule="auto"/>
        <w:rPr>
          <w:rFonts w:ascii="黑体" w:eastAsia="黑体"/>
          <w:color w:val="auto"/>
          <w:sz w:val="28"/>
          <w:szCs w:val="20"/>
          <w:highlight w:val="none"/>
        </w:rPr>
      </w:pPr>
    </w:p>
    <w:p>
      <w:pPr>
        <w:pStyle w:val="4"/>
        <w:numPr>
          <w:ilvl w:val="0"/>
          <w:numId w:val="0"/>
        </w:numPr>
        <w:tabs>
          <w:tab w:val="clear" w:pos="435"/>
        </w:tabs>
        <w:spacing w:line="360" w:lineRule="auto"/>
        <w:rPr>
          <w:rFonts w:ascii="方正姚体" w:hAnsi="方正姚体" w:eastAsia="方正姚体" w:cs="方正姚体"/>
          <w:b/>
          <w:bCs/>
          <w:color w:val="auto"/>
          <w:sz w:val="52"/>
          <w:szCs w:val="52"/>
          <w:highlight w:val="none"/>
        </w:rPr>
        <w:sectPr>
          <w:headerReference r:id="rId15" w:type="default"/>
          <w:footerReference r:id="rId16" w:type="default"/>
          <w:footnotePr>
            <w:numFmt w:val="decimalEnclosedCircleChinese"/>
          </w:footnotePr>
          <w:pgSz w:w="11906" w:h="16838"/>
          <w:pgMar w:top="1134" w:right="1418" w:bottom="1134" w:left="1418" w:header="567" w:footer="851" w:gutter="0"/>
          <w:pgBorders>
            <w:top w:val="none" w:sz="0" w:space="0"/>
            <w:left w:val="none" w:sz="0" w:space="0"/>
            <w:bottom w:val="none" w:sz="0" w:space="0"/>
            <w:right w:val="none" w:sz="0" w:space="0"/>
          </w:pgBorders>
          <w:pgNumType w:fmt="decimal"/>
          <w:cols w:space="720" w:num="1"/>
          <w:docGrid w:linePitch="312" w:charSpace="0"/>
        </w:sectPr>
      </w:pPr>
      <w:bookmarkStart w:id="128" w:name="_Toc24251"/>
      <w:bookmarkStart w:id="129" w:name="_Toc16146"/>
      <w:r>
        <w:rPr>
          <w:rFonts w:hint="eastAsia" w:ascii="方正姚体" w:hAnsi="方正姚体" w:eastAsia="方正姚体" w:cs="方正姚体"/>
          <w:b/>
          <w:bCs/>
          <w:color w:val="auto"/>
          <w:sz w:val="52"/>
          <w:szCs w:val="52"/>
          <w:highlight w:val="none"/>
        </w:rPr>
        <w:t>第五章委托人要求</w:t>
      </w:r>
      <w:bookmarkEnd w:id="128"/>
      <w:bookmarkEnd w:id="129"/>
    </w:p>
    <w:p>
      <w:pPr>
        <w:adjustRightInd w:val="0"/>
        <w:snapToGrid w:val="0"/>
        <w:spacing w:line="360" w:lineRule="auto"/>
        <w:jc w:val="center"/>
        <w:rPr>
          <w:rFonts w:hint="eastAsia" w:ascii="宋体" w:hAnsi="宋体" w:cs="宋体"/>
          <w:b/>
          <w:color w:val="auto"/>
          <w:sz w:val="24"/>
          <w:szCs w:val="24"/>
          <w:highlight w:val="none"/>
        </w:rPr>
      </w:pPr>
      <w:bookmarkStart w:id="130" w:name="_Toc532396442"/>
      <w:bookmarkStart w:id="131" w:name="_Toc5303"/>
      <w:bookmarkStart w:id="132" w:name="_Toc32200"/>
      <w:bookmarkStart w:id="133" w:name="_Toc5215"/>
      <w:bookmarkStart w:id="134" w:name="_Toc366399706"/>
      <w:bookmarkStart w:id="135" w:name="_Toc534882219"/>
      <w:bookmarkStart w:id="136" w:name="_Toc24022"/>
      <w:bookmarkStart w:id="137" w:name="_Toc522632145"/>
      <w:bookmarkStart w:id="138" w:name="_Toc366293545"/>
      <w:bookmarkStart w:id="139" w:name="_Toc482188639"/>
      <w:bookmarkStart w:id="140" w:name="_Toc492300709"/>
      <w:r>
        <w:rPr>
          <w:rFonts w:hint="eastAsia" w:ascii="宋体" w:hAnsi="宋体" w:cs="宋体"/>
          <w:b/>
          <w:color w:val="auto"/>
          <w:sz w:val="24"/>
          <w:szCs w:val="24"/>
          <w:highlight w:val="none"/>
          <w:lang w:bidi="ar"/>
        </w:rPr>
        <w:t>第一节 检测服务</w:t>
      </w:r>
    </w:p>
    <w:p>
      <w:pPr>
        <w:pStyle w:val="68"/>
        <w:widowControl w:val="0"/>
        <w:autoSpaceDE w:val="0"/>
        <w:autoSpaceDN w:val="0"/>
        <w:adjustRightInd w:val="0"/>
        <w:snapToGrid w:val="0"/>
        <w:spacing w:before="0" w:beforeAutospacing="0" w:after="0" w:afterAutospacing="0"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szCs w:val="24"/>
          <w:highlight w:val="none"/>
          <w:lang w:bidi="ar"/>
        </w:rPr>
        <w:t>一、检测工作要求（以招标文件、设计图纸、工程量清单及相关资料为准）</w:t>
      </w:r>
    </w:p>
    <w:p>
      <w:pPr>
        <w:pStyle w:val="68"/>
        <w:widowControl w:val="0"/>
        <w:autoSpaceDE w:val="0"/>
        <w:autoSpaceDN w:val="0"/>
        <w:adjustRightInd w:val="0"/>
        <w:snapToGrid w:val="0"/>
        <w:spacing w:before="0" w:beforeAutospacing="0" w:after="0" w:afterAutospacing="0" w:line="360" w:lineRule="auto"/>
        <w:ind w:firstLine="480" w:firstLineChars="200"/>
        <w:rPr>
          <w:rFonts w:hint="eastAsia" w:cs="宋体"/>
          <w:color w:val="auto"/>
          <w:kern w:val="28"/>
          <w:highlight w:val="none"/>
        </w:rPr>
      </w:pPr>
      <w:r>
        <w:rPr>
          <w:rFonts w:hint="eastAsia" w:cs="宋体"/>
          <w:snapToGrid w:val="0"/>
          <w:color w:val="auto"/>
          <w:kern w:val="28"/>
          <w:szCs w:val="24"/>
          <w:highlight w:val="none"/>
          <w:lang w:bidi="ar"/>
        </w:rPr>
        <w:t>1、中标人的检测工作必须满足国家、广东省、广州市相关检测规范、强制性标准。</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2、中标人除按要求完成本次招标范围内的检测工作外，还应完成以下工作：</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（2）在进行检测任务的过程中与该工程相关的项目管理单位、施工单位、监理单位、设计单位、建设主管部门等相关单位的协调工作。</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（3）负责检测数据的有关信息通过广州市建设工程质量检测监管信息网报送，中标人已在</w:t>
      </w:r>
      <w:r>
        <w:rPr>
          <w:rFonts w:hint="eastAsia" w:ascii="宋体" w:hAnsi="宋体" w:cs="宋体"/>
          <w:color w:val="auto"/>
          <w:sz w:val="24"/>
          <w:szCs w:val="24"/>
          <w:highlight w:val="none"/>
          <w:lang w:val="en-US" w:eastAsia="zh-CN" w:bidi="ar"/>
        </w:rPr>
        <w:t>投标报价</w:t>
      </w:r>
      <w:r>
        <w:rPr>
          <w:rFonts w:hint="eastAsia" w:ascii="宋体" w:hAnsi="宋体" w:cs="宋体"/>
          <w:color w:val="auto"/>
          <w:sz w:val="24"/>
          <w:szCs w:val="24"/>
          <w:highlight w:val="none"/>
          <w:lang w:bidi="ar"/>
        </w:rPr>
        <w:t>中综合考虑该项协调工作费用。</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由乙方委托有资质的相应单位实施，并取得相应管理部门的确认。</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（6）在进行检测服务过程中，与该工程相关的施工、监理、设计、咨询等相关单位及建设协调行政主管部门和监督部门协调，投标人需在投标报价中综合考虑该项协调工作费用。</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（7）清单中已包含监督抽检的工程量，监督抽检按建设行政主管部门要求实施，投标人需在投标报价中综合考虑该项费用。</w:t>
      </w:r>
    </w:p>
    <w:p>
      <w:pPr>
        <w:pStyle w:val="68"/>
        <w:widowControl w:val="0"/>
        <w:autoSpaceDE w:val="0"/>
        <w:autoSpaceDN w:val="0"/>
        <w:adjustRightInd w:val="0"/>
        <w:snapToGrid w:val="0"/>
        <w:spacing w:before="0" w:beforeAutospacing="0" w:after="0" w:afterAutospacing="0"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szCs w:val="24"/>
          <w:highlight w:val="none"/>
          <w:lang w:bidi="ar"/>
        </w:rPr>
        <w:t>二、检测设备要求</w:t>
      </w:r>
    </w:p>
    <w:p>
      <w:pPr>
        <w:tabs>
          <w:tab w:val="left" w:pos="0"/>
          <w:tab w:val="left" w:pos="360"/>
          <w:tab w:val="left" w:pos="1260"/>
          <w:tab w:val="left" w:pos="1440"/>
        </w:tabs>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snapToGrid w:val="0"/>
          <w:color w:val="auto"/>
          <w:kern w:val="28"/>
          <w:sz w:val="24"/>
          <w:szCs w:val="24"/>
          <w:highlight w:val="none"/>
          <w:lang w:bidi="ar"/>
        </w:rPr>
        <w:t>用于完成本项目检测的仪器、设备和材料由承包人自行运输，存管。仪器、设备和材料应有产品出厂合格证，检定</w:t>
      </w:r>
      <w:r>
        <w:rPr>
          <w:rFonts w:hint="eastAsia" w:ascii="宋体" w:hAnsi="宋体" w:cs="宋体"/>
          <w:color w:val="auto"/>
          <w:kern w:val="28"/>
          <w:sz w:val="24"/>
          <w:szCs w:val="24"/>
          <w:highlight w:val="none"/>
          <w:lang w:bidi="ar"/>
        </w:rPr>
        <w:t>/</w:t>
      </w:r>
      <w:r>
        <w:rPr>
          <w:rFonts w:hint="eastAsia" w:ascii="宋体" w:hAnsi="宋体" w:cs="宋体"/>
          <w:snapToGrid w:val="0"/>
          <w:color w:val="auto"/>
          <w:kern w:val="28"/>
          <w:sz w:val="24"/>
          <w:szCs w:val="24"/>
          <w:highlight w:val="none"/>
          <w:lang w:bidi="ar"/>
        </w:rPr>
        <w:t>校准证书，同时符合相关技术标准和检定要求。本项目应遵守广州市建设科学技术委员会等相关部门对本工程的相关批示及指导意见执行。</w:t>
      </w:r>
    </w:p>
    <w:p>
      <w:pPr>
        <w:pStyle w:val="68"/>
        <w:widowControl w:val="0"/>
        <w:autoSpaceDE w:val="0"/>
        <w:autoSpaceDN w:val="0"/>
        <w:adjustRightInd w:val="0"/>
        <w:snapToGrid w:val="0"/>
        <w:spacing w:before="0" w:beforeAutospacing="0" w:after="0" w:afterAutospacing="0"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szCs w:val="24"/>
          <w:highlight w:val="none"/>
          <w:lang w:bidi="ar"/>
        </w:rPr>
        <w:t>三、检测方案编制要求</w:t>
      </w:r>
    </w:p>
    <w:p>
      <w:pPr>
        <w:widowControl/>
        <w:adjustRightInd w:val="0"/>
        <w:snapToGrid w:val="0"/>
        <w:spacing w:line="360" w:lineRule="auto"/>
        <w:ind w:firstLine="480" w:firstLineChars="200"/>
        <w:rPr>
          <w:rFonts w:ascii="宋体" w:hAnsi="宋体" w:cs="宋体"/>
          <w:snapToGrid w:val="0"/>
          <w:color w:val="auto"/>
          <w:kern w:val="28"/>
          <w:sz w:val="24"/>
          <w:szCs w:val="24"/>
          <w:highlight w:val="none"/>
          <w:lang w:bidi="ar"/>
        </w:rPr>
      </w:pPr>
      <w:r>
        <w:rPr>
          <w:rFonts w:hint="eastAsia" w:ascii="宋体" w:hAnsi="宋体" w:cs="宋体"/>
          <w:snapToGrid w:val="0"/>
          <w:color w:val="auto"/>
          <w:kern w:val="28"/>
          <w:sz w:val="24"/>
          <w:szCs w:val="24"/>
          <w:highlight w:val="none"/>
          <w:lang w:bidi="ar"/>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pPr>
        <w:numPr>
          <w:ilvl w:val="0"/>
          <w:numId w:val="14"/>
        </w:numPr>
        <w:adjustRightInd w:val="0"/>
        <w:snapToGrid w:val="0"/>
        <w:spacing w:line="360" w:lineRule="auto"/>
        <w:ind w:firstLine="482" w:firstLineChars="200"/>
        <w:jc w:val="center"/>
        <w:rPr>
          <w:rFonts w:ascii="宋体" w:hAnsi="宋体" w:cs="宋体"/>
          <w:b/>
          <w:color w:val="auto"/>
          <w:sz w:val="24"/>
          <w:szCs w:val="24"/>
          <w:highlight w:val="none"/>
          <w:lang w:bidi="ar"/>
        </w:rPr>
      </w:pPr>
      <w:bookmarkStart w:id="141" w:name="_Toc482188638"/>
      <w:bookmarkStart w:id="142" w:name="_Toc511557111"/>
      <w:r>
        <w:rPr>
          <w:rFonts w:hint="eastAsia" w:ascii="宋体" w:hAnsi="宋体" w:cs="宋体"/>
          <w:b/>
          <w:color w:val="auto"/>
          <w:sz w:val="24"/>
          <w:szCs w:val="24"/>
          <w:highlight w:val="none"/>
          <w:lang w:bidi="ar"/>
        </w:rPr>
        <w:t>监测服务</w:t>
      </w:r>
    </w:p>
    <w:p>
      <w:pPr>
        <w:adjustRightInd w:val="0"/>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一、主要使用的监测规范</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1.实施本项目监测工作应符合(但不仅限于)以下的监测规范及要求及其它国家及省.部等相关监测规范及文件要求：</w:t>
      </w:r>
    </w:p>
    <w:p>
      <w:pPr>
        <w:widowControl/>
        <w:adjustRightInd w:val="0"/>
        <w:snapToGrid w:val="0"/>
        <w:spacing w:line="360" w:lineRule="auto"/>
        <w:ind w:left="-15" w:right="15" w:firstLine="420"/>
        <w:jc w:val="left"/>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lang w:bidi="ar"/>
        </w:rPr>
        <w:t>2.基坑变形和位移监测方案必须满足设计文件、《岩土工程勘察规范》【GB50021-2001(2009年版)】以及国家现行技术规范的要求，观测点布置及数量必须确保满足保证基坑及周围环境安全。</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本项目监测方案必须满足设计文件：《岩土工程勘察规范》、《工程测量规范》以及国家广东省广州市现行技术规范的要求和本地区质量监督部门的要求，且必须经过设计人、监理人、招标人审定批准并报工程安监机构备案后方可实施，观测点布置及数量必须确保满足保证本工程及周围环境安全需要。所有监测均应有详细的书面报告。</w:t>
      </w:r>
    </w:p>
    <w:bookmarkEnd w:id="141"/>
    <w:bookmarkEnd w:id="142"/>
    <w:p>
      <w:pPr>
        <w:widowControl/>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二、现场作业计划</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监测人应在开展工作前向监理人报备作业计划，计划应包括作业内容及作业时间；完成后1个工作日内出具观测简报一式三份；全部观测结束后，5个工作日内完成监测总结报告，并招标人提交一式十份成果报告。现场监测要求：监测人应严格按照设计要求及报备的作业计划执行监测工作，并按照工程建设需要，配合招标人、监理人及时到赴现场进行监测工作。</w:t>
      </w:r>
    </w:p>
    <w:p>
      <w:pPr>
        <w:widowControl/>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三、监测、观测频率和要求（以招标文件、设计图纸、工程量清单及相关资料为准）</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1.须编制具体监测方案，监测频率满足设计以及相关规范要求。 </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2.当变形超过有关标准或场地条件变化较大时，应加密观测，并通报监理人及招标人。</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3.当有危险事故征兆时，应进行连续监测，并向监理人及招标人作书面汇报。</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4.监测人应严格按照设计要求及监理人要求，及时到现场进行工作。</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5.监测工作应有完整的原始记录表、数据报表、图形和曲线等资料。</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6.工程出现质量隐患时，必须立即上报监理人及招标人，因监测人未及时上报情况，而造成安全事故的，中标监测人需负全部责任，对招标人造成损失的，应赔偿该部分费用。</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7.发生险情时，中标监测人收到监理人或招标人通知后的2个小时内必须派专人赶至施工现场。</w:t>
      </w:r>
    </w:p>
    <w:p>
      <w:pPr>
        <w:widowControl/>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color w:val="auto"/>
          <w:sz w:val="24"/>
          <w:szCs w:val="24"/>
          <w:highlight w:val="none"/>
          <w:lang w:bidi="ar"/>
        </w:rPr>
        <w:t>8.</w:t>
      </w:r>
      <w:r>
        <w:rPr>
          <w:rFonts w:hint="eastAsia" w:ascii="宋体" w:hAnsi="宋体" w:cs="宋体"/>
          <w:snapToGrid w:val="0"/>
          <w:color w:val="auto"/>
          <w:kern w:val="28"/>
          <w:sz w:val="24"/>
          <w:szCs w:val="24"/>
          <w:highlight w:val="none"/>
          <w:lang w:bidi="ar"/>
        </w:rPr>
        <w:t>监测设备要求：用于完成本项目监测的仪器</w:t>
      </w:r>
      <w:r>
        <w:rPr>
          <w:rFonts w:hint="eastAsia" w:ascii="宋体" w:hAnsi="宋体" w:cs="宋体"/>
          <w:color w:val="auto"/>
          <w:kern w:val="28"/>
          <w:sz w:val="24"/>
          <w:szCs w:val="24"/>
          <w:highlight w:val="none"/>
          <w:lang w:bidi="ar"/>
        </w:rPr>
        <w:t>.</w:t>
      </w:r>
      <w:r>
        <w:rPr>
          <w:rFonts w:hint="eastAsia" w:ascii="宋体" w:hAnsi="宋体" w:cs="宋体"/>
          <w:snapToGrid w:val="0"/>
          <w:color w:val="auto"/>
          <w:kern w:val="28"/>
          <w:sz w:val="24"/>
          <w:szCs w:val="24"/>
          <w:highlight w:val="none"/>
          <w:lang w:bidi="ar"/>
        </w:rPr>
        <w:t>设备和材料由监测人自行运输，存管。仪器、设备和材料应有产品出厂合格证，检定</w:t>
      </w:r>
      <w:r>
        <w:rPr>
          <w:rFonts w:hint="eastAsia" w:ascii="宋体" w:hAnsi="宋体" w:cs="宋体"/>
          <w:color w:val="auto"/>
          <w:kern w:val="28"/>
          <w:sz w:val="24"/>
          <w:szCs w:val="24"/>
          <w:highlight w:val="none"/>
          <w:lang w:bidi="ar"/>
        </w:rPr>
        <w:t>/</w:t>
      </w:r>
      <w:r>
        <w:rPr>
          <w:rFonts w:hint="eastAsia" w:ascii="宋体" w:hAnsi="宋体" w:cs="宋体"/>
          <w:snapToGrid w:val="0"/>
          <w:color w:val="auto"/>
          <w:kern w:val="28"/>
          <w:sz w:val="24"/>
          <w:szCs w:val="24"/>
          <w:highlight w:val="none"/>
          <w:lang w:bidi="ar"/>
        </w:rPr>
        <w:t>校准证书，同时符合相关技术标准和检定要求。</w:t>
      </w:r>
    </w:p>
    <w:p>
      <w:pPr>
        <w:widowControl/>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snapToGrid w:val="0"/>
          <w:color w:val="auto"/>
          <w:kern w:val="28"/>
          <w:sz w:val="24"/>
          <w:szCs w:val="24"/>
          <w:highlight w:val="none"/>
          <w:lang w:bidi="ar"/>
        </w:rPr>
        <w:t xml:space="preserve">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 </w:t>
      </w:r>
    </w:p>
    <w:p>
      <w:pPr>
        <w:widowControl/>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snapToGrid w:val="0"/>
          <w:color w:val="auto"/>
          <w:kern w:val="28"/>
          <w:sz w:val="24"/>
          <w:szCs w:val="24"/>
          <w:highlight w:val="none"/>
          <w:lang w:bidi="ar"/>
        </w:rPr>
        <w:t>10.监测成果提交</w:t>
      </w:r>
    </w:p>
    <w:p>
      <w:pPr>
        <w:widowControl/>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snapToGrid w:val="0"/>
          <w:color w:val="auto"/>
          <w:kern w:val="28"/>
          <w:sz w:val="24"/>
          <w:szCs w:val="24"/>
          <w:highlight w:val="none"/>
          <w:lang w:bidi="ar"/>
        </w:rPr>
        <w:t xml:space="preserve">监测成果的提交分为电子数据和纸质成果，电子数据在监测完成后以电子邮件的形式发送，需确保不因传输报送工作影响本工程项目的建设进度和竣工验收。监测成果分为日报表、阶段报表（周、月报）和完成时提供的监测总报告。每次监测完成时提供监测日报表，报表主要内容组成如下： </w:t>
      </w:r>
    </w:p>
    <w:p>
      <w:pPr>
        <w:widowControl/>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snapToGrid w:val="0"/>
          <w:color w:val="auto"/>
          <w:kern w:val="28"/>
          <w:sz w:val="24"/>
          <w:szCs w:val="24"/>
          <w:highlight w:val="none"/>
          <w:lang w:bidi="ar"/>
        </w:rPr>
        <w:t>（</w:t>
      </w:r>
      <w:r>
        <w:rPr>
          <w:rFonts w:hint="eastAsia" w:ascii="宋体" w:hAnsi="宋体" w:cs="宋体"/>
          <w:color w:val="auto"/>
          <w:kern w:val="28"/>
          <w:sz w:val="24"/>
          <w:szCs w:val="24"/>
          <w:highlight w:val="none"/>
          <w:lang w:bidi="ar"/>
        </w:rPr>
        <w:t>1</w:t>
      </w:r>
      <w:r>
        <w:rPr>
          <w:rFonts w:hint="eastAsia" w:ascii="宋体" w:hAnsi="宋体" w:cs="宋体"/>
          <w:snapToGrid w:val="0"/>
          <w:color w:val="auto"/>
          <w:kern w:val="28"/>
          <w:sz w:val="24"/>
          <w:szCs w:val="24"/>
          <w:highlight w:val="none"/>
          <w:lang w:bidi="ar"/>
        </w:rPr>
        <w:t>）监测项目测点布置示意图；</w:t>
      </w:r>
    </w:p>
    <w:p>
      <w:pPr>
        <w:widowControl/>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snapToGrid w:val="0"/>
          <w:color w:val="auto"/>
          <w:kern w:val="28"/>
          <w:sz w:val="24"/>
          <w:szCs w:val="24"/>
          <w:highlight w:val="none"/>
          <w:lang w:bidi="ar"/>
        </w:rPr>
        <w:t>（</w:t>
      </w:r>
      <w:r>
        <w:rPr>
          <w:rFonts w:hint="eastAsia" w:ascii="宋体" w:hAnsi="宋体" w:cs="宋体"/>
          <w:color w:val="auto"/>
          <w:kern w:val="28"/>
          <w:sz w:val="24"/>
          <w:szCs w:val="24"/>
          <w:highlight w:val="none"/>
          <w:lang w:bidi="ar"/>
        </w:rPr>
        <w:t>2</w:t>
      </w:r>
      <w:r>
        <w:rPr>
          <w:rFonts w:hint="eastAsia" w:ascii="宋体" w:hAnsi="宋体" w:cs="宋体"/>
          <w:snapToGrid w:val="0"/>
          <w:color w:val="auto"/>
          <w:kern w:val="28"/>
          <w:sz w:val="24"/>
          <w:szCs w:val="24"/>
          <w:highlight w:val="none"/>
          <w:lang w:bidi="ar"/>
        </w:rPr>
        <w:t>）监测项目监测数据的分析与说明；</w:t>
      </w:r>
    </w:p>
    <w:p>
      <w:pPr>
        <w:widowControl/>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snapToGrid w:val="0"/>
          <w:color w:val="auto"/>
          <w:kern w:val="28"/>
          <w:sz w:val="24"/>
          <w:szCs w:val="24"/>
          <w:highlight w:val="none"/>
          <w:lang w:bidi="ar"/>
        </w:rPr>
        <w:t>（</w:t>
      </w:r>
      <w:r>
        <w:rPr>
          <w:rFonts w:hint="eastAsia" w:ascii="宋体" w:hAnsi="宋体" w:cs="宋体"/>
          <w:color w:val="auto"/>
          <w:kern w:val="28"/>
          <w:sz w:val="24"/>
          <w:szCs w:val="24"/>
          <w:highlight w:val="none"/>
          <w:lang w:bidi="ar"/>
        </w:rPr>
        <w:t>3</w:t>
      </w:r>
      <w:r>
        <w:rPr>
          <w:rFonts w:hint="eastAsia" w:ascii="宋体" w:hAnsi="宋体" w:cs="宋体"/>
          <w:snapToGrid w:val="0"/>
          <w:color w:val="auto"/>
          <w:kern w:val="28"/>
          <w:sz w:val="24"/>
          <w:szCs w:val="24"/>
          <w:highlight w:val="none"/>
          <w:lang w:bidi="ar"/>
        </w:rPr>
        <w:t>）监测项目监测值数据变化表及变化曲线。</w:t>
      </w:r>
    </w:p>
    <w:p>
      <w:pPr>
        <w:widowControl/>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snapToGrid w:val="0"/>
          <w:color w:val="auto"/>
          <w:kern w:val="28"/>
          <w:sz w:val="24"/>
          <w:szCs w:val="24"/>
          <w:highlight w:val="none"/>
          <w:lang w:bidi="ar"/>
        </w:rPr>
        <w:t>11.本技术要求未说明事项，均按现行国家及地方的相关法律、规范和规定、行业标准等实施。</w:t>
      </w:r>
    </w:p>
    <w:p>
      <w:pPr>
        <w:widowControl/>
        <w:adjustRightInd w:val="0"/>
        <w:snapToGrid w:val="0"/>
        <w:spacing w:line="360" w:lineRule="auto"/>
        <w:ind w:firstLine="480" w:firstLineChars="200"/>
        <w:rPr>
          <w:rFonts w:hint="eastAsia" w:ascii="宋体" w:hAnsi="宋体" w:cs="宋体"/>
          <w:color w:val="auto"/>
          <w:kern w:val="28"/>
          <w:sz w:val="24"/>
          <w:szCs w:val="24"/>
          <w:highlight w:val="none"/>
        </w:rPr>
      </w:pPr>
      <w:r>
        <w:rPr>
          <w:rFonts w:hint="eastAsia" w:ascii="宋体" w:hAnsi="宋体" w:cs="宋体"/>
          <w:snapToGrid w:val="0"/>
          <w:color w:val="auto"/>
          <w:kern w:val="28"/>
          <w:sz w:val="24"/>
          <w:szCs w:val="24"/>
          <w:highlight w:val="none"/>
          <w:lang w:bidi="ar"/>
        </w:rPr>
        <w:t>12.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adjustRightInd w:val="0"/>
        <w:snapToGrid w:val="0"/>
        <w:spacing w:line="360" w:lineRule="auto"/>
        <w:rPr>
          <w:rFonts w:hint="eastAsia" w:ascii="宋体" w:hAnsi="宋体" w:cs="宋体"/>
          <w:b/>
          <w:color w:val="auto"/>
          <w:sz w:val="24"/>
          <w:szCs w:val="24"/>
          <w:highlight w:val="none"/>
        </w:rPr>
      </w:pPr>
      <w:r>
        <w:rPr>
          <w:rFonts w:ascii="宋体" w:hAnsi="宋体" w:cs="宋体"/>
          <w:snapToGrid w:val="0"/>
          <w:color w:val="auto"/>
          <w:kern w:val="28"/>
          <w:sz w:val="24"/>
          <w:szCs w:val="24"/>
          <w:highlight w:val="none"/>
          <w:lang w:bidi="ar"/>
        </w:rPr>
        <w:t xml:space="preserve">    </w:t>
      </w:r>
      <w:r>
        <w:rPr>
          <w:rFonts w:hint="eastAsia" w:ascii="宋体" w:hAnsi="宋体" w:cs="宋体"/>
          <w:b/>
          <w:color w:val="auto"/>
          <w:sz w:val="24"/>
          <w:szCs w:val="24"/>
          <w:highlight w:val="none"/>
          <w:lang w:bidi="ar"/>
        </w:rPr>
        <w:t>四、其它要求</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1、中标人根据工程实际情况，完善深化中标监测方案，并报相关部门审批，按审批通过的方案实施监测工作。</w:t>
      </w:r>
    </w:p>
    <w:p>
      <w:pPr>
        <w:pStyle w:val="362"/>
        <w:numPr>
          <w:ilvl w:val="0"/>
          <w:numId w:val="0"/>
        </w:numPr>
        <w:snapToGrid w:val="0"/>
        <w:spacing w:line="360" w:lineRule="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2、工程量清单的具体监测范围及频率以相关主管部门规定及招标人要求为准。</w:t>
      </w:r>
    </w:p>
    <w:p>
      <w:pPr>
        <w:numPr>
          <w:ilvl w:val="0"/>
          <w:numId w:val="0"/>
        </w:numPr>
        <w:snapToGrid w:val="0"/>
        <w:spacing w:line="360" w:lineRule="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br w:type="page"/>
      </w:r>
    </w:p>
    <w:bookmarkEnd w:id="130"/>
    <w:bookmarkEnd w:id="131"/>
    <w:bookmarkEnd w:id="132"/>
    <w:bookmarkEnd w:id="133"/>
    <w:bookmarkEnd w:id="134"/>
    <w:bookmarkEnd w:id="135"/>
    <w:bookmarkEnd w:id="136"/>
    <w:bookmarkEnd w:id="137"/>
    <w:bookmarkEnd w:id="138"/>
    <w:p>
      <w:pPr>
        <w:spacing w:beforeLines="50" w:afterLines="50" w:line="360" w:lineRule="auto"/>
        <w:ind w:firstLine="480" w:firstLineChars="200"/>
        <w:rPr>
          <w:rFonts w:asciiTheme="minorEastAsia" w:hAnsiTheme="minorEastAsia" w:eastAsiaTheme="minorEastAsia" w:cstheme="minorEastAsia"/>
          <w:color w:val="auto"/>
          <w:sz w:val="24"/>
          <w:highlight w:val="none"/>
        </w:rPr>
      </w:pPr>
    </w:p>
    <w:bookmarkEnd w:id="139"/>
    <w:bookmarkEnd w:id="140"/>
    <w:p>
      <w:pPr>
        <w:spacing w:line="440" w:lineRule="exact"/>
        <w:ind w:firstLine="480" w:firstLineChars="200"/>
        <w:rPr>
          <w:rFonts w:asciiTheme="minorEastAsia" w:hAnsiTheme="minorEastAsia" w:eastAsiaTheme="minorEastAsia" w:cstheme="minorEastAsia"/>
          <w:color w:val="auto"/>
          <w:sz w:val="24"/>
          <w:highlight w:val="none"/>
        </w:rPr>
      </w:pPr>
    </w:p>
    <w:p>
      <w:pPr>
        <w:rPr>
          <w:color w:val="auto"/>
          <w:highlight w:val="none"/>
        </w:rPr>
      </w:pPr>
    </w:p>
    <w:p>
      <w:pPr>
        <w:rPr>
          <w:rFonts w:ascii="宋体" w:cs="宋体"/>
          <w:color w:val="auto"/>
          <w:sz w:val="24"/>
          <w:highlight w:val="none"/>
        </w:rPr>
      </w:pPr>
    </w:p>
    <w:p>
      <w:pPr>
        <w:rPr>
          <w:color w:val="auto"/>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color w:val="auto"/>
          <w:highlight w:val="none"/>
        </w:rPr>
      </w:pPr>
    </w:p>
    <w:p>
      <w:pPr>
        <w:rPr>
          <w:rFonts w:ascii="宋体"/>
          <w:b/>
          <w:color w:val="auto"/>
          <w:kern w:val="0"/>
          <w:sz w:val="32"/>
          <w:szCs w:val="32"/>
          <w:highlight w:val="none"/>
        </w:rPr>
      </w:pPr>
    </w:p>
    <w:p>
      <w:pPr>
        <w:pStyle w:val="3"/>
        <w:jc w:val="center"/>
        <w:rPr>
          <w:rFonts w:hint="eastAsia" w:ascii="黑体" w:hAnsi="黑体" w:eastAsia="黑体"/>
          <w:b/>
          <w:color w:val="auto"/>
          <w:sz w:val="52"/>
          <w:szCs w:val="52"/>
          <w:highlight w:val="none"/>
        </w:rPr>
      </w:pPr>
      <w:bookmarkStart w:id="143" w:name="_Toc227765637"/>
      <w:bookmarkStart w:id="144" w:name="_Toc27913"/>
      <w:bookmarkStart w:id="145" w:name="_Toc10744"/>
    </w:p>
    <w:p>
      <w:pPr>
        <w:pStyle w:val="3"/>
        <w:jc w:val="center"/>
        <w:rPr>
          <w:rFonts w:hint="eastAsia" w:ascii="黑体" w:hAnsi="黑体" w:eastAsia="黑体"/>
          <w:b/>
          <w:color w:val="auto"/>
          <w:sz w:val="52"/>
          <w:szCs w:val="52"/>
          <w:highlight w:val="none"/>
        </w:rPr>
      </w:pPr>
    </w:p>
    <w:p>
      <w:pPr>
        <w:pStyle w:val="3"/>
        <w:jc w:val="center"/>
        <w:rPr>
          <w:color w:val="auto"/>
          <w:sz w:val="24"/>
          <w:highlight w:val="none"/>
        </w:rPr>
      </w:pPr>
      <w:r>
        <w:rPr>
          <w:rFonts w:hint="eastAsia" w:ascii="黑体" w:hAnsi="黑体" w:eastAsia="黑体"/>
          <w:b/>
          <w:color w:val="auto"/>
          <w:sz w:val="52"/>
          <w:szCs w:val="52"/>
          <w:highlight w:val="none"/>
        </w:rPr>
        <w:t>第二卷</w:t>
      </w:r>
      <w:bookmarkEnd w:id="143"/>
      <w:bookmarkEnd w:id="144"/>
      <w:bookmarkEnd w:id="145"/>
    </w:p>
    <w:p>
      <w:pPr>
        <w:rPr>
          <w:rFonts w:ascii="宋体" w:cs="宋体"/>
          <w:color w:val="auto"/>
          <w:sz w:val="24"/>
          <w:highlight w:val="none"/>
        </w:rPr>
      </w:pPr>
      <w:r>
        <w:rPr>
          <w:rFonts w:ascii="宋体"/>
          <w:color w:val="auto"/>
          <w:sz w:val="24"/>
          <w:highlight w:val="none"/>
        </w:rPr>
        <w:br w:type="page"/>
      </w: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rPr>
          <w:rFonts w:ascii="宋体" w:cs="宋体"/>
          <w:color w:val="auto"/>
          <w:sz w:val="24"/>
          <w:highlight w:val="none"/>
        </w:rPr>
      </w:pPr>
    </w:p>
    <w:p>
      <w:pPr>
        <w:pStyle w:val="4"/>
        <w:numPr>
          <w:ilvl w:val="0"/>
          <w:numId w:val="0"/>
        </w:numPr>
        <w:tabs>
          <w:tab w:val="clear" w:pos="435"/>
        </w:tabs>
        <w:spacing w:line="360" w:lineRule="auto"/>
        <w:rPr>
          <w:rFonts w:ascii="方正姚体" w:hAnsi="方正姚体" w:eastAsia="方正姚体" w:cs="方正姚体"/>
          <w:b/>
          <w:bCs/>
          <w:color w:val="auto"/>
          <w:sz w:val="52"/>
          <w:szCs w:val="52"/>
          <w:highlight w:val="none"/>
        </w:rPr>
      </w:pPr>
      <w:bookmarkStart w:id="146" w:name="_Toc28941"/>
      <w:bookmarkStart w:id="147" w:name="_Toc7553"/>
      <w:r>
        <w:rPr>
          <w:rFonts w:hint="eastAsia" w:ascii="方正姚体" w:hAnsi="方正姚体" w:eastAsia="方正姚体" w:cs="方正姚体"/>
          <w:b/>
          <w:bCs/>
          <w:color w:val="auto"/>
          <w:sz w:val="52"/>
          <w:szCs w:val="52"/>
          <w:highlight w:val="none"/>
        </w:rPr>
        <w:t>第六章投标文件格式</w:t>
      </w:r>
      <w:bookmarkEnd w:id="146"/>
      <w:bookmarkEnd w:id="147"/>
    </w:p>
    <w:p>
      <w:pPr>
        <w:pStyle w:val="4"/>
        <w:numPr>
          <w:ilvl w:val="0"/>
          <w:numId w:val="0"/>
        </w:numPr>
        <w:spacing w:line="360" w:lineRule="auto"/>
        <w:jc w:val="both"/>
        <w:rPr>
          <w:rFonts w:ascii="方正姚体" w:hAnsi="宋体" w:eastAsia="方正姚体"/>
          <w:b/>
          <w:bCs/>
          <w:color w:val="auto"/>
          <w:sz w:val="52"/>
          <w:szCs w:val="52"/>
          <w:highlight w:val="none"/>
        </w:rPr>
      </w:pPr>
    </w:p>
    <w:p>
      <w:pPr>
        <w:pStyle w:val="2"/>
        <w:rPr>
          <w:color w:val="auto"/>
          <w:highlight w:val="none"/>
        </w:rPr>
      </w:pPr>
    </w:p>
    <w:p>
      <w:pPr>
        <w:pStyle w:val="2"/>
        <w:rPr>
          <w:color w:val="auto"/>
          <w:highlight w:val="none"/>
        </w:rPr>
      </w:pPr>
    </w:p>
    <w:p>
      <w:pPr>
        <w:pStyle w:val="2"/>
        <w:spacing w:line="360" w:lineRule="auto"/>
        <w:rPr>
          <w:color w:val="auto"/>
          <w:sz w:val="24"/>
          <w:szCs w:val="24"/>
          <w:highlight w:val="none"/>
        </w:rPr>
      </w:pPr>
    </w:p>
    <w:p>
      <w:pPr>
        <w:pStyle w:val="25"/>
        <w:spacing w:line="920" w:lineRule="exact"/>
        <w:rPr>
          <w:rFonts w:eastAsia="黑体"/>
          <w:color w:val="auto"/>
          <w:sz w:val="40"/>
          <w:szCs w:val="40"/>
          <w:highlight w:val="none"/>
        </w:rPr>
      </w:pPr>
      <w:r>
        <w:rPr>
          <w:rFonts w:ascii="宋体"/>
          <w:color w:val="auto"/>
          <w:highlight w:val="none"/>
        </w:rPr>
        <w:br w:type="page"/>
      </w:r>
    </w:p>
    <w:p>
      <w:pPr>
        <w:spacing w:line="440" w:lineRule="exact"/>
        <w:rPr>
          <w:rFonts w:eastAsia="黑体"/>
          <w:color w:val="auto"/>
          <w:sz w:val="40"/>
          <w:szCs w:val="40"/>
          <w:highlight w:val="none"/>
        </w:rPr>
      </w:pPr>
    </w:p>
    <w:p>
      <w:pPr>
        <w:spacing w:line="440" w:lineRule="exact"/>
        <w:rPr>
          <w:rFonts w:eastAsia="黑体"/>
          <w:color w:val="auto"/>
          <w:sz w:val="40"/>
          <w:szCs w:val="40"/>
          <w:highlight w:val="none"/>
        </w:rPr>
      </w:pPr>
    </w:p>
    <w:p>
      <w:pPr>
        <w:spacing w:line="360" w:lineRule="auto"/>
        <w:jc w:val="center"/>
        <w:rPr>
          <w:rFonts w:hint="eastAsia" w:eastAsia="黑体"/>
          <w:color w:val="auto"/>
          <w:sz w:val="48"/>
          <w:szCs w:val="48"/>
          <w:highlight w:val="none"/>
          <w:lang w:eastAsia="zh-CN"/>
        </w:rPr>
      </w:pPr>
      <w:r>
        <w:rPr>
          <w:rFonts w:hint="eastAsia" w:eastAsia="黑体"/>
          <w:color w:val="auto"/>
          <w:sz w:val="48"/>
          <w:szCs w:val="48"/>
          <w:highlight w:val="none"/>
          <w:lang w:eastAsia="zh-CN"/>
        </w:rPr>
        <w:t>新花大道（花都大道-迎宾大道）工程第三方检测监测（第3标段）</w:t>
      </w:r>
    </w:p>
    <w:p>
      <w:pPr>
        <w:spacing w:line="440" w:lineRule="exact"/>
        <w:rPr>
          <w:rFonts w:eastAsia="黑体"/>
          <w:color w:val="auto"/>
          <w:sz w:val="20"/>
          <w:szCs w:val="20"/>
          <w:highlight w:val="none"/>
        </w:rPr>
      </w:pPr>
      <w:r>
        <w:rPr>
          <w:rFonts w:eastAsia="黑体"/>
          <w:color w:val="auto"/>
          <w:sz w:val="20"/>
          <w:szCs w:val="20"/>
          <w:highlight w:val="none"/>
        </w:rPr>
        <w:t xml:space="preserve"> </w:t>
      </w:r>
    </w:p>
    <w:p>
      <w:pPr>
        <w:spacing w:line="440" w:lineRule="exact"/>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center"/>
        <w:rPr>
          <w:rFonts w:eastAsia="黑体"/>
          <w:color w:val="auto"/>
          <w:sz w:val="40"/>
          <w:szCs w:val="40"/>
          <w:highlight w:val="none"/>
        </w:rPr>
      </w:pPr>
    </w:p>
    <w:p>
      <w:pPr>
        <w:spacing w:line="440" w:lineRule="exact"/>
        <w:jc w:val="both"/>
        <w:rPr>
          <w:rFonts w:eastAsia="黑体"/>
          <w:color w:val="auto"/>
          <w:sz w:val="40"/>
          <w:szCs w:val="40"/>
          <w:highlight w:val="none"/>
        </w:rPr>
      </w:pPr>
    </w:p>
    <w:p>
      <w:pPr>
        <w:spacing w:line="360" w:lineRule="auto"/>
        <w:jc w:val="center"/>
        <w:rPr>
          <w:b/>
          <w:color w:val="auto"/>
          <w:sz w:val="72"/>
          <w:szCs w:val="72"/>
          <w:highlight w:val="none"/>
        </w:rPr>
      </w:pPr>
      <w:bookmarkStart w:id="148" w:name="_Toc470781649"/>
      <w:r>
        <w:rPr>
          <w:b/>
          <w:color w:val="auto"/>
          <w:sz w:val="72"/>
          <w:szCs w:val="72"/>
          <w:highlight w:val="none"/>
        </w:rPr>
        <w:t>投  标  文  件</w:t>
      </w:r>
      <w:bookmarkEnd w:id="148"/>
    </w:p>
    <w:p>
      <w:pPr>
        <w:rPr>
          <w:color w:val="auto"/>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440" w:lineRule="exact"/>
        <w:rPr>
          <w:rFonts w:eastAsia="黑体"/>
          <w:color w:val="auto"/>
          <w:sz w:val="20"/>
          <w:szCs w:val="20"/>
          <w:highlight w:val="none"/>
        </w:rPr>
      </w:pPr>
    </w:p>
    <w:p>
      <w:pPr>
        <w:spacing w:line="360" w:lineRule="auto"/>
        <w:jc w:val="center"/>
        <w:rPr>
          <w:rFonts w:eastAsia="黑体"/>
          <w:color w:val="auto"/>
          <w:sz w:val="28"/>
          <w:szCs w:val="28"/>
          <w:highlight w:val="non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（盖单位章</w:t>
      </w:r>
      <w:r>
        <w:rPr>
          <w:rFonts w:hint="eastAsia" w:eastAsia="黑体"/>
          <w:color w:val="auto"/>
          <w:sz w:val="28"/>
          <w:szCs w:val="28"/>
          <w:highlight w:val="none"/>
        </w:rPr>
        <w:t>）</w:t>
      </w:r>
    </w:p>
    <w:p>
      <w:pPr>
        <w:spacing w:line="360" w:lineRule="auto"/>
        <w:jc w:val="center"/>
        <w:rPr>
          <w:rFonts w:eastAsia="黑体"/>
          <w:color w:val="auto"/>
          <w:sz w:val="28"/>
          <w:szCs w:val="28"/>
          <w:highlight w:val="none"/>
        </w:rPr>
      </w:pPr>
      <w:r>
        <w:rPr>
          <w:rFonts w:hint="eastAsia" w:eastAsia="黑体"/>
          <w:color w:val="auto"/>
          <w:sz w:val="28"/>
          <w:szCs w:val="28"/>
          <w:highlight w:val="none"/>
        </w:rPr>
        <w:t>法定代表人或其委托代理人：</w:t>
      </w:r>
      <w:r>
        <w:rPr>
          <w:rFonts w:hint="eastAsia" w:eastAsia="黑体"/>
          <w:color w:val="auto"/>
          <w:sz w:val="28"/>
          <w:szCs w:val="28"/>
          <w:highlight w:val="none"/>
          <w:u w:val="single"/>
        </w:rPr>
        <w:t xml:space="preserve">       </w:t>
      </w:r>
      <w:r>
        <w:rPr>
          <w:rFonts w:hint="eastAsia" w:eastAsia="黑体"/>
          <w:color w:val="auto"/>
          <w:sz w:val="28"/>
          <w:szCs w:val="28"/>
          <w:highlight w:val="none"/>
        </w:rPr>
        <w:t>（签字）</w:t>
      </w:r>
    </w:p>
    <w:p>
      <w:pPr>
        <w:spacing w:line="360" w:lineRule="auto"/>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spacing w:line="360" w:lineRule="auto"/>
        <w:jc w:val="center"/>
        <w:rPr>
          <w:rFonts w:asciiTheme="minorEastAsia" w:hAnsiTheme="minorEastAsia" w:eastAsiaTheme="minorEastAsia" w:cstheme="minorEastAsia"/>
          <w:b/>
          <w:color w:val="auto"/>
          <w:sz w:val="32"/>
          <w:szCs w:val="32"/>
          <w:highlight w:val="none"/>
        </w:rPr>
      </w:pPr>
      <w:r>
        <w:rPr>
          <w:color w:val="auto"/>
          <w:highlight w:val="none"/>
        </w:rPr>
        <w:br w:type="page"/>
      </w:r>
      <w:bookmarkEnd w:id="0"/>
      <w:bookmarkEnd w:id="1"/>
      <w:bookmarkEnd w:id="2"/>
      <w:bookmarkEnd w:id="3"/>
      <w:bookmarkEnd w:id="4"/>
      <w:bookmarkEnd w:id="5"/>
      <w:bookmarkStart w:id="149" w:name="_Toc234833253"/>
      <w:r>
        <w:rPr>
          <w:rFonts w:hint="eastAsia" w:asciiTheme="minorEastAsia" w:hAnsiTheme="minorEastAsia" w:eastAsiaTheme="minorEastAsia" w:cstheme="minorEastAsia"/>
          <w:b/>
          <w:color w:val="auto"/>
          <w:sz w:val="32"/>
          <w:szCs w:val="32"/>
          <w:highlight w:val="none"/>
        </w:rPr>
        <w:t>目     录</w:t>
      </w:r>
      <w:bookmarkEnd w:id="149"/>
    </w:p>
    <w:p>
      <w:pPr>
        <w:spacing w:line="440" w:lineRule="exact"/>
        <w:rPr>
          <w:rFonts w:asciiTheme="minorEastAsia" w:hAnsiTheme="minorEastAsia" w:eastAsiaTheme="minorEastAsia" w:cstheme="minorEastAsia"/>
          <w:color w:val="auto"/>
          <w:sz w:val="20"/>
          <w:szCs w:val="20"/>
          <w:highlight w:val="none"/>
        </w:rPr>
      </w:pPr>
    </w:p>
    <w:p>
      <w:pPr>
        <w:spacing w:line="360" w:lineRule="auto"/>
        <w:ind w:left="850" w:leftChars="405" w:firstLine="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一、</w:t>
      </w:r>
      <w:r>
        <w:rPr>
          <w:rFonts w:hint="eastAsia" w:asciiTheme="minorEastAsia" w:hAnsiTheme="minorEastAsia" w:eastAsiaTheme="minorEastAsia" w:cstheme="minorEastAsia"/>
          <w:color w:val="auto"/>
          <w:sz w:val="24"/>
          <w:highlight w:val="none"/>
        </w:rPr>
        <w:t>投标函及投标函附录</w:t>
      </w:r>
    </w:p>
    <w:p>
      <w:pPr>
        <w:spacing w:line="360" w:lineRule="auto"/>
        <w:ind w:left="850" w:leftChars="405" w:firstLine="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rPr>
        <w:t>授权委托书或法定代表人身份证明</w:t>
      </w:r>
    </w:p>
    <w:p>
      <w:pPr>
        <w:spacing w:line="360" w:lineRule="auto"/>
        <w:ind w:left="850" w:leftChars="405" w:firstLine="1"/>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三、</w:t>
      </w:r>
      <w:r>
        <w:rPr>
          <w:rFonts w:hint="eastAsia" w:asciiTheme="minorEastAsia" w:hAnsiTheme="minorEastAsia" w:eastAsiaTheme="minorEastAsia" w:cstheme="minorEastAsia"/>
          <w:color w:val="auto"/>
          <w:sz w:val="24"/>
          <w:highlight w:val="none"/>
        </w:rPr>
        <w:t>联合体协议书</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如有</w:t>
      </w:r>
      <w:r>
        <w:rPr>
          <w:rFonts w:hint="eastAsia" w:asciiTheme="minorEastAsia" w:hAnsiTheme="minorEastAsia" w:eastAsiaTheme="minorEastAsia" w:cstheme="minorEastAsia"/>
          <w:color w:val="auto"/>
          <w:sz w:val="24"/>
          <w:highlight w:val="none"/>
          <w:lang w:eastAsia="zh-CN"/>
        </w:rPr>
        <w:t>）</w:t>
      </w:r>
    </w:p>
    <w:p>
      <w:pPr>
        <w:spacing w:line="360" w:lineRule="auto"/>
        <w:ind w:left="850" w:leftChars="405" w:firstLine="1"/>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投标保证金</w:t>
      </w:r>
    </w:p>
    <w:p>
      <w:pPr>
        <w:spacing w:line="360" w:lineRule="auto"/>
        <w:ind w:left="850" w:leftChars="405" w:firstLine="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资格审查资料</w:t>
      </w:r>
    </w:p>
    <w:p>
      <w:pPr>
        <w:spacing w:line="360" w:lineRule="auto"/>
        <w:ind w:left="850" w:leftChars="405" w:firstLine="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lang w:eastAsia="zh-CN"/>
        </w:rPr>
        <w:t>、检测监测</w:t>
      </w:r>
      <w:r>
        <w:rPr>
          <w:rFonts w:hint="eastAsia" w:asciiTheme="minorEastAsia" w:hAnsiTheme="minorEastAsia" w:eastAsiaTheme="minorEastAsia" w:cstheme="minorEastAsia"/>
          <w:color w:val="auto"/>
          <w:sz w:val="24"/>
          <w:highlight w:val="none"/>
        </w:rPr>
        <w:t>方案</w:t>
      </w:r>
    </w:p>
    <w:p>
      <w:pPr>
        <w:spacing w:line="360" w:lineRule="auto"/>
        <w:ind w:left="850" w:leftChars="405" w:firstLine="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其他资料</w:t>
      </w:r>
    </w:p>
    <w:p>
      <w:pPr>
        <w:spacing w:line="440" w:lineRule="exact"/>
        <w:ind w:left="1619" w:leftChars="771" w:firstLine="1"/>
        <w:rPr>
          <w:color w:val="auto"/>
          <w:sz w:val="24"/>
          <w:highlight w:val="none"/>
        </w:rPr>
      </w:pPr>
    </w:p>
    <w:p>
      <w:pPr>
        <w:jc w:val="center"/>
        <w:rPr>
          <w:rFonts w:asciiTheme="minorEastAsia" w:hAnsiTheme="minorEastAsia" w:eastAsiaTheme="minorEastAsia" w:cstheme="minorEastAsia"/>
          <w:b/>
          <w:color w:val="auto"/>
          <w:sz w:val="32"/>
          <w:szCs w:val="32"/>
          <w:highlight w:val="none"/>
        </w:rPr>
      </w:pPr>
      <w:bookmarkStart w:id="150" w:name="_Toc234833255"/>
      <w:r>
        <w:rPr>
          <w:color w:val="auto"/>
          <w:highlight w:val="none"/>
        </w:rPr>
        <w:br w:type="page"/>
      </w:r>
      <w:r>
        <w:rPr>
          <w:rFonts w:hint="eastAsia" w:asciiTheme="minorEastAsia" w:hAnsiTheme="minorEastAsia" w:eastAsiaTheme="minorEastAsia" w:cstheme="minorEastAsia"/>
          <w:b/>
          <w:color w:val="auto"/>
          <w:sz w:val="30"/>
          <w:szCs w:val="30"/>
          <w:highlight w:val="none"/>
        </w:rPr>
        <w:t>一、投标函</w:t>
      </w:r>
      <w:bookmarkEnd w:id="150"/>
      <w:r>
        <w:rPr>
          <w:rFonts w:hint="eastAsia" w:asciiTheme="minorEastAsia" w:hAnsiTheme="minorEastAsia" w:eastAsiaTheme="minorEastAsia" w:cstheme="minorEastAsia"/>
          <w:b/>
          <w:color w:val="auto"/>
          <w:sz w:val="30"/>
          <w:szCs w:val="30"/>
          <w:highlight w:val="none"/>
        </w:rPr>
        <w:t>及投标函附录</w:t>
      </w:r>
    </w:p>
    <w:p>
      <w:pPr>
        <w:pStyle w:val="5"/>
        <w:keepNext w:val="0"/>
        <w:numPr>
          <w:ilvl w:val="0"/>
          <w:numId w:val="0"/>
        </w:numPr>
        <w:tabs>
          <w:tab w:val="clear" w:pos="360"/>
        </w:tabs>
        <w:spacing w:before="120" w:after="120" w:line="360" w:lineRule="auto"/>
        <w:jc w:val="center"/>
        <w:rPr>
          <w:rFonts w:ascii="宋体" w:hAnsi="宋体" w:eastAsia="宋体" w:cs="宋体"/>
          <w:color w:val="auto"/>
          <w:highlight w:val="none"/>
        </w:rPr>
      </w:pPr>
      <w:bookmarkStart w:id="151" w:name="_Toc533101223"/>
      <w:bookmarkStart w:id="152" w:name="_Toc370676426"/>
      <w:bookmarkStart w:id="153" w:name="_Toc385943065"/>
      <w:bookmarkStart w:id="154" w:name="_Toc359594235"/>
      <w:bookmarkStart w:id="155" w:name="_Toc482188651"/>
      <w:bookmarkStart w:id="156" w:name="_Toc391394111"/>
      <w:bookmarkStart w:id="157" w:name="_Toc234833256"/>
      <w:r>
        <w:rPr>
          <w:rFonts w:hint="eastAsia" w:ascii="宋体" w:hAnsi="宋体" w:eastAsia="宋体" w:cs="宋体"/>
          <w:color w:val="auto"/>
          <w:highlight w:val="none"/>
        </w:rPr>
        <w:t>（一）投标函</w:t>
      </w:r>
      <w:bookmarkEnd w:id="151"/>
      <w:bookmarkEnd w:id="152"/>
      <w:bookmarkEnd w:id="153"/>
      <w:bookmarkEnd w:id="154"/>
      <w:bookmarkEnd w:id="155"/>
      <w:bookmarkEnd w:id="156"/>
    </w:p>
    <w:p>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广州市花都区交通运输局</w:t>
      </w:r>
      <w:r>
        <w:rPr>
          <w:rFonts w:hint="eastAsia" w:asciiTheme="minorEastAsia" w:hAnsiTheme="minorEastAsia" w:eastAsiaTheme="minorEastAsia" w:cstheme="minorEastAsia"/>
          <w:color w:val="auto"/>
          <w:sz w:val="21"/>
          <w:szCs w:val="21"/>
          <w:highlight w:val="none"/>
        </w:rPr>
        <w:t>（招标人名称）：</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1.我方已仔细研究了</w:t>
      </w:r>
      <w:r>
        <w:rPr>
          <w:rFonts w:hint="eastAsia" w:asciiTheme="minorEastAsia" w:hAnsiTheme="minorEastAsia" w:eastAsiaTheme="minorEastAsia" w:cstheme="minorEastAsia"/>
          <w:color w:val="auto"/>
          <w:sz w:val="21"/>
          <w:szCs w:val="21"/>
          <w:highlight w:val="none"/>
          <w:u w:val="single"/>
          <w:lang w:eastAsia="zh-CN"/>
        </w:rPr>
        <w:t>新花大道（花都大道-迎宾大道）工程第三方检测监测（第3标段）</w:t>
      </w:r>
      <w:r>
        <w:rPr>
          <w:rFonts w:hint="eastAsia" w:asciiTheme="minorEastAsia" w:hAnsiTheme="minorEastAsia" w:eastAsiaTheme="minorEastAsia" w:cstheme="minorEastAsia"/>
          <w:color w:val="auto"/>
          <w:sz w:val="21"/>
          <w:szCs w:val="21"/>
          <w:highlight w:val="none"/>
        </w:rPr>
        <w:t>招标文件的全部内容，愿意以</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的投标</w:t>
      </w:r>
      <w:r>
        <w:rPr>
          <w:rFonts w:hint="eastAsia" w:asciiTheme="minorEastAsia" w:hAnsiTheme="minorEastAsia" w:eastAsiaTheme="minorEastAsia" w:cstheme="minorEastAsia"/>
          <w:color w:val="auto"/>
          <w:sz w:val="21"/>
          <w:szCs w:val="21"/>
          <w:highlight w:val="none"/>
          <w:lang w:val="en-US" w:eastAsia="zh-CN"/>
        </w:rPr>
        <w:t>费率</w:t>
      </w:r>
      <w:r>
        <w:rPr>
          <w:rFonts w:hint="eastAsia" w:asciiTheme="minorEastAsia" w:hAnsiTheme="minorEastAsia" w:eastAsiaTheme="minorEastAsia" w:cstheme="minorEastAsia"/>
          <w:color w:val="auto"/>
          <w:sz w:val="21"/>
          <w:szCs w:val="21"/>
          <w:highlight w:val="none"/>
        </w:rPr>
        <w:t>，按合同约定完成</w:t>
      </w:r>
      <w:r>
        <w:rPr>
          <w:rFonts w:hint="eastAsia" w:asciiTheme="minorEastAsia" w:hAnsiTheme="minorEastAsia" w:eastAsiaTheme="minorEastAsia" w:cstheme="minorEastAsia"/>
          <w:color w:val="auto"/>
          <w:sz w:val="21"/>
          <w:szCs w:val="21"/>
          <w:highlight w:val="none"/>
          <w:lang w:eastAsia="zh-CN"/>
        </w:rPr>
        <w:t>第三方检测监测</w:t>
      </w:r>
      <w:r>
        <w:rPr>
          <w:rFonts w:hint="eastAsia" w:asciiTheme="minorEastAsia" w:hAnsiTheme="minorEastAsia" w:eastAsiaTheme="minorEastAsia" w:cstheme="minorEastAsia"/>
          <w:color w:val="auto"/>
          <w:sz w:val="21"/>
          <w:szCs w:val="21"/>
          <w:highlight w:val="none"/>
        </w:rPr>
        <w:t>工作。</w:t>
      </w:r>
    </w:p>
    <w:p>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2.我方的投标文件包括下列内容：</w:t>
      </w:r>
    </w:p>
    <w:p>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（1）投标函及投标函附录；</w:t>
      </w:r>
    </w:p>
    <w:p>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（2）法定代表人身份证明或授权委托书；</w:t>
      </w:r>
    </w:p>
    <w:p>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（3）联合体协议书（如有）；</w:t>
      </w:r>
    </w:p>
    <w:p>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（4）投标保证金；</w:t>
      </w:r>
    </w:p>
    <w:p>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（5）资格审查资料；</w:t>
      </w:r>
    </w:p>
    <w:p>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（6）检测监测方案；</w:t>
      </w:r>
    </w:p>
    <w:p>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（7）其他资料（如有）。</w:t>
      </w:r>
    </w:p>
    <w:p>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．我方承诺在招标文件规定的投标有效期内不撤销投标文件。</w:t>
      </w:r>
    </w:p>
    <w:p>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．如我方中标，我方承诺：</w:t>
      </w:r>
    </w:p>
    <w:p>
      <w:pPr>
        <w:spacing w:line="360" w:lineRule="auto"/>
        <w:ind w:left="945" w:leftChars="400" w:hanging="105" w:hangingChars="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（1）在收到中标通知书后，在中标通知书规定的期限内与你方签订合同；</w:t>
      </w:r>
    </w:p>
    <w:p>
      <w:pPr>
        <w:spacing w:line="360" w:lineRule="auto"/>
        <w:ind w:left="945" w:leftChars="400" w:hanging="105" w:hangingChars="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（2）在签订合同时不向你方提出附加条件；</w:t>
      </w:r>
    </w:p>
    <w:p>
      <w:pPr>
        <w:spacing w:line="360" w:lineRule="auto"/>
        <w:ind w:left="945" w:leftChars="400" w:hanging="105" w:hangingChars="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（3）按照招标文件要求提交履约保证金；</w:t>
      </w:r>
      <w:bookmarkStart w:id="158" w:name="_Toc1187"/>
      <w:bookmarkStart w:id="159" w:name="_Toc352691658"/>
      <w:bookmarkStart w:id="160" w:name="_Toc369531694"/>
    </w:p>
    <w:p>
      <w:pPr>
        <w:spacing w:line="360" w:lineRule="auto"/>
        <w:ind w:left="945" w:leftChars="400" w:hanging="105" w:hangingChars="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（4）在合</w:t>
      </w:r>
      <w:bookmarkEnd w:id="158"/>
      <w:bookmarkEnd w:id="159"/>
      <w:bookmarkEnd w:id="160"/>
      <w:r>
        <w:rPr>
          <w:rFonts w:hint="eastAsia" w:asciiTheme="minorEastAsia" w:hAnsiTheme="minorEastAsia" w:eastAsiaTheme="minorEastAsia" w:cstheme="minorEastAsia"/>
          <w:color w:val="auto"/>
          <w:sz w:val="21"/>
          <w:szCs w:val="21"/>
          <w:highlight w:val="none"/>
        </w:rPr>
        <w:t>同约定的期限内完成合同规定的全部义务。</w:t>
      </w:r>
    </w:p>
    <w:p>
      <w:pPr>
        <w:pStyle w:val="2"/>
        <w:ind w:firstLine="840" w:firstLineChars="400"/>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权利义务满足招标文件要求。</w:t>
      </w:r>
    </w:p>
    <w:p>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．我方在此声明，所递交的投标文件及有关资料内容完整、真实和准确，且不存在第二章“投标人须知”第1.4.3项规定的任何一种情形。</w:t>
      </w:r>
    </w:p>
    <w:p>
      <w:p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（其他补充说明）。</w:t>
      </w:r>
    </w:p>
    <w:p>
      <w:pPr>
        <w:spacing w:line="360" w:lineRule="auto"/>
        <w:ind w:firstLine="2520" w:firstLineChars="1200"/>
        <w:jc w:val="left"/>
        <w:rPr>
          <w:rFonts w:asciiTheme="minorEastAsia" w:hAnsiTheme="minorEastAsia" w:eastAsiaTheme="minorEastAsia" w:cstheme="minorEastAsia"/>
          <w:color w:val="auto"/>
          <w:sz w:val="21"/>
          <w:szCs w:val="21"/>
          <w:highlight w:val="none"/>
        </w:rPr>
      </w:pPr>
      <w:bookmarkStart w:id="161" w:name="_Toc369531695"/>
      <w:bookmarkEnd w:id="161"/>
      <w:bookmarkStart w:id="162" w:name="_Toc369531696"/>
      <w:bookmarkEnd w:id="162"/>
      <w:bookmarkStart w:id="163" w:name="_Toc16568"/>
      <w:bookmarkEnd w:id="163"/>
      <w:bookmarkStart w:id="164" w:name="_Toc16824"/>
      <w:bookmarkEnd w:id="164"/>
      <w:bookmarkStart w:id="165" w:name="_Toc352691660"/>
      <w:bookmarkEnd w:id="165"/>
      <w:bookmarkStart w:id="166" w:name="_Toc352691659"/>
      <w:bookmarkEnd w:id="166"/>
      <w:r>
        <w:rPr>
          <w:rFonts w:hint="eastAsia" w:asciiTheme="minorEastAsia" w:hAnsiTheme="minorEastAsia" w:eastAsiaTheme="minorEastAsia" w:cstheme="minorEastAsia"/>
          <w:color w:val="auto"/>
          <w:sz w:val="21"/>
          <w:szCs w:val="21"/>
          <w:highlight w:val="none"/>
        </w:rPr>
        <w:t>投 标 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（盖单位章）</w:t>
      </w:r>
    </w:p>
    <w:p>
      <w:pPr>
        <w:spacing w:line="360" w:lineRule="auto"/>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法定代表人或其委托代理人：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（签字）</w:t>
      </w:r>
    </w:p>
    <w:p>
      <w:pPr>
        <w:spacing w:line="360" w:lineRule="auto"/>
        <w:ind w:left="239" w:leftChars="114" w:firstLine="2310" w:firstLineChars="11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    址：</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ind w:firstLine="2520" w:firstLineChars="1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网    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ind w:firstLine="2520" w:firstLineChars="1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ind w:firstLine="2520" w:firstLineChars="1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    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ind w:firstLine="2520" w:firstLineChars="1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jc w:val="center"/>
        <w:rPr>
          <w:rFonts w:ascii="宋体" w:hAnsi="宋体" w:cs="宋体"/>
          <w:color w:val="auto"/>
          <w:sz w:val="18"/>
          <w:szCs w:val="18"/>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18"/>
          <w:szCs w:val="18"/>
          <w:highlight w:val="none"/>
        </w:rPr>
        <w:t xml:space="preserve"> </w:t>
      </w:r>
      <w:r>
        <w:rPr>
          <w:rFonts w:hint="eastAsia" w:ascii="宋体" w:hAnsi="宋体" w:cs="宋体"/>
          <w:color w:val="auto"/>
          <w:sz w:val="18"/>
          <w:szCs w:val="18"/>
          <w:highlight w:val="none"/>
        </w:rPr>
        <w:t xml:space="preserve"> </w:t>
      </w:r>
    </w:p>
    <w:p>
      <w:pPr>
        <w:spacing w:line="360" w:lineRule="auto"/>
        <w:jc w:val="both"/>
        <w:rPr>
          <w:rFonts w:ascii="宋体" w:hAnsi="宋体" w:cs="宋体"/>
          <w:color w:val="auto"/>
          <w:sz w:val="18"/>
          <w:szCs w:val="18"/>
          <w:highlight w:val="none"/>
        </w:rPr>
      </w:pPr>
    </w:p>
    <w:p>
      <w:pPr>
        <w:keepNext w:val="0"/>
        <w:numPr>
          <w:ilvl w:val="0"/>
          <w:numId w:val="0"/>
        </w:numPr>
        <w:spacing w:before="120"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keepNext w:val="0"/>
        <w:numPr>
          <w:ilvl w:val="0"/>
          <w:numId w:val="0"/>
        </w:numPr>
        <w:tabs>
          <w:tab w:val="clear" w:pos="360"/>
        </w:tabs>
        <w:spacing w:before="120" w:after="120" w:line="360" w:lineRule="auto"/>
        <w:jc w:val="center"/>
        <w:rPr>
          <w:rFonts w:ascii="宋体" w:hAnsi="宋体" w:eastAsia="宋体" w:cs="宋体"/>
          <w:color w:val="auto"/>
          <w:highlight w:val="none"/>
        </w:rPr>
      </w:pPr>
      <w:r>
        <w:rPr>
          <w:rFonts w:hint="eastAsia" w:ascii="宋体" w:hAnsi="宋体" w:eastAsia="宋体" w:cs="宋体"/>
          <w:color w:val="auto"/>
          <w:highlight w:val="none"/>
        </w:rPr>
        <w:t>（二）投标函附录</w:t>
      </w:r>
    </w:p>
    <w:tbl>
      <w:tblPr>
        <w:tblStyle w:val="75"/>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3402"/>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条款名称</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约定内容</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340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r>
              <w:rPr>
                <w:rFonts w:hint="eastAsia" w:ascii="宋体" w:hAnsi="宋体" w:cs="宋体"/>
                <w:color w:val="auto"/>
                <w:sz w:val="24"/>
                <w:highlight w:val="none"/>
              </w:rPr>
              <w:t xml:space="preserve">姓名： </w:t>
            </w:r>
          </w:p>
          <w:p>
            <w:pPr>
              <w:jc w:val="left"/>
              <w:rPr>
                <w:rFonts w:ascii="宋体" w:hAnsi="宋体" w:cs="宋体"/>
                <w:color w:val="auto"/>
                <w:sz w:val="24"/>
                <w:highlight w:val="none"/>
              </w:rPr>
            </w:pPr>
            <w:r>
              <w:rPr>
                <w:rFonts w:hint="eastAsia" w:ascii="宋体" w:hAnsi="宋体" w:cs="宋体"/>
                <w:color w:val="auto"/>
                <w:sz w:val="24"/>
                <w:highlight w:val="none"/>
              </w:rPr>
              <w:t>技术职称：</w:t>
            </w:r>
          </w:p>
          <w:p>
            <w:pPr>
              <w:jc w:val="left"/>
              <w:rPr>
                <w:rFonts w:ascii="宋体" w:hAnsi="宋体" w:cs="宋体"/>
                <w:color w:val="auto"/>
                <w:sz w:val="24"/>
                <w:highlight w:val="none"/>
              </w:rPr>
            </w:pPr>
            <w:r>
              <w:rPr>
                <w:rFonts w:hint="eastAsia" w:ascii="宋体" w:hAnsi="宋体" w:cs="宋体"/>
                <w:color w:val="auto"/>
                <w:sz w:val="24"/>
                <w:highlight w:val="none"/>
              </w:rPr>
              <w:t>身份证号码：</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3402" w:type="dxa"/>
            <w:tcBorders>
              <w:top w:val="single" w:color="auto" w:sz="4" w:space="0"/>
              <w:left w:val="single" w:color="auto" w:sz="4" w:space="0"/>
              <w:bottom w:val="single" w:color="auto" w:sz="4" w:space="0"/>
              <w:right w:val="single" w:color="auto" w:sz="4" w:space="0"/>
            </w:tcBorders>
            <w:vAlign w:val="center"/>
          </w:tcPr>
          <w:p>
            <w:pPr>
              <w:pStyle w:val="25"/>
              <w:topLinePunct/>
              <w:spacing w:line="400" w:lineRule="exact"/>
              <w:jc w:val="left"/>
              <w:rPr>
                <w:rFonts w:hAnsi="宋体" w:cs="宋体"/>
                <w:color w:val="auto"/>
                <w:sz w:val="24"/>
                <w:szCs w:val="24"/>
                <w:highlight w:val="none"/>
              </w:rPr>
            </w:pPr>
            <w:r>
              <w:rPr>
                <w:rFonts w:hint="eastAsia" w:hAnsi="宋体" w:cs="宋体"/>
                <w:color w:val="auto"/>
                <w:sz w:val="24"/>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合同价款确定方式</w:t>
            </w:r>
          </w:p>
        </w:tc>
        <w:tc>
          <w:tcPr>
            <w:tcW w:w="3402" w:type="dxa"/>
            <w:tcBorders>
              <w:top w:val="single" w:color="auto" w:sz="4" w:space="0"/>
              <w:left w:val="single" w:color="auto" w:sz="4" w:space="0"/>
              <w:bottom w:val="single" w:color="auto" w:sz="4" w:space="0"/>
              <w:right w:val="single" w:color="auto" w:sz="4" w:space="0"/>
            </w:tcBorders>
            <w:vAlign w:val="center"/>
          </w:tcPr>
          <w:p>
            <w:pPr>
              <w:pStyle w:val="25"/>
              <w:topLinePunct/>
              <w:spacing w:line="400" w:lineRule="exact"/>
              <w:jc w:val="left"/>
              <w:rPr>
                <w:rFonts w:hint="eastAsia" w:hAnsi="宋体" w:cs="宋体"/>
                <w:color w:val="auto"/>
                <w:sz w:val="24"/>
                <w:szCs w:val="24"/>
                <w:highlight w:val="none"/>
                <w:u w:val="single"/>
              </w:rPr>
            </w:pPr>
            <w:r>
              <w:rPr>
                <w:rFonts w:hint="eastAsia" w:hAnsi="宋体" w:cs="宋体"/>
                <w:color w:val="auto"/>
                <w:sz w:val="24"/>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3402" w:type="dxa"/>
            <w:tcBorders>
              <w:top w:val="single" w:color="auto" w:sz="4" w:space="0"/>
              <w:left w:val="single" w:color="auto" w:sz="4" w:space="0"/>
              <w:bottom w:val="single" w:color="auto" w:sz="4" w:space="0"/>
              <w:right w:val="single" w:color="auto" w:sz="4" w:space="0"/>
            </w:tcBorders>
            <w:vAlign w:val="center"/>
          </w:tcPr>
          <w:p>
            <w:pPr>
              <w:pStyle w:val="25"/>
              <w:topLinePunct/>
              <w:spacing w:line="400" w:lineRule="exact"/>
              <w:jc w:val="left"/>
              <w:rPr>
                <w:rFonts w:hAnsi="宋体" w:cs="宋体"/>
                <w:color w:val="auto"/>
                <w:sz w:val="24"/>
                <w:szCs w:val="24"/>
                <w:highlight w:val="none"/>
                <w:u w:val="single"/>
              </w:rPr>
            </w:pPr>
            <w:r>
              <w:rPr>
                <w:rFonts w:hint="eastAsia" w:hAnsi="宋体" w:cs="宋体"/>
                <w:color w:val="auto"/>
                <w:sz w:val="24"/>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5</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3402" w:type="dxa"/>
            <w:tcBorders>
              <w:top w:val="single" w:color="auto" w:sz="4" w:space="0"/>
              <w:left w:val="single" w:color="auto" w:sz="4" w:space="0"/>
              <w:bottom w:val="single" w:color="auto" w:sz="4" w:space="0"/>
              <w:right w:val="single" w:color="auto" w:sz="4" w:space="0"/>
            </w:tcBorders>
            <w:vAlign w:val="center"/>
          </w:tcPr>
          <w:p>
            <w:pPr>
              <w:pStyle w:val="25"/>
              <w:topLinePunct/>
              <w:spacing w:line="400" w:lineRule="exact"/>
              <w:jc w:val="left"/>
              <w:rPr>
                <w:rFonts w:hint="eastAsia" w:hAnsi="宋体" w:cs="宋体"/>
                <w:color w:val="auto"/>
                <w:sz w:val="24"/>
                <w:szCs w:val="24"/>
                <w:highlight w:val="none"/>
                <w:u w:val="single"/>
              </w:rPr>
            </w:pPr>
            <w:r>
              <w:rPr>
                <w:rFonts w:hint="eastAsia" w:ascii="宋体" w:hAnsi="宋体" w:cs="宋体"/>
                <w:color w:val="auto"/>
                <w:sz w:val="24"/>
                <w:highlight w:val="none"/>
              </w:rPr>
              <w:t>自投标人提交投标文件截止之日起计算120日。</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p>
        </w:tc>
      </w:tr>
    </w:tbl>
    <w:p>
      <w:pPr>
        <w:spacing w:line="440" w:lineRule="exact"/>
        <w:ind w:firstLine="2880" w:firstLineChars="1200"/>
        <w:jc w:val="left"/>
        <w:rPr>
          <w:rFonts w:ascii="宋体" w:hAnsi="宋体" w:cs="宋体"/>
          <w:color w:val="auto"/>
          <w:sz w:val="24"/>
          <w:highlight w:val="none"/>
        </w:rPr>
      </w:pPr>
    </w:p>
    <w:p>
      <w:pPr>
        <w:spacing w:line="440" w:lineRule="exact"/>
        <w:ind w:firstLine="2880" w:firstLineChars="1200"/>
        <w:jc w:val="left"/>
        <w:rPr>
          <w:rFonts w:ascii="宋体" w:hAnsi="宋体" w:cs="宋体"/>
          <w:color w:val="auto"/>
          <w:sz w:val="24"/>
          <w:highlight w:val="none"/>
        </w:rPr>
      </w:pPr>
    </w:p>
    <w:p>
      <w:pPr>
        <w:spacing w:line="360" w:lineRule="auto"/>
        <w:jc w:val="right"/>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（盖单位章）</w:t>
      </w:r>
    </w:p>
    <w:p>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（签字）</w:t>
      </w:r>
    </w:p>
    <w:p>
      <w:pPr>
        <w:spacing w:line="360" w:lineRule="auto"/>
        <w:ind w:firstLine="5760" w:firstLineChars="24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bookmarkEnd w:id="157"/>
    </w:p>
    <w:p>
      <w:pPr>
        <w:spacing w:line="360" w:lineRule="auto"/>
        <w:rPr>
          <w:rFonts w:ascii="宋体" w:hAnsi="宋体" w:cs="宋体"/>
          <w:color w:val="auto"/>
          <w:sz w:val="24"/>
          <w:highlight w:val="none"/>
        </w:rPr>
      </w:pPr>
    </w:p>
    <w:p>
      <w:pPr>
        <w:spacing w:line="360" w:lineRule="auto"/>
        <w:rPr>
          <w:rFonts w:ascii="宋体" w:hAnsi="宋体" w:cs="宋体"/>
          <w:color w:val="auto"/>
          <w:szCs w:val="21"/>
          <w:highlight w:val="none"/>
        </w:rPr>
      </w:pPr>
      <w:r>
        <w:rPr>
          <w:rFonts w:hint="eastAsia" w:ascii="宋体" w:hAnsi="宋体" w:cs="宋体"/>
          <w:bCs/>
          <w:color w:val="auto"/>
          <w:szCs w:val="21"/>
          <w:highlight w:val="none"/>
        </w:rPr>
        <w:t>注：</w:t>
      </w:r>
      <w:r>
        <w:rPr>
          <w:rFonts w:hint="eastAsia" w:ascii="宋体" w:hAnsi="宋体" w:cs="宋体"/>
          <w:color w:val="auto"/>
          <w:szCs w:val="21"/>
          <w:highlight w:val="none"/>
        </w:rPr>
        <w:t>投标人须在投标函及投标函附录上加盖单位章，并由法定代表人或其委托代理人签字。</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jc w:val="center"/>
        <w:rPr>
          <w:rFonts w:asciiTheme="minorEastAsia" w:hAnsiTheme="minorEastAsia" w:eastAsiaTheme="minorEastAsia" w:cstheme="minorEastAsia"/>
          <w:b/>
          <w:color w:val="auto"/>
          <w:sz w:val="30"/>
          <w:szCs w:val="30"/>
          <w:highlight w:val="none"/>
        </w:rPr>
        <w:sectPr>
          <w:headerReference r:id="rId19" w:type="first"/>
          <w:headerReference r:id="rId17" w:type="default"/>
          <w:headerReference r:id="rId18" w:type="even"/>
          <w:footerReference r:id="rId20" w:type="even"/>
          <w:footnotePr>
            <w:numFmt w:val="decimalEnclosedCircleChinese"/>
          </w:footnotePr>
          <w:pgSz w:w="11907" w:h="16840"/>
          <w:pgMar w:top="1588" w:right="1588" w:bottom="972" w:left="1644" w:header="851" w:footer="851" w:gutter="0"/>
          <w:pgBorders>
            <w:top w:val="none" w:sz="0" w:space="0"/>
            <w:left w:val="none" w:sz="0" w:space="0"/>
            <w:bottom w:val="none" w:sz="0" w:space="0"/>
            <w:right w:val="none" w:sz="0" w:space="0"/>
          </w:pgBorders>
          <w:pgNumType w:fmt="decimal"/>
          <w:cols w:space="720" w:num="1"/>
          <w:docGrid w:linePitch="312" w:charSpace="0"/>
        </w:sectPr>
      </w:pPr>
      <w:bookmarkStart w:id="167" w:name="_Toc503235836"/>
    </w:p>
    <w:p>
      <w:pPr>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lang w:eastAsia="zh-CN"/>
        </w:rPr>
        <w:t>二</w:t>
      </w:r>
      <w:r>
        <w:rPr>
          <w:rFonts w:hint="eastAsia" w:asciiTheme="minorEastAsia" w:hAnsiTheme="minorEastAsia" w:eastAsiaTheme="minorEastAsia" w:cstheme="minorEastAsia"/>
          <w:b/>
          <w:color w:val="auto"/>
          <w:sz w:val="30"/>
          <w:szCs w:val="30"/>
          <w:highlight w:val="none"/>
        </w:rPr>
        <w:t>、授权委托书或法定代表人身份证明</w:t>
      </w:r>
    </w:p>
    <w:p>
      <w:pPr>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（一）授权委托书</w:t>
      </w:r>
      <w:bookmarkEnd w:id="167"/>
    </w:p>
    <w:p>
      <w:pPr>
        <w:spacing w:line="440" w:lineRule="exact"/>
        <w:rPr>
          <w:rFonts w:asciiTheme="minorEastAsia" w:hAnsiTheme="minorEastAsia" w:eastAsiaTheme="minorEastAsia" w:cstheme="minorEastAsia"/>
          <w:color w:val="auto"/>
          <w:sz w:val="24"/>
          <w:highlight w:val="none"/>
        </w:rPr>
      </w:pPr>
    </w:p>
    <w:p>
      <w:pPr>
        <w:topLinePunct/>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本人</w:t>
      </w:r>
      <w:r>
        <w:rPr>
          <w:rFonts w:hint="eastAsia" w:asciiTheme="minorEastAsia" w:hAnsiTheme="minorEastAsia" w:eastAsiaTheme="minorEastAsia" w:cstheme="minorEastAsia"/>
          <w:color w:val="auto"/>
          <w:sz w:val="24"/>
          <w:highlight w:val="none"/>
          <w:u w:val="single"/>
        </w:rPr>
        <w:t xml:space="preserve">      （姓名）</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（投标人名称）</w:t>
      </w:r>
      <w:r>
        <w:rPr>
          <w:rFonts w:hint="eastAsia" w:asciiTheme="minorEastAsia" w:hAnsiTheme="minorEastAsia" w:eastAsiaTheme="minorEastAsia" w:cstheme="minorEastAsia"/>
          <w:color w:val="auto"/>
          <w:sz w:val="24"/>
          <w:highlight w:val="none"/>
        </w:rPr>
        <w:t>的法定代表人，现委托</w:t>
      </w:r>
      <w:r>
        <w:rPr>
          <w:rFonts w:hint="eastAsia" w:asciiTheme="minorEastAsia" w:hAnsiTheme="minorEastAsia" w:eastAsiaTheme="minorEastAsia" w:cstheme="minorEastAsia"/>
          <w:color w:val="auto"/>
          <w:sz w:val="24"/>
          <w:highlight w:val="none"/>
          <w:u w:val="single"/>
        </w:rPr>
        <w:t xml:space="preserve">        （姓名）</w:t>
      </w:r>
      <w:r>
        <w:rPr>
          <w:rFonts w:hint="eastAsia" w:asciiTheme="minorEastAsia" w:hAnsiTheme="minorEastAsia" w:eastAsiaTheme="minorEastAsia" w:cstheme="minorEastAsia"/>
          <w:color w:val="auto"/>
          <w:sz w:val="24"/>
          <w:highlight w:val="none"/>
        </w:rPr>
        <w:t>为我方代理人。代理人根据授权，以我方名义签署、澄清确认、递交、撤回、修改</w:t>
      </w:r>
      <w:r>
        <w:rPr>
          <w:rFonts w:hint="eastAsia" w:asciiTheme="minorEastAsia" w:hAnsiTheme="minorEastAsia" w:eastAsiaTheme="minorEastAsia" w:cstheme="minorEastAsia"/>
          <w:color w:val="auto"/>
          <w:sz w:val="24"/>
          <w:highlight w:val="none"/>
          <w:u w:val="single"/>
          <w:lang w:eastAsia="zh-CN"/>
        </w:rPr>
        <w:t>新花大道（花都大道-迎宾大道）工程第三方检测监测（第3标段）</w:t>
      </w:r>
      <w:r>
        <w:rPr>
          <w:rFonts w:hint="eastAsia" w:asciiTheme="minorEastAsia" w:hAnsiTheme="minorEastAsia" w:eastAsiaTheme="minorEastAsia" w:cstheme="minorEastAsia"/>
          <w:color w:val="auto"/>
          <w:sz w:val="24"/>
          <w:highlight w:val="none"/>
        </w:rPr>
        <w:t>投标文件、签订合同和处理有关事宜，其法律后果由我方承担。</w:t>
      </w:r>
    </w:p>
    <w:p>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委托期限：自本委托书签署之日起至投标有效期期满。</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代理人无转委托权。</w:t>
      </w:r>
    </w:p>
    <w:p>
      <w:pPr>
        <w:spacing w:line="440" w:lineRule="exact"/>
        <w:rPr>
          <w:rFonts w:asciiTheme="minorEastAsia" w:hAnsiTheme="minorEastAsia" w:eastAsiaTheme="minorEastAsia" w:cstheme="minorEastAsia"/>
          <w:color w:val="auto"/>
          <w:sz w:val="24"/>
          <w:highlight w:val="none"/>
        </w:rPr>
      </w:pPr>
    </w:p>
    <w:p>
      <w:pPr>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附：法定代表人身份证复印件及委托代理人身份证复印件。</w:t>
      </w:r>
    </w:p>
    <w:p>
      <w:pPr>
        <w:pStyle w:val="39"/>
        <w:rPr>
          <w:rFonts w:hint="eastAsia" w:asciiTheme="minorEastAsia" w:hAnsiTheme="minorEastAsia" w:eastAsiaTheme="minorEastAsia" w:cstheme="minorEastAsia"/>
          <w:color w:val="auto"/>
          <w:highlight w:val="none"/>
        </w:rPr>
      </w:pPr>
    </w:p>
    <w:p>
      <w:pPr>
        <w:pStyle w:val="39"/>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注：本授权委托书需由投标人加盖单位公章</w:t>
      </w:r>
      <w:r>
        <w:rPr>
          <w:rFonts w:hint="eastAsia" w:asciiTheme="minorEastAsia" w:hAnsiTheme="minorEastAsia" w:eastAsiaTheme="minorEastAsia" w:cstheme="minorEastAsia"/>
          <w:color w:val="auto"/>
          <w:highlight w:val="none"/>
          <w:lang w:val="en-US" w:eastAsia="zh-CN"/>
        </w:rPr>
        <w:t>并由其法定代表人和委托代理人签字。</w:t>
      </w:r>
    </w:p>
    <w:p>
      <w:pPr>
        <w:spacing w:line="440" w:lineRule="exact"/>
        <w:rPr>
          <w:rFonts w:asciiTheme="minorEastAsia" w:hAnsiTheme="minorEastAsia" w:eastAsiaTheme="minorEastAsia" w:cstheme="minorEastAsia"/>
          <w:color w:val="auto"/>
          <w:sz w:val="24"/>
          <w:highlight w:val="none"/>
        </w:rPr>
      </w:pPr>
    </w:p>
    <w:p>
      <w:pPr>
        <w:topLinePunct/>
        <w:spacing w:line="400" w:lineRule="atLeast"/>
        <w:ind w:firstLine="3290" w:firstLineChars="13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（盖单位章）</w:t>
      </w:r>
    </w:p>
    <w:p>
      <w:pPr>
        <w:topLinePunct/>
        <w:spacing w:line="400" w:lineRule="atLeast"/>
        <w:ind w:firstLine="3290" w:firstLineChars="1371"/>
        <w:rPr>
          <w:rFonts w:asciiTheme="minorEastAsia" w:hAnsiTheme="minorEastAsia" w:eastAsiaTheme="minorEastAsia" w:cstheme="minorEastAsia"/>
          <w:color w:val="auto"/>
          <w:sz w:val="24"/>
          <w:highlight w:val="none"/>
        </w:rPr>
      </w:pPr>
    </w:p>
    <w:p>
      <w:pPr>
        <w:topLinePunct/>
        <w:spacing w:line="400" w:lineRule="atLeast"/>
        <w:ind w:firstLine="3290" w:firstLineChars="13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（签字）</w:t>
      </w:r>
    </w:p>
    <w:p>
      <w:pPr>
        <w:topLinePunct/>
        <w:spacing w:line="400" w:lineRule="atLeast"/>
        <w:ind w:firstLine="3290" w:firstLineChars="1371"/>
        <w:rPr>
          <w:rFonts w:asciiTheme="minorEastAsia" w:hAnsiTheme="minorEastAsia" w:eastAsiaTheme="minorEastAsia" w:cstheme="minorEastAsia"/>
          <w:color w:val="auto"/>
          <w:sz w:val="24"/>
          <w:highlight w:val="none"/>
        </w:rPr>
      </w:pPr>
    </w:p>
    <w:p>
      <w:pPr>
        <w:topLinePunct/>
        <w:spacing w:line="400" w:lineRule="atLeast"/>
        <w:ind w:firstLine="3290" w:firstLineChars="1371"/>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pPr>
        <w:topLinePunct/>
        <w:spacing w:line="400" w:lineRule="atLeast"/>
        <w:ind w:firstLine="3290" w:firstLineChars="1371"/>
        <w:rPr>
          <w:rFonts w:asciiTheme="minorEastAsia" w:hAnsiTheme="minorEastAsia" w:eastAsiaTheme="minorEastAsia" w:cstheme="minorEastAsia"/>
          <w:color w:val="auto"/>
          <w:sz w:val="24"/>
          <w:highlight w:val="none"/>
        </w:rPr>
      </w:pPr>
    </w:p>
    <w:p>
      <w:pPr>
        <w:topLinePunct/>
        <w:spacing w:line="400" w:lineRule="atLeast"/>
        <w:ind w:firstLine="3290" w:firstLineChars="13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（签字）   </w:t>
      </w:r>
    </w:p>
    <w:p>
      <w:pPr>
        <w:topLinePunct/>
        <w:spacing w:line="400" w:lineRule="atLeast"/>
        <w:ind w:left="2699" w:firstLine="3290" w:firstLineChars="13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opLinePunct/>
        <w:spacing w:line="400" w:lineRule="atLeast"/>
        <w:ind w:firstLine="3290" w:firstLineChars="1371"/>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pPr>
        <w:topLinePunct/>
        <w:spacing w:line="400" w:lineRule="atLeast"/>
        <w:ind w:firstLine="3290" w:firstLineChars="1371"/>
        <w:rPr>
          <w:rFonts w:asciiTheme="minorEastAsia" w:hAnsiTheme="minorEastAsia" w:eastAsiaTheme="minorEastAsia" w:cstheme="minorEastAsia"/>
          <w:color w:val="auto"/>
          <w:sz w:val="24"/>
          <w:highlight w:val="none"/>
        </w:rPr>
      </w:pPr>
    </w:p>
    <w:p>
      <w:pPr>
        <w:topLinePunct/>
        <w:spacing w:line="400" w:lineRule="atLeast"/>
        <w:ind w:left="418" w:leftChars="199" w:firstLine="4200" w:firstLineChars="175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年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月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日</w:t>
      </w:r>
    </w:p>
    <w:p>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28"/>
          <w:szCs w:val="28"/>
          <w:highlight w:val="none"/>
        </w:rPr>
        <w:br w:type="page"/>
      </w:r>
      <w:bookmarkStart w:id="168" w:name="_Toc503235837"/>
      <w:r>
        <w:rPr>
          <w:rFonts w:hint="eastAsia" w:asciiTheme="minorEastAsia" w:hAnsiTheme="minorEastAsia" w:eastAsiaTheme="minorEastAsia" w:cstheme="minorEastAsia"/>
          <w:b/>
          <w:color w:val="auto"/>
          <w:sz w:val="30"/>
          <w:szCs w:val="30"/>
          <w:highlight w:val="none"/>
        </w:rPr>
        <w:t>（二） 法定代表人身份证明</w:t>
      </w:r>
      <w:bookmarkEnd w:id="168"/>
    </w:p>
    <w:p>
      <w:pPr>
        <w:spacing w:line="440" w:lineRule="exact"/>
        <w:rPr>
          <w:rFonts w:asciiTheme="minorEastAsia" w:hAnsiTheme="minorEastAsia" w:eastAsiaTheme="minorEastAsia" w:cstheme="minorEastAsia"/>
          <w:color w:val="auto"/>
          <w:sz w:val="20"/>
          <w:szCs w:val="20"/>
          <w:highlight w:val="none"/>
        </w:rPr>
      </w:pPr>
    </w:p>
    <w:p>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性别：</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年龄：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p>
    <w:p>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（投标人名称）</w:t>
      </w:r>
      <w:r>
        <w:rPr>
          <w:rFonts w:hint="eastAsia" w:asciiTheme="minorEastAsia" w:hAnsiTheme="minorEastAsia" w:eastAsiaTheme="minorEastAsia" w:cstheme="minorEastAsia"/>
          <w:color w:val="auto"/>
          <w:sz w:val="24"/>
          <w:highlight w:val="none"/>
        </w:rPr>
        <w:t>的法定代表人。</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pacing w:line="440" w:lineRule="exact"/>
        <w:rPr>
          <w:rFonts w:asciiTheme="minorEastAsia" w:hAnsiTheme="minorEastAsia" w:eastAsiaTheme="minorEastAsia" w:cstheme="minorEastAsia"/>
          <w:color w:val="auto"/>
          <w:sz w:val="24"/>
          <w:highlight w:val="none"/>
        </w:rPr>
      </w:pP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附：法定代表人身份证复印件。</w:t>
      </w:r>
    </w:p>
    <w:p>
      <w:pPr>
        <w:spacing w:line="440" w:lineRule="exact"/>
        <w:rPr>
          <w:rFonts w:hint="eastAsia" w:asciiTheme="minorEastAsia" w:hAnsiTheme="minorEastAsia" w:eastAsiaTheme="minorEastAsia" w:cstheme="minorEastAsia"/>
          <w:color w:val="auto"/>
          <w:sz w:val="24"/>
          <w:highlight w:val="none"/>
        </w:rPr>
      </w:pPr>
    </w:p>
    <w:p>
      <w:pPr>
        <w:pStyle w:val="39"/>
        <w:rPr>
          <w:rFonts w:hint="eastAsia" w:ascii="宋体" w:hAnsi="Courier New" w:eastAsia="宋体" w:cs="Times New Roman"/>
          <w:color w:val="auto"/>
          <w:highlight w:val="none"/>
        </w:rPr>
      </w:pPr>
    </w:p>
    <w:p>
      <w:pPr>
        <w:spacing w:line="44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注：本身份证明需由投标人加盖单位公章。</w:t>
      </w:r>
    </w:p>
    <w:p>
      <w:pPr>
        <w:spacing w:line="440" w:lineRule="exact"/>
        <w:rPr>
          <w:rFonts w:asciiTheme="minorEastAsia" w:hAnsiTheme="minorEastAsia" w:eastAsiaTheme="minorEastAsia" w:cstheme="minorEastAsia"/>
          <w:color w:val="auto"/>
          <w:sz w:val="24"/>
          <w:highlight w:val="none"/>
        </w:rPr>
      </w:pPr>
    </w:p>
    <w:p>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投标人：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（盖单位章）</w:t>
      </w:r>
    </w:p>
    <w:p>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日           </w:t>
      </w:r>
    </w:p>
    <w:p>
      <w:pPr>
        <w:topLinePunct/>
        <w:spacing w:line="440" w:lineRule="exact"/>
        <w:rPr>
          <w:rFonts w:asciiTheme="minorEastAsia" w:hAnsiTheme="minorEastAsia" w:eastAsiaTheme="minorEastAsia" w:cstheme="minorEastAsia"/>
          <w:color w:val="auto"/>
          <w:sz w:val="24"/>
          <w:highlight w:val="none"/>
        </w:rPr>
      </w:pPr>
    </w:p>
    <w:p>
      <w:pPr>
        <w:topLinePunct/>
        <w:spacing w:line="440" w:lineRule="exact"/>
        <w:rPr>
          <w:rFonts w:asciiTheme="minorEastAsia" w:hAnsiTheme="minorEastAsia" w:eastAsiaTheme="minorEastAsia" w:cstheme="minorEastAsia"/>
          <w:color w:val="auto"/>
          <w:sz w:val="24"/>
          <w:highlight w:val="none"/>
        </w:rPr>
      </w:pPr>
    </w:p>
    <w:p>
      <w:pPr>
        <w:topLinePunct/>
        <w:spacing w:line="440" w:lineRule="exact"/>
        <w:rPr>
          <w:rFonts w:asciiTheme="minorEastAsia" w:hAnsiTheme="minorEastAsia" w:eastAsiaTheme="minorEastAsia" w:cstheme="minorEastAsia"/>
          <w:color w:val="auto"/>
          <w:sz w:val="24"/>
          <w:highlight w:val="none"/>
        </w:rPr>
      </w:pPr>
    </w:p>
    <w:p>
      <w:pPr>
        <w:topLinePunct/>
        <w:spacing w:line="440" w:lineRule="exact"/>
        <w:rPr>
          <w:rFonts w:asciiTheme="minorEastAsia" w:hAnsiTheme="minorEastAsia" w:eastAsiaTheme="minorEastAsia" w:cstheme="minorEastAsia"/>
          <w:color w:val="auto"/>
          <w:sz w:val="24"/>
          <w:highlight w:val="none"/>
        </w:rPr>
      </w:pPr>
    </w:p>
    <w:p>
      <w:pPr>
        <w:spacing w:line="440" w:lineRule="exact"/>
        <w:rPr>
          <w:rFonts w:asciiTheme="minorEastAsia" w:hAnsiTheme="minorEastAsia" w:eastAsiaTheme="minorEastAsia" w:cstheme="minorEastAsia"/>
          <w:color w:val="auto"/>
          <w:sz w:val="24"/>
          <w:highlight w:val="none"/>
        </w:rPr>
      </w:pPr>
    </w:p>
    <w:p>
      <w:pPr>
        <w:spacing w:line="360" w:lineRule="auto"/>
        <w:ind w:firstLine="56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8"/>
          <w:szCs w:val="28"/>
          <w:highlight w:val="none"/>
        </w:rPr>
        <w:br w:type="page"/>
      </w:r>
    </w:p>
    <w:p>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三</w:t>
      </w:r>
      <w:bookmarkStart w:id="169" w:name="_Toc503235842"/>
      <w:bookmarkStart w:id="170" w:name="_Toc234833278"/>
      <w:r>
        <w:rPr>
          <w:rFonts w:hint="eastAsia" w:ascii="宋体" w:hAnsi="宋体" w:eastAsia="宋体" w:cs="宋体"/>
          <w:b/>
          <w:bCs/>
          <w:color w:val="auto"/>
          <w:sz w:val="32"/>
          <w:szCs w:val="32"/>
          <w:highlight w:val="none"/>
        </w:rPr>
        <w:t>、联合体协议书（如有）</w:t>
      </w:r>
    </w:p>
    <w:p>
      <w:pPr>
        <w:jc w:val="center"/>
        <w:rPr>
          <w:rFonts w:hint="eastAsia" w:ascii="宋体" w:hAnsi="宋体" w:eastAsia="宋体" w:cs="宋体"/>
          <w:b/>
          <w:bCs/>
          <w:color w:val="auto"/>
          <w:sz w:val="30"/>
          <w:szCs w:val="30"/>
          <w:highlight w:val="none"/>
        </w:rPr>
      </w:pPr>
    </w:p>
    <w:p>
      <w:pPr>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（参考格式）</w:t>
      </w:r>
    </w:p>
    <w:p>
      <w:pPr>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pStyle w:val="39"/>
        <w:spacing w:line="360" w:lineRule="auto"/>
        <w:rPr>
          <w:rFonts w:hint="eastAsia" w:ascii="宋体" w:hAnsi="宋体" w:eastAsia="宋体" w:cs="宋体"/>
          <w:color w:val="auto"/>
          <w:sz w:val="24"/>
          <w:szCs w:val="24"/>
          <w:highlight w:val="none"/>
        </w:rPr>
      </w:pP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（招标人、招标代理机构名称）</w:t>
      </w:r>
    </w:p>
    <w:p>
      <w:pPr>
        <w:spacing w:line="360" w:lineRule="auto"/>
        <w:jc w:val="left"/>
        <w:rPr>
          <w:rFonts w:hint="eastAsia" w:ascii="宋体" w:hAnsi="宋体" w:eastAsia="宋体" w:cs="宋体"/>
          <w:color w:val="auto"/>
          <w:sz w:val="24"/>
          <w:highlight w:val="none"/>
        </w:rPr>
      </w:pP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我方决定组成联合体共同参加以上项目的投标，若中标，联合体各成员向招标人承担连带责任。我方授权委托本协议牵头人，代表所有联合体成员参加投标、</w:t>
      </w:r>
      <w:r>
        <w:rPr>
          <w:rFonts w:hint="eastAsia" w:ascii="宋体" w:hAnsi="宋体" w:eastAsia="宋体" w:cs="宋体"/>
          <w:color w:val="auto"/>
          <w:sz w:val="24"/>
          <w:szCs w:val="24"/>
          <w:highlight w:val="none"/>
          <w:lang w:eastAsia="zh-CN"/>
        </w:rPr>
        <w:t>编制、修改及</w:t>
      </w:r>
      <w:r>
        <w:rPr>
          <w:rFonts w:hint="eastAsia" w:ascii="宋体" w:hAnsi="宋体" w:eastAsia="宋体" w:cs="宋体"/>
          <w:color w:val="auto"/>
          <w:sz w:val="24"/>
          <w:szCs w:val="24"/>
          <w:highlight w:val="none"/>
        </w:rPr>
        <w:t>提交投标文件，以及与招标人签订合同，负责整个合同实施阶段的协调工作。</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联合体</w:t>
      </w:r>
      <w:r>
        <w:rPr>
          <w:rFonts w:hint="eastAsia" w:ascii="宋体" w:hAnsi="宋体" w:eastAsia="宋体" w:cs="宋体"/>
          <w:color w:val="auto"/>
          <w:sz w:val="24"/>
          <w:szCs w:val="24"/>
          <w:highlight w:val="none"/>
        </w:rPr>
        <w:t>牵头人：（盖章）</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法定代表人：（签名或盖章）</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委托代理人：（签名或盖章）</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分工内容：</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联合体成员：（盖章）</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法定代表人：（签名或盖章）</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委托代理人：（签名或盖章）</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分工内容：</w:t>
      </w:r>
      <w:r>
        <w:rPr>
          <w:rFonts w:hint="eastAsia" w:ascii="宋体" w:hAnsi="宋体" w:eastAsia="宋体" w:cs="宋体"/>
          <w:color w:val="auto"/>
          <w:sz w:val="24"/>
          <w:szCs w:val="24"/>
          <w:highlight w:val="none"/>
          <w:u w:val="single"/>
        </w:rPr>
        <w:t xml:space="preserve">                                                  </w:t>
      </w:r>
    </w:p>
    <w:p>
      <w:pPr>
        <w:pStyle w:val="39"/>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签订日期：       年    月    日</w:t>
      </w:r>
    </w:p>
    <w:p>
      <w:pPr>
        <w:spacing w:line="360" w:lineRule="auto"/>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color w:val="auto"/>
          <w:sz w:val="32"/>
          <w:szCs w:val="32"/>
          <w:highlight w:val="none"/>
          <w:lang w:val="en-US" w:eastAsia="zh-CN"/>
        </w:rPr>
        <w:t>四</w:t>
      </w:r>
      <w:r>
        <w:rPr>
          <w:rFonts w:hint="eastAsia" w:asciiTheme="minorEastAsia" w:hAnsiTheme="minorEastAsia" w:eastAsiaTheme="minorEastAsia" w:cstheme="minorEastAsia"/>
          <w:b/>
          <w:color w:val="auto"/>
          <w:sz w:val="32"/>
          <w:szCs w:val="32"/>
          <w:highlight w:val="none"/>
        </w:rPr>
        <w:t>、投标保证金</w:t>
      </w:r>
    </w:p>
    <w:p>
      <w:pPr>
        <w:spacing w:line="240" w:lineRule="auto"/>
        <w:jc w:val="center"/>
        <w:rPr>
          <w:rFonts w:hint="eastAsia" w:ascii="宋体" w:hAnsi="宋体"/>
          <w:b/>
          <w:bCs/>
          <w:strike w:val="0"/>
          <w:color w:val="auto"/>
          <w:sz w:val="32"/>
          <w:szCs w:val="32"/>
          <w:highlight w:val="none"/>
          <w:u w:val="single"/>
        </w:rPr>
      </w:pPr>
      <w:r>
        <w:rPr>
          <w:rFonts w:hint="eastAsia" w:ascii="宋体" w:hAnsi="宋体"/>
          <w:b/>
          <w:bCs/>
          <w:strike w:val="0"/>
          <w:color w:val="auto"/>
          <w:sz w:val="32"/>
          <w:szCs w:val="32"/>
          <w:highlight w:val="none"/>
          <w:u w:val="single"/>
        </w:rPr>
        <w:t>（提供保证金凭证扫描件）</w:t>
      </w:r>
    </w:p>
    <w:p>
      <w:pPr>
        <w:spacing w:line="240" w:lineRule="auto"/>
        <w:jc w:val="center"/>
        <w:rPr>
          <w:rFonts w:hint="eastAsia" w:ascii="宋体" w:hAnsi="宋体"/>
          <w:color w:val="auto"/>
          <w:sz w:val="24"/>
          <w:highlight w:val="none"/>
        </w:rPr>
      </w:pPr>
    </w:p>
    <w:p>
      <w:pPr>
        <w:spacing w:line="240" w:lineRule="auto"/>
        <w:jc w:val="center"/>
        <w:rPr>
          <w:rFonts w:hint="eastAsia" w:ascii="宋体" w:hAnsi="宋体"/>
          <w:color w:val="auto"/>
          <w:sz w:val="24"/>
          <w:highlight w:val="none"/>
        </w:rPr>
      </w:pPr>
      <w:r>
        <w:rPr>
          <w:rFonts w:hint="eastAsia" w:ascii="宋体" w:hAnsi="宋体"/>
          <w:color w:val="auto"/>
          <w:sz w:val="24"/>
          <w:highlight w:val="none"/>
        </w:rPr>
        <w:t>（详见本招标文件第二章投标人须知前附表3.4.1）</w:t>
      </w:r>
    </w:p>
    <w:p>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五</w:t>
      </w:r>
      <w:r>
        <w:rPr>
          <w:rFonts w:hint="eastAsia" w:asciiTheme="minorEastAsia" w:hAnsiTheme="minorEastAsia" w:eastAsiaTheme="minorEastAsia" w:cstheme="minorEastAsia"/>
          <w:b/>
          <w:color w:val="auto"/>
          <w:sz w:val="32"/>
          <w:szCs w:val="32"/>
          <w:highlight w:val="none"/>
        </w:rPr>
        <w:t>、资格审查资料</w:t>
      </w:r>
      <w:bookmarkEnd w:id="169"/>
      <w:bookmarkEnd w:id="170"/>
    </w:p>
    <w:p>
      <w:pPr>
        <w:spacing w:line="360" w:lineRule="auto"/>
        <w:jc w:val="center"/>
        <w:rPr>
          <w:rFonts w:asciiTheme="minorEastAsia" w:hAnsiTheme="minorEastAsia" w:eastAsiaTheme="minorEastAsia" w:cstheme="minorEastAsia"/>
          <w:b/>
          <w:color w:val="auto"/>
          <w:sz w:val="30"/>
          <w:szCs w:val="30"/>
          <w:highlight w:val="none"/>
        </w:rPr>
      </w:pPr>
      <w:bookmarkStart w:id="171" w:name="_Toc234833279"/>
      <w:r>
        <w:rPr>
          <w:rFonts w:hint="eastAsia" w:asciiTheme="minorEastAsia" w:hAnsiTheme="minorEastAsia" w:eastAsiaTheme="minorEastAsia" w:cstheme="minorEastAsia"/>
          <w:b/>
          <w:color w:val="auto"/>
          <w:sz w:val="30"/>
          <w:szCs w:val="30"/>
          <w:highlight w:val="none"/>
        </w:rPr>
        <w:t>（一）基本情况表</w:t>
      </w:r>
      <w:bookmarkEnd w:id="171"/>
    </w:p>
    <w:tbl>
      <w:tblPr>
        <w:tblStyle w:val="75"/>
        <w:tblW w:w="94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5"/>
        <w:gridCol w:w="898"/>
        <w:gridCol w:w="1026"/>
        <w:gridCol w:w="1287"/>
        <w:gridCol w:w="414"/>
        <w:gridCol w:w="873"/>
        <w:gridCol w:w="828"/>
        <w:gridCol w:w="284"/>
        <w:gridCol w:w="16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p>
        </w:tc>
        <w:tc>
          <w:tcPr>
            <w:tcW w:w="7292"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w:t>
            </w:r>
          </w:p>
        </w:tc>
        <w:tc>
          <w:tcPr>
            <w:tcW w:w="279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p>
        </w:tc>
        <w:tc>
          <w:tcPr>
            <w:tcW w:w="279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电子邮件</w:t>
            </w:r>
          </w:p>
        </w:tc>
        <w:tc>
          <w:tcPr>
            <w:tcW w:w="279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w:t>
            </w:r>
          </w:p>
        </w:tc>
        <w:tc>
          <w:tcPr>
            <w:tcW w:w="168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w:t>
            </w:r>
          </w:p>
        </w:tc>
        <w:tc>
          <w:tcPr>
            <w:tcW w:w="168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企业资质证书</w:t>
            </w:r>
          </w:p>
        </w:tc>
        <w:tc>
          <w:tcPr>
            <w:tcW w:w="7292"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4081"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高级职称人员</w:t>
            </w:r>
          </w:p>
        </w:tc>
        <w:tc>
          <w:tcPr>
            <w:tcW w:w="196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414" w:type="dxa"/>
            <w:vMerge w:val="continue"/>
            <w:tcBorders>
              <w:left w:val="single" w:color="auto" w:sz="4" w:space="0"/>
              <w:right w:val="single" w:color="auto" w:sz="4" w:space="0"/>
            </w:tcBorders>
            <w:vAlign w:val="center"/>
          </w:tcPr>
          <w:p>
            <w:pPr>
              <w:jc w:val="center"/>
              <w:rPr>
                <w:rFonts w:asciiTheme="minorEastAsia" w:hAnsiTheme="minorEastAsia" w:eastAsiaTheme="minorEastAsia" w:cstheme="minorEastAsia"/>
                <w:color w:val="auto"/>
                <w:sz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中级职称人员</w:t>
            </w:r>
          </w:p>
        </w:tc>
        <w:tc>
          <w:tcPr>
            <w:tcW w:w="196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414" w:type="dxa"/>
            <w:vMerge w:val="continue"/>
            <w:tcBorders>
              <w:left w:val="single" w:color="auto" w:sz="4" w:space="0"/>
              <w:right w:val="single" w:color="auto" w:sz="4" w:space="0"/>
            </w:tcBorders>
            <w:vAlign w:val="center"/>
          </w:tcPr>
          <w:p>
            <w:pPr>
              <w:jc w:val="center"/>
              <w:rPr>
                <w:rFonts w:asciiTheme="minorEastAsia" w:hAnsiTheme="minorEastAsia" w:eastAsiaTheme="minorEastAsia" w:cstheme="minorEastAsia"/>
                <w:color w:val="auto"/>
                <w:sz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技术人员数量</w:t>
            </w:r>
          </w:p>
        </w:tc>
        <w:tc>
          <w:tcPr>
            <w:tcW w:w="196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c>
          <w:tcPr>
            <w:tcW w:w="414" w:type="dxa"/>
            <w:vMerge w:val="continue"/>
            <w:tcBorders>
              <w:left w:val="single" w:color="auto" w:sz="4" w:space="0"/>
              <w:right w:val="single" w:color="auto" w:sz="4" w:space="0"/>
            </w:tcBorders>
            <w:vAlign w:val="center"/>
          </w:tcPr>
          <w:p>
            <w:pPr>
              <w:jc w:val="center"/>
              <w:rPr>
                <w:rFonts w:asciiTheme="minorEastAsia" w:hAnsiTheme="minorEastAsia" w:eastAsiaTheme="minorEastAsia" w:cstheme="minorEastAsia"/>
                <w:color w:val="auto"/>
                <w:sz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各类注册人员</w:t>
            </w:r>
          </w:p>
        </w:tc>
        <w:tc>
          <w:tcPr>
            <w:tcW w:w="196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40" w:firstLineChars="10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经营范围</w:t>
            </w:r>
          </w:p>
        </w:tc>
        <w:tc>
          <w:tcPr>
            <w:tcW w:w="7292"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145"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投标人关联企业情况</w:t>
            </w:r>
          </w:p>
        </w:tc>
        <w:tc>
          <w:tcPr>
            <w:tcW w:w="7292" w:type="dxa"/>
            <w:gridSpan w:val="8"/>
            <w:tcBorders>
              <w:top w:val="single" w:color="auto" w:sz="4" w:space="0"/>
              <w:left w:val="single" w:color="auto" w:sz="4" w:space="0"/>
              <w:right w:val="single" w:color="auto" w:sz="4" w:space="0"/>
            </w:tcBorders>
            <w:vAlign w:val="center"/>
          </w:tcPr>
          <w:p>
            <w:pPr>
              <w:topLinePunct/>
              <w:spacing w:line="400" w:lineRule="atLeas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投标人应提供关联企业情况，包括：</w:t>
            </w:r>
          </w:p>
          <w:p>
            <w:pPr>
              <w:topLinePunct/>
              <w:spacing w:line="400" w:lineRule="atLeas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（1）投标人的所有股东名称及相应股权（出资额）比例；如投标人为上市公司，投标人应提供股权占公司股份总数</w:t>
            </w:r>
            <w:r>
              <w:rPr>
                <w:rFonts w:hint="eastAsia" w:asciiTheme="minorEastAsia" w:hAnsiTheme="minorEastAsia" w:eastAsiaTheme="minorEastAsia" w:cstheme="minorEastAsia"/>
                <w:color w:val="auto"/>
                <w:sz w:val="24"/>
                <w:highlight w:val="none"/>
                <w:u w:val="single"/>
              </w:rPr>
              <w:t>10</w:t>
            </w:r>
            <w:r>
              <w:rPr>
                <w:rFonts w:hint="eastAsia" w:asciiTheme="minorEastAsia" w:hAnsiTheme="minorEastAsia" w:eastAsiaTheme="minorEastAsia" w:cstheme="minorEastAsia"/>
                <w:color w:val="auto"/>
                <w:sz w:val="24"/>
                <w:highlight w:val="none"/>
              </w:rPr>
              <w:t>%以上的所有股东名称及相应股权比例（若无此情况，填“无”）；</w:t>
            </w:r>
          </w:p>
          <w:p>
            <w:pPr>
              <w:topLinePunct/>
              <w:spacing w:line="400" w:lineRule="atLeas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（2）投标人投资（控股）或管理的下属企业名称、持有股权（出资额）比例（若无此情况，填“无”）；</w:t>
            </w:r>
          </w:p>
          <w:p>
            <w:pPr>
              <w:topLinePunct/>
              <w:spacing w:line="400" w:lineRule="atLeas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（3）与投标人单位负责人（即法定代表人）为同一人的其他单位名称（若无此情况，填“无”）。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7292"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eastAsiaTheme="minorEastAsia" w:cstheme="minorEastAsia"/>
                <w:color w:val="auto"/>
                <w:sz w:val="24"/>
                <w:highlight w:val="none"/>
              </w:rPr>
            </w:pPr>
          </w:p>
        </w:tc>
      </w:tr>
    </w:tbl>
    <w:p>
      <w:pPr>
        <w:widowControl/>
        <w:autoSpaceDE w:val="0"/>
        <w:autoSpaceDN w:val="0"/>
        <w:spacing w:line="360" w:lineRule="atLeast"/>
        <w:ind w:left="0" w:firstLine="0" w:firstLineChars="0"/>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pPr>
        <w:widowControl/>
        <w:autoSpaceDE w:val="0"/>
        <w:autoSpaceDN w:val="0"/>
        <w:spacing w:line="360" w:lineRule="atLeast"/>
        <w:ind w:left="0" w:firstLine="0" w:firstLineChars="0"/>
        <w:textAlignment w:val="bottom"/>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highlight w:val="none"/>
        </w:rPr>
        <w:t>投标人应根据招标文件第二章“投标人须知”第3.5.1项的要求在本表后附相关证明材料。</w:t>
      </w:r>
    </w:p>
    <w:p>
      <w:pPr>
        <w:widowControl/>
        <w:autoSpaceDE w:val="0"/>
        <w:autoSpaceDN w:val="0"/>
        <w:spacing w:line="360" w:lineRule="atLeast"/>
        <w:ind w:left="0" w:leftChars="0" w:firstLine="0" w:firstLineChars="0"/>
        <w:textAlignment w:val="bottom"/>
        <w:rPr>
          <w:rFonts w:hint="eastAsia" w:asciiTheme="minorEastAsia" w:hAnsiTheme="minorEastAsia" w:eastAsiaTheme="minorEastAsia" w:cstheme="minorEastAsia"/>
          <w:color w:val="auto"/>
          <w:highlight w:val="none"/>
          <w:lang w:eastAsia="zh-CN"/>
        </w:rPr>
        <w:sectPr>
          <w:footnotePr>
            <w:numFmt w:val="decimalEnclosedCircleChinese"/>
          </w:footnotePr>
          <w:pgSz w:w="11907" w:h="16840"/>
          <w:pgMar w:top="1588" w:right="1588" w:bottom="972" w:left="1644"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以联合体形式参与投标的，联合体各成员应分别填写</w:t>
      </w:r>
      <w:r>
        <w:rPr>
          <w:rFonts w:hint="eastAsia" w:asciiTheme="minorEastAsia" w:hAnsiTheme="minorEastAsia" w:eastAsiaTheme="minorEastAsia" w:cstheme="minorEastAsia"/>
          <w:color w:val="auto"/>
          <w:highlight w:val="none"/>
          <w:lang w:eastAsia="zh-CN"/>
        </w:rPr>
        <w:t>。</w:t>
      </w:r>
    </w:p>
    <w:p>
      <w:pPr>
        <w:widowControl/>
        <w:snapToGrid w:val="0"/>
        <w:spacing w:before="260" w:after="260" w:line="360" w:lineRule="auto"/>
        <w:ind w:right="384"/>
        <w:jc w:val="center"/>
        <w:rPr>
          <w:rFonts w:hint="eastAsia" w:ascii="宋体" w:hAnsi="宋体" w:eastAsia="宋体" w:cs="宋体"/>
          <w:color w:val="auto"/>
          <w:kern w:val="0"/>
          <w:sz w:val="30"/>
          <w:szCs w:val="30"/>
          <w:highlight w:val="none"/>
        </w:rPr>
      </w:pP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w:t>
      </w:r>
      <w:r>
        <w:rPr>
          <w:rFonts w:hint="eastAsia" w:ascii="宋体" w:hAnsi="宋体" w:eastAsia="宋体" w:cs="宋体"/>
          <w:b/>
          <w:bCs/>
          <w:color w:val="auto"/>
          <w:kern w:val="0"/>
          <w:sz w:val="30"/>
          <w:szCs w:val="30"/>
          <w:highlight w:val="none"/>
        </w:rPr>
        <w:t>投标人声明</w:t>
      </w:r>
    </w:p>
    <w:p>
      <w:pPr>
        <w:widowControl/>
        <w:snapToGrid w:val="0"/>
        <w:spacing w:before="260" w:after="260" w:line="360" w:lineRule="auto"/>
        <w:ind w:right="384"/>
        <w:jc w:val="center"/>
        <w:rPr>
          <w:rFonts w:ascii="宋体" w:hAnsi="宋体" w:cs="宋体"/>
          <w:color w:val="auto"/>
          <w:kern w:val="0"/>
          <w:sz w:val="24"/>
          <w:highlight w:val="none"/>
        </w:rPr>
      </w:pPr>
      <w:r>
        <w:rPr>
          <w:rFonts w:hint="eastAsia" w:ascii="宋体" w:hAnsi="宋体" w:cs="宋体"/>
          <w:color w:val="auto"/>
          <w:kern w:val="0"/>
          <w:sz w:val="24"/>
          <w:highlight w:val="none"/>
        </w:rPr>
        <w:t>投标人声明</w:t>
      </w:r>
    </w:p>
    <w:p>
      <w:pPr>
        <w:snapToGrid w:val="0"/>
        <w:spacing w:line="360" w:lineRule="auto"/>
        <w:ind w:firstLine="0" w:firstLineChars="0"/>
        <w:rPr>
          <w:rFonts w:ascii="宋体" w:hAnsi="宋体" w:cs="宋体"/>
          <w:color w:val="auto"/>
          <w:kern w:val="0"/>
          <w:sz w:val="24"/>
          <w:highlight w:val="none"/>
        </w:rPr>
      </w:pPr>
      <w:r>
        <w:rPr>
          <w:rFonts w:hint="eastAsia" w:ascii="宋体" w:hAnsi="宋体" w:cs="宋体"/>
          <w:color w:val="auto"/>
          <w:kern w:val="0"/>
          <w:sz w:val="24"/>
          <w:highlight w:val="none"/>
        </w:rPr>
        <w:t>广州市</w:t>
      </w:r>
      <w:r>
        <w:rPr>
          <w:rFonts w:hint="eastAsia" w:ascii="宋体" w:hAnsi="宋体" w:cs="宋体"/>
          <w:color w:val="auto"/>
          <w:kern w:val="0"/>
          <w:sz w:val="24"/>
          <w:highlight w:val="none"/>
          <w:lang w:val="en-US" w:eastAsia="zh-CN"/>
        </w:rPr>
        <w:t>交通运输局</w:t>
      </w:r>
      <w:r>
        <w:rPr>
          <w:rFonts w:hint="eastAsia" w:ascii="宋体" w:hAnsi="宋体" w:cs="宋体"/>
          <w:color w:val="auto"/>
          <w:kern w:val="0"/>
          <w:sz w:val="24"/>
          <w:highlight w:val="none"/>
        </w:rPr>
        <w:t>、本招标项目招标人及招标监管机构：</w:t>
      </w:r>
    </w:p>
    <w:p>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lang w:eastAsia="zh-CN"/>
        </w:rPr>
        <w:t>新花大道（花都大道-迎宾大道）工程第三方检测监测（第3标段）</w:t>
      </w:r>
      <w:r>
        <w:rPr>
          <w:rFonts w:ascii="宋体" w:hAnsi="宋体" w:cs="宋体"/>
          <w:color w:val="auto"/>
          <w:kern w:val="0"/>
          <w:sz w:val="24"/>
          <w:highlight w:val="none"/>
        </w:rPr>
        <w:t>投标工作，作出郑重声明：</w:t>
      </w:r>
    </w:p>
    <w:p>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一、本公司保证投标</w:t>
      </w:r>
      <w:r>
        <w:rPr>
          <w:rFonts w:hint="eastAsia" w:ascii="宋体" w:hAnsi="宋体" w:cs="宋体"/>
          <w:color w:val="auto"/>
          <w:kern w:val="0"/>
          <w:sz w:val="24"/>
          <w:highlight w:val="none"/>
          <w:lang w:eastAsia="zh-CN"/>
        </w:rPr>
        <w:t>登记</w:t>
      </w:r>
      <w:r>
        <w:rPr>
          <w:rFonts w:hint="eastAsia" w:ascii="宋体" w:hAnsi="宋体" w:cs="宋体"/>
          <w:color w:val="auto"/>
          <w:kern w:val="0"/>
          <w:sz w:val="24"/>
          <w:highlight w:val="none"/>
        </w:rPr>
        <w:t>材料及其后提供的一切材料都是真实的。</w:t>
      </w:r>
      <w:r>
        <w:rPr>
          <w:rFonts w:ascii="宋体" w:hAnsi="宋体" w:cs="宋体"/>
          <w:color w:val="auto"/>
          <w:kern w:val="0"/>
          <w:sz w:val="24"/>
          <w:highlight w:val="none"/>
        </w:rPr>
        <w:t>如我司成为本项目中标候选人，我司同意并授权招标人将我司投标文件商务部分的人员、业绩、奖项等资料进行公</w:t>
      </w:r>
      <w:r>
        <w:rPr>
          <w:rFonts w:hint="eastAsia" w:ascii="宋体" w:hAnsi="宋体" w:cs="宋体"/>
          <w:color w:val="auto"/>
          <w:kern w:val="0"/>
          <w:sz w:val="24"/>
          <w:highlight w:val="none"/>
        </w:rPr>
        <w:t>开</w:t>
      </w:r>
      <w:r>
        <w:rPr>
          <w:rFonts w:ascii="宋体" w:hAnsi="宋体" w:cs="宋体"/>
          <w:color w:val="auto"/>
          <w:kern w:val="0"/>
          <w:sz w:val="24"/>
          <w:highlight w:val="none"/>
        </w:rPr>
        <w:t>。</w:t>
      </w:r>
    </w:p>
    <w:p>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二、本公司保证不与其他单位围标、串标，不出让投标资格，不向招标人或评标委员会成员行贿。</w:t>
      </w:r>
    </w:p>
    <w:p>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三、本公司不存在招标文件第二章投标人须知第1.4.3项所规定的任何一种情形。</w:t>
      </w:r>
    </w:p>
    <w:p>
      <w:pPr>
        <w:snapToGrid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四、本公司及其有隶属关系的机构，没有参加本项目招标文件的编写工作；本公司与本次招标的招标代理机构没有隶属关系或其他利害关系。</w:t>
      </w:r>
      <w:r>
        <w:rPr>
          <w:rFonts w:hint="eastAsia" w:ascii="宋体" w:hAnsi="宋体" w:cs="宋体"/>
          <w:color w:val="auto"/>
          <w:kern w:val="0"/>
          <w:sz w:val="24"/>
          <w:highlight w:val="none"/>
          <w:lang w:val="en-US" w:eastAsia="zh-CN"/>
        </w:rPr>
        <w:t xml:space="preserve">  </w:t>
      </w:r>
    </w:p>
    <w:p>
      <w:pPr>
        <w:snapToGrid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五、本公司承诺，中标后严格执行安全生产相关管理规定。</w:t>
      </w:r>
    </w:p>
    <w:p>
      <w:pPr>
        <w:snapToGrid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本公司违反上述保证，或本声明陈述与事实不符，经查实，本公司愿意接受公开通报，承担由此带来的法律后果，并自愿停止参加广州市行政辖区内的招标投标活动三个月。</w:t>
      </w:r>
    </w:p>
    <w:p>
      <w:pPr>
        <w:widowControl/>
        <w:shd w:val="clear" w:color="auto" w:fill="FFFFFF"/>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特此声明。</w:t>
      </w:r>
    </w:p>
    <w:p>
      <w:pPr>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rPr>
        <w:t>声明企业：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(企业公章)</w:t>
      </w:r>
    </w:p>
    <w:p>
      <w:pPr>
        <w:snapToGrid w:val="0"/>
        <w:spacing w:line="360" w:lineRule="auto"/>
        <w:ind w:firstLine="4252" w:firstLineChars="1772"/>
        <w:rPr>
          <w:rFonts w:ascii="宋体" w:hAnsi="宋体" w:cs="宋体"/>
          <w:color w:val="auto"/>
          <w:kern w:val="0"/>
          <w:sz w:val="24"/>
          <w:highlight w:val="none"/>
          <w:u w:val="single"/>
        </w:rPr>
      </w:pPr>
      <w:r>
        <w:rPr>
          <w:rFonts w:hint="eastAsia" w:ascii="宋体" w:hAnsi="宋体" w:cs="宋体"/>
          <w:color w:val="auto"/>
          <w:kern w:val="0"/>
          <w:sz w:val="24"/>
          <w:highlight w:val="none"/>
        </w:rPr>
        <w:t>法定代表人签字：</w:t>
      </w:r>
      <w:r>
        <w:rPr>
          <w:rFonts w:hint="eastAsia" w:ascii="宋体" w:hAnsi="宋体" w:cs="宋体"/>
          <w:color w:val="auto"/>
          <w:kern w:val="0"/>
          <w:sz w:val="24"/>
          <w:highlight w:val="none"/>
          <w:u w:val="single"/>
        </w:rPr>
        <w:t xml:space="preserve">                </w:t>
      </w:r>
    </w:p>
    <w:p>
      <w:pPr>
        <w:spacing w:line="360" w:lineRule="auto"/>
        <w:jc w:val="center"/>
        <w:rPr>
          <w:rFonts w:hint="eastAsia" w:ascii="宋体" w:hAnsi="宋体" w:cs="宋体"/>
          <w:color w:val="auto"/>
          <w:kern w:val="0"/>
          <w:sz w:val="24"/>
          <w:highlight w:val="none"/>
        </w:rPr>
        <w:sectPr>
          <w:footnotePr>
            <w:numFmt w:val="decimalEnclosedCircleChinese"/>
          </w:footnotePr>
          <w:pgSz w:w="11907" w:h="16840"/>
          <w:pgMar w:top="1588" w:right="1588" w:bottom="972" w:left="1644"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color w:val="auto"/>
          <w:kern w:val="0"/>
          <w:sz w:val="24"/>
          <w:highlight w:val="none"/>
        </w:rPr>
        <w:t xml:space="preserve">                                                  年   月   日</w:t>
      </w:r>
    </w:p>
    <w:p>
      <w:pPr>
        <w:keepNext w:val="0"/>
        <w:keepLines w:val="0"/>
        <w:widowControl/>
        <w:numPr>
          <w:ilvl w:val="-1"/>
          <w:numId w:val="0"/>
        </w:numPr>
        <w:snapToGrid w:val="0"/>
        <w:spacing w:before="260" w:after="260" w:line="360" w:lineRule="auto"/>
        <w:ind w:left="0" w:right="384"/>
        <w:jc w:val="center"/>
        <w:rPr>
          <w:rFonts w:hint="eastAsia" w:asciiTheme="minorEastAsia" w:hAnsiTheme="minorEastAsia" w:eastAsiaTheme="minorEastAsia" w:cstheme="minorEastAsia"/>
          <w:b/>
          <w:color w:val="auto"/>
          <w:sz w:val="30"/>
          <w:szCs w:val="30"/>
          <w:highlight w:val="none"/>
        </w:rPr>
      </w:pPr>
      <w:bookmarkStart w:id="172" w:name="_Toc43906348"/>
      <w:r>
        <w:rPr>
          <w:rFonts w:hint="eastAsia" w:asciiTheme="minorEastAsia" w:hAnsiTheme="minorEastAsia" w:eastAsiaTheme="minorEastAsia" w:cstheme="minorEastAsia"/>
          <w:b/>
          <w:color w:val="auto"/>
          <w:sz w:val="30"/>
          <w:szCs w:val="30"/>
          <w:highlight w:val="none"/>
          <w:lang w:eastAsia="zh-CN"/>
        </w:rPr>
        <w:t>（</w:t>
      </w:r>
      <w:r>
        <w:rPr>
          <w:rFonts w:hint="eastAsia" w:asciiTheme="minorEastAsia" w:hAnsiTheme="minorEastAsia" w:eastAsiaTheme="minorEastAsia" w:cstheme="minorEastAsia"/>
          <w:b/>
          <w:color w:val="auto"/>
          <w:sz w:val="30"/>
          <w:szCs w:val="30"/>
          <w:highlight w:val="none"/>
          <w:lang w:val="en-US" w:eastAsia="zh-CN"/>
        </w:rPr>
        <w:t>三</w:t>
      </w:r>
      <w:r>
        <w:rPr>
          <w:rFonts w:hint="eastAsia" w:asciiTheme="minorEastAsia" w:hAnsiTheme="minorEastAsia" w:eastAsiaTheme="minorEastAsia" w:cstheme="minorEastAsia"/>
          <w:b/>
          <w:color w:val="auto"/>
          <w:sz w:val="30"/>
          <w:szCs w:val="30"/>
          <w:highlight w:val="none"/>
          <w:lang w:eastAsia="zh-CN"/>
        </w:rPr>
        <w:t>）</w:t>
      </w:r>
      <w:r>
        <w:rPr>
          <w:rFonts w:hint="eastAsia" w:asciiTheme="minorEastAsia" w:hAnsiTheme="minorEastAsia" w:eastAsiaTheme="minorEastAsia" w:cstheme="minorEastAsia"/>
          <w:b/>
          <w:color w:val="auto"/>
          <w:sz w:val="30"/>
          <w:szCs w:val="30"/>
          <w:highlight w:val="none"/>
        </w:rPr>
        <w:t>承诺书</w:t>
      </w:r>
      <w:bookmarkEnd w:id="172"/>
    </w:p>
    <w:p>
      <w:pPr>
        <w:autoSpaceDE w:val="0"/>
        <w:autoSpaceDN w:val="0"/>
        <w:adjustRightInd w:val="0"/>
        <w:spacing w:line="360" w:lineRule="auto"/>
        <w:jc w:val="center"/>
        <w:rPr>
          <w:rFonts w:hint="eastAsia" w:ascii="宋体" w:hAnsi="宋体" w:eastAsia="宋体" w:cs="宋体"/>
          <w:color w:val="auto"/>
          <w:sz w:val="24"/>
          <w:highlight w:val="none"/>
          <w:lang w:val="zh-CN"/>
        </w:rPr>
      </w:pPr>
    </w:p>
    <w:p>
      <w:pPr>
        <w:pStyle w:val="28"/>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致：广州市花都区交通运输局</w:t>
      </w:r>
    </w:p>
    <w:p>
      <w:pPr>
        <w:autoSpaceDE w:val="0"/>
        <w:autoSpaceDN w:val="0"/>
        <w:adjustRightInd w:val="0"/>
        <w:spacing w:line="400" w:lineRule="exact"/>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我方已充分阅读了招标文件并充分了解本项目施工过程中，可能发生众多阻碍工期的情况。如若中标，我司承诺将无条件配合工程施工，施工工期延长，我司的项目服务周期也延长。</w:t>
      </w:r>
    </w:p>
    <w:p>
      <w:pPr>
        <w:autoSpaceDE w:val="0"/>
        <w:autoSpaceDN w:val="0"/>
        <w:adjustRightInd w:val="0"/>
        <w:spacing w:line="400" w:lineRule="exact"/>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若我司未按要求相应延长服务期限，给业主造成损失的，我司承诺将无条件承担合同中的赔偿责任。</w:t>
      </w:r>
    </w:p>
    <w:p>
      <w:pPr>
        <w:autoSpaceDE w:val="0"/>
        <w:autoSpaceDN w:val="0"/>
        <w:adjustRightInd w:val="0"/>
        <w:spacing w:line="400" w:lineRule="exact"/>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如果我司中标，我司保证按投标时的报价与招标人签订合同，绝不因价格原因拒绝签订合同或终止合约关系或签订合同后中途放弃履约合同。实际投入本项目的人员、材料、机械、设备与我司递交的投标文件一致，且不低于本项目招标文件的要求。若不满足招标文件要求，我司承诺无条件按招标人的要求进行更换，如仍未能满足本项目的要求，招标人有权依法另行调配人员设备投入以保证工程需要，相关费用在我方工程款项中支付。如果我司未能在本项目投入足够的人力、设备，未能按约定工期，未能保质保量保进度完成工程任务，且不服从业主的安排，我方自愿按合同约定承担违约责任，并同意被入不良行为黑名单和“严重失信行为联合惩戒对象”，一年内不得参与“严重失信行为联合惩戒” 机制联盟单位所有项目的投标。</w:t>
      </w:r>
    </w:p>
    <w:p>
      <w:pPr>
        <w:autoSpaceDE w:val="0"/>
        <w:autoSpaceDN w:val="0"/>
        <w:adjustRightInd w:val="0"/>
        <w:spacing w:line="360" w:lineRule="exact"/>
        <w:ind w:firstLine="480"/>
        <w:jc w:val="right"/>
        <w:rPr>
          <w:rFonts w:hint="eastAsia" w:ascii="宋体" w:hAnsi="宋体" w:eastAsia="宋体" w:cs="宋体"/>
          <w:color w:val="auto"/>
          <w:szCs w:val="21"/>
          <w:highlight w:val="none"/>
          <w:lang w:val="zh-CN"/>
        </w:rPr>
      </w:pPr>
    </w:p>
    <w:p>
      <w:pPr>
        <w:tabs>
          <w:tab w:val="left" w:pos="8364"/>
        </w:tabs>
        <w:snapToGrid w:val="0"/>
        <w:spacing w:before="20" w:after="20" w:line="360" w:lineRule="exact"/>
        <w:ind w:right="-58" w:firstLine="4139" w:firstLineChars="1971"/>
        <w:rPr>
          <w:rFonts w:hint="eastAsia" w:ascii="宋体" w:hAnsi="宋体" w:eastAsia="宋体" w:cs="宋体"/>
          <w:color w:val="auto"/>
          <w:szCs w:val="21"/>
          <w:highlight w:val="none"/>
        </w:rPr>
      </w:pPr>
    </w:p>
    <w:p>
      <w:pPr>
        <w:tabs>
          <w:tab w:val="left" w:pos="4320"/>
        </w:tabs>
        <w:spacing w:line="360" w:lineRule="auto"/>
        <w:jc w:val="center"/>
        <w:rPr>
          <w:rFonts w:hint="eastAsia" w:ascii="宋体" w:hAnsi="宋体" w:eastAsia="宋体" w:cs="宋体"/>
          <w:color w:val="auto"/>
          <w:highlight w:val="none"/>
        </w:rPr>
      </w:pPr>
    </w:p>
    <w:p>
      <w:pPr>
        <w:tabs>
          <w:tab w:val="left" w:pos="4320"/>
        </w:tabs>
        <w:spacing w:line="360" w:lineRule="auto"/>
        <w:jc w:val="center"/>
        <w:rPr>
          <w:rFonts w:hint="eastAsia" w:ascii="宋体" w:hAnsi="宋体" w:eastAsia="宋体" w:cs="宋体"/>
          <w:color w:val="auto"/>
          <w:highlight w:val="none"/>
        </w:rPr>
      </w:pPr>
    </w:p>
    <w:p>
      <w:pPr>
        <w:tabs>
          <w:tab w:val="left" w:pos="4320"/>
        </w:tabs>
        <w:spacing w:line="360" w:lineRule="auto"/>
        <w:jc w:val="center"/>
        <w:rPr>
          <w:rFonts w:hint="eastAsia" w:ascii="宋体" w:hAnsi="宋体" w:eastAsia="宋体" w:cs="宋体"/>
          <w:color w:val="auto"/>
          <w:highlight w:val="none"/>
        </w:rPr>
      </w:pPr>
    </w:p>
    <w:p>
      <w:pPr>
        <w:autoSpaceDE w:val="0"/>
        <w:autoSpaceDN w:val="0"/>
        <w:adjustRightInd w:val="0"/>
        <w:spacing w:line="400" w:lineRule="exact"/>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投 标 人（法人公章）：</w:t>
      </w:r>
    </w:p>
    <w:p>
      <w:pPr>
        <w:tabs>
          <w:tab w:val="left" w:pos="2977"/>
        </w:tabs>
        <w:autoSpaceDE w:val="0"/>
        <w:autoSpaceDN w:val="0"/>
        <w:adjustRightInd w:val="0"/>
        <w:spacing w:line="400" w:lineRule="exact"/>
        <w:ind w:firstLine="48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ab/>
      </w:r>
      <w:r>
        <w:rPr>
          <w:rFonts w:hint="eastAsia" w:ascii="宋体" w:hAnsi="宋体" w:eastAsia="宋体" w:cs="宋体"/>
          <w:color w:val="auto"/>
          <w:sz w:val="24"/>
          <w:highlight w:val="none"/>
          <w:lang w:val="zh-CN"/>
        </w:rPr>
        <w:t>法定代表人</w:t>
      </w:r>
    </w:p>
    <w:p>
      <w:pPr>
        <w:autoSpaceDE w:val="0"/>
        <w:autoSpaceDN w:val="0"/>
        <w:adjustRightInd w:val="0"/>
        <w:spacing w:line="400" w:lineRule="exact"/>
        <w:ind w:firstLine="2976" w:firstLineChars="12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或其授权委托人（签名或盖章）：</w:t>
      </w:r>
    </w:p>
    <w:p>
      <w:pPr>
        <w:autoSpaceDE w:val="0"/>
        <w:autoSpaceDN w:val="0"/>
        <w:adjustRightInd w:val="0"/>
        <w:spacing w:line="400" w:lineRule="exact"/>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ab/>
      </w:r>
      <w:r>
        <w:rPr>
          <w:rFonts w:hint="eastAsia" w:ascii="宋体" w:hAnsi="宋体" w:eastAsia="宋体" w:cs="宋体"/>
          <w:color w:val="auto"/>
          <w:sz w:val="24"/>
          <w:highlight w:val="none"/>
          <w:lang w:val="zh-CN"/>
        </w:rPr>
        <w:t xml:space="preserve">                           日      期：</w:t>
      </w:r>
    </w:p>
    <w:p>
      <w:pPr>
        <w:pStyle w:val="73"/>
        <w:rPr>
          <w:rFonts w:hint="eastAsia"/>
          <w:color w:val="auto"/>
          <w:highlight w:val="none"/>
        </w:rPr>
        <w:sectPr>
          <w:footnotePr>
            <w:numFmt w:val="decimalEnclosedCircleChinese"/>
          </w:footnotePr>
          <w:pgSz w:w="11907" w:h="16840"/>
          <w:pgMar w:top="1588" w:right="1588" w:bottom="972" w:left="1644" w:header="851" w:footer="851"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rPr>
          <w:rFonts w:asciiTheme="minorEastAsia" w:hAnsiTheme="minorEastAsia" w:eastAsiaTheme="minorEastAsia" w:cstheme="minorEastAsia"/>
          <w:b/>
          <w:color w:val="auto"/>
          <w:sz w:val="32"/>
          <w:szCs w:val="32"/>
          <w:highlight w:val="none"/>
        </w:rPr>
      </w:pPr>
      <w:bookmarkStart w:id="173" w:name="_Toc234833291"/>
      <w:r>
        <w:rPr>
          <w:rFonts w:hint="eastAsia" w:asciiTheme="minorEastAsia" w:hAnsiTheme="minorEastAsia" w:eastAsiaTheme="minorEastAsia" w:cstheme="minorEastAsia"/>
          <w:b/>
          <w:color w:val="auto"/>
          <w:sz w:val="32"/>
          <w:szCs w:val="32"/>
          <w:highlight w:val="none"/>
          <w:lang w:val="en-US" w:eastAsia="zh-CN"/>
        </w:rPr>
        <w:t>六</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eastAsia="zh-CN"/>
        </w:rPr>
        <w:t>检测监测</w:t>
      </w:r>
      <w:r>
        <w:rPr>
          <w:rFonts w:hint="eastAsia" w:asciiTheme="minorEastAsia" w:hAnsiTheme="minorEastAsia" w:eastAsiaTheme="minorEastAsia" w:cstheme="minorEastAsia"/>
          <w:b/>
          <w:color w:val="auto"/>
          <w:sz w:val="32"/>
          <w:szCs w:val="32"/>
          <w:highlight w:val="none"/>
        </w:rPr>
        <w:t>方案</w:t>
      </w:r>
    </w:p>
    <w:p>
      <w:pPr>
        <w:spacing w:line="24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br w:type="page"/>
      </w:r>
    </w:p>
    <w:p>
      <w:pPr>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七</w:t>
      </w:r>
      <w:r>
        <w:rPr>
          <w:rFonts w:hint="eastAsia" w:asciiTheme="minorEastAsia" w:hAnsiTheme="minorEastAsia" w:eastAsiaTheme="minorEastAsia" w:cstheme="minorEastAsia"/>
          <w:b/>
          <w:color w:val="auto"/>
          <w:sz w:val="32"/>
          <w:szCs w:val="32"/>
          <w:highlight w:val="none"/>
        </w:rPr>
        <w:t>、其他</w:t>
      </w:r>
      <w:bookmarkEnd w:id="173"/>
      <w:r>
        <w:rPr>
          <w:rFonts w:hint="eastAsia" w:asciiTheme="minorEastAsia" w:hAnsiTheme="minorEastAsia" w:eastAsiaTheme="minorEastAsia" w:cstheme="minorEastAsia"/>
          <w:b/>
          <w:color w:val="auto"/>
          <w:sz w:val="32"/>
          <w:szCs w:val="32"/>
          <w:highlight w:val="none"/>
        </w:rPr>
        <w:t>资料</w:t>
      </w:r>
    </w:p>
    <w:p>
      <w:pPr>
        <w:keepNext/>
        <w:keepLines/>
        <w:spacing w:line="416"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（一）近年</w:t>
      </w:r>
      <w:r>
        <w:rPr>
          <w:rFonts w:hint="eastAsia" w:ascii="宋体" w:hAnsi="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rPr>
        <w:t>的类似项目情况汇总表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507"/>
        <w:gridCol w:w="1507"/>
        <w:gridCol w:w="1403"/>
        <w:gridCol w:w="180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center"/>
          </w:tcPr>
          <w:p>
            <w:pPr>
              <w:spacing w:line="52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507" w:type="dxa"/>
            <w:noWrap w:val="0"/>
            <w:vAlign w:val="center"/>
          </w:tcPr>
          <w:p>
            <w:pPr>
              <w:spacing w:line="52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507" w:type="dxa"/>
            <w:noWrap w:val="0"/>
            <w:vAlign w:val="center"/>
          </w:tcPr>
          <w:p>
            <w:pPr>
              <w:spacing w:line="52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1403" w:type="dxa"/>
            <w:noWrap w:val="0"/>
            <w:vAlign w:val="center"/>
          </w:tcPr>
          <w:p>
            <w:pPr>
              <w:spacing w:line="52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800" w:type="dxa"/>
            <w:noWrap w:val="0"/>
            <w:vAlign w:val="center"/>
          </w:tcPr>
          <w:p>
            <w:pPr>
              <w:spacing w:line="52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130" w:type="dxa"/>
            <w:noWrap w:val="0"/>
            <w:vAlign w:val="center"/>
          </w:tcPr>
          <w:p>
            <w:pPr>
              <w:spacing w:line="52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42"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507" w:type="dxa"/>
            <w:noWrap w:val="0"/>
            <w:vAlign w:val="top"/>
          </w:tcPr>
          <w:p>
            <w:pPr>
              <w:spacing w:line="520" w:lineRule="atLeast"/>
              <w:rPr>
                <w:rFonts w:hint="eastAsia" w:ascii="宋体" w:hAnsi="宋体" w:eastAsia="宋体" w:cs="宋体"/>
                <w:color w:val="auto"/>
                <w:sz w:val="28"/>
                <w:highlight w:val="none"/>
              </w:rPr>
            </w:pPr>
          </w:p>
        </w:tc>
        <w:tc>
          <w:tcPr>
            <w:tcW w:w="1403" w:type="dxa"/>
            <w:noWrap w:val="0"/>
            <w:vAlign w:val="top"/>
          </w:tcPr>
          <w:p>
            <w:pPr>
              <w:spacing w:line="520" w:lineRule="atLeast"/>
              <w:rPr>
                <w:rFonts w:hint="eastAsia" w:ascii="宋体" w:hAnsi="宋体" w:eastAsia="宋体" w:cs="宋体"/>
                <w:color w:val="auto"/>
                <w:sz w:val="28"/>
                <w:highlight w:val="none"/>
              </w:rPr>
            </w:pPr>
          </w:p>
        </w:tc>
        <w:tc>
          <w:tcPr>
            <w:tcW w:w="1800" w:type="dxa"/>
            <w:noWrap w:val="0"/>
            <w:vAlign w:val="top"/>
          </w:tcPr>
          <w:p>
            <w:pPr>
              <w:spacing w:line="520" w:lineRule="atLeast"/>
              <w:rPr>
                <w:rFonts w:hint="eastAsia" w:ascii="宋体" w:hAnsi="宋体" w:eastAsia="宋体" w:cs="宋体"/>
                <w:color w:val="auto"/>
                <w:sz w:val="28"/>
                <w:highlight w:val="none"/>
              </w:rPr>
            </w:pPr>
          </w:p>
        </w:tc>
        <w:tc>
          <w:tcPr>
            <w:tcW w:w="1130" w:type="dxa"/>
            <w:noWrap w:val="0"/>
            <w:vAlign w:val="top"/>
          </w:tcPr>
          <w:p>
            <w:pPr>
              <w:spacing w:line="520" w:lineRule="atLeast"/>
              <w:rPr>
                <w:rFonts w:hint="eastAsia" w:ascii="宋体" w:hAnsi="宋体" w:eastAsia="宋体" w:cs="宋体"/>
                <w:color w:val="auto"/>
                <w:sz w:val="28"/>
                <w:highlight w:val="none"/>
              </w:rPr>
            </w:pPr>
          </w:p>
        </w:tc>
      </w:tr>
    </w:tbl>
    <w:p>
      <w:pPr>
        <w:spacing w:before="156" w:beforeLines="50" w:after="156" w:afterLines="50" w:line="360" w:lineRule="auto"/>
        <w:jc w:val="center"/>
        <w:rPr>
          <w:rFonts w:hint="eastAsia" w:ascii="宋体" w:hAnsi="宋体" w:eastAsia="宋体" w:cs="宋体"/>
          <w:color w:val="auto"/>
          <w:position w:val="-30"/>
          <w:sz w:val="30"/>
          <w:szCs w:val="30"/>
          <w:highlight w:val="none"/>
        </w:rPr>
      </w:pPr>
      <w:r>
        <w:rPr>
          <w:rFonts w:hint="eastAsia" w:ascii="宋体" w:hAnsi="宋体" w:eastAsia="宋体" w:cs="宋体"/>
          <w:color w:val="auto"/>
          <w:position w:val="-30"/>
          <w:sz w:val="24"/>
          <w:highlight w:val="none"/>
        </w:rPr>
        <w:br w:type="page"/>
      </w:r>
      <w:r>
        <w:rPr>
          <w:rFonts w:hint="eastAsia" w:ascii="宋体" w:hAnsi="宋体" w:eastAsia="宋体" w:cs="宋体"/>
          <w:b/>
          <w:bCs/>
          <w:color w:val="auto"/>
          <w:position w:val="-30"/>
          <w:sz w:val="30"/>
          <w:szCs w:val="30"/>
          <w:highlight w:val="none"/>
        </w:rPr>
        <w:t>（二）近年</w:t>
      </w:r>
      <w:r>
        <w:rPr>
          <w:rFonts w:hint="eastAsia" w:ascii="宋体" w:hAnsi="宋体" w:cs="宋体"/>
          <w:b/>
          <w:bCs/>
          <w:color w:val="auto"/>
          <w:position w:val="-30"/>
          <w:sz w:val="30"/>
          <w:szCs w:val="30"/>
          <w:highlight w:val="none"/>
          <w:lang w:val="en-US" w:eastAsia="zh-CN"/>
        </w:rPr>
        <w:t>承接</w:t>
      </w:r>
      <w:r>
        <w:rPr>
          <w:rFonts w:hint="eastAsia" w:ascii="宋体" w:hAnsi="宋体" w:eastAsia="宋体" w:cs="宋体"/>
          <w:b/>
          <w:bCs/>
          <w:color w:val="auto"/>
          <w:position w:val="-30"/>
          <w:sz w:val="30"/>
          <w:szCs w:val="30"/>
          <w:highlight w:val="none"/>
        </w:rPr>
        <w:t>的类似项目情况表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委托人名称</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委托人地址</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委托人电话</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cs="宋体"/>
                <w:color w:val="auto"/>
                <w:highlight w:val="none"/>
                <w:lang w:val="en-US" w:eastAsia="zh-CN"/>
              </w:rPr>
              <w:t>合同签订时间</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检（监）测内容</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253"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eastAsia" w:ascii="宋体" w:hAnsi="宋体" w:eastAsia="宋体" w:cs="宋体"/>
                <w:color w:val="auto"/>
                <w:highlight w:val="none"/>
              </w:rPr>
            </w:pPr>
          </w:p>
        </w:tc>
      </w:tr>
    </w:tbl>
    <w:p>
      <w:pPr>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注：1.每张表格只填写一个项目，并标明序号。</w:t>
      </w:r>
    </w:p>
    <w:p>
      <w:pPr>
        <w:pStyle w:val="73"/>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投标人应根据招标文件第二章“投标人须知”第3.5.</w:t>
      </w:r>
      <w:r>
        <w:rPr>
          <w:rFonts w:hint="eastAsia"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项的要求在本表后附相关证明材料。</w:t>
      </w:r>
    </w:p>
    <w:p>
      <w:pPr>
        <w:spacing w:before="156" w:beforeLines="50" w:after="156" w:after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（三）拟</w:t>
      </w:r>
      <w:r>
        <w:rPr>
          <w:rFonts w:hint="eastAsia" w:ascii="宋体" w:hAnsi="宋体" w:cs="宋体"/>
          <w:b/>
          <w:color w:val="auto"/>
          <w:sz w:val="30"/>
          <w:szCs w:val="30"/>
          <w:highlight w:val="none"/>
          <w:lang w:val="en-US" w:eastAsia="zh-CN"/>
        </w:rPr>
        <w:t>投入的主要人员汇总</w:t>
      </w:r>
      <w:r>
        <w:rPr>
          <w:rFonts w:hint="eastAsia" w:ascii="宋体" w:hAnsi="宋体" w:eastAsia="宋体" w:cs="宋体"/>
          <w:b/>
          <w:color w:val="auto"/>
          <w:sz w:val="30"/>
          <w:szCs w:val="30"/>
          <w:highlight w:val="none"/>
        </w:rPr>
        <w:t>表</w:t>
      </w:r>
    </w:p>
    <w:tbl>
      <w:tblPr>
        <w:tblStyle w:val="7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7"/>
        <w:gridCol w:w="714"/>
        <w:gridCol w:w="874"/>
        <w:gridCol w:w="1435"/>
        <w:gridCol w:w="1555"/>
        <w:gridCol w:w="708"/>
        <w:gridCol w:w="957"/>
        <w:gridCol w:w="1190"/>
        <w:gridCol w:w="11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27" w:type="dxa"/>
            <w:tcBorders>
              <w:bottom w:val="single" w:color="auto" w:sz="12" w:space="0"/>
            </w:tcBorders>
            <w:noWrap w:val="0"/>
            <w:vAlign w:val="center"/>
          </w:tcPr>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序</w:t>
            </w:r>
          </w:p>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号</w:t>
            </w:r>
          </w:p>
        </w:tc>
        <w:tc>
          <w:tcPr>
            <w:tcW w:w="714" w:type="dxa"/>
            <w:tcBorders>
              <w:bottom w:val="single" w:color="auto" w:sz="12" w:space="0"/>
              <w:right w:val="single" w:color="auto" w:sz="6" w:space="0"/>
            </w:tcBorders>
            <w:noWrap w:val="0"/>
            <w:vAlign w:val="center"/>
          </w:tcPr>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姓名</w:t>
            </w:r>
          </w:p>
        </w:tc>
        <w:tc>
          <w:tcPr>
            <w:tcW w:w="874" w:type="dxa"/>
            <w:tcBorders>
              <w:left w:val="single" w:color="auto" w:sz="6" w:space="0"/>
              <w:bottom w:val="single" w:color="auto" w:sz="12" w:space="0"/>
            </w:tcBorders>
            <w:noWrap w:val="0"/>
            <w:vAlign w:val="center"/>
          </w:tcPr>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年龄</w:t>
            </w:r>
          </w:p>
        </w:tc>
        <w:tc>
          <w:tcPr>
            <w:tcW w:w="1435" w:type="dxa"/>
            <w:tcBorders>
              <w:bottom w:val="single" w:color="auto" w:sz="12" w:space="0"/>
            </w:tcBorders>
            <w:noWrap w:val="0"/>
            <w:vAlign w:val="center"/>
          </w:tcPr>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拟     在</w:t>
            </w:r>
          </w:p>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本项目任职</w:t>
            </w:r>
          </w:p>
        </w:tc>
        <w:tc>
          <w:tcPr>
            <w:tcW w:w="1555" w:type="dxa"/>
            <w:tcBorders>
              <w:bottom w:val="single" w:color="auto" w:sz="12" w:space="0"/>
            </w:tcBorders>
            <w:noWrap w:val="0"/>
            <w:vAlign w:val="center"/>
          </w:tcPr>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毕业学校</w:t>
            </w:r>
          </w:p>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/专业</w:t>
            </w:r>
          </w:p>
        </w:tc>
        <w:tc>
          <w:tcPr>
            <w:tcW w:w="708" w:type="dxa"/>
            <w:tcBorders>
              <w:bottom w:val="single" w:color="auto" w:sz="12" w:space="0"/>
            </w:tcBorders>
            <w:noWrap w:val="0"/>
            <w:vAlign w:val="center"/>
          </w:tcPr>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学历</w:t>
            </w:r>
          </w:p>
        </w:tc>
        <w:tc>
          <w:tcPr>
            <w:tcW w:w="957" w:type="dxa"/>
            <w:tcBorders>
              <w:bottom w:val="single" w:color="auto" w:sz="12" w:space="0"/>
            </w:tcBorders>
            <w:noWrap w:val="0"/>
            <w:vAlign w:val="center"/>
          </w:tcPr>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职称</w:t>
            </w:r>
          </w:p>
        </w:tc>
        <w:tc>
          <w:tcPr>
            <w:tcW w:w="1190" w:type="dxa"/>
            <w:tcBorders>
              <w:bottom w:val="single" w:color="auto" w:sz="12" w:space="0"/>
            </w:tcBorders>
            <w:noWrap w:val="0"/>
            <w:vAlign w:val="center"/>
          </w:tcPr>
          <w:p>
            <w:pPr>
              <w:jc w:val="center"/>
              <w:rPr>
                <w:rFonts w:hint="eastAsia" w:ascii="宋体" w:hAnsi="宋体" w:eastAsia="宋体" w:cs="宋体"/>
                <w:color w:val="auto"/>
                <w:position w:val="-30"/>
                <w:sz w:val="24"/>
                <w:highlight w:val="none"/>
              </w:rPr>
            </w:pPr>
            <w:r>
              <w:rPr>
                <w:rFonts w:hint="eastAsia" w:ascii="宋体" w:hAnsi="宋体" w:eastAsia="宋体" w:cs="宋体"/>
                <w:color w:val="auto"/>
                <w:sz w:val="24"/>
                <w:highlight w:val="none"/>
              </w:rPr>
              <w:t>执业或职业资格证书</w:t>
            </w:r>
          </w:p>
        </w:tc>
        <w:tc>
          <w:tcPr>
            <w:tcW w:w="1180" w:type="dxa"/>
            <w:tcBorders>
              <w:bottom w:val="single" w:color="auto" w:sz="12" w:space="0"/>
            </w:tcBorders>
            <w:noWrap w:val="0"/>
            <w:vAlign w:val="center"/>
          </w:tcPr>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从事检（监）测</w:t>
            </w:r>
          </w:p>
          <w:p>
            <w:pPr>
              <w:jc w:val="center"/>
              <w:rPr>
                <w:rFonts w:hint="eastAsia" w:ascii="宋体" w:hAnsi="宋体" w:eastAsia="宋体" w:cs="宋体"/>
                <w:color w:val="auto"/>
                <w:position w:val="-30"/>
                <w:sz w:val="24"/>
                <w:highlight w:val="none"/>
              </w:rPr>
            </w:pPr>
            <w:r>
              <w:rPr>
                <w:rFonts w:hint="eastAsia" w:ascii="宋体" w:hAnsi="宋体" w:eastAsia="宋体" w:cs="宋体"/>
                <w:color w:val="auto"/>
                <w:position w:val="-30"/>
                <w:sz w:val="24"/>
                <w:highlight w:val="none"/>
              </w:rPr>
              <w:t>工作年限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tcBorders>
              <w:top w:val="single" w:color="auto" w:sz="12" w:space="0"/>
            </w:tcBorders>
            <w:noWrap w:val="0"/>
            <w:vAlign w:val="center"/>
          </w:tcPr>
          <w:p>
            <w:pPr>
              <w:jc w:val="center"/>
              <w:rPr>
                <w:rFonts w:hint="eastAsia" w:ascii="宋体" w:hAnsi="宋体" w:eastAsia="宋体" w:cs="宋体"/>
                <w:color w:val="auto"/>
                <w:sz w:val="24"/>
                <w:highlight w:val="none"/>
              </w:rPr>
            </w:pPr>
          </w:p>
        </w:tc>
        <w:tc>
          <w:tcPr>
            <w:tcW w:w="714" w:type="dxa"/>
            <w:tcBorders>
              <w:top w:val="single" w:color="auto" w:sz="12" w:space="0"/>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top w:val="single" w:color="auto" w:sz="12" w:space="0"/>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tcBorders>
              <w:top w:val="single" w:color="auto" w:sz="12" w:space="0"/>
            </w:tcBorders>
            <w:noWrap w:val="0"/>
            <w:vAlign w:val="center"/>
          </w:tcPr>
          <w:p>
            <w:pPr>
              <w:jc w:val="center"/>
              <w:rPr>
                <w:rFonts w:hint="eastAsia" w:ascii="宋体" w:hAnsi="宋体" w:eastAsia="宋体" w:cs="宋体"/>
                <w:color w:val="auto"/>
                <w:sz w:val="24"/>
                <w:highlight w:val="none"/>
              </w:rPr>
            </w:pPr>
          </w:p>
        </w:tc>
        <w:tc>
          <w:tcPr>
            <w:tcW w:w="1555" w:type="dxa"/>
            <w:tcBorders>
              <w:top w:val="single" w:color="auto" w:sz="12" w:space="0"/>
            </w:tcBorders>
            <w:noWrap w:val="0"/>
            <w:vAlign w:val="center"/>
          </w:tcPr>
          <w:p>
            <w:pPr>
              <w:jc w:val="center"/>
              <w:rPr>
                <w:rFonts w:hint="eastAsia" w:ascii="宋体" w:hAnsi="宋体" w:eastAsia="宋体" w:cs="宋体"/>
                <w:color w:val="auto"/>
                <w:sz w:val="24"/>
                <w:highlight w:val="none"/>
              </w:rPr>
            </w:pPr>
          </w:p>
        </w:tc>
        <w:tc>
          <w:tcPr>
            <w:tcW w:w="708" w:type="dxa"/>
            <w:tcBorders>
              <w:top w:val="single" w:color="auto" w:sz="12" w:space="0"/>
            </w:tcBorders>
            <w:noWrap w:val="0"/>
            <w:vAlign w:val="center"/>
          </w:tcPr>
          <w:p>
            <w:pPr>
              <w:jc w:val="center"/>
              <w:rPr>
                <w:rFonts w:hint="eastAsia" w:ascii="宋体" w:hAnsi="宋体" w:eastAsia="宋体" w:cs="宋体"/>
                <w:color w:val="auto"/>
                <w:sz w:val="24"/>
                <w:highlight w:val="none"/>
              </w:rPr>
            </w:pPr>
          </w:p>
        </w:tc>
        <w:tc>
          <w:tcPr>
            <w:tcW w:w="957" w:type="dxa"/>
            <w:tcBorders>
              <w:top w:val="single" w:color="auto" w:sz="12" w:space="0"/>
            </w:tcBorders>
            <w:noWrap w:val="0"/>
            <w:vAlign w:val="center"/>
          </w:tcPr>
          <w:p>
            <w:pPr>
              <w:jc w:val="center"/>
              <w:rPr>
                <w:rFonts w:hint="eastAsia" w:ascii="宋体" w:hAnsi="宋体" w:eastAsia="宋体" w:cs="宋体"/>
                <w:color w:val="auto"/>
                <w:sz w:val="24"/>
                <w:highlight w:val="none"/>
              </w:rPr>
            </w:pPr>
          </w:p>
        </w:tc>
        <w:tc>
          <w:tcPr>
            <w:tcW w:w="1190" w:type="dxa"/>
            <w:tcBorders>
              <w:top w:val="single" w:color="auto" w:sz="12" w:space="0"/>
            </w:tcBorders>
            <w:noWrap w:val="0"/>
            <w:vAlign w:val="center"/>
          </w:tcPr>
          <w:p>
            <w:pPr>
              <w:jc w:val="center"/>
              <w:rPr>
                <w:rFonts w:hint="eastAsia" w:ascii="宋体" w:hAnsi="宋体" w:eastAsia="宋体" w:cs="宋体"/>
                <w:color w:val="auto"/>
                <w:sz w:val="24"/>
                <w:highlight w:val="none"/>
              </w:rPr>
            </w:pPr>
          </w:p>
        </w:tc>
        <w:tc>
          <w:tcPr>
            <w:tcW w:w="1180" w:type="dxa"/>
            <w:tcBorders>
              <w:top w:val="single" w:color="auto" w:sz="12"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27" w:type="dxa"/>
            <w:noWrap w:val="0"/>
            <w:vAlign w:val="center"/>
          </w:tcPr>
          <w:p>
            <w:pPr>
              <w:jc w:val="center"/>
              <w:rPr>
                <w:rFonts w:hint="eastAsia" w:ascii="宋体" w:hAnsi="宋体" w:eastAsia="宋体" w:cs="宋体"/>
                <w:color w:val="auto"/>
                <w:sz w:val="24"/>
                <w:highlight w:val="none"/>
              </w:rPr>
            </w:pPr>
          </w:p>
        </w:tc>
        <w:tc>
          <w:tcPr>
            <w:tcW w:w="714" w:type="dxa"/>
            <w:tcBorders>
              <w:right w:val="single" w:color="auto" w:sz="6" w:space="0"/>
            </w:tcBorders>
            <w:noWrap w:val="0"/>
            <w:vAlign w:val="center"/>
          </w:tcPr>
          <w:p>
            <w:pPr>
              <w:jc w:val="center"/>
              <w:rPr>
                <w:rFonts w:hint="eastAsia" w:ascii="宋体" w:hAnsi="宋体" w:eastAsia="宋体" w:cs="宋体"/>
                <w:color w:val="auto"/>
                <w:sz w:val="24"/>
                <w:highlight w:val="none"/>
              </w:rPr>
            </w:pPr>
          </w:p>
        </w:tc>
        <w:tc>
          <w:tcPr>
            <w:tcW w:w="874" w:type="dxa"/>
            <w:tcBorders>
              <w:left w:val="single" w:color="auto" w:sz="6" w:space="0"/>
            </w:tcBorders>
            <w:noWrap w:val="0"/>
            <w:vAlign w:val="center"/>
          </w:tcPr>
          <w:p>
            <w:pPr>
              <w:jc w:val="center"/>
              <w:rPr>
                <w:rFonts w:hint="eastAsia" w:ascii="宋体" w:hAnsi="宋体" w:eastAsia="宋体" w:cs="宋体"/>
                <w:color w:val="auto"/>
                <w:sz w:val="24"/>
                <w:highlight w:val="none"/>
              </w:rPr>
            </w:pPr>
          </w:p>
        </w:tc>
        <w:tc>
          <w:tcPr>
            <w:tcW w:w="1435" w:type="dxa"/>
            <w:noWrap w:val="0"/>
            <w:vAlign w:val="center"/>
          </w:tcPr>
          <w:p>
            <w:pPr>
              <w:jc w:val="center"/>
              <w:rPr>
                <w:rFonts w:hint="eastAsia" w:ascii="宋体" w:hAnsi="宋体" w:eastAsia="宋体" w:cs="宋体"/>
                <w:color w:val="auto"/>
                <w:sz w:val="24"/>
                <w:highlight w:val="none"/>
              </w:rPr>
            </w:pPr>
          </w:p>
        </w:tc>
        <w:tc>
          <w:tcPr>
            <w:tcW w:w="1555" w:type="dxa"/>
            <w:noWrap w:val="0"/>
            <w:vAlign w:val="center"/>
          </w:tcPr>
          <w:p>
            <w:pPr>
              <w:jc w:val="center"/>
              <w:rPr>
                <w:rFonts w:hint="eastAsia" w:ascii="宋体" w:hAnsi="宋体" w:eastAsia="宋体" w:cs="宋体"/>
                <w:color w:val="auto"/>
                <w:sz w:val="24"/>
                <w:highlight w:val="none"/>
              </w:rPr>
            </w:pPr>
          </w:p>
        </w:tc>
        <w:tc>
          <w:tcPr>
            <w:tcW w:w="708" w:type="dxa"/>
            <w:noWrap w:val="0"/>
            <w:vAlign w:val="center"/>
          </w:tcPr>
          <w:p>
            <w:pPr>
              <w:jc w:val="center"/>
              <w:rPr>
                <w:rFonts w:hint="eastAsia" w:ascii="宋体" w:hAnsi="宋体" w:eastAsia="宋体" w:cs="宋体"/>
                <w:color w:val="auto"/>
                <w:sz w:val="24"/>
                <w:highlight w:val="none"/>
              </w:rPr>
            </w:pPr>
          </w:p>
        </w:tc>
        <w:tc>
          <w:tcPr>
            <w:tcW w:w="957" w:type="dxa"/>
            <w:noWrap w:val="0"/>
            <w:vAlign w:val="center"/>
          </w:tcPr>
          <w:p>
            <w:pPr>
              <w:jc w:val="center"/>
              <w:rPr>
                <w:rFonts w:hint="eastAsia" w:ascii="宋体" w:hAnsi="宋体" w:eastAsia="宋体" w:cs="宋体"/>
                <w:color w:val="auto"/>
                <w:sz w:val="24"/>
                <w:highlight w:val="none"/>
              </w:rPr>
            </w:pPr>
          </w:p>
        </w:tc>
        <w:tc>
          <w:tcPr>
            <w:tcW w:w="1190" w:type="dxa"/>
            <w:noWrap w:val="0"/>
            <w:vAlign w:val="center"/>
          </w:tcPr>
          <w:p>
            <w:pPr>
              <w:jc w:val="center"/>
              <w:rPr>
                <w:rFonts w:hint="eastAsia" w:ascii="宋体" w:hAnsi="宋体" w:eastAsia="宋体" w:cs="宋体"/>
                <w:color w:val="auto"/>
                <w:sz w:val="24"/>
                <w:highlight w:val="none"/>
              </w:rPr>
            </w:pPr>
          </w:p>
        </w:tc>
        <w:tc>
          <w:tcPr>
            <w:tcW w:w="1180" w:type="dxa"/>
            <w:noWrap w:val="0"/>
            <w:vAlign w:val="center"/>
          </w:tcPr>
          <w:p>
            <w:pPr>
              <w:jc w:val="center"/>
              <w:rPr>
                <w:rFonts w:hint="eastAsia" w:ascii="宋体" w:hAnsi="宋体" w:eastAsia="宋体" w:cs="宋体"/>
                <w:color w:val="auto"/>
                <w:sz w:val="24"/>
                <w:highlight w:val="none"/>
              </w:rPr>
            </w:pPr>
          </w:p>
        </w:tc>
      </w:tr>
    </w:tbl>
    <w:p>
      <w:pPr>
        <w:pStyle w:val="3"/>
        <w:jc w:val="center"/>
        <w:rPr>
          <w:rFonts w:hint="eastAsia" w:ascii="宋体" w:hAnsi="宋体" w:eastAsia="宋体" w:cs="宋体"/>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before="156" w:beforeLines="50" w:after="156" w:after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w:t>
      </w:r>
      <w:r>
        <w:rPr>
          <w:rFonts w:hint="eastAsia" w:ascii="宋体" w:hAnsi="宋体" w:cs="宋体"/>
          <w:b/>
          <w:color w:val="auto"/>
          <w:sz w:val="30"/>
          <w:szCs w:val="30"/>
          <w:highlight w:val="none"/>
          <w:lang w:val="en-US" w:eastAsia="zh-CN"/>
        </w:rPr>
        <w:t>-1</w:t>
      </w:r>
      <w:r>
        <w:rPr>
          <w:rFonts w:hint="eastAsia" w:ascii="宋体" w:hAnsi="宋体" w:eastAsia="宋体" w:cs="宋体"/>
          <w:b/>
          <w:color w:val="auto"/>
          <w:sz w:val="30"/>
          <w:szCs w:val="30"/>
          <w:highlight w:val="none"/>
        </w:rPr>
        <w:t>拟投入本项目的</w:t>
      </w:r>
      <w:r>
        <w:rPr>
          <w:rFonts w:hint="eastAsia" w:ascii="宋体" w:hAnsi="宋体" w:eastAsia="宋体" w:cs="宋体"/>
          <w:b/>
          <w:color w:val="auto"/>
          <w:sz w:val="30"/>
          <w:szCs w:val="30"/>
          <w:highlight w:val="none"/>
          <w:lang w:val="en-US" w:eastAsia="zh-CN"/>
        </w:rPr>
        <w:t>项目负责人</w:t>
      </w:r>
      <w:r>
        <w:rPr>
          <w:rFonts w:hint="eastAsia" w:ascii="宋体" w:hAnsi="宋体" w:eastAsia="宋体" w:cs="宋体"/>
          <w:b/>
          <w:color w:val="auto"/>
          <w:sz w:val="30"/>
          <w:szCs w:val="30"/>
          <w:highlight w:val="none"/>
        </w:rPr>
        <w:t>简历表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048" w:type="dxa"/>
            <w:gridSpan w:val="2"/>
            <w:noWrap w:val="0"/>
            <w:vAlign w:val="center"/>
          </w:tcPr>
          <w:p>
            <w:pPr>
              <w:spacing w:line="440" w:lineRule="exact"/>
              <w:jc w:val="center"/>
              <w:rPr>
                <w:rFonts w:hint="eastAsia" w:ascii="宋体" w:hAnsi="宋体" w:eastAsia="宋体" w:cs="宋体"/>
                <w:color w:val="auto"/>
                <w:highlight w:val="none"/>
              </w:rPr>
            </w:pPr>
          </w:p>
        </w:tc>
        <w:tc>
          <w:tcPr>
            <w:tcW w:w="958"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065" w:type="dxa"/>
            <w:noWrap w:val="0"/>
            <w:vAlign w:val="center"/>
          </w:tcPr>
          <w:p>
            <w:pPr>
              <w:spacing w:line="440" w:lineRule="exact"/>
              <w:jc w:val="center"/>
              <w:rPr>
                <w:rFonts w:hint="eastAsia" w:ascii="宋体" w:hAnsi="宋体" w:eastAsia="宋体" w:cs="宋体"/>
                <w:color w:val="auto"/>
                <w:highlight w:val="none"/>
              </w:rPr>
            </w:pPr>
          </w:p>
        </w:tc>
        <w:tc>
          <w:tcPr>
            <w:tcW w:w="2368" w:type="dxa"/>
            <w:gridSpan w:val="3"/>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896"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048" w:type="dxa"/>
            <w:gridSpan w:val="2"/>
            <w:noWrap w:val="0"/>
            <w:vAlign w:val="center"/>
          </w:tcPr>
          <w:p>
            <w:pPr>
              <w:spacing w:line="440" w:lineRule="exact"/>
              <w:jc w:val="center"/>
              <w:rPr>
                <w:rFonts w:hint="eastAsia" w:ascii="宋体" w:hAnsi="宋体" w:eastAsia="宋体" w:cs="宋体"/>
                <w:color w:val="auto"/>
                <w:highlight w:val="none"/>
              </w:rPr>
            </w:pPr>
          </w:p>
        </w:tc>
        <w:tc>
          <w:tcPr>
            <w:tcW w:w="958" w:type="dxa"/>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065" w:type="dxa"/>
            <w:noWrap w:val="0"/>
            <w:vAlign w:val="center"/>
          </w:tcPr>
          <w:p>
            <w:pPr>
              <w:spacing w:line="440" w:lineRule="exact"/>
              <w:jc w:val="center"/>
              <w:rPr>
                <w:rFonts w:hint="eastAsia" w:ascii="宋体" w:hAnsi="宋体" w:eastAsia="宋体" w:cs="宋体"/>
                <w:color w:val="auto"/>
                <w:highlight w:val="none"/>
              </w:rPr>
            </w:pPr>
          </w:p>
        </w:tc>
        <w:tc>
          <w:tcPr>
            <w:tcW w:w="2368" w:type="dxa"/>
            <w:gridSpan w:val="3"/>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拟在本项目任职</w:t>
            </w:r>
          </w:p>
        </w:tc>
        <w:tc>
          <w:tcPr>
            <w:tcW w:w="1896"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3071" w:type="dxa"/>
            <w:gridSpan w:val="4"/>
            <w:noWrap w:val="0"/>
            <w:vAlign w:val="center"/>
          </w:tcPr>
          <w:p>
            <w:pPr>
              <w:spacing w:line="440" w:lineRule="exact"/>
              <w:jc w:val="center"/>
              <w:rPr>
                <w:rFonts w:hint="eastAsia" w:ascii="宋体" w:hAnsi="宋体" w:eastAsia="宋体" w:cs="宋体"/>
                <w:color w:val="auto"/>
                <w:highlight w:val="none"/>
              </w:rPr>
            </w:pPr>
          </w:p>
        </w:tc>
        <w:tc>
          <w:tcPr>
            <w:tcW w:w="2368" w:type="dxa"/>
            <w:gridSpan w:val="3"/>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从事检</w:t>
            </w:r>
            <w:r>
              <w:rPr>
                <w:rFonts w:hint="eastAsia" w:ascii="宋体" w:hAnsi="宋体" w:eastAsia="宋体" w:cs="宋体"/>
                <w:color w:val="auto"/>
                <w:highlight w:val="none"/>
                <w:lang w:eastAsia="zh-CN"/>
              </w:rPr>
              <w:t>（监）</w:t>
            </w:r>
            <w:r>
              <w:rPr>
                <w:rFonts w:hint="eastAsia" w:ascii="宋体" w:hAnsi="宋体" w:eastAsia="宋体" w:cs="宋体"/>
                <w:color w:val="auto"/>
                <w:highlight w:val="none"/>
              </w:rPr>
              <w:t>测工作年限</w:t>
            </w:r>
          </w:p>
        </w:tc>
        <w:tc>
          <w:tcPr>
            <w:tcW w:w="1896"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7335" w:type="dxa"/>
            <w:gridSpan w:val="8"/>
            <w:noWrap w:val="0"/>
            <w:vAlign w:val="center"/>
          </w:tcPr>
          <w:p>
            <w:pPr>
              <w:spacing w:before="100" w:beforeAutospacing="1" w:after="100" w:afterAutospacing="1" w:line="440" w:lineRule="exact"/>
              <w:ind w:firstLine="1155" w:firstLineChars="550"/>
              <w:rPr>
                <w:rFonts w:hint="eastAsia" w:ascii="宋体" w:hAnsi="宋体" w:eastAsia="宋体" w:cs="宋体"/>
                <w:color w:val="auto"/>
                <w:highlight w:val="none"/>
              </w:rPr>
            </w:pPr>
            <w:r>
              <w:rPr>
                <w:rFonts w:hint="eastAsia" w:ascii="宋体" w:hAnsi="宋体" w:eastAsia="宋体" w:cs="宋体"/>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pPr>
              <w:spacing w:before="100" w:beforeAutospacing="1" w:after="100" w:afterAutospacing="1"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420" w:type="dxa"/>
            <w:gridSpan w:val="4"/>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1261" w:type="dxa"/>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297" w:type="dxa"/>
            <w:gridSpan w:val="2"/>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hint="eastAsia" w:ascii="宋体" w:hAnsi="宋体" w:eastAsia="宋体" w:cs="宋体"/>
                <w:color w:val="auto"/>
                <w:highlight w:val="none"/>
              </w:rPr>
            </w:pPr>
          </w:p>
        </w:tc>
        <w:tc>
          <w:tcPr>
            <w:tcW w:w="3420" w:type="dxa"/>
            <w:gridSpan w:val="4"/>
            <w:noWrap w:val="0"/>
            <w:vAlign w:val="top"/>
          </w:tcPr>
          <w:p>
            <w:pPr>
              <w:spacing w:line="440" w:lineRule="exact"/>
              <w:rPr>
                <w:rFonts w:hint="eastAsia" w:ascii="宋体" w:hAnsi="宋体" w:eastAsia="宋体" w:cs="宋体"/>
                <w:color w:val="auto"/>
                <w:highlight w:val="none"/>
              </w:rPr>
            </w:pPr>
          </w:p>
        </w:tc>
        <w:tc>
          <w:tcPr>
            <w:tcW w:w="1261" w:type="dxa"/>
            <w:noWrap w:val="0"/>
            <w:vAlign w:val="top"/>
          </w:tcPr>
          <w:p>
            <w:pPr>
              <w:spacing w:line="440" w:lineRule="exact"/>
              <w:rPr>
                <w:rFonts w:hint="eastAsia" w:ascii="宋体" w:hAnsi="宋体" w:eastAsia="宋体" w:cs="宋体"/>
                <w:color w:val="auto"/>
                <w:highlight w:val="none"/>
              </w:rPr>
            </w:pPr>
          </w:p>
        </w:tc>
        <w:tc>
          <w:tcPr>
            <w:tcW w:w="2297" w:type="dxa"/>
            <w:gridSpan w:val="2"/>
            <w:noWrap w:val="0"/>
            <w:vAlign w:val="top"/>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hint="eastAsia" w:ascii="宋体" w:hAnsi="宋体" w:eastAsia="宋体" w:cs="宋体"/>
                <w:color w:val="auto"/>
                <w:highlight w:val="none"/>
              </w:rPr>
            </w:pPr>
          </w:p>
        </w:tc>
        <w:tc>
          <w:tcPr>
            <w:tcW w:w="3420" w:type="dxa"/>
            <w:gridSpan w:val="4"/>
            <w:noWrap w:val="0"/>
            <w:vAlign w:val="top"/>
          </w:tcPr>
          <w:p>
            <w:pPr>
              <w:spacing w:line="440" w:lineRule="exact"/>
              <w:rPr>
                <w:rFonts w:hint="eastAsia" w:ascii="宋体" w:hAnsi="宋体" w:eastAsia="宋体" w:cs="宋体"/>
                <w:color w:val="auto"/>
                <w:highlight w:val="none"/>
              </w:rPr>
            </w:pPr>
          </w:p>
        </w:tc>
        <w:tc>
          <w:tcPr>
            <w:tcW w:w="1261" w:type="dxa"/>
            <w:noWrap w:val="0"/>
            <w:vAlign w:val="top"/>
          </w:tcPr>
          <w:p>
            <w:pPr>
              <w:spacing w:line="440" w:lineRule="exact"/>
              <w:rPr>
                <w:rFonts w:hint="eastAsia" w:ascii="宋体" w:hAnsi="宋体" w:eastAsia="宋体" w:cs="宋体"/>
                <w:color w:val="auto"/>
                <w:highlight w:val="none"/>
              </w:rPr>
            </w:pPr>
          </w:p>
        </w:tc>
        <w:tc>
          <w:tcPr>
            <w:tcW w:w="2297" w:type="dxa"/>
            <w:gridSpan w:val="2"/>
            <w:noWrap w:val="0"/>
            <w:vAlign w:val="top"/>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hint="eastAsia" w:ascii="宋体" w:hAnsi="宋体" w:eastAsia="宋体" w:cs="宋体"/>
                <w:color w:val="auto"/>
                <w:highlight w:val="none"/>
              </w:rPr>
            </w:pPr>
          </w:p>
        </w:tc>
        <w:tc>
          <w:tcPr>
            <w:tcW w:w="3420" w:type="dxa"/>
            <w:gridSpan w:val="4"/>
            <w:noWrap w:val="0"/>
            <w:vAlign w:val="top"/>
          </w:tcPr>
          <w:p>
            <w:pPr>
              <w:spacing w:line="440" w:lineRule="exact"/>
              <w:rPr>
                <w:rFonts w:hint="eastAsia" w:ascii="宋体" w:hAnsi="宋体" w:eastAsia="宋体" w:cs="宋体"/>
                <w:color w:val="auto"/>
                <w:highlight w:val="none"/>
              </w:rPr>
            </w:pPr>
          </w:p>
        </w:tc>
        <w:tc>
          <w:tcPr>
            <w:tcW w:w="1261" w:type="dxa"/>
            <w:noWrap w:val="0"/>
            <w:vAlign w:val="top"/>
          </w:tcPr>
          <w:p>
            <w:pPr>
              <w:spacing w:line="440" w:lineRule="exact"/>
              <w:rPr>
                <w:rFonts w:hint="eastAsia" w:ascii="宋体" w:hAnsi="宋体" w:eastAsia="宋体" w:cs="宋体"/>
                <w:color w:val="auto"/>
                <w:highlight w:val="none"/>
              </w:rPr>
            </w:pPr>
          </w:p>
        </w:tc>
        <w:tc>
          <w:tcPr>
            <w:tcW w:w="2297" w:type="dxa"/>
            <w:gridSpan w:val="2"/>
            <w:noWrap w:val="0"/>
            <w:vAlign w:val="top"/>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hint="eastAsia" w:ascii="宋体" w:hAnsi="宋体" w:eastAsia="宋体" w:cs="宋体"/>
                <w:color w:val="auto"/>
                <w:highlight w:val="none"/>
              </w:rPr>
            </w:pPr>
          </w:p>
        </w:tc>
        <w:tc>
          <w:tcPr>
            <w:tcW w:w="3420" w:type="dxa"/>
            <w:gridSpan w:val="4"/>
            <w:noWrap w:val="0"/>
            <w:vAlign w:val="center"/>
          </w:tcPr>
          <w:p>
            <w:pPr>
              <w:spacing w:line="440" w:lineRule="exact"/>
              <w:rPr>
                <w:rFonts w:hint="eastAsia" w:ascii="宋体" w:hAnsi="宋体" w:eastAsia="宋体" w:cs="宋体"/>
                <w:color w:val="auto"/>
                <w:highlight w:val="none"/>
              </w:rPr>
            </w:pPr>
          </w:p>
        </w:tc>
        <w:tc>
          <w:tcPr>
            <w:tcW w:w="1261" w:type="dxa"/>
            <w:noWrap w:val="0"/>
            <w:vAlign w:val="center"/>
          </w:tcPr>
          <w:p>
            <w:pPr>
              <w:spacing w:line="440" w:lineRule="exact"/>
              <w:rPr>
                <w:rFonts w:hint="eastAsia" w:ascii="宋体" w:hAnsi="宋体" w:eastAsia="宋体" w:cs="宋体"/>
                <w:color w:val="auto"/>
                <w:highlight w:val="none"/>
              </w:rPr>
            </w:pPr>
          </w:p>
        </w:tc>
        <w:tc>
          <w:tcPr>
            <w:tcW w:w="2297" w:type="dxa"/>
            <w:gridSpan w:val="2"/>
            <w:noWrap w:val="0"/>
            <w:vAlign w:val="center"/>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hint="eastAsia" w:ascii="宋体" w:hAnsi="宋体" w:eastAsia="宋体" w:cs="宋体"/>
                <w:color w:val="auto"/>
                <w:highlight w:val="none"/>
              </w:rPr>
            </w:pPr>
          </w:p>
        </w:tc>
        <w:tc>
          <w:tcPr>
            <w:tcW w:w="3420" w:type="dxa"/>
            <w:gridSpan w:val="4"/>
            <w:noWrap w:val="0"/>
            <w:vAlign w:val="center"/>
          </w:tcPr>
          <w:p>
            <w:pPr>
              <w:spacing w:line="440" w:lineRule="exact"/>
              <w:rPr>
                <w:rFonts w:hint="eastAsia" w:ascii="宋体" w:hAnsi="宋体" w:eastAsia="宋体" w:cs="宋体"/>
                <w:color w:val="auto"/>
                <w:highlight w:val="none"/>
              </w:rPr>
            </w:pPr>
          </w:p>
        </w:tc>
        <w:tc>
          <w:tcPr>
            <w:tcW w:w="1261" w:type="dxa"/>
            <w:noWrap w:val="0"/>
            <w:vAlign w:val="center"/>
          </w:tcPr>
          <w:p>
            <w:pPr>
              <w:spacing w:line="440" w:lineRule="exact"/>
              <w:rPr>
                <w:rFonts w:hint="eastAsia" w:ascii="宋体" w:hAnsi="宋体" w:eastAsia="宋体" w:cs="宋体"/>
                <w:color w:val="auto"/>
                <w:highlight w:val="none"/>
              </w:rPr>
            </w:pPr>
          </w:p>
        </w:tc>
        <w:tc>
          <w:tcPr>
            <w:tcW w:w="2297" w:type="dxa"/>
            <w:gridSpan w:val="2"/>
            <w:noWrap w:val="0"/>
            <w:vAlign w:val="center"/>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hint="eastAsia" w:ascii="宋体" w:hAnsi="宋体" w:eastAsia="宋体" w:cs="宋体"/>
                <w:color w:val="auto"/>
                <w:highlight w:val="none"/>
              </w:rPr>
            </w:pPr>
          </w:p>
        </w:tc>
        <w:tc>
          <w:tcPr>
            <w:tcW w:w="3420" w:type="dxa"/>
            <w:gridSpan w:val="4"/>
            <w:noWrap w:val="0"/>
            <w:vAlign w:val="center"/>
          </w:tcPr>
          <w:p>
            <w:pPr>
              <w:spacing w:line="440" w:lineRule="exact"/>
              <w:rPr>
                <w:rFonts w:hint="eastAsia" w:ascii="宋体" w:hAnsi="宋体" w:eastAsia="宋体" w:cs="宋体"/>
                <w:color w:val="auto"/>
                <w:highlight w:val="none"/>
              </w:rPr>
            </w:pPr>
          </w:p>
        </w:tc>
        <w:tc>
          <w:tcPr>
            <w:tcW w:w="1261" w:type="dxa"/>
            <w:noWrap w:val="0"/>
            <w:vAlign w:val="center"/>
          </w:tcPr>
          <w:p>
            <w:pPr>
              <w:spacing w:line="440" w:lineRule="exact"/>
              <w:rPr>
                <w:rFonts w:hint="eastAsia" w:ascii="宋体" w:hAnsi="宋体" w:eastAsia="宋体" w:cs="宋体"/>
                <w:color w:val="auto"/>
                <w:highlight w:val="none"/>
              </w:rPr>
            </w:pPr>
          </w:p>
        </w:tc>
        <w:tc>
          <w:tcPr>
            <w:tcW w:w="2297" w:type="dxa"/>
            <w:gridSpan w:val="2"/>
            <w:noWrap w:val="0"/>
            <w:vAlign w:val="center"/>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hint="eastAsia" w:ascii="宋体" w:hAnsi="宋体" w:eastAsia="宋体" w:cs="宋体"/>
                <w:color w:val="auto"/>
                <w:highlight w:val="none"/>
              </w:rPr>
            </w:pPr>
          </w:p>
        </w:tc>
        <w:tc>
          <w:tcPr>
            <w:tcW w:w="3420" w:type="dxa"/>
            <w:gridSpan w:val="4"/>
            <w:noWrap w:val="0"/>
            <w:vAlign w:val="center"/>
          </w:tcPr>
          <w:p>
            <w:pPr>
              <w:spacing w:line="440" w:lineRule="exact"/>
              <w:rPr>
                <w:rFonts w:hint="eastAsia" w:ascii="宋体" w:hAnsi="宋体" w:eastAsia="宋体" w:cs="宋体"/>
                <w:color w:val="auto"/>
                <w:highlight w:val="none"/>
              </w:rPr>
            </w:pPr>
          </w:p>
        </w:tc>
        <w:tc>
          <w:tcPr>
            <w:tcW w:w="1261" w:type="dxa"/>
            <w:noWrap w:val="0"/>
            <w:vAlign w:val="center"/>
          </w:tcPr>
          <w:p>
            <w:pPr>
              <w:spacing w:line="440" w:lineRule="exact"/>
              <w:rPr>
                <w:rFonts w:hint="eastAsia" w:ascii="宋体" w:hAnsi="宋体" w:eastAsia="宋体" w:cs="宋体"/>
                <w:color w:val="auto"/>
                <w:highlight w:val="none"/>
              </w:rPr>
            </w:pPr>
          </w:p>
        </w:tc>
        <w:tc>
          <w:tcPr>
            <w:tcW w:w="2297" w:type="dxa"/>
            <w:gridSpan w:val="2"/>
            <w:noWrap w:val="0"/>
            <w:vAlign w:val="center"/>
          </w:tcPr>
          <w:p>
            <w:pPr>
              <w:spacing w:line="440" w:lineRule="exact"/>
              <w:rPr>
                <w:rFonts w:hint="eastAsia" w:ascii="宋体" w:hAnsi="宋体" w:eastAsia="宋体" w:cs="宋体"/>
                <w:color w:val="auto"/>
                <w:highlight w:val="none"/>
              </w:rPr>
            </w:pPr>
          </w:p>
        </w:tc>
      </w:tr>
    </w:tbl>
    <w:p>
      <w:pPr>
        <w:numPr>
          <w:ilvl w:val="-1"/>
          <w:numId w:val="0"/>
        </w:numPr>
        <w:ind w:left="0" w:firstLine="0"/>
        <w:jc w:val="both"/>
        <w:rPr>
          <w:rFonts w:hint="eastAsia" w:ascii="宋体" w:hAnsi="宋体" w:eastAsia="宋体" w:cs="宋体"/>
          <w:color w:val="auto"/>
          <w:highlight w:val="none"/>
        </w:rPr>
      </w:pPr>
    </w:p>
    <w:p>
      <w:pPr>
        <w:numPr>
          <w:ilvl w:val="-1"/>
          <w:numId w:val="0"/>
        </w:numPr>
        <w:tabs>
          <w:tab w:val="left" w:pos="435"/>
        </w:tabs>
        <w:ind w:left="0" w:firstLine="0"/>
        <w:jc w:val="both"/>
        <w:rPr>
          <w:rFonts w:hint="eastAsia" w:ascii="宋体" w:hAnsi="宋体" w:eastAsia="宋体" w:cs="宋体"/>
          <w:color w:val="auto"/>
          <w:highlight w:val="none"/>
        </w:rPr>
        <w:sectPr>
          <w:footnotePr>
            <w:numFmt w:val="decimalEnclosedCircleChinese"/>
          </w:footnotePr>
          <w:pgSz w:w="11907" w:h="16840"/>
          <w:pgMar w:top="1588" w:right="1588" w:bottom="972" w:left="1644"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highlight w:val="none"/>
        </w:rPr>
        <w:t>注：1、投标人应根据招标文件第二章“投标人须知”第3.5.4项的要求在本表后附相关证明材料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其中人员的身份证和职称证书为资格审查资料，其余为评标资料</w:t>
      </w:r>
      <w:r>
        <w:rPr>
          <w:rFonts w:hint="eastAsia" w:ascii="宋体" w:hAnsi="宋体" w:eastAsia="宋体" w:cs="宋体"/>
          <w:color w:val="auto"/>
          <w:highlight w:val="none"/>
        </w:rPr>
        <w:t>。</w:t>
      </w:r>
    </w:p>
    <w:p>
      <w:pPr>
        <w:spacing w:before="156" w:beforeLines="50" w:after="156" w:after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w:t>
      </w:r>
      <w:r>
        <w:rPr>
          <w:rFonts w:hint="eastAsia" w:ascii="宋体" w:hAnsi="宋体" w:cs="宋体"/>
          <w:b/>
          <w:color w:val="auto"/>
          <w:sz w:val="30"/>
          <w:szCs w:val="30"/>
          <w:highlight w:val="none"/>
          <w:lang w:val="en-US" w:eastAsia="zh-CN"/>
        </w:rPr>
        <w:t>-2</w:t>
      </w:r>
      <w:r>
        <w:rPr>
          <w:rFonts w:hint="eastAsia" w:ascii="宋体" w:hAnsi="宋体" w:eastAsia="宋体" w:cs="宋体"/>
          <w:b/>
          <w:color w:val="auto"/>
          <w:sz w:val="30"/>
          <w:szCs w:val="30"/>
          <w:highlight w:val="none"/>
        </w:rPr>
        <w:t>拟投入本项目的主要人员简历表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048" w:type="dxa"/>
            <w:gridSpan w:val="2"/>
            <w:noWrap w:val="0"/>
            <w:vAlign w:val="center"/>
          </w:tcPr>
          <w:p>
            <w:pPr>
              <w:spacing w:line="440" w:lineRule="exact"/>
              <w:jc w:val="center"/>
              <w:rPr>
                <w:rFonts w:hint="eastAsia" w:ascii="宋体" w:hAnsi="宋体" w:eastAsia="宋体" w:cs="宋体"/>
                <w:color w:val="auto"/>
                <w:highlight w:val="none"/>
              </w:rPr>
            </w:pPr>
          </w:p>
        </w:tc>
        <w:tc>
          <w:tcPr>
            <w:tcW w:w="958"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065" w:type="dxa"/>
            <w:noWrap w:val="0"/>
            <w:vAlign w:val="center"/>
          </w:tcPr>
          <w:p>
            <w:pPr>
              <w:spacing w:line="440" w:lineRule="exact"/>
              <w:jc w:val="center"/>
              <w:rPr>
                <w:rFonts w:hint="eastAsia" w:ascii="宋体" w:hAnsi="宋体" w:eastAsia="宋体" w:cs="宋体"/>
                <w:color w:val="auto"/>
                <w:highlight w:val="none"/>
              </w:rPr>
            </w:pPr>
          </w:p>
        </w:tc>
        <w:tc>
          <w:tcPr>
            <w:tcW w:w="2368" w:type="dxa"/>
            <w:gridSpan w:val="3"/>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896"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048" w:type="dxa"/>
            <w:gridSpan w:val="2"/>
            <w:noWrap w:val="0"/>
            <w:vAlign w:val="center"/>
          </w:tcPr>
          <w:p>
            <w:pPr>
              <w:spacing w:line="440" w:lineRule="exact"/>
              <w:jc w:val="center"/>
              <w:rPr>
                <w:rFonts w:hint="eastAsia" w:ascii="宋体" w:hAnsi="宋体" w:eastAsia="宋体" w:cs="宋体"/>
                <w:color w:val="auto"/>
                <w:highlight w:val="none"/>
              </w:rPr>
            </w:pPr>
          </w:p>
        </w:tc>
        <w:tc>
          <w:tcPr>
            <w:tcW w:w="958" w:type="dxa"/>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065" w:type="dxa"/>
            <w:noWrap w:val="0"/>
            <w:vAlign w:val="center"/>
          </w:tcPr>
          <w:p>
            <w:pPr>
              <w:spacing w:line="440" w:lineRule="exact"/>
              <w:jc w:val="center"/>
              <w:rPr>
                <w:rFonts w:hint="eastAsia" w:ascii="宋体" w:hAnsi="宋体" w:eastAsia="宋体" w:cs="宋体"/>
                <w:color w:val="auto"/>
                <w:highlight w:val="none"/>
              </w:rPr>
            </w:pPr>
          </w:p>
        </w:tc>
        <w:tc>
          <w:tcPr>
            <w:tcW w:w="2368" w:type="dxa"/>
            <w:gridSpan w:val="3"/>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拟在本项目任职</w:t>
            </w:r>
          </w:p>
        </w:tc>
        <w:tc>
          <w:tcPr>
            <w:tcW w:w="1896"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3071" w:type="dxa"/>
            <w:gridSpan w:val="4"/>
            <w:noWrap w:val="0"/>
            <w:vAlign w:val="center"/>
          </w:tcPr>
          <w:p>
            <w:pPr>
              <w:spacing w:line="440" w:lineRule="exact"/>
              <w:jc w:val="center"/>
              <w:rPr>
                <w:rFonts w:hint="eastAsia" w:ascii="宋体" w:hAnsi="宋体" w:eastAsia="宋体" w:cs="宋体"/>
                <w:color w:val="auto"/>
                <w:highlight w:val="none"/>
              </w:rPr>
            </w:pPr>
          </w:p>
        </w:tc>
        <w:tc>
          <w:tcPr>
            <w:tcW w:w="2368" w:type="dxa"/>
            <w:gridSpan w:val="3"/>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从事检</w:t>
            </w:r>
            <w:r>
              <w:rPr>
                <w:rFonts w:hint="eastAsia" w:ascii="宋体" w:hAnsi="宋体" w:eastAsia="宋体" w:cs="宋体"/>
                <w:color w:val="auto"/>
                <w:highlight w:val="none"/>
                <w:lang w:eastAsia="zh-CN"/>
              </w:rPr>
              <w:t>（监）</w:t>
            </w:r>
            <w:r>
              <w:rPr>
                <w:rFonts w:hint="eastAsia" w:ascii="宋体" w:hAnsi="宋体" w:eastAsia="宋体" w:cs="宋体"/>
                <w:color w:val="auto"/>
                <w:highlight w:val="none"/>
              </w:rPr>
              <w:t>测工作年限</w:t>
            </w:r>
          </w:p>
        </w:tc>
        <w:tc>
          <w:tcPr>
            <w:tcW w:w="1896" w:type="dxa"/>
            <w:noWrap w:val="0"/>
            <w:vAlign w:val="center"/>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7335" w:type="dxa"/>
            <w:gridSpan w:val="8"/>
            <w:noWrap w:val="0"/>
            <w:vAlign w:val="center"/>
          </w:tcPr>
          <w:p>
            <w:pPr>
              <w:spacing w:before="100" w:beforeAutospacing="1" w:after="100" w:afterAutospacing="1" w:line="440" w:lineRule="exact"/>
              <w:ind w:firstLine="1155" w:firstLineChars="550"/>
              <w:rPr>
                <w:rFonts w:hint="eastAsia" w:ascii="宋体" w:hAnsi="宋体" w:eastAsia="宋体" w:cs="宋体"/>
                <w:color w:val="auto"/>
                <w:highlight w:val="none"/>
              </w:rPr>
            </w:pPr>
            <w:r>
              <w:rPr>
                <w:rFonts w:hint="eastAsia" w:ascii="宋体" w:hAnsi="宋体" w:eastAsia="宋体" w:cs="宋体"/>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pPr>
              <w:spacing w:before="100" w:beforeAutospacing="1" w:after="100" w:afterAutospacing="1"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420" w:type="dxa"/>
            <w:gridSpan w:val="4"/>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1261" w:type="dxa"/>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297" w:type="dxa"/>
            <w:gridSpan w:val="2"/>
            <w:noWrap w:val="0"/>
            <w:vAlign w:val="center"/>
          </w:tcPr>
          <w:p>
            <w:pPr>
              <w:spacing w:before="100" w:beforeAutospacing="1" w:after="100" w:afterAutospacing="1"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hint="eastAsia" w:ascii="宋体" w:hAnsi="宋体" w:eastAsia="宋体" w:cs="宋体"/>
                <w:color w:val="auto"/>
                <w:highlight w:val="none"/>
              </w:rPr>
            </w:pPr>
          </w:p>
        </w:tc>
        <w:tc>
          <w:tcPr>
            <w:tcW w:w="3420" w:type="dxa"/>
            <w:gridSpan w:val="4"/>
            <w:noWrap w:val="0"/>
            <w:vAlign w:val="top"/>
          </w:tcPr>
          <w:p>
            <w:pPr>
              <w:spacing w:line="440" w:lineRule="exact"/>
              <w:rPr>
                <w:rFonts w:hint="eastAsia" w:ascii="宋体" w:hAnsi="宋体" w:eastAsia="宋体" w:cs="宋体"/>
                <w:color w:val="auto"/>
                <w:highlight w:val="none"/>
              </w:rPr>
            </w:pPr>
          </w:p>
        </w:tc>
        <w:tc>
          <w:tcPr>
            <w:tcW w:w="1261" w:type="dxa"/>
            <w:noWrap w:val="0"/>
            <w:vAlign w:val="top"/>
          </w:tcPr>
          <w:p>
            <w:pPr>
              <w:spacing w:line="440" w:lineRule="exact"/>
              <w:rPr>
                <w:rFonts w:hint="eastAsia" w:ascii="宋体" w:hAnsi="宋体" w:eastAsia="宋体" w:cs="宋体"/>
                <w:color w:val="auto"/>
                <w:highlight w:val="none"/>
              </w:rPr>
            </w:pPr>
          </w:p>
        </w:tc>
        <w:tc>
          <w:tcPr>
            <w:tcW w:w="2297" w:type="dxa"/>
            <w:gridSpan w:val="2"/>
            <w:noWrap w:val="0"/>
            <w:vAlign w:val="top"/>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hint="eastAsia" w:ascii="宋体" w:hAnsi="宋体" w:eastAsia="宋体" w:cs="宋体"/>
                <w:color w:val="auto"/>
                <w:highlight w:val="none"/>
              </w:rPr>
            </w:pPr>
          </w:p>
        </w:tc>
        <w:tc>
          <w:tcPr>
            <w:tcW w:w="3420" w:type="dxa"/>
            <w:gridSpan w:val="4"/>
            <w:noWrap w:val="0"/>
            <w:vAlign w:val="top"/>
          </w:tcPr>
          <w:p>
            <w:pPr>
              <w:spacing w:line="440" w:lineRule="exact"/>
              <w:rPr>
                <w:rFonts w:hint="eastAsia" w:ascii="宋体" w:hAnsi="宋体" w:eastAsia="宋体" w:cs="宋体"/>
                <w:color w:val="auto"/>
                <w:highlight w:val="none"/>
              </w:rPr>
            </w:pPr>
          </w:p>
        </w:tc>
        <w:tc>
          <w:tcPr>
            <w:tcW w:w="1261" w:type="dxa"/>
            <w:noWrap w:val="0"/>
            <w:vAlign w:val="top"/>
          </w:tcPr>
          <w:p>
            <w:pPr>
              <w:spacing w:line="440" w:lineRule="exact"/>
              <w:rPr>
                <w:rFonts w:hint="eastAsia" w:ascii="宋体" w:hAnsi="宋体" w:eastAsia="宋体" w:cs="宋体"/>
                <w:color w:val="auto"/>
                <w:highlight w:val="none"/>
              </w:rPr>
            </w:pPr>
          </w:p>
        </w:tc>
        <w:tc>
          <w:tcPr>
            <w:tcW w:w="2297" w:type="dxa"/>
            <w:gridSpan w:val="2"/>
            <w:noWrap w:val="0"/>
            <w:vAlign w:val="top"/>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440" w:lineRule="exact"/>
              <w:rPr>
                <w:rFonts w:hint="eastAsia" w:ascii="宋体" w:hAnsi="宋体" w:eastAsia="宋体" w:cs="宋体"/>
                <w:color w:val="auto"/>
                <w:highlight w:val="none"/>
              </w:rPr>
            </w:pPr>
          </w:p>
        </w:tc>
        <w:tc>
          <w:tcPr>
            <w:tcW w:w="3420" w:type="dxa"/>
            <w:gridSpan w:val="4"/>
            <w:noWrap w:val="0"/>
            <w:vAlign w:val="top"/>
          </w:tcPr>
          <w:p>
            <w:pPr>
              <w:spacing w:line="440" w:lineRule="exact"/>
              <w:rPr>
                <w:rFonts w:hint="eastAsia" w:ascii="宋体" w:hAnsi="宋体" w:eastAsia="宋体" w:cs="宋体"/>
                <w:color w:val="auto"/>
                <w:highlight w:val="none"/>
              </w:rPr>
            </w:pPr>
          </w:p>
        </w:tc>
        <w:tc>
          <w:tcPr>
            <w:tcW w:w="1261" w:type="dxa"/>
            <w:noWrap w:val="0"/>
            <w:vAlign w:val="top"/>
          </w:tcPr>
          <w:p>
            <w:pPr>
              <w:spacing w:line="440" w:lineRule="exact"/>
              <w:rPr>
                <w:rFonts w:hint="eastAsia" w:ascii="宋体" w:hAnsi="宋体" w:eastAsia="宋体" w:cs="宋体"/>
                <w:color w:val="auto"/>
                <w:highlight w:val="none"/>
              </w:rPr>
            </w:pPr>
          </w:p>
        </w:tc>
        <w:tc>
          <w:tcPr>
            <w:tcW w:w="2297" w:type="dxa"/>
            <w:gridSpan w:val="2"/>
            <w:noWrap w:val="0"/>
            <w:vAlign w:val="top"/>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hint="eastAsia" w:ascii="宋体" w:hAnsi="宋体" w:eastAsia="宋体" w:cs="宋体"/>
                <w:color w:val="auto"/>
                <w:highlight w:val="none"/>
              </w:rPr>
            </w:pPr>
          </w:p>
        </w:tc>
        <w:tc>
          <w:tcPr>
            <w:tcW w:w="3420" w:type="dxa"/>
            <w:gridSpan w:val="4"/>
            <w:noWrap w:val="0"/>
            <w:vAlign w:val="center"/>
          </w:tcPr>
          <w:p>
            <w:pPr>
              <w:spacing w:line="440" w:lineRule="exact"/>
              <w:rPr>
                <w:rFonts w:hint="eastAsia" w:ascii="宋体" w:hAnsi="宋体" w:eastAsia="宋体" w:cs="宋体"/>
                <w:color w:val="auto"/>
                <w:highlight w:val="none"/>
              </w:rPr>
            </w:pPr>
          </w:p>
        </w:tc>
        <w:tc>
          <w:tcPr>
            <w:tcW w:w="1261" w:type="dxa"/>
            <w:noWrap w:val="0"/>
            <w:vAlign w:val="center"/>
          </w:tcPr>
          <w:p>
            <w:pPr>
              <w:spacing w:line="440" w:lineRule="exact"/>
              <w:rPr>
                <w:rFonts w:hint="eastAsia" w:ascii="宋体" w:hAnsi="宋体" w:eastAsia="宋体" w:cs="宋体"/>
                <w:color w:val="auto"/>
                <w:highlight w:val="none"/>
              </w:rPr>
            </w:pPr>
          </w:p>
        </w:tc>
        <w:tc>
          <w:tcPr>
            <w:tcW w:w="2297" w:type="dxa"/>
            <w:gridSpan w:val="2"/>
            <w:noWrap w:val="0"/>
            <w:vAlign w:val="center"/>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hint="eastAsia" w:ascii="宋体" w:hAnsi="宋体" w:eastAsia="宋体" w:cs="宋体"/>
                <w:color w:val="auto"/>
                <w:highlight w:val="none"/>
              </w:rPr>
            </w:pPr>
          </w:p>
        </w:tc>
        <w:tc>
          <w:tcPr>
            <w:tcW w:w="3420" w:type="dxa"/>
            <w:gridSpan w:val="4"/>
            <w:noWrap w:val="0"/>
            <w:vAlign w:val="center"/>
          </w:tcPr>
          <w:p>
            <w:pPr>
              <w:spacing w:line="440" w:lineRule="exact"/>
              <w:rPr>
                <w:rFonts w:hint="eastAsia" w:ascii="宋体" w:hAnsi="宋体" w:eastAsia="宋体" w:cs="宋体"/>
                <w:color w:val="auto"/>
                <w:highlight w:val="none"/>
              </w:rPr>
            </w:pPr>
          </w:p>
        </w:tc>
        <w:tc>
          <w:tcPr>
            <w:tcW w:w="1261" w:type="dxa"/>
            <w:noWrap w:val="0"/>
            <w:vAlign w:val="center"/>
          </w:tcPr>
          <w:p>
            <w:pPr>
              <w:spacing w:line="440" w:lineRule="exact"/>
              <w:rPr>
                <w:rFonts w:hint="eastAsia" w:ascii="宋体" w:hAnsi="宋体" w:eastAsia="宋体" w:cs="宋体"/>
                <w:color w:val="auto"/>
                <w:highlight w:val="none"/>
              </w:rPr>
            </w:pPr>
          </w:p>
        </w:tc>
        <w:tc>
          <w:tcPr>
            <w:tcW w:w="2297" w:type="dxa"/>
            <w:gridSpan w:val="2"/>
            <w:noWrap w:val="0"/>
            <w:vAlign w:val="center"/>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hint="eastAsia" w:ascii="宋体" w:hAnsi="宋体" w:eastAsia="宋体" w:cs="宋体"/>
                <w:color w:val="auto"/>
                <w:highlight w:val="none"/>
              </w:rPr>
            </w:pPr>
          </w:p>
        </w:tc>
        <w:tc>
          <w:tcPr>
            <w:tcW w:w="3420" w:type="dxa"/>
            <w:gridSpan w:val="4"/>
            <w:noWrap w:val="0"/>
            <w:vAlign w:val="center"/>
          </w:tcPr>
          <w:p>
            <w:pPr>
              <w:spacing w:line="440" w:lineRule="exact"/>
              <w:rPr>
                <w:rFonts w:hint="eastAsia" w:ascii="宋体" w:hAnsi="宋体" w:eastAsia="宋体" w:cs="宋体"/>
                <w:color w:val="auto"/>
                <w:highlight w:val="none"/>
              </w:rPr>
            </w:pPr>
          </w:p>
        </w:tc>
        <w:tc>
          <w:tcPr>
            <w:tcW w:w="1261" w:type="dxa"/>
            <w:noWrap w:val="0"/>
            <w:vAlign w:val="center"/>
          </w:tcPr>
          <w:p>
            <w:pPr>
              <w:spacing w:line="440" w:lineRule="exact"/>
              <w:rPr>
                <w:rFonts w:hint="eastAsia" w:ascii="宋体" w:hAnsi="宋体" w:eastAsia="宋体" w:cs="宋体"/>
                <w:color w:val="auto"/>
                <w:highlight w:val="none"/>
              </w:rPr>
            </w:pPr>
          </w:p>
        </w:tc>
        <w:tc>
          <w:tcPr>
            <w:tcW w:w="2297" w:type="dxa"/>
            <w:gridSpan w:val="2"/>
            <w:noWrap w:val="0"/>
            <w:vAlign w:val="center"/>
          </w:tcPr>
          <w:p>
            <w:pPr>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440" w:lineRule="exact"/>
              <w:rPr>
                <w:rFonts w:hint="eastAsia" w:ascii="宋体" w:hAnsi="宋体" w:eastAsia="宋体" w:cs="宋体"/>
                <w:color w:val="auto"/>
                <w:highlight w:val="none"/>
              </w:rPr>
            </w:pPr>
          </w:p>
        </w:tc>
        <w:tc>
          <w:tcPr>
            <w:tcW w:w="3420" w:type="dxa"/>
            <w:gridSpan w:val="4"/>
            <w:noWrap w:val="0"/>
            <w:vAlign w:val="center"/>
          </w:tcPr>
          <w:p>
            <w:pPr>
              <w:spacing w:line="440" w:lineRule="exact"/>
              <w:rPr>
                <w:rFonts w:hint="eastAsia" w:ascii="宋体" w:hAnsi="宋体" w:eastAsia="宋体" w:cs="宋体"/>
                <w:color w:val="auto"/>
                <w:highlight w:val="none"/>
              </w:rPr>
            </w:pPr>
          </w:p>
        </w:tc>
        <w:tc>
          <w:tcPr>
            <w:tcW w:w="1261" w:type="dxa"/>
            <w:noWrap w:val="0"/>
            <w:vAlign w:val="center"/>
          </w:tcPr>
          <w:p>
            <w:pPr>
              <w:spacing w:line="440" w:lineRule="exact"/>
              <w:rPr>
                <w:rFonts w:hint="eastAsia" w:ascii="宋体" w:hAnsi="宋体" w:eastAsia="宋体" w:cs="宋体"/>
                <w:color w:val="auto"/>
                <w:highlight w:val="none"/>
              </w:rPr>
            </w:pPr>
          </w:p>
        </w:tc>
        <w:tc>
          <w:tcPr>
            <w:tcW w:w="2297" w:type="dxa"/>
            <w:gridSpan w:val="2"/>
            <w:noWrap w:val="0"/>
            <w:vAlign w:val="center"/>
          </w:tcPr>
          <w:p>
            <w:pPr>
              <w:spacing w:line="440" w:lineRule="exact"/>
              <w:rPr>
                <w:rFonts w:hint="eastAsia" w:ascii="宋体" w:hAnsi="宋体" w:eastAsia="宋体" w:cs="宋体"/>
                <w:color w:val="auto"/>
                <w:highlight w:val="none"/>
              </w:rPr>
            </w:pPr>
          </w:p>
        </w:tc>
      </w:tr>
    </w:tbl>
    <w:p>
      <w:pPr>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注：1、</w:t>
      </w:r>
      <w:r>
        <w:rPr>
          <w:rFonts w:hint="eastAsia" w:ascii="宋体" w:hAnsi="宋体" w:cs="宋体"/>
          <w:color w:val="auto"/>
          <w:highlight w:val="none"/>
          <w:lang w:val="en-US" w:eastAsia="zh-CN"/>
        </w:rPr>
        <w:t>投标人应根据招标文件第二章“投标人须知”第3.5.4项的要求在本表后附相关证明材料。</w:t>
      </w:r>
    </w:p>
    <w:p>
      <w:pPr>
        <w:numPr>
          <w:ilvl w:val="0"/>
          <w:numId w:val="15"/>
        </w:num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30"/>
          <w:szCs w:val="30"/>
          <w:highlight w:val="none"/>
        </w:rPr>
        <w:t>拟投入本项目的主要检测</w:t>
      </w:r>
      <w:r>
        <w:rPr>
          <w:rFonts w:hint="eastAsia" w:ascii="宋体" w:hAnsi="宋体" w:eastAsia="宋体" w:cs="宋体"/>
          <w:b/>
          <w:color w:val="auto"/>
          <w:sz w:val="30"/>
          <w:szCs w:val="30"/>
          <w:highlight w:val="none"/>
          <w:lang w:eastAsia="zh-CN"/>
        </w:rPr>
        <w:t>监测</w:t>
      </w:r>
      <w:r>
        <w:rPr>
          <w:rFonts w:hint="eastAsia" w:ascii="宋体" w:hAnsi="宋体" w:eastAsia="宋体" w:cs="宋体"/>
          <w:b/>
          <w:color w:val="auto"/>
          <w:sz w:val="30"/>
          <w:szCs w:val="30"/>
          <w:highlight w:val="none"/>
        </w:rPr>
        <w:t>仪器设备一览表</w:t>
      </w:r>
    </w:p>
    <w:p>
      <w:pPr>
        <w:pStyle w:val="95"/>
        <w:numPr>
          <w:ilvl w:val="-1"/>
          <w:numId w:val="0"/>
        </w:numPr>
        <w:spacing w:line="360" w:lineRule="auto"/>
        <w:ind w:firstLine="0" w:firstLineChars="0"/>
        <w:rPr>
          <w:rFonts w:hint="eastAsia"/>
          <w:color w:val="auto"/>
          <w:highlight w:val="none"/>
        </w:rPr>
      </w:pP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59"/>
        <w:gridCol w:w="703"/>
        <w:gridCol w:w="823"/>
        <w:gridCol w:w="1420"/>
        <w:gridCol w:w="1116"/>
        <w:gridCol w:w="1341"/>
        <w:gridCol w:w="1194"/>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80" w:type="dxa"/>
            <w:vMerge w:val="restart"/>
            <w:tcBorders>
              <w:left w:val="single" w:color="auto" w:sz="4" w:space="0"/>
              <w:bottom w:val="single" w:color="auto" w:sz="4" w:space="0"/>
            </w:tcBorders>
            <w:noWrap w:val="0"/>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9" w:type="dxa"/>
            <w:tcBorders>
              <w:bottom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仪器设备</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703" w:type="dxa"/>
            <w:tcBorders>
              <w:bottom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823" w:type="dxa"/>
            <w:tcBorders>
              <w:top w:val="single" w:color="auto" w:sz="4" w:space="0"/>
              <w:bottom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0" w:type="dxa"/>
            <w:tcBorders>
              <w:top w:val="single" w:color="auto" w:sz="4" w:space="0"/>
              <w:bottom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检定/校准机构</w:t>
            </w:r>
          </w:p>
        </w:tc>
        <w:tc>
          <w:tcPr>
            <w:tcW w:w="1116" w:type="dxa"/>
            <w:tcBorders>
              <w:top w:val="single" w:color="auto" w:sz="4" w:space="0"/>
              <w:bottom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c>
          <w:tcPr>
            <w:tcW w:w="1341" w:type="dxa"/>
            <w:tcBorders>
              <w:top w:val="single" w:color="auto" w:sz="4" w:space="0"/>
              <w:bottom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检定/校准周期</w:t>
            </w:r>
          </w:p>
        </w:tc>
        <w:tc>
          <w:tcPr>
            <w:tcW w:w="1194"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是否自有</w:t>
            </w:r>
          </w:p>
        </w:tc>
        <w:tc>
          <w:tcPr>
            <w:tcW w:w="8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80" w:type="dxa"/>
            <w:tcBorders>
              <w:top w:val="single" w:color="auto" w:sz="4" w:space="0"/>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9" w:type="dxa"/>
            <w:tcBorders>
              <w:top w:val="single" w:color="auto" w:sz="4" w:space="0"/>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op w:val="single" w:color="auto" w:sz="4" w:space="0"/>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op w:val="single" w:color="auto" w:sz="4" w:space="0"/>
              <w:tl2br w:val="nil"/>
              <w:tr2bl w:val="nil"/>
            </w:tcBorders>
            <w:noWrap w:val="0"/>
            <w:vAlign w:val="center"/>
          </w:tcPr>
          <w:p>
            <w:pPr>
              <w:spacing w:line="240" w:lineRule="exact"/>
              <w:rPr>
                <w:rFonts w:hint="eastAsia" w:ascii="宋体" w:hAnsi="宋体" w:eastAsia="宋体" w:cs="宋体"/>
                <w:color w:val="auto"/>
                <w:szCs w:val="21"/>
                <w:highlight w:val="none"/>
                <w:lang w:val="en-US" w:eastAsia="zh-CN"/>
              </w:rPr>
            </w:pPr>
          </w:p>
        </w:tc>
        <w:tc>
          <w:tcPr>
            <w:tcW w:w="1420" w:type="dxa"/>
            <w:tcBorders>
              <w:top w:val="single" w:color="auto" w:sz="4" w:space="0"/>
              <w:tl2br w:val="nil"/>
              <w:tr2bl w:val="nil"/>
            </w:tcBorders>
            <w:noWrap w:val="0"/>
            <w:vAlign w:val="center"/>
          </w:tcPr>
          <w:p>
            <w:pPr>
              <w:spacing w:line="240" w:lineRule="exact"/>
              <w:rPr>
                <w:rFonts w:hint="eastAsia" w:ascii="宋体" w:hAnsi="宋体" w:eastAsia="宋体" w:cs="宋体"/>
                <w:color w:val="auto"/>
                <w:szCs w:val="21"/>
                <w:highlight w:val="none"/>
                <w:lang w:eastAsia="zh-CN"/>
              </w:rPr>
            </w:pPr>
          </w:p>
        </w:tc>
        <w:tc>
          <w:tcPr>
            <w:tcW w:w="1116" w:type="dxa"/>
            <w:tcBorders>
              <w:top w:val="single" w:color="auto" w:sz="4" w:space="0"/>
              <w:tl2br w:val="nil"/>
              <w:tr2bl w:val="nil"/>
            </w:tcBorders>
            <w:noWrap w:val="0"/>
            <w:vAlign w:val="center"/>
          </w:tcPr>
          <w:p>
            <w:pPr>
              <w:spacing w:line="240" w:lineRule="exact"/>
              <w:rPr>
                <w:rFonts w:hint="eastAsia" w:ascii="宋体" w:hAnsi="宋体" w:eastAsia="宋体" w:cs="宋体"/>
                <w:color w:val="auto"/>
                <w:szCs w:val="21"/>
                <w:highlight w:val="none"/>
                <w:lang w:val="en-US" w:eastAsia="zh-CN"/>
              </w:rPr>
            </w:pPr>
          </w:p>
        </w:tc>
        <w:tc>
          <w:tcPr>
            <w:tcW w:w="1341" w:type="dxa"/>
            <w:tcBorders>
              <w:top w:val="single" w:color="auto" w:sz="4" w:space="0"/>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op w:val="single" w:color="auto" w:sz="4" w:space="0"/>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restart"/>
            <w:tcBorders>
              <w:top w:val="single" w:color="auto" w:sz="4" w:space="0"/>
              <w:tl2br w:val="nil"/>
              <w:tr2bl w:val="nil"/>
            </w:tcBorders>
            <w:noWrap w:val="0"/>
            <w:vAlign w:val="center"/>
          </w:tcPr>
          <w:p>
            <w:pPr>
              <w:spacing w:line="2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i/>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i/>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259"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70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23"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0" w:type="dxa"/>
            <w:tcBorders>
              <w:tl2br w:val="nil"/>
              <w:tr2bl w:val="nil"/>
            </w:tcBorders>
            <w:noWrap w:val="0"/>
            <w:vAlign w:val="center"/>
          </w:tcPr>
          <w:p>
            <w:pPr>
              <w:spacing w:line="240" w:lineRule="exact"/>
              <w:rPr>
                <w:rFonts w:hint="eastAsia" w:ascii="宋体" w:hAnsi="宋体" w:eastAsia="宋体" w:cs="宋体"/>
                <w:color w:val="auto"/>
                <w:sz w:val="24"/>
                <w:highlight w:val="none"/>
              </w:rPr>
            </w:pPr>
          </w:p>
        </w:tc>
        <w:tc>
          <w:tcPr>
            <w:tcW w:w="1962" w:type="dxa"/>
            <w:gridSpan w:val="2"/>
            <w:tcBorders>
              <w:tl2br w:val="nil"/>
              <w:tr2bl w:val="nil"/>
            </w:tcBorders>
            <w:noWrap w:val="0"/>
            <w:vAlign w:val="center"/>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18"/>
                <w:szCs w:val="18"/>
                <w:highlight w:val="none"/>
              </w:rPr>
              <w:t>…</w:t>
            </w:r>
          </w:p>
        </w:tc>
        <w:tc>
          <w:tcPr>
            <w:tcW w:w="823" w:type="dxa"/>
            <w:tcBorders>
              <w:tl2br w:val="nil"/>
              <w:tr2bl w:val="nil"/>
            </w:tcBorders>
            <w:noWrap w:val="0"/>
            <w:vAlign w:val="center"/>
          </w:tcPr>
          <w:p>
            <w:pPr>
              <w:spacing w:line="240" w:lineRule="exact"/>
              <w:rPr>
                <w:rFonts w:hint="eastAsia" w:ascii="宋体" w:hAnsi="宋体" w:eastAsia="宋体" w:cs="宋体"/>
                <w:color w:val="auto"/>
                <w:sz w:val="24"/>
                <w:highlight w:val="none"/>
              </w:rPr>
            </w:pPr>
          </w:p>
        </w:tc>
        <w:tc>
          <w:tcPr>
            <w:tcW w:w="1420" w:type="dxa"/>
            <w:tcBorders>
              <w:tl2br w:val="nil"/>
              <w:tr2bl w:val="nil"/>
            </w:tcBorders>
            <w:noWrap w:val="0"/>
            <w:vAlign w:val="center"/>
          </w:tcPr>
          <w:p>
            <w:pPr>
              <w:spacing w:line="240" w:lineRule="exact"/>
              <w:rPr>
                <w:rFonts w:hint="eastAsia" w:ascii="宋体" w:hAnsi="宋体" w:eastAsia="宋体" w:cs="宋体"/>
                <w:color w:val="auto"/>
                <w:sz w:val="24"/>
                <w:highlight w:val="none"/>
              </w:rPr>
            </w:pPr>
          </w:p>
        </w:tc>
        <w:tc>
          <w:tcPr>
            <w:tcW w:w="1116" w:type="dxa"/>
            <w:tcBorders>
              <w:tl2br w:val="nil"/>
              <w:tr2bl w:val="nil"/>
            </w:tcBorders>
            <w:noWrap w:val="0"/>
            <w:vAlign w:val="center"/>
          </w:tcPr>
          <w:p>
            <w:pPr>
              <w:spacing w:line="240" w:lineRule="exact"/>
              <w:rPr>
                <w:rFonts w:hint="eastAsia" w:ascii="宋体" w:hAnsi="宋体" w:eastAsia="宋体" w:cs="宋体"/>
                <w:color w:val="auto"/>
                <w:sz w:val="24"/>
                <w:highlight w:val="none"/>
              </w:rPr>
            </w:pPr>
          </w:p>
        </w:tc>
        <w:tc>
          <w:tcPr>
            <w:tcW w:w="1341" w:type="dxa"/>
            <w:tcBorders>
              <w:tl2br w:val="nil"/>
              <w:tr2bl w:val="nil"/>
            </w:tcBorders>
            <w:noWrap w:val="0"/>
            <w:vAlign w:val="center"/>
          </w:tcPr>
          <w:p>
            <w:pPr>
              <w:spacing w:line="240" w:lineRule="exact"/>
              <w:rPr>
                <w:rFonts w:hint="eastAsia" w:ascii="宋体" w:hAnsi="宋体" w:eastAsia="宋体" w:cs="宋体"/>
                <w:color w:val="auto"/>
                <w:sz w:val="24"/>
                <w:highlight w:val="none"/>
              </w:rPr>
            </w:pPr>
          </w:p>
        </w:tc>
        <w:tc>
          <w:tcPr>
            <w:tcW w:w="1194" w:type="dxa"/>
            <w:tcBorders>
              <w:tl2br w:val="nil"/>
              <w:tr2bl w:val="nil"/>
            </w:tcBorders>
            <w:noWrap w:val="0"/>
            <w:vAlign w:val="center"/>
          </w:tcPr>
          <w:p>
            <w:pPr>
              <w:spacing w:line="240" w:lineRule="exact"/>
              <w:rPr>
                <w:rFonts w:hint="eastAsia" w:ascii="宋体" w:hAnsi="宋体" w:eastAsia="宋体" w:cs="宋体"/>
                <w:color w:val="auto"/>
                <w:sz w:val="24"/>
                <w:highlight w:val="none"/>
              </w:rPr>
            </w:pPr>
          </w:p>
        </w:tc>
        <w:tc>
          <w:tcPr>
            <w:tcW w:w="802" w:type="dxa"/>
            <w:vMerge w:val="continue"/>
            <w:tcBorders>
              <w:tl2br w:val="nil"/>
              <w:tr2bl w:val="nil"/>
            </w:tcBorders>
            <w:noWrap w:val="0"/>
            <w:vAlign w:val="center"/>
          </w:tcPr>
          <w:p>
            <w:pPr>
              <w:spacing w:line="240" w:lineRule="exact"/>
              <w:rPr>
                <w:rFonts w:hint="eastAsia" w:ascii="宋体" w:hAnsi="宋体" w:eastAsia="宋体" w:cs="宋体"/>
                <w:color w:val="auto"/>
                <w:sz w:val="24"/>
                <w:highlight w:val="none"/>
              </w:rPr>
            </w:pPr>
          </w:p>
        </w:tc>
      </w:tr>
    </w:tbl>
    <w:p>
      <w:pPr>
        <w:rPr>
          <w:rFonts w:hint="eastAsia" w:ascii="宋体" w:hAnsi="宋体" w:eastAsia="宋体" w:cs="宋体"/>
          <w:color w:val="auto"/>
          <w:sz w:val="24"/>
          <w:highlight w:val="none"/>
        </w:rPr>
      </w:pPr>
    </w:p>
    <w:p>
      <w:pPr>
        <w:keepNext/>
        <w:keepLines/>
        <w:spacing w:line="579"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w:t>
      </w:r>
      <w:r>
        <w:rPr>
          <w:rFonts w:hint="eastAsia" w:ascii="宋体" w:hAnsi="宋体" w:cs="宋体"/>
          <w:color w:val="auto"/>
          <w:highlight w:val="none"/>
          <w:lang w:val="en-US" w:eastAsia="zh-CN"/>
        </w:rPr>
        <w:t>投标人应根据招标文件第二章“投标人须知”第3.5.5项的要求在本表后附相关证明材料。</w:t>
      </w:r>
    </w:p>
    <w:p>
      <w:pPr>
        <w:spacing w:line="360" w:lineRule="auto"/>
        <w:jc w:val="center"/>
        <w:rPr>
          <w:color w:val="auto"/>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六</w:t>
      </w:r>
      <w:r>
        <w:rPr>
          <w:rFonts w:hint="eastAsia" w:ascii="宋体" w:hAnsi="宋体" w:eastAsia="宋体" w:cs="宋体"/>
          <w:b/>
          <w:bCs/>
          <w:color w:val="auto"/>
          <w:sz w:val="30"/>
          <w:szCs w:val="30"/>
          <w:highlight w:val="none"/>
        </w:rPr>
        <w:t>）招标文件规定需提供的资料或投标人认为需增加提供的其它资料</w:t>
      </w:r>
    </w:p>
    <w:sectPr>
      <w:footnotePr>
        <w:numFmt w:val="decimalEnclosedCircleChinese"/>
      </w:footnotePr>
      <w:pgSz w:w="11906" w:h="16838"/>
      <w:pgMar w:top="1417" w:right="1418" w:bottom="1417" w:left="1418" w:header="567" w:footer="850"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三简体">
    <w:altName w:val="宋体"/>
    <w:panose1 w:val="00000000000000000000"/>
    <w:charset w:val="86"/>
    <w:family w:val="auto"/>
    <w:pitch w:val="default"/>
    <w:sig w:usb0="00000000" w:usb1="00000000" w:usb2="00000000" w:usb3="00000000" w:csb0="00040000" w:csb1="00000000"/>
  </w:font>
  <w:font w:name="????_GBK">
    <w:altName w:val="SimSun-ExtB"/>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方正黑体_GBK">
    <w:altName w:val="微软雅黑"/>
    <w:panose1 w:val="00000000000000000000"/>
    <w:charset w:val="86"/>
    <w:family w:val="auto"/>
    <w:pitch w:val="default"/>
    <w:sig w:usb0="00000000" w:usb1="00000000" w:usb2="00000010" w:usb3="00000000" w:csb0="00040000" w:csb1="00000000"/>
  </w:font>
  <w:font w:name="创艺简老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粗倩简体">
    <w:altName w:val="宋体"/>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10" w:usb3="00000000" w:csb0="00040000" w:csb1="00000000"/>
  </w:font>
  <w:font w:name="文鼎中楷">
    <w:altName w:val="微软雅黑"/>
    <w:panose1 w:val="00000000000000000000"/>
    <w:charset w:val="86"/>
    <w:family w:val="modern"/>
    <w:pitch w:val="default"/>
    <w:sig w:usb0="00000000" w:usb1="00000000" w:usb2="0000001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文鼎CS长美黑">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MingLiU_HKSCS">
    <w:altName w:val="PMingLiU-ExtB"/>
    <w:panose1 w:val="02020500000000000000"/>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新宋体-18030">
    <w:altName w:val="微软雅黑"/>
    <w:panose1 w:val="00000000000000000000"/>
    <w:charset w:val="86"/>
    <w:family w:val="modern"/>
    <w:pitch w:val="default"/>
    <w:sig w:usb0="00000000" w:usb1="00000000" w:usb2="000A005E" w:usb3="00000000" w:csb0="00040001"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8"/>
                          </w:pPr>
                          <w:r>
                            <w:fldChar w:fldCharType="begin"/>
                          </w:r>
                          <w:r>
                            <w:instrText xml:space="preserve"> PAGE  \* MERGEFORMAT </w:instrText>
                          </w:r>
                          <w:r>
                            <w:fldChar w:fldCharType="separate"/>
                          </w:r>
                          <w:r>
                            <w:t>87</w:t>
                          </w:r>
                          <w:r>
                            <w:fldChar w:fldCharType="end"/>
                          </w:r>
                        </w:p>
                      </w:txbxContent>
                    </wps:txbx>
                    <wps:bodyPr wrap="none" lIns="0" tIns="0" rIns="0" bIns="0" upright="1">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zDa8sBAACcAwAADgAAAGRycy9lMm9Eb2MueG1srVPNjtMwEL4j8Q6W&#10;79RphZY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fUWJ4xYHfvn+7fLj1+XnV7Ks&#10;Xt7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R8w2vLAQAAnAMAAA4AAAAAAAAAAQAgAAAAHgEAAGRycy9lMm9E&#10;b2MueG1sUEsFBgAAAAAGAAYAWQEAAFsFAAAAAA==&#10;">
              <v:fill on="f" focussize="0,0"/>
              <v:stroke on="f"/>
              <v:imagedata o:title=""/>
              <o:lock v:ext="edit" aspectratio="f"/>
              <v:textbox inset="0mm,0mm,0mm,0mm" style="mso-fit-shape-to-text:t;">
                <w:txbxContent>
                  <w:p>
                    <w:pPr>
                      <w:pStyle w:val="4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page" w:x="1581" w:yAlign="center"/>
      <w:rPr>
        <w:rStyle w:val="80"/>
      </w:rPr>
    </w:pPr>
    <w:r>
      <w:fldChar w:fldCharType="begin"/>
    </w:r>
    <w:r>
      <w:rPr>
        <w:rStyle w:val="80"/>
      </w:rPr>
      <w:instrText xml:space="preserve">PAGE  </w:instrText>
    </w:r>
    <w:r>
      <w:fldChar w:fldCharType="separate"/>
    </w:r>
    <w:r>
      <w:rPr>
        <w:rStyle w:val="80"/>
      </w:rPr>
      <w:t>156</w:t>
    </w:r>
    <w:r>
      <w:fldChar w:fldCharType="end"/>
    </w:r>
  </w:p>
  <w:p>
    <w:pPr>
      <w:pStyle w:val="4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p>
    <w:pPr>
      <w:pStyle w:val="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YzZsNIBAACo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v:textbox>
            </v:shape>
          </w:pict>
        </mc:Fallback>
      </mc:AlternateContent>
    </w:r>
  </w:p>
  <w:p>
    <w:pPr>
      <w:pStyle w:val="4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8"/>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NSR8oBAACc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h60tS18QXh8TNlF6yxVG2KkwDq2wmxYsb8Wf95J1+6m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oNSR8oBAACcAwAADgAAAAAAAAABACAAAAAeAQAAZHJzL2Uyb0Rv&#10;Yy54bWxQSwUGAAAAAAYABgBZAQAAWgUAAAAA&#10;">
              <v:fill on="f" focussize="0,0"/>
              <v:stroke on="f"/>
              <v:imagedata o:title=""/>
              <o:lock v:ext="edit" aspectratio="f"/>
              <v:textbox inset="0mm,0mm,0mm,0mm" style="mso-fit-shape-to-text:t;">
                <w:txbxContent>
                  <w:p>
                    <w:pPr>
                      <w:pStyle w:val="4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7J8cwBAACcAwAADgAAAGRycy9lMm9Eb2MueG1srVPNjtMwEL4j7TtY&#10;vm+ddBG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snhdpg71HipMfPCYGod3bsC9mf2AziR8aINJX5REMI79PV36K4dIRHq0Wq5WBYYExuYL4rOn5z5A&#10;vJfOkGTUNOAAc1/58QPEMXVOSdWsu1Na5yFq+5cDMZOHJe4jx2TFYTdMgnauOaGeHmdfU4urTol+&#10;b7G1aU1mI8zGbjYOPqh9h9TK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MjsnxzAEAAJwDAAAOAAAAAAAAAAEAIAAAAB4BAABkcnMvZTJv&#10;RG9jLnhtbFBLBQYAAAAABgAGAFkBAABcBQAAAAA=&#10;">
              <v:fill on="f" focussize="0,0"/>
              <v:stroke on="f"/>
              <v:imagedata o:title=""/>
              <o:lock v:ext="edit" aspectratio="f"/>
              <v:textbox inset="0mm,0mm,0mm,0mm" style="mso-fit-shape-to-text:t;">
                <w:txbxContent>
                  <w:p>
                    <w:pPr>
                      <w:pStyle w:val="4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PYLc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Jj2C3LAQAAnAMAAA4AAAAAAAAAAQAgAAAAHgEAAGRycy9lMm9E&#10;b2MueG1sUEsFBgAAAAAGAAYAWQEAAFsFA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b/>
        <w:kern w:val="2"/>
        <w:sz w:val="24"/>
        <w:szCs w:val="24"/>
        <w:lang w:val="en-US" w:eastAsia="zh-CN" w:bidi="ar-SA"/>
      </w:rPr>
    </w:pPr>
    <w:r>
      <w:rPr>
        <w:rFonts w:hint="eastAsia" w:ascii="仿宋" w:hAnsi="仿宋" w:eastAsia="仿宋" w:cs="仿宋"/>
        <w:bCs/>
        <w:kern w:val="2"/>
        <w:sz w:val="24"/>
        <w:szCs w:val="24"/>
        <w:lang w:val="en-US" w:eastAsia="zh-CN" w:bidi="ar-SA"/>
      </w:rPr>
      <w:fldChar w:fldCharType="begin"/>
    </w:r>
    <w:r>
      <w:rPr>
        <w:rFonts w:hint="eastAsia" w:ascii="仿宋" w:hAnsi="仿宋" w:eastAsia="仿宋" w:cs="仿宋"/>
        <w:bCs/>
        <w:kern w:val="2"/>
        <w:sz w:val="24"/>
        <w:szCs w:val="24"/>
        <w:lang w:val="en-US" w:eastAsia="zh-CN" w:bidi="ar-SA"/>
      </w:rPr>
      <w:instrText xml:space="preserve"> PAGE   \* MERGEFORMAT </w:instrText>
    </w:r>
    <w:r>
      <w:rPr>
        <w:rFonts w:hint="eastAsia" w:ascii="仿宋" w:hAnsi="仿宋" w:eastAsia="仿宋" w:cs="仿宋"/>
        <w:bCs/>
        <w:kern w:val="2"/>
        <w:sz w:val="24"/>
        <w:szCs w:val="24"/>
        <w:lang w:val="en-US" w:eastAsia="zh-CN" w:bidi="ar-SA"/>
      </w:rPr>
      <w:fldChar w:fldCharType="separate"/>
    </w:r>
    <w:r>
      <w:rPr>
        <w:rFonts w:ascii="仿宋" w:hAnsi="仿宋" w:eastAsia="仿宋" w:cs="仿宋"/>
        <w:bCs/>
        <w:kern w:val="2"/>
        <w:sz w:val="24"/>
        <w:szCs w:val="24"/>
        <w:lang w:val="en-US" w:eastAsia="zh-CN" w:bidi="ar-SA"/>
      </w:rPr>
      <w:t>- 27 -</w:t>
    </w:r>
    <w:r>
      <w:rPr>
        <w:rFonts w:hint="eastAsia" w:ascii="仿宋" w:hAnsi="仿宋" w:eastAsia="仿宋" w:cs="仿宋"/>
        <w:bCs/>
        <w:kern w:val="2"/>
        <w:sz w:val="24"/>
        <w:szCs w:val="24"/>
        <w:lang w:val="en-US" w:eastAsia="zh-CN" w:bidi="ar-SA"/>
      </w:rPr>
      <w:fldChar w:fldCharType="end"/>
    </w: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p>
                </w:txbxContent>
              </v:textbox>
            </v:shape>
          </w:pict>
        </mc:Fallback>
      </mc:AlternateContent>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opLinePunct/>
      <w:spacing w:line="240" w:lineRule="atLeast"/>
      <w:ind w:right="190"/>
      <w:rPr>
        <w:rStyle w:val="315"/>
        <w:rFonts w:eastAsia="黑体"/>
        <w:kern w:val="10"/>
        <w:sz w:val="22"/>
        <w:szCs w:val="22"/>
      </w:rPr>
    </w:pPr>
    <w:r>
      <w:pict>
        <v:shape id="PowerPlusWaterMarkObject8703114" o:spid="_x0000_s4101" o:spt="136" type="#_x0000_t136" style="position:absolute;left:0pt;height:103.2pt;width:516.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r>
      <w:rPr>
        <w:rStyle w:val="315"/>
        <w:rFonts w:eastAsia="黑体"/>
        <w:b w:val="0"/>
        <w:kern w:val="10"/>
        <w:sz w:val="22"/>
        <w:szCs w:val="22"/>
      </w:rPr>
      <w:t>公路工程标准施工监理招标文件（2016年版）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pict>
        <v:shape id="PowerPlusWaterMarkObject8703113" o:spid="_x0000_s4119" o:spt="136" type="#_x0000_t136" style="position:absolute;left:0pt;height:103.2pt;width:516.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1">
    <w:nsid w:val="00000002"/>
    <w:multiLevelType w:val="singleLevel"/>
    <w:tmpl w:val="00000002"/>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9"/>
    <w:multiLevelType w:val="singleLevel"/>
    <w:tmpl w:val="00000009"/>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3">
    <w:nsid w:val="0000000B"/>
    <w:multiLevelType w:val="singleLevel"/>
    <w:tmpl w:val="0000000B"/>
    <w:lvl w:ilvl="0" w:tentative="0">
      <w:start w:val="1"/>
      <w:numFmt w:val="bullet"/>
      <w:pStyle w:val="362"/>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upperLetter"/>
      <w:pStyle w:val="5"/>
      <w:lvlText w:val="%1．"/>
      <w:lvlJc w:val="left"/>
      <w:pPr>
        <w:tabs>
          <w:tab w:val="left" w:pos="360"/>
        </w:tabs>
        <w:ind w:left="360" w:hanging="360"/>
      </w:pPr>
      <w:rPr>
        <w:rFonts w:hint="eastAsia" w:cs="Times New Roman"/>
      </w:rPr>
    </w:lvl>
  </w:abstractNum>
  <w:abstractNum w:abstractNumId="5">
    <w:nsid w:val="0000000F"/>
    <w:multiLevelType w:val="singleLevel"/>
    <w:tmpl w:val="0000000F"/>
    <w:lvl w:ilvl="0" w:tentative="0">
      <w:start w:val="1"/>
      <w:numFmt w:val="upperLetter"/>
      <w:pStyle w:val="4"/>
      <w:lvlText w:val="%1．"/>
      <w:lvlJc w:val="left"/>
      <w:pPr>
        <w:tabs>
          <w:tab w:val="left" w:pos="435"/>
        </w:tabs>
        <w:ind w:left="435" w:hanging="435"/>
      </w:pPr>
      <w:rPr>
        <w:rFonts w:hint="eastAsia" w:cs="Times New Roman"/>
      </w:rPr>
    </w:lvl>
  </w:abstractNum>
  <w:abstractNum w:abstractNumId="6">
    <w:nsid w:val="00000012"/>
    <w:multiLevelType w:val="singleLevel"/>
    <w:tmpl w:val="00000012"/>
    <w:lvl w:ilvl="0" w:tentative="0">
      <w:start w:val="1"/>
      <w:numFmt w:val="decimal"/>
      <w:pStyle w:val="55"/>
      <w:lvlText w:val="%1."/>
      <w:lvlJc w:val="left"/>
      <w:pPr>
        <w:tabs>
          <w:tab w:val="left" w:pos="2040"/>
        </w:tabs>
        <w:ind w:left="2040" w:hanging="360"/>
      </w:pPr>
      <w:rPr>
        <w:rFonts w:cs="Times New Roman"/>
      </w:rPr>
    </w:lvl>
  </w:abstractNum>
  <w:abstractNum w:abstractNumId="7">
    <w:nsid w:val="00000013"/>
    <w:multiLevelType w:val="singleLevel"/>
    <w:tmpl w:val="00000013"/>
    <w:lvl w:ilvl="0" w:tentative="0">
      <w:start w:val="1"/>
      <w:numFmt w:val="decimal"/>
      <w:pStyle w:val="14"/>
      <w:lvlText w:val="%1."/>
      <w:lvlJc w:val="left"/>
      <w:pPr>
        <w:tabs>
          <w:tab w:val="left" w:pos="780"/>
        </w:tabs>
        <w:ind w:left="780" w:hanging="360"/>
      </w:pPr>
      <w:rPr>
        <w:rFonts w:cs="Times New Roman"/>
      </w:rPr>
    </w:lvl>
  </w:abstractNum>
  <w:abstractNum w:abstractNumId="8">
    <w:nsid w:val="00000014"/>
    <w:multiLevelType w:val="singleLevel"/>
    <w:tmpl w:val="00000014"/>
    <w:lvl w:ilvl="0" w:tentative="0">
      <w:start w:val="1"/>
      <w:numFmt w:val="decimal"/>
      <w:pStyle w:val="18"/>
      <w:lvlText w:val="%1."/>
      <w:lvlJc w:val="left"/>
      <w:pPr>
        <w:tabs>
          <w:tab w:val="left" w:pos="360"/>
        </w:tabs>
        <w:ind w:left="360" w:hanging="360"/>
      </w:pPr>
      <w:rPr>
        <w:rFonts w:cs="Times New Roman"/>
      </w:rPr>
    </w:lvl>
  </w:abstractNum>
  <w:abstractNum w:abstractNumId="9">
    <w:nsid w:val="00000015"/>
    <w:multiLevelType w:val="singleLevel"/>
    <w:tmpl w:val="00000015"/>
    <w:lvl w:ilvl="0" w:tentative="0">
      <w:start w:val="1"/>
      <w:numFmt w:val="decimal"/>
      <w:pStyle w:val="31"/>
      <w:lvlText w:val="%1."/>
      <w:lvlJc w:val="left"/>
      <w:pPr>
        <w:tabs>
          <w:tab w:val="left" w:pos="1200"/>
        </w:tabs>
        <w:ind w:left="1200" w:hanging="360"/>
      </w:pPr>
      <w:rPr>
        <w:rFonts w:cs="Times New Roman"/>
      </w:rPr>
    </w:lvl>
  </w:abstractNum>
  <w:abstractNum w:abstractNumId="10">
    <w:nsid w:val="00000016"/>
    <w:multiLevelType w:val="singleLevel"/>
    <w:tmpl w:val="00000016"/>
    <w:lvl w:ilvl="0" w:tentative="0">
      <w:start w:val="1"/>
      <w:numFmt w:val="decimal"/>
      <w:pStyle w:val="41"/>
      <w:lvlText w:val="%1."/>
      <w:lvlJc w:val="left"/>
      <w:pPr>
        <w:tabs>
          <w:tab w:val="left" w:pos="1620"/>
        </w:tabs>
        <w:ind w:left="1620" w:hanging="360"/>
      </w:pPr>
      <w:rPr>
        <w:rFonts w:cs="Times New Roman"/>
      </w:rPr>
    </w:lvl>
  </w:abstractNum>
  <w:abstractNum w:abstractNumId="11">
    <w:nsid w:val="00000018"/>
    <w:multiLevelType w:val="singleLevel"/>
    <w:tmpl w:val="00000018"/>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12">
    <w:nsid w:val="4331EFD2"/>
    <w:multiLevelType w:val="singleLevel"/>
    <w:tmpl w:val="4331EFD2"/>
    <w:lvl w:ilvl="0" w:tentative="0">
      <w:start w:val="5"/>
      <w:numFmt w:val="chineseCounting"/>
      <w:suff w:val="nothing"/>
      <w:lvlText w:val="（%1）"/>
      <w:lvlJc w:val="left"/>
      <w:rPr>
        <w:rFonts w:hint="eastAsia"/>
      </w:rPr>
    </w:lvl>
  </w:abstractNum>
  <w:abstractNum w:abstractNumId="13">
    <w:nsid w:val="584EC648"/>
    <w:multiLevelType w:val="singleLevel"/>
    <w:tmpl w:val="584EC648"/>
    <w:lvl w:ilvl="0" w:tentative="0">
      <w:start w:val="1"/>
      <w:numFmt w:val="bullet"/>
      <w:pStyle w:val="70"/>
      <w:lvlText w:val=""/>
      <w:lvlJc w:val="left"/>
      <w:pPr>
        <w:tabs>
          <w:tab w:val="left" w:pos="1200"/>
        </w:tabs>
        <w:ind w:left="1200" w:hanging="360"/>
      </w:pPr>
      <w:rPr>
        <w:rFonts w:hint="default" w:ascii="Wingdings" w:hAnsi="Wingdings"/>
      </w:rPr>
    </w:lvl>
  </w:abstractNum>
  <w:abstractNum w:abstractNumId="14">
    <w:nsid w:val="77F7F570"/>
    <w:multiLevelType w:val="multilevel"/>
    <w:tmpl w:val="77F7F570"/>
    <w:lvl w:ilvl="0" w:tentative="0">
      <w:start w:val="2"/>
      <w:numFmt w:val="chineseCounting"/>
      <w:suff w:val="space"/>
      <w:lvlText w:val="第%1节"/>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4"/>
  </w:num>
  <w:num w:numId="3">
    <w:abstractNumId w:val="7"/>
  </w:num>
  <w:num w:numId="4">
    <w:abstractNumId w:val="2"/>
  </w:num>
  <w:num w:numId="5">
    <w:abstractNumId w:val="8"/>
  </w:num>
  <w:num w:numId="6">
    <w:abstractNumId w:val="1"/>
  </w:num>
  <w:num w:numId="7">
    <w:abstractNumId w:val="9"/>
  </w:num>
  <w:num w:numId="8">
    <w:abstractNumId w:val="11"/>
  </w:num>
  <w:num w:numId="9">
    <w:abstractNumId w:val="10"/>
  </w:num>
  <w:num w:numId="10">
    <w:abstractNumId w:val="6"/>
  </w:num>
  <w:num w:numId="11">
    <w:abstractNumId w:val="13"/>
  </w:num>
  <w:num w:numId="12">
    <w:abstractNumId w:val="0"/>
  </w:num>
  <w:num w:numId="13">
    <w:abstractNumId w:val="3"/>
  </w:num>
  <w:num w:numId="14">
    <w:abstractNumId w:val="14"/>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淘淘">
    <w15:presenceInfo w15:providerId="WPS Office" w15:userId="2161597651"/>
  </w15:person>
  <w15:person w15:author="as3">
    <w15:presenceInfo w15:providerId="None" w15:userId="a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OTE4ZmVjZmRiYTIxNDdiNTk5YTQ5NGMyYTJkNWMifQ=="/>
  </w:docVars>
  <w:rsids>
    <w:rsidRoot w:val="00172A27"/>
    <w:rsid w:val="00000BE2"/>
    <w:rsid w:val="00007AB0"/>
    <w:rsid w:val="00011ED0"/>
    <w:rsid w:val="000130A0"/>
    <w:rsid w:val="000151EF"/>
    <w:rsid w:val="00016475"/>
    <w:rsid w:val="00022378"/>
    <w:rsid w:val="000257DA"/>
    <w:rsid w:val="00027982"/>
    <w:rsid w:val="0003095F"/>
    <w:rsid w:val="000322FD"/>
    <w:rsid w:val="00034FBA"/>
    <w:rsid w:val="000363ED"/>
    <w:rsid w:val="0004026B"/>
    <w:rsid w:val="0004444F"/>
    <w:rsid w:val="00051B83"/>
    <w:rsid w:val="000565AB"/>
    <w:rsid w:val="00067472"/>
    <w:rsid w:val="000815CF"/>
    <w:rsid w:val="00082826"/>
    <w:rsid w:val="00083F90"/>
    <w:rsid w:val="00084F36"/>
    <w:rsid w:val="00086D8E"/>
    <w:rsid w:val="00090B90"/>
    <w:rsid w:val="000950D5"/>
    <w:rsid w:val="00097A98"/>
    <w:rsid w:val="000A0C5D"/>
    <w:rsid w:val="000A4B11"/>
    <w:rsid w:val="000A68CE"/>
    <w:rsid w:val="000B4CB5"/>
    <w:rsid w:val="000B6E2D"/>
    <w:rsid w:val="000C6C27"/>
    <w:rsid w:val="000D0D88"/>
    <w:rsid w:val="000D0FD7"/>
    <w:rsid w:val="000D2C85"/>
    <w:rsid w:val="000E08CB"/>
    <w:rsid w:val="000E18C3"/>
    <w:rsid w:val="000E4326"/>
    <w:rsid w:val="000F5708"/>
    <w:rsid w:val="000F58B9"/>
    <w:rsid w:val="00113504"/>
    <w:rsid w:val="001135E5"/>
    <w:rsid w:val="0011363C"/>
    <w:rsid w:val="001149C3"/>
    <w:rsid w:val="00114B95"/>
    <w:rsid w:val="00115FF1"/>
    <w:rsid w:val="00121216"/>
    <w:rsid w:val="00122AF6"/>
    <w:rsid w:val="001231C6"/>
    <w:rsid w:val="00127144"/>
    <w:rsid w:val="0013151A"/>
    <w:rsid w:val="001318C6"/>
    <w:rsid w:val="00151803"/>
    <w:rsid w:val="001559A1"/>
    <w:rsid w:val="00166FE9"/>
    <w:rsid w:val="00172A27"/>
    <w:rsid w:val="00180A31"/>
    <w:rsid w:val="00183EE4"/>
    <w:rsid w:val="001A01B9"/>
    <w:rsid w:val="001A647C"/>
    <w:rsid w:val="001C5176"/>
    <w:rsid w:val="001D61BA"/>
    <w:rsid w:val="001D72D8"/>
    <w:rsid w:val="001E0DD4"/>
    <w:rsid w:val="001E30A5"/>
    <w:rsid w:val="001E51D5"/>
    <w:rsid w:val="001E5605"/>
    <w:rsid w:val="00200A7B"/>
    <w:rsid w:val="00200F45"/>
    <w:rsid w:val="00205155"/>
    <w:rsid w:val="00206D44"/>
    <w:rsid w:val="002070A0"/>
    <w:rsid w:val="00212591"/>
    <w:rsid w:val="002226D0"/>
    <w:rsid w:val="00244841"/>
    <w:rsid w:val="002458BA"/>
    <w:rsid w:val="00246348"/>
    <w:rsid w:val="002477B9"/>
    <w:rsid w:val="00251311"/>
    <w:rsid w:val="00255B86"/>
    <w:rsid w:val="00256561"/>
    <w:rsid w:val="0026543F"/>
    <w:rsid w:val="00265751"/>
    <w:rsid w:val="00267863"/>
    <w:rsid w:val="00271E34"/>
    <w:rsid w:val="00285C32"/>
    <w:rsid w:val="00286331"/>
    <w:rsid w:val="00295AA0"/>
    <w:rsid w:val="002A09AF"/>
    <w:rsid w:val="002A49B5"/>
    <w:rsid w:val="002A7CAA"/>
    <w:rsid w:val="002B5612"/>
    <w:rsid w:val="002B5681"/>
    <w:rsid w:val="002C061A"/>
    <w:rsid w:val="002C5CBB"/>
    <w:rsid w:val="002C7C68"/>
    <w:rsid w:val="002C7E40"/>
    <w:rsid w:val="002D0A06"/>
    <w:rsid w:val="002D16E0"/>
    <w:rsid w:val="002D391A"/>
    <w:rsid w:val="002D493B"/>
    <w:rsid w:val="002E0F9F"/>
    <w:rsid w:val="003027CE"/>
    <w:rsid w:val="003105BC"/>
    <w:rsid w:val="003259F1"/>
    <w:rsid w:val="00330885"/>
    <w:rsid w:val="00331C4E"/>
    <w:rsid w:val="00356960"/>
    <w:rsid w:val="00363F4A"/>
    <w:rsid w:val="003709A5"/>
    <w:rsid w:val="00372C01"/>
    <w:rsid w:val="00375BF8"/>
    <w:rsid w:val="00377335"/>
    <w:rsid w:val="00377D85"/>
    <w:rsid w:val="00381FA0"/>
    <w:rsid w:val="003840E2"/>
    <w:rsid w:val="00387D17"/>
    <w:rsid w:val="0039055C"/>
    <w:rsid w:val="003913A5"/>
    <w:rsid w:val="003941D1"/>
    <w:rsid w:val="003A165C"/>
    <w:rsid w:val="003A4E6D"/>
    <w:rsid w:val="003D20C2"/>
    <w:rsid w:val="003D5CC3"/>
    <w:rsid w:val="003E03A5"/>
    <w:rsid w:val="003F1C3C"/>
    <w:rsid w:val="003F3CC3"/>
    <w:rsid w:val="003F485F"/>
    <w:rsid w:val="00402804"/>
    <w:rsid w:val="00404C03"/>
    <w:rsid w:val="004134A5"/>
    <w:rsid w:val="004153EF"/>
    <w:rsid w:val="00421744"/>
    <w:rsid w:val="00426897"/>
    <w:rsid w:val="004303F4"/>
    <w:rsid w:val="00431AAA"/>
    <w:rsid w:val="00433325"/>
    <w:rsid w:val="00453BBC"/>
    <w:rsid w:val="00456074"/>
    <w:rsid w:val="00460442"/>
    <w:rsid w:val="004622E0"/>
    <w:rsid w:val="00464C82"/>
    <w:rsid w:val="0046638A"/>
    <w:rsid w:val="00470510"/>
    <w:rsid w:val="004732C3"/>
    <w:rsid w:val="00477A99"/>
    <w:rsid w:val="00490EDA"/>
    <w:rsid w:val="004A22B3"/>
    <w:rsid w:val="004A2BDD"/>
    <w:rsid w:val="004A4B26"/>
    <w:rsid w:val="004B0927"/>
    <w:rsid w:val="004B25A4"/>
    <w:rsid w:val="004B7A03"/>
    <w:rsid w:val="004C149D"/>
    <w:rsid w:val="004D09B8"/>
    <w:rsid w:val="004D148E"/>
    <w:rsid w:val="004E58AE"/>
    <w:rsid w:val="004F264D"/>
    <w:rsid w:val="004F4D17"/>
    <w:rsid w:val="004F627F"/>
    <w:rsid w:val="00511450"/>
    <w:rsid w:val="005158B6"/>
    <w:rsid w:val="00517AD9"/>
    <w:rsid w:val="0052030E"/>
    <w:rsid w:val="005223F8"/>
    <w:rsid w:val="0052557F"/>
    <w:rsid w:val="00535B95"/>
    <w:rsid w:val="00541319"/>
    <w:rsid w:val="005443E5"/>
    <w:rsid w:val="005533CA"/>
    <w:rsid w:val="00556343"/>
    <w:rsid w:val="00573C04"/>
    <w:rsid w:val="0057674F"/>
    <w:rsid w:val="00577844"/>
    <w:rsid w:val="00586D2D"/>
    <w:rsid w:val="0059022B"/>
    <w:rsid w:val="00596DEA"/>
    <w:rsid w:val="00597DE2"/>
    <w:rsid w:val="005A2EC0"/>
    <w:rsid w:val="005B2FE1"/>
    <w:rsid w:val="005B4EE7"/>
    <w:rsid w:val="005B5117"/>
    <w:rsid w:val="005C04B5"/>
    <w:rsid w:val="005C3AB9"/>
    <w:rsid w:val="005C4991"/>
    <w:rsid w:val="005C78D8"/>
    <w:rsid w:val="005D0B5D"/>
    <w:rsid w:val="005D0EAA"/>
    <w:rsid w:val="005D35BE"/>
    <w:rsid w:val="005D61FF"/>
    <w:rsid w:val="005D695F"/>
    <w:rsid w:val="005D6D6D"/>
    <w:rsid w:val="005E61B4"/>
    <w:rsid w:val="005F0144"/>
    <w:rsid w:val="005F6653"/>
    <w:rsid w:val="005F7781"/>
    <w:rsid w:val="00601BEA"/>
    <w:rsid w:val="0060614A"/>
    <w:rsid w:val="006068A1"/>
    <w:rsid w:val="00614C23"/>
    <w:rsid w:val="00615838"/>
    <w:rsid w:val="00636404"/>
    <w:rsid w:val="0064110B"/>
    <w:rsid w:val="00644ACB"/>
    <w:rsid w:val="00646ACF"/>
    <w:rsid w:val="006521F9"/>
    <w:rsid w:val="00654D26"/>
    <w:rsid w:val="00657148"/>
    <w:rsid w:val="00660616"/>
    <w:rsid w:val="0066403B"/>
    <w:rsid w:val="00671573"/>
    <w:rsid w:val="00671BF6"/>
    <w:rsid w:val="006918AA"/>
    <w:rsid w:val="00691B01"/>
    <w:rsid w:val="00692749"/>
    <w:rsid w:val="006931D4"/>
    <w:rsid w:val="006936E8"/>
    <w:rsid w:val="00697389"/>
    <w:rsid w:val="006A42B2"/>
    <w:rsid w:val="006A619E"/>
    <w:rsid w:val="006A74DA"/>
    <w:rsid w:val="006A7DEA"/>
    <w:rsid w:val="006B492B"/>
    <w:rsid w:val="006C249B"/>
    <w:rsid w:val="006C6983"/>
    <w:rsid w:val="006D4493"/>
    <w:rsid w:val="006D4FC0"/>
    <w:rsid w:val="006E52D6"/>
    <w:rsid w:val="006E53BA"/>
    <w:rsid w:val="006F11E0"/>
    <w:rsid w:val="006F701B"/>
    <w:rsid w:val="00713AE6"/>
    <w:rsid w:val="007172A5"/>
    <w:rsid w:val="00726B13"/>
    <w:rsid w:val="00733BE5"/>
    <w:rsid w:val="007342F4"/>
    <w:rsid w:val="00736167"/>
    <w:rsid w:val="00737ACB"/>
    <w:rsid w:val="007467A5"/>
    <w:rsid w:val="0075084C"/>
    <w:rsid w:val="00750C5E"/>
    <w:rsid w:val="00751B92"/>
    <w:rsid w:val="0075422B"/>
    <w:rsid w:val="00761EB9"/>
    <w:rsid w:val="007664B7"/>
    <w:rsid w:val="0077611D"/>
    <w:rsid w:val="00776ED7"/>
    <w:rsid w:val="007801BF"/>
    <w:rsid w:val="00780DBB"/>
    <w:rsid w:val="00781488"/>
    <w:rsid w:val="00787CF2"/>
    <w:rsid w:val="00791484"/>
    <w:rsid w:val="00796E86"/>
    <w:rsid w:val="007A3B7D"/>
    <w:rsid w:val="007B5A75"/>
    <w:rsid w:val="007B73DA"/>
    <w:rsid w:val="007C0239"/>
    <w:rsid w:val="007C5FF6"/>
    <w:rsid w:val="007C68C9"/>
    <w:rsid w:val="007C70EC"/>
    <w:rsid w:val="007D2DB6"/>
    <w:rsid w:val="007D5AE2"/>
    <w:rsid w:val="007D6F5F"/>
    <w:rsid w:val="007F1EA7"/>
    <w:rsid w:val="007F3DF8"/>
    <w:rsid w:val="007F7989"/>
    <w:rsid w:val="00801975"/>
    <w:rsid w:val="00805EAF"/>
    <w:rsid w:val="00806C22"/>
    <w:rsid w:val="00812D2C"/>
    <w:rsid w:val="00813156"/>
    <w:rsid w:val="00823576"/>
    <w:rsid w:val="00830A86"/>
    <w:rsid w:val="008313B0"/>
    <w:rsid w:val="008335DE"/>
    <w:rsid w:val="008357B0"/>
    <w:rsid w:val="00836F91"/>
    <w:rsid w:val="0083764C"/>
    <w:rsid w:val="0084210E"/>
    <w:rsid w:val="00843698"/>
    <w:rsid w:val="008442C6"/>
    <w:rsid w:val="00852A49"/>
    <w:rsid w:val="00852B9C"/>
    <w:rsid w:val="008647B7"/>
    <w:rsid w:val="008671CB"/>
    <w:rsid w:val="00873FD2"/>
    <w:rsid w:val="00881D62"/>
    <w:rsid w:val="00884D32"/>
    <w:rsid w:val="008851EF"/>
    <w:rsid w:val="008918BE"/>
    <w:rsid w:val="008970CC"/>
    <w:rsid w:val="00897F1D"/>
    <w:rsid w:val="008A3E13"/>
    <w:rsid w:val="008A52EC"/>
    <w:rsid w:val="008A6EE4"/>
    <w:rsid w:val="008B4D7F"/>
    <w:rsid w:val="008B7F19"/>
    <w:rsid w:val="008C0706"/>
    <w:rsid w:val="008C0B76"/>
    <w:rsid w:val="008C2FAB"/>
    <w:rsid w:val="008C2FFE"/>
    <w:rsid w:val="008C3A5D"/>
    <w:rsid w:val="008C5DF5"/>
    <w:rsid w:val="008C70F0"/>
    <w:rsid w:val="008E5A49"/>
    <w:rsid w:val="008E5EA0"/>
    <w:rsid w:val="008E651B"/>
    <w:rsid w:val="008E7E46"/>
    <w:rsid w:val="008F2B1F"/>
    <w:rsid w:val="008F4744"/>
    <w:rsid w:val="0090376F"/>
    <w:rsid w:val="00904123"/>
    <w:rsid w:val="00911610"/>
    <w:rsid w:val="00916D8A"/>
    <w:rsid w:val="00922BA4"/>
    <w:rsid w:val="0093146A"/>
    <w:rsid w:val="0093190A"/>
    <w:rsid w:val="009339AB"/>
    <w:rsid w:val="0094094C"/>
    <w:rsid w:val="009473E5"/>
    <w:rsid w:val="00951E18"/>
    <w:rsid w:val="00951F5E"/>
    <w:rsid w:val="00955DF5"/>
    <w:rsid w:val="00960394"/>
    <w:rsid w:val="00960DD4"/>
    <w:rsid w:val="00963934"/>
    <w:rsid w:val="00964A89"/>
    <w:rsid w:val="00977AAE"/>
    <w:rsid w:val="00980A13"/>
    <w:rsid w:val="0098142C"/>
    <w:rsid w:val="009836CE"/>
    <w:rsid w:val="009854B7"/>
    <w:rsid w:val="009931E5"/>
    <w:rsid w:val="009B2751"/>
    <w:rsid w:val="009B7367"/>
    <w:rsid w:val="009C7F8B"/>
    <w:rsid w:val="009D29FF"/>
    <w:rsid w:val="009D5EF4"/>
    <w:rsid w:val="009E26A3"/>
    <w:rsid w:val="009E3054"/>
    <w:rsid w:val="009E4283"/>
    <w:rsid w:val="009F2709"/>
    <w:rsid w:val="009F58E5"/>
    <w:rsid w:val="00A03221"/>
    <w:rsid w:val="00A046B4"/>
    <w:rsid w:val="00A067C1"/>
    <w:rsid w:val="00A22BDA"/>
    <w:rsid w:val="00A24340"/>
    <w:rsid w:val="00A2781A"/>
    <w:rsid w:val="00A3397A"/>
    <w:rsid w:val="00A345AA"/>
    <w:rsid w:val="00A35F86"/>
    <w:rsid w:val="00A36A7F"/>
    <w:rsid w:val="00A40025"/>
    <w:rsid w:val="00A44F20"/>
    <w:rsid w:val="00A46118"/>
    <w:rsid w:val="00A47B01"/>
    <w:rsid w:val="00A52836"/>
    <w:rsid w:val="00A54E21"/>
    <w:rsid w:val="00A55980"/>
    <w:rsid w:val="00A5785B"/>
    <w:rsid w:val="00A655B4"/>
    <w:rsid w:val="00A744F8"/>
    <w:rsid w:val="00A8161F"/>
    <w:rsid w:val="00A832E0"/>
    <w:rsid w:val="00A849E4"/>
    <w:rsid w:val="00A85E01"/>
    <w:rsid w:val="00A86468"/>
    <w:rsid w:val="00A94E73"/>
    <w:rsid w:val="00A966D0"/>
    <w:rsid w:val="00A96B22"/>
    <w:rsid w:val="00AA0859"/>
    <w:rsid w:val="00AA2FBE"/>
    <w:rsid w:val="00AA5DBD"/>
    <w:rsid w:val="00AB0791"/>
    <w:rsid w:val="00AB7146"/>
    <w:rsid w:val="00AB7C6F"/>
    <w:rsid w:val="00AC7FF5"/>
    <w:rsid w:val="00AD24A6"/>
    <w:rsid w:val="00AE0FA8"/>
    <w:rsid w:val="00AE1312"/>
    <w:rsid w:val="00AE1F94"/>
    <w:rsid w:val="00AF6D05"/>
    <w:rsid w:val="00B10334"/>
    <w:rsid w:val="00B10652"/>
    <w:rsid w:val="00B11F95"/>
    <w:rsid w:val="00B145D8"/>
    <w:rsid w:val="00B154AA"/>
    <w:rsid w:val="00B209DF"/>
    <w:rsid w:val="00B20BBD"/>
    <w:rsid w:val="00B22A7A"/>
    <w:rsid w:val="00B253D4"/>
    <w:rsid w:val="00B302FB"/>
    <w:rsid w:val="00B316BA"/>
    <w:rsid w:val="00B367E1"/>
    <w:rsid w:val="00B44627"/>
    <w:rsid w:val="00B50A3C"/>
    <w:rsid w:val="00B5239F"/>
    <w:rsid w:val="00B550DF"/>
    <w:rsid w:val="00B60C38"/>
    <w:rsid w:val="00B63254"/>
    <w:rsid w:val="00B64DCA"/>
    <w:rsid w:val="00B6526F"/>
    <w:rsid w:val="00B6531A"/>
    <w:rsid w:val="00B669DF"/>
    <w:rsid w:val="00B71295"/>
    <w:rsid w:val="00B752EB"/>
    <w:rsid w:val="00B763FA"/>
    <w:rsid w:val="00B842FA"/>
    <w:rsid w:val="00B91EEE"/>
    <w:rsid w:val="00BA167D"/>
    <w:rsid w:val="00BA51CC"/>
    <w:rsid w:val="00BA7BF2"/>
    <w:rsid w:val="00BB33C7"/>
    <w:rsid w:val="00BD2211"/>
    <w:rsid w:val="00BD2481"/>
    <w:rsid w:val="00BD29EB"/>
    <w:rsid w:val="00C04CA7"/>
    <w:rsid w:val="00C059AE"/>
    <w:rsid w:val="00C079A3"/>
    <w:rsid w:val="00C109C3"/>
    <w:rsid w:val="00C11B5E"/>
    <w:rsid w:val="00C1347E"/>
    <w:rsid w:val="00C13EC1"/>
    <w:rsid w:val="00C15045"/>
    <w:rsid w:val="00C20C89"/>
    <w:rsid w:val="00C21AA4"/>
    <w:rsid w:val="00C24CAA"/>
    <w:rsid w:val="00C25CA1"/>
    <w:rsid w:val="00C40197"/>
    <w:rsid w:val="00C44373"/>
    <w:rsid w:val="00C4438B"/>
    <w:rsid w:val="00C47B37"/>
    <w:rsid w:val="00C5531C"/>
    <w:rsid w:val="00C707C2"/>
    <w:rsid w:val="00C73CA7"/>
    <w:rsid w:val="00C7646C"/>
    <w:rsid w:val="00C85FC2"/>
    <w:rsid w:val="00C942F2"/>
    <w:rsid w:val="00C94342"/>
    <w:rsid w:val="00C973A0"/>
    <w:rsid w:val="00CA4D0D"/>
    <w:rsid w:val="00CA7BC9"/>
    <w:rsid w:val="00CB542C"/>
    <w:rsid w:val="00CB5E6E"/>
    <w:rsid w:val="00CC0512"/>
    <w:rsid w:val="00CC13B3"/>
    <w:rsid w:val="00CC1987"/>
    <w:rsid w:val="00CC24D2"/>
    <w:rsid w:val="00CC4F6E"/>
    <w:rsid w:val="00CD3678"/>
    <w:rsid w:val="00CD740E"/>
    <w:rsid w:val="00CE6E7A"/>
    <w:rsid w:val="00CF1251"/>
    <w:rsid w:val="00CF30EA"/>
    <w:rsid w:val="00D26843"/>
    <w:rsid w:val="00D33A15"/>
    <w:rsid w:val="00D40F3D"/>
    <w:rsid w:val="00D44AEB"/>
    <w:rsid w:val="00D506FA"/>
    <w:rsid w:val="00D50B81"/>
    <w:rsid w:val="00D52D29"/>
    <w:rsid w:val="00D60D06"/>
    <w:rsid w:val="00D70D0D"/>
    <w:rsid w:val="00D8259F"/>
    <w:rsid w:val="00D87063"/>
    <w:rsid w:val="00DA460A"/>
    <w:rsid w:val="00DB7C04"/>
    <w:rsid w:val="00DC2C9E"/>
    <w:rsid w:val="00DC3A76"/>
    <w:rsid w:val="00DD0810"/>
    <w:rsid w:val="00DD69CE"/>
    <w:rsid w:val="00DE51A2"/>
    <w:rsid w:val="00DE5912"/>
    <w:rsid w:val="00DE5F36"/>
    <w:rsid w:val="00DF0E2E"/>
    <w:rsid w:val="00DF1546"/>
    <w:rsid w:val="00DF7BB7"/>
    <w:rsid w:val="00E0062D"/>
    <w:rsid w:val="00E03DC7"/>
    <w:rsid w:val="00E1226E"/>
    <w:rsid w:val="00E1292D"/>
    <w:rsid w:val="00E153D6"/>
    <w:rsid w:val="00E17137"/>
    <w:rsid w:val="00E21EC7"/>
    <w:rsid w:val="00E2749B"/>
    <w:rsid w:val="00E32CA2"/>
    <w:rsid w:val="00E3354E"/>
    <w:rsid w:val="00E35121"/>
    <w:rsid w:val="00E401ED"/>
    <w:rsid w:val="00E40BA5"/>
    <w:rsid w:val="00E419E4"/>
    <w:rsid w:val="00E42DEE"/>
    <w:rsid w:val="00E47842"/>
    <w:rsid w:val="00E5390B"/>
    <w:rsid w:val="00E576F2"/>
    <w:rsid w:val="00E600AB"/>
    <w:rsid w:val="00E60A41"/>
    <w:rsid w:val="00E624B6"/>
    <w:rsid w:val="00E634F3"/>
    <w:rsid w:val="00E73C09"/>
    <w:rsid w:val="00E75845"/>
    <w:rsid w:val="00E905BA"/>
    <w:rsid w:val="00E9667C"/>
    <w:rsid w:val="00EA5900"/>
    <w:rsid w:val="00EA5DD1"/>
    <w:rsid w:val="00EA613B"/>
    <w:rsid w:val="00EB466B"/>
    <w:rsid w:val="00EB57D4"/>
    <w:rsid w:val="00EB769B"/>
    <w:rsid w:val="00EC56B3"/>
    <w:rsid w:val="00ED24C8"/>
    <w:rsid w:val="00EE03D7"/>
    <w:rsid w:val="00EF0545"/>
    <w:rsid w:val="00F010BB"/>
    <w:rsid w:val="00F10DA7"/>
    <w:rsid w:val="00F209A6"/>
    <w:rsid w:val="00F217D4"/>
    <w:rsid w:val="00F2549B"/>
    <w:rsid w:val="00F33AA2"/>
    <w:rsid w:val="00F35B46"/>
    <w:rsid w:val="00F44E65"/>
    <w:rsid w:val="00F5142E"/>
    <w:rsid w:val="00F570A1"/>
    <w:rsid w:val="00F64C05"/>
    <w:rsid w:val="00F64C76"/>
    <w:rsid w:val="00F700C4"/>
    <w:rsid w:val="00F70D7D"/>
    <w:rsid w:val="00F71800"/>
    <w:rsid w:val="00F72EAF"/>
    <w:rsid w:val="00F8207F"/>
    <w:rsid w:val="00F86E7C"/>
    <w:rsid w:val="00FA267D"/>
    <w:rsid w:val="00FA384C"/>
    <w:rsid w:val="00FA5EFA"/>
    <w:rsid w:val="00FB1664"/>
    <w:rsid w:val="00FB3683"/>
    <w:rsid w:val="00FB6626"/>
    <w:rsid w:val="00FB701D"/>
    <w:rsid w:val="00FB7BB2"/>
    <w:rsid w:val="00FC33B4"/>
    <w:rsid w:val="00FC5630"/>
    <w:rsid w:val="00FC5A44"/>
    <w:rsid w:val="00FC67F8"/>
    <w:rsid w:val="00FD1A86"/>
    <w:rsid w:val="00FD536D"/>
    <w:rsid w:val="00FD62F6"/>
    <w:rsid w:val="00FE31AB"/>
    <w:rsid w:val="00FF4AF1"/>
    <w:rsid w:val="01430ACF"/>
    <w:rsid w:val="0146608F"/>
    <w:rsid w:val="01721E8A"/>
    <w:rsid w:val="01A518C1"/>
    <w:rsid w:val="01FC17B1"/>
    <w:rsid w:val="0239209C"/>
    <w:rsid w:val="024D69F6"/>
    <w:rsid w:val="027B0D89"/>
    <w:rsid w:val="02C00527"/>
    <w:rsid w:val="02CC3FD0"/>
    <w:rsid w:val="02CE70F2"/>
    <w:rsid w:val="02E211CA"/>
    <w:rsid w:val="02F2103C"/>
    <w:rsid w:val="0318663A"/>
    <w:rsid w:val="03402312"/>
    <w:rsid w:val="036D5D75"/>
    <w:rsid w:val="03A51AFE"/>
    <w:rsid w:val="03B076D9"/>
    <w:rsid w:val="03B647B8"/>
    <w:rsid w:val="03E31C0A"/>
    <w:rsid w:val="03FC6066"/>
    <w:rsid w:val="04007565"/>
    <w:rsid w:val="04133300"/>
    <w:rsid w:val="0426600A"/>
    <w:rsid w:val="046C1CC8"/>
    <w:rsid w:val="049C5470"/>
    <w:rsid w:val="05374DFE"/>
    <w:rsid w:val="05607CA3"/>
    <w:rsid w:val="05697C75"/>
    <w:rsid w:val="05FF3FBB"/>
    <w:rsid w:val="06A778F8"/>
    <w:rsid w:val="07225C32"/>
    <w:rsid w:val="0739487F"/>
    <w:rsid w:val="07732BAF"/>
    <w:rsid w:val="085E1C80"/>
    <w:rsid w:val="086911B3"/>
    <w:rsid w:val="087D6F88"/>
    <w:rsid w:val="09074078"/>
    <w:rsid w:val="095771F8"/>
    <w:rsid w:val="098C3301"/>
    <w:rsid w:val="0A4712D5"/>
    <w:rsid w:val="0A6C6BFE"/>
    <w:rsid w:val="0B3D1DED"/>
    <w:rsid w:val="0B915742"/>
    <w:rsid w:val="0C6F48CB"/>
    <w:rsid w:val="0CDC6777"/>
    <w:rsid w:val="0D474CE0"/>
    <w:rsid w:val="0D6701D2"/>
    <w:rsid w:val="0D834A22"/>
    <w:rsid w:val="0DE3222A"/>
    <w:rsid w:val="0DEC5614"/>
    <w:rsid w:val="0E9A04B4"/>
    <w:rsid w:val="0F204A0C"/>
    <w:rsid w:val="0F3165C2"/>
    <w:rsid w:val="0F336325"/>
    <w:rsid w:val="0F571D6E"/>
    <w:rsid w:val="0FA40322"/>
    <w:rsid w:val="0FE33C3C"/>
    <w:rsid w:val="0FEC5A4E"/>
    <w:rsid w:val="103C69EB"/>
    <w:rsid w:val="11066712"/>
    <w:rsid w:val="111626F1"/>
    <w:rsid w:val="1132794E"/>
    <w:rsid w:val="11753B2C"/>
    <w:rsid w:val="11DF21E9"/>
    <w:rsid w:val="12EF05B1"/>
    <w:rsid w:val="13D8577E"/>
    <w:rsid w:val="13DD2937"/>
    <w:rsid w:val="142E5D2B"/>
    <w:rsid w:val="143C2F7C"/>
    <w:rsid w:val="14560FCC"/>
    <w:rsid w:val="14B03849"/>
    <w:rsid w:val="14DB6B87"/>
    <w:rsid w:val="14E02BB5"/>
    <w:rsid w:val="15230B93"/>
    <w:rsid w:val="156E3BED"/>
    <w:rsid w:val="15D43539"/>
    <w:rsid w:val="15FF4894"/>
    <w:rsid w:val="16243CEA"/>
    <w:rsid w:val="1665388A"/>
    <w:rsid w:val="16DF0C31"/>
    <w:rsid w:val="17115C12"/>
    <w:rsid w:val="17A35121"/>
    <w:rsid w:val="17DE6229"/>
    <w:rsid w:val="1864377F"/>
    <w:rsid w:val="18A6745D"/>
    <w:rsid w:val="18C20307"/>
    <w:rsid w:val="18C33734"/>
    <w:rsid w:val="193E24C1"/>
    <w:rsid w:val="193E5F26"/>
    <w:rsid w:val="199A7882"/>
    <w:rsid w:val="1A072681"/>
    <w:rsid w:val="1A0F26A7"/>
    <w:rsid w:val="1AA82E6C"/>
    <w:rsid w:val="1AB67B1F"/>
    <w:rsid w:val="1AD80A3E"/>
    <w:rsid w:val="1AF546E1"/>
    <w:rsid w:val="1B640A62"/>
    <w:rsid w:val="1B7E48A3"/>
    <w:rsid w:val="1B8865B1"/>
    <w:rsid w:val="1BBE2502"/>
    <w:rsid w:val="1C1447F5"/>
    <w:rsid w:val="1C2A3250"/>
    <w:rsid w:val="1C3E09AE"/>
    <w:rsid w:val="1C424981"/>
    <w:rsid w:val="1C5D1E82"/>
    <w:rsid w:val="1C655394"/>
    <w:rsid w:val="1CFA2B97"/>
    <w:rsid w:val="1D2310B2"/>
    <w:rsid w:val="1D285EFA"/>
    <w:rsid w:val="1D441843"/>
    <w:rsid w:val="1D656DE3"/>
    <w:rsid w:val="1D94498A"/>
    <w:rsid w:val="1E220507"/>
    <w:rsid w:val="1E487EFE"/>
    <w:rsid w:val="1E7D2A7E"/>
    <w:rsid w:val="1EB5184A"/>
    <w:rsid w:val="1EFD6670"/>
    <w:rsid w:val="1FAF2832"/>
    <w:rsid w:val="20145DCC"/>
    <w:rsid w:val="20155077"/>
    <w:rsid w:val="205230DA"/>
    <w:rsid w:val="20D217F5"/>
    <w:rsid w:val="20FE04B2"/>
    <w:rsid w:val="2131545F"/>
    <w:rsid w:val="2140396D"/>
    <w:rsid w:val="214771A4"/>
    <w:rsid w:val="21740A93"/>
    <w:rsid w:val="220E07CE"/>
    <w:rsid w:val="22340A53"/>
    <w:rsid w:val="22B1472D"/>
    <w:rsid w:val="22F83355"/>
    <w:rsid w:val="230A2821"/>
    <w:rsid w:val="23580E78"/>
    <w:rsid w:val="235D1FAB"/>
    <w:rsid w:val="237F3826"/>
    <w:rsid w:val="23AA5360"/>
    <w:rsid w:val="241237A1"/>
    <w:rsid w:val="24745288"/>
    <w:rsid w:val="247C0A10"/>
    <w:rsid w:val="25BD0937"/>
    <w:rsid w:val="25BD5E44"/>
    <w:rsid w:val="26022B20"/>
    <w:rsid w:val="262D1BCD"/>
    <w:rsid w:val="26446E10"/>
    <w:rsid w:val="26920C44"/>
    <w:rsid w:val="26CD2047"/>
    <w:rsid w:val="26F05B20"/>
    <w:rsid w:val="27240205"/>
    <w:rsid w:val="27E703AA"/>
    <w:rsid w:val="280D437A"/>
    <w:rsid w:val="288921B5"/>
    <w:rsid w:val="28D767AB"/>
    <w:rsid w:val="290C6852"/>
    <w:rsid w:val="296149AF"/>
    <w:rsid w:val="2A1D52F8"/>
    <w:rsid w:val="2A66491D"/>
    <w:rsid w:val="2A9A66BB"/>
    <w:rsid w:val="2B663054"/>
    <w:rsid w:val="2C257731"/>
    <w:rsid w:val="2C3902F3"/>
    <w:rsid w:val="2C9F197B"/>
    <w:rsid w:val="2CDD1AFE"/>
    <w:rsid w:val="2D32461D"/>
    <w:rsid w:val="2D712984"/>
    <w:rsid w:val="2D86776B"/>
    <w:rsid w:val="2DC57C0F"/>
    <w:rsid w:val="2DCE1486"/>
    <w:rsid w:val="2E84168D"/>
    <w:rsid w:val="2F4D6985"/>
    <w:rsid w:val="2FC1376A"/>
    <w:rsid w:val="2FFB77C8"/>
    <w:rsid w:val="2FFC2846"/>
    <w:rsid w:val="30214A1C"/>
    <w:rsid w:val="30453BC1"/>
    <w:rsid w:val="305F5C01"/>
    <w:rsid w:val="30A0668D"/>
    <w:rsid w:val="30D731AB"/>
    <w:rsid w:val="319017C0"/>
    <w:rsid w:val="31E76CAB"/>
    <w:rsid w:val="31F715C3"/>
    <w:rsid w:val="324158C6"/>
    <w:rsid w:val="326232B7"/>
    <w:rsid w:val="32EF68E3"/>
    <w:rsid w:val="330266DE"/>
    <w:rsid w:val="33216FE8"/>
    <w:rsid w:val="339B7A27"/>
    <w:rsid w:val="33AE0238"/>
    <w:rsid w:val="33F77F18"/>
    <w:rsid w:val="34F2530D"/>
    <w:rsid w:val="36996533"/>
    <w:rsid w:val="36E10168"/>
    <w:rsid w:val="3794587A"/>
    <w:rsid w:val="37EE15EF"/>
    <w:rsid w:val="384D3CDD"/>
    <w:rsid w:val="38A52AFD"/>
    <w:rsid w:val="38CF26B4"/>
    <w:rsid w:val="39431399"/>
    <w:rsid w:val="39596E38"/>
    <w:rsid w:val="399818F2"/>
    <w:rsid w:val="39A238BE"/>
    <w:rsid w:val="3A0A4722"/>
    <w:rsid w:val="3A13481C"/>
    <w:rsid w:val="3A493348"/>
    <w:rsid w:val="3AEF3314"/>
    <w:rsid w:val="3B1B5999"/>
    <w:rsid w:val="3B782D33"/>
    <w:rsid w:val="3BC40F76"/>
    <w:rsid w:val="3BED4AA3"/>
    <w:rsid w:val="3BF82748"/>
    <w:rsid w:val="3C425454"/>
    <w:rsid w:val="3C585FDC"/>
    <w:rsid w:val="3C5B13BB"/>
    <w:rsid w:val="3CCA42F6"/>
    <w:rsid w:val="3CDC2E85"/>
    <w:rsid w:val="3D016AAC"/>
    <w:rsid w:val="3D2038C6"/>
    <w:rsid w:val="3D3A3F6D"/>
    <w:rsid w:val="3D554800"/>
    <w:rsid w:val="3D6E22D7"/>
    <w:rsid w:val="3D965795"/>
    <w:rsid w:val="3DE761E3"/>
    <w:rsid w:val="3DF469D4"/>
    <w:rsid w:val="3E022599"/>
    <w:rsid w:val="3E2B2250"/>
    <w:rsid w:val="3E770B28"/>
    <w:rsid w:val="3EC95CEB"/>
    <w:rsid w:val="3F3032EE"/>
    <w:rsid w:val="3F312865"/>
    <w:rsid w:val="3F6D7FE8"/>
    <w:rsid w:val="3F993D77"/>
    <w:rsid w:val="3FE87D90"/>
    <w:rsid w:val="3FFD5C60"/>
    <w:rsid w:val="40605551"/>
    <w:rsid w:val="41844955"/>
    <w:rsid w:val="42091E57"/>
    <w:rsid w:val="422B523E"/>
    <w:rsid w:val="42E1444F"/>
    <w:rsid w:val="433C2D89"/>
    <w:rsid w:val="436D63EC"/>
    <w:rsid w:val="43A77812"/>
    <w:rsid w:val="43E157DA"/>
    <w:rsid w:val="43E7369E"/>
    <w:rsid w:val="442C52D0"/>
    <w:rsid w:val="443F4954"/>
    <w:rsid w:val="44CC506E"/>
    <w:rsid w:val="45034667"/>
    <w:rsid w:val="45651E6C"/>
    <w:rsid w:val="45CA352D"/>
    <w:rsid w:val="461D4495"/>
    <w:rsid w:val="466E5C60"/>
    <w:rsid w:val="46750839"/>
    <w:rsid w:val="4690660E"/>
    <w:rsid w:val="46CF76DF"/>
    <w:rsid w:val="46DC3E37"/>
    <w:rsid w:val="47396B5F"/>
    <w:rsid w:val="47534076"/>
    <w:rsid w:val="47781FFF"/>
    <w:rsid w:val="47792E2C"/>
    <w:rsid w:val="478E3A97"/>
    <w:rsid w:val="479A4023"/>
    <w:rsid w:val="47F27607"/>
    <w:rsid w:val="48D20B5A"/>
    <w:rsid w:val="48E87A88"/>
    <w:rsid w:val="49014CB8"/>
    <w:rsid w:val="49B467B0"/>
    <w:rsid w:val="49C41BCE"/>
    <w:rsid w:val="49CD4E36"/>
    <w:rsid w:val="4A2922F1"/>
    <w:rsid w:val="4AA42242"/>
    <w:rsid w:val="4AAA7B6D"/>
    <w:rsid w:val="4B2034EC"/>
    <w:rsid w:val="4BAF3FE9"/>
    <w:rsid w:val="4C5F15A8"/>
    <w:rsid w:val="4CB42BBE"/>
    <w:rsid w:val="4CE40747"/>
    <w:rsid w:val="4D1B3E0E"/>
    <w:rsid w:val="4D4311FD"/>
    <w:rsid w:val="4D5364CC"/>
    <w:rsid w:val="4E0D2912"/>
    <w:rsid w:val="4EB85E72"/>
    <w:rsid w:val="4ED43B6B"/>
    <w:rsid w:val="4EE348E7"/>
    <w:rsid w:val="4F1858E1"/>
    <w:rsid w:val="4F5379C8"/>
    <w:rsid w:val="505A65B1"/>
    <w:rsid w:val="505E5FF9"/>
    <w:rsid w:val="50671FB6"/>
    <w:rsid w:val="50735042"/>
    <w:rsid w:val="50AF68BF"/>
    <w:rsid w:val="50D305C8"/>
    <w:rsid w:val="5118557E"/>
    <w:rsid w:val="51385F5F"/>
    <w:rsid w:val="51FF51B4"/>
    <w:rsid w:val="520574C6"/>
    <w:rsid w:val="5211139F"/>
    <w:rsid w:val="52421D23"/>
    <w:rsid w:val="52557C6B"/>
    <w:rsid w:val="52774D3B"/>
    <w:rsid w:val="52B96BE2"/>
    <w:rsid w:val="535C13FD"/>
    <w:rsid w:val="53835EE6"/>
    <w:rsid w:val="53880E7A"/>
    <w:rsid w:val="53B97921"/>
    <w:rsid w:val="54633D6F"/>
    <w:rsid w:val="549106CB"/>
    <w:rsid w:val="54B6602B"/>
    <w:rsid w:val="55574025"/>
    <w:rsid w:val="558114B9"/>
    <w:rsid w:val="55A025EA"/>
    <w:rsid w:val="55FE0536"/>
    <w:rsid w:val="562318CA"/>
    <w:rsid w:val="563E75A0"/>
    <w:rsid w:val="56B62801"/>
    <w:rsid w:val="57000CB0"/>
    <w:rsid w:val="57126344"/>
    <w:rsid w:val="571F089C"/>
    <w:rsid w:val="573120DE"/>
    <w:rsid w:val="57BF4D97"/>
    <w:rsid w:val="57D421B3"/>
    <w:rsid w:val="58127ABF"/>
    <w:rsid w:val="58987977"/>
    <w:rsid w:val="58E75CAF"/>
    <w:rsid w:val="592432C4"/>
    <w:rsid w:val="59624263"/>
    <w:rsid w:val="599E0598"/>
    <w:rsid w:val="5A0910A7"/>
    <w:rsid w:val="5AE7065A"/>
    <w:rsid w:val="5AE97208"/>
    <w:rsid w:val="5AEA62E9"/>
    <w:rsid w:val="5B277B38"/>
    <w:rsid w:val="5BAE3083"/>
    <w:rsid w:val="5BF03DFC"/>
    <w:rsid w:val="5BF94A48"/>
    <w:rsid w:val="5C133BF6"/>
    <w:rsid w:val="5C4774FA"/>
    <w:rsid w:val="5C6A11F2"/>
    <w:rsid w:val="5C975645"/>
    <w:rsid w:val="5CF46404"/>
    <w:rsid w:val="5CF70FFD"/>
    <w:rsid w:val="5D6A6E24"/>
    <w:rsid w:val="5D7A7B5F"/>
    <w:rsid w:val="5DC65800"/>
    <w:rsid w:val="5DE0172A"/>
    <w:rsid w:val="5E46011D"/>
    <w:rsid w:val="5E4853F8"/>
    <w:rsid w:val="5EED0DD2"/>
    <w:rsid w:val="5FCD2F78"/>
    <w:rsid w:val="5FE90C60"/>
    <w:rsid w:val="5FF164D3"/>
    <w:rsid w:val="602044F0"/>
    <w:rsid w:val="60F24DA3"/>
    <w:rsid w:val="60F61C8B"/>
    <w:rsid w:val="61095F7A"/>
    <w:rsid w:val="61846930"/>
    <w:rsid w:val="61970898"/>
    <w:rsid w:val="61E57855"/>
    <w:rsid w:val="61FC4BAE"/>
    <w:rsid w:val="625F1281"/>
    <w:rsid w:val="62B32671"/>
    <w:rsid w:val="631376E6"/>
    <w:rsid w:val="63291382"/>
    <w:rsid w:val="632B4B31"/>
    <w:rsid w:val="63DC6EC5"/>
    <w:rsid w:val="643E4820"/>
    <w:rsid w:val="645927A8"/>
    <w:rsid w:val="650628B0"/>
    <w:rsid w:val="65697AB0"/>
    <w:rsid w:val="66DE2E87"/>
    <w:rsid w:val="66E770FE"/>
    <w:rsid w:val="66F82308"/>
    <w:rsid w:val="67341FF4"/>
    <w:rsid w:val="6737701B"/>
    <w:rsid w:val="675F3590"/>
    <w:rsid w:val="681A5D52"/>
    <w:rsid w:val="68274B2A"/>
    <w:rsid w:val="683C051C"/>
    <w:rsid w:val="689635CD"/>
    <w:rsid w:val="694C7D63"/>
    <w:rsid w:val="695409BA"/>
    <w:rsid w:val="6A021FDC"/>
    <w:rsid w:val="6A0C4978"/>
    <w:rsid w:val="6A10093E"/>
    <w:rsid w:val="6A462BAF"/>
    <w:rsid w:val="6A774104"/>
    <w:rsid w:val="6AA84AB0"/>
    <w:rsid w:val="6AC7040D"/>
    <w:rsid w:val="6B453B5A"/>
    <w:rsid w:val="6B5E6DDE"/>
    <w:rsid w:val="6B6976A1"/>
    <w:rsid w:val="6BCB0F99"/>
    <w:rsid w:val="6C083842"/>
    <w:rsid w:val="6C125923"/>
    <w:rsid w:val="6C2174B1"/>
    <w:rsid w:val="6C800C67"/>
    <w:rsid w:val="6CF37873"/>
    <w:rsid w:val="6D0B36D0"/>
    <w:rsid w:val="6D2D2CBF"/>
    <w:rsid w:val="6E157ED1"/>
    <w:rsid w:val="6E1A4085"/>
    <w:rsid w:val="6E796013"/>
    <w:rsid w:val="6F521B5B"/>
    <w:rsid w:val="70A67454"/>
    <w:rsid w:val="70EC39A5"/>
    <w:rsid w:val="71B04E94"/>
    <w:rsid w:val="7293036A"/>
    <w:rsid w:val="72F33FE0"/>
    <w:rsid w:val="730C0A75"/>
    <w:rsid w:val="73436DD6"/>
    <w:rsid w:val="73554060"/>
    <w:rsid w:val="73A4207B"/>
    <w:rsid w:val="73C21A8C"/>
    <w:rsid w:val="73D23FEA"/>
    <w:rsid w:val="74D34CF9"/>
    <w:rsid w:val="75007943"/>
    <w:rsid w:val="752B7E08"/>
    <w:rsid w:val="75F005BC"/>
    <w:rsid w:val="75F01BD1"/>
    <w:rsid w:val="766B7395"/>
    <w:rsid w:val="767E61E4"/>
    <w:rsid w:val="76E1191D"/>
    <w:rsid w:val="76F831CF"/>
    <w:rsid w:val="7703004A"/>
    <w:rsid w:val="77374314"/>
    <w:rsid w:val="77792438"/>
    <w:rsid w:val="783902E3"/>
    <w:rsid w:val="783B5C36"/>
    <w:rsid w:val="786776B4"/>
    <w:rsid w:val="787E519E"/>
    <w:rsid w:val="7881132E"/>
    <w:rsid w:val="78815902"/>
    <w:rsid w:val="788B3058"/>
    <w:rsid w:val="790C6935"/>
    <w:rsid w:val="792600F8"/>
    <w:rsid w:val="79263047"/>
    <w:rsid w:val="793035DE"/>
    <w:rsid w:val="795239F6"/>
    <w:rsid w:val="7A477C0D"/>
    <w:rsid w:val="7A883A29"/>
    <w:rsid w:val="7AEB0FB6"/>
    <w:rsid w:val="7B04733F"/>
    <w:rsid w:val="7B1F74AE"/>
    <w:rsid w:val="7B8A5908"/>
    <w:rsid w:val="7BBE0C22"/>
    <w:rsid w:val="7BC4623B"/>
    <w:rsid w:val="7C251531"/>
    <w:rsid w:val="7CB47CA5"/>
    <w:rsid w:val="7CDB37BE"/>
    <w:rsid w:val="7D192389"/>
    <w:rsid w:val="7D5D47CE"/>
    <w:rsid w:val="7D8C1CD9"/>
    <w:rsid w:val="7D9D34D8"/>
    <w:rsid w:val="7DAF7BCB"/>
    <w:rsid w:val="7DEC5F0A"/>
    <w:rsid w:val="7DFC0582"/>
    <w:rsid w:val="7EBC1224"/>
    <w:rsid w:val="7EEF3164"/>
    <w:rsid w:val="7F1B42DB"/>
    <w:rsid w:val="7F500422"/>
    <w:rsid w:val="7F7E4370"/>
    <w:rsid w:val="7FB674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6"/>
    <w:qFormat/>
    <w:uiPriority w:val="99"/>
    <w:pPr>
      <w:keepNext/>
      <w:spacing w:line="276" w:lineRule="auto"/>
      <w:ind w:right="52"/>
      <w:outlineLvl w:val="0"/>
    </w:pPr>
    <w:rPr>
      <w:rFonts w:ascii="宋体"/>
      <w:sz w:val="28"/>
      <w:szCs w:val="20"/>
    </w:rPr>
  </w:style>
  <w:style w:type="paragraph" w:styleId="4">
    <w:name w:val="heading 2"/>
    <w:basedOn w:val="1"/>
    <w:next w:val="1"/>
    <w:link w:val="97"/>
    <w:qFormat/>
    <w:uiPriority w:val="99"/>
    <w:pPr>
      <w:keepNext/>
      <w:numPr>
        <w:ilvl w:val="0"/>
        <w:numId w:val="1"/>
      </w:numPr>
      <w:spacing w:line="400" w:lineRule="exact"/>
      <w:jc w:val="center"/>
      <w:outlineLvl w:val="1"/>
    </w:pPr>
    <w:rPr>
      <w:rFonts w:ascii="黑体" w:eastAsia="黑体"/>
      <w:color w:val="000000"/>
      <w:kern w:val="0"/>
      <w:sz w:val="28"/>
      <w:szCs w:val="20"/>
    </w:rPr>
  </w:style>
  <w:style w:type="paragraph" w:styleId="5">
    <w:name w:val="heading 3"/>
    <w:basedOn w:val="1"/>
    <w:next w:val="1"/>
    <w:link w:val="98"/>
    <w:qFormat/>
    <w:uiPriority w:val="99"/>
    <w:pPr>
      <w:keepNext/>
      <w:numPr>
        <w:ilvl w:val="0"/>
        <w:numId w:val="2"/>
      </w:numPr>
      <w:adjustRightInd w:val="0"/>
      <w:snapToGrid w:val="0"/>
      <w:spacing w:line="400" w:lineRule="exact"/>
      <w:outlineLvl w:val="2"/>
    </w:pPr>
    <w:rPr>
      <w:rFonts w:ascii="黑体" w:eastAsia="黑体"/>
      <w:kern w:val="0"/>
      <w:sz w:val="28"/>
      <w:szCs w:val="20"/>
    </w:rPr>
  </w:style>
  <w:style w:type="paragraph" w:styleId="6">
    <w:name w:val="heading 4"/>
    <w:basedOn w:val="1"/>
    <w:next w:val="1"/>
    <w:link w:val="99"/>
    <w:qFormat/>
    <w:uiPriority w:val="99"/>
    <w:pPr>
      <w:keepNext/>
      <w:keepLines/>
      <w:spacing w:line="374" w:lineRule="auto"/>
      <w:outlineLvl w:val="3"/>
    </w:pPr>
    <w:rPr>
      <w:rFonts w:ascii="Arial" w:hAnsi="Arial" w:eastAsia="黑体"/>
      <w:b/>
      <w:sz w:val="28"/>
      <w:szCs w:val="20"/>
    </w:rPr>
  </w:style>
  <w:style w:type="paragraph" w:styleId="7">
    <w:name w:val="heading 5"/>
    <w:basedOn w:val="1"/>
    <w:next w:val="1"/>
    <w:link w:val="100"/>
    <w:qFormat/>
    <w:uiPriority w:val="99"/>
    <w:pPr>
      <w:keepNext/>
      <w:keepLines/>
      <w:spacing w:line="374" w:lineRule="auto"/>
      <w:outlineLvl w:val="4"/>
    </w:pPr>
    <w:rPr>
      <w:b/>
      <w:sz w:val="28"/>
      <w:szCs w:val="20"/>
    </w:rPr>
  </w:style>
  <w:style w:type="paragraph" w:styleId="8">
    <w:name w:val="heading 6"/>
    <w:basedOn w:val="1"/>
    <w:next w:val="1"/>
    <w:link w:val="101"/>
    <w:qFormat/>
    <w:uiPriority w:val="99"/>
    <w:pPr>
      <w:keepNext/>
      <w:keepLines/>
      <w:spacing w:line="319" w:lineRule="auto"/>
      <w:outlineLvl w:val="5"/>
    </w:pPr>
    <w:rPr>
      <w:rFonts w:ascii="Arial" w:hAnsi="Arial" w:eastAsia="黑体"/>
      <w:b/>
      <w:sz w:val="24"/>
      <w:szCs w:val="20"/>
    </w:rPr>
  </w:style>
  <w:style w:type="paragraph" w:styleId="9">
    <w:name w:val="heading 7"/>
    <w:basedOn w:val="1"/>
    <w:next w:val="2"/>
    <w:link w:val="102"/>
    <w:qFormat/>
    <w:uiPriority w:val="99"/>
    <w:pPr>
      <w:keepNext/>
      <w:keepLines/>
      <w:spacing w:line="320" w:lineRule="auto"/>
      <w:outlineLvl w:val="6"/>
    </w:pPr>
    <w:rPr>
      <w:b/>
      <w:sz w:val="24"/>
      <w:szCs w:val="20"/>
    </w:rPr>
  </w:style>
  <w:style w:type="paragraph" w:styleId="10">
    <w:name w:val="heading 8"/>
    <w:basedOn w:val="1"/>
    <w:next w:val="2"/>
    <w:link w:val="103"/>
    <w:qFormat/>
    <w:uiPriority w:val="99"/>
    <w:pPr>
      <w:keepNext/>
      <w:keepLines/>
      <w:spacing w:line="320" w:lineRule="auto"/>
      <w:outlineLvl w:val="7"/>
    </w:pPr>
    <w:rPr>
      <w:rFonts w:ascii="Arial" w:hAnsi="Arial" w:eastAsia="黑体"/>
      <w:sz w:val="24"/>
      <w:szCs w:val="20"/>
    </w:rPr>
  </w:style>
  <w:style w:type="paragraph" w:styleId="11">
    <w:name w:val="heading 9"/>
    <w:basedOn w:val="1"/>
    <w:next w:val="2"/>
    <w:link w:val="104"/>
    <w:qFormat/>
    <w:uiPriority w:val="99"/>
    <w:pPr>
      <w:keepNext/>
      <w:keepLines/>
      <w:spacing w:line="320" w:lineRule="auto"/>
      <w:outlineLvl w:val="8"/>
    </w:pPr>
    <w:rPr>
      <w:rFonts w:ascii="Arial" w:hAnsi="Arial" w:eastAsia="黑体"/>
      <w:szCs w:val="20"/>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12">
    <w:name w:val="List 3"/>
    <w:basedOn w:val="1"/>
    <w:qFormat/>
    <w:uiPriority w:val="99"/>
    <w:pPr>
      <w:ind w:left="100" w:leftChars="400" w:hanging="200" w:hangingChars="200"/>
    </w:pPr>
    <w:rPr>
      <w:szCs w:val="20"/>
    </w:r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99"/>
    <w:pPr>
      <w:numPr>
        <w:ilvl w:val="0"/>
        <w:numId w:val="3"/>
      </w:numPr>
    </w:pPr>
  </w:style>
  <w:style w:type="paragraph" w:styleId="15">
    <w:name w:val="Note Heading"/>
    <w:basedOn w:val="1"/>
    <w:next w:val="1"/>
    <w:link w:val="109"/>
    <w:qFormat/>
    <w:uiPriority w:val="99"/>
    <w:pPr>
      <w:jc w:val="center"/>
    </w:pPr>
  </w:style>
  <w:style w:type="paragraph" w:styleId="16">
    <w:name w:val="List Bullet 4"/>
    <w:basedOn w:val="1"/>
    <w:qFormat/>
    <w:uiPriority w:val="99"/>
    <w:pPr>
      <w:numPr>
        <w:ilvl w:val="0"/>
        <w:numId w:val="4"/>
      </w:numPr>
    </w:pPr>
  </w:style>
  <w:style w:type="paragraph" w:styleId="17">
    <w:name w:val="E-mail Signature"/>
    <w:basedOn w:val="1"/>
    <w:link w:val="110"/>
    <w:qFormat/>
    <w:uiPriority w:val="99"/>
  </w:style>
  <w:style w:type="paragraph" w:styleId="18">
    <w:name w:val="List Number"/>
    <w:basedOn w:val="1"/>
    <w:qFormat/>
    <w:uiPriority w:val="99"/>
    <w:pPr>
      <w:numPr>
        <w:ilvl w:val="0"/>
        <w:numId w:val="5"/>
      </w:numPr>
    </w:pPr>
  </w:style>
  <w:style w:type="paragraph" w:styleId="19">
    <w:name w:val="caption"/>
    <w:basedOn w:val="1"/>
    <w:next w:val="1"/>
    <w:qFormat/>
    <w:uiPriority w:val="99"/>
    <w:rPr>
      <w:rFonts w:ascii="Arial" w:hAnsi="Arial" w:eastAsia="黑体"/>
      <w:sz w:val="20"/>
      <w:szCs w:val="20"/>
    </w:rPr>
  </w:style>
  <w:style w:type="paragraph" w:styleId="20">
    <w:name w:val="List Bullet"/>
    <w:basedOn w:val="1"/>
    <w:qFormat/>
    <w:uiPriority w:val="99"/>
    <w:pPr>
      <w:tabs>
        <w:tab w:val="left" w:pos="360"/>
      </w:tabs>
      <w:ind w:left="360" w:hanging="360"/>
    </w:pPr>
  </w:style>
  <w:style w:type="paragraph" w:styleId="21">
    <w:name w:val="envelope address"/>
    <w:basedOn w:val="1"/>
    <w:qFormat/>
    <w:uiPriority w:val="99"/>
    <w:pPr>
      <w:snapToGrid w:val="0"/>
      <w:ind w:left="100" w:leftChars="1400"/>
    </w:pPr>
    <w:rPr>
      <w:rFonts w:ascii="Arial" w:hAnsi="Arial" w:cs="Arial"/>
      <w:sz w:val="24"/>
    </w:rPr>
  </w:style>
  <w:style w:type="paragraph" w:styleId="22">
    <w:name w:val="Document Map"/>
    <w:basedOn w:val="1"/>
    <w:link w:val="111"/>
    <w:qFormat/>
    <w:uiPriority w:val="99"/>
    <w:pPr>
      <w:shd w:val="clear" w:color="auto" w:fill="000080"/>
    </w:pPr>
    <w:rPr>
      <w:shd w:val="clear" w:color="auto" w:fill="000080"/>
    </w:rPr>
  </w:style>
  <w:style w:type="paragraph" w:styleId="23">
    <w:name w:val="annotation text"/>
    <w:basedOn w:val="1"/>
    <w:link w:val="105"/>
    <w:qFormat/>
    <w:uiPriority w:val="99"/>
    <w:pPr>
      <w:jc w:val="left"/>
    </w:pPr>
  </w:style>
  <w:style w:type="paragraph" w:styleId="24">
    <w:name w:val="Salutation"/>
    <w:basedOn w:val="1"/>
    <w:next w:val="1"/>
    <w:link w:val="112"/>
    <w:qFormat/>
    <w:uiPriority w:val="99"/>
  </w:style>
  <w:style w:type="paragraph" w:styleId="25">
    <w:name w:val="Body Text 3"/>
    <w:basedOn w:val="1"/>
    <w:link w:val="113"/>
    <w:qFormat/>
    <w:uiPriority w:val="99"/>
    <w:pPr>
      <w:jc w:val="center"/>
    </w:pPr>
    <w:rPr>
      <w:szCs w:val="20"/>
      <w:lang w:bidi="he-IL"/>
    </w:rPr>
  </w:style>
  <w:style w:type="paragraph" w:styleId="26">
    <w:name w:val="Closing"/>
    <w:basedOn w:val="1"/>
    <w:link w:val="114"/>
    <w:qFormat/>
    <w:uiPriority w:val="99"/>
    <w:pPr>
      <w:ind w:left="100" w:leftChars="2100"/>
    </w:pPr>
  </w:style>
  <w:style w:type="paragraph" w:styleId="27">
    <w:name w:val="List Bullet 3"/>
    <w:basedOn w:val="1"/>
    <w:qFormat/>
    <w:uiPriority w:val="99"/>
    <w:pPr>
      <w:numPr>
        <w:ilvl w:val="0"/>
        <w:numId w:val="6"/>
      </w:numPr>
      <w:tabs>
        <w:tab w:val="left" w:pos="1200"/>
        <w:tab w:val="clear" w:pos="780"/>
      </w:tabs>
      <w:ind w:left="1200" w:leftChars="400"/>
    </w:pPr>
    <w:rPr>
      <w:szCs w:val="20"/>
    </w:rPr>
  </w:style>
  <w:style w:type="paragraph" w:styleId="28">
    <w:name w:val="Body Text"/>
    <w:basedOn w:val="1"/>
    <w:next w:val="1"/>
    <w:link w:val="107"/>
    <w:qFormat/>
    <w:uiPriority w:val="99"/>
  </w:style>
  <w:style w:type="paragraph" w:styleId="29">
    <w:name w:val="Body Text Indent"/>
    <w:basedOn w:val="1"/>
    <w:next w:val="30"/>
    <w:link w:val="115"/>
    <w:qFormat/>
    <w:uiPriority w:val="99"/>
    <w:pPr>
      <w:ind w:left="420" w:leftChars="200"/>
    </w:pPr>
  </w:style>
  <w:style w:type="paragraph" w:styleId="30">
    <w:name w:val="envelope return"/>
    <w:basedOn w:val="1"/>
    <w:qFormat/>
    <w:uiPriority w:val="99"/>
    <w:pPr>
      <w:snapToGrid w:val="0"/>
    </w:pPr>
    <w:rPr>
      <w:rFonts w:ascii="Arial" w:hAnsi="Arial" w:cs="Arial"/>
    </w:rPr>
  </w:style>
  <w:style w:type="paragraph" w:styleId="31">
    <w:name w:val="List Number 3"/>
    <w:basedOn w:val="1"/>
    <w:qFormat/>
    <w:uiPriority w:val="99"/>
    <w:pPr>
      <w:numPr>
        <w:ilvl w:val="0"/>
        <w:numId w:val="7"/>
      </w:numPr>
    </w:pPr>
  </w:style>
  <w:style w:type="paragraph" w:styleId="32">
    <w:name w:val="List 2"/>
    <w:basedOn w:val="1"/>
    <w:qFormat/>
    <w:uiPriority w:val="99"/>
    <w:pPr>
      <w:ind w:left="100" w:leftChars="200" w:hanging="200" w:hangingChars="200"/>
    </w:pPr>
    <w:rPr>
      <w:szCs w:val="20"/>
    </w:rPr>
  </w:style>
  <w:style w:type="paragraph" w:styleId="33">
    <w:name w:val="List Continue"/>
    <w:basedOn w:val="1"/>
    <w:qFormat/>
    <w:uiPriority w:val="99"/>
    <w:pPr>
      <w:ind w:left="420" w:leftChars="200"/>
    </w:pPr>
  </w:style>
  <w:style w:type="paragraph" w:styleId="34">
    <w:name w:val="Block Text"/>
    <w:basedOn w:val="1"/>
    <w:qFormat/>
    <w:uiPriority w:val="99"/>
    <w:pPr>
      <w:tabs>
        <w:tab w:val="left" w:pos="9180"/>
      </w:tabs>
      <w:autoSpaceDE w:val="0"/>
      <w:autoSpaceDN w:val="0"/>
      <w:adjustRightInd w:val="0"/>
      <w:spacing w:line="480" w:lineRule="exact"/>
      <w:ind w:left="490" w:right="5"/>
    </w:pPr>
    <w:rPr>
      <w:rFonts w:ascii="宋体"/>
      <w:kern w:val="0"/>
      <w:sz w:val="24"/>
      <w:szCs w:val="20"/>
      <w:lang w:bidi="he-IL"/>
    </w:rPr>
  </w:style>
  <w:style w:type="paragraph" w:styleId="35">
    <w:name w:val="List Bullet 2"/>
    <w:basedOn w:val="1"/>
    <w:qFormat/>
    <w:uiPriority w:val="99"/>
    <w:pPr>
      <w:tabs>
        <w:tab w:val="left" w:pos="1455"/>
      </w:tabs>
      <w:ind w:left="1455" w:hanging="975"/>
    </w:pPr>
    <w:rPr>
      <w:szCs w:val="20"/>
    </w:rPr>
  </w:style>
  <w:style w:type="paragraph" w:styleId="36">
    <w:name w:val="HTML Address"/>
    <w:basedOn w:val="1"/>
    <w:link w:val="116"/>
    <w:qFormat/>
    <w:uiPriority w:val="99"/>
    <w:rPr>
      <w:i/>
      <w:iCs/>
    </w:rPr>
  </w:style>
  <w:style w:type="paragraph" w:styleId="37">
    <w:name w:val="toc 5"/>
    <w:basedOn w:val="1"/>
    <w:next w:val="1"/>
    <w:qFormat/>
    <w:uiPriority w:val="99"/>
    <w:pPr>
      <w:ind w:left="840"/>
      <w:jc w:val="left"/>
    </w:pPr>
    <w:rPr>
      <w:sz w:val="18"/>
      <w:szCs w:val="18"/>
    </w:rPr>
  </w:style>
  <w:style w:type="paragraph" w:styleId="38">
    <w:name w:val="toc 3"/>
    <w:basedOn w:val="1"/>
    <w:next w:val="1"/>
    <w:qFormat/>
    <w:uiPriority w:val="99"/>
    <w:pPr>
      <w:ind w:left="420"/>
      <w:jc w:val="left"/>
    </w:pPr>
    <w:rPr>
      <w:i/>
      <w:iCs/>
      <w:sz w:val="20"/>
      <w:szCs w:val="20"/>
    </w:rPr>
  </w:style>
  <w:style w:type="paragraph" w:styleId="39">
    <w:name w:val="Plain Text"/>
    <w:basedOn w:val="1"/>
    <w:link w:val="117"/>
    <w:qFormat/>
    <w:uiPriority w:val="0"/>
    <w:rPr>
      <w:rFonts w:ascii="宋体" w:hAnsi="Courier New"/>
      <w:szCs w:val="20"/>
    </w:rPr>
  </w:style>
  <w:style w:type="paragraph" w:styleId="40">
    <w:name w:val="List Bullet 5"/>
    <w:basedOn w:val="1"/>
    <w:qFormat/>
    <w:uiPriority w:val="99"/>
    <w:pPr>
      <w:numPr>
        <w:ilvl w:val="0"/>
        <w:numId w:val="8"/>
      </w:numPr>
    </w:pPr>
  </w:style>
  <w:style w:type="paragraph" w:styleId="41">
    <w:name w:val="List Number 4"/>
    <w:basedOn w:val="1"/>
    <w:qFormat/>
    <w:uiPriority w:val="99"/>
    <w:pPr>
      <w:numPr>
        <w:ilvl w:val="0"/>
        <w:numId w:val="9"/>
      </w:numPr>
    </w:pPr>
  </w:style>
  <w:style w:type="paragraph" w:styleId="42">
    <w:name w:val="toc 8"/>
    <w:basedOn w:val="1"/>
    <w:next w:val="1"/>
    <w:qFormat/>
    <w:uiPriority w:val="99"/>
    <w:pPr>
      <w:ind w:left="1470"/>
      <w:jc w:val="left"/>
    </w:pPr>
    <w:rPr>
      <w:sz w:val="18"/>
      <w:szCs w:val="18"/>
    </w:rPr>
  </w:style>
  <w:style w:type="paragraph" w:styleId="43">
    <w:name w:val="Date"/>
    <w:basedOn w:val="1"/>
    <w:next w:val="1"/>
    <w:link w:val="118"/>
    <w:qFormat/>
    <w:uiPriority w:val="99"/>
    <w:pPr>
      <w:ind w:left="100" w:leftChars="2500"/>
    </w:pPr>
  </w:style>
  <w:style w:type="paragraph" w:styleId="44">
    <w:name w:val="Body Text Indent 2"/>
    <w:basedOn w:val="1"/>
    <w:link w:val="119"/>
    <w:qFormat/>
    <w:uiPriority w:val="99"/>
    <w:pPr>
      <w:spacing w:line="480" w:lineRule="auto"/>
      <w:ind w:left="420" w:leftChars="200"/>
    </w:pPr>
  </w:style>
  <w:style w:type="paragraph" w:styleId="45">
    <w:name w:val="endnote text"/>
    <w:basedOn w:val="1"/>
    <w:link w:val="120"/>
    <w:qFormat/>
    <w:uiPriority w:val="99"/>
    <w:pPr>
      <w:snapToGrid w:val="0"/>
      <w:jc w:val="left"/>
    </w:pPr>
    <w:rPr>
      <w:rFonts w:ascii="宋体"/>
      <w:sz w:val="28"/>
      <w:szCs w:val="20"/>
    </w:rPr>
  </w:style>
  <w:style w:type="paragraph" w:styleId="46">
    <w:name w:val="List Continue 5"/>
    <w:basedOn w:val="1"/>
    <w:qFormat/>
    <w:uiPriority w:val="99"/>
    <w:pPr>
      <w:ind w:left="2100" w:leftChars="1000"/>
    </w:pPr>
  </w:style>
  <w:style w:type="paragraph" w:styleId="47">
    <w:name w:val="Balloon Text"/>
    <w:basedOn w:val="1"/>
    <w:link w:val="121"/>
    <w:qFormat/>
    <w:uiPriority w:val="99"/>
    <w:rPr>
      <w:sz w:val="18"/>
      <w:szCs w:val="18"/>
    </w:rPr>
  </w:style>
  <w:style w:type="paragraph" w:styleId="48">
    <w:name w:val="footer"/>
    <w:basedOn w:val="1"/>
    <w:link w:val="122"/>
    <w:qFormat/>
    <w:uiPriority w:val="99"/>
    <w:pPr>
      <w:tabs>
        <w:tab w:val="center" w:pos="4153"/>
        <w:tab w:val="right" w:pos="8306"/>
      </w:tabs>
      <w:snapToGrid w:val="0"/>
      <w:jc w:val="left"/>
    </w:pPr>
    <w:rPr>
      <w:sz w:val="18"/>
      <w:szCs w:val="18"/>
    </w:rPr>
  </w:style>
  <w:style w:type="paragraph" w:styleId="49">
    <w:name w:val="header"/>
    <w:basedOn w:val="1"/>
    <w:link w:val="124"/>
    <w:qFormat/>
    <w:uiPriority w:val="99"/>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25"/>
    <w:qFormat/>
    <w:uiPriority w:val="99"/>
    <w:pPr>
      <w:ind w:left="100" w:leftChars="2100"/>
    </w:pPr>
  </w:style>
  <w:style w:type="paragraph" w:styleId="51">
    <w:name w:val="toc 1"/>
    <w:basedOn w:val="1"/>
    <w:next w:val="1"/>
    <w:qFormat/>
    <w:uiPriority w:val="99"/>
    <w:pPr>
      <w:jc w:val="left"/>
    </w:pPr>
    <w:rPr>
      <w:b/>
      <w:bCs/>
      <w:caps/>
      <w:sz w:val="20"/>
      <w:szCs w:val="20"/>
    </w:rPr>
  </w:style>
  <w:style w:type="paragraph" w:styleId="52">
    <w:name w:val="List Continue 4"/>
    <w:basedOn w:val="1"/>
    <w:qFormat/>
    <w:uiPriority w:val="99"/>
    <w:pPr>
      <w:ind w:left="1680" w:leftChars="800"/>
    </w:pPr>
    <w:rPr>
      <w:szCs w:val="20"/>
    </w:rPr>
  </w:style>
  <w:style w:type="paragraph" w:styleId="53">
    <w:name w:val="toc 4"/>
    <w:basedOn w:val="1"/>
    <w:next w:val="1"/>
    <w:qFormat/>
    <w:uiPriority w:val="99"/>
    <w:pPr>
      <w:ind w:left="630"/>
      <w:jc w:val="left"/>
    </w:pPr>
    <w:rPr>
      <w:sz w:val="18"/>
      <w:szCs w:val="18"/>
    </w:rPr>
  </w:style>
  <w:style w:type="paragraph" w:styleId="54">
    <w:name w:val="Subtitle"/>
    <w:basedOn w:val="1"/>
    <w:next w:val="1"/>
    <w:link w:val="126"/>
    <w:qFormat/>
    <w:uiPriority w:val="99"/>
    <w:pPr>
      <w:spacing w:line="312" w:lineRule="auto"/>
      <w:jc w:val="center"/>
      <w:outlineLvl w:val="1"/>
    </w:pPr>
    <w:rPr>
      <w:rFonts w:ascii="Arial" w:hAnsi="Arial"/>
      <w:b/>
      <w:bCs/>
      <w:kern w:val="28"/>
      <w:sz w:val="32"/>
      <w:szCs w:val="32"/>
    </w:rPr>
  </w:style>
  <w:style w:type="paragraph" w:styleId="55">
    <w:name w:val="List Number 5"/>
    <w:basedOn w:val="1"/>
    <w:qFormat/>
    <w:uiPriority w:val="99"/>
    <w:pPr>
      <w:numPr>
        <w:ilvl w:val="0"/>
        <w:numId w:val="10"/>
      </w:numPr>
    </w:pPr>
  </w:style>
  <w:style w:type="paragraph" w:styleId="56">
    <w:name w:val="List"/>
    <w:basedOn w:val="1"/>
    <w:qFormat/>
    <w:uiPriority w:val="99"/>
    <w:pPr>
      <w:ind w:left="200" w:hanging="200" w:hangingChars="200"/>
    </w:pPr>
  </w:style>
  <w:style w:type="paragraph" w:styleId="57">
    <w:name w:val="footnote text"/>
    <w:basedOn w:val="1"/>
    <w:link w:val="127"/>
    <w:qFormat/>
    <w:uiPriority w:val="99"/>
    <w:pPr>
      <w:snapToGrid w:val="0"/>
      <w:jc w:val="left"/>
    </w:pPr>
  </w:style>
  <w:style w:type="paragraph" w:styleId="58">
    <w:name w:val="toc 6"/>
    <w:basedOn w:val="1"/>
    <w:next w:val="1"/>
    <w:qFormat/>
    <w:uiPriority w:val="99"/>
    <w:pPr>
      <w:ind w:left="1050"/>
      <w:jc w:val="left"/>
    </w:pPr>
    <w:rPr>
      <w:sz w:val="18"/>
      <w:szCs w:val="18"/>
    </w:rPr>
  </w:style>
  <w:style w:type="paragraph" w:styleId="59">
    <w:name w:val="List 5"/>
    <w:basedOn w:val="1"/>
    <w:qFormat/>
    <w:uiPriority w:val="99"/>
    <w:pPr>
      <w:ind w:left="100" w:leftChars="800" w:hanging="200" w:hangingChars="200"/>
    </w:pPr>
    <w:rPr>
      <w:sz w:val="24"/>
      <w:szCs w:val="20"/>
    </w:rPr>
  </w:style>
  <w:style w:type="paragraph" w:styleId="60">
    <w:name w:val="Body Text Indent 3"/>
    <w:basedOn w:val="1"/>
    <w:link w:val="128"/>
    <w:qFormat/>
    <w:uiPriority w:val="99"/>
    <w:pPr>
      <w:ind w:left="420" w:leftChars="200"/>
    </w:pPr>
    <w:rPr>
      <w:sz w:val="16"/>
      <w:szCs w:val="16"/>
    </w:rPr>
  </w:style>
  <w:style w:type="paragraph" w:styleId="61">
    <w:name w:val="toc 2"/>
    <w:basedOn w:val="1"/>
    <w:next w:val="1"/>
    <w:qFormat/>
    <w:uiPriority w:val="99"/>
    <w:pPr>
      <w:ind w:left="210"/>
      <w:jc w:val="left"/>
    </w:pPr>
    <w:rPr>
      <w:smallCaps/>
      <w:sz w:val="20"/>
      <w:szCs w:val="20"/>
    </w:rPr>
  </w:style>
  <w:style w:type="paragraph" w:styleId="62">
    <w:name w:val="toc 9"/>
    <w:basedOn w:val="1"/>
    <w:next w:val="1"/>
    <w:qFormat/>
    <w:uiPriority w:val="99"/>
    <w:pPr>
      <w:ind w:left="1680"/>
      <w:jc w:val="left"/>
    </w:pPr>
    <w:rPr>
      <w:sz w:val="18"/>
      <w:szCs w:val="18"/>
    </w:rPr>
  </w:style>
  <w:style w:type="paragraph" w:styleId="63">
    <w:name w:val="Body Text 2"/>
    <w:basedOn w:val="1"/>
    <w:link w:val="129"/>
    <w:qFormat/>
    <w:uiPriority w:val="99"/>
    <w:rPr>
      <w:sz w:val="24"/>
      <w:szCs w:val="20"/>
    </w:rPr>
  </w:style>
  <w:style w:type="paragraph" w:styleId="64">
    <w:name w:val="List 4"/>
    <w:basedOn w:val="1"/>
    <w:qFormat/>
    <w:uiPriority w:val="99"/>
    <w:pPr>
      <w:ind w:left="100" w:leftChars="600" w:hanging="200" w:hangingChars="200"/>
    </w:pPr>
    <w:rPr>
      <w:szCs w:val="20"/>
    </w:rPr>
  </w:style>
  <w:style w:type="paragraph" w:styleId="65">
    <w:name w:val="List Continue 2"/>
    <w:basedOn w:val="1"/>
    <w:qFormat/>
    <w:uiPriority w:val="99"/>
    <w:pPr>
      <w:ind w:left="840" w:leftChars="400"/>
    </w:pPr>
    <w:rPr>
      <w:szCs w:val="20"/>
    </w:rPr>
  </w:style>
  <w:style w:type="paragraph" w:styleId="66">
    <w:name w:val="Message Header"/>
    <w:basedOn w:val="1"/>
    <w:link w:val="130"/>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hd w:val="pct20" w:color="auto" w:fill="auto"/>
    </w:rPr>
  </w:style>
  <w:style w:type="paragraph" w:styleId="67">
    <w:name w:val="HTML Preformatted"/>
    <w:basedOn w:val="1"/>
    <w:link w:val="131"/>
    <w:qFormat/>
    <w:uiPriority w:val="99"/>
    <w:rPr>
      <w:rFonts w:ascii="Courier New" w:hAnsi="Courier New"/>
      <w:sz w:val="20"/>
      <w:szCs w:val="20"/>
    </w:rPr>
  </w:style>
  <w:style w:type="paragraph" w:styleId="68">
    <w:name w:val="Normal (Web)"/>
    <w:basedOn w:val="1"/>
    <w:qFormat/>
    <w:uiPriority w:val="99"/>
    <w:pPr>
      <w:widowControl/>
      <w:spacing w:beforeAutospacing="1" w:afterAutospacing="1"/>
      <w:jc w:val="left"/>
    </w:pPr>
    <w:rPr>
      <w:rFonts w:ascii="宋体" w:hAnsi="宋体" w:cs="Arial"/>
      <w:color w:val="0000FF"/>
      <w:kern w:val="0"/>
      <w:sz w:val="24"/>
    </w:rPr>
  </w:style>
  <w:style w:type="paragraph" w:styleId="69">
    <w:name w:val="List Continue 3"/>
    <w:basedOn w:val="1"/>
    <w:qFormat/>
    <w:uiPriority w:val="99"/>
    <w:pPr>
      <w:ind w:left="1260" w:leftChars="600"/>
    </w:pPr>
    <w:rPr>
      <w:szCs w:val="20"/>
    </w:rPr>
  </w:style>
  <w:style w:type="paragraph" w:styleId="70">
    <w:name w:val="index 1"/>
    <w:basedOn w:val="1"/>
    <w:next w:val="1"/>
    <w:qFormat/>
    <w:uiPriority w:val="99"/>
    <w:pPr>
      <w:widowControl/>
      <w:numPr>
        <w:ilvl w:val="0"/>
        <w:numId w:val="11"/>
      </w:numPr>
      <w:tabs>
        <w:tab w:val="clear" w:pos="1200"/>
      </w:tabs>
      <w:autoSpaceDE w:val="0"/>
      <w:autoSpaceDN w:val="0"/>
      <w:spacing w:line="400" w:lineRule="atLeast"/>
      <w:ind w:left="-2" w:leftChars="-1" w:firstLine="2"/>
      <w:textAlignment w:val="bottom"/>
    </w:pPr>
    <w:rPr>
      <w:sz w:val="24"/>
      <w:szCs w:val="21"/>
    </w:rPr>
  </w:style>
  <w:style w:type="paragraph" w:styleId="71">
    <w:name w:val="Title"/>
    <w:basedOn w:val="1"/>
    <w:next w:val="1"/>
    <w:link w:val="132"/>
    <w:qFormat/>
    <w:uiPriority w:val="99"/>
    <w:pPr>
      <w:adjustRightInd w:val="0"/>
      <w:spacing w:line="240" w:lineRule="atLeast"/>
      <w:jc w:val="center"/>
      <w:textAlignment w:val="baseline"/>
    </w:pPr>
  </w:style>
  <w:style w:type="paragraph" w:styleId="72">
    <w:name w:val="annotation subject"/>
    <w:basedOn w:val="23"/>
    <w:next w:val="23"/>
    <w:link w:val="106"/>
    <w:qFormat/>
    <w:uiPriority w:val="99"/>
    <w:rPr>
      <w:b/>
      <w:bCs/>
    </w:rPr>
  </w:style>
  <w:style w:type="paragraph" w:styleId="73">
    <w:name w:val="Body Text First Indent"/>
    <w:basedOn w:val="28"/>
    <w:link w:val="108"/>
    <w:qFormat/>
    <w:uiPriority w:val="99"/>
    <w:pPr>
      <w:autoSpaceDE w:val="0"/>
      <w:autoSpaceDN w:val="0"/>
      <w:adjustRightInd w:val="0"/>
      <w:ind w:firstLine="420"/>
      <w:jc w:val="left"/>
      <w:textAlignment w:val="baseline"/>
    </w:pPr>
    <w:rPr>
      <w:rFonts w:ascii="宋体"/>
      <w:kern w:val="0"/>
      <w:sz w:val="34"/>
      <w:szCs w:val="20"/>
    </w:rPr>
  </w:style>
  <w:style w:type="paragraph" w:styleId="74">
    <w:name w:val="Body Text First Indent 2"/>
    <w:basedOn w:val="29"/>
    <w:link w:val="123"/>
    <w:qFormat/>
    <w:uiPriority w:val="99"/>
    <w:pPr>
      <w:ind w:firstLine="420" w:firstLineChars="200"/>
    </w:pPr>
  </w:style>
  <w:style w:type="table" w:styleId="76">
    <w:name w:val="Table Grid"/>
    <w:basedOn w:val="7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8">
    <w:name w:val="Strong"/>
    <w:basedOn w:val="77"/>
    <w:qFormat/>
    <w:uiPriority w:val="99"/>
    <w:rPr>
      <w:rFonts w:cs="Times New Roman"/>
      <w:b/>
    </w:rPr>
  </w:style>
  <w:style w:type="character" w:styleId="79">
    <w:name w:val="endnote reference"/>
    <w:basedOn w:val="77"/>
    <w:qFormat/>
    <w:uiPriority w:val="99"/>
    <w:rPr>
      <w:rFonts w:cs="Times New Roman"/>
      <w:vertAlign w:val="superscript"/>
    </w:rPr>
  </w:style>
  <w:style w:type="character" w:styleId="80">
    <w:name w:val="page number"/>
    <w:basedOn w:val="77"/>
    <w:qFormat/>
    <w:uiPriority w:val="99"/>
    <w:rPr>
      <w:rFonts w:cs="Times New Roman"/>
    </w:rPr>
  </w:style>
  <w:style w:type="character" w:styleId="81">
    <w:name w:val="FollowedHyperlink"/>
    <w:basedOn w:val="77"/>
    <w:qFormat/>
    <w:uiPriority w:val="99"/>
    <w:rPr>
      <w:rFonts w:cs="Times New Roman"/>
      <w:color w:val="000000"/>
      <w:u w:val="none"/>
    </w:rPr>
  </w:style>
  <w:style w:type="character" w:styleId="82">
    <w:name w:val="Emphasis"/>
    <w:basedOn w:val="77"/>
    <w:qFormat/>
    <w:uiPriority w:val="99"/>
    <w:rPr>
      <w:rFonts w:cs="Times New Roman"/>
      <w:i/>
    </w:rPr>
  </w:style>
  <w:style w:type="character" w:styleId="83">
    <w:name w:val="line number"/>
    <w:basedOn w:val="77"/>
    <w:qFormat/>
    <w:uiPriority w:val="99"/>
    <w:rPr>
      <w:rFonts w:cs="Times New Roman"/>
    </w:rPr>
  </w:style>
  <w:style w:type="character" w:styleId="84">
    <w:name w:val="HTML Definition"/>
    <w:basedOn w:val="77"/>
    <w:qFormat/>
    <w:uiPriority w:val="99"/>
    <w:rPr>
      <w:rFonts w:cs="Times New Roman"/>
      <w:i/>
    </w:rPr>
  </w:style>
  <w:style w:type="character" w:styleId="85">
    <w:name w:val="HTML Typewriter"/>
    <w:basedOn w:val="77"/>
    <w:qFormat/>
    <w:uiPriority w:val="99"/>
    <w:rPr>
      <w:rFonts w:ascii="Courier New" w:hAnsi="Courier New" w:cs="Times New Roman"/>
      <w:sz w:val="20"/>
    </w:rPr>
  </w:style>
  <w:style w:type="character" w:styleId="86">
    <w:name w:val="HTML Acronym"/>
    <w:basedOn w:val="77"/>
    <w:qFormat/>
    <w:uiPriority w:val="99"/>
    <w:rPr>
      <w:rFonts w:cs="Times New Roman"/>
    </w:rPr>
  </w:style>
  <w:style w:type="character" w:styleId="87">
    <w:name w:val="HTML Variable"/>
    <w:basedOn w:val="77"/>
    <w:qFormat/>
    <w:uiPriority w:val="99"/>
    <w:rPr>
      <w:rFonts w:cs="Times New Roman"/>
      <w:i/>
    </w:rPr>
  </w:style>
  <w:style w:type="character" w:styleId="88">
    <w:name w:val="Hyperlink"/>
    <w:basedOn w:val="77"/>
    <w:qFormat/>
    <w:uiPriority w:val="99"/>
    <w:rPr>
      <w:rFonts w:cs="Times New Roman"/>
      <w:color w:val="000000"/>
      <w:u w:val="none"/>
    </w:rPr>
  </w:style>
  <w:style w:type="character" w:styleId="89">
    <w:name w:val="HTML Code"/>
    <w:basedOn w:val="77"/>
    <w:qFormat/>
    <w:uiPriority w:val="99"/>
    <w:rPr>
      <w:rFonts w:ascii="Courier New" w:hAnsi="Courier New" w:cs="Times New Roman"/>
      <w:sz w:val="20"/>
    </w:rPr>
  </w:style>
  <w:style w:type="character" w:styleId="90">
    <w:name w:val="annotation reference"/>
    <w:basedOn w:val="77"/>
    <w:qFormat/>
    <w:uiPriority w:val="99"/>
    <w:rPr>
      <w:rFonts w:cs="Times New Roman"/>
      <w:sz w:val="21"/>
    </w:rPr>
  </w:style>
  <w:style w:type="character" w:styleId="91">
    <w:name w:val="HTML Cite"/>
    <w:basedOn w:val="77"/>
    <w:qFormat/>
    <w:uiPriority w:val="99"/>
    <w:rPr>
      <w:rFonts w:cs="Times New Roman"/>
      <w:i/>
    </w:rPr>
  </w:style>
  <w:style w:type="character" w:styleId="92">
    <w:name w:val="footnote reference"/>
    <w:basedOn w:val="77"/>
    <w:qFormat/>
    <w:uiPriority w:val="99"/>
    <w:rPr>
      <w:rFonts w:cs="Times New Roman"/>
      <w:vertAlign w:val="superscript"/>
    </w:rPr>
  </w:style>
  <w:style w:type="character" w:styleId="93">
    <w:name w:val="HTML Keyboard"/>
    <w:basedOn w:val="77"/>
    <w:qFormat/>
    <w:uiPriority w:val="99"/>
    <w:rPr>
      <w:rFonts w:ascii="Courier New" w:hAnsi="Courier New" w:cs="Times New Roman"/>
      <w:sz w:val="20"/>
    </w:rPr>
  </w:style>
  <w:style w:type="character" w:styleId="94">
    <w:name w:val="HTML Sample"/>
    <w:basedOn w:val="77"/>
    <w:qFormat/>
    <w:uiPriority w:val="99"/>
    <w:rPr>
      <w:rFonts w:ascii="Courier New" w:hAnsi="Courier New" w:cs="Times New Roman"/>
    </w:rPr>
  </w:style>
  <w:style w:type="paragraph" w:styleId="95">
    <w:name w:val="List Paragraph"/>
    <w:basedOn w:val="1"/>
    <w:qFormat/>
    <w:uiPriority w:val="34"/>
    <w:pPr>
      <w:ind w:firstLine="420" w:firstLineChars="200"/>
    </w:pPr>
  </w:style>
  <w:style w:type="character" w:customStyle="1" w:styleId="96">
    <w:name w:val="标题 1 Char"/>
    <w:basedOn w:val="77"/>
    <w:link w:val="3"/>
    <w:qFormat/>
    <w:locked/>
    <w:uiPriority w:val="99"/>
    <w:rPr>
      <w:rFonts w:ascii="宋体" w:eastAsia="宋体"/>
      <w:kern w:val="2"/>
      <w:sz w:val="28"/>
      <w:lang w:val="en-US" w:eastAsia="zh-CN"/>
    </w:rPr>
  </w:style>
  <w:style w:type="character" w:customStyle="1" w:styleId="97">
    <w:name w:val="标题 2 Char"/>
    <w:basedOn w:val="77"/>
    <w:link w:val="4"/>
    <w:qFormat/>
    <w:locked/>
    <w:uiPriority w:val="99"/>
    <w:rPr>
      <w:rFonts w:ascii="黑体" w:eastAsia="黑体"/>
      <w:color w:val="000000"/>
      <w:kern w:val="0"/>
      <w:sz w:val="28"/>
      <w:szCs w:val="20"/>
    </w:rPr>
  </w:style>
  <w:style w:type="character" w:customStyle="1" w:styleId="98">
    <w:name w:val="标题 3 Char"/>
    <w:basedOn w:val="77"/>
    <w:link w:val="5"/>
    <w:qFormat/>
    <w:locked/>
    <w:uiPriority w:val="99"/>
    <w:rPr>
      <w:rFonts w:ascii="黑体" w:eastAsia="黑体"/>
      <w:kern w:val="0"/>
      <w:sz w:val="28"/>
      <w:szCs w:val="20"/>
    </w:rPr>
  </w:style>
  <w:style w:type="character" w:customStyle="1" w:styleId="99">
    <w:name w:val="标题 4 Char"/>
    <w:basedOn w:val="77"/>
    <w:link w:val="6"/>
    <w:qFormat/>
    <w:locked/>
    <w:uiPriority w:val="99"/>
    <w:rPr>
      <w:rFonts w:ascii="Arial" w:hAnsi="Arial" w:eastAsia="黑体"/>
      <w:b/>
      <w:kern w:val="2"/>
      <w:sz w:val="28"/>
      <w:lang w:val="en-US" w:eastAsia="zh-CN"/>
    </w:rPr>
  </w:style>
  <w:style w:type="character" w:customStyle="1" w:styleId="100">
    <w:name w:val="标题 5 Char"/>
    <w:basedOn w:val="77"/>
    <w:link w:val="7"/>
    <w:qFormat/>
    <w:locked/>
    <w:uiPriority w:val="99"/>
    <w:rPr>
      <w:rFonts w:eastAsia="宋体"/>
      <w:b/>
      <w:kern w:val="2"/>
      <w:sz w:val="28"/>
      <w:lang w:val="en-US" w:eastAsia="zh-CN"/>
    </w:rPr>
  </w:style>
  <w:style w:type="character" w:customStyle="1" w:styleId="101">
    <w:name w:val="标题 6 Char"/>
    <w:basedOn w:val="77"/>
    <w:link w:val="8"/>
    <w:qFormat/>
    <w:locked/>
    <w:uiPriority w:val="99"/>
    <w:rPr>
      <w:rFonts w:ascii="Arial" w:hAnsi="Arial" w:eastAsia="黑体"/>
      <w:b/>
      <w:kern w:val="2"/>
      <w:sz w:val="24"/>
    </w:rPr>
  </w:style>
  <w:style w:type="character" w:customStyle="1" w:styleId="102">
    <w:name w:val="标题 7 Char"/>
    <w:basedOn w:val="77"/>
    <w:link w:val="9"/>
    <w:qFormat/>
    <w:locked/>
    <w:uiPriority w:val="99"/>
    <w:rPr>
      <w:b/>
      <w:kern w:val="2"/>
      <w:sz w:val="24"/>
    </w:rPr>
  </w:style>
  <w:style w:type="character" w:customStyle="1" w:styleId="103">
    <w:name w:val="标题 8 Char"/>
    <w:basedOn w:val="77"/>
    <w:link w:val="10"/>
    <w:qFormat/>
    <w:locked/>
    <w:uiPriority w:val="99"/>
    <w:rPr>
      <w:rFonts w:ascii="Arial" w:hAnsi="Arial" w:eastAsia="黑体"/>
      <w:kern w:val="2"/>
      <w:sz w:val="24"/>
    </w:rPr>
  </w:style>
  <w:style w:type="character" w:customStyle="1" w:styleId="104">
    <w:name w:val="标题 9 Char"/>
    <w:basedOn w:val="77"/>
    <w:link w:val="11"/>
    <w:qFormat/>
    <w:locked/>
    <w:uiPriority w:val="99"/>
    <w:rPr>
      <w:rFonts w:ascii="Arial" w:hAnsi="Arial" w:eastAsia="黑体"/>
      <w:kern w:val="2"/>
      <w:sz w:val="21"/>
    </w:rPr>
  </w:style>
  <w:style w:type="character" w:customStyle="1" w:styleId="105">
    <w:name w:val="批注文字 Char"/>
    <w:basedOn w:val="77"/>
    <w:link w:val="23"/>
    <w:qFormat/>
    <w:locked/>
    <w:uiPriority w:val="99"/>
    <w:rPr>
      <w:rFonts w:eastAsia="宋体"/>
      <w:kern w:val="2"/>
      <w:sz w:val="24"/>
      <w:lang w:val="en-US" w:eastAsia="zh-CN"/>
    </w:rPr>
  </w:style>
  <w:style w:type="character" w:customStyle="1" w:styleId="106">
    <w:name w:val="批注主题 Char"/>
    <w:basedOn w:val="105"/>
    <w:link w:val="72"/>
    <w:qFormat/>
    <w:locked/>
    <w:uiPriority w:val="99"/>
    <w:rPr>
      <w:rFonts w:eastAsia="宋体"/>
      <w:b/>
      <w:kern w:val="2"/>
      <w:sz w:val="24"/>
      <w:lang w:val="en-US" w:eastAsia="zh-CN"/>
    </w:rPr>
  </w:style>
  <w:style w:type="character" w:customStyle="1" w:styleId="107">
    <w:name w:val="正文文本 Char"/>
    <w:basedOn w:val="77"/>
    <w:link w:val="28"/>
    <w:qFormat/>
    <w:locked/>
    <w:uiPriority w:val="99"/>
    <w:rPr>
      <w:rFonts w:eastAsia="宋体"/>
      <w:kern w:val="2"/>
      <w:sz w:val="24"/>
      <w:lang w:val="en-US" w:eastAsia="zh-CN"/>
    </w:rPr>
  </w:style>
  <w:style w:type="character" w:customStyle="1" w:styleId="108">
    <w:name w:val="正文首行缩进 Char"/>
    <w:basedOn w:val="107"/>
    <w:link w:val="73"/>
    <w:semiHidden/>
    <w:qFormat/>
    <w:uiPriority w:val="99"/>
    <w:rPr>
      <w:rFonts w:eastAsia="宋体"/>
      <w:kern w:val="2"/>
      <w:sz w:val="24"/>
      <w:szCs w:val="24"/>
      <w:lang w:val="en-US" w:eastAsia="zh-CN"/>
    </w:rPr>
  </w:style>
  <w:style w:type="character" w:customStyle="1" w:styleId="109">
    <w:name w:val="注释标题 Char"/>
    <w:basedOn w:val="77"/>
    <w:link w:val="15"/>
    <w:qFormat/>
    <w:locked/>
    <w:uiPriority w:val="99"/>
    <w:rPr>
      <w:kern w:val="2"/>
      <w:sz w:val="24"/>
    </w:rPr>
  </w:style>
  <w:style w:type="character" w:customStyle="1" w:styleId="110">
    <w:name w:val="电子邮件签名 Char"/>
    <w:basedOn w:val="77"/>
    <w:link w:val="17"/>
    <w:qFormat/>
    <w:locked/>
    <w:uiPriority w:val="99"/>
    <w:rPr>
      <w:kern w:val="2"/>
      <w:sz w:val="24"/>
    </w:rPr>
  </w:style>
  <w:style w:type="character" w:customStyle="1" w:styleId="111">
    <w:name w:val="文档结构图 Char"/>
    <w:basedOn w:val="77"/>
    <w:link w:val="22"/>
    <w:qFormat/>
    <w:locked/>
    <w:uiPriority w:val="99"/>
    <w:rPr>
      <w:kern w:val="2"/>
      <w:sz w:val="24"/>
      <w:shd w:val="clear" w:color="auto" w:fill="000080"/>
    </w:rPr>
  </w:style>
  <w:style w:type="character" w:customStyle="1" w:styleId="112">
    <w:name w:val="称呼 Char"/>
    <w:basedOn w:val="77"/>
    <w:link w:val="24"/>
    <w:qFormat/>
    <w:locked/>
    <w:uiPriority w:val="99"/>
    <w:rPr>
      <w:kern w:val="2"/>
      <w:sz w:val="24"/>
    </w:rPr>
  </w:style>
  <w:style w:type="character" w:customStyle="1" w:styleId="113">
    <w:name w:val="正文文本 3 Char"/>
    <w:basedOn w:val="77"/>
    <w:link w:val="25"/>
    <w:qFormat/>
    <w:locked/>
    <w:uiPriority w:val="99"/>
    <w:rPr>
      <w:kern w:val="2"/>
      <w:sz w:val="21"/>
    </w:rPr>
  </w:style>
  <w:style w:type="character" w:customStyle="1" w:styleId="114">
    <w:name w:val="结束语 Char"/>
    <w:basedOn w:val="77"/>
    <w:link w:val="26"/>
    <w:qFormat/>
    <w:locked/>
    <w:uiPriority w:val="99"/>
    <w:rPr>
      <w:kern w:val="2"/>
      <w:sz w:val="24"/>
    </w:rPr>
  </w:style>
  <w:style w:type="character" w:customStyle="1" w:styleId="115">
    <w:name w:val="正文文本缩进 Char"/>
    <w:basedOn w:val="77"/>
    <w:link w:val="29"/>
    <w:qFormat/>
    <w:locked/>
    <w:uiPriority w:val="99"/>
    <w:rPr>
      <w:rFonts w:eastAsia="宋体"/>
      <w:kern w:val="2"/>
      <w:sz w:val="24"/>
      <w:lang w:val="en-US" w:eastAsia="zh-CN"/>
    </w:rPr>
  </w:style>
  <w:style w:type="character" w:customStyle="1" w:styleId="116">
    <w:name w:val="HTML 地址 Char"/>
    <w:basedOn w:val="77"/>
    <w:link w:val="36"/>
    <w:qFormat/>
    <w:locked/>
    <w:uiPriority w:val="99"/>
    <w:rPr>
      <w:i/>
      <w:kern w:val="2"/>
      <w:sz w:val="24"/>
    </w:rPr>
  </w:style>
  <w:style w:type="character" w:customStyle="1" w:styleId="117">
    <w:name w:val="纯文本 Char"/>
    <w:basedOn w:val="77"/>
    <w:link w:val="39"/>
    <w:qFormat/>
    <w:locked/>
    <w:uiPriority w:val="99"/>
    <w:rPr>
      <w:rFonts w:ascii="宋体" w:hAnsi="Courier New" w:eastAsia="宋体"/>
      <w:kern w:val="2"/>
      <w:sz w:val="21"/>
      <w:lang w:val="en-US" w:eastAsia="zh-CN"/>
    </w:rPr>
  </w:style>
  <w:style w:type="character" w:customStyle="1" w:styleId="118">
    <w:name w:val="日期 Char"/>
    <w:basedOn w:val="77"/>
    <w:link w:val="43"/>
    <w:qFormat/>
    <w:locked/>
    <w:uiPriority w:val="99"/>
    <w:rPr>
      <w:kern w:val="2"/>
      <w:sz w:val="24"/>
    </w:rPr>
  </w:style>
  <w:style w:type="character" w:customStyle="1" w:styleId="119">
    <w:name w:val="正文文本缩进 2 Char"/>
    <w:basedOn w:val="77"/>
    <w:link w:val="44"/>
    <w:qFormat/>
    <w:locked/>
    <w:uiPriority w:val="99"/>
    <w:rPr>
      <w:rFonts w:eastAsia="宋体"/>
      <w:kern w:val="2"/>
      <w:sz w:val="24"/>
      <w:lang w:val="en-US" w:eastAsia="zh-CN"/>
    </w:rPr>
  </w:style>
  <w:style w:type="character" w:customStyle="1" w:styleId="120">
    <w:name w:val="尾注文本 Char"/>
    <w:basedOn w:val="77"/>
    <w:link w:val="45"/>
    <w:qFormat/>
    <w:locked/>
    <w:uiPriority w:val="99"/>
    <w:rPr>
      <w:rFonts w:ascii="宋体" w:eastAsia="宋体"/>
      <w:kern w:val="2"/>
      <w:sz w:val="28"/>
      <w:lang w:val="en-US" w:eastAsia="zh-CN"/>
    </w:rPr>
  </w:style>
  <w:style w:type="character" w:customStyle="1" w:styleId="121">
    <w:name w:val="批注框文本 Char"/>
    <w:basedOn w:val="77"/>
    <w:link w:val="47"/>
    <w:qFormat/>
    <w:locked/>
    <w:uiPriority w:val="99"/>
    <w:rPr>
      <w:kern w:val="2"/>
      <w:sz w:val="18"/>
    </w:rPr>
  </w:style>
  <w:style w:type="character" w:customStyle="1" w:styleId="122">
    <w:name w:val="页脚 Char"/>
    <w:basedOn w:val="77"/>
    <w:link w:val="48"/>
    <w:qFormat/>
    <w:locked/>
    <w:uiPriority w:val="99"/>
    <w:rPr>
      <w:rFonts w:eastAsia="宋体"/>
      <w:kern w:val="2"/>
      <w:sz w:val="18"/>
      <w:lang w:val="en-US" w:eastAsia="zh-CN"/>
    </w:rPr>
  </w:style>
  <w:style w:type="character" w:customStyle="1" w:styleId="123">
    <w:name w:val="正文首行缩进 2 Char"/>
    <w:basedOn w:val="115"/>
    <w:link w:val="74"/>
    <w:qFormat/>
    <w:locked/>
    <w:uiPriority w:val="99"/>
    <w:rPr>
      <w:rFonts w:eastAsia="宋体" w:cs="Times New Roman"/>
      <w:kern w:val="2"/>
      <w:sz w:val="24"/>
      <w:szCs w:val="24"/>
      <w:lang w:val="en-US" w:eastAsia="zh-CN" w:bidi="ar-SA"/>
    </w:rPr>
  </w:style>
  <w:style w:type="character" w:customStyle="1" w:styleId="124">
    <w:name w:val="页眉 Char"/>
    <w:basedOn w:val="77"/>
    <w:link w:val="49"/>
    <w:qFormat/>
    <w:locked/>
    <w:uiPriority w:val="99"/>
    <w:rPr>
      <w:rFonts w:eastAsia="宋体"/>
      <w:kern w:val="2"/>
      <w:sz w:val="18"/>
      <w:lang w:val="en-US" w:eastAsia="zh-CN"/>
    </w:rPr>
  </w:style>
  <w:style w:type="character" w:customStyle="1" w:styleId="125">
    <w:name w:val="签名 Char"/>
    <w:basedOn w:val="77"/>
    <w:link w:val="50"/>
    <w:qFormat/>
    <w:locked/>
    <w:uiPriority w:val="99"/>
    <w:rPr>
      <w:kern w:val="2"/>
      <w:sz w:val="24"/>
    </w:rPr>
  </w:style>
  <w:style w:type="character" w:customStyle="1" w:styleId="126">
    <w:name w:val="副标题 Char"/>
    <w:basedOn w:val="77"/>
    <w:link w:val="54"/>
    <w:qFormat/>
    <w:locked/>
    <w:uiPriority w:val="99"/>
    <w:rPr>
      <w:rFonts w:ascii="Arial" w:hAnsi="Arial"/>
      <w:b/>
      <w:kern w:val="28"/>
      <w:sz w:val="32"/>
    </w:rPr>
  </w:style>
  <w:style w:type="character" w:customStyle="1" w:styleId="127">
    <w:name w:val="脚注文本 Char"/>
    <w:basedOn w:val="77"/>
    <w:link w:val="57"/>
    <w:qFormat/>
    <w:locked/>
    <w:uiPriority w:val="99"/>
    <w:rPr>
      <w:rFonts w:eastAsia="宋体"/>
      <w:kern w:val="2"/>
      <w:sz w:val="24"/>
      <w:lang w:val="en-US" w:eastAsia="zh-CN"/>
    </w:rPr>
  </w:style>
  <w:style w:type="character" w:customStyle="1" w:styleId="128">
    <w:name w:val="正文文本缩进 3 Char"/>
    <w:basedOn w:val="77"/>
    <w:link w:val="60"/>
    <w:qFormat/>
    <w:locked/>
    <w:uiPriority w:val="99"/>
    <w:rPr>
      <w:rFonts w:eastAsia="宋体"/>
      <w:kern w:val="2"/>
      <w:sz w:val="16"/>
      <w:lang w:val="en-US" w:eastAsia="zh-CN"/>
    </w:rPr>
  </w:style>
  <w:style w:type="character" w:customStyle="1" w:styleId="129">
    <w:name w:val="正文文本 2 Char"/>
    <w:basedOn w:val="77"/>
    <w:link w:val="63"/>
    <w:qFormat/>
    <w:locked/>
    <w:uiPriority w:val="99"/>
    <w:rPr>
      <w:kern w:val="2"/>
      <w:sz w:val="24"/>
    </w:rPr>
  </w:style>
  <w:style w:type="character" w:customStyle="1" w:styleId="130">
    <w:name w:val="信息标题 Char"/>
    <w:basedOn w:val="77"/>
    <w:link w:val="66"/>
    <w:qFormat/>
    <w:locked/>
    <w:uiPriority w:val="99"/>
    <w:rPr>
      <w:rFonts w:ascii="Arial" w:hAnsi="Arial"/>
      <w:kern w:val="2"/>
      <w:sz w:val="24"/>
      <w:shd w:val="pct20" w:color="auto" w:fill="auto"/>
    </w:rPr>
  </w:style>
  <w:style w:type="character" w:customStyle="1" w:styleId="131">
    <w:name w:val="HTML 预设格式 Char"/>
    <w:basedOn w:val="77"/>
    <w:link w:val="67"/>
    <w:qFormat/>
    <w:locked/>
    <w:uiPriority w:val="99"/>
    <w:rPr>
      <w:rFonts w:ascii="Courier New" w:hAnsi="Courier New"/>
      <w:kern w:val="2"/>
    </w:rPr>
  </w:style>
  <w:style w:type="character" w:customStyle="1" w:styleId="132">
    <w:name w:val="标题 Char"/>
    <w:basedOn w:val="77"/>
    <w:link w:val="71"/>
    <w:qFormat/>
    <w:locked/>
    <w:uiPriority w:val="99"/>
    <w:rPr>
      <w:rFonts w:eastAsia="宋体"/>
      <w:kern w:val="2"/>
      <w:sz w:val="24"/>
      <w:lang w:val="en-US" w:eastAsia="zh-CN"/>
    </w:rPr>
  </w:style>
  <w:style w:type="paragraph" w:customStyle="1" w:styleId="133">
    <w:name w:val="表格4"/>
    <w:basedOn w:val="1"/>
    <w:qFormat/>
    <w:uiPriority w:val="99"/>
    <w:pPr>
      <w:adjustRightInd w:val="0"/>
      <w:spacing w:line="420" w:lineRule="atLeast"/>
      <w:ind w:left="1021"/>
      <w:textAlignment w:val="baseline"/>
    </w:pPr>
    <w:rPr>
      <w:kern w:val="0"/>
      <w:szCs w:val="20"/>
    </w:rPr>
  </w:style>
  <w:style w:type="paragraph" w:customStyle="1" w:styleId="134">
    <w:name w:val="正文aaaaa--"/>
    <w:basedOn w:val="1"/>
    <w:link w:val="319"/>
    <w:qFormat/>
    <w:uiPriority w:val="99"/>
    <w:pPr>
      <w:spacing w:line="400" w:lineRule="exact"/>
      <w:ind w:firstLine="480" w:firstLineChars="200"/>
    </w:pPr>
    <w:rPr>
      <w:rFonts w:ascii="方正宋三简体" w:eastAsia="方正宋三简体" w:cs="宋体"/>
      <w:sz w:val="24"/>
      <w:szCs w:val="20"/>
    </w:rPr>
  </w:style>
  <w:style w:type="paragraph" w:customStyle="1" w:styleId="135">
    <w:name w:val="注"/>
    <w:basedOn w:val="136"/>
    <w:qFormat/>
    <w:uiPriority w:val="99"/>
    <w:pPr>
      <w:adjustRightInd w:val="0"/>
      <w:spacing w:line="300" w:lineRule="atLeast"/>
      <w:ind w:left="510" w:hanging="510"/>
    </w:pPr>
    <w:rPr>
      <w:rFonts w:ascii="Times New Roman"/>
      <w:sz w:val="18"/>
    </w:rPr>
  </w:style>
  <w:style w:type="paragraph" w:customStyle="1" w:styleId="136">
    <w:name w:val="正文1"/>
    <w:basedOn w:val="1"/>
    <w:qFormat/>
    <w:uiPriority w:val="99"/>
    <w:pPr>
      <w:spacing w:line="500" w:lineRule="atLeast"/>
      <w:ind w:firstLine="567"/>
      <w:textAlignment w:val="baseline"/>
    </w:pPr>
    <w:rPr>
      <w:rFonts w:ascii="宋体"/>
      <w:spacing w:val="14"/>
      <w:szCs w:val="20"/>
    </w:rPr>
  </w:style>
  <w:style w:type="paragraph" w:customStyle="1" w:styleId="137">
    <w:name w:val="CM2"/>
    <w:basedOn w:val="138"/>
    <w:next w:val="138"/>
    <w:qFormat/>
    <w:uiPriority w:val="99"/>
    <w:rPr>
      <w:rFonts w:ascii="宋体" w:hAnsi="Times New Roman" w:eastAsia="宋体" w:cs="宋体"/>
      <w:color w:val="auto"/>
    </w:rPr>
  </w:style>
  <w:style w:type="paragraph" w:customStyle="1" w:styleId="138">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9">
    <w:name w:val="表格正文-DDDDD"/>
    <w:basedOn w:val="1"/>
    <w:qFormat/>
    <w:uiPriority w:val="99"/>
    <w:pPr>
      <w:spacing w:line="300" w:lineRule="exact"/>
      <w:jc w:val="center"/>
    </w:pPr>
    <w:rPr>
      <w:rFonts w:ascii="方正宋三简体" w:eastAsia="方正宋三简体"/>
      <w:szCs w:val="21"/>
    </w:rPr>
  </w:style>
  <w:style w:type="paragraph" w:customStyle="1" w:styleId="140">
    <w:name w:val="CM89"/>
    <w:basedOn w:val="138"/>
    <w:next w:val="138"/>
    <w:qFormat/>
    <w:uiPriority w:val="99"/>
    <w:rPr>
      <w:rFonts w:cs="Times New Roman"/>
      <w:color w:val="auto"/>
    </w:rPr>
  </w:style>
  <w:style w:type="paragraph" w:customStyle="1" w:styleId="141">
    <w:name w:val="CM1"/>
    <w:basedOn w:val="138"/>
    <w:next w:val="138"/>
    <w:qFormat/>
    <w:uiPriority w:val="99"/>
    <w:rPr>
      <w:rFonts w:cs="Times New Roman"/>
      <w:color w:val="auto"/>
    </w:rPr>
  </w:style>
  <w:style w:type="paragraph" w:customStyle="1" w:styleId="142">
    <w:name w:val="CM57"/>
    <w:basedOn w:val="138"/>
    <w:next w:val="138"/>
    <w:qFormat/>
    <w:uiPriority w:val="99"/>
    <w:pPr>
      <w:spacing w:line="343" w:lineRule="atLeast"/>
    </w:pPr>
    <w:rPr>
      <w:rFonts w:cs="Times New Roman"/>
      <w:color w:val="auto"/>
    </w:rPr>
  </w:style>
  <w:style w:type="paragraph" w:customStyle="1" w:styleId="143">
    <w:name w:val="CM92"/>
    <w:basedOn w:val="138"/>
    <w:next w:val="138"/>
    <w:qFormat/>
    <w:uiPriority w:val="99"/>
    <w:rPr>
      <w:rFonts w:cs="Times New Roman"/>
      <w:color w:val="auto"/>
    </w:rPr>
  </w:style>
  <w:style w:type="paragraph" w:customStyle="1" w:styleId="144">
    <w:name w:val="CM65"/>
    <w:basedOn w:val="138"/>
    <w:next w:val="138"/>
    <w:qFormat/>
    <w:uiPriority w:val="99"/>
    <w:pPr>
      <w:spacing w:line="420" w:lineRule="atLeast"/>
    </w:pPr>
    <w:rPr>
      <w:rFonts w:cs="Times New Roman"/>
      <w:color w:val="auto"/>
    </w:rPr>
  </w:style>
  <w:style w:type="paragraph" w:customStyle="1" w:styleId="145">
    <w:name w:val="3"/>
    <w:basedOn w:val="1"/>
    <w:next w:val="29"/>
    <w:qFormat/>
    <w:uiPriority w:val="99"/>
    <w:pPr>
      <w:widowControl/>
      <w:ind w:left="722" w:leftChars="58" w:hanging="460" w:hangingChars="200"/>
    </w:pPr>
    <w:rPr>
      <w:iCs/>
      <w:spacing w:val="20"/>
      <w:kern w:val="0"/>
      <w:szCs w:val="20"/>
    </w:rPr>
  </w:style>
  <w:style w:type="paragraph" w:customStyle="1" w:styleId="146">
    <w:name w:val="CM77"/>
    <w:basedOn w:val="138"/>
    <w:next w:val="138"/>
    <w:qFormat/>
    <w:uiPriority w:val="99"/>
    <w:rPr>
      <w:rFonts w:cs="Times New Roman"/>
      <w:color w:val="auto"/>
    </w:rPr>
  </w:style>
  <w:style w:type="paragraph" w:customStyle="1" w:styleId="147">
    <w:name w:val="CM51"/>
    <w:basedOn w:val="138"/>
    <w:next w:val="138"/>
    <w:qFormat/>
    <w:uiPriority w:val="99"/>
    <w:pPr>
      <w:spacing w:line="233" w:lineRule="atLeast"/>
    </w:pPr>
    <w:rPr>
      <w:rFonts w:cs="Times New Roman"/>
      <w:color w:val="auto"/>
    </w:rPr>
  </w:style>
  <w:style w:type="paragraph" w:customStyle="1" w:styleId="148">
    <w:name w:val="CM20"/>
    <w:basedOn w:val="138"/>
    <w:next w:val="138"/>
    <w:qFormat/>
    <w:uiPriority w:val="99"/>
    <w:pPr>
      <w:spacing w:line="360" w:lineRule="atLeast"/>
    </w:pPr>
    <w:rPr>
      <w:rFonts w:hAnsi="Times New Roman"/>
      <w:color w:val="auto"/>
    </w:rPr>
  </w:style>
  <w:style w:type="paragraph" w:customStyle="1" w:styleId="149">
    <w:name w:val="CM49"/>
    <w:basedOn w:val="138"/>
    <w:next w:val="138"/>
    <w:qFormat/>
    <w:uiPriority w:val="99"/>
    <w:pPr>
      <w:spacing w:line="233" w:lineRule="atLeast"/>
    </w:pPr>
    <w:rPr>
      <w:rFonts w:cs="Times New Roman"/>
      <w:color w:val="auto"/>
    </w:rPr>
  </w:style>
  <w:style w:type="paragraph" w:customStyle="1" w:styleId="150">
    <w:name w:val="_Style 23"/>
    <w:basedOn w:val="1"/>
    <w:next w:val="2"/>
    <w:qFormat/>
    <w:uiPriority w:val="99"/>
    <w:pPr>
      <w:ind w:firstLine="420" w:firstLineChars="200"/>
    </w:pPr>
    <w:rPr>
      <w:szCs w:val="20"/>
    </w:rPr>
  </w:style>
  <w:style w:type="paragraph" w:customStyle="1" w:styleId="151">
    <w:name w:val="汇报材料正文1.3"/>
    <w:basedOn w:val="1"/>
    <w:link w:val="328"/>
    <w:qFormat/>
    <w:uiPriority w:val="99"/>
    <w:pPr>
      <w:adjustRightInd w:val="0"/>
      <w:snapToGrid w:val="0"/>
      <w:spacing w:line="400" w:lineRule="exact"/>
      <w:ind w:right="-59" w:firstLine="525" w:firstLineChars="193"/>
    </w:pPr>
    <w:rPr>
      <w:rFonts w:ascii="宋体" w:hAnsi="宋体" w:cs="宋体"/>
      <w:bCs/>
      <w:color w:val="000000"/>
      <w:spacing w:val="16"/>
      <w:kern w:val="0"/>
      <w:sz w:val="24"/>
      <w:szCs w:val="20"/>
    </w:rPr>
  </w:style>
  <w:style w:type="paragraph" w:customStyle="1" w:styleId="152">
    <w:name w:val="附件小标题gggggg"/>
    <w:basedOn w:val="1"/>
    <w:link w:val="322"/>
    <w:qFormat/>
    <w:uiPriority w:val="99"/>
    <w:pPr>
      <w:spacing w:line="340" w:lineRule="exact"/>
    </w:pPr>
    <w:rPr>
      <w:rFonts w:ascii="黑体" w:eastAsia="黑体"/>
      <w:b/>
      <w:spacing w:val="4"/>
      <w:szCs w:val="21"/>
    </w:rPr>
  </w:style>
  <w:style w:type="paragraph" w:customStyle="1" w:styleId="153">
    <w:name w:val="xl52"/>
    <w:basedOn w:val="1"/>
    <w:qFormat/>
    <w:uiPriority w:val="99"/>
    <w:pPr>
      <w:widowControl/>
      <w:spacing w:beforeAutospacing="1" w:afterAutospacing="1"/>
      <w:jc w:val="center"/>
      <w:textAlignment w:val="center"/>
    </w:pPr>
    <w:rPr>
      <w:kern w:val="0"/>
      <w:sz w:val="36"/>
      <w:szCs w:val="36"/>
    </w:rPr>
  </w:style>
  <w:style w:type="paragraph" w:customStyle="1" w:styleId="154">
    <w:name w:val="Char Char Char Char Char Char"/>
    <w:basedOn w:val="1"/>
    <w:qFormat/>
    <w:uiPriority w:val="99"/>
  </w:style>
  <w:style w:type="paragraph" w:customStyle="1" w:styleId="155">
    <w:name w:val="图表小5号"/>
    <w:basedOn w:val="1"/>
    <w:qFormat/>
    <w:uiPriority w:val="99"/>
    <w:pPr>
      <w:jc w:val="center"/>
      <w:textAlignment w:val="center"/>
    </w:pPr>
    <w:rPr>
      <w:rFonts w:cs="宋体"/>
      <w:sz w:val="18"/>
    </w:rPr>
  </w:style>
  <w:style w:type="paragraph" w:customStyle="1" w:styleId="156">
    <w:name w:val="CM90"/>
    <w:basedOn w:val="138"/>
    <w:next w:val="138"/>
    <w:qFormat/>
    <w:uiPriority w:val="99"/>
    <w:rPr>
      <w:rFonts w:cs="Times New Roman"/>
      <w:color w:val="auto"/>
    </w:rPr>
  </w:style>
  <w:style w:type="paragraph" w:customStyle="1" w:styleId="157">
    <w:name w:val="附件1-2-3-"/>
    <w:basedOn w:val="1"/>
    <w:link w:val="316"/>
    <w:qFormat/>
    <w:uiPriority w:val="99"/>
    <w:pPr>
      <w:spacing w:beforeLines="100" w:afterLines="50" w:line="340" w:lineRule="exact"/>
      <w:jc w:val="center"/>
    </w:pPr>
    <w:rPr>
      <w:rFonts w:ascii="????_GBK" w:eastAsia="Times New Roman"/>
      <w:spacing w:val="4"/>
      <w:sz w:val="24"/>
    </w:rPr>
  </w:style>
  <w:style w:type="paragraph" w:customStyle="1" w:styleId="158">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159">
    <w:name w:val="Table Paragraph"/>
    <w:qFormat/>
    <w:uiPriority w:val="99"/>
    <w:rPr>
      <w:rFonts w:ascii="Calibri" w:hAnsi="Calibri" w:eastAsia="宋体" w:cs="Times New Roman"/>
      <w:sz w:val="22"/>
      <w:szCs w:val="22"/>
      <w:lang w:val="en-US" w:eastAsia="en-US" w:bidi="ar-SA"/>
    </w:rPr>
  </w:style>
  <w:style w:type="paragraph" w:customStyle="1" w:styleId="160">
    <w:name w:val="CM7"/>
    <w:basedOn w:val="138"/>
    <w:next w:val="138"/>
    <w:qFormat/>
    <w:uiPriority w:val="99"/>
    <w:rPr>
      <w:rFonts w:cs="Times New Roman"/>
      <w:color w:val="auto"/>
    </w:rPr>
  </w:style>
  <w:style w:type="paragraph" w:customStyle="1" w:styleId="161">
    <w:name w:val="征文"/>
    <w:basedOn w:val="1"/>
    <w:qFormat/>
    <w:uiPriority w:val="99"/>
    <w:pPr>
      <w:adjustRightInd w:val="0"/>
      <w:snapToGrid w:val="0"/>
      <w:spacing w:line="312" w:lineRule="auto"/>
      <w:jc w:val="center"/>
    </w:pPr>
    <w:rPr>
      <w:rFonts w:ascii="宋体" w:hAnsi="宋体"/>
      <w:szCs w:val="20"/>
    </w:rPr>
  </w:style>
  <w:style w:type="paragraph" w:customStyle="1" w:styleId="162">
    <w:name w:val="CM70"/>
    <w:basedOn w:val="138"/>
    <w:next w:val="138"/>
    <w:qFormat/>
    <w:uiPriority w:val="99"/>
    <w:rPr>
      <w:rFonts w:ascii="宋体" w:hAnsi="Times New Roman" w:eastAsia="宋体" w:cs="宋体"/>
      <w:color w:val="auto"/>
    </w:rPr>
  </w:style>
  <w:style w:type="paragraph" w:customStyle="1" w:styleId="163">
    <w:name w:val="CM94"/>
    <w:basedOn w:val="138"/>
    <w:next w:val="138"/>
    <w:qFormat/>
    <w:uiPriority w:val="99"/>
    <w:rPr>
      <w:rFonts w:cs="Times New Roman"/>
      <w:color w:val="auto"/>
    </w:rPr>
  </w:style>
  <w:style w:type="paragraph" w:customStyle="1" w:styleId="164">
    <w:name w:val="CM47"/>
    <w:basedOn w:val="138"/>
    <w:next w:val="138"/>
    <w:qFormat/>
    <w:uiPriority w:val="99"/>
    <w:pPr>
      <w:spacing w:line="383" w:lineRule="atLeast"/>
    </w:pPr>
    <w:rPr>
      <w:rFonts w:cs="Times New Roman"/>
      <w:color w:val="auto"/>
    </w:rPr>
  </w:style>
  <w:style w:type="paragraph" w:customStyle="1" w:styleId="165">
    <w:name w:val="CM58"/>
    <w:basedOn w:val="138"/>
    <w:next w:val="138"/>
    <w:qFormat/>
    <w:uiPriority w:val="99"/>
    <w:pPr>
      <w:spacing w:line="338" w:lineRule="atLeast"/>
    </w:pPr>
    <w:rPr>
      <w:rFonts w:cs="Times New Roman"/>
      <w:color w:val="auto"/>
    </w:rPr>
  </w:style>
  <w:style w:type="paragraph" w:customStyle="1" w:styleId="166">
    <w:name w:val="标题4"/>
    <w:basedOn w:val="1"/>
    <w:qFormat/>
    <w:uiPriority w:val="99"/>
    <w:pPr>
      <w:adjustRightInd w:val="0"/>
      <w:snapToGrid w:val="0"/>
      <w:spacing w:beforeLines="25" w:afterLines="25" w:line="460" w:lineRule="exact"/>
      <w:outlineLvl w:val="3"/>
    </w:pPr>
    <w:rPr>
      <w:rFonts w:ascii="黑体" w:hAnsi="宋体" w:eastAsia="黑体"/>
      <w:spacing w:val="8"/>
      <w:sz w:val="24"/>
      <w:szCs w:val="20"/>
    </w:rPr>
  </w:style>
  <w:style w:type="paragraph" w:customStyle="1" w:styleId="167">
    <w:name w:val="CM43"/>
    <w:basedOn w:val="138"/>
    <w:next w:val="138"/>
    <w:qFormat/>
    <w:uiPriority w:val="99"/>
    <w:pPr>
      <w:spacing w:line="380" w:lineRule="atLeast"/>
    </w:pPr>
    <w:rPr>
      <w:rFonts w:cs="Times New Roman"/>
      <w:color w:val="auto"/>
    </w:rPr>
  </w:style>
  <w:style w:type="paragraph" w:customStyle="1" w:styleId="168">
    <w:name w:val="Char Char Char Char Char Char2 Char Char Char Char Char Char1 Char Char Char Char"/>
    <w:basedOn w:val="1"/>
    <w:qFormat/>
    <w:uiPriority w:val="99"/>
    <w:pPr>
      <w:spacing w:line="360" w:lineRule="auto"/>
      <w:ind w:firstLine="200" w:firstLineChars="200"/>
    </w:pPr>
    <w:rPr>
      <w:rFonts w:ascii="宋体" w:hAnsi="宋体" w:cs="宋体"/>
      <w:sz w:val="24"/>
    </w:rPr>
  </w:style>
  <w:style w:type="paragraph" w:customStyle="1" w:styleId="169">
    <w:name w:val="标题3"/>
    <w:basedOn w:val="170"/>
    <w:link w:val="348"/>
    <w:qFormat/>
    <w:uiPriority w:val="99"/>
    <w:pPr>
      <w:adjustRightInd/>
      <w:snapToGrid/>
      <w:spacing w:beforeLines="125" w:afterLines="125"/>
      <w:ind w:firstLine="0" w:firstLineChars="0"/>
      <w:outlineLvl w:val="2"/>
    </w:pPr>
    <w:rPr>
      <w:rFonts w:ascii="黑体" w:hAnsi="黑体" w:eastAsia="黑体"/>
      <w:kern w:val="44"/>
    </w:rPr>
  </w:style>
  <w:style w:type="paragraph" w:customStyle="1" w:styleId="170">
    <w:name w:val="说明正文"/>
    <w:basedOn w:val="2"/>
    <w:link w:val="337"/>
    <w:qFormat/>
    <w:uiPriority w:val="99"/>
    <w:pPr>
      <w:adjustRightInd w:val="0"/>
      <w:snapToGrid w:val="0"/>
      <w:spacing w:line="360" w:lineRule="auto"/>
      <w:ind w:firstLine="480" w:firstLineChars="200"/>
      <w:textAlignment w:val="baseline"/>
    </w:pPr>
    <w:rPr>
      <w:color w:val="000000"/>
      <w:spacing w:val="8"/>
      <w:kern w:val="24"/>
      <w:sz w:val="24"/>
      <w:szCs w:val="24"/>
    </w:rPr>
  </w:style>
  <w:style w:type="paragraph" w:customStyle="1" w:styleId="171">
    <w:name w:val="默认段落字体 Para Char"/>
    <w:basedOn w:val="1"/>
    <w:qFormat/>
    <w:uiPriority w:val="99"/>
    <w:pPr>
      <w:spacing w:line="360" w:lineRule="auto"/>
      <w:ind w:firstLine="200" w:firstLineChars="200"/>
    </w:pPr>
    <w:rPr>
      <w:szCs w:val="20"/>
    </w:rPr>
  </w:style>
  <w:style w:type="paragraph" w:customStyle="1" w:styleId="172">
    <w:name w:val="CM59"/>
    <w:basedOn w:val="138"/>
    <w:next w:val="138"/>
    <w:qFormat/>
    <w:uiPriority w:val="99"/>
    <w:pPr>
      <w:spacing w:line="340" w:lineRule="atLeast"/>
    </w:pPr>
    <w:rPr>
      <w:rFonts w:cs="Times New Roman"/>
      <w:color w:val="auto"/>
    </w:rPr>
  </w:style>
  <w:style w:type="paragraph" w:customStyle="1" w:styleId="173">
    <w:name w:val="CM9"/>
    <w:basedOn w:val="138"/>
    <w:next w:val="138"/>
    <w:qFormat/>
    <w:uiPriority w:val="99"/>
    <w:pPr>
      <w:spacing w:line="380" w:lineRule="atLeast"/>
    </w:pPr>
    <w:rPr>
      <w:rFonts w:cs="Times New Roman"/>
      <w:color w:val="auto"/>
    </w:rPr>
  </w:style>
  <w:style w:type="paragraph" w:customStyle="1" w:styleId="174">
    <w:name w:val="CM61"/>
    <w:basedOn w:val="138"/>
    <w:next w:val="138"/>
    <w:qFormat/>
    <w:uiPriority w:val="99"/>
    <w:pPr>
      <w:spacing w:line="338" w:lineRule="atLeast"/>
    </w:pPr>
    <w:rPr>
      <w:rFonts w:cs="Times New Roman"/>
      <w:color w:val="auto"/>
    </w:rPr>
  </w:style>
  <w:style w:type="paragraph" w:customStyle="1" w:styleId="175">
    <w:name w:val="Char"/>
    <w:basedOn w:val="1"/>
    <w:qFormat/>
    <w:uiPriority w:val="99"/>
    <w:pPr>
      <w:spacing w:line="360" w:lineRule="auto"/>
      <w:ind w:firstLine="200" w:firstLineChars="200"/>
    </w:pPr>
    <w:rPr>
      <w:rFonts w:ascii="宋体" w:hAnsi="宋体" w:cs="宋体"/>
      <w:sz w:val="24"/>
    </w:rPr>
  </w:style>
  <w:style w:type="paragraph" w:customStyle="1" w:styleId="176">
    <w:name w:val="CM24"/>
    <w:basedOn w:val="138"/>
    <w:next w:val="138"/>
    <w:qFormat/>
    <w:uiPriority w:val="99"/>
    <w:pPr>
      <w:spacing w:line="383" w:lineRule="atLeast"/>
    </w:pPr>
    <w:rPr>
      <w:rFonts w:cs="Times New Roman"/>
      <w:color w:val="auto"/>
    </w:rPr>
  </w:style>
  <w:style w:type="paragraph" w:customStyle="1" w:styleId="177">
    <w:name w:val="Char Char13 Char Char"/>
    <w:basedOn w:val="3"/>
    <w:qFormat/>
    <w:uiPriority w:val="99"/>
    <w:pPr>
      <w:numPr>
        <w:ilvl w:val="0"/>
        <w:numId w:val="12"/>
      </w:numPr>
      <w:tabs>
        <w:tab w:val="left" w:pos="1200"/>
        <w:tab w:val="clear" w:pos="1620"/>
      </w:tabs>
      <w:autoSpaceDE w:val="0"/>
      <w:autoSpaceDN w:val="0"/>
      <w:adjustRightInd w:val="0"/>
      <w:spacing w:line="360" w:lineRule="auto"/>
      <w:ind w:left="0" w:right="0" w:firstLine="0"/>
      <w:jc w:val="center"/>
    </w:pPr>
    <w:rPr>
      <w:rFonts w:hAnsi="宋体" w:eastAsia="黑体" w:cs="宋体"/>
      <w:b/>
      <w:bCs/>
      <w:kern w:val="0"/>
      <w:szCs w:val="21"/>
    </w:rPr>
  </w:style>
  <w:style w:type="paragraph" w:customStyle="1" w:styleId="178">
    <w:name w:val="样式1"/>
    <w:basedOn w:val="71"/>
    <w:qFormat/>
    <w:uiPriority w:val="99"/>
    <w:pPr>
      <w:spacing w:line="420" w:lineRule="atLeast"/>
      <w:outlineLvl w:val="0"/>
    </w:pPr>
    <w:rPr>
      <w:rFonts w:ascii="Arial" w:hAnsi="Arial"/>
      <w:sz w:val="32"/>
    </w:rPr>
  </w:style>
  <w:style w:type="paragraph" w:customStyle="1" w:styleId="179">
    <w:name w:val="style1"/>
    <w:basedOn w:val="1"/>
    <w:qFormat/>
    <w:uiPriority w:val="99"/>
    <w:pPr>
      <w:widowControl/>
      <w:spacing w:beforeAutospacing="1" w:afterAutospacing="1"/>
      <w:jc w:val="left"/>
    </w:pPr>
    <w:rPr>
      <w:rFonts w:ascii="宋体" w:hAnsi="宋体" w:cs="宋体"/>
      <w:kern w:val="0"/>
      <w:sz w:val="24"/>
    </w:rPr>
  </w:style>
  <w:style w:type="paragraph" w:customStyle="1" w:styleId="180">
    <w:name w:val="CM98"/>
    <w:basedOn w:val="138"/>
    <w:next w:val="138"/>
    <w:qFormat/>
    <w:uiPriority w:val="99"/>
    <w:rPr>
      <w:rFonts w:cs="Times New Roman"/>
      <w:color w:val="auto"/>
    </w:rPr>
  </w:style>
  <w:style w:type="paragraph" w:customStyle="1" w:styleId="181">
    <w:name w:val="文件标号"/>
    <w:basedOn w:val="1"/>
    <w:qFormat/>
    <w:uiPriority w:val="99"/>
    <w:pPr>
      <w:widowControl/>
      <w:spacing w:line="560" w:lineRule="atLeast"/>
      <w:jc w:val="center"/>
    </w:pPr>
    <w:rPr>
      <w:rFonts w:eastAsia="仿宋_GB2312"/>
      <w:spacing w:val="20"/>
      <w:kern w:val="0"/>
      <w:sz w:val="30"/>
      <w:szCs w:val="20"/>
    </w:rPr>
  </w:style>
  <w:style w:type="paragraph" w:customStyle="1" w:styleId="182">
    <w:name w:val="SZW"/>
    <w:basedOn w:val="1"/>
    <w:qFormat/>
    <w:uiPriority w:val="99"/>
    <w:pPr>
      <w:adjustRightInd w:val="0"/>
      <w:spacing w:line="360" w:lineRule="exact"/>
      <w:ind w:firstLine="425"/>
      <w:jc w:val="left"/>
      <w:textAlignment w:val="baseline"/>
    </w:pPr>
    <w:rPr>
      <w:rFonts w:ascii="@宋体"/>
      <w:kern w:val="0"/>
      <w:sz w:val="24"/>
      <w:szCs w:val="20"/>
    </w:rPr>
  </w:style>
  <w:style w:type="paragraph" w:customStyle="1" w:styleId="183">
    <w:name w:val="样式 宋体 11.5 磅"/>
    <w:basedOn w:val="1"/>
    <w:qFormat/>
    <w:uiPriority w:val="99"/>
    <w:pPr>
      <w:snapToGrid w:val="0"/>
      <w:spacing w:line="480" w:lineRule="exact"/>
    </w:pPr>
    <w:rPr>
      <w:rFonts w:ascii="宋体" w:hAnsi="Courier New"/>
      <w:sz w:val="23"/>
      <w:szCs w:val="23"/>
    </w:rPr>
  </w:style>
  <w:style w:type="paragraph" w:customStyle="1" w:styleId="184">
    <w:name w:val="1"/>
    <w:basedOn w:val="1"/>
    <w:qFormat/>
    <w:uiPriority w:val="99"/>
    <w:pPr>
      <w:adjustRightInd w:val="0"/>
      <w:spacing w:line="420" w:lineRule="atLeast"/>
      <w:ind w:firstLine="454"/>
      <w:textAlignment w:val="baseline"/>
    </w:pPr>
    <w:rPr>
      <w:b/>
      <w:kern w:val="0"/>
      <w:szCs w:val="20"/>
    </w:rPr>
  </w:style>
  <w:style w:type="paragraph" w:customStyle="1" w:styleId="185">
    <w:name w:val="List Paragraph1"/>
    <w:basedOn w:val="1"/>
    <w:qFormat/>
    <w:uiPriority w:val="99"/>
    <w:pPr>
      <w:ind w:firstLine="420" w:firstLineChars="200"/>
    </w:pPr>
    <w:rPr>
      <w:rFonts w:ascii="Calibri" w:hAnsi="Calibri"/>
      <w:szCs w:val="22"/>
    </w:rPr>
  </w:style>
  <w:style w:type="paragraph" w:customStyle="1" w:styleId="186">
    <w:name w:val="附件正文ffff"/>
    <w:basedOn w:val="1"/>
    <w:link w:val="340"/>
    <w:qFormat/>
    <w:uiPriority w:val="99"/>
    <w:pPr>
      <w:spacing w:line="340" w:lineRule="exact"/>
      <w:ind w:firstLine="436" w:firstLineChars="200"/>
    </w:pPr>
    <w:rPr>
      <w:rFonts w:ascii="方正宋三简体" w:eastAsia="方正宋三简体"/>
      <w:spacing w:val="4"/>
      <w:szCs w:val="21"/>
    </w:rPr>
  </w:style>
  <w:style w:type="paragraph" w:customStyle="1" w:styleId="187">
    <w:name w:val="投标人须知3"/>
    <w:basedOn w:val="1"/>
    <w:qFormat/>
    <w:uiPriority w:val="99"/>
    <w:pPr>
      <w:tabs>
        <w:tab w:val="left" w:pos="435"/>
      </w:tabs>
      <w:spacing w:line="300" w:lineRule="auto"/>
      <w:ind w:left="435" w:hanging="435"/>
      <w:jc w:val="left"/>
    </w:pPr>
  </w:style>
  <w:style w:type="paragraph" w:customStyle="1" w:styleId="188">
    <w:name w:val="No Spacing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9">
    <w:name w:val="CM85"/>
    <w:basedOn w:val="138"/>
    <w:next w:val="138"/>
    <w:qFormat/>
    <w:uiPriority w:val="99"/>
    <w:rPr>
      <w:rFonts w:cs="Times New Roman"/>
      <w:color w:val="auto"/>
    </w:rPr>
  </w:style>
  <w:style w:type="paragraph" w:customStyle="1" w:styleId="190">
    <w:name w:val="CM74"/>
    <w:basedOn w:val="138"/>
    <w:next w:val="138"/>
    <w:qFormat/>
    <w:uiPriority w:val="99"/>
    <w:rPr>
      <w:rFonts w:cs="Times New Roman"/>
      <w:color w:val="auto"/>
    </w:rPr>
  </w:style>
  <w:style w:type="paragraph" w:customStyle="1" w:styleId="191">
    <w:name w:val="样式2"/>
    <w:basedOn w:val="49"/>
    <w:next w:val="49"/>
    <w:qFormat/>
    <w:uiPriority w:val="99"/>
    <w:pPr>
      <w:pBdr>
        <w:bottom w:val="single" w:color="auto" w:sz="4" w:space="1"/>
      </w:pBdr>
      <w:tabs>
        <w:tab w:val="center" w:pos="4147"/>
        <w:tab w:val="right" w:pos="8309"/>
        <w:tab w:val="clear" w:pos="4153"/>
        <w:tab w:val="clear" w:pos="8306"/>
      </w:tabs>
      <w:adjustRightInd w:val="0"/>
      <w:snapToGrid/>
      <w:spacing w:line="420" w:lineRule="atLeast"/>
      <w:ind w:firstLine="454"/>
      <w:jc w:val="left"/>
      <w:textAlignment w:val="baseline"/>
    </w:pPr>
    <w:rPr>
      <w:rFonts w:eastAsia="黑体"/>
      <w:kern w:val="0"/>
      <w:sz w:val="21"/>
      <w:szCs w:val="20"/>
    </w:rPr>
  </w:style>
  <w:style w:type="paragraph" w:customStyle="1" w:styleId="192">
    <w:name w:val="段落1"/>
    <w:basedOn w:val="39"/>
    <w:qFormat/>
    <w:uiPriority w:val="99"/>
    <w:pPr>
      <w:spacing w:line="360" w:lineRule="auto"/>
    </w:pPr>
    <w:rPr>
      <w:rFonts w:ascii="Times New Roman" w:hAnsi="Times New Roman"/>
      <w:sz w:val="24"/>
      <w:szCs w:val="21"/>
    </w:rPr>
  </w:style>
  <w:style w:type="paragraph" w:customStyle="1" w:styleId="193">
    <w:name w:val="表中"/>
    <w:basedOn w:val="1"/>
    <w:qFormat/>
    <w:uiPriority w:val="99"/>
    <w:pPr>
      <w:adjustRightInd w:val="0"/>
      <w:spacing w:line="360" w:lineRule="atLeast"/>
      <w:jc w:val="center"/>
      <w:textAlignment w:val="baseline"/>
    </w:pPr>
    <w:rPr>
      <w:kern w:val="0"/>
      <w:szCs w:val="20"/>
    </w:rPr>
  </w:style>
  <w:style w:type="paragraph" w:customStyle="1" w:styleId="194">
    <w:name w:val="CM80"/>
    <w:basedOn w:val="138"/>
    <w:next w:val="138"/>
    <w:qFormat/>
    <w:uiPriority w:val="99"/>
    <w:rPr>
      <w:rFonts w:cs="Times New Roman"/>
      <w:color w:val="auto"/>
    </w:rPr>
  </w:style>
  <w:style w:type="paragraph" w:customStyle="1" w:styleId="195">
    <w:name w:val="抄送单位"/>
    <w:basedOn w:val="1"/>
    <w:qFormat/>
    <w:uiPriority w:val="99"/>
    <w:pPr>
      <w:widowControl/>
      <w:spacing w:line="560" w:lineRule="atLeast"/>
      <w:ind w:left="1276" w:hanging="936"/>
    </w:pPr>
    <w:rPr>
      <w:rFonts w:eastAsia="仿宋_GB2312"/>
      <w:spacing w:val="30"/>
      <w:kern w:val="0"/>
      <w:sz w:val="32"/>
      <w:szCs w:val="20"/>
    </w:rPr>
  </w:style>
  <w:style w:type="paragraph" w:customStyle="1" w:styleId="196">
    <w:name w:val="af15hichaf0dbchf15cgrid"/>
    <w:qFormat/>
    <w:uiPriority w:val="99"/>
    <w:pPr>
      <w:widowControl w:val="0"/>
      <w:tabs>
        <w:tab w:val="left" w:pos="360"/>
        <w:tab w:val="center" w:pos="4320"/>
        <w:tab w:val="right" w:pos="8640"/>
      </w:tabs>
      <w:adjustRightInd w:val="0"/>
      <w:spacing w:line="315" w:lineRule="atLeast"/>
      <w:jc w:val="both"/>
      <w:textAlignment w:val="baseline"/>
    </w:pPr>
    <w:rPr>
      <w:rFonts w:ascii="宋体" w:hAnsi="Times New Roman" w:eastAsia="宋体" w:cs="Times New Roman"/>
      <w:sz w:val="21"/>
      <w:szCs w:val="21"/>
      <w:lang w:val="en-US" w:eastAsia="zh-CN" w:bidi="ar-SA"/>
    </w:rPr>
  </w:style>
  <w:style w:type="paragraph" w:customStyle="1" w:styleId="197">
    <w:name w:val="CM95"/>
    <w:basedOn w:val="138"/>
    <w:next w:val="138"/>
    <w:qFormat/>
    <w:uiPriority w:val="99"/>
    <w:rPr>
      <w:rFonts w:cs="Times New Roman"/>
      <w:color w:val="auto"/>
    </w:rPr>
  </w:style>
  <w:style w:type="paragraph" w:customStyle="1" w:styleId="198">
    <w:name w:val="Char Char13 Char Char1"/>
    <w:basedOn w:val="3"/>
    <w:qFormat/>
    <w:uiPriority w:val="99"/>
    <w:pPr>
      <w:tabs>
        <w:tab w:val="left" w:pos="360"/>
      </w:tabs>
      <w:autoSpaceDE w:val="0"/>
      <w:autoSpaceDN w:val="0"/>
      <w:adjustRightInd w:val="0"/>
      <w:spacing w:line="360" w:lineRule="auto"/>
      <w:ind w:right="0"/>
      <w:jc w:val="center"/>
    </w:pPr>
    <w:rPr>
      <w:rFonts w:hAnsi="宋体" w:eastAsia="黑体" w:cs="宋体"/>
      <w:b/>
      <w:bCs/>
      <w:kern w:val="0"/>
      <w:szCs w:val="21"/>
    </w:rPr>
  </w:style>
  <w:style w:type="paragraph" w:customStyle="1" w:styleId="199">
    <w:name w:val="表格6"/>
    <w:basedOn w:val="1"/>
    <w:qFormat/>
    <w:uiPriority w:val="99"/>
    <w:pPr>
      <w:adjustRightInd w:val="0"/>
      <w:spacing w:line="420" w:lineRule="atLeast"/>
      <w:ind w:left="737"/>
      <w:textAlignment w:val="baseline"/>
    </w:pPr>
    <w:rPr>
      <w:rFonts w:ascii="宋体"/>
      <w:kern w:val="0"/>
      <w:szCs w:val="20"/>
    </w:rPr>
  </w:style>
  <w:style w:type="paragraph" w:customStyle="1" w:styleId="200">
    <w:name w:val="附件须知--eeeee"/>
    <w:basedOn w:val="201"/>
    <w:link w:val="317"/>
    <w:qFormat/>
    <w:uiPriority w:val="99"/>
    <w:rPr>
      <w:sz w:val="32"/>
      <w:szCs w:val="32"/>
    </w:rPr>
  </w:style>
  <w:style w:type="paragraph" w:customStyle="1" w:styleId="201">
    <w:name w:val="标题1-BBB"/>
    <w:basedOn w:val="134"/>
    <w:link w:val="323"/>
    <w:qFormat/>
    <w:uiPriority w:val="99"/>
    <w:pPr>
      <w:spacing w:beforeLines="100" w:line="540" w:lineRule="exact"/>
      <w:ind w:firstLine="0" w:firstLineChars="0"/>
      <w:jc w:val="center"/>
    </w:pPr>
    <w:rPr>
      <w:rFonts w:ascii="方正黑体_GBK" w:eastAsia="方正黑体_GBK"/>
      <w:b/>
      <w:sz w:val="36"/>
      <w:szCs w:val="36"/>
    </w:rPr>
  </w:style>
  <w:style w:type="paragraph" w:customStyle="1" w:styleId="202">
    <w:name w:val="CM60"/>
    <w:basedOn w:val="138"/>
    <w:next w:val="138"/>
    <w:qFormat/>
    <w:uiPriority w:val="99"/>
    <w:rPr>
      <w:rFonts w:hAnsi="Times New Roman"/>
      <w:color w:val="auto"/>
    </w:rPr>
  </w:style>
  <w:style w:type="paragraph" w:customStyle="1" w:styleId="203">
    <w:name w:val="CM41"/>
    <w:basedOn w:val="138"/>
    <w:next w:val="138"/>
    <w:qFormat/>
    <w:uiPriority w:val="99"/>
    <w:pPr>
      <w:spacing w:line="346" w:lineRule="atLeast"/>
    </w:pPr>
    <w:rPr>
      <w:rFonts w:cs="Times New Roman"/>
      <w:color w:val="auto"/>
    </w:rPr>
  </w:style>
  <w:style w:type="paragraph" w:customStyle="1" w:styleId="204">
    <w:name w:val="CM97"/>
    <w:basedOn w:val="138"/>
    <w:next w:val="138"/>
    <w:qFormat/>
    <w:uiPriority w:val="99"/>
    <w:rPr>
      <w:rFonts w:cs="Times New Roman"/>
      <w:color w:val="auto"/>
    </w:rPr>
  </w:style>
  <w:style w:type="paragraph" w:customStyle="1" w:styleId="205">
    <w:name w:val="CM21"/>
    <w:basedOn w:val="138"/>
    <w:next w:val="138"/>
    <w:qFormat/>
    <w:uiPriority w:val="99"/>
    <w:pPr>
      <w:spacing w:line="373" w:lineRule="atLeast"/>
    </w:pPr>
    <w:rPr>
      <w:rFonts w:cs="Times New Roman"/>
      <w:color w:val="auto"/>
    </w:rPr>
  </w:style>
  <w:style w:type="paragraph" w:customStyle="1" w:styleId="206">
    <w:name w:val="样式 标题 2 + 四号"/>
    <w:basedOn w:val="4"/>
    <w:qFormat/>
    <w:uiPriority w:val="99"/>
    <w:pPr>
      <w:keepLines/>
      <w:numPr>
        <w:numId w:val="0"/>
      </w:numPr>
      <w:spacing w:line="416" w:lineRule="auto"/>
      <w:jc w:val="both"/>
    </w:pPr>
    <w:rPr>
      <w:rFonts w:ascii="Arial" w:hAnsi="Arial"/>
      <w:b/>
      <w:bCs/>
      <w:color w:val="auto"/>
      <w:kern w:val="2"/>
      <w:sz w:val="24"/>
      <w:szCs w:val="32"/>
    </w:rPr>
  </w:style>
  <w:style w:type="paragraph" w:customStyle="1" w:styleId="207">
    <w:name w:val="Body Text 21"/>
    <w:basedOn w:val="1"/>
    <w:qFormat/>
    <w:uiPriority w:val="99"/>
    <w:pPr>
      <w:autoSpaceDE w:val="0"/>
      <w:autoSpaceDN w:val="0"/>
      <w:adjustRightInd w:val="0"/>
      <w:spacing w:line="380" w:lineRule="atLeast"/>
      <w:textAlignment w:val="baseline"/>
    </w:pPr>
    <w:rPr>
      <w:spacing w:val="10"/>
      <w:kern w:val="0"/>
      <w:sz w:val="24"/>
      <w:szCs w:val="20"/>
    </w:rPr>
  </w:style>
  <w:style w:type="paragraph" w:customStyle="1" w:styleId="208">
    <w:name w:val="与专用条款2"/>
    <w:basedOn w:val="1"/>
    <w:qFormat/>
    <w:uiPriority w:val="99"/>
    <w:pPr>
      <w:spacing w:line="300" w:lineRule="auto"/>
      <w:ind w:left="567"/>
      <w:jc w:val="left"/>
    </w:pPr>
  </w:style>
  <w:style w:type="paragraph" w:customStyle="1" w:styleId="209">
    <w:name w:val="CM99"/>
    <w:basedOn w:val="138"/>
    <w:next w:val="138"/>
    <w:qFormat/>
    <w:uiPriority w:val="99"/>
    <w:rPr>
      <w:rFonts w:cs="Times New Roman"/>
      <w:color w:val="auto"/>
    </w:rPr>
  </w:style>
  <w:style w:type="paragraph" w:customStyle="1" w:styleId="210">
    <w:name w:val="表头--KKKKK"/>
    <w:basedOn w:val="139"/>
    <w:qFormat/>
    <w:uiPriority w:val="99"/>
    <w:pPr>
      <w:spacing w:beforeLines="75" w:afterLines="25"/>
    </w:pPr>
    <w:rPr>
      <w:rFonts w:ascii="创艺简老宋" w:eastAsia="创艺简老宋"/>
    </w:rPr>
  </w:style>
  <w:style w:type="paragraph" w:customStyle="1" w:styleId="211">
    <w:name w:val="CM64"/>
    <w:basedOn w:val="138"/>
    <w:next w:val="138"/>
    <w:qFormat/>
    <w:uiPriority w:val="99"/>
    <w:pPr>
      <w:spacing w:line="623" w:lineRule="atLeast"/>
    </w:pPr>
    <w:rPr>
      <w:rFonts w:cs="Times New Roman"/>
      <w:color w:val="auto"/>
    </w:rPr>
  </w:style>
  <w:style w:type="paragraph" w:customStyle="1" w:styleId="212">
    <w:name w:val="表格文字"/>
    <w:basedOn w:val="1"/>
    <w:qFormat/>
    <w:uiPriority w:val="99"/>
    <w:pPr>
      <w:adjustRightInd w:val="0"/>
      <w:spacing w:line="420" w:lineRule="atLeast"/>
      <w:jc w:val="left"/>
      <w:textAlignment w:val="baseline"/>
    </w:pPr>
    <w:rPr>
      <w:kern w:val="0"/>
      <w:szCs w:val="20"/>
    </w:rPr>
  </w:style>
  <w:style w:type="paragraph" w:customStyle="1" w:styleId="213">
    <w:name w:val="ZW"/>
    <w:basedOn w:val="1"/>
    <w:qFormat/>
    <w:uiPriority w:val="99"/>
    <w:pPr>
      <w:autoSpaceDE w:val="0"/>
      <w:autoSpaceDN w:val="0"/>
      <w:adjustRightInd w:val="0"/>
      <w:ind w:firstLine="397"/>
      <w:textAlignment w:val="baseline"/>
    </w:pPr>
    <w:rPr>
      <w:rFonts w:ascii="@宋体"/>
      <w:kern w:val="0"/>
      <w:sz w:val="13"/>
      <w:szCs w:val="20"/>
    </w:rPr>
  </w:style>
  <w:style w:type="paragraph" w:customStyle="1" w:styleId="214">
    <w:name w:val="xl25"/>
    <w:basedOn w:val="1"/>
    <w:qFormat/>
    <w:uiPriority w:val="99"/>
    <w:pPr>
      <w:widowControl/>
      <w:spacing w:beforeAutospacing="1" w:afterAutospacing="1"/>
      <w:jc w:val="center"/>
    </w:pPr>
    <w:rPr>
      <w:rFonts w:ascii="宋体" w:hAnsi="宋体"/>
      <w:kern w:val="0"/>
      <w:sz w:val="24"/>
    </w:rPr>
  </w:style>
  <w:style w:type="paragraph" w:customStyle="1" w:styleId="215">
    <w:name w:val="表格2"/>
    <w:basedOn w:val="1"/>
    <w:qFormat/>
    <w:uiPriority w:val="99"/>
    <w:pPr>
      <w:adjustRightInd w:val="0"/>
      <w:spacing w:line="420" w:lineRule="atLeast"/>
      <w:ind w:left="284" w:firstLine="454"/>
      <w:textAlignment w:val="baseline"/>
    </w:pPr>
    <w:rPr>
      <w:kern w:val="0"/>
      <w:szCs w:val="20"/>
    </w:rPr>
  </w:style>
  <w:style w:type="paragraph" w:customStyle="1" w:styleId="216">
    <w:name w:val="xl35"/>
    <w:basedOn w:val="1"/>
    <w:qFormat/>
    <w:uiPriority w:val="99"/>
    <w:pPr>
      <w:widowControl/>
      <w:pBdr>
        <w:left w:val="single" w:color="auto" w:sz="8" w:space="0"/>
        <w:bottom w:val="single" w:color="auto" w:sz="4" w:space="0"/>
        <w:right w:val="single" w:color="auto" w:sz="4" w:space="0"/>
      </w:pBdr>
      <w:spacing w:beforeAutospacing="1" w:afterAutospacing="1"/>
      <w:jc w:val="center"/>
      <w:textAlignment w:val="center"/>
    </w:pPr>
    <w:rPr>
      <w:rFonts w:ascii="楷体_GB2312" w:hAnsi="宋体" w:eastAsia="楷体_GB2312"/>
      <w:kern w:val="0"/>
      <w:sz w:val="24"/>
    </w:rPr>
  </w:style>
  <w:style w:type="paragraph" w:customStyle="1" w:styleId="217">
    <w:name w:val="一、"/>
    <w:next w:val="73"/>
    <w:qFormat/>
    <w:uiPriority w:val="99"/>
    <w:pPr>
      <w:tabs>
        <w:tab w:val="left" w:pos="360"/>
        <w:tab w:val="left" w:pos="1455"/>
      </w:tabs>
      <w:spacing w:before="240" w:after="240"/>
    </w:pPr>
    <w:rPr>
      <w:rFonts w:ascii="Times New Roman" w:hAnsi="Times New Roman" w:eastAsia="黑体" w:cs="Times New Roman"/>
      <w:sz w:val="28"/>
      <w:lang w:val="en-US" w:eastAsia="zh-CN" w:bidi="ar-SA"/>
    </w:rPr>
  </w:style>
  <w:style w:type="paragraph" w:customStyle="1" w:styleId="218">
    <w:name w:val="表格文字居中"/>
    <w:qFormat/>
    <w:uiPriority w:val="99"/>
    <w:pPr>
      <w:adjustRightInd w:val="0"/>
      <w:snapToGrid w:val="0"/>
      <w:spacing w:beforeLines="10" w:afterLines="10"/>
      <w:jc w:val="center"/>
    </w:pPr>
    <w:rPr>
      <w:rFonts w:ascii="宋体" w:hAnsi="宋体" w:eastAsia="宋体" w:cs="Times New Roman"/>
      <w:sz w:val="24"/>
      <w:lang w:val="en-US" w:eastAsia="zh-CN" w:bidi="ar-SA"/>
    </w:rPr>
  </w:style>
  <w:style w:type="paragraph" w:customStyle="1" w:styleId="219">
    <w:name w:val="Char2"/>
    <w:basedOn w:val="1"/>
    <w:qFormat/>
    <w:uiPriority w:val="99"/>
    <w:rPr>
      <w:sz w:val="30"/>
    </w:rPr>
  </w:style>
  <w:style w:type="paragraph" w:customStyle="1" w:styleId="220">
    <w:name w:val="正文1标---IIIII"/>
    <w:basedOn w:val="152"/>
    <w:link w:val="349"/>
    <w:qFormat/>
    <w:uiPriority w:val="99"/>
    <w:pPr>
      <w:spacing w:beforeLines="100" w:afterLines="50"/>
    </w:pPr>
    <w:rPr>
      <w:rFonts w:ascii="????_GBK" w:eastAsia="Times New Roman"/>
      <w:sz w:val="26"/>
      <w:szCs w:val="26"/>
    </w:rPr>
  </w:style>
  <w:style w:type="paragraph" w:customStyle="1" w:styleId="221">
    <w:name w:val="aa"/>
    <w:basedOn w:val="1"/>
    <w:qFormat/>
    <w:uiPriority w:val="99"/>
    <w:pPr>
      <w:widowControl/>
      <w:spacing w:beforeAutospacing="1" w:afterAutospacing="1"/>
      <w:jc w:val="left"/>
    </w:pPr>
    <w:rPr>
      <w:rFonts w:ascii="宋体" w:hAnsi="宋体" w:cs="宋体"/>
      <w:kern w:val="0"/>
      <w:sz w:val="24"/>
    </w:rPr>
  </w:style>
  <w:style w:type="paragraph" w:customStyle="1" w:styleId="222">
    <w:name w:val="CM81"/>
    <w:basedOn w:val="138"/>
    <w:next w:val="138"/>
    <w:qFormat/>
    <w:uiPriority w:val="99"/>
    <w:rPr>
      <w:rFonts w:hAnsi="Times New Roman"/>
      <w:color w:val="auto"/>
    </w:rPr>
  </w:style>
  <w:style w:type="paragraph" w:customStyle="1" w:styleId="223">
    <w:name w:val="CM67"/>
    <w:basedOn w:val="138"/>
    <w:next w:val="138"/>
    <w:qFormat/>
    <w:uiPriority w:val="99"/>
    <w:rPr>
      <w:rFonts w:hAnsi="Times New Roman"/>
      <w:color w:val="auto"/>
    </w:rPr>
  </w:style>
  <w:style w:type="paragraph" w:customStyle="1" w:styleId="224">
    <w:name w:val="附件1-HHH"/>
    <w:basedOn w:val="152"/>
    <w:link w:val="347"/>
    <w:qFormat/>
    <w:uiPriority w:val="99"/>
    <w:pPr>
      <w:spacing w:beforeLines="50" w:afterLines="50"/>
    </w:pPr>
    <w:rPr>
      <w:rFonts w:ascii="方正粗倩简体" w:eastAsia="方正粗倩简体"/>
    </w:rPr>
  </w:style>
  <w:style w:type="paragraph" w:customStyle="1" w:styleId="225">
    <w:name w:val="CM50"/>
    <w:basedOn w:val="138"/>
    <w:next w:val="138"/>
    <w:qFormat/>
    <w:uiPriority w:val="99"/>
    <w:pPr>
      <w:spacing w:line="463" w:lineRule="atLeast"/>
    </w:pPr>
    <w:rPr>
      <w:rFonts w:hAnsi="Times New Roman"/>
      <w:color w:val="auto"/>
    </w:rPr>
  </w:style>
  <w:style w:type="paragraph" w:customStyle="1" w:styleId="226">
    <w:name w:val="CM53"/>
    <w:basedOn w:val="138"/>
    <w:next w:val="138"/>
    <w:qFormat/>
    <w:uiPriority w:val="99"/>
    <w:pPr>
      <w:spacing w:line="360" w:lineRule="atLeast"/>
    </w:pPr>
    <w:rPr>
      <w:rFonts w:hAnsi="Times New Roman"/>
      <w:color w:val="auto"/>
    </w:rPr>
  </w:style>
  <w:style w:type="paragraph" w:customStyle="1" w:styleId="227">
    <w:name w:val="CM19"/>
    <w:basedOn w:val="138"/>
    <w:next w:val="138"/>
    <w:qFormat/>
    <w:uiPriority w:val="99"/>
    <w:pPr>
      <w:spacing w:line="380" w:lineRule="atLeast"/>
    </w:pPr>
    <w:rPr>
      <w:rFonts w:cs="Times New Roman"/>
      <w:color w:val="auto"/>
    </w:rPr>
  </w:style>
  <w:style w:type="paragraph" w:customStyle="1" w:styleId="228">
    <w:name w:val="xl40"/>
    <w:basedOn w:val="1"/>
    <w:qFormat/>
    <w:uiPriority w:val="99"/>
    <w:pPr>
      <w:widowControl/>
      <w:spacing w:beforeAutospacing="1" w:afterAutospacing="1"/>
      <w:jc w:val="center"/>
      <w:textAlignment w:val="center"/>
    </w:pPr>
    <w:rPr>
      <w:rFonts w:ascii="宋体" w:hAnsi="宋体"/>
      <w:b/>
      <w:kern w:val="0"/>
      <w:sz w:val="36"/>
      <w:szCs w:val="20"/>
    </w:rPr>
  </w:style>
  <w:style w:type="paragraph" w:customStyle="1" w:styleId="229">
    <w:name w:val="CM86"/>
    <w:basedOn w:val="138"/>
    <w:next w:val="138"/>
    <w:qFormat/>
    <w:uiPriority w:val="99"/>
    <w:rPr>
      <w:rFonts w:cs="Times New Roman"/>
      <w:color w:val="auto"/>
    </w:rPr>
  </w:style>
  <w:style w:type="paragraph" w:customStyle="1" w:styleId="230">
    <w:name w:val="主题词"/>
    <w:basedOn w:val="1"/>
    <w:qFormat/>
    <w:uiPriority w:val="99"/>
    <w:pPr>
      <w:widowControl/>
      <w:spacing w:line="560" w:lineRule="atLeast"/>
    </w:pPr>
    <w:rPr>
      <w:rFonts w:eastAsia="黑体"/>
      <w:spacing w:val="8"/>
      <w:kern w:val="0"/>
      <w:sz w:val="32"/>
      <w:szCs w:val="20"/>
    </w:rPr>
  </w:style>
  <w:style w:type="paragraph" w:customStyle="1" w:styleId="231">
    <w:name w:val="表格5"/>
    <w:basedOn w:val="215"/>
    <w:qFormat/>
    <w:uiPriority w:val="99"/>
    <w:pPr>
      <w:ind w:left="1021" w:hanging="284"/>
    </w:pPr>
    <w:rPr>
      <w:rFonts w:ascii="宋体"/>
    </w:rPr>
  </w:style>
  <w:style w:type="paragraph" w:customStyle="1" w:styleId="232">
    <w:name w:val="Char Char Char Char Char Char2 Char"/>
    <w:basedOn w:val="1"/>
    <w:qFormat/>
    <w:uiPriority w:val="99"/>
    <w:pPr>
      <w:spacing w:line="360" w:lineRule="auto"/>
      <w:ind w:firstLine="200" w:firstLineChars="200"/>
    </w:pPr>
    <w:rPr>
      <w:rFonts w:ascii="宋体" w:hAnsi="宋体" w:cs="宋体"/>
      <w:sz w:val="24"/>
    </w:rPr>
  </w:style>
  <w:style w:type="paragraph" w:customStyle="1" w:styleId="233">
    <w:name w:val="BG5"/>
    <w:basedOn w:val="1"/>
    <w:qFormat/>
    <w:uiPriority w:val="99"/>
    <w:pPr>
      <w:autoSpaceDE w:val="0"/>
      <w:autoSpaceDN w:val="0"/>
      <w:adjustRightInd w:val="0"/>
      <w:spacing w:line="200" w:lineRule="exact"/>
      <w:jc w:val="center"/>
      <w:textAlignment w:val="baseline"/>
    </w:pPr>
    <w:rPr>
      <w:rFonts w:ascii="@宋体"/>
      <w:kern w:val="0"/>
      <w:szCs w:val="20"/>
    </w:rPr>
  </w:style>
  <w:style w:type="paragraph" w:customStyle="1" w:styleId="234">
    <w:name w:val="Char Char Char Char"/>
    <w:basedOn w:val="1"/>
    <w:qFormat/>
    <w:uiPriority w:val="99"/>
    <w:pPr>
      <w:widowControl/>
      <w:spacing w:line="240" w:lineRule="exact"/>
      <w:jc w:val="left"/>
    </w:pPr>
    <w:rPr>
      <w:szCs w:val="20"/>
    </w:rPr>
  </w:style>
  <w:style w:type="paragraph" w:customStyle="1" w:styleId="235">
    <w:name w:val="资审正文"/>
    <w:basedOn w:val="1"/>
    <w:link w:val="346"/>
    <w:qFormat/>
    <w:uiPriority w:val="99"/>
    <w:pPr>
      <w:spacing w:beforeLines="10" w:afterLines="10" w:line="460" w:lineRule="exact"/>
      <w:ind w:firstLine="520" w:firstLineChars="200"/>
    </w:pPr>
    <w:rPr>
      <w:rFonts w:ascii="华文细黑" w:hAnsi="华文细黑"/>
      <w:sz w:val="26"/>
      <w:szCs w:val="26"/>
    </w:rPr>
  </w:style>
  <w:style w:type="paragraph" w:customStyle="1" w:styleId="236">
    <w:name w:val="CM37"/>
    <w:basedOn w:val="138"/>
    <w:next w:val="138"/>
    <w:qFormat/>
    <w:uiPriority w:val="99"/>
    <w:pPr>
      <w:spacing w:line="380" w:lineRule="atLeast"/>
    </w:pPr>
    <w:rPr>
      <w:rFonts w:cs="Times New Roman"/>
      <w:color w:val="auto"/>
    </w:rPr>
  </w:style>
  <w:style w:type="paragraph" w:customStyle="1" w:styleId="237">
    <w:name w:val="CM12"/>
    <w:basedOn w:val="138"/>
    <w:next w:val="138"/>
    <w:qFormat/>
    <w:uiPriority w:val="99"/>
    <w:pPr>
      <w:spacing w:line="383" w:lineRule="atLeast"/>
    </w:pPr>
    <w:rPr>
      <w:rFonts w:cs="Times New Roman"/>
      <w:color w:val="auto"/>
    </w:rPr>
  </w:style>
  <w:style w:type="paragraph" w:customStyle="1" w:styleId="238">
    <w:name w:val="Char Char Char Char1 Char Char Char"/>
    <w:basedOn w:val="1"/>
    <w:qFormat/>
    <w:uiPriority w:val="99"/>
    <w:rPr>
      <w:rFonts w:ascii="Calibri" w:hAnsi="Calibri"/>
      <w:szCs w:val="22"/>
    </w:rPr>
  </w:style>
  <w:style w:type="paragraph" w:customStyle="1" w:styleId="239">
    <w:name w:val="CM15"/>
    <w:basedOn w:val="138"/>
    <w:next w:val="138"/>
    <w:qFormat/>
    <w:uiPriority w:val="99"/>
    <w:pPr>
      <w:spacing w:line="380" w:lineRule="atLeast"/>
    </w:pPr>
    <w:rPr>
      <w:rFonts w:cs="Times New Roman"/>
      <w:color w:val="auto"/>
    </w:rPr>
  </w:style>
  <w:style w:type="paragraph" w:customStyle="1" w:styleId="240">
    <w:name w:val="_Style 202"/>
    <w:basedOn w:val="1"/>
    <w:qFormat/>
    <w:uiPriority w:val="99"/>
    <w:pPr>
      <w:ind w:firstLine="420" w:firstLineChars="200"/>
    </w:pPr>
    <w:rPr>
      <w:rFonts w:ascii="Calibri" w:hAnsi="Calibri"/>
      <w:szCs w:val="22"/>
    </w:rPr>
  </w:style>
  <w:style w:type="paragraph" w:customStyle="1" w:styleId="241">
    <w:name w:val="_Style 203"/>
    <w:qFormat/>
    <w:uiPriority w:val="99"/>
    <w:rPr>
      <w:rFonts w:ascii="Times New Roman" w:hAnsi="Times New Roman" w:eastAsia="宋体" w:cs="Times New Roman"/>
      <w:kern w:val="2"/>
      <w:sz w:val="21"/>
      <w:szCs w:val="24"/>
      <w:lang w:val="en-US" w:eastAsia="zh-CN" w:bidi="ar-SA"/>
    </w:rPr>
  </w:style>
  <w:style w:type="paragraph" w:customStyle="1" w:styleId="242">
    <w:name w:val="CM69"/>
    <w:basedOn w:val="138"/>
    <w:next w:val="138"/>
    <w:qFormat/>
    <w:uiPriority w:val="99"/>
    <w:pPr>
      <w:spacing w:line="371" w:lineRule="atLeast"/>
    </w:pPr>
    <w:rPr>
      <w:rFonts w:cs="Times New Roman"/>
      <w:color w:val="auto"/>
    </w:rPr>
  </w:style>
  <w:style w:type="paragraph" w:customStyle="1" w:styleId="243">
    <w:name w:val="表头"/>
    <w:basedOn w:val="244"/>
    <w:qFormat/>
    <w:uiPriority w:val="99"/>
    <w:pPr>
      <w:jc w:val="both"/>
    </w:pPr>
    <w:rPr>
      <w:rFonts w:ascii="黑体" w:eastAsia="黑体"/>
      <w:b/>
    </w:rPr>
  </w:style>
  <w:style w:type="paragraph" w:customStyle="1" w:styleId="244">
    <w:name w:val="表格方字"/>
    <w:basedOn w:val="1"/>
    <w:qFormat/>
    <w:uiPriority w:val="99"/>
    <w:pPr>
      <w:adjustRightInd w:val="0"/>
      <w:spacing w:line="420" w:lineRule="atLeast"/>
      <w:jc w:val="left"/>
      <w:textAlignment w:val="baseline"/>
    </w:pPr>
    <w:rPr>
      <w:kern w:val="0"/>
      <w:szCs w:val="20"/>
    </w:rPr>
  </w:style>
  <w:style w:type="paragraph" w:customStyle="1" w:styleId="245">
    <w:name w:val="默认段落字体 Para Char Char Char Char Char Char Char Char Char Char Char Char Char"/>
    <w:basedOn w:val="1"/>
    <w:qFormat/>
    <w:uiPriority w:val="99"/>
  </w:style>
  <w:style w:type="paragraph" w:customStyle="1" w:styleId="246">
    <w:name w:val="1."/>
    <w:basedOn w:val="1"/>
    <w:qFormat/>
    <w:uiPriority w:val="99"/>
    <w:pPr>
      <w:tabs>
        <w:tab w:val="left" w:pos="435"/>
      </w:tabs>
      <w:spacing w:line="360" w:lineRule="auto"/>
      <w:ind w:firstLine="482"/>
    </w:pPr>
    <w:rPr>
      <w:sz w:val="28"/>
      <w:szCs w:val="20"/>
    </w:rPr>
  </w:style>
  <w:style w:type="paragraph" w:customStyle="1" w:styleId="247">
    <w:name w:val="样式4"/>
    <w:basedOn w:val="1"/>
    <w:qFormat/>
    <w:uiPriority w:val="99"/>
    <w:pPr>
      <w:autoSpaceDE w:val="0"/>
      <w:autoSpaceDN w:val="0"/>
      <w:adjustRightInd w:val="0"/>
      <w:spacing w:line="460" w:lineRule="exact"/>
      <w:jc w:val="left"/>
      <w:textAlignment w:val="baseline"/>
    </w:pPr>
    <w:rPr>
      <w:rFonts w:ascii="宋体"/>
      <w:b/>
      <w:spacing w:val="10"/>
      <w:kern w:val="28"/>
      <w:sz w:val="28"/>
      <w:szCs w:val="20"/>
    </w:rPr>
  </w:style>
  <w:style w:type="paragraph" w:customStyle="1" w:styleId="248">
    <w:name w:val="图表标题"/>
    <w:basedOn w:val="1"/>
    <w:next w:val="1"/>
    <w:qFormat/>
    <w:uiPriority w:val="99"/>
    <w:pPr>
      <w:spacing w:line="360" w:lineRule="exact"/>
      <w:jc w:val="center"/>
      <w:textAlignment w:val="center"/>
    </w:pPr>
    <w:rPr>
      <w:rFonts w:ascii="Arial" w:hAnsi="Arial"/>
      <w:b/>
      <w:szCs w:val="21"/>
    </w:rPr>
  </w:style>
  <w:style w:type="paragraph" w:customStyle="1" w:styleId="249">
    <w:name w:val="CM48"/>
    <w:basedOn w:val="138"/>
    <w:next w:val="138"/>
    <w:qFormat/>
    <w:uiPriority w:val="99"/>
    <w:pPr>
      <w:spacing w:line="456" w:lineRule="atLeast"/>
    </w:pPr>
    <w:rPr>
      <w:rFonts w:hAnsi="Times New Roman"/>
      <w:color w:val="auto"/>
    </w:rPr>
  </w:style>
  <w:style w:type="paragraph" w:customStyle="1" w:styleId="250">
    <w:name w:val="CM87"/>
    <w:basedOn w:val="138"/>
    <w:next w:val="138"/>
    <w:qFormat/>
    <w:uiPriority w:val="99"/>
    <w:rPr>
      <w:rFonts w:cs="Times New Roman"/>
      <w:color w:val="auto"/>
    </w:rPr>
  </w:style>
  <w:style w:type="paragraph" w:customStyle="1" w:styleId="251">
    <w:name w:val="目录2"/>
    <w:basedOn w:val="1"/>
    <w:qFormat/>
    <w:uiPriority w:val="99"/>
    <w:pPr>
      <w:adjustRightInd w:val="0"/>
      <w:spacing w:line="420" w:lineRule="atLeast"/>
      <w:ind w:left="227"/>
      <w:textAlignment w:val="baseline"/>
    </w:pPr>
    <w:rPr>
      <w:kern w:val="0"/>
      <w:szCs w:val="20"/>
    </w:rPr>
  </w:style>
  <w:style w:type="paragraph" w:customStyle="1" w:styleId="252">
    <w:name w:val="CM5"/>
    <w:basedOn w:val="138"/>
    <w:next w:val="138"/>
    <w:qFormat/>
    <w:uiPriority w:val="99"/>
    <w:pPr>
      <w:spacing w:line="408" w:lineRule="atLeast"/>
    </w:pPr>
    <w:rPr>
      <w:rFonts w:cs="Times New Roman"/>
      <w:color w:val="auto"/>
    </w:rPr>
  </w:style>
  <w:style w:type="paragraph" w:customStyle="1" w:styleId="253">
    <w:name w:val="CM38"/>
    <w:basedOn w:val="138"/>
    <w:next w:val="138"/>
    <w:qFormat/>
    <w:uiPriority w:val="99"/>
    <w:rPr>
      <w:rFonts w:cs="Times New Roman"/>
      <w:color w:val="auto"/>
    </w:rPr>
  </w:style>
  <w:style w:type="paragraph" w:customStyle="1" w:styleId="254">
    <w:name w:val="目录1"/>
    <w:basedOn w:val="1"/>
    <w:qFormat/>
    <w:uiPriority w:val="99"/>
    <w:pPr>
      <w:adjustRightInd w:val="0"/>
      <w:spacing w:line="420" w:lineRule="atLeast"/>
      <w:textAlignment w:val="baseline"/>
    </w:pPr>
    <w:rPr>
      <w:rFonts w:eastAsia="黑体"/>
      <w:b/>
      <w:kern w:val="0"/>
      <w:szCs w:val="20"/>
    </w:rPr>
  </w:style>
  <w:style w:type="paragraph" w:customStyle="1" w:styleId="255">
    <w:name w:val="_Style 217"/>
    <w:basedOn w:val="3"/>
    <w:next w:val="1"/>
    <w:qFormat/>
    <w:uiPriority w:val="99"/>
    <w:pPr>
      <w:keepLines/>
      <w:widowControl/>
      <w:ind w:right="0"/>
      <w:jc w:val="left"/>
      <w:outlineLvl w:val="9"/>
    </w:pPr>
    <w:rPr>
      <w:rFonts w:ascii="Cambria" w:hAnsi="Cambria"/>
      <w:b/>
      <w:color w:val="365F91"/>
      <w:kern w:val="0"/>
    </w:rPr>
  </w:style>
  <w:style w:type="paragraph" w:customStyle="1" w:styleId="256">
    <w:name w:val="表格体"/>
    <w:basedOn w:val="1"/>
    <w:qFormat/>
    <w:uiPriority w:val="99"/>
    <w:pPr>
      <w:spacing w:line="360" w:lineRule="auto"/>
      <w:jc w:val="center"/>
    </w:pPr>
    <w:rPr>
      <w:rFonts w:eastAsia="楷体_GB2312"/>
      <w:sz w:val="24"/>
      <w:szCs w:val="20"/>
    </w:rPr>
  </w:style>
  <w:style w:type="paragraph" w:customStyle="1" w:styleId="257">
    <w:name w:val="_Style 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58">
    <w:name w:val="CM91"/>
    <w:basedOn w:val="138"/>
    <w:next w:val="138"/>
    <w:qFormat/>
    <w:uiPriority w:val="99"/>
    <w:rPr>
      <w:rFonts w:cs="Times New Roman"/>
      <w:color w:val="auto"/>
    </w:rPr>
  </w:style>
  <w:style w:type="paragraph" w:customStyle="1" w:styleId="259">
    <w:name w:val="Char1"/>
    <w:basedOn w:val="1"/>
    <w:qFormat/>
    <w:uiPriority w:val="99"/>
  </w:style>
  <w:style w:type="paragraph" w:customStyle="1" w:styleId="260">
    <w:name w:val="表1"/>
    <w:basedOn w:val="1"/>
    <w:qFormat/>
    <w:uiPriority w:val="99"/>
    <w:pPr>
      <w:tabs>
        <w:tab w:val="left" w:pos="1440"/>
      </w:tabs>
      <w:overflowPunct w:val="0"/>
      <w:autoSpaceDE w:val="0"/>
      <w:autoSpaceDN w:val="0"/>
      <w:adjustRightInd w:val="0"/>
      <w:spacing w:line="320" w:lineRule="atLeast"/>
      <w:ind w:left="1440" w:hanging="960"/>
      <w:textAlignment w:val="baseline"/>
    </w:pPr>
    <w:rPr>
      <w:kern w:val="0"/>
      <w:sz w:val="24"/>
      <w:szCs w:val="20"/>
    </w:rPr>
  </w:style>
  <w:style w:type="paragraph" w:customStyle="1" w:styleId="261">
    <w:name w:val="Char Char Char Char Char Char Char Char Char Char Char Char Char"/>
    <w:basedOn w:val="1"/>
    <w:qFormat/>
    <w:uiPriority w:val="99"/>
    <w:rPr>
      <w:rFonts w:ascii="仿宋_GB2312" w:eastAsia="仿宋_GB2312"/>
      <w:b/>
      <w:sz w:val="32"/>
      <w:szCs w:val="32"/>
    </w:rPr>
  </w:style>
  <w:style w:type="paragraph" w:customStyle="1" w:styleId="262">
    <w:name w:val="CM76"/>
    <w:basedOn w:val="138"/>
    <w:next w:val="138"/>
    <w:qFormat/>
    <w:uiPriority w:val="99"/>
    <w:rPr>
      <w:rFonts w:cs="Times New Roman"/>
      <w:color w:val="auto"/>
    </w:rPr>
  </w:style>
  <w:style w:type="paragraph" w:customStyle="1" w:styleId="263">
    <w:name w:val="CM75"/>
    <w:basedOn w:val="138"/>
    <w:next w:val="138"/>
    <w:qFormat/>
    <w:uiPriority w:val="99"/>
    <w:rPr>
      <w:rFonts w:cs="Times New Roman"/>
      <w:color w:val="auto"/>
    </w:rPr>
  </w:style>
  <w:style w:type="paragraph" w:customStyle="1" w:styleId="264">
    <w:name w:val="Char Char Char Char Char Char Char Char Char"/>
    <w:basedOn w:val="1"/>
    <w:qFormat/>
    <w:uiPriority w:val="99"/>
    <w:pPr>
      <w:spacing w:line="360" w:lineRule="auto"/>
      <w:ind w:firstLine="200" w:firstLineChars="200"/>
    </w:pPr>
    <w:rPr>
      <w:rFonts w:ascii="宋体" w:hAnsi="宋体" w:cs="宋体"/>
      <w:sz w:val="24"/>
    </w:rPr>
  </w:style>
  <w:style w:type="paragraph" w:customStyle="1" w:styleId="265">
    <w:name w:val="CM22"/>
    <w:basedOn w:val="138"/>
    <w:next w:val="138"/>
    <w:qFormat/>
    <w:uiPriority w:val="99"/>
    <w:pPr>
      <w:spacing w:line="380" w:lineRule="atLeast"/>
    </w:pPr>
    <w:rPr>
      <w:rFonts w:cs="Times New Roman"/>
      <w:color w:val="auto"/>
    </w:rPr>
  </w:style>
  <w:style w:type="paragraph" w:customStyle="1" w:styleId="266">
    <w:name w:val="Body Text 211"/>
    <w:basedOn w:val="1"/>
    <w:qFormat/>
    <w:uiPriority w:val="99"/>
    <w:pPr>
      <w:autoSpaceDE w:val="0"/>
      <w:autoSpaceDN w:val="0"/>
      <w:adjustRightInd w:val="0"/>
      <w:spacing w:line="380" w:lineRule="atLeast"/>
      <w:textAlignment w:val="baseline"/>
    </w:pPr>
    <w:rPr>
      <w:spacing w:val="10"/>
      <w:kern w:val="0"/>
      <w:sz w:val="24"/>
      <w:szCs w:val="20"/>
    </w:rPr>
  </w:style>
  <w:style w:type="paragraph" w:customStyle="1" w:styleId="267">
    <w:name w:val="内正文"/>
    <w:basedOn w:val="1"/>
    <w:qFormat/>
    <w:uiPriority w:val="99"/>
    <w:pPr>
      <w:ind w:firstLine="420"/>
    </w:pPr>
    <w:rPr>
      <w:rFonts w:eastAsia="文鼎CS书宋二"/>
      <w:szCs w:val="20"/>
    </w:rPr>
  </w:style>
  <w:style w:type="paragraph" w:customStyle="1" w:styleId="268">
    <w:name w:val="CM72"/>
    <w:basedOn w:val="138"/>
    <w:next w:val="138"/>
    <w:qFormat/>
    <w:uiPriority w:val="99"/>
    <w:rPr>
      <w:rFonts w:hAnsi="Times New Roman"/>
      <w:color w:val="auto"/>
    </w:rPr>
  </w:style>
  <w:style w:type="paragraph" w:customStyle="1" w:styleId="269">
    <w:name w:val="Char Char Char Char Char Char2 Char1"/>
    <w:basedOn w:val="3"/>
    <w:qFormat/>
    <w:uiPriority w:val="99"/>
    <w:pPr>
      <w:autoSpaceDE w:val="0"/>
      <w:autoSpaceDN w:val="0"/>
      <w:adjustRightInd w:val="0"/>
      <w:spacing w:line="360" w:lineRule="auto"/>
      <w:ind w:left="200" w:right="0" w:firstLine="88"/>
      <w:jc w:val="center"/>
    </w:pPr>
    <w:rPr>
      <w:rFonts w:hAnsi="宋体" w:eastAsia="黑体" w:cs="宋体"/>
      <w:b/>
      <w:bCs/>
      <w:kern w:val="0"/>
      <w:szCs w:val="21"/>
    </w:rPr>
  </w:style>
  <w:style w:type="paragraph" w:customStyle="1" w:styleId="270">
    <w:name w:val="说明"/>
    <w:basedOn w:val="271"/>
    <w:qFormat/>
    <w:uiPriority w:val="99"/>
    <w:pPr>
      <w:tabs>
        <w:tab w:val="left" w:pos="840"/>
        <w:tab w:val="left" w:pos="1260"/>
      </w:tabs>
      <w:spacing w:line="288" w:lineRule="auto"/>
      <w:ind w:firstLine="420"/>
      <w:jc w:val="both"/>
    </w:pPr>
    <w:rPr>
      <w:rFonts w:ascii="文鼎中楷" w:eastAsia="文鼎中楷"/>
      <w:b w:val="0"/>
    </w:rPr>
  </w:style>
  <w:style w:type="paragraph" w:customStyle="1" w:styleId="271">
    <w:name w:val="小标题"/>
    <w:basedOn w:val="1"/>
    <w:qFormat/>
    <w:uiPriority w:val="99"/>
    <w:pPr>
      <w:tabs>
        <w:tab w:val="left" w:pos="1260"/>
      </w:tabs>
      <w:spacing w:line="440" w:lineRule="atLeast"/>
      <w:jc w:val="center"/>
    </w:pPr>
    <w:rPr>
      <w:rFonts w:eastAsia="黑体"/>
      <w:b/>
      <w:w w:val="95"/>
      <w:sz w:val="28"/>
      <w:szCs w:val="20"/>
    </w:rPr>
  </w:style>
  <w:style w:type="paragraph" w:customStyle="1" w:styleId="272">
    <w:name w:val="CM68"/>
    <w:basedOn w:val="138"/>
    <w:next w:val="138"/>
    <w:qFormat/>
    <w:uiPriority w:val="99"/>
    <w:pPr>
      <w:spacing w:line="403" w:lineRule="atLeast"/>
    </w:pPr>
    <w:rPr>
      <w:rFonts w:cs="Times New Roman"/>
      <w:color w:val="auto"/>
    </w:rPr>
  </w:style>
  <w:style w:type="paragraph" w:customStyle="1" w:styleId="273">
    <w:name w:val="标准正文"/>
    <w:basedOn w:val="1"/>
    <w:link w:val="338"/>
    <w:qFormat/>
    <w:uiPriority w:val="99"/>
    <w:pPr>
      <w:spacing w:line="360" w:lineRule="auto"/>
      <w:ind w:firstLine="480" w:firstLineChars="200"/>
    </w:pPr>
    <w:rPr>
      <w:rFonts w:ascii="Arial" w:hAnsi="Arial" w:cs="宋体"/>
      <w:color w:val="000000"/>
      <w:sz w:val="24"/>
      <w:szCs w:val="20"/>
    </w:rPr>
  </w:style>
  <w:style w:type="paragraph" w:customStyle="1" w:styleId="274">
    <w:name w:val="CM84"/>
    <w:basedOn w:val="138"/>
    <w:next w:val="138"/>
    <w:qFormat/>
    <w:uiPriority w:val="99"/>
    <w:rPr>
      <w:rFonts w:cs="Times New Roman"/>
      <w:color w:val="auto"/>
    </w:rPr>
  </w:style>
  <w:style w:type="paragraph" w:customStyle="1" w:styleId="275">
    <w:name w:val="表左1"/>
    <w:basedOn w:val="1"/>
    <w:qFormat/>
    <w:uiPriority w:val="99"/>
    <w:pPr>
      <w:adjustRightInd w:val="0"/>
      <w:spacing w:line="360" w:lineRule="atLeast"/>
      <w:jc w:val="left"/>
      <w:textAlignment w:val="baseline"/>
    </w:pPr>
    <w:rPr>
      <w:kern w:val="0"/>
      <w:szCs w:val="20"/>
    </w:rPr>
  </w:style>
  <w:style w:type="paragraph" w:customStyle="1" w:styleId="276">
    <w:name w:val="正文1.2标jjjjj"/>
    <w:basedOn w:val="152"/>
    <w:link w:val="331"/>
    <w:qFormat/>
    <w:uiPriority w:val="99"/>
    <w:pPr>
      <w:spacing w:beforeLines="50" w:afterLines="50"/>
    </w:pPr>
    <w:rPr>
      <w:sz w:val="24"/>
      <w:szCs w:val="24"/>
    </w:rPr>
  </w:style>
  <w:style w:type="paragraph" w:customStyle="1" w:styleId="277">
    <w:name w:val="CM45"/>
    <w:basedOn w:val="138"/>
    <w:next w:val="138"/>
    <w:qFormat/>
    <w:uiPriority w:val="99"/>
    <w:pPr>
      <w:spacing w:line="420" w:lineRule="atLeast"/>
    </w:pPr>
    <w:rPr>
      <w:rFonts w:cs="Times New Roman"/>
      <w:color w:val="auto"/>
    </w:rPr>
  </w:style>
  <w:style w:type="paragraph" w:customStyle="1" w:styleId="278">
    <w:name w:val="章、篇名"/>
    <w:basedOn w:val="1"/>
    <w:next w:val="1"/>
    <w:qFormat/>
    <w:uiPriority w:val="99"/>
    <w:pPr>
      <w:spacing w:line="560" w:lineRule="exact"/>
      <w:jc w:val="center"/>
    </w:pPr>
    <w:rPr>
      <w:rFonts w:eastAsia="文鼎大标宋简"/>
      <w:b/>
      <w:sz w:val="36"/>
      <w:szCs w:val="20"/>
    </w:rPr>
  </w:style>
  <w:style w:type="paragraph" w:customStyle="1" w:styleId="279">
    <w:name w:val="目录3"/>
    <w:basedOn w:val="1"/>
    <w:qFormat/>
    <w:uiPriority w:val="99"/>
    <w:pPr>
      <w:adjustRightInd w:val="0"/>
      <w:spacing w:line="420" w:lineRule="atLeast"/>
      <w:ind w:left="454" w:firstLine="425"/>
      <w:jc w:val="left"/>
      <w:textAlignment w:val="baseline"/>
    </w:pPr>
    <w:rPr>
      <w:kern w:val="0"/>
      <w:szCs w:val="20"/>
    </w:rPr>
  </w:style>
  <w:style w:type="paragraph" w:customStyle="1" w:styleId="280">
    <w:name w:val="CM11"/>
    <w:basedOn w:val="138"/>
    <w:next w:val="138"/>
    <w:qFormat/>
    <w:uiPriority w:val="99"/>
    <w:pPr>
      <w:spacing w:line="233" w:lineRule="atLeast"/>
    </w:pPr>
    <w:rPr>
      <w:rFonts w:hAnsi="Times New Roman"/>
      <w:color w:val="auto"/>
    </w:rPr>
  </w:style>
  <w:style w:type="paragraph" w:customStyle="1" w:styleId="281">
    <w:name w:val="投标人须知4"/>
    <w:basedOn w:val="1"/>
    <w:qFormat/>
    <w:uiPriority w:val="99"/>
    <w:pPr>
      <w:tabs>
        <w:tab w:val="left" w:pos="435"/>
      </w:tabs>
      <w:spacing w:line="300" w:lineRule="auto"/>
      <w:ind w:left="794" w:hanging="340"/>
      <w:jc w:val="left"/>
    </w:pPr>
  </w:style>
  <w:style w:type="paragraph" w:customStyle="1" w:styleId="282">
    <w:name w:val="表格名称1"/>
    <w:basedOn w:val="178"/>
    <w:link w:val="335"/>
    <w:qFormat/>
    <w:uiPriority w:val="99"/>
    <w:pPr>
      <w:spacing w:line="288" w:lineRule="auto"/>
      <w:outlineLvl w:val="9"/>
    </w:pPr>
    <w:rPr>
      <w:rFonts w:ascii="黑体" w:hAnsi="黑体" w:eastAsia="黑体"/>
      <w:b/>
      <w:spacing w:val="8"/>
      <w:kern w:val="24"/>
      <w:sz w:val="21"/>
      <w:szCs w:val="21"/>
    </w:rPr>
  </w:style>
  <w:style w:type="paragraph" w:customStyle="1" w:styleId="283">
    <w:name w:val="CM62"/>
    <w:basedOn w:val="138"/>
    <w:next w:val="138"/>
    <w:qFormat/>
    <w:uiPriority w:val="99"/>
    <w:pPr>
      <w:spacing w:line="340" w:lineRule="atLeast"/>
    </w:pPr>
    <w:rPr>
      <w:rFonts w:cs="Times New Roman"/>
      <w:color w:val="auto"/>
    </w:rPr>
  </w:style>
  <w:style w:type="paragraph" w:customStyle="1" w:styleId="284">
    <w:name w:val="_Style 24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5">
    <w:name w:val="CM73"/>
    <w:basedOn w:val="138"/>
    <w:next w:val="138"/>
    <w:qFormat/>
    <w:uiPriority w:val="99"/>
    <w:rPr>
      <w:rFonts w:cs="Times New Roman"/>
      <w:color w:val="auto"/>
    </w:rPr>
  </w:style>
  <w:style w:type="paragraph" w:customStyle="1" w:styleId="286">
    <w:name w:val="CM14"/>
    <w:basedOn w:val="1"/>
    <w:next w:val="1"/>
    <w:qFormat/>
    <w:uiPriority w:val="99"/>
    <w:pPr>
      <w:autoSpaceDE w:val="0"/>
      <w:autoSpaceDN w:val="0"/>
      <w:adjustRightInd w:val="0"/>
      <w:spacing w:line="400" w:lineRule="atLeast"/>
      <w:jc w:val="left"/>
    </w:pPr>
    <w:rPr>
      <w:rFonts w:ascii="黑体" w:eastAsia="黑体" w:cs="黑体"/>
      <w:kern w:val="0"/>
      <w:sz w:val="24"/>
    </w:rPr>
  </w:style>
  <w:style w:type="paragraph" w:customStyle="1" w:styleId="287">
    <w:name w:val="表格1"/>
    <w:basedOn w:val="1"/>
    <w:qFormat/>
    <w:uiPriority w:val="99"/>
    <w:pPr>
      <w:adjustRightInd w:val="0"/>
      <w:spacing w:line="420" w:lineRule="atLeast"/>
      <w:ind w:left="284"/>
      <w:textAlignment w:val="baseline"/>
    </w:pPr>
    <w:rPr>
      <w:kern w:val="0"/>
      <w:szCs w:val="20"/>
    </w:rPr>
  </w:style>
  <w:style w:type="paragraph" w:customStyle="1" w:styleId="288">
    <w:name w:val="投标人须知2"/>
    <w:basedOn w:val="1"/>
    <w:qFormat/>
    <w:uiPriority w:val="99"/>
    <w:pPr>
      <w:tabs>
        <w:tab w:val="left" w:pos="435"/>
      </w:tabs>
      <w:spacing w:line="300" w:lineRule="auto"/>
      <w:ind w:left="435" w:hanging="435"/>
      <w:jc w:val="left"/>
    </w:pPr>
    <w:rPr>
      <w:szCs w:val="21"/>
    </w:rPr>
  </w:style>
  <w:style w:type="paragraph" w:customStyle="1" w:styleId="289">
    <w:name w:val="2"/>
    <w:basedOn w:val="1"/>
    <w:qFormat/>
    <w:uiPriority w:val="99"/>
    <w:pPr>
      <w:adjustRightInd w:val="0"/>
      <w:spacing w:line="420" w:lineRule="atLeast"/>
      <w:ind w:left="1134" w:hanging="227"/>
      <w:textAlignment w:val="baseline"/>
    </w:pPr>
    <w:rPr>
      <w:kern w:val="0"/>
      <w:szCs w:val="20"/>
    </w:rPr>
  </w:style>
  <w:style w:type="paragraph" w:customStyle="1" w:styleId="290">
    <w:name w:val="CM40"/>
    <w:basedOn w:val="138"/>
    <w:next w:val="138"/>
    <w:qFormat/>
    <w:uiPriority w:val="99"/>
    <w:rPr>
      <w:rFonts w:cs="Times New Roman"/>
      <w:color w:val="auto"/>
    </w:rPr>
  </w:style>
  <w:style w:type="paragraph" w:customStyle="1" w:styleId="291">
    <w:name w:val="CM8"/>
    <w:basedOn w:val="138"/>
    <w:next w:val="138"/>
    <w:qFormat/>
    <w:uiPriority w:val="99"/>
    <w:rPr>
      <w:rFonts w:cs="Times New Roman"/>
      <w:color w:val="auto"/>
    </w:rPr>
  </w:style>
  <w:style w:type="paragraph" w:customStyle="1" w:styleId="292">
    <w:name w:val="Char1 Char Char1 Char Char Char Char Char Char Char Char Char Char"/>
    <w:basedOn w:val="1"/>
    <w:qFormat/>
    <w:uiPriority w:val="99"/>
    <w:pPr>
      <w:tabs>
        <w:tab w:val="left" w:pos="1455"/>
      </w:tabs>
      <w:ind w:left="1455" w:hanging="975"/>
    </w:pPr>
    <w:rPr>
      <w:sz w:val="24"/>
    </w:rPr>
  </w:style>
  <w:style w:type="paragraph" w:customStyle="1" w:styleId="293">
    <w:name w:val="Char Char Char Char Char Char1 Char Char Char Char"/>
    <w:basedOn w:val="1"/>
    <w:qFormat/>
    <w:uiPriority w:val="99"/>
    <w:rPr>
      <w:rFonts w:ascii="仿宋_GB2312" w:eastAsia="仿宋_GB2312"/>
      <w:b/>
      <w:sz w:val="32"/>
      <w:szCs w:val="32"/>
    </w:rPr>
  </w:style>
  <w:style w:type="paragraph" w:customStyle="1" w:styleId="294">
    <w:name w:val="CM78"/>
    <w:basedOn w:val="138"/>
    <w:next w:val="138"/>
    <w:qFormat/>
    <w:uiPriority w:val="99"/>
    <w:rPr>
      <w:rFonts w:cs="Times New Roman"/>
      <w:color w:val="auto"/>
    </w:rPr>
  </w:style>
  <w:style w:type="paragraph" w:customStyle="1" w:styleId="295">
    <w:name w:val="xl27"/>
    <w:basedOn w:val="1"/>
    <w:qFormat/>
    <w:uiPriority w:val="99"/>
    <w:pPr>
      <w:widowControl/>
      <w:spacing w:beforeAutospacing="1" w:afterAutospacing="1"/>
      <w:jc w:val="center"/>
      <w:textAlignment w:val="center"/>
    </w:pPr>
    <w:rPr>
      <w:rFonts w:ascii="Arial Unicode MS" w:hAnsi="Arial Unicode MS"/>
      <w:kern w:val="0"/>
      <w:sz w:val="24"/>
    </w:rPr>
  </w:style>
  <w:style w:type="paragraph" w:customStyle="1" w:styleId="296">
    <w:name w:val="CM6"/>
    <w:basedOn w:val="138"/>
    <w:next w:val="138"/>
    <w:qFormat/>
    <w:uiPriority w:val="99"/>
    <w:pPr>
      <w:spacing w:line="386" w:lineRule="atLeast"/>
    </w:pPr>
    <w:rPr>
      <w:rFonts w:cs="Times New Roman"/>
      <w:color w:val="auto"/>
    </w:rPr>
  </w:style>
  <w:style w:type="paragraph" w:customStyle="1" w:styleId="297">
    <w:name w:val="内正文加粗"/>
    <w:basedOn w:val="267"/>
    <w:qFormat/>
    <w:uiPriority w:val="99"/>
    <w:rPr>
      <w:b/>
    </w:rPr>
  </w:style>
  <w:style w:type="paragraph" w:customStyle="1" w:styleId="298">
    <w:name w:val="CM4"/>
    <w:basedOn w:val="138"/>
    <w:next w:val="138"/>
    <w:qFormat/>
    <w:uiPriority w:val="99"/>
    <w:pPr>
      <w:spacing w:line="386" w:lineRule="atLeast"/>
    </w:pPr>
    <w:rPr>
      <w:rFonts w:cs="Times New Roman"/>
      <w:color w:val="auto"/>
    </w:rPr>
  </w:style>
  <w:style w:type="paragraph" w:customStyle="1" w:styleId="299">
    <w:name w:val="表格3"/>
    <w:basedOn w:val="1"/>
    <w:qFormat/>
    <w:uiPriority w:val="99"/>
    <w:pPr>
      <w:adjustRightInd w:val="0"/>
      <w:spacing w:line="420" w:lineRule="atLeast"/>
      <w:textAlignment w:val="baseline"/>
    </w:pPr>
    <w:rPr>
      <w:rFonts w:eastAsia="楷体"/>
      <w:kern w:val="0"/>
      <w:szCs w:val="20"/>
    </w:rPr>
  </w:style>
  <w:style w:type="paragraph" w:customStyle="1" w:styleId="300">
    <w:name w:val="正文2"/>
    <w:basedOn w:val="1"/>
    <w:qFormat/>
    <w:uiPriority w:val="99"/>
    <w:pPr>
      <w:adjustRightInd w:val="0"/>
      <w:spacing w:line="420" w:lineRule="atLeast"/>
      <w:textAlignment w:val="baseline"/>
    </w:pPr>
    <w:rPr>
      <w:kern w:val="0"/>
      <w:szCs w:val="20"/>
    </w:rPr>
  </w:style>
  <w:style w:type="paragraph" w:customStyle="1" w:styleId="301">
    <w:name w:val="CM96"/>
    <w:basedOn w:val="138"/>
    <w:next w:val="138"/>
    <w:qFormat/>
    <w:uiPriority w:val="99"/>
    <w:rPr>
      <w:rFonts w:cs="Times New Roman"/>
      <w:color w:val="auto"/>
    </w:rPr>
  </w:style>
  <w:style w:type="paragraph" w:customStyle="1" w:styleId="302">
    <w:name w:val="CM56"/>
    <w:basedOn w:val="138"/>
    <w:next w:val="138"/>
    <w:qFormat/>
    <w:uiPriority w:val="99"/>
    <w:pPr>
      <w:spacing w:line="420" w:lineRule="atLeast"/>
    </w:pPr>
    <w:rPr>
      <w:rFonts w:ascii="宋体" w:hAnsi="Times New Roman" w:eastAsia="宋体" w:cs="宋体"/>
      <w:color w:val="auto"/>
    </w:rPr>
  </w:style>
  <w:style w:type="paragraph" w:customStyle="1" w:styleId="303">
    <w:name w:val="节标题"/>
    <w:basedOn w:val="1"/>
    <w:qFormat/>
    <w:uiPriority w:val="99"/>
    <w:pPr>
      <w:jc w:val="center"/>
    </w:pPr>
    <w:rPr>
      <w:rFonts w:eastAsia="文鼎CS长美黑"/>
      <w:w w:val="95"/>
      <w:sz w:val="32"/>
      <w:szCs w:val="20"/>
    </w:rPr>
  </w:style>
  <w:style w:type="paragraph" w:customStyle="1" w:styleId="304">
    <w:name w:val="正文未缩进"/>
    <w:basedOn w:val="1"/>
    <w:qFormat/>
    <w:uiPriority w:val="99"/>
    <w:rPr>
      <w:rFonts w:eastAsia="文鼎CS书宋二"/>
      <w:szCs w:val="20"/>
    </w:rPr>
  </w:style>
  <w:style w:type="paragraph" w:customStyle="1" w:styleId="305">
    <w:name w:val="第一卷-CCC"/>
    <w:basedOn w:val="134"/>
    <w:link w:val="351"/>
    <w:qFormat/>
    <w:uiPriority w:val="99"/>
    <w:pPr>
      <w:spacing w:beforeLines="50" w:afterLines="50"/>
      <w:ind w:firstLine="0" w:firstLineChars="0"/>
      <w:jc w:val="center"/>
    </w:pPr>
    <w:rPr>
      <w:rFonts w:ascii="创艺简老宋" w:eastAsia="创艺简老宋"/>
      <w:sz w:val="26"/>
      <w:szCs w:val="26"/>
    </w:rPr>
  </w:style>
  <w:style w:type="paragraph" w:customStyle="1" w:styleId="306">
    <w:name w:val="合同专用条款4"/>
    <w:basedOn w:val="1"/>
    <w:qFormat/>
    <w:uiPriority w:val="99"/>
    <w:pPr>
      <w:spacing w:line="300" w:lineRule="auto"/>
      <w:jc w:val="left"/>
    </w:pPr>
    <w:rPr>
      <w:rFonts w:ascii="黑体" w:hAnsi="黑体"/>
      <w:bCs/>
      <w:szCs w:val="30"/>
    </w:rPr>
  </w:style>
  <w:style w:type="paragraph" w:customStyle="1" w:styleId="307">
    <w:name w:val="投标人须知1"/>
    <w:basedOn w:val="1"/>
    <w:qFormat/>
    <w:uiPriority w:val="99"/>
    <w:pPr>
      <w:tabs>
        <w:tab w:val="left" w:pos="435"/>
      </w:tabs>
      <w:spacing w:line="480" w:lineRule="auto"/>
      <w:ind w:left="435" w:hanging="435"/>
      <w:jc w:val="left"/>
    </w:pPr>
    <w:rPr>
      <w:b/>
      <w:sz w:val="24"/>
    </w:rPr>
  </w:style>
  <w:style w:type="paragraph" w:customStyle="1" w:styleId="308">
    <w:name w:val="样式 纯文本普通文字 + (符号) 宋体 小四 左 行距: 固定值 28 磅"/>
    <w:basedOn w:val="39"/>
    <w:qFormat/>
    <w:uiPriority w:val="99"/>
    <w:pPr>
      <w:spacing w:line="360" w:lineRule="auto"/>
      <w:ind w:firstLine="200" w:firstLineChars="200"/>
      <w:jc w:val="left"/>
    </w:pPr>
    <w:rPr>
      <w:rFonts w:hAnsi="宋体" w:cs="宋体"/>
      <w:sz w:val="24"/>
      <w:szCs w:val="24"/>
    </w:rPr>
  </w:style>
  <w:style w:type="paragraph" w:customStyle="1" w:styleId="309">
    <w:name w:val="样式 标题 2 + Times New Roman 四号 非加粗 段前: 5 磅 段后: 0 磅 行距: 固定值 20..."/>
    <w:basedOn w:val="4"/>
    <w:qFormat/>
    <w:uiPriority w:val="99"/>
    <w:pPr>
      <w:keepLines/>
      <w:numPr>
        <w:numId w:val="0"/>
      </w:numPr>
      <w:jc w:val="both"/>
    </w:pPr>
    <w:rPr>
      <w:rFonts w:ascii="Times New Roman" w:cs="宋体"/>
      <w:color w:val="auto"/>
      <w:kern w:val="2"/>
    </w:rPr>
  </w:style>
  <w:style w:type="paragraph" w:customStyle="1" w:styleId="310">
    <w:name w:val="CM82"/>
    <w:basedOn w:val="138"/>
    <w:next w:val="138"/>
    <w:qFormat/>
    <w:uiPriority w:val="99"/>
    <w:rPr>
      <w:rFonts w:cs="Times New Roman"/>
      <w:color w:val="auto"/>
    </w:rPr>
  </w:style>
  <w:style w:type="paragraph" w:customStyle="1" w:styleId="311">
    <w:name w:val="表左2"/>
    <w:basedOn w:val="1"/>
    <w:qFormat/>
    <w:uiPriority w:val="99"/>
    <w:pPr>
      <w:adjustRightInd w:val="0"/>
      <w:spacing w:line="360" w:lineRule="atLeast"/>
      <w:ind w:left="227"/>
      <w:jc w:val="left"/>
      <w:textAlignment w:val="baseline"/>
    </w:pPr>
    <w:rPr>
      <w:kern w:val="0"/>
      <w:szCs w:val="20"/>
    </w:rPr>
  </w:style>
  <w:style w:type="paragraph" w:customStyle="1" w:styleId="312">
    <w:name w:val="CM63"/>
    <w:basedOn w:val="138"/>
    <w:next w:val="138"/>
    <w:qFormat/>
    <w:uiPriority w:val="99"/>
    <w:rPr>
      <w:rFonts w:hAnsi="Times New Roman"/>
      <w:color w:val="auto"/>
    </w:rPr>
  </w:style>
  <w:style w:type="character" w:customStyle="1" w:styleId="313">
    <w:name w:val="tpc_content1"/>
    <w:qFormat/>
    <w:uiPriority w:val="99"/>
    <w:rPr>
      <w:sz w:val="20"/>
    </w:rPr>
  </w:style>
  <w:style w:type="character" w:customStyle="1" w:styleId="314">
    <w:name w:val="Char Char7"/>
    <w:qFormat/>
    <w:uiPriority w:val="99"/>
    <w:rPr>
      <w:kern w:val="2"/>
      <w:sz w:val="18"/>
    </w:rPr>
  </w:style>
  <w:style w:type="character" w:customStyle="1" w:styleId="315">
    <w:name w:val="font161"/>
    <w:qFormat/>
    <w:uiPriority w:val="99"/>
    <w:rPr>
      <w:b/>
      <w:sz w:val="32"/>
    </w:rPr>
  </w:style>
  <w:style w:type="character" w:customStyle="1" w:styleId="316">
    <w:name w:val="附件1-2-3- Char Char"/>
    <w:link w:val="157"/>
    <w:qFormat/>
    <w:locked/>
    <w:uiPriority w:val="99"/>
    <w:rPr>
      <w:rFonts w:ascii="????_GBK" w:eastAsia="Times New Roman"/>
      <w:spacing w:val="4"/>
      <w:kern w:val="2"/>
      <w:sz w:val="24"/>
      <w:lang w:val="en-US" w:eastAsia="zh-CN"/>
    </w:rPr>
  </w:style>
  <w:style w:type="character" w:customStyle="1" w:styleId="317">
    <w:name w:val="附件须知--eeeee Char Char"/>
    <w:link w:val="200"/>
    <w:qFormat/>
    <w:locked/>
    <w:uiPriority w:val="99"/>
    <w:rPr>
      <w:rFonts w:ascii="方正黑体_GBK" w:eastAsia="方正黑体_GBK"/>
      <w:b/>
      <w:kern w:val="2"/>
      <w:sz w:val="32"/>
      <w:lang w:val="en-US" w:eastAsia="zh-CN"/>
    </w:rPr>
  </w:style>
  <w:style w:type="character" w:customStyle="1" w:styleId="318">
    <w:name w:val="p121"/>
    <w:qFormat/>
    <w:uiPriority w:val="99"/>
    <w:rPr>
      <w:rFonts w:ascii="_x000B__x000C_" w:hAnsi="_x000B__x000C_"/>
      <w:sz w:val="24"/>
    </w:rPr>
  </w:style>
  <w:style w:type="character" w:customStyle="1" w:styleId="319">
    <w:name w:val="正文aaaaa-- Char Char"/>
    <w:link w:val="134"/>
    <w:qFormat/>
    <w:locked/>
    <w:uiPriority w:val="99"/>
    <w:rPr>
      <w:rFonts w:ascii="方正宋三简体" w:eastAsia="方正宋三简体"/>
      <w:kern w:val="2"/>
      <w:sz w:val="24"/>
      <w:lang w:val="en-US" w:eastAsia="zh-CN"/>
    </w:rPr>
  </w:style>
  <w:style w:type="character" w:customStyle="1" w:styleId="320">
    <w:name w:val="Placeholder Text1"/>
    <w:qFormat/>
    <w:uiPriority w:val="99"/>
    <w:rPr>
      <w:color w:val="808080"/>
    </w:rPr>
  </w:style>
  <w:style w:type="character" w:customStyle="1" w:styleId="321">
    <w:name w:val="apple-style-span"/>
    <w:basedOn w:val="77"/>
    <w:qFormat/>
    <w:uiPriority w:val="99"/>
    <w:rPr>
      <w:rFonts w:cs="Times New Roman"/>
    </w:rPr>
  </w:style>
  <w:style w:type="character" w:customStyle="1" w:styleId="322">
    <w:name w:val="附件小标题gggggg Char Char"/>
    <w:link w:val="152"/>
    <w:qFormat/>
    <w:locked/>
    <w:uiPriority w:val="99"/>
    <w:rPr>
      <w:rFonts w:ascii="黑体" w:eastAsia="黑体"/>
      <w:b/>
      <w:spacing w:val="4"/>
      <w:kern w:val="2"/>
      <w:sz w:val="21"/>
      <w:lang w:val="en-US" w:eastAsia="zh-CN"/>
    </w:rPr>
  </w:style>
  <w:style w:type="character" w:customStyle="1" w:styleId="323">
    <w:name w:val="标题1-BBB Char Char"/>
    <w:link w:val="201"/>
    <w:qFormat/>
    <w:locked/>
    <w:uiPriority w:val="99"/>
    <w:rPr>
      <w:rFonts w:ascii="方正黑体_GBK" w:eastAsia="方正黑体_GBK"/>
      <w:b/>
      <w:kern w:val="2"/>
      <w:sz w:val="36"/>
      <w:lang w:val="en-US" w:eastAsia="zh-CN"/>
    </w:rPr>
  </w:style>
  <w:style w:type="character" w:customStyle="1" w:styleId="324">
    <w:name w:val="抄送单位 Char Char"/>
    <w:qFormat/>
    <w:uiPriority w:val="99"/>
    <w:rPr>
      <w:rFonts w:eastAsia="仿宋_GB2312"/>
      <w:spacing w:val="30"/>
      <w:sz w:val="32"/>
      <w:lang w:val="en-US" w:eastAsia="zh-CN"/>
    </w:rPr>
  </w:style>
  <w:style w:type="character" w:customStyle="1" w:styleId="325">
    <w:name w:val="Char Char10"/>
    <w:qFormat/>
    <w:uiPriority w:val="99"/>
    <w:rPr>
      <w:kern w:val="2"/>
      <w:sz w:val="18"/>
    </w:rPr>
  </w:style>
  <w:style w:type="character" w:customStyle="1" w:styleId="326">
    <w:name w:val="普通文字 Char1"/>
    <w:qFormat/>
    <w:uiPriority w:val="0"/>
    <w:rPr>
      <w:rFonts w:ascii="宋体" w:hAnsi="Courier New" w:eastAsia="宋体"/>
      <w:kern w:val="2"/>
      <w:sz w:val="21"/>
      <w:lang w:val="en-US" w:eastAsia="zh-CN"/>
    </w:rPr>
  </w:style>
  <w:style w:type="character" w:customStyle="1" w:styleId="327">
    <w:name w:val="Char Char Char"/>
    <w:qFormat/>
    <w:uiPriority w:val="99"/>
    <w:rPr>
      <w:rFonts w:eastAsia="宋体"/>
      <w:kern w:val="2"/>
      <w:sz w:val="24"/>
      <w:lang w:val="en-US" w:eastAsia="zh-CN"/>
    </w:rPr>
  </w:style>
  <w:style w:type="character" w:customStyle="1" w:styleId="328">
    <w:name w:val="汇报材料正文1.3 Char Char"/>
    <w:link w:val="151"/>
    <w:qFormat/>
    <w:locked/>
    <w:uiPriority w:val="99"/>
    <w:rPr>
      <w:rFonts w:ascii="宋体" w:hAnsi="宋体" w:eastAsia="宋体"/>
      <w:snapToGrid w:val="0"/>
      <w:color w:val="000000"/>
      <w:spacing w:val="16"/>
      <w:sz w:val="24"/>
      <w:lang w:val="en-US" w:eastAsia="zh-CN"/>
    </w:rPr>
  </w:style>
  <w:style w:type="character" w:customStyle="1" w:styleId="329">
    <w:name w:val="hover36"/>
    <w:basedOn w:val="77"/>
    <w:qFormat/>
    <w:uiPriority w:val="99"/>
    <w:rPr>
      <w:rFonts w:cs="Times New Roman"/>
    </w:rPr>
  </w:style>
  <w:style w:type="character" w:customStyle="1" w:styleId="330">
    <w:name w:val="hover37"/>
    <w:basedOn w:val="77"/>
    <w:qFormat/>
    <w:uiPriority w:val="99"/>
    <w:rPr>
      <w:rFonts w:cs="Times New Roman"/>
    </w:rPr>
  </w:style>
  <w:style w:type="character" w:customStyle="1" w:styleId="331">
    <w:name w:val="正文1.2标jjjjj Char Char"/>
    <w:link w:val="276"/>
    <w:qFormat/>
    <w:locked/>
    <w:uiPriority w:val="99"/>
    <w:rPr>
      <w:rFonts w:ascii="黑体" w:eastAsia="黑体"/>
      <w:b/>
      <w:spacing w:val="4"/>
      <w:kern w:val="2"/>
      <w:sz w:val="24"/>
      <w:lang w:val="en-US" w:eastAsia="zh-CN"/>
    </w:rPr>
  </w:style>
  <w:style w:type="character" w:customStyle="1" w:styleId="332">
    <w:name w:val="数字"/>
    <w:qFormat/>
    <w:uiPriority w:val="99"/>
    <w:rPr>
      <w:rFonts w:eastAsia="黑体"/>
      <w:b/>
      <w:sz w:val="21"/>
    </w:rPr>
  </w:style>
  <w:style w:type="character" w:customStyle="1" w:styleId="333">
    <w:name w:val="Char Char6"/>
    <w:qFormat/>
    <w:uiPriority w:val="99"/>
    <w:rPr>
      <w:rFonts w:ascii="宋体"/>
      <w:kern w:val="2"/>
      <w:sz w:val="16"/>
    </w:rPr>
  </w:style>
  <w:style w:type="character" w:customStyle="1" w:styleId="334">
    <w:name w:val="Char Char12"/>
    <w:qFormat/>
    <w:uiPriority w:val="99"/>
    <w:rPr>
      <w:rFonts w:eastAsia="宋体"/>
      <w:kern w:val="2"/>
      <w:sz w:val="24"/>
      <w:lang w:val="en-US" w:eastAsia="zh-CN"/>
    </w:rPr>
  </w:style>
  <w:style w:type="character" w:customStyle="1" w:styleId="335">
    <w:name w:val="表格名称1 Char Char"/>
    <w:link w:val="282"/>
    <w:qFormat/>
    <w:locked/>
    <w:uiPriority w:val="99"/>
    <w:rPr>
      <w:rFonts w:ascii="黑体" w:hAnsi="黑体" w:eastAsia="黑体"/>
      <w:b/>
      <w:spacing w:val="8"/>
      <w:kern w:val="24"/>
      <w:sz w:val="21"/>
    </w:rPr>
  </w:style>
  <w:style w:type="character" w:customStyle="1" w:styleId="336">
    <w:name w:val="Char Char3"/>
    <w:qFormat/>
    <w:uiPriority w:val="99"/>
    <w:rPr>
      <w:rFonts w:eastAsia="宋体"/>
      <w:kern w:val="2"/>
      <w:sz w:val="21"/>
      <w:lang w:val="en-US" w:eastAsia="zh-CN"/>
    </w:rPr>
  </w:style>
  <w:style w:type="character" w:customStyle="1" w:styleId="337">
    <w:name w:val="说明正文 Char Char"/>
    <w:link w:val="170"/>
    <w:qFormat/>
    <w:locked/>
    <w:uiPriority w:val="99"/>
    <w:rPr>
      <w:color w:val="000000"/>
      <w:spacing w:val="8"/>
      <w:kern w:val="24"/>
      <w:sz w:val="24"/>
    </w:rPr>
  </w:style>
  <w:style w:type="character" w:customStyle="1" w:styleId="338">
    <w:name w:val="标准正文 Char Char"/>
    <w:link w:val="273"/>
    <w:qFormat/>
    <w:locked/>
    <w:uiPriority w:val="99"/>
    <w:rPr>
      <w:rFonts w:ascii="Arial" w:hAnsi="Arial" w:eastAsia="宋体"/>
      <w:snapToGrid w:val="0"/>
      <w:color w:val="000000"/>
      <w:kern w:val="2"/>
      <w:sz w:val="24"/>
      <w:lang w:val="en-US" w:eastAsia="zh-CN"/>
    </w:rPr>
  </w:style>
  <w:style w:type="character" w:customStyle="1" w:styleId="339">
    <w:name w:val="Char Char1"/>
    <w:qFormat/>
    <w:uiPriority w:val="99"/>
    <w:rPr>
      <w:rFonts w:eastAsia="宋体"/>
      <w:kern w:val="2"/>
      <w:sz w:val="18"/>
      <w:lang w:val="en-US" w:eastAsia="zh-CN"/>
    </w:rPr>
  </w:style>
  <w:style w:type="character" w:customStyle="1" w:styleId="340">
    <w:name w:val="附件正文ffff Char Char"/>
    <w:link w:val="186"/>
    <w:qFormat/>
    <w:locked/>
    <w:uiPriority w:val="99"/>
    <w:rPr>
      <w:rFonts w:ascii="方正宋三简体" w:eastAsia="方正宋三简体"/>
      <w:spacing w:val="4"/>
      <w:kern w:val="2"/>
      <w:sz w:val="21"/>
      <w:lang w:val="en-US" w:eastAsia="zh-CN"/>
    </w:rPr>
  </w:style>
  <w:style w:type="character" w:customStyle="1" w:styleId="341">
    <w:name w:val="正文文本 Char Char"/>
    <w:qFormat/>
    <w:uiPriority w:val="99"/>
    <w:rPr>
      <w:kern w:val="2"/>
      <w:sz w:val="24"/>
    </w:rPr>
  </w:style>
  <w:style w:type="character" w:customStyle="1" w:styleId="342">
    <w:name w:val="标题 Char1"/>
    <w:qFormat/>
    <w:uiPriority w:val="99"/>
    <w:rPr>
      <w:rFonts w:ascii="Cambria" w:hAnsi="Cambria" w:eastAsia="宋体"/>
      <w:b/>
      <w:sz w:val="32"/>
    </w:rPr>
  </w:style>
  <w:style w:type="character" w:customStyle="1" w:styleId="343">
    <w:name w:val="正文首行缩进 Char Char"/>
    <w:qFormat/>
    <w:uiPriority w:val="99"/>
    <w:rPr>
      <w:rFonts w:ascii="宋体" w:eastAsia="宋体"/>
      <w:kern w:val="2"/>
      <w:sz w:val="34"/>
      <w:lang w:val="en-US" w:eastAsia="zh-CN"/>
    </w:rPr>
  </w:style>
  <w:style w:type="character" w:customStyle="1" w:styleId="344">
    <w:name w:val="普通文字 Char Char Char"/>
    <w:qFormat/>
    <w:uiPriority w:val="99"/>
    <w:rPr>
      <w:rFonts w:ascii="宋体" w:hAnsi="Courier New"/>
      <w:kern w:val="2"/>
      <w:sz w:val="21"/>
    </w:rPr>
  </w:style>
  <w:style w:type="character" w:customStyle="1" w:styleId="345">
    <w:name w:val="(C+F2) Char Char"/>
    <w:qFormat/>
    <w:uiPriority w:val="99"/>
    <w:rPr>
      <w:rFonts w:ascii="Arial" w:hAnsi="Arial" w:eastAsia="黑体"/>
      <w:b/>
      <w:sz w:val="32"/>
    </w:rPr>
  </w:style>
  <w:style w:type="character" w:customStyle="1" w:styleId="346">
    <w:name w:val="资审正文 Char Char"/>
    <w:link w:val="235"/>
    <w:qFormat/>
    <w:locked/>
    <w:uiPriority w:val="99"/>
    <w:rPr>
      <w:rFonts w:ascii="华文细黑" w:eastAsia="华文细黑"/>
      <w:kern w:val="2"/>
      <w:sz w:val="26"/>
    </w:rPr>
  </w:style>
  <w:style w:type="character" w:customStyle="1" w:styleId="347">
    <w:name w:val="附件1-HHH Char Char"/>
    <w:link w:val="224"/>
    <w:qFormat/>
    <w:locked/>
    <w:uiPriority w:val="99"/>
    <w:rPr>
      <w:rFonts w:ascii="方正粗倩简体" w:eastAsia="方正粗倩简体"/>
      <w:b/>
      <w:spacing w:val="4"/>
      <w:kern w:val="2"/>
      <w:sz w:val="21"/>
      <w:lang w:val="en-US" w:eastAsia="zh-CN"/>
    </w:rPr>
  </w:style>
  <w:style w:type="character" w:customStyle="1" w:styleId="348">
    <w:name w:val="标题3 Char Char"/>
    <w:link w:val="169"/>
    <w:qFormat/>
    <w:locked/>
    <w:uiPriority w:val="99"/>
    <w:rPr>
      <w:rFonts w:ascii="黑体" w:hAnsi="黑体" w:eastAsia="黑体"/>
      <w:color w:val="000000"/>
      <w:spacing w:val="8"/>
      <w:kern w:val="44"/>
      <w:sz w:val="24"/>
    </w:rPr>
  </w:style>
  <w:style w:type="character" w:customStyle="1" w:styleId="349">
    <w:name w:val="正文1标---IIIII Char Char"/>
    <w:link w:val="220"/>
    <w:qFormat/>
    <w:locked/>
    <w:uiPriority w:val="99"/>
    <w:rPr>
      <w:rFonts w:ascii="????_GBK" w:eastAsia="Times New Roman"/>
      <w:b/>
      <w:spacing w:val="4"/>
      <w:kern w:val="2"/>
      <w:sz w:val="26"/>
      <w:lang w:val="en-US" w:eastAsia="zh-CN"/>
    </w:rPr>
  </w:style>
  <w:style w:type="character" w:customStyle="1" w:styleId="350">
    <w:name w:val="尾注文本 Char1"/>
    <w:qFormat/>
    <w:uiPriority w:val="99"/>
    <w:rPr>
      <w:rFonts w:ascii="Times New Roman" w:hAnsi="Times New Roman" w:eastAsia="宋体"/>
      <w:sz w:val="24"/>
    </w:rPr>
  </w:style>
  <w:style w:type="character" w:customStyle="1" w:styleId="351">
    <w:name w:val="第一卷-CCC Char Char"/>
    <w:link w:val="305"/>
    <w:qFormat/>
    <w:locked/>
    <w:uiPriority w:val="99"/>
    <w:rPr>
      <w:rFonts w:ascii="创艺简老宋" w:eastAsia="创艺简老宋"/>
      <w:kern w:val="2"/>
      <w:sz w:val="26"/>
      <w:lang w:val="en-US" w:eastAsia="zh-CN"/>
    </w:rPr>
  </w:style>
  <w:style w:type="character" w:customStyle="1" w:styleId="352">
    <w:name w:val="Char Char13"/>
    <w:qFormat/>
    <w:uiPriority w:val="99"/>
    <w:rPr>
      <w:rFonts w:ascii="宋体"/>
      <w:sz w:val="18"/>
    </w:rPr>
  </w:style>
  <w:style w:type="paragraph" w:customStyle="1" w:styleId="353">
    <w:name w:val="p0"/>
    <w:basedOn w:val="1"/>
    <w:qFormat/>
    <w:uiPriority w:val="0"/>
    <w:pPr>
      <w:widowControl/>
    </w:pPr>
    <w:rPr>
      <w:kern w:val="0"/>
      <w:szCs w:val="21"/>
    </w:rPr>
  </w:style>
  <w:style w:type="paragraph" w:customStyle="1" w:styleId="354">
    <w:name w:val="列出段落1"/>
    <w:basedOn w:val="1"/>
    <w:qFormat/>
    <w:uiPriority w:val="99"/>
    <w:pPr>
      <w:ind w:firstLine="420" w:firstLineChars="200"/>
    </w:pPr>
  </w:style>
  <w:style w:type="paragraph" w:customStyle="1" w:styleId="355">
    <w:name w:val="列出段落11"/>
    <w:basedOn w:val="1"/>
    <w:qFormat/>
    <w:uiPriority w:val="0"/>
    <w:pPr>
      <w:ind w:firstLine="420" w:firstLineChars="200"/>
    </w:pPr>
    <w:rPr>
      <w:rFonts w:ascii="Calibri" w:hAnsi="Calibri"/>
      <w:szCs w:val="22"/>
    </w:rPr>
  </w:style>
  <w:style w:type="paragraph" w:customStyle="1" w:styleId="35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57">
    <w:name w:val="17"/>
    <w:basedOn w:val="77"/>
    <w:qFormat/>
    <w:uiPriority w:val="0"/>
    <w:rPr>
      <w:rFonts w:hint="default" w:ascii="Calibri" w:hAnsi="Calibri" w:cs="Calibri"/>
      <w:vertAlign w:val="superscript"/>
    </w:rPr>
  </w:style>
  <w:style w:type="character" w:customStyle="1" w:styleId="358">
    <w:name w:val="16"/>
    <w:basedOn w:val="77"/>
    <w:qFormat/>
    <w:uiPriority w:val="0"/>
    <w:rPr>
      <w:rFonts w:hint="default" w:ascii="Arial" w:hAnsi="Arial" w:eastAsia="宋体" w:cs="Arial"/>
      <w:b/>
      <w:sz w:val="32"/>
      <w:szCs w:val="32"/>
    </w:rPr>
  </w:style>
  <w:style w:type="character" w:customStyle="1" w:styleId="359">
    <w:name w:val="15"/>
    <w:basedOn w:val="77"/>
    <w:qFormat/>
    <w:uiPriority w:val="0"/>
    <w:rPr>
      <w:rFonts w:hint="eastAsia" w:ascii="MingLiU" w:hAnsi="MingLiU" w:eastAsia="MingLiU" w:cs="MingLiU"/>
      <w:spacing w:val="0"/>
      <w:sz w:val="20"/>
      <w:szCs w:val="20"/>
    </w:rPr>
  </w:style>
  <w:style w:type="paragraph" w:customStyle="1" w:styleId="360">
    <w:name w:val="正文3"/>
    <w:qFormat/>
    <w:uiPriority w:val="0"/>
    <w:pPr>
      <w:widowControl w:val="0"/>
      <w:adjustRightInd w:val="0"/>
      <w:spacing w:line="312" w:lineRule="atLeast"/>
      <w:jc w:val="both"/>
    </w:pPr>
    <w:rPr>
      <w:rFonts w:ascii="宋体" w:hAnsi="MingLiU_HKSCS" w:eastAsia="MingLiU_HKSCS" w:cs="Times New Roman"/>
      <w:sz w:val="34"/>
      <w:lang w:val="en-US" w:eastAsia="zh-CN" w:bidi="ar-SA"/>
    </w:rPr>
  </w:style>
  <w:style w:type="paragraph" w:customStyle="1" w:styleId="3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62">
    <w:name w:val="样式 标题 2 +"/>
    <w:basedOn w:val="4"/>
    <w:qFormat/>
    <w:uiPriority w:val="0"/>
    <w:pPr>
      <w:numPr>
        <w:ilvl w:val="0"/>
        <w:numId w:val="13"/>
      </w:numPr>
      <w:tabs>
        <w:tab w:val="left" w:pos="567"/>
      </w:tabs>
    </w:pPr>
  </w:style>
  <w:style w:type="paragraph" w:customStyle="1" w:styleId="363">
    <w:name w:val="zhang"/>
    <w:basedOn w:val="1"/>
    <w:qFormat/>
    <w:uiPriority w:val="0"/>
    <w:pPr>
      <w:spacing w:beforeAutospacing="1" w:afterAutospacing="1"/>
    </w:pPr>
    <w:rPr>
      <w:b/>
      <w:bCs/>
      <w:smallCaps/>
      <w:color w:val="000000"/>
      <w:sz w:val="20"/>
      <w:szCs w:val="20"/>
    </w:rPr>
  </w:style>
  <w:style w:type="paragraph" w:customStyle="1" w:styleId="364">
    <w:name w:val="_Style 7"/>
    <w:basedOn w:val="3"/>
    <w:next w:val="1"/>
    <w:qFormat/>
    <w:uiPriority w:val="0"/>
    <w:pPr>
      <w:spacing w:line="576" w:lineRule="auto"/>
      <w:outlineLvl w:val="9"/>
    </w:pPr>
    <w:rPr>
      <w:rFonts w:ascii="Calibri" w:hAnsi="Calibri"/>
    </w:rPr>
  </w:style>
  <w:style w:type="paragraph" w:customStyle="1" w:styleId="365">
    <w:name w:val="WPSOffice手动目录 1"/>
    <w:qFormat/>
    <w:uiPriority w:val="0"/>
    <w:rPr>
      <w:rFonts w:ascii="Times New Roman" w:hAnsi="Times New Roman" w:eastAsia="宋体" w:cs="Times New Roman"/>
      <w:lang w:val="en-US" w:eastAsia="zh-CN" w:bidi="ar-SA"/>
    </w:rPr>
  </w:style>
  <w:style w:type="paragraph" w:customStyle="1" w:styleId="366">
    <w:name w:val="公文正文"/>
    <w:basedOn w:val="1"/>
    <w:qFormat/>
    <w:uiPriority w:val="0"/>
    <w:pPr>
      <w:spacing w:line="360" w:lineRule="auto"/>
      <w:ind w:firstLine="629"/>
    </w:pPr>
    <w:rPr>
      <w:rFonts w:hint="eastAsia" w:ascii="仿宋_GB2312" w:hAnsi="Calisto MT" w:eastAsia="仿宋_GB2312"/>
      <w:color w:val="000000"/>
      <w:kern w:val="0"/>
      <w:sz w:val="32"/>
      <w:szCs w:val="20"/>
    </w:rPr>
  </w:style>
  <w:style w:type="paragraph" w:customStyle="1" w:styleId="367">
    <w:name w:val="xl24"/>
    <w:basedOn w:val="1"/>
    <w:qFormat/>
    <w:uiPriority w:val="0"/>
    <w:pPr>
      <w:spacing w:before="100" w:after="100" w:line="240" w:lineRule="auto"/>
      <w:jc w:val="center"/>
      <w:textAlignment w:val="center"/>
    </w:pPr>
    <w:rPr>
      <w:rFonts w:ascii="宋体" w:hAnsi="宋体" w:eastAsia="宋体"/>
      <w:color w:val="auto"/>
      <w:kern w:val="0"/>
      <w:sz w:val="24"/>
      <w:szCs w:val="20"/>
    </w:rPr>
  </w:style>
  <w:style w:type="paragraph" w:customStyle="1" w:styleId="368">
    <w:name w:val="列出段落2"/>
    <w:basedOn w:val="1"/>
    <w:qFormat/>
    <w:uiPriority w:val="0"/>
    <w:pPr>
      <w:autoSpaceDE/>
      <w:autoSpaceDN/>
      <w:ind w:firstLine="420" w:firstLineChars="200"/>
      <w:jc w:val="both"/>
    </w:pPr>
    <w:rPr>
      <w:rFonts w:ascii="Times New Roman" w:hAnsi="Times New Roman" w:eastAsia="宋体" w:cs="Times New Roman"/>
      <w:kern w:val="2"/>
      <w:sz w:val="21"/>
      <w:szCs w:val="24"/>
      <w:lang w:val="en-US" w:bidi="ar-SA"/>
    </w:rPr>
  </w:style>
  <w:style w:type="paragraph" w:customStyle="1" w:styleId="36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101"/>
    <customShpInfo spid="_x0000_s411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40283</Words>
  <Characters>42556</Characters>
  <Lines>328</Lines>
  <Paragraphs>92</Paragraphs>
  <TotalTime>154</TotalTime>
  <ScaleCrop>false</ScaleCrop>
  <LinksUpToDate>false</LinksUpToDate>
  <CharactersWithSpaces>45552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2019-03-25T01:43:00Z</dcterms:created>
  <dc:creator>Administrator</dc:creator>
  <cp:lastModifiedBy>MisL</cp:lastModifiedBy>
  <cp:lastPrinted>2023-04-27T08:42:25Z</cp:lastPrinted>
  <dcterms:modified xsi:type="dcterms:W3CDTF">2023-04-27T08:50:41Z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857CE709D0EA463485EF5C3D496C4CF8</vt:lpwstr>
  </property>
</Properties>
</file>