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BB780" w14:textId="77777777" w:rsidR="00674568" w:rsidRPr="00DC2E32" w:rsidRDefault="00674568" w:rsidP="00674568">
      <w:pPr>
        <w:widowControl w:val="0"/>
        <w:tabs>
          <w:tab w:val="left" w:pos="3189"/>
        </w:tabs>
        <w:wordWrap w:val="0"/>
        <w:topLinePunct/>
        <w:adjustRightInd w:val="0"/>
        <w:snapToGrid w:val="0"/>
        <w:spacing w:before="100" w:after="100" w:line="400" w:lineRule="atLeast"/>
        <w:jc w:val="left"/>
        <w:rPr>
          <w:rFonts w:ascii="方正新书宋简体" w:eastAsia="方正新书宋简体" w:hAnsi="方正新书宋简体" w:cstheme="majorHAnsi"/>
          <w:b/>
          <w:bCs/>
          <w:color w:val="000000" w:themeColor="text1"/>
          <w:sz w:val="28"/>
          <w:szCs w:val="28"/>
        </w:rPr>
      </w:pPr>
      <w:bookmarkStart w:id="0" w:name="_Toc451919880"/>
      <w:bookmarkStart w:id="1" w:name="_Hlk132361093"/>
      <w:bookmarkStart w:id="2" w:name="_Hlk120198764"/>
      <w:r w:rsidRPr="00DC2E32">
        <w:rPr>
          <w:rFonts w:ascii="方正新书宋简体" w:eastAsia="方正新书宋简体" w:hAnsi="方正新书宋简体" w:cstheme="majorHAnsi" w:hint="eastAsia"/>
          <w:b/>
          <w:bCs/>
          <w:color w:val="000000" w:themeColor="text1"/>
          <w:sz w:val="28"/>
          <w:szCs w:val="28"/>
        </w:rPr>
        <w:t>评标办法前附表</w:t>
      </w:r>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right w:w="113" w:type="dxa"/>
        </w:tblCellMar>
        <w:tblLook w:val="04A0" w:firstRow="1" w:lastRow="0" w:firstColumn="1" w:lastColumn="0" w:noHBand="0" w:noVBand="1"/>
      </w:tblPr>
      <w:tblGrid>
        <w:gridCol w:w="714"/>
        <w:gridCol w:w="706"/>
        <w:gridCol w:w="8222"/>
      </w:tblGrid>
      <w:tr w:rsidR="00674568" w:rsidRPr="00DC2E32" w14:paraId="6B5E701D" w14:textId="77777777" w:rsidTr="00A939DD">
        <w:trPr>
          <w:trHeight w:val="510"/>
          <w:tblHeader/>
          <w:jc w:val="center"/>
        </w:trPr>
        <w:tc>
          <w:tcPr>
            <w:tcW w:w="1420" w:type="dxa"/>
            <w:gridSpan w:val="2"/>
            <w:vAlign w:val="center"/>
          </w:tcPr>
          <w:p w14:paraId="46CBA788" w14:textId="77777777" w:rsidR="00674568" w:rsidRPr="00DC2E32" w:rsidRDefault="00674568" w:rsidP="00A939DD">
            <w:pPr>
              <w:pStyle w:val="TableParagraph"/>
              <w:wordWrap w:val="0"/>
              <w:topLinePunct/>
              <w:adjustRightInd w:val="0"/>
              <w:snapToGrid w:val="0"/>
              <w:spacing w:before="40" w:after="40" w:line="320" w:lineRule="atLeast"/>
              <w:jc w:val="center"/>
              <w:rPr>
                <w:rFonts w:ascii="方正新书宋简体" w:eastAsia="方正新书宋简体" w:hAnsi="方正新书宋简体" w:cstheme="majorHAnsi"/>
                <w:b/>
                <w:color w:val="000000" w:themeColor="text1"/>
              </w:rPr>
            </w:pPr>
            <w:r w:rsidRPr="00DC2E32">
              <w:rPr>
                <w:rFonts w:ascii="方正新书宋简体" w:eastAsia="方正新书宋简体" w:hAnsi="方正新书宋简体" w:cstheme="majorHAnsi" w:hint="eastAsia"/>
                <w:b/>
                <w:color w:val="000000" w:themeColor="text1"/>
              </w:rPr>
              <w:t>条款号</w:t>
            </w:r>
          </w:p>
        </w:tc>
        <w:tc>
          <w:tcPr>
            <w:tcW w:w="8222" w:type="dxa"/>
            <w:vAlign w:val="center"/>
          </w:tcPr>
          <w:p w14:paraId="0DE6D3F7" w14:textId="77777777" w:rsidR="00674568" w:rsidRPr="00DC2E32" w:rsidRDefault="00674568" w:rsidP="00A939DD">
            <w:pPr>
              <w:pStyle w:val="TableParagraph"/>
              <w:wordWrap w:val="0"/>
              <w:topLinePunct/>
              <w:adjustRightInd w:val="0"/>
              <w:snapToGrid w:val="0"/>
              <w:spacing w:before="40" w:after="40" w:line="320" w:lineRule="atLeast"/>
              <w:jc w:val="center"/>
              <w:rPr>
                <w:rFonts w:ascii="方正新书宋简体" w:eastAsia="方正新书宋简体" w:hAnsi="方正新书宋简体" w:cstheme="majorHAnsi"/>
                <w:b/>
                <w:color w:val="000000" w:themeColor="text1"/>
              </w:rPr>
            </w:pPr>
            <w:r w:rsidRPr="00DC2E32">
              <w:rPr>
                <w:rFonts w:ascii="方正新书宋简体" w:eastAsia="方正新书宋简体" w:hAnsi="方正新书宋简体" w:cstheme="majorHAnsi" w:hint="eastAsia"/>
                <w:b/>
                <w:color w:val="000000" w:themeColor="text1"/>
              </w:rPr>
              <w:t>评审因素与标准</w:t>
            </w:r>
          </w:p>
        </w:tc>
      </w:tr>
      <w:tr w:rsidR="00674568" w:rsidRPr="00DC2E32" w14:paraId="791D0597" w14:textId="77777777" w:rsidTr="00A939DD">
        <w:trPr>
          <w:trHeight w:val="20"/>
          <w:jc w:val="center"/>
        </w:trPr>
        <w:tc>
          <w:tcPr>
            <w:tcW w:w="714" w:type="dxa"/>
            <w:vAlign w:val="center"/>
          </w:tcPr>
          <w:p w14:paraId="20FFEA05" w14:textId="77777777" w:rsidR="00674568" w:rsidRPr="00DC2E32" w:rsidRDefault="00674568" w:rsidP="00A939DD">
            <w:pPr>
              <w:pStyle w:val="TableParagraph"/>
              <w:wordWrap w:val="0"/>
              <w:topLinePunct/>
              <w:adjustRightInd w:val="0"/>
              <w:snapToGrid w:val="0"/>
              <w:spacing w:before="40" w:after="40" w:line="320" w:lineRule="atLeast"/>
              <w:jc w:val="center"/>
              <w:rPr>
                <w:rFonts w:ascii="方正新书宋简体" w:eastAsia="方正新书宋简体" w:hAnsi="方正新书宋简体" w:cstheme="majorHAnsi"/>
                <w:color w:val="000000" w:themeColor="text1"/>
                <w:sz w:val="22"/>
              </w:rPr>
            </w:pPr>
            <w:r w:rsidRPr="00DC2E32">
              <w:rPr>
                <w:rFonts w:ascii="方正新书宋简体" w:eastAsia="方正新书宋简体" w:hAnsi="方正新书宋简体" w:cstheme="majorHAnsi" w:hint="eastAsia"/>
                <w:color w:val="000000" w:themeColor="text1"/>
                <w:sz w:val="22"/>
              </w:rPr>
              <w:t>1</w:t>
            </w:r>
          </w:p>
        </w:tc>
        <w:tc>
          <w:tcPr>
            <w:tcW w:w="706" w:type="dxa"/>
            <w:vAlign w:val="center"/>
          </w:tcPr>
          <w:p w14:paraId="14C1816F" w14:textId="77777777" w:rsidR="00674568" w:rsidRPr="00DC2E32" w:rsidRDefault="00674568" w:rsidP="00A939DD">
            <w:pPr>
              <w:pStyle w:val="TableParagraph"/>
              <w:wordWrap w:val="0"/>
              <w:topLinePunct/>
              <w:adjustRightInd w:val="0"/>
              <w:snapToGrid w:val="0"/>
              <w:spacing w:before="40" w:after="40" w:line="32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评标方法</w:t>
            </w:r>
          </w:p>
        </w:tc>
        <w:tc>
          <w:tcPr>
            <w:tcW w:w="8222" w:type="dxa"/>
            <w:vAlign w:val="center"/>
          </w:tcPr>
          <w:p w14:paraId="5E8F3AF7" w14:textId="77777777" w:rsidR="00674568" w:rsidRPr="00DC2E32" w:rsidRDefault="00674568" w:rsidP="00A939DD">
            <w:pPr>
              <w:widowControl w:val="0"/>
              <w:wordWrap w:val="0"/>
              <w:topLinePunct/>
              <w:adjustRightInd w:val="0"/>
              <w:snapToGrid w:val="0"/>
              <w:spacing w:before="40" w:after="40" w:line="32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评标价相等时，评标委员会依次按照以下优先顺序推荐中标候选人或确定中标人：</w:t>
            </w:r>
          </w:p>
          <w:p w14:paraId="37D6060C"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（1）按招标文件规定被认定为最新年度广东省公路工程从业单位信用评价等级较高的投标人优先；</w:t>
            </w:r>
          </w:p>
          <w:p w14:paraId="28B2DEEA"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【采用如下的优先顺序：承诺使用的AA级投标人、不承诺使用的AA级投标人、承诺使用的A级投标人、不承诺使用的A级投标人、B级投标人、未参评且被确定为B级投标人】</w:t>
            </w:r>
          </w:p>
          <w:p w14:paraId="711E87B4"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（2）以投标人企业最新年度净资产较高的优先；</w:t>
            </w:r>
          </w:p>
          <w:p w14:paraId="3B48F648" w14:textId="77777777" w:rsidR="00674568" w:rsidRPr="00DC2E32" w:rsidRDefault="00674568" w:rsidP="00A939DD">
            <w:pPr>
              <w:pStyle w:val="TableParagraph"/>
              <w:tabs>
                <w:tab w:val="left" w:pos="1091"/>
              </w:tabs>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rPr>
              <w:t>（3）评标委员会视投标人情况综合比较，投票确定其名次。</w:t>
            </w:r>
          </w:p>
        </w:tc>
      </w:tr>
      <w:tr w:rsidR="00674568" w:rsidRPr="00DC2E32" w14:paraId="59358151" w14:textId="77777777" w:rsidTr="00A939DD">
        <w:trPr>
          <w:trHeight w:val="20"/>
          <w:jc w:val="center"/>
        </w:trPr>
        <w:tc>
          <w:tcPr>
            <w:tcW w:w="714" w:type="dxa"/>
            <w:vAlign w:val="center"/>
          </w:tcPr>
          <w:p w14:paraId="696C5F19" w14:textId="77777777" w:rsidR="00674568" w:rsidRPr="00DC2E32" w:rsidRDefault="00674568" w:rsidP="00A939DD">
            <w:pPr>
              <w:pStyle w:val="TableParagraph"/>
              <w:wordWrap w:val="0"/>
              <w:topLinePunct/>
              <w:adjustRightInd w:val="0"/>
              <w:snapToGrid w:val="0"/>
              <w:spacing w:before="40" w:after="40" w:line="32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2.1.1</w:t>
            </w:r>
          </w:p>
          <w:p w14:paraId="7D893BFD" w14:textId="77777777" w:rsidR="00674568" w:rsidRPr="00DC2E32" w:rsidRDefault="00674568" w:rsidP="00A939DD">
            <w:pPr>
              <w:pStyle w:val="TableParagraph"/>
              <w:wordWrap w:val="0"/>
              <w:topLinePunct/>
              <w:adjustRightInd w:val="0"/>
              <w:snapToGrid w:val="0"/>
              <w:spacing w:before="40" w:after="40" w:line="32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2.1.3</w:t>
            </w:r>
          </w:p>
        </w:tc>
        <w:tc>
          <w:tcPr>
            <w:tcW w:w="706" w:type="dxa"/>
            <w:vAlign w:val="center"/>
          </w:tcPr>
          <w:p w14:paraId="14CF470F" w14:textId="77777777" w:rsidR="00674568" w:rsidRPr="00DC2E32" w:rsidRDefault="00674568" w:rsidP="00A939DD">
            <w:pPr>
              <w:pStyle w:val="TableParagraph"/>
              <w:wordWrap w:val="0"/>
              <w:topLinePunct/>
              <w:adjustRightInd w:val="0"/>
              <w:snapToGrid w:val="0"/>
              <w:spacing w:before="40" w:after="40" w:line="32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形式评审与响应性评审标准</w:t>
            </w:r>
          </w:p>
        </w:tc>
        <w:tc>
          <w:tcPr>
            <w:tcW w:w="8222" w:type="dxa"/>
          </w:tcPr>
          <w:p w14:paraId="6EE5BE86" w14:textId="77777777" w:rsidR="00674568" w:rsidRPr="00DC2E32" w:rsidRDefault="00674568" w:rsidP="00A939DD">
            <w:pPr>
              <w:widowControl w:val="0"/>
              <w:wordWrap w:val="0"/>
              <w:topLinePunct/>
              <w:adjustRightInd w:val="0"/>
              <w:snapToGrid w:val="0"/>
              <w:spacing w:before="40" w:after="40" w:line="320" w:lineRule="atLeast"/>
              <w:rPr>
                <w:rFonts w:ascii="方正新书宋简体" w:eastAsia="方正新书宋简体" w:hAnsi="方正新书宋简体" w:cstheme="majorHAnsi"/>
                <w:b/>
                <w:color w:val="000000" w:themeColor="text1"/>
                <w:szCs w:val="21"/>
              </w:rPr>
            </w:pPr>
            <w:r w:rsidRPr="00DC2E32">
              <w:rPr>
                <w:rFonts w:ascii="方正新书宋简体" w:eastAsia="方正新书宋简体" w:hAnsi="方正新书宋简体" w:cstheme="majorHAnsi" w:hint="eastAsia"/>
                <w:b/>
                <w:color w:val="000000" w:themeColor="text1"/>
                <w:szCs w:val="21"/>
              </w:rPr>
              <w:t>第一个信封（商务及技术文件）评审标准：</w:t>
            </w:r>
          </w:p>
          <w:p w14:paraId="7ECAFDBB"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（1）投标文件按照招标文件规定的格式、内容填写，字迹清晰可辨：</w:t>
            </w:r>
          </w:p>
          <w:p w14:paraId="4C74F43B"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a.投标函按招标文件规定填报了项目名称、补遗书编号（如有）、工期、工程质量要求及安全目标；</w:t>
            </w:r>
          </w:p>
          <w:p w14:paraId="3DCA5AAB"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b.投标函附录的所有数据均符合招标文件规定；</w:t>
            </w:r>
          </w:p>
          <w:p w14:paraId="170526CB"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c.投标文件组成齐全完整，内容均按规定填写。</w:t>
            </w:r>
          </w:p>
          <w:p w14:paraId="3BADF6F7"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（2）投标文件上法定代表人或其委托代理人的签字、投标人的单位章盖章齐全，符合招标文件规定。</w:t>
            </w:r>
          </w:p>
          <w:p w14:paraId="1BE82492"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（3）投标人按照招标文件的规定提供了投标保证金：</w:t>
            </w:r>
          </w:p>
          <w:p w14:paraId="33CFA96A"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a.投标保证金金额符合招标文件规定的金额，且投标保证金有效期不少于投标有效期；</w:t>
            </w:r>
          </w:p>
          <w:p w14:paraId="40A32013"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b.若投标保证金采用现金或支票形式提交，投标人应在投标人须知3.4.1款规定的时间，将投标保证金由投标人的基本账户转入招标人指定账户；</w:t>
            </w:r>
          </w:p>
          <w:p w14:paraId="4D124734"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c.若投标保证金采用银行保函或投标人须知前附表3.4.1项规定的其他形式提交，应满足招标文件要求。</w:t>
            </w:r>
          </w:p>
          <w:p w14:paraId="5142689C"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（4）投标人法定代表人授权委托代理人签署投标文件的，需提交授权委托书，且授权人和被授权人均在授权委托书上签名，未使用印章、签名章或其他电子制版签名代替。</w:t>
            </w:r>
          </w:p>
          <w:p w14:paraId="7BB416E3"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（5）投标人法定代表人亲自签署投标文件的，提供了法定代表人身份证明，且法定代表人在法定代表人身份证明上签名，未使用印章、签名章或其他电子制版签名代替。</w:t>
            </w:r>
          </w:p>
          <w:p w14:paraId="46DF0A16"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（6）投标人未以联合体形式投标。</w:t>
            </w:r>
          </w:p>
          <w:p w14:paraId="7592BF23"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（7）投标人如有分包计划，符合招标文件第二章“投标人须知”第1.11款规定，且按招标文件第九章“</w:t>
            </w:r>
            <w:r w:rsidRPr="00DC2E32">
              <w:rPr>
                <w:rFonts w:ascii="方正新书宋简体" w:eastAsia="方正新书宋简体" w:hAnsi="方正新书宋简体" w:cstheme="majorHAnsi" w:hint="eastAsia"/>
                <w:color w:val="000000" w:themeColor="text1"/>
              </w:rPr>
              <w:t>投标文件格式</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rPr>
              <w:t>的要求填写了</w:t>
            </w:r>
            <w:r w:rsidRPr="00DC2E32">
              <w:rPr>
                <w:rFonts w:ascii="方正新书宋简体" w:eastAsia="方正新书宋简体" w:hAnsi="方正新书宋简体" w:cstheme="majorHAnsi" w:hint="eastAsia"/>
                <w:color w:val="000000" w:themeColor="text1"/>
                <w:szCs w:val="21"/>
              </w:rPr>
              <w:t>“</w:t>
            </w:r>
            <w:r w:rsidRPr="00DC2E32">
              <w:rPr>
                <w:rFonts w:ascii="方正新书宋简体" w:eastAsia="方正新书宋简体" w:hAnsi="方正新书宋简体" w:cstheme="majorHAnsi" w:hint="eastAsia"/>
                <w:color w:val="000000" w:themeColor="text1"/>
              </w:rPr>
              <w:t>拟分包项目情况表</w:t>
            </w:r>
            <w:r w:rsidRPr="00DC2E32">
              <w:rPr>
                <w:rFonts w:ascii="方正新书宋简体" w:eastAsia="方正新书宋简体" w:hAnsi="方正新书宋简体" w:cstheme="majorHAnsi" w:hint="eastAsia"/>
                <w:color w:val="000000" w:themeColor="text1"/>
                <w:szCs w:val="21"/>
              </w:rPr>
              <w:t>”。</w:t>
            </w:r>
          </w:p>
          <w:p w14:paraId="19BB970E"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（8）同一投标人未提交两个或以上不同的投标文件，但招标文件要求提交备选投标的除外。</w:t>
            </w:r>
          </w:p>
          <w:p w14:paraId="4C9EB8F2"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（9）投标文件中未出现有关投标报价的内容。</w:t>
            </w:r>
          </w:p>
          <w:p w14:paraId="0029F2FC"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（10）投标文件载明的招标项目完成期限未超过招标文件规定的时限。</w:t>
            </w:r>
          </w:p>
          <w:p w14:paraId="645B6391"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（11）投标文件对招标文件的实质性要求和条件作出响应。</w:t>
            </w:r>
          </w:p>
          <w:p w14:paraId="2107B075"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（12）权利义务符合招标文件规定：</w:t>
            </w:r>
          </w:p>
          <w:p w14:paraId="3F094741"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a.投标人应接受招标文件规定的风险划分原则，未提出新的风险划分办法；</w:t>
            </w:r>
          </w:p>
          <w:p w14:paraId="61FF5EC7"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b.投标人未增加发包人的责任范围，或减少投标人义务；</w:t>
            </w:r>
          </w:p>
          <w:p w14:paraId="1CE3F427"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lastRenderedPageBreak/>
              <w:t>c.投标人未提出不同的工程验收、计量、支付办法；</w:t>
            </w:r>
          </w:p>
          <w:p w14:paraId="701A394F"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d.投标人对合同纠纷、事故处理办法未提出异议；</w:t>
            </w:r>
          </w:p>
          <w:p w14:paraId="39156DEE"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e.投标人在投标活动中无欺诈行为；</w:t>
            </w:r>
          </w:p>
          <w:p w14:paraId="06272266"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f.投标人未对合同条款有重要保留。</w:t>
            </w:r>
          </w:p>
          <w:p w14:paraId="265F5BDA"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（13）投标文件正、副本份数符合招标文件第二章“投标人须知”第3.7.4项规定。</w:t>
            </w:r>
          </w:p>
          <w:p w14:paraId="335387E6"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（14）投标文件未附有招标人不能接受的条件。</w:t>
            </w:r>
          </w:p>
          <w:p w14:paraId="269143E5" w14:textId="77777777" w:rsidR="00674568" w:rsidRPr="00DC2E32" w:rsidRDefault="00674568" w:rsidP="00A939DD">
            <w:pPr>
              <w:widowControl w:val="0"/>
              <w:wordWrap w:val="0"/>
              <w:topLinePunct/>
              <w:adjustRightInd w:val="0"/>
              <w:snapToGrid w:val="0"/>
              <w:spacing w:before="40" w:after="40" w:line="320" w:lineRule="atLeast"/>
              <w:rPr>
                <w:rFonts w:ascii="方正新书宋简体" w:eastAsia="方正新书宋简体" w:hAnsi="方正新书宋简体" w:cstheme="majorHAnsi"/>
                <w:b/>
                <w:color w:val="000000" w:themeColor="text1"/>
                <w:szCs w:val="21"/>
              </w:rPr>
            </w:pPr>
            <w:r w:rsidRPr="00DC2E32">
              <w:rPr>
                <w:rFonts w:ascii="方正新书宋简体" w:eastAsia="方正新书宋简体" w:hAnsi="方正新书宋简体" w:cstheme="majorHAnsi" w:hint="eastAsia"/>
                <w:b/>
                <w:color w:val="000000" w:themeColor="text1"/>
                <w:szCs w:val="21"/>
              </w:rPr>
              <w:t>第二个信封（报价文件）评审标准：</w:t>
            </w:r>
          </w:p>
          <w:p w14:paraId="2DE66AA7"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（1）投标文件按照招标文件规定的格式、内容填写，字迹清晰可辨：</w:t>
            </w:r>
          </w:p>
          <w:p w14:paraId="7B9666ED"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a.投标函按招标文件规定填报了项目名称、补遗书编号（如有）、投标总报价（包括大写金额和小写金额）；</w:t>
            </w:r>
          </w:p>
          <w:p w14:paraId="53F77F44"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b.已标价工程量清单说明文字与招标文件规定一致，未进行实质性修改和删减；</w:t>
            </w:r>
          </w:p>
          <w:p w14:paraId="58DA4691"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c.投标文件组成齐全完整，内容均按规定填写。</w:t>
            </w:r>
          </w:p>
          <w:p w14:paraId="48D213F9"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（2）投标文件上法定代表人或其委托代理人的签字、投标人的单位章盖章齐全，符合招标文件规定。</w:t>
            </w:r>
          </w:p>
          <w:p w14:paraId="3E55157E"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（3）投标报价中的报价未超过招标文件设定的最高投标限价（如有)及最高评标限价（如有）。</w:t>
            </w:r>
          </w:p>
          <w:p w14:paraId="61265B0A"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（4）投标总报价中报价的大写金额能够确定具体数值。</w:t>
            </w:r>
          </w:p>
          <w:p w14:paraId="177F676D"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（5）同一投标人未提交两个或以上不同的投标报价，但招标文件要求提交备选投标的除外。</w:t>
            </w:r>
          </w:p>
          <w:p w14:paraId="0DAF7D71"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（6）投标人未提交调价函。</w:t>
            </w:r>
          </w:p>
          <w:p w14:paraId="206C1E69"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（7）投标人若填写工程量固化清单，填写完毕的工程量固化清单未对工程量固化清单电子文件中的数据、格式和运算定义进行修改；工程量固化清单中的投标总报价和投标函大写金额报价一致。</w:t>
            </w:r>
          </w:p>
          <w:p w14:paraId="6ED76B1F"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 w:val="19"/>
              </w:rPr>
            </w:pPr>
            <w:r w:rsidRPr="00DC2E32">
              <w:rPr>
                <w:rFonts w:ascii="方正新书宋简体" w:eastAsia="方正新书宋简体" w:hAnsi="方正新书宋简体" w:cstheme="majorHAnsi" w:hint="eastAsia"/>
                <w:color w:val="000000" w:themeColor="text1"/>
                <w:szCs w:val="21"/>
              </w:rPr>
              <w:t>（8）投标文件正、副本份数符合招标文件第二章“投标人须知”第3.7.4项规定。</w:t>
            </w:r>
          </w:p>
        </w:tc>
      </w:tr>
      <w:tr w:rsidR="00674568" w:rsidRPr="00DC2E32" w14:paraId="3F714BE5" w14:textId="77777777" w:rsidTr="00A939DD">
        <w:trPr>
          <w:trHeight w:val="20"/>
          <w:jc w:val="center"/>
        </w:trPr>
        <w:tc>
          <w:tcPr>
            <w:tcW w:w="714" w:type="dxa"/>
            <w:vAlign w:val="center"/>
          </w:tcPr>
          <w:p w14:paraId="74AEE068" w14:textId="77777777" w:rsidR="00674568" w:rsidRPr="00DC2E32" w:rsidRDefault="00674568" w:rsidP="00A939DD">
            <w:pPr>
              <w:pStyle w:val="TableParagraph"/>
              <w:wordWrap w:val="0"/>
              <w:topLinePunct/>
              <w:adjustRightInd w:val="0"/>
              <w:snapToGrid w:val="0"/>
              <w:spacing w:before="40" w:after="40" w:line="32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rPr>
              <w:lastRenderedPageBreak/>
              <w:t>2.1.2</w:t>
            </w:r>
          </w:p>
        </w:tc>
        <w:tc>
          <w:tcPr>
            <w:tcW w:w="706" w:type="dxa"/>
            <w:vAlign w:val="center"/>
          </w:tcPr>
          <w:p w14:paraId="73E3E9C4" w14:textId="77777777" w:rsidR="00674568" w:rsidRPr="00DC2E32" w:rsidRDefault="00674568" w:rsidP="00A939DD">
            <w:pPr>
              <w:pStyle w:val="TableParagraph"/>
              <w:wordWrap w:val="0"/>
              <w:topLinePunct/>
              <w:adjustRightInd w:val="0"/>
              <w:snapToGrid w:val="0"/>
              <w:spacing w:before="40" w:after="40" w:line="32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rPr>
              <w:t>资格评审标准</w:t>
            </w:r>
          </w:p>
        </w:tc>
        <w:tc>
          <w:tcPr>
            <w:tcW w:w="8222" w:type="dxa"/>
          </w:tcPr>
          <w:p w14:paraId="098C0B4D"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投标人具备有效的营业执照、资质证书、安全生产许可证和基本账户开户许可证（如企业所在地已取消企业银行账户许可而无法提供开户许可证的，则需附上开户银行出具的“基本存款账户信息”或“人民银行账户管理系统查询的基本账户信息截图”）；</w:t>
            </w:r>
          </w:p>
          <w:p w14:paraId="5C9A4FA1"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（2）投标人的资质等级符合招标文件规定；</w:t>
            </w:r>
          </w:p>
          <w:p w14:paraId="26EDB858"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（3）投标人的财务状况符合招标文件规定；</w:t>
            </w:r>
          </w:p>
          <w:p w14:paraId="08C5CE2E"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（4）投标人的类似项目业绩符合招标文件规定；</w:t>
            </w:r>
          </w:p>
          <w:p w14:paraId="278375C2"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（5）投标人的信誉符合招标文件规定；</w:t>
            </w:r>
          </w:p>
          <w:p w14:paraId="79494C0B"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（6）投标人的项目经理和项目总工资格、在岗情况符合招标文件规定；</w:t>
            </w:r>
          </w:p>
          <w:p w14:paraId="0BF74786"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（7）投标人不存在第二章“投标人须知”第1.4.3项或第1.4.4项规定的任何一种情形；</w:t>
            </w:r>
          </w:p>
          <w:p w14:paraId="287F872B" w14:textId="77777777" w:rsidR="00674568" w:rsidRPr="00DC2E32" w:rsidRDefault="00674568" w:rsidP="00A939DD">
            <w:pPr>
              <w:widowControl w:val="0"/>
              <w:wordWrap w:val="0"/>
              <w:topLinePunct/>
              <w:adjustRightInd w:val="0"/>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（8）投标人符合第二章“投标人须知”第1.4.5项规定。</w:t>
            </w:r>
          </w:p>
        </w:tc>
      </w:tr>
    </w:tbl>
    <w:p w14:paraId="787970C5" w14:textId="77777777" w:rsidR="00674568" w:rsidRPr="00DC2E32" w:rsidRDefault="00674568" w:rsidP="00674568">
      <w:pPr>
        <w:wordWrap w:val="0"/>
        <w:topLinePunct/>
        <w:snapToGrid w:val="0"/>
        <w:spacing w:line="264" w:lineRule="auto"/>
        <w:rPr>
          <w:rFonts w:ascii="方正新书宋简体" w:eastAsia="方正新书宋简体" w:hAnsi="方正新书宋简体" w:cstheme="majorHAnsi"/>
          <w:color w:val="000000" w:themeColor="text1"/>
        </w:rPr>
      </w:pPr>
    </w:p>
    <w:p w14:paraId="65E83AF0" w14:textId="77777777" w:rsidR="00674568" w:rsidRPr="00DC2E32" w:rsidRDefault="00674568" w:rsidP="00674568">
      <w:pPr>
        <w:wordWrap w:val="0"/>
        <w:topLinePunct/>
        <w:snapToGrid w:val="0"/>
        <w:spacing w:line="264" w:lineRule="auto"/>
        <w:rPr>
          <w:rFonts w:ascii="方正新书宋简体" w:eastAsia="方正新书宋简体" w:hAnsi="方正新书宋简体" w:cstheme="majorHAnsi"/>
          <w:color w:val="000000" w:themeColor="text1"/>
        </w:rPr>
        <w:sectPr w:rsidR="00674568" w:rsidRPr="00DC2E32" w:rsidSect="003C6513">
          <w:pgSz w:w="11906" w:h="16838" w:code="9"/>
          <w:pgMar w:top="1134" w:right="1134" w:bottom="1134" w:left="1134" w:header="851" w:footer="851" w:gutter="0"/>
          <w:cols w:space="425"/>
          <w:docGrid w:type="linesAndChars" w:linePitch="312"/>
        </w:sect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138"/>
        <w:gridCol w:w="2406"/>
        <w:gridCol w:w="6090"/>
      </w:tblGrid>
      <w:tr w:rsidR="00674568" w:rsidRPr="00DC2E32" w14:paraId="1D048411" w14:textId="77777777" w:rsidTr="00A939DD">
        <w:trPr>
          <w:trHeight w:val="510"/>
          <w:jc w:val="center"/>
        </w:trPr>
        <w:tc>
          <w:tcPr>
            <w:tcW w:w="1138" w:type="dxa"/>
            <w:vAlign w:val="center"/>
          </w:tcPr>
          <w:p w14:paraId="1929EF51" w14:textId="77777777" w:rsidR="00674568" w:rsidRPr="00DC2E32" w:rsidRDefault="00674568" w:rsidP="00A939DD">
            <w:pPr>
              <w:pStyle w:val="TableParagraph"/>
              <w:topLinePunct/>
              <w:snapToGrid w:val="0"/>
              <w:spacing w:before="40" w:after="40" w:line="320" w:lineRule="atLeast"/>
              <w:jc w:val="center"/>
              <w:rPr>
                <w:rFonts w:ascii="方正新书宋简体" w:eastAsia="方正新书宋简体" w:hAnsi="方正新书宋简体" w:cstheme="majorHAnsi"/>
                <w:b/>
                <w:color w:val="000000" w:themeColor="text1"/>
              </w:rPr>
            </w:pPr>
            <w:r w:rsidRPr="00DC2E32">
              <w:rPr>
                <w:rFonts w:ascii="方正新书宋简体" w:eastAsia="方正新书宋简体" w:hAnsi="方正新书宋简体" w:cstheme="majorHAnsi" w:hint="eastAsia"/>
                <w:b/>
                <w:color w:val="000000" w:themeColor="text1"/>
              </w:rPr>
              <w:lastRenderedPageBreak/>
              <w:t>条款号</w:t>
            </w:r>
          </w:p>
        </w:tc>
        <w:tc>
          <w:tcPr>
            <w:tcW w:w="2406" w:type="dxa"/>
            <w:vAlign w:val="center"/>
          </w:tcPr>
          <w:p w14:paraId="78CEC001" w14:textId="77777777" w:rsidR="00674568" w:rsidRPr="00DC2E32" w:rsidRDefault="00674568" w:rsidP="00A939DD">
            <w:pPr>
              <w:pStyle w:val="TableParagraph"/>
              <w:topLinePunct/>
              <w:snapToGrid w:val="0"/>
              <w:spacing w:before="40" w:after="40" w:line="320" w:lineRule="atLeast"/>
              <w:jc w:val="center"/>
              <w:rPr>
                <w:rFonts w:ascii="方正新书宋简体" w:eastAsia="方正新书宋简体" w:hAnsi="方正新书宋简体" w:cstheme="majorHAnsi"/>
                <w:b/>
                <w:color w:val="000000" w:themeColor="text1"/>
              </w:rPr>
            </w:pPr>
            <w:r w:rsidRPr="00DC2E32">
              <w:rPr>
                <w:rFonts w:ascii="方正新书宋简体" w:eastAsia="方正新书宋简体" w:hAnsi="方正新书宋简体" w:cstheme="majorHAnsi" w:hint="eastAsia"/>
                <w:b/>
                <w:color w:val="000000" w:themeColor="text1"/>
              </w:rPr>
              <w:t>条款内容</w:t>
            </w:r>
          </w:p>
        </w:tc>
        <w:tc>
          <w:tcPr>
            <w:tcW w:w="6090" w:type="dxa"/>
            <w:vAlign w:val="center"/>
          </w:tcPr>
          <w:p w14:paraId="2EA8CE71" w14:textId="77777777" w:rsidR="00674568" w:rsidRPr="00DC2E32" w:rsidRDefault="00674568" w:rsidP="00A939DD">
            <w:pPr>
              <w:pStyle w:val="TableParagraph"/>
              <w:topLinePunct/>
              <w:snapToGrid w:val="0"/>
              <w:spacing w:before="40" w:after="40" w:line="320" w:lineRule="atLeast"/>
              <w:jc w:val="center"/>
              <w:rPr>
                <w:rFonts w:ascii="方正新书宋简体" w:eastAsia="方正新书宋简体" w:hAnsi="方正新书宋简体" w:cstheme="majorHAnsi"/>
                <w:b/>
                <w:color w:val="000000" w:themeColor="text1"/>
              </w:rPr>
            </w:pPr>
            <w:r w:rsidRPr="00DC2E32">
              <w:rPr>
                <w:rFonts w:ascii="方正新书宋简体" w:eastAsia="方正新书宋简体" w:hAnsi="方正新书宋简体" w:cstheme="majorHAnsi" w:hint="eastAsia"/>
                <w:b/>
                <w:color w:val="000000" w:themeColor="text1"/>
              </w:rPr>
              <w:t>编列内容</w:t>
            </w:r>
          </w:p>
        </w:tc>
      </w:tr>
      <w:tr w:rsidR="00674568" w:rsidRPr="00DC2E32" w14:paraId="5B5DB631" w14:textId="77777777" w:rsidTr="00A939DD">
        <w:trPr>
          <w:trHeight w:val="1134"/>
          <w:jc w:val="center"/>
        </w:trPr>
        <w:tc>
          <w:tcPr>
            <w:tcW w:w="1138" w:type="dxa"/>
            <w:vAlign w:val="center"/>
          </w:tcPr>
          <w:p w14:paraId="514B50CC" w14:textId="77777777" w:rsidR="00674568" w:rsidRPr="00DC2E32" w:rsidRDefault="00674568" w:rsidP="00A939DD">
            <w:pPr>
              <w:pStyle w:val="TableParagraph"/>
              <w:topLinePunct/>
              <w:snapToGrid w:val="0"/>
              <w:spacing w:before="100" w:after="100" w:line="4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rPr>
              <w:t>2.2.1</w:t>
            </w:r>
          </w:p>
        </w:tc>
        <w:tc>
          <w:tcPr>
            <w:tcW w:w="2406" w:type="dxa"/>
            <w:vAlign w:val="center"/>
          </w:tcPr>
          <w:p w14:paraId="51678D08" w14:textId="77777777" w:rsidR="00674568" w:rsidRPr="00DC2E32" w:rsidRDefault="00674568" w:rsidP="00A939DD">
            <w:pPr>
              <w:pStyle w:val="TableParagraph"/>
              <w:topLinePunct/>
              <w:snapToGrid w:val="0"/>
              <w:spacing w:before="100" w:after="100" w:line="4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rPr>
              <w:t>第一个信封评分分值构成（总分100分）</w:t>
            </w:r>
          </w:p>
        </w:tc>
        <w:tc>
          <w:tcPr>
            <w:tcW w:w="6090" w:type="dxa"/>
            <w:vAlign w:val="center"/>
          </w:tcPr>
          <w:p w14:paraId="0C9A4D77" w14:textId="77777777" w:rsidR="00674568" w:rsidRPr="00DC2E32" w:rsidRDefault="00674568" w:rsidP="00A939DD">
            <w:pPr>
              <w:pStyle w:val="TableParagraph"/>
              <w:topLinePunct/>
              <w:snapToGrid w:val="0"/>
              <w:spacing w:before="100" w:after="100"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施工组织设计（A）：</w:t>
            </w:r>
            <w:r w:rsidRPr="00DC2E32">
              <w:rPr>
                <w:rFonts w:ascii="方正新书宋简体" w:eastAsia="方正新书宋简体" w:hAnsi="方正新书宋简体" w:cstheme="majorHAnsi" w:hint="eastAsia"/>
                <w:color w:val="000000" w:themeColor="text1"/>
                <w:u w:val="single"/>
              </w:rPr>
              <w:t>35</w:t>
            </w:r>
            <w:r w:rsidRPr="00DC2E32">
              <w:rPr>
                <w:rFonts w:ascii="方正新书宋简体" w:eastAsia="方正新书宋简体" w:hAnsi="方正新书宋简体" w:cstheme="majorHAnsi" w:hint="eastAsia"/>
                <w:color w:val="000000" w:themeColor="text1"/>
              </w:rPr>
              <w:t>分</w:t>
            </w:r>
          </w:p>
          <w:p w14:paraId="169A94BE" w14:textId="77777777" w:rsidR="00674568" w:rsidRPr="00DC2E32" w:rsidRDefault="00674568" w:rsidP="00A939DD">
            <w:pPr>
              <w:pStyle w:val="TableParagraph"/>
              <w:topLinePunct/>
              <w:snapToGrid w:val="0"/>
              <w:spacing w:before="100" w:after="100"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主要人员（B）：</w:t>
            </w:r>
            <w:r w:rsidRPr="00DC2E32">
              <w:rPr>
                <w:rFonts w:ascii="方正新书宋简体" w:eastAsia="方正新书宋简体" w:hAnsi="方正新书宋简体" w:cstheme="majorHAnsi" w:hint="eastAsia"/>
                <w:color w:val="000000" w:themeColor="text1"/>
                <w:u w:val="single"/>
              </w:rPr>
              <w:t>30</w:t>
            </w:r>
            <w:r w:rsidRPr="00DC2E32">
              <w:rPr>
                <w:rFonts w:ascii="方正新书宋简体" w:eastAsia="方正新书宋简体" w:hAnsi="方正新书宋简体" w:cstheme="majorHAnsi" w:hint="eastAsia"/>
                <w:color w:val="000000" w:themeColor="text1"/>
              </w:rPr>
              <w:t>分</w:t>
            </w:r>
          </w:p>
          <w:p w14:paraId="4348ED94" w14:textId="77777777" w:rsidR="00674568" w:rsidRPr="00DC2E32" w:rsidRDefault="00674568" w:rsidP="00A939DD">
            <w:pPr>
              <w:pStyle w:val="TableParagraph"/>
              <w:topLinePunct/>
              <w:snapToGrid w:val="0"/>
              <w:spacing w:before="100" w:after="100"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其他因素（C）</w:t>
            </w:r>
          </w:p>
          <w:p w14:paraId="5FCF1537" w14:textId="77777777" w:rsidR="00674568" w:rsidRPr="00DC2E32" w:rsidRDefault="00674568" w:rsidP="00A939DD">
            <w:pPr>
              <w:pStyle w:val="TableParagraph"/>
              <w:topLinePunct/>
              <w:snapToGrid w:val="0"/>
              <w:spacing w:before="100" w:after="100"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技术能力：</w:t>
            </w:r>
            <w:r w:rsidRPr="00DC2E32">
              <w:rPr>
                <w:rFonts w:ascii="方正新书宋简体" w:eastAsia="方正新书宋简体" w:hAnsi="方正新书宋简体" w:cstheme="majorHAnsi" w:hint="eastAsia"/>
                <w:color w:val="000000" w:themeColor="text1"/>
                <w:u w:val="single"/>
              </w:rPr>
              <w:t>20</w:t>
            </w:r>
            <w:r w:rsidRPr="00DC2E32">
              <w:rPr>
                <w:rFonts w:ascii="方正新书宋简体" w:eastAsia="方正新书宋简体" w:hAnsi="方正新书宋简体" w:cstheme="majorHAnsi" w:hint="eastAsia"/>
                <w:color w:val="000000" w:themeColor="text1"/>
              </w:rPr>
              <w:t>分；</w:t>
            </w:r>
          </w:p>
          <w:p w14:paraId="266DBFA4" w14:textId="77777777" w:rsidR="00674568" w:rsidRPr="00DC2E32" w:rsidRDefault="00674568" w:rsidP="00A939DD">
            <w:pPr>
              <w:pStyle w:val="TableParagraph"/>
              <w:topLinePunct/>
              <w:snapToGrid w:val="0"/>
              <w:spacing w:before="100" w:after="100"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履约信誉：</w:t>
            </w:r>
            <w:r w:rsidRPr="00DC2E32">
              <w:rPr>
                <w:rFonts w:ascii="方正新书宋简体" w:eastAsia="方正新书宋简体" w:hAnsi="方正新书宋简体" w:cstheme="majorHAnsi" w:hint="eastAsia"/>
                <w:color w:val="000000" w:themeColor="text1"/>
                <w:u w:val="single"/>
              </w:rPr>
              <w:t>15</w:t>
            </w:r>
            <w:r w:rsidRPr="00DC2E32">
              <w:rPr>
                <w:rFonts w:ascii="方正新书宋简体" w:eastAsia="方正新书宋简体" w:hAnsi="方正新书宋简体" w:cstheme="majorHAnsi" w:hint="eastAsia"/>
                <w:color w:val="000000" w:themeColor="text1"/>
              </w:rPr>
              <w:t>分</w:t>
            </w:r>
          </w:p>
        </w:tc>
      </w:tr>
      <w:tr w:rsidR="00674568" w:rsidRPr="00DC2E32" w14:paraId="0504E01A" w14:textId="77777777" w:rsidTr="00A939DD">
        <w:trPr>
          <w:trHeight w:val="1134"/>
          <w:jc w:val="center"/>
        </w:trPr>
        <w:tc>
          <w:tcPr>
            <w:tcW w:w="1138" w:type="dxa"/>
            <w:vAlign w:val="center"/>
          </w:tcPr>
          <w:p w14:paraId="352357CF" w14:textId="77777777" w:rsidR="00674568" w:rsidRPr="00DC2E32" w:rsidRDefault="00674568" w:rsidP="00A939DD">
            <w:pPr>
              <w:pStyle w:val="TableParagraph"/>
              <w:topLinePunct/>
              <w:snapToGrid w:val="0"/>
              <w:spacing w:before="100" w:after="100" w:line="4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rPr>
              <w:t>2.2.3</w:t>
            </w:r>
          </w:p>
        </w:tc>
        <w:tc>
          <w:tcPr>
            <w:tcW w:w="2406" w:type="dxa"/>
            <w:vAlign w:val="center"/>
          </w:tcPr>
          <w:p w14:paraId="27EC6A28" w14:textId="77777777" w:rsidR="00674568" w:rsidRPr="00DC2E32" w:rsidRDefault="00674568" w:rsidP="00A939DD">
            <w:pPr>
              <w:pStyle w:val="TableParagraph"/>
              <w:topLinePunct/>
              <w:snapToGrid w:val="0"/>
              <w:spacing w:before="100" w:after="100" w:line="4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rPr>
              <w:t>第二个信封详细评审标准</w:t>
            </w:r>
          </w:p>
        </w:tc>
        <w:tc>
          <w:tcPr>
            <w:tcW w:w="6090" w:type="dxa"/>
            <w:vAlign w:val="center"/>
          </w:tcPr>
          <w:p w14:paraId="33B13EB9" w14:textId="77777777" w:rsidR="00674568" w:rsidRPr="00DC2E32" w:rsidRDefault="00674568" w:rsidP="00A939DD">
            <w:pPr>
              <w:pStyle w:val="TableParagraph"/>
              <w:topLinePunct/>
              <w:adjustRightInd w:val="0"/>
              <w:snapToGrid w:val="0"/>
              <w:spacing w:before="100" w:after="100"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评标价的评审：</w:t>
            </w:r>
          </w:p>
          <w:p w14:paraId="31C00FE8" w14:textId="77777777" w:rsidR="00674568" w:rsidRPr="00DC2E32" w:rsidRDefault="00674568" w:rsidP="00A939DD">
            <w:pPr>
              <w:pStyle w:val="TableParagraph"/>
              <w:topLinePunct/>
              <w:adjustRightInd w:val="0"/>
              <w:snapToGrid w:val="0"/>
              <w:spacing w:before="100" w:after="100"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（1）评标价计算公式：</w:t>
            </w:r>
          </w:p>
          <w:p w14:paraId="302F02CF" w14:textId="77777777" w:rsidR="00674568" w:rsidRPr="00DC2E32" w:rsidRDefault="00674568" w:rsidP="00A939DD">
            <w:pPr>
              <w:pStyle w:val="TableParagraph"/>
              <w:topLinePunct/>
              <w:adjustRightInd w:val="0"/>
              <w:snapToGrid w:val="0"/>
              <w:spacing w:before="100" w:after="100"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经评审的投标价（评标价）=投标函文字报价一暂估价一暂列金额（不含计日工总额）。</w:t>
            </w:r>
          </w:p>
          <w:p w14:paraId="168B9CA3" w14:textId="77777777" w:rsidR="00674568" w:rsidRPr="00DC2E32" w:rsidRDefault="00674568" w:rsidP="00A939DD">
            <w:pPr>
              <w:pStyle w:val="TableParagraph"/>
              <w:topLinePunct/>
              <w:snapToGrid w:val="0"/>
              <w:spacing w:before="100" w:after="100"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若投标人的评标价小于最高投标限价的85%的，启动澄清程序，要求投标人作出书面说明并提供相关证明材料。投标人不能合理说明或者不能提供相关证明资料的，评标委员会认定该投标人以低于成本报价竞标，否决其投标。当所有投标人的投标因此种情况被否决；或当因此种情况被否决部分投标人后，有效投标人不足三家，评标委员会认为竞争不足的情况出现时，评标委员会可以否决全部投标。未否决全部投标的，评标委员会应当在评标报告中阐明理由并推荐中标候选人。</w:t>
            </w:r>
          </w:p>
        </w:tc>
      </w:tr>
      <w:tr w:rsidR="00674568" w:rsidRPr="00DC2E32" w14:paraId="59E321A3" w14:textId="77777777" w:rsidTr="00A939DD">
        <w:trPr>
          <w:trHeight w:val="1134"/>
          <w:jc w:val="center"/>
        </w:trPr>
        <w:tc>
          <w:tcPr>
            <w:tcW w:w="1138" w:type="dxa"/>
            <w:vAlign w:val="center"/>
          </w:tcPr>
          <w:p w14:paraId="2715F27B" w14:textId="77777777" w:rsidR="00674568" w:rsidRPr="00DC2E32" w:rsidRDefault="00674568" w:rsidP="00A939DD">
            <w:pPr>
              <w:pStyle w:val="TableParagraph"/>
              <w:topLinePunct/>
              <w:snapToGrid w:val="0"/>
              <w:spacing w:before="100" w:after="100" w:line="4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rPr>
              <w:t>3.2.4</w:t>
            </w:r>
          </w:p>
        </w:tc>
        <w:tc>
          <w:tcPr>
            <w:tcW w:w="2406" w:type="dxa"/>
            <w:vAlign w:val="center"/>
          </w:tcPr>
          <w:p w14:paraId="10041288" w14:textId="77777777" w:rsidR="00674568" w:rsidRPr="00DC2E32" w:rsidRDefault="00674568" w:rsidP="00A939DD">
            <w:pPr>
              <w:pStyle w:val="TableParagraph"/>
              <w:topLinePunct/>
              <w:snapToGrid w:val="0"/>
              <w:spacing w:before="100" w:after="100" w:line="400" w:lineRule="atLeast"/>
              <w:jc w:val="center"/>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szCs w:val="21"/>
              </w:rPr>
              <w:t>通过第一个信封详细评审的投标人数量</w:t>
            </w:r>
          </w:p>
        </w:tc>
        <w:tc>
          <w:tcPr>
            <w:tcW w:w="6090" w:type="dxa"/>
            <w:vAlign w:val="center"/>
          </w:tcPr>
          <w:p w14:paraId="0747A794" w14:textId="77777777" w:rsidR="00674568" w:rsidRPr="00DC2E32" w:rsidRDefault="00674568" w:rsidP="00A939DD">
            <w:pPr>
              <w:pStyle w:val="TableParagraph"/>
              <w:topLinePunct/>
              <w:snapToGrid w:val="0"/>
              <w:spacing w:before="100" w:after="100" w:line="40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按照投标人的商务和技术得分由高到低排序，选择</w:t>
            </w:r>
            <w:r w:rsidRPr="00DC2E32">
              <w:rPr>
                <w:rFonts w:ascii="方正新书宋简体" w:eastAsia="方正新书宋简体" w:hAnsi="方正新书宋简体" w:cstheme="majorHAnsi" w:hint="eastAsia"/>
                <w:color w:val="000000" w:themeColor="text1"/>
                <w:szCs w:val="21"/>
                <w:u w:val="single"/>
              </w:rPr>
              <w:t>前5名（不少于3名但不足5名时，按全部实际数量）</w:t>
            </w:r>
            <w:r w:rsidRPr="00DC2E32">
              <w:rPr>
                <w:rFonts w:ascii="方正新书宋简体" w:eastAsia="方正新书宋简体" w:hAnsi="方正新书宋简体" w:cstheme="majorHAnsi" w:hint="eastAsia"/>
                <w:color w:val="000000" w:themeColor="text1"/>
                <w:szCs w:val="21"/>
              </w:rPr>
              <w:t>通过详细评审。</w:t>
            </w:r>
          </w:p>
          <w:p w14:paraId="62F486C5" w14:textId="77777777" w:rsidR="00674568" w:rsidRPr="00DC2E32" w:rsidRDefault="00674568" w:rsidP="00A939DD">
            <w:pPr>
              <w:pStyle w:val="TableParagraph"/>
              <w:topLinePunct/>
              <w:snapToGrid w:val="0"/>
              <w:spacing w:before="100" w:after="100" w:line="40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本条所述“名次”包含了并列的情况；如名次为1,1,3,4,5，则前5名为5家投标人；如名次为1,2,3,4,5,5，则前5名为6家投标人，下同。</w:t>
            </w:r>
          </w:p>
        </w:tc>
      </w:tr>
    </w:tbl>
    <w:p w14:paraId="798E3D88" w14:textId="77777777" w:rsidR="00674568" w:rsidRPr="00DC2E32" w:rsidRDefault="00674568" w:rsidP="00674568">
      <w:pPr>
        <w:rPr>
          <w:rFonts w:ascii="方正新书宋简体" w:eastAsia="方正新书宋简体" w:hAnsi="方正新书宋简体"/>
        </w:rPr>
      </w:pPr>
    </w:p>
    <w:p w14:paraId="60DB8A02" w14:textId="77777777" w:rsidR="00674568" w:rsidRPr="00DC2E32" w:rsidRDefault="00674568" w:rsidP="00674568">
      <w:pPr>
        <w:rPr>
          <w:rFonts w:ascii="方正新书宋简体" w:eastAsia="方正新书宋简体" w:hAnsi="方正新书宋简体"/>
        </w:rPr>
        <w:sectPr w:rsidR="00674568" w:rsidRPr="00DC2E32" w:rsidSect="003C6513">
          <w:pgSz w:w="11906" w:h="16838" w:code="9"/>
          <w:pgMar w:top="1134" w:right="1134" w:bottom="1134" w:left="1134" w:header="851" w:footer="851" w:gutter="0"/>
          <w:cols w:space="425"/>
          <w:docGrid w:type="linesAndChars" w:linePitch="312"/>
        </w:sect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709"/>
        <w:gridCol w:w="1123"/>
        <w:gridCol w:w="1565"/>
        <w:gridCol w:w="567"/>
        <w:gridCol w:w="5670"/>
      </w:tblGrid>
      <w:tr w:rsidR="00674568" w:rsidRPr="00DC2E32" w14:paraId="2138B8EB" w14:textId="77777777" w:rsidTr="00A939DD">
        <w:trPr>
          <w:trHeight w:val="454"/>
          <w:tblHeader/>
          <w:jc w:val="center"/>
        </w:trPr>
        <w:tc>
          <w:tcPr>
            <w:tcW w:w="3964" w:type="dxa"/>
            <w:gridSpan w:val="4"/>
            <w:vAlign w:val="center"/>
          </w:tcPr>
          <w:p w14:paraId="614A5574"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b/>
                <w:color w:val="000000" w:themeColor="text1"/>
                <w:szCs w:val="21"/>
              </w:rPr>
            </w:pPr>
            <w:r w:rsidRPr="00DC2E32">
              <w:rPr>
                <w:rFonts w:ascii="方正新书宋简体" w:eastAsia="方正新书宋简体" w:hAnsi="方正新书宋简体" w:cstheme="majorHAnsi" w:hint="eastAsia"/>
                <w:b/>
                <w:color w:val="000000" w:themeColor="text1"/>
                <w:szCs w:val="21"/>
              </w:rPr>
              <w:lastRenderedPageBreak/>
              <w:t>评分因素与权重分值</w:t>
            </w:r>
          </w:p>
        </w:tc>
        <w:tc>
          <w:tcPr>
            <w:tcW w:w="5670" w:type="dxa"/>
            <w:vMerge w:val="restart"/>
            <w:vAlign w:val="center"/>
          </w:tcPr>
          <w:p w14:paraId="7BBD1E1A"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b/>
                <w:color w:val="000000" w:themeColor="text1"/>
                <w:szCs w:val="21"/>
              </w:rPr>
            </w:pPr>
            <w:r w:rsidRPr="00DC2E32">
              <w:rPr>
                <w:rFonts w:ascii="方正新书宋简体" w:eastAsia="方正新书宋简体" w:hAnsi="方正新书宋简体" w:cstheme="majorHAnsi" w:hint="eastAsia"/>
                <w:b/>
                <w:color w:val="000000" w:themeColor="text1"/>
                <w:szCs w:val="21"/>
              </w:rPr>
              <w:t>评分标准</w:t>
            </w:r>
          </w:p>
        </w:tc>
      </w:tr>
      <w:tr w:rsidR="00674568" w:rsidRPr="00DC2E32" w14:paraId="3B3667D3" w14:textId="77777777" w:rsidTr="00A939DD">
        <w:trPr>
          <w:trHeight w:val="454"/>
          <w:tblHeader/>
          <w:jc w:val="center"/>
        </w:trPr>
        <w:tc>
          <w:tcPr>
            <w:tcW w:w="709" w:type="dxa"/>
            <w:vAlign w:val="center"/>
          </w:tcPr>
          <w:p w14:paraId="181AD163"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b/>
                <w:color w:val="000000" w:themeColor="text1"/>
                <w:szCs w:val="21"/>
              </w:rPr>
            </w:pPr>
            <w:r w:rsidRPr="00DC2E32">
              <w:rPr>
                <w:rFonts w:ascii="方正新书宋简体" w:eastAsia="方正新书宋简体" w:hAnsi="方正新书宋简体" w:cstheme="majorHAnsi" w:hint="eastAsia"/>
                <w:b/>
                <w:color w:val="000000" w:themeColor="text1"/>
                <w:szCs w:val="21"/>
              </w:rPr>
              <w:t>条款号</w:t>
            </w:r>
          </w:p>
        </w:tc>
        <w:tc>
          <w:tcPr>
            <w:tcW w:w="1123" w:type="dxa"/>
            <w:vAlign w:val="center"/>
          </w:tcPr>
          <w:p w14:paraId="57DF776A"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b/>
                <w:color w:val="000000" w:themeColor="text1"/>
                <w:szCs w:val="21"/>
              </w:rPr>
            </w:pPr>
            <w:r w:rsidRPr="00DC2E32">
              <w:rPr>
                <w:rFonts w:ascii="方正新书宋简体" w:eastAsia="方正新书宋简体" w:hAnsi="方正新书宋简体" w:cstheme="majorHAnsi" w:hint="eastAsia"/>
                <w:b/>
                <w:color w:val="000000" w:themeColor="text1"/>
                <w:szCs w:val="21"/>
              </w:rPr>
              <w:t>评分因素（权重）</w:t>
            </w:r>
          </w:p>
        </w:tc>
        <w:tc>
          <w:tcPr>
            <w:tcW w:w="1565" w:type="dxa"/>
            <w:vAlign w:val="center"/>
          </w:tcPr>
          <w:p w14:paraId="32F4FD0B"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b/>
                <w:color w:val="000000" w:themeColor="text1"/>
                <w:szCs w:val="21"/>
              </w:rPr>
            </w:pPr>
            <w:r w:rsidRPr="00DC2E32">
              <w:rPr>
                <w:rFonts w:ascii="方正新书宋简体" w:eastAsia="方正新书宋简体" w:hAnsi="方正新书宋简体" w:cstheme="majorHAnsi" w:hint="eastAsia"/>
                <w:b/>
                <w:color w:val="000000" w:themeColor="text1"/>
                <w:szCs w:val="21"/>
              </w:rPr>
              <w:t>各评分因素细分项</w:t>
            </w:r>
          </w:p>
        </w:tc>
        <w:tc>
          <w:tcPr>
            <w:tcW w:w="567" w:type="dxa"/>
            <w:vAlign w:val="center"/>
          </w:tcPr>
          <w:p w14:paraId="7B9C592C"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b/>
                <w:color w:val="000000" w:themeColor="text1"/>
                <w:szCs w:val="21"/>
              </w:rPr>
            </w:pPr>
            <w:r w:rsidRPr="00DC2E32">
              <w:rPr>
                <w:rFonts w:ascii="方正新书宋简体" w:eastAsia="方正新书宋简体" w:hAnsi="方正新书宋简体" w:cstheme="majorHAnsi" w:hint="eastAsia"/>
                <w:b/>
                <w:color w:val="000000" w:themeColor="text1"/>
                <w:szCs w:val="21"/>
              </w:rPr>
              <w:t>分值</w:t>
            </w:r>
          </w:p>
        </w:tc>
        <w:tc>
          <w:tcPr>
            <w:tcW w:w="5670" w:type="dxa"/>
            <w:vMerge/>
          </w:tcPr>
          <w:p w14:paraId="3815E672" w14:textId="77777777" w:rsidR="00674568" w:rsidRPr="00DC2E32" w:rsidRDefault="00674568" w:rsidP="00A939DD">
            <w:pPr>
              <w:widowControl w:val="0"/>
              <w:topLinePunct/>
              <w:snapToGrid w:val="0"/>
              <w:spacing w:before="40" w:after="40" w:line="320" w:lineRule="atLeast"/>
              <w:rPr>
                <w:rFonts w:ascii="方正新书宋简体" w:eastAsia="方正新书宋简体" w:hAnsi="方正新书宋简体" w:cstheme="majorHAnsi"/>
                <w:color w:val="000000" w:themeColor="text1"/>
                <w:szCs w:val="21"/>
              </w:rPr>
            </w:pPr>
          </w:p>
        </w:tc>
      </w:tr>
      <w:tr w:rsidR="00674568" w:rsidRPr="00DC2E32" w14:paraId="6C683DF1" w14:textId="77777777" w:rsidTr="00A939DD">
        <w:trPr>
          <w:trHeight w:val="454"/>
          <w:jc w:val="center"/>
        </w:trPr>
        <w:tc>
          <w:tcPr>
            <w:tcW w:w="709" w:type="dxa"/>
            <w:vMerge w:val="restart"/>
            <w:vAlign w:val="center"/>
          </w:tcPr>
          <w:p w14:paraId="3139DD46"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2.2.2</w:t>
            </w:r>
          </w:p>
          <w:p w14:paraId="13EA952F"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w:t>
            </w:r>
          </w:p>
        </w:tc>
        <w:tc>
          <w:tcPr>
            <w:tcW w:w="1123" w:type="dxa"/>
            <w:vMerge w:val="restart"/>
            <w:vAlign w:val="center"/>
          </w:tcPr>
          <w:p w14:paraId="2969DBE1"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施工组织设计</w:t>
            </w:r>
          </w:p>
          <w:p w14:paraId="5D251C3B"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（35分）</w:t>
            </w:r>
          </w:p>
        </w:tc>
        <w:tc>
          <w:tcPr>
            <w:tcW w:w="1565" w:type="dxa"/>
            <w:vAlign w:val="center"/>
          </w:tcPr>
          <w:p w14:paraId="73B8E6EF"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总体施工组织布置及规划</w:t>
            </w:r>
          </w:p>
        </w:tc>
        <w:tc>
          <w:tcPr>
            <w:tcW w:w="567" w:type="dxa"/>
            <w:vAlign w:val="center"/>
          </w:tcPr>
          <w:p w14:paraId="1780676C"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15分</w:t>
            </w:r>
          </w:p>
        </w:tc>
        <w:tc>
          <w:tcPr>
            <w:tcW w:w="5670" w:type="dxa"/>
          </w:tcPr>
          <w:p w14:paraId="340C52CE"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（1）对项目的基本情况了解全面、准确，施工总体布置规划、施工进度计划科学合理、可操作性强，按《广东省公路工程施工标准化指南》及《公路工程施工安全防护设施技术指南》执行，得12~15分；</w:t>
            </w:r>
          </w:p>
          <w:p w14:paraId="57D187FE"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（2）满足工程建设需要，施工总体布置规划、施工进度计划基本可行，得9~12分；</w:t>
            </w:r>
          </w:p>
          <w:p w14:paraId="1C5B0F57"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（3）一般但不被评定为不响应的，起评分9分。</w:t>
            </w:r>
          </w:p>
        </w:tc>
      </w:tr>
      <w:tr w:rsidR="00674568" w:rsidRPr="00DC2E32" w14:paraId="250CCD4B" w14:textId="77777777" w:rsidTr="00A939DD">
        <w:trPr>
          <w:trHeight w:val="454"/>
          <w:jc w:val="center"/>
        </w:trPr>
        <w:tc>
          <w:tcPr>
            <w:tcW w:w="709" w:type="dxa"/>
            <w:vMerge/>
            <w:vAlign w:val="center"/>
          </w:tcPr>
          <w:p w14:paraId="761D2F5F"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p>
        </w:tc>
        <w:tc>
          <w:tcPr>
            <w:tcW w:w="1123" w:type="dxa"/>
            <w:vMerge/>
            <w:vAlign w:val="center"/>
          </w:tcPr>
          <w:p w14:paraId="58AF5435"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p>
        </w:tc>
        <w:tc>
          <w:tcPr>
            <w:tcW w:w="1565" w:type="dxa"/>
            <w:vAlign w:val="center"/>
          </w:tcPr>
          <w:p w14:paraId="593E6977"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重点、难点和关键工程的施工方案与技术措施</w:t>
            </w:r>
          </w:p>
        </w:tc>
        <w:tc>
          <w:tcPr>
            <w:tcW w:w="567" w:type="dxa"/>
            <w:vAlign w:val="center"/>
          </w:tcPr>
          <w:p w14:paraId="4A60EFDE"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10分</w:t>
            </w:r>
          </w:p>
        </w:tc>
        <w:tc>
          <w:tcPr>
            <w:tcW w:w="5670" w:type="dxa"/>
          </w:tcPr>
          <w:p w14:paraId="03DEF83C"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对项目重点、难点和关键工程认识分析透彻，能充分发挥自身优势，积极采用“四新”技术，制定的施工方案与技术措施针对性和可操作性强，重点突出的，按《广东省公路工程施工标准化指南》及《公路工程施工安全防护设施技术指南》执行，得8~10分；</w:t>
            </w:r>
          </w:p>
          <w:p w14:paraId="1BE5CE72"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（2）对项目重点、难点和关键工程认识基本到位，施工方案与技术措施基本可行，重点较为突出的，得6~8分；</w:t>
            </w:r>
          </w:p>
          <w:p w14:paraId="5A2DAB2D"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（3）一般但不被评定为不响应的，起评分6分。</w:t>
            </w:r>
          </w:p>
        </w:tc>
      </w:tr>
      <w:tr w:rsidR="00674568" w:rsidRPr="00DC2E32" w14:paraId="6B77D22B" w14:textId="77777777" w:rsidTr="00A939DD">
        <w:trPr>
          <w:trHeight w:val="454"/>
          <w:jc w:val="center"/>
        </w:trPr>
        <w:tc>
          <w:tcPr>
            <w:tcW w:w="709" w:type="dxa"/>
            <w:vMerge/>
            <w:vAlign w:val="center"/>
          </w:tcPr>
          <w:p w14:paraId="772C77F5"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p>
        </w:tc>
        <w:tc>
          <w:tcPr>
            <w:tcW w:w="1123" w:type="dxa"/>
            <w:vMerge/>
            <w:vAlign w:val="center"/>
          </w:tcPr>
          <w:p w14:paraId="0002D750"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p>
        </w:tc>
        <w:tc>
          <w:tcPr>
            <w:tcW w:w="1565" w:type="dxa"/>
            <w:vAlign w:val="center"/>
          </w:tcPr>
          <w:p w14:paraId="080ABB5C"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工期、质量、安全、环保水保、文明施工保证措施</w:t>
            </w:r>
          </w:p>
        </w:tc>
        <w:tc>
          <w:tcPr>
            <w:tcW w:w="567" w:type="dxa"/>
            <w:vAlign w:val="center"/>
          </w:tcPr>
          <w:p w14:paraId="1EC25ABE"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10分</w:t>
            </w:r>
          </w:p>
        </w:tc>
        <w:tc>
          <w:tcPr>
            <w:tcW w:w="5670" w:type="dxa"/>
          </w:tcPr>
          <w:p w14:paraId="211FF3AE"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能够准确预判分析工期、质量、安全、环保、水保、文明施工目标实现的主要影响因素，拟采取预防保证措施针对性强、科学有效，重点突出的，按《广东省公路工程施工标准化指南》及《公路工程施工安全防护设施技术指南》执行，得8~10分；</w:t>
            </w:r>
          </w:p>
          <w:p w14:paraId="61D40D9C"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（2）对工期、质量、安全、环保、水保等风险有一定认识，预防保证措施基本可行，重点较为突出的，得6~8分；</w:t>
            </w:r>
          </w:p>
          <w:p w14:paraId="1F1B0ABE"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（3）一般但不被评定为不响应的，起评分6分。</w:t>
            </w:r>
          </w:p>
        </w:tc>
      </w:tr>
      <w:tr w:rsidR="00674568" w:rsidRPr="00DC2E32" w14:paraId="1084D16B" w14:textId="77777777" w:rsidTr="00A939DD">
        <w:trPr>
          <w:trHeight w:val="454"/>
          <w:jc w:val="center"/>
        </w:trPr>
        <w:tc>
          <w:tcPr>
            <w:tcW w:w="709" w:type="dxa"/>
            <w:vMerge w:val="restart"/>
            <w:vAlign w:val="center"/>
          </w:tcPr>
          <w:p w14:paraId="6EC6AFD5"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2.2.2</w:t>
            </w:r>
          </w:p>
          <w:p w14:paraId="57547417"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w:t>
            </w:r>
          </w:p>
        </w:tc>
        <w:tc>
          <w:tcPr>
            <w:tcW w:w="1123" w:type="dxa"/>
            <w:vMerge w:val="restart"/>
            <w:vAlign w:val="center"/>
          </w:tcPr>
          <w:p w14:paraId="5DF67DFB"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主要人员（30分）</w:t>
            </w:r>
          </w:p>
        </w:tc>
        <w:tc>
          <w:tcPr>
            <w:tcW w:w="1565" w:type="dxa"/>
            <w:vAlign w:val="center"/>
          </w:tcPr>
          <w:p w14:paraId="544BE80A"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项目经理任职资格与业绩</w:t>
            </w:r>
          </w:p>
        </w:tc>
        <w:tc>
          <w:tcPr>
            <w:tcW w:w="567" w:type="dxa"/>
            <w:vAlign w:val="center"/>
          </w:tcPr>
          <w:p w14:paraId="7F11AA03"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15分</w:t>
            </w:r>
          </w:p>
        </w:tc>
        <w:tc>
          <w:tcPr>
            <w:tcW w:w="5670" w:type="dxa"/>
            <w:vAlign w:val="center"/>
          </w:tcPr>
          <w:p w14:paraId="63B421E2"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满足资格审查条件（项目经理和项目总工最低要求）时，得满分。</w:t>
            </w:r>
          </w:p>
        </w:tc>
      </w:tr>
      <w:tr w:rsidR="00674568" w:rsidRPr="00DC2E32" w14:paraId="5BCEBE79" w14:textId="77777777" w:rsidTr="00A939DD">
        <w:trPr>
          <w:trHeight w:val="454"/>
          <w:jc w:val="center"/>
        </w:trPr>
        <w:tc>
          <w:tcPr>
            <w:tcW w:w="709" w:type="dxa"/>
            <w:vMerge/>
            <w:vAlign w:val="center"/>
          </w:tcPr>
          <w:p w14:paraId="5262A214"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p>
        </w:tc>
        <w:tc>
          <w:tcPr>
            <w:tcW w:w="1123" w:type="dxa"/>
            <w:vMerge/>
            <w:vAlign w:val="center"/>
          </w:tcPr>
          <w:p w14:paraId="2CF0B98D"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p>
        </w:tc>
        <w:tc>
          <w:tcPr>
            <w:tcW w:w="1565" w:type="dxa"/>
            <w:vAlign w:val="center"/>
          </w:tcPr>
          <w:p w14:paraId="2A0B195C"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项目总工任职资格与业绩</w:t>
            </w:r>
          </w:p>
        </w:tc>
        <w:tc>
          <w:tcPr>
            <w:tcW w:w="567" w:type="dxa"/>
            <w:vAlign w:val="center"/>
          </w:tcPr>
          <w:p w14:paraId="06D8AEAD"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15分</w:t>
            </w:r>
          </w:p>
        </w:tc>
        <w:tc>
          <w:tcPr>
            <w:tcW w:w="5670" w:type="dxa"/>
            <w:vAlign w:val="center"/>
          </w:tcPr>
          <w:p w14:paraId="41B1C491"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满足资格审查条件（项目经理和项目总工最低要求）时，得满分。</w:t>
            </w:r>
          </w:p>
        </w:tc>
      </w:tr>
      <w:tr w:rsidR="00674568" w:rsidRPr="00DC2E32" w14:paraId="07FC13AF" w14:textId="77777777" w:rsidTr="00A939DD">
        <w:trPr>
          <w:trHeight w:val="567"/>
          <w:jc w:val="center"/>
        </w:trPr>
        <w:tc>
          <w:tcPr>
            <w:tcW w:w="709" w:type="dxa"/>
            <w:vMerge w:val="restart"/>
            <w:vAlign w:val="center"/>
          </w:tcPr>
          <w:p w14:paraId="256E12F5"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2.2.2</w:t>
            </w:r>
          </w:p>
          <w:p w14:paraId="0ADA032B"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w:t>
            </w:r>
          </w:p>
        </w:tc>
        <w:tc>
          <w:tcPr>
            <w:tcW w:w="1123" w:type="dxa"/>
            <w:vMerge w:val="restart"/>
            <w:vAlign w:val="center"/>
          </w:tcPr>
          <w:p w14:paraId="68B84B01"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其他因素（35分）</w:t>
            </w:r>
          </w:p>
        </w:tc>
        <w:tc>
          <w:tcPr>
            <w:tcW w:w="1565" w:type="dxa"/>
            <w:vAlign w:val="center"/>
          </w:tcPr>
          <w:p w14:paraId="01226306"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技术能力</w:t>
            </w:r>
          </w:p>
        </w:tc>
        <w:tc>
          <w:tcPr>
            <w:tcW w:w="567" w:type="dxa"/>
            <w:vAlign w:val="center"/>
          </w:tcPr>
          <w:p w14:paraId="1F3D81BF"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20分</w:t>
            </w:r>
          </w:p>
        </w:tc>
        <w:tc>
          <w:tcPr>
            <w:tcW w:w="5670" w:type="dxa"/>
          </w:tcPr>
          <w:p w14:paraId="15A74871"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（1）投标人获得与项目施工有关的国家级工法、专利（发明专利或实用新型专利）、国家级科学技术进步奖、鲁班奖、詹天佑奖，主编或参编过国家标准，每项加4分；</w:t>
            </w:r>
          </w:p>
          <w:p w14:paraId="4D92E40A"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（2）投标人获得省级科学技术进步奖，主编或参编过的行业或地方（指省级）标准，每项加2分；</w:t>
            </w:r>
          </w:p>
          <w:p w14:paraId="174332AF"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注：技术能力加分最高20分，同一事项按较高分只计一次。</w:t>
            </w:r>
          </w:p>
        </w:tc>
      </w:tr>
      <w:tr w:rsidR="00674568" w:rsidRPr="00DC2E32" w14:paraId="66C380FF" w14:textId="77777777" w:rsidTr="00A939DD">
        <w:trPr>
          <w:trHeight w:val="567"/>
          <w:jc w:val="center"/>
        </w:trPr>
        <w:tc>
          <w:tcPr>
            <w:tcW w:w="709" w:type="dxa"/>
            <w:vMerge/>
            <w:vAlign w:val="center"/>
          </w:tcPr>
          <w:p w14:paraId="6C8BC536"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p>
        </w:tc>
        <w:tc>
          <w:tcPr>
            <w:tcW w:w="1123" w:type="dxa"/>
            <w:vMerge/>
            <w:vAlign w:val="center"/>
          </w:tcPr>
          <w:p w14:paraId="4919A200"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p>
        </w:tc>
        <w:tc>
          <w:tcPr>
            <w:tcW w:w="1565" w:type="dxa"/>
            <w:vAlign w:val="center"/>
          </w:tcPr>
          <w:p w14:paraId="7768BDBA"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履约信誉</w:t>
            </w:r>
          </w:p>
        </w:tc>
        <w:tc>
          <w:tcPr>
            <w:tcW w:w="567" w:type="dxa"/>
            <w:vAlign w:val="center"/>
          </w:tcPr>
          <w:p w14:paraId="08437FB6" w14:textId="77777777" w:rsidR="00674568" w:rsidRPr="00DC2E32" w:rsidRDefault="00674568" w:rsidP="00A939DD">
            <w:pPr>
              <w:widowControl w:val="0"/>
              <w:topLinePunct/>
              <w:snapToGrid w:val="0"/>
              <w:spacing w:before="60" w:after="60" w:line="36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15分</w:t>
            </w:r>
          </w:p>
        </w:tc>
        <w:tc>
          <w:tcPr>
            <w:tcW w:w="5670" w:type="dxa"/>
            <w:vAlign w:val="center"/>
          </w:tcPr>
          <w:p w14:paraId="20871567"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1.信用等级分值（10分）</w:t>
            </w:r>
          </w:p>
          <w:p w14:paraId="794CD14D" w14:textId="77777777" w:rsidR="00674568" w:rsidRPr="00DC2E32" w:rsidRDefault="00674568" w:rsidP="00A939DD">
            <w:pPr>
              <w:widowControl w:val="0"/>
              <w:topLinePunct/>
              <w:snapToGrid w:val="0"/>
              <w:spacing w:before="60" w:after="60" w:line="36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AA、A、B、C级单位的信用等级分得分分别为10分、9.5分、8.9分、7.3分。</w:t>
            </w:r>
          </w:p>
          <w:p w14:paraId="130682B8" w14:textId="77777777" w:rsidR="00674568" w:rsidRPr="00DC2E32" w:rsidRDefault="00674568" w:rsidP="00A939DD">
            <w:pPr>
              <w:widowControl w:val="0"/>
              <w:topLinePunct/>
              <w:snapToGrid w:val="0"/>
              <w:spacing w:before="60" w:after="60" w:line="36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注：信用等级的确定原则遵循投标人须知前附表10.2款的规定。</w:t>
            </w:r>
          </w:p>
          <w:p w14:paraId="7BD1772D" w14:textId="77777777" w:rsidR="00674568" w:rsidRPr="00DC2E32" w:rsidRDefault="00674568" w:rsidP="00A939DD">
            <w:pPr>
              <w:widowControl w:val="0"/>
              <w:topLinePunct/>
              <w:snapToGrid w:val="0"/>
              <w:spacing w:before="60" w:after="60" w:line="36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2.履约情况（5分）</w:t>
            </w:r>
          </w:p>
          <w:p w14:paraId="2DD5EB3D" w14:textId="77777777" w:rsidR="00674568" w:rsidRPr="00DC2E32" w:rsidRDefault="00674568" w:rsidP="00A939DD">
            <w:pPr>
              <w:widowControl w:val="0"/>
              <w:topLinePunct/>
              <w:snapToGrid w:val="0"/>
              <w:spacing w:before="60" w:after="60" w:line="36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若没出现下述情形得满分：</w:t>
            </w:r>
          </w:p>
          <w:p w14:paraId="02AE609A" w14:textId="77777777" w:rsidR="00674568" w:rsidRPr="00DC2E32" w:rsidRDefault="00674568" w:rsidP="00A939DD">
            <w:pPr>
              <w:widowControl w:val="0"/>
              <w:topLinePunct/>
              <w:snapToGrid w:val="0"/>
              <w:spacing w:before="60" w:after="60" w:line="36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自2022年4月1日至投标文件递交截止日，因公路工程（含附属设施）质量、安全、履约或招标投标问题等原因被：</w:t>
            </w:r>
          </w:p>
          <w:p w14:paraId="76BC9476" w14:textId="77777777" w:rsidR="00674568" w:rsidRPr="00DC2E32" w:rsidRDefault="00674568" w:rsidP="00A939DD">
            <w:pPr>
              <w:widowControl w:val="0"/>
              <w:topLinePunct/>
              <w:snapToGrid w:val="0"/>
              <w:spacing w:before="60" w:after="60" w:line="36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（1）交通运输部行政处罚的或在全国公路建设市场信用信息管理系统（</w:t>
            </w:r>
            <w:r w:rsidRPr="00DC2E32">
              <w:rPr>
                <w:rFonts w:ascii="方正新书宋简体" w:eastAsia="方正新书宋简体" w:hAnsi="方正新书宋简体" w:cstheme="minorHAnsi"/>
                <w:color w:val="000000" w:themeColor="text1"/>
                <w:szCs w:val="21"/>
              </w:rPr>
              <w:t>https://glxy.mot.gov.cn</w:t>
            </w:r>
            <w:r w:rsidRPr="00DC2E32">
              <w:rPr>
                <w:rFonts w:ascii="方正新书宋简体" w:eastAsia="方正新书宋简体" w:hAnsi="方正新书宋简体" w:cstheme="majorHAnsi" w:hint="eastAsia"/>
                <w:color w:val="000000" w:themeColor="text1"/>
                <w:szCs w:val="21"/>
              </w:rPr>
              <w:t>）中存在不良行为记录的，扣5分/次；</w:t>
            </w:r>
          </w:p>
          <w:p w14:paraId="3B986CA1" w14:textId="77777777" w:rsidR="00674568" w:rsidRPr="00DC2E32" w:rsidRDefault="00674568" w:rsidP="00A939DD">
            <w:pPr>
              <w:widowControl w:val="0"/>
              <w:topLinePunct/>
              <w:snapToGrid w:val="0"/>
              <w:spacing w:before="60" w:after="60" w:line="36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（2）广东省交通运输厅通报批评一次的，扣3分/次；</w:t>
            </w:r>
          </w:p>
          <w:p w14:paraId="618C2D56" w14:textId="77777777" w:rsidR="00674568" w:rsidRPr="00DC2E32" w:rsidRDefault="00674568" w:rsidP="00A939DD">
            <w:pPr>
              <w:widowControl w:val="0"/>
              <w:topLinePunct/>
              <w:snapToGrid w:val="0"/>
              <w:spacing w:before="60" w:after="60" w:line="36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（3）湛江市交通运输局行政处罚的，扣1.5分/次。</w:t>
            </w:r>
          </w:p>
          <w:p w14:paraId="59B415B5" w14:textId="77777777" w:rsidR="00674568" w:rsidRPr="00DC2E32" w:rsidRDefault="00674568" w:rsidP="00A939DD">
            <w:pPr>
              <w:widowControl w:val="0"/>
              <w:topLinePunct/>
              <w:snapToGrid w:val="0"/>
              <w:spacing w:before="60" w:after="60" w:line="36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（4）广东省交通运输厅正式约谈的，扣0.1分/次。</w:t>
            </w:r>
          </w:p>
          <w:p w14:paraId="6CB195F2" w14:textId="77777777" w:rsidR="00674568" w:rsidRPr="00DC2E32" w:rsidRDefault="00674568" w:rsidP="00A939DD">
            <w:pPr>
              <w:widowControl w:val="0"/>
              <w:topLinePunct/>
              <w:snapToGrid w:val="0"/>
              <w:spacing w:before="60" w:after="60" w:line="36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同一事项同时被多个部门行政处罚或正式约谈只按最高的扣分计算1次。如果扣完本项分值，可以从总分中扣。</w:t>
            </w:r>
          </w:p>
          <w:p w14:paraId="73D252E8" w14:textId="77777777" w:rsidR="00674568" w:rsidRPr="00DC2E32" w:rsidRDefault="00674568" w:rsidP="00A939DD">
            <w:pPr>
              <w:widowControl w:val="0"/>
              <w:topLinePunct/>
              <w:snapToGrid w:val="0"/>
              <w:spacing w:before="60" w:after="60" w:line="36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注：正式约谈是指从业单位的企业法人因建设项目质量、安全、履约或招标投标等问题，被上述单位约谈的情形。行政处罚要以上述单位正式发文为依据，以正式发文时间为准；正式约谈要以上述单位的书面通知和约谈会议纪要为依据，时间以约谈会议纪要发文时间为准。</w:t>
            </w:r>
          </w:p>
        </w:tc>
      </w:tr>
    </w:tbl>
    <w:p w14:paraId="75389412" w14:textId="77777777" w:rsidR="00674568" w:rsidRPr="00DC2E32" w:rsidRDefault="00674568" w:rsidP="00674568">
      <w:pPr>
        <w:wordWrap w:val="0"/>
        <w:topLinePunct/>
        <w:snapToGrid w:val="0"/>
        <w:spacing w:line="264" w:lineRule="auto"/>
        <w:rPr>
          <w:rFonts w:ascii="方正新书宋简体" w:eastAsia="方正新书宋简体" w:hAnsi="方正新书宋简体" w:cstheme="majorHAnsi"/>
          <w:color w:val="000000" w:themeColor="text1"/>
        </w:rPr>
      </w:pPr>
    </w:p>
    <w:p w14:paraId="169563CA" w14:textId="77777777" w:rsidR="00674568" w:rsidRPr="00DC2E32" w:rsidRDefault="00674568" w:rsidP="00674568">
      <w:pPr>
        <w:wordWrap w:val="0"/>
        <w:topLinePunct/>
        <w:snapToGrid w:val="0"/>
        <w:spacing w:line="264" w:lineRule="auto"/>
        <w:rPr>
          <w:rFonts w:ascii="方正新书宋简体" w:eastAsia="方正新书宋简体" w:hAnsi="方正新书宋简体" w:cstheme="majorHAnsi"/>
          <w:color w:val="000000" w:themeColor="text1"/>
        </w:rPr>
        <w:sectPr w:rsidR="00674568" w:rsidRPr="00DC2E32" w:rsidSect="003C6513">
          <w:pgSz w:w="11906" w:h="16838" w:code="9"/>
          <w:pgMar w:top="1134" w:right="1134" w:bottom="1134" w:left="1134" w:header="851" w:footer="851" w:gutter="0"/>
          <w:cols w:space="425"/>
          <w:docGrid w:type="linesAndChars" w:linePitch="312"/>
        </w:sect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988"/>
        <w:gridCol w:w="8640"/>
      </w:tblGrid>
      <w:tr w:rsidR="00674568" w:rsidRPr="00DC2E32" w14:paraId="6C988DF1" w14:textId="77777777" w:rsidTr="00A939DD">
        <w:trPr>
          <w:trHeight w:val="454"/>
          <w:tblHeader/>
        </w:trPr>
        <w:tc>
          <w:tcPr>
            <w:tcW w:w="988" w:type="dxa"/>
            <w:vAlign w:val="center"/>
          </w:tcPr>
          <w:p w14:paraId="7C21E990"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b/>
                <w:bCs/>
                <w:color w:val="000000" w:themeColor="text1"/>
                <w:szCs w:val="21"/>
              </w:rPr>
            </w:pPr>
            <w:r w:rsidRPr="00DC2E32">
              <w:rPr>
                <w:rFonts w:ascii="方正新书宋简体" w:eastAsia="方正新书宋简体" w:hAnsi="方正新书宋简体" w:cstheme="majorHAnsi" w:hint="eastAsia"/>
                <w:b/>
                <w:bCs/>
                <w:color w:val="000000" w:themeColor="text1"/>
                <w:szCs w:val="21"/>
              </w:rPr>
              <w:lastRenderedPageBreak/>
              <w:t>条款号</w:t>
            </w:r>
          </w:p>
        </w:tc>
        <w:tc>
          <w:tcPr>
            <w:tcW w:w="8640" w:type="dxa"/>
            <w:vAlign w:val="center"/>
          </w:tcPr>
          <w:p w14:paraId="3C0A2775"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b/>
                <w:bCs/>
                <w:color w:val="000000" w:themeColor="text1"/>
                <w:szCs w:val="21"/>
              </w:rPr>
            </w:pPr>
            <w:r w:rsidRPr="00DC2E32">
              <w:rPr>
                <w:rFonts w:ascii="方正新书宋简体" w:eastAsia="方正新书宋简体" w:hAnsi="方正新书宋简体" w:cstheme="majorHAnsi" w:hint="eastAsia"/>
                <w:b/>
                <w:bCs/>
                <w:color w:val="000000" w:themeColor="text1"/>
                <w:szCs w:val="21"/>
              </w:rPr>
              <w:t>需要补充或修改的其他内容</w:t>
            </w:r>
          </w:p>
        </w:tc>
      </w:tr>
      <w:tr w:rsidR="00674568" w:rsidRPr="00DC2E32" w14:paraId="5D08959D" w14:textId="77777777" w:rsidTr="00A939DD">
        <w:trPr>
          <w:trHeight w:val="454"/>
        </w:trPr>
        <w:tc>
          <w:tcPr>
            <w:tcW w:w="988" w:type="dxa"/>
            <w:vAlign w:val="center"/>
          </w:tcPr>
          <w:p w14:paraId="338A399B"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w:t>
            </w:r>
          </w:p>
        </w:tc>
        <w:tc>
          <w:tcPr>
            <w:tcW w:w="8640" w:type="dxa"/>
            <w:vAlign w:val="center"/>
          </w:tcPr>
          <w:p w14:paraId="58D0CE3E" w14:textId="77777777" w:rsidR="00674568" w:rsidRPr="00DC2E32" w:rsidRDefault="00674568" w:rsidP="00A939DD">
            <w:pPr>
              <w:widowControl w:val="0"/>
              <w:topLinePunct/>
              <w:snapToGrid w:val="0"/>
              <w:spacing w:before="40" w:after="40" w:line="32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将评标办法原文第1条“评标方法”改为“评标方法、组织及工作程序”，原文内容修改如下：</w:t>
            </w:r>
          </w:p>
          <w:p w14:paraId="5D84FFAE" w14:textId="77777777" w:rsidR="00674568" w:rsidRPr="00DC2E32" w:rsidRDefault="00674568" w:rsidP="00A939DD">
            <w:pPr>
              <w:widowControl w:val="0"/>
              <w:topLinePunct/>
              <w:snapToGrid w:val="0"/>
              <w:spacing w:before="40" w:after="40" w:line="320" w:lineRule="atLeast"/>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1.评标方法、组织及工作程序</w:t>
            </w:r>
          </w:p>
          <w:p w14:paraId="5251AA46" w14:textId="77777777" w:rsidR="00674568" w:rsidRPr="00DC2E32" w:rsidRDefault="00674568" w:rsidP="00A939DD">
            <w:pPr>
              <w:widowControl w:val="0"/>
              <w:topLinePunct/>
              <w:snapToGrid w:val="0"/>
              <w:spacing w:before="40" w:after="40" w:line="320" w:lineRule="atLeast"/>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1.1评标方法</w:t>
            </w:r>
          </w:p>
          <w:p w14:paraId="21FE2722"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本次评标采用双信封的技术评分最低标价法。评标委员会对满足招标文件实质性要求的投标文件，按照本章第2.2款规定对通过初步评审的投标人的施工组织设计、主要人员、其他因素等进行评分，按照得分由高到低排序，对排名在招标文件规定数量前5名（不少于3名但不足5名时，按全部实际数量）的投标人的报价文件进行评审，按照评标价由低到高的顺序推荐中标候选人的评标方法。但投标报价低于其成本的除外。评标价相等时，评标委员会应按照评标办法前附表规定的优先次序推荐中标候选人或确定中标人。</w:t>
            </w:r>
          </w:p>
          <w:p w14:paraId="2E3005D0" w14:textId="77777777" w:rsidR="00674568" w:rsidRPr="00DC2E32" w:rsidRDefault="00674568" w:rsidP="00A939DD">
            <w:pPr>
              <w:widowControl w:val="0"/>
              <w:topLinePunct/>
              <w:snapToGrid w:val="0"/>
              <w:spacing w:before="40" w:after="40" w:line="320" w:lineRule="atLeast"/>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1.2评标组织</w:t>
            </w:r>
          </w:p>
          <w:p w14:paraId="035BDAD4" w14:textId="77777777" w:rsidR="00674568" w:rsidRPr="00DC2E32" w:rsidRDefault="00674568" w:rsidP="00A939DD">
            <w:pPr>
              <w:widowControl w:val="0"/>
              <w:topLinePunct/>
              <w:snapToGrid w:val="0"/>
              <w:spacing w:before="40" w:after="40" w:line="320" w:lineRule="atLeast"/>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1.2.1协助工作组</w:t>
            </w:r>
          </w:p>
          <w:p w14:paraId="75E69775"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招标人可在评标工作开始前成立协助工作组，选派熟悉招标工作、政治素质高的人员组成，协助评标委员会工作。协助工作组人员的具体数量由招标人视评标工作量确定。</w:t>
            </w:r>
          </w:p>
          <w:p w14:paraId="2A4D564C"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招标人可以协助评标委员会开展下列工作并提供相关信息：</w:t>
            </w:r>
          </w:p>
          <w:p w14:paraId="73F45F92"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（1）根据招标文件，编制评标使用的相应表格；</w:t>
            </w:r>
          </w:p>
          <w:p w14:paraId="01036C90"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（2）以评标标准和方法为依据，列出投标文件相对于招标文件的所有偏差，并进行归类汇总；</w:t>
            </w:r>
          </w:p>
          <w:p w14:paraId="7B6881FD"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（3）查询公路建设市场信用信息管理系统，对投标人的资质、业绩、主要人员资历和目前在岗情况、信用等级进行核实。</w:t>
            </w:r>
          </w:p>
          <w:p w14:paraId="734FB128"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招标人不得对投标文件作出任何评价，不得故意遗漏或者片面摘录，不得在评标委员会对所有偏差定性之前透露存有偏差的投标人名称。</w:t>
            </w:r>
          </w:p>
          <w:p w14:paraId="534C46A3" w14:textId="77777777" w:rsidR="00674568" w:rsidRPr="00DC2E32" w:rsidRDefault="00674568" w:rsidP="00A939DD">
            <w:pPr>
              <w:widowControl w:val="0"/>
              <w:topLinePunct/>
              <w:snapToGrid w:val="0"/>
              <w:spacing w:before="40" w:after="40" w:line="320" w:lineRule="atLeast"/>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1.2.2评标委员会</w:t>
            </w:r>
          </w:p>
          <w:p w14:paraId="303EC5D7"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评标委员会由招标人按国家、广东省等的有关规定依法组建。评标委员会的主要工作内容包括：</w:t>
            </w:r>
          </w:p>
          <w:p w14:paraId="73388EC9"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（1）评标委员会开始评标工作之前，首先听取招标人、协助工作组关于工程情况和辅助工作的说明，并认真研读招标文件，获取评标所需的重要信息和数据；</w:t>
            </w:r>
          </w:p>
          <w:p w14:paraId="5BCAB260"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（2）对协助工作组提供的评标工作用表和评标内容进行核查。</w:t>
            </w:r>
          </w:p>
          <w:p w14:paraId="0A29E25F"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（3）按照以下1.3款程序进行各项评审工作。</w:t>
            </w:r>
          </w:p>
          <w:p w14:paraId="03DE13A8" w14:textId="77777777" w:rsidR="00674568" w:rsidRPr="00DC2E32" w:rsidRDefault="00674568" w:rsidP="00A939DD">
            <w:pPr>
              <w:widowControl w:val="0"/>
              <w:topLinePunct/>
              <w:snapToGrid w:val="0"/>
              <w:spacing w:before="40" w:after="40" w:line="320" w:lineRule="atLeast"/>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1.3评审工作程序</w:t>
            </w:r>
          </w:p>
          <w:p w14:paraId="79A4CFE5"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（一）第一信封（商务及技术文件）：</w:t>
            </w:r>
          </w:p>
          <w:p w14:paraId="42C8896A"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l、初步评审：包括形式评审与响应性评审、资格评审；</w:t>
            </w:r>
          </w:p>
          <w:p w14:paraId="224C7FDA"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详细评审（评审打分）：评标委员会首先对通过第一信封初步评审的投标文件进行详细评审，对投标人的施工组织设计、主要人员、其他因素等分别评审打分，并按照综合得分由高到低排序，排名在招标文件规定数量前5名（不少于3名但不足5名的，按全部实际数量）的投标人，其投标文件第一信封（商务及技术文件）通过详细评审。</w:t>
            </w:r>
          </w:p>
          <w:p w14:paraId="6BD18797"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（二）第二信封（报价文件）：</w:t>
            </w:r>
          </w:p>
          <w:p w14:paraId="604B8AF0"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1、初步评审：只有对投标文件第一个信封通过详细评审的投标人的报价文件才能继续参加第二信封报价文件的形式评审与响应性评审。</w:t>
            </w:r>
          </w:p>
          <w:p w14:paraId="4D1E065C"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2、详细评审：计算评标价。</w:t>
            </w:r>
          </w:p>
          <w:p w14:paraId="13E6C3DA"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（三）投标文件相关信息的核查。</w:t>
            </w:r>
          </w:p>
          <w:p w14:paraId="16F4402A"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lastRenderedPageBreak/>
              <w:t>（四）投标文件的澄清和说明（如有）</w:t>
            </w:r>
          </w:p>
          <w:p w14:paraId="334E470D" w14:textId="77777777" w:rsidR="00674568" w:rsidRPr="00DC2E32" w:rsidRDefault="00674568" w:rsidP="00A939DD">
            <w:pPr>
              <w:widowControl w:val="0"/>
              <w:topLinePunct/>
              <w:snapToGrid w:val="0"/>
              <w:spacing w:before="40" w:after="40" w:line="320" w:lineRule="atLeast"/>
              <w:ind w:firstLineChars="200" w:firstLine="420"/>
              <w:jc w:val="lef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（五）按评标办法规定按照第二信封的评标价由低到高的顺序推荐中标候选人，编写评标报告。</w:t>
            </w:r>
          </w:p>
        </w:tc>
      </w:tr>
      <w:tr w:rsidR="00674568" w:rsidRPr="00DC2E32" w14:paraId="16FD1BAB" w14:textId="77777777" w:rsidTr="00A939DD">
        <w:trPr>
          <w:trHeight w:val="454"/>
        </w:trPr>
        <w:tc>
          <w:tcPr>
            <w:tcW w:w="988" w:type="dxa"/>
            <w:vAlign w:val="center"/>
          </w:tcPr>
          <w:p w14:paraId="2D608459"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lastRenderedPageBreak/>
              <w:t>3.2.2</w:t>
            </w:r>
          </w:p>
        </w:tc>
        <w:tc>
          <w:tcPr>
            <w:tcW w:w="8640" w:type="dxa"/>
            <w:vAlign w:val="center"/>
          </w:tcPr>
          <w:p w14:paraId="6AC21BC7" w14:textId="77777777" w:rsidR="00674568" w:rsidRPr="00DC2E32" w:rsidRDefault="00674568" w:rsidP="00A939DD">
            <w:pPr>
              <w:widowControl w:val="0"/>
              <w:topLinePunct/>
              <w:snapToGrid w:val="0"/>
              <w:spacing w:before="40" w:after="40" w:line="32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将评标办法原文第3.2.2项修改如下：</w:t>
            </w:r>
          </w:p>
          <w:p w14:paraId="33B08C24"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投标人的商务和技术得分分值计算保留小数点后三位，小数点后第四位“四舍五入”。</w:t>
            </w:r>
          </w:p>
        </w:tc>
      </w:tr>
      <w:tr w:rsidR="00674568" w:rsidRPr="00DC2E32" w14:paraId="502B11A1" w14:textId="77777777" w:rsidTr="00A939DD">
        <w:trPr>
          <w:trHeight w:val="454"/>
        </w:trPr>
        <w:tc>
          <w:tcPr>
            <w:tcW w:w="988" w:type="dxa"/>
            <w:vAlign w:val="center"/>
          </w:tcPr>
          <w:p w14:paraId="071B39C1"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3.2.3</w:t>
            </w:r>
          </w:p>
        </w:tc>
        <w:tc>
          <w:tcPr>
            <w:tcW w:w="8640" w:type="dxa"/>
            <w:vAlign w:val="center"/>
          </w:tcPr>
          <w:p w14:paraId="3A83514B" w14:textId="77777777" w:rsidR="00674568" w:rsidRPr="00DC2E32" w:rsidRDefault="00674568" w:rsidP="00A939DD">
            <w:pPr>
              <w:topLinePunct/>
              <w:snapToGrid w:val="0"/>
              <w:spacing w:before="40" w:after="40" w:line="320" w:lineRule="atLeast"/>
              <w:rPr>
                <w:rFonts w:ascii="方正新书宋简体" w:eastAsia="方正新书宋简体" w:hAnsi="方正新书宋简体" w:cstheme="majorHAnsi"/>
                <w:color w:val="000000" w:themeColor="text1"/>
              </w:rPr>
            </w:pPr>
            <w:r w:rsidRPr="00DC2E32">
              <w:rPr>
                <w:rFonts w:ascii="方正新书宋简体" w:eastAsia="方正新书宋简体" w:hAnsi="方正新书宋简体" w:cstheme="majorHAnsi" w:hint="eastAsia"/>
                <w:color w:val="000000" w:themeColor="text1"/>
              </w:rPr>
              <w:t>将评标办法范本原文第3.2.3项细化如下：</w:t>
            </w:r>
          </w:p>
          <w:p w14:paraId="5AD27C37"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投标人的商务和技术得分=A+B+C。</w:t>
            </w:r>
          </w:p>
          <w:p w14:paraId="57F43F3E"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除履约信誉、技术能力得分外，投标文件各评分因素细分项得分均不应低于其权重分的60%，评分低于权重分值60%的，评标委员会成员应当在评标报告中作出说明。计算投标人技术得分时：对各评分因素细分项中取消一个最高、一个最低分后计算算术平均值的和为投标人的最终技术得分，平均值计算保留小数点后三位，小数点后第四位“四舍五入”。</w:t>
            </w:r>
          </w:p>
        </w:tc>
      </w:tr>
      <w:tr w:rsidR="00674568" w:rsidRPr="00DC2E32" w14:paraId="73A1057F" w14:textId="77777777" w:rsidTr="00A939DD">
        <w:trPr>
          <w:trHeight w:val="454"/>
        </w:trPr>
        <w:tc>
          <w:tcPr>
            <w:tcW w:w="988" w:type="dxa"/>
            <w:vAlign w:val="center"/>
          </w:tcPr>
          <w:p w14:paraId="1F501ABE"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3.6</w:t>
            </w:r>
          </w:p>
        </w:tc>
        <w:tc>
          <w:tcPr>
            <w:tcW w:w="8640" w:type="dxa"/>
            <w:vAlign w:val="center"/>
          </w:tcPr>
          <w:p w14:paraId="5F1EA8EA" w14:textId="77777777" w:rsidR="00674568" w:rsidRPr="00DC2E32" w:rsidRDefault="00674568" w:rsidP="00A939DD">
            <w:pPr>
              <w:widowControl w:val="0"/>
              <w:topLinePunct/>
              <w:snapToGrid w:val="0"/>
              <w:spacing w:before="40" w:after="40" w:line="32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3.6.2项（2）目末增加以下条款：</w:t>
            </w:r>
          </w:p>
          <w:p w14:paraId="3642F432"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g.当一家以上投标人评标价相同时，若各投标人工程量清单细目单价也相同，视为串标（一个标段仅一工作细目报价的除外）。</w:t>
            </w:r>
          </w:p>
          <w:p w14:paraId="419EFE2D"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h.广东省实施《中华人民共和国招标投标法》办法第十六条规定的情形。</w:t>
            </w:r>
          </w:p>
          <w:p w14:paraId="0B89E04A"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增加3.6.3项：</w:t>
            </w:r>
          </w:p>
          <w:p w14:paraId="436E257D"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3.6.3依法必须进行招标的项目，除第一中标候选人或者中标人，其他投标人存在串通投标、弄虚作假、行贿情形且在评标过程中未被发现的，视为对中标结果没有造成实质性影响，招标人可以依法继续开展招标活动。投标人的违法行为由行政监督部门依法处理。</w:t>
            </w:r>
          </w:p>
        </w:tc>
      </w:tr>
      <w:tr w:rsidR="00674568" w:rsidRPr="00DC2E32" w14:paraId="142C903C" w14:textId="77777777" w:rsidTr="00A939DD">
        <w:trPr>
          <w:trHeight w:val="454"/>
        </w:trPr>
        <w:tc>
          <w:tcPr>
            <w:tcW w:w="988" w:type="dxa"/>
            <w:vAlign w:val="center"/>
          </w:tcPr>
          <w:p w14:paraId="035CD838" w14:textId="77777777" w:rsidR="00674568" w:rsidRPr="00DC2E32" w:rsidRDefault="00674568" w:rsidP="00A939DD">
            <w:pPr>
              <w:widowControl w:val="0"/>
              <w:topLinePunct/>
              <w:snapToGrid w:val="0"/>
              <w:spacing w:before="40" w:after="40" w:line="320" w:lineRule="atLeast"/>
              <w:jc w:val="center"/>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3.9</w:t>
            </w:r>
          </w:p>
        </w:tc>
        <w:tc>
          <w:tcPr>
            <w:tcW w:w="8640" w:type="dxa"/>
            <w:vAlign w:val="center"/>
          </w:tcPr>
          <w:p w14:paraId="1BDF9238" w14:textId="77777777" w:rsidR="00674568" w:rsidRPr="00DC2E32" w:rsidRDefault="00674568" w:rsidP="00A939DD">
            <w:pPr>
              <w:widowControl w:val="0"/>
              <w:topLinePunct/>
              <w:snapToGrid w:val="0"/>
              <w:spacing w:before="40" w:after="40" w:line="320" w:lineRule="atLeast"/>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增加3.9.3-3.9.7项：</w:t>
            </w:r>
          </w:p>
          <w:p w14:paraId="6AF938D2"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3.9.3推荐中标候选人方式：按合同段最高投标限价高低顺序依次选定各合同段中标候选人，如果出现投标人在多个合同段都排名第一，将确定该投标人为最高投标限价较高的合同段的第一中标候选人，同时该投标人自动失去在本次招标中其他合同段的中标候选人资格，其他合同段的综合排名名次高者自动上升为中标候选人，如此类推。</w:t>
            </w:r>
          </w:p>
          <w:p w14:paraId="7605BF41"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3.9.4通过第一信封商务及技术文件评审的投标人少于3个的，评标委员会应否决全部投标。</w:t>
            </w:r>
          </w:p>
          <w:p w14:paraId="55872144"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3.9.5通过第一信封商务及技术文件评审的投标人在3个及以上的，招标人应当按照招标文件规定的程序进行第二信封报价文件开标；在对报价文件进行评审后，有效投标不足3个的，评标委员会可以否决全部投标。未否决全部投标的，评标委员会应当在评标报告中阐明理由并推荐中标候选人。</w:t>
            </w:r>
          </w:p>
          <w:p w14:paraId="3C1402E6"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3.9.6如果发生无法确定推荐中标候选人的其它意外情况，评标委员会可建议招标人重新招标。</w:t>
            </w:r>
          </w:p>
          <w:p w14:paraId="66BFF92F"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3.9.7本招标文件规定的否决投标条款包含在以下条款：</w:t>
            </w:r>
          </w:p>
          <w:p w14:paraId="6DC772C9"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（1）招标公告第3点投标人资格要求；</w:t>
            </w:r>
          </w:p>
          <w:p w14:paraId="178B8CBF"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（2）投标人须知1.4.3项、1.4.4项、1.4.5项、1.11.1项、1.12.2项、3.4.2项、3.5.11项、3.6.1项；</w:t>
            </w:r>
          </w:p>
          <w:p w14:paraId="5FA33B73" w14:textId="77777777" w:rsidR="00674568" w:rsidRPr="00DC2E32" w:rsidRDefault="00674568" w:rsidP="00A939DD">
            <w:pPr>
              <w:widowControl w:val="0"/>
              <w:topLinePunct/>
              <w:snapToGrid w:val="0"/>
              <w:spacing w:before="40" w:after="40" w:line="320" w:lineRule="atLeast"/>
              <w:ind w:firstLineChars="200" w:firstLine="420"/>
              <w:rPr>
                <w:rFonts w:ascii="方正新书宋简体" w:eastAsia="方正新书宋简体" w:hAnsi="方正新书宋简体" w:cstheme="majorHAnsi"/>
                <w:color w:val="000000" w:themeColor="text1"/>
                <w:szCs w:val="21"/>
              </w:rPr>
            </w:pPr>
            <w:r w:rsidRPr="00DC2E32">
              <w:rPr>
                <w:rFonts w:ascii="方正新书宋简体" w:eastAsia="方正新书宋简体" w:hAnsi="方正新书宋简体" w:cstheme="majorHAnsi" w:hint="eastAsia"/>
                <w:color w:val="000000" w:themeColor="text1"/>
                <w:szCs w:val="21"/>
              </w:rPr>
              <w:t>（3）本评标办法的否决条款。</w:t>
            </w:r>
          </w:p>
        </w:tc>
      </w:tr>
    </w:tbl>
    <w:p w14:paraId="0CA5FF07" w14:textId="77777777" w:rsidR="00674568" w:rsidRPr="00DC2E32" w:rsidRDefault="00674568" w:rsidP="00674568">
      <w:pPr>
        <w:wordWrap w:val="0"/>
        <w:topLinePunct/>
        <w:snapToGrid w:val="0"/>
        <w:rPr>
          <w:rFonts w:ascii="方正新书宋简体" w:eastAsia="方正新书宋简体" w:hAnsi="方正新书宋简体" w:cstheme="majorHAnsi"/>
          <w:color w:val="000000" w:themeColor="text1"/>
        </w:rPr>
      </w:pPr>
      <w:bookmarkStart w:id="3" w:name="_Hlk132361122"/>
    </w:p>
    <w:bookmarkEnd w:id="1"/>
    <w:p w14:paraId="57356FFB" w14:textId="77777777" w:rsidR="00674568" w:rsidRPr="00DC2E32" w:rsidRDefault="00674568" w:rsidP="00674568">
      <w:pPr>
        <w:wordWrap w:val="0"/>
        <w:topLinePunct/>
        <w:snapToGrid w:val="0"/>
        <w:rPr>
          <w:rFonts w:ascii="方正新书宋简体" w:eastAsia="方正新书宋简体" w:hAnsi="方正新书宋简体" w:cstheme="majorHAnsi"/>
          <w:color w:val="000000" w:themeColor="text1"/>
        </w:rPr>
        <w:sectPr w:rsidR="00674568" w:rsidRPr="00DC2E32" w:rsidSect="003C6513">
          <w:pgSz w:w="11906" w:h="16838" w:code="9"/>
          <w:pgMar w:top="1134" w:right="1134" w:bottom="1134" w:left="1134" w:header="851" w:footer="851" w:gutter="0"/>
          <w:cols w:space="425"/>
          <w:docGrid w:type="linesAndChars" w:linePitch="312"/>
        </w:sectPr>
      </w:pPr>
    </w:p>
    <w:p w14:paraId="3815D21E" w14:textId="77777777" w:rsidR="00674568" w:rsidRPr="00DC2E32" w:rsidRDefault="00674568" w:rsidP="00674568">
      <w:pPr>
        <w:widowControl w:val="0"/>
        <w:tabs>
          <w:tab w:val="left" w:pos="3189"/>
        </w:tabs>
        <w:topLinePunct/>
        <w:adjustRightInd w:val="0"/>
        <w:snapToGrid w:val="0"/>
        <w:spacing w:line="400" w:lineRule="atLeast"/>
        <w:rPr>
          <w:rFonts w:ascii="方正新书宋简体" w:eastAsia="方正新书宋简体" w:hAnsi="方正新书宋简体" w:cstheme="majorHAnsi"/>
          <w:b/>
          <w:bCs/>
          <w:color w:val="000000" w:themeColor="text1"/>
          <w:szCs w:val="21"/>
          <w:lang w:val="zh-CN"/>
        </w:rPr>
      </w:pPr>
      <w:bookmarkStart w:id="4" w:name="_Toc99818247"/>
      <w:bookmarkStart w:id="5" w:name="_Toc96779108"/>
      <w:bookmarkStart w:id="6" w:name="_Toc101097754"/>
      <w:bookmarkStart w:id="7" w:name="_Toc93893426"/>
      <w:bookmarkStart w:id="8" w:name="_Toc102580748"/>
      <w:bookmarkStart w:id="9" w:name="_Toc103109513"/>
      <w:r w:rsidRPr="00DC2E32">
        <w:rPr>
          <w:rFonts w:ascii="方正新书宋简体" w:eastAsia="方正新书宋简体" w:hAnsi="方正新书宋简体" w:cstheme="majorHAnsi" w:hint="eastAsia"/>
          <w:b/>
          <w:bCs/>
          <w:color w:val="000000" w:themeColor="text1"/>
          <w:szCs w:val="21"/>
          <w:lang w:val="zh-CN"/>
        </w:rPr>
        <w:lastRenderedPageBreak/>
        <w:t>1.评标方法</w:t>
      </w:r>
      <w:bookmarkEnd w:id="4"/>
      <w:bookmarkEnd w:id="5"/>
      <w:bookmarkEnd w:id="6"/>
      <w:bookmarkEnd w:id="7"/>
      <w:bookmarkEnd w:id="8"/>
      <w:bookmarkEnd w:id="9"/>
    </w:p>
    <w:p w14:paraId="382A8BE3"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本次评标采用技术评分最低标价法。评标委员会对满足招标文件实质性要求的投标文件的施工组织设计、主要人员、技术能力等因素进行评分，按照得分由高到低排序，对排名在招标文件规定数量以内的投标人的报价文件进行评审，按照评标价由低到高的顺序推荐中标候选人，或根据招标人授权直接确定中标人，但投标报价低于其成本的除外。评标价相等时，评标委员会应按照评标办法前附表规定的优先次序推荐中标候选人或确定中标人。</w:t>
      </w:r>
    </w:p>
    <w:p w14:paraId="534545C7" w14:textId="77777777" w:rsidR="00674568" w:rsidRPr="00DC2E32" w:rsidRDefault="00674568" w:rsidP="00674568">
      <w:pPr>
        <w:widowControl w:val="0"/>
        <w:tabs>
          <w:tab w:val="left" w:pos="3189"/>
        </w:tabs>
        <w:topLinePunct/>
        <w:adjustRightInd w:val="0"/>
        <w:snapToGrid w:val="0"/>
        <w:spacing w:line="400" w:lineRule="atLeast"/>
        <w:rPr>
          <w:rFonts w:ascii="方正新书宋简体" w:eastAsia="方正新书宋简体" w:hAnsi="方正新书宋简体" w:cstheme="majorHAnsi"/>
          <w:b/>
          <w:bCs/>
          <w:color w:val="000000" w:themeColor="text1"/>
          <w:szCs w:val="21"/>
          <w:lang w:val="zh-CN"/>
        </w:rPr>
      </w:pPr>
      <w:bookmarkStart w:id="10" w:name="_Toc93893427"/>
      <w:bookmarkStart w:id="11" w:name="_Toc99818248"/>
      <w:bookmarkStart w:id="12" w:name="_Toc101097755"/>
      <w:bookmarkStart w:id="13" w:name="_Toc96779109"/>
      <w:bookmarkStart w:id="14" w:name="_Toc102580749"/>
      <w:bookmarkStart w:id="15" w:name="_Toc103109514"/>
      <w:r w:rsidRPr="00DC2E32">
        <w:rPr>
          <w:rFonts w:ascii="方正新书宋简体" w:eastAsia="方正新书宋简体" w:hAnsi="方正新书宋简体" w:cstheme="majorHAnsi" w:hint="eastAsia"/>
          <w:b/>
          <w:bCs/>
          <w:color w:val="000000" w:themeColor="text1"/>
          <w:szCs w:val="21"/>
          <w:lang w:val="zh-CN"/>
        </w:rPr>
        <w:t>2.评审标准</w:t>
      </w:r>
      <w:bookmarkEnd w:id="10"/>
      <w:bookmarkEnd w:id="11"/>
      <w:bookmarkEnd w:id="12"/>
      <w:bookmarkEnd w:id="13"/>
      <w:bookmarkEnd w:id="14"/>
      <w:bookmarkEnd w:id="15"/>
    </w:p>
    <w:p w14:paraId="2392B39E"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2.1初步评审标准</w:t>
      </w:r>
    </w:p>
    <w:p w14:paraId="4E018372"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2.1.1形式评审标准：见评标办法前附表。</w:t>
      </w:r>
    </w:p>
    <w:p w14:paraId="2B1C9E75"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2.1.2资格评审标准：见评标办法前附表（适用于未进行资格预审的）。</w:t>
      </w:r>
    </w:p>
    <w:p w14:paraId="03F7B384"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2.1.2资格评审标准：见资格预审文件第三章“资格审查办法”详细审查标准（适用于已进行资格预审的）。</w:t>
      </w:r>
    </w:p>
    <w:p w14:paraId="50AE8D98"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2.1.3响应性评审标准：见评标办法前附表。</w:t>
      </w:r>
    </w:p>
    <w:p w14:paraId="537AD45D"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2.2分值构成与评分标准</w:t>
      </w:r>
    </w:p>
    <w:p w14:paraId="2A31CCF4"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2.2.1第一个信封评分分值构成</w:t>
      </w:r>
    </w:p>
    <w:p w14:paraId="539065F6"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（1）施工组织设计：见评标办法前附表；</w:t>
      </w:r>
    </w:p>
    <w:p w14:paraId="65A4667B"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（2）主要人员：见评标办法前附表；</w:t>
      </w:r>
    </w:p>
    <w:p w14:paraId="6EFC6DE6"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（3）其他评分因素：见评标办法前附表。</w:t>
      </w:r>
    </w:p>
    <w:p w14:paraId="6510FC00"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2.2.2第一个信封评分评分标准</w:t>
      </w:r>
    </w:p>
    <w:p w14:paraId="57A0781F"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（1）施工组织设计评分标准：见评标办法前附表；</w:t>
      </w:r>
    </w:p>
    <w:p w14:paraId="422D1B39"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（2）主要人员评分标准：见评标办法前附表；</w:t>
      </w:r>
    </w:p>
    <w:p w14:paraId="577A2B01"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（3）其他因素评分标准：见评标办法前附表。</w:t>
      </w:r>
    </w:p>
    <w:p w14:paraId="04D0A247"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2.2.3第二个信封详细评审标准：见评标办法前附表。</w:t>
      </w:r>
    </w:p>
    <w:p w14:paraId="52EE3A42" w14:textId="77777777" w:rsidR="00674568" w:rsidRPr="00DC2E32" w:rsidRDefault="00674568" w:rsidP="00674568">
      <w:pPr>
        <w:widowControl w:val="0"/>
        <w:tabs>
          <w:tab w:val="left" w:pos="3189"/>
        </w:tabs>
        <w:topLinePunct/>
        <w:adjustRightInd w:val="0"/>
        <w:snapToGrid w:val="0"/>
        <w:spacing w:line="400" w:lineRule="atLeast"/>
        <w:rPr>
          <w:rFonts w:ascii="方正新书宋简体" w:eastAsia="方正新书宋简体" w:hAnsi="方正新书宋简体" w:cstheme="majorHAnsi"/>
          <w:b/>
          <w:bCs/>
          <w:color w:val="000000" w:themeColor="text1"/>
          <w:szCs w:val="21"/>
          <w:lang w:val="zh-CN"/>
        </w:rPr>
      </w:pPr>
      <w:bookmarkStart w:id="16" w:name="_Toc101097756"/>
      <w:bookmarkStart w:id="17" w:name="_Toc99818249"/>
      <w:bookmarkStart w:id="18" w:name="_Toc93893428"/>
      <w:bookmarkStart w:id="19" w:name="_Toc96779110"/>
      <w:bookmarkStart w:id="20" w:name="_Toc102580750"/>
      <w:bookmarkStart w:id="21" w:name="_Toc103109515"/>
      <w:r w:rsidRPr="00DC2E32">
        <w:rPr>
          <w:rFonts w:ascii="方正新书宋简体" w:eastAsia="方正新书宋简体" w:hAnsi="方正新书宋简体" w:cstheme="majorHAnsi" w:hint="eastAsia"/>
          <w:b/>
          <w:bCs/>
          <w:color w:val="000000" w:themeColor="text1"/>
          <w:szCs w:val="21"/>
          <w:lang w:val="zh-CN"/>
        </w:rPr>
        <w:t>3.评标程序</w:t>
      </w:r>
      <w:bookmarkEnd w:id="16"/>
      <w:bookmarkEnd w:id="17"/>
      <w:bookmarkEnd w:id="18"/>
      <w:bookmarkEnd w:id="19"/>
      <w:bookmarkEnd w:id="20"/>
      <w:bookmarkEnd w:id="21"/>
    </w:p>
    <w:p w14:paraId="183DE639"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3.1第一个信封初步评审</w:t>
      </w:r>
    </w:p>
    <w:p w14:paraId="19B5CFEF"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3.1.1评标委员会可以要求投标人提交第二章“投标人须知”第3.5.1项至第3.5.6项规定的有关证明和证件的原件，以便核验。评标委员会依据本章第2.1款规定的标准对投标文件第一个信封（商务及技术文件）进行初步评审。有一项不符合评审标准的，评标委员会应否决其投标。（适用于未进行资格预审的）</w:t>
      </w:r>
    </w:p>
    <w:p w14:paraId="6EF6B247"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3.1.1评标委员会依据本章第2.1.1项、第2.1.3项规定的评审标准对投标文件第一个信封（商务及技术文件）进行初步评审。有一项不符合评审标准的，评标委员会应否决其投标。当投标人资格预审申请文件的内容发生重大变化时，评标委员会依据本章第2.1.2项规定的标准对其更新资料进行评审。（适用于已进行资格预审的）</w:t>
      </w:r>
    </w:p>
    <w:p w14:paraId="09223F50"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3.2第一个信封详细评审</w:t>
      </w:r>
    </w:p>
    <w:p w14:paraId="01E39ABC"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3.2.1评标委员会按本章第2.2款规定的量化因素和分值进行打分，并计算出各投标人的商务和技术得分。</w:t>
      </w:r>
    </w:p>
    <w:p w14:paraId="13B3DA64"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（1）按本章第2.2.2项（1）目规定的评审因素和分值对施工组织设计部分计算出得分A；</w:t>
      </w:r>
    </w:p>
    <w:p w14:paraId="75CDFBBA"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lastRenderedPageBreak/>
        <w:t>（2）按本章第2.2.2项（2）目规定的评审因素和分值对主要人员部分计算出得分B；</w:t>
      </w:r>
    </w:p>
    <w:p w14:paraId="7A3F17C3"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（3）按本章第2.2.2项（3）目规定的评审因素和分值对其他部分计算出得分C。</w:t>
      </w:r>
    </w:p>
    <w:p w14:paraId="617F8428"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3.2.2投标人的商务和技术得分分值计算保留小数点后两位，小数点后第三位“四舍五入”。</w:t>
      </w:r>
    </w:p>
    <w:p w14:paraId="73FDD728"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3.2.3投标人的商务和技术得分=A+B+C。</w:t>
      </w:r>
    </w:p>
    <w:p w14:paraId="6C34178F"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3.2.4评标委员会按照投标人的商务和技术得分由高到低排序，排名在评标办法前附表规定数量以内的投标人，其投标文件第一个信封（商务及技术文件）通过详细评审。</w:t>
      </w:r>
    </w:p>
    <w:p w14:paraId="2578B6DF"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3.2.5通过投标文件第一个信封（商务及技术文件）初步评审的投标人不少于3个且未超过评标办法前附表第3.2.4项规定数量的，均通过投标文件第一个信封（商务及技术文件）详细评审，不再对投标人的商务和技术文件进行评分。</w:t>
      </w:r>
    </w:p>
    <w:p w14:paraId="230C4E79"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3.3第二个信封开标</w:t>
      </w:r>
    </w:p>
    <w:p w14:paraId="2A2B3A0C"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第一个信封（商务及技术文件）评审结束后，招标人将按照第二章“投标人须知”第5.1款规定的时间和地点对通过投标文件第一个信封（商务及技术文件）评审的投标文件第二个信封（报价文件）进行开标。</w:t>
      </w:r>
    </w:p>
    <w:p w14:paraId="575E99C7"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3.4第二个信封初步评审</w:t>
      </w:r>
    </w:p>
    <w:p w14:paraId="633E42B4"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3.4.1评标委员会依据本章第2.1.1项、第2.1.3项规定的评审标准对投标文件第二个信封（报价文件）进行初步评审。有一项不符合评审标准的，评标委员会应否决其投标。</w:t>
      </w:r>
    </w:p>
    <w:p w14:paraId="6691E44E"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3.4.2投标报价有算术错误的，评标委员会按以下原则对投标报价进行修正，修正的价格经投标人书面确认后具有约束力。投标人不接受修正价格的，评标委员会应否决其投标。</w:t>
      </w:r>
    </w:p>
    <w:p w14:paraId="05F07A47"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（1）投标文件中的大写金额与小写金额不一致的，以大写金额为准；</w:t>
      </w:r>
    </w:p>
    <w:p w14:paraId="758FA585"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（2）总价金额与依据单价计算出的结果不一致的，以单价金额为准修正总价，但单价金额小数点有明显错误的除外;</w:t>
      </w:r>
    </w:p>
    <w:p w14:paraId="22CDD435"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（3）当单价与数量相乘不等于合价时，以单价计算为准，如果单价有明显的小数点位置差错，应以标出的合价为准，同时对单价予以修正；</w:t>
      </w:r>
    </w:p>
    <w:p w14:paraId="4D52B684"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（4）当各子目的合价累计不等于总价时，应以各子目合价累计数为准，修正总价。</w:t>
      </w:r>
    </w:p>
    <w:p w14:paraId="7930C7CE"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3.4.3工程量清单中的投标报价有其他错误的，评标委员会按以下原则对投标报价进行修正，修正的价格经投标人书面确认后具有约束力。投标人不接受修正价格的，评标委员会应否决其投标。</w:t>
      </w:r>
    </w:p>
    <w:p w14:paraId="5F6E3294"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219744A3"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14:paraId="4330F822"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（3）当单价与数量的乘积与合价（金额）虽然一致，但投标人修改了该子目的工程数量，则其合价按招标人给定的工程数量乘以投标人所报单价予以修正。</w:t>
      </w:r>
    </w:p>
    <w:p w14:paraId="48ABFECD"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3.4.4修正后的最终投标报价若超过最高投标限价（如有），评标委员会应否决其投标。</w:t>
      </w:r>
    </w:p>
    <w:p w14:paraId="095ADF22"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3.5第二个信封详细评审</w:t>
      </w:r>
    </w:p>
    <w:p w14:paraId="7E2EDAF6"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lastRenderedPageBreak/>
        <w:t>3.5.1评标委员会按本章第2.2款规定的量化因素和标准进行价格折算，计算出评标价，并编制价格比较一览表。</w:t>
      </w:r>
    </w:p>
    <w:p w14:paraId="669317BC"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3.5.2评标委员会发现投标人的报价明显低于其他投标报价，使得其投标报价可能低于其个别成本的，应要求该投标人作出书面说明并提供相应的证明材料。投标人不能合理说明或不能提供相应证明材料的，由评标委员会认定该投标人以低于成本报价竞标，并否决其投标。</w:t>
      </w:r>
    </w:p>
    <w:p w14:paraId="3402779E"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3.6投标文件相关信息的核查</w:t>
      </w:r>
    </w:p>
    <w:p w14:paraId="5DB3A696"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3.6.1在评标过程中，评标委员会应查询交通运输主管部门“公路建设市场信用信息管理系统”，对投标人的资质、业绩、主要人员资历和目前在岗情况、信用等级等信息进行核实。若投标文件载明的信息与交通运输主管部门“公路建设市场信用信息管理系统”发布的信息不符，使得投标人的资格条件不符合招标文件规定的，评标委员会应否决其投标。</w:t>
      </w:r>
    </w:p>
    <w:p w14:paraId="500ABF8D"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3.6.2评标委员会应对在评标过程中发现的投标人与投标人之间、投标人与招标人之间存在的串通投标的情形进行评审和认定。投标人存在串通投标、弄虚作假、行贿等违法行为的，评标委员会应否决其投标。</w:t>
      </w:r>
    </w:p>
    <w:p w14:paraId="4763761D"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（1）有下列情形之一的，属于投标人相互串通投标：</w:t>
      </w:r>
    </w:p>
    <w:p w14:paraId="4DB713F8"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a.投标人之间协商投标报价等投标文件的实质性内容；</w:t>
      </w:r>
    </w:p>
    <w:p w14:paraId="0385FE58"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b.投标人之间约定中标人；</w:t>
      </w:r>
    </w:p>
    <w:p w14:paraId="467B2300"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c.投标人之间约定部分投标人放弃投标或中标；</w:t>
      </w:r>
    </w:p>
    <w:p w14:paraId="7CFA9734"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d.属于同一集团、协会、商会等组织成员的投标人按照该组织要求协同投标；</w:t>
      </w:r>
    </w:p>
    <w:p w14:paraId="3487AEC9"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e.投标人之间为谋取中标或排斥特定投标人而采取的其他联合行动。</w:t>
      </w:r>
    </w:p>
    <w:p w14:paraId="54492976"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（2）有下列情形之一的，视为投标人相互串通投标：</w:t>
      </w:r>
    </w:p>
    <w:p w14:paraId="15C888E8"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a.不同投标人的投标文件由同一单位或个人编制；</w:t>
      </w:r>
    </w:p>
    <w:p w14:paraId="4938FB7B"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b.不同投标人委托同一单位或个人办理投标事宜；</w:t>
      </w:r>
    </w:p>
    <w:p w14:paraId="2A14774D"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c.不同投标人的投标文件载明的项目管理成员为同一人；</w:t>
      </w:r>
    </w:p>
    <w:p w14:paraId="6E3181BD"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d.不同投标人的投标文件异常一致或投标报价呈规律性差异；</w:t>
      </w:r>
    </w:p>
    <w:p w14:paraId="7C4B1569"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e.不同投标人的投标文件相互混装；</w:t>
      </w:r>
    </w:p>
    <w:p w14:paraId="678150C2"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f.不同投标人的投标保证金从同一单位或个人的账户转出。</w:t>
      </w:r>
    </w:p>
    <w:p w14:paraId="670406CE"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（3）有下列情形之一的，属于招标人与投标人串通投标：</w:t>
      </w:r>
    </w:p>
    <w:p w14:paraId="2085EEFF"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a.招标人在开标前开启投标文件并将有关信息泄露给其他投标人;</w:t>
      </w:r>
    </w:p>
    <w:p w14:paraId="4D2E5E2A"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b.招标人直接或间接向投标人泄露标底、评标委员会成员等信息；</w:t>
      </w:r>
    </w:p>
    <w:p w14:paraId="06DF4D93"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c.招标人明示或暗示投标人压低或抬高投标报价；</w:t>
      </w:r>
    </w:p>
    <w:p w14:paraId="3FAFAB7D"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d.招标人授意投标人撤换、修改投标文件；</w:t>
      </w:r>
    </w:p>
    <w:p w14:paraId="51529EE5"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e.招标人明示或暗示投标人为特定投标人中标提供方便；</w:t>
      </w:r>
    </w:p>
    <w:p w14:paraId="69A691C7"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f.招标人与投标人为谋求特定投标人中标而采取的其他串通行为。</w:t>
      </w:r>
    </w:p>
    <w:p w14:paraId="36337049"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（4）投标人有下列情形之一的，属于弄虚作假的行为：</w:t>
      </w:r>
    </w:p>
    <w:p w14:paraId="6E67770F"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a.使用通过受让或租借等方式获取的资格、资质证书投标；</w:t>
      </w:r>
    </w:p>
    <w:p w14:paraId="124F72CA"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b.使用伪造、变造的许可证件；</w:t>
      </w:r>
    </w:p>
    <w:p w14:paraId="0CF35813"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c.提供虚假的财务状况或业绩；</w:t>
      </w:r>
    </w:p>
    <w:p w14:paraId="6E867637"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lastRenderedPageBreak/>
        <w:t>d.提供虚假的项目负责人或主要技术人员简历、劳动关系证明；</w:t>
      </w:r>
    </w:p>
    <w:p w14:paraId="3772075B"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e.提供虚假的信用状况；</w:t>
      </w:r>
    </w:p>
    <w:p w14:paraId="2C90ECC6"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f.其他弄虚作假的行为。</w:t>
      </w:r>
    </w:p>
    <w:p w14:paraId="4ED8430B"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3.7投标文件的澄清和说明</w:t>
      </w:r>
    </w:p>
    <w:p w14:paraId="5990D20A"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3.7.1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23D6A9B1"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3.7.2澄清和说明不得超出投标文件的范围或改变投标文件的实质性内容（算术性错误的修正除外）。投标人的书面澄清、说明属于投标文件的组成部分。</w:t>
      </w:r>
    </w:p>
    <w:p w14:paraId="7D38BFE4"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3.7.3评标委员会不得暗示或诱导投标人作出澄清、说明，对投标人提交的澄清、说明有疑问的，可以要求投标人进一步澄清或说明，直至满足评标委员会的要求。</w:t>
      </w:r>
    </w:p>
    <w:p w14:paraId="052690CF"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3.7.4凡超出招标文件规定的或给发包人带来未曾要求的利益的变化、偏差或其他因素在评标时不予考虑。</w:t>
      </w:r>
    </w:p>
    <w:p w14:paraId="338DF5CB"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3.8不得否决投标的情形</w:t>
      </w:r>
    </w:p>
    <w:p w14:paraId="681B471C"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投标文件存在第二章“投标人须知”第1.12.3项所列情形的，均视为细微偏差，评标委员会不得否决投标人的投标，应按照第二章“投标人须知”第1.12.4项规定的原则处理。</w:t>
      </w:r>
    </w:p>
    <w:p w14:paraId="7983D941"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3.9评标结果</w:t>
      </w:r>
    </w:p>
    <w:p w14:paraId="52329BE2"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3.9.1除第二章“投标人须知”前附表授权直接确定中标人外，评标委员会按照评标价由低到高的顺序推荐中标候选人，并标明排序。</w:t>
      </w:r>
    </w:p>
    <w:p w14:paraId="7A92FDF2" w14:textId="77777777" w:rsidR="00674568" w:rsidRPr="00DC2E32" w:rsidRDefault="00674568" w:rsidP="00674568">
      <w:pPr>
        <w:widowControl w:val="0"/>
        <w:tabs>
          <w:tab w:val="left" w:pos="3189"/>
        </w:tabs>
        <w:topLinePunct/>
        <w:adjustRightInd w:val="0"/>
        <w:snapToGrid w:val="0"/>
        <w:spacing w:line="400" w:lineRule="atLeast"/>
        <w:ind w:firstLineChars="200" w:firstLine="420"/>
        <w:rPr>
          <w:rFonts w:ascii="方正新书宋简体" w:eastAsia="方正新书宋简体" w:hAnsi="方正新书宋简体" w:cstheme="majorHAnsi"/>
          <w:color w:val="000000" w:themeColor="text1"/>
          <w:szCs w:val="21"/>
          <w:lang w:val="zh-CN"/>
        </w:rPr>
      </w:pPr>
      <w:r w:rsidRPr="00DC2E32">
        <w:rPr>
          <w:rFonts w:ascii="方正新书宋简体" w:eastAsia="方正新书宋简体" w:hAnsi="方正新书宋简体" w:cstheme="majorHAnsi" w:hint="eastAsia"/>
          <w:color w:val="000000" w:themeColor="text1"/>
          <w:szCs w:val="21"/>
          <w:lang w:val="zh-CN"/>
        </w:rPr>
        <w:t>3.9.2评标委员会完成评标后，应向招标人提交书面评标报告。</w:t>
      </w:r>
    </w:p>
    <w:bookmarkEnd w:id="2"/>
    <w:bookmarkEnd w:id="3"/>
    <w:p w14:paraId="76B3D8D4" w14:textId="530B3060" w:rsidR="009C03F2" w:rsidRPr="00674568" w:rsidRDefault="009C03F2" w:rsidP="00674568"/>
    <w:sectPr w:rsidR="009C03F2" w:rsidRPr="00674568" w:rsidSect="00264485">
      <w:headerReference w:type="default" r:id="rId6"/>
      <w:footerReference w:type="default" r:id="rId7"/>
      <w:pgSz w:w="11906" w:h="16838" w:code="9"/>
      <w:pgMar w:top="1134" w:right="1134" w:bottom="1134" w:left="1134"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D906F" w14:textId="77777777" w:rsidR="004E3457" w:rsidRDefault="004E3457" w:rsidP="00264485">
      <w:pPr>
        <w:spacing w:line="240" w:lineRule="auto"/>
      </w:pPr>
      <w:r>
        <w:separator/>
      </w:r>
    </w:p>
  </w:endnote>
  <w:endnote w:type="continuationSeparator" w:id="0">
    <w:p w14:paraId="6A91222B" w14:textId="77777777" w:rsidR="004E3457" w:rsidRDefault="004E3457" w:rsidP="002644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embedRegular r:id="rId1" w:subsetted="1" w:fontKey="{6E615EAB-E3E8-4B4E-9557-BFB2B79C303B}"/>
  </w:font>
  <w:font w:name="Times New Roman">
    <w:panose1 w:val="02020603050405020304"/>
    <w:charset w:val="00"/>
    <w:family w:val="roman"/>
    <w:pitch w:val="variable"/>
    <w:sig w:usb0="E0002AFF" w:usb1="C0007843" w:usb2="00000009" w:usb3="00000000" w:csb0="000001FF" w:csb1="00000000"/>
    <w:embedRegular r:id="rId2" w:fontKey="{6578A2A5-1FD4-4D4F-91C4-8B23FB14D657}"/>
  </w:font>
  <w:font w:name="Calibri">
    <w:panose1 w:val="020F0502020204030204"/>
    <w:charset w:val="00"/>
    <w:family w:val="swiss"/>
    <w:pitch w:val="variable"/>
    <w:sig w:usb0="E0002AFF" w:usb1="4000ACFF" w:usb2="00000001" w:usb3="00000000" w:csb0="000001FF" w:csb1="00000000"/>
    <w:embedRegular r:id="rId3" w:fontKey="{83D47A15-AEF5-4CC0-8252-600FAFB0A901}"/>
  </w:font>
  <w:font w:name="宋体">
    <w:altName w:val="SimSun"/>
    <w:panose1 w:val="02010600030101010101"/>
    <w:charset w:val="86"/>
    <w:family w:val="auto"/>
    <w:pitch w:val="variable"/>
    <w:sig w:usb0="00000003" w:usb1="288F0000" w:usb2="00000016" w:usb3="00000000" w:csb0="00040001" w:csb1="00000000"/>
  </w:font>
  <w:font w:name="方正新书宋简体">
    <w:panose1 w:val="02000000000000000000"/>
    <w:charset w:val="86"/>
    <w:family w:val="script"/>
    <w:pitch w:val="fixed"/>
    <w:sig w:usb0="A00002BF" w:usb1="184F6CFA" w:usb2="00000012" w:usb3="00000000" w:csb0="00040001" w:csb1="00000000"/>
    <w:embedRegular r:id="rId4" w:subsetted="1" w:fontKey="{286EA30E-FDE1-4031-BB97-8B293EF4A08C}"/>
    <w:embedBold r:id="rId5" w:subsetted="1" w:fontKey="{13AB5C7F-BF8C-46F2-B865-D026E4E838F7}"/>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568310"/>
      <w:docPartObj>
        <w:docPartGallery w:val="Page Numbers (Bottom of Page)"/>
        <w:docPartUnique/>
      </w:docPartObj>
    </w:sdtPr>
    <w:sdtEndPr/>
    <w:sdtContent>
      <w:p w14:paraId="3C54ED46" w14:textId="5011427E" w:rsidR="00264485" w:rsidRDefault="00264485">
        <w:pPr>
          <w:pStyle w:val="a5"/>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CE7BB" w14:textId="77777777" w:rsidR="004E3457" w:rsidRDefault="004E3457" w:rsidP="00264485">
      <w:pPr>
        <w:spacing w:line="240" w:lineRule="auto"/>
      </w:pPr>
      <w:r>
        <w:separator/>
      </w:r>
    </w:p>
  </w:footnote>
  <w:footnote w:type="continuationSeparator" w:id="0">
    <w:p w14:paraId="1CE86A78" w14:textId="77777777" w:rsidR="004E3457" w:rsidRDefault="004E3457" w:rsidP="002644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6D9D" w14:textId="77777777" w:rsidR="00264485" w:rsidRDefault="00264485" w:rsidP="00264485">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4AA"/>
    <w:rsid w:val="00264485"/>
    <w:rsid w:val="002A40A2"/>
    <w:rsid w:val="003B44AA"/>
    <w:rsid w:val="00471FA9"/>
    <w:rsid w:val="004E3457"/>
    <w:rsid w:val="00674568"/>
    <w:rsid w:val="009C03F2"/>
    <w:rsid w:val="00BE739C"/>
    <w:rsid w:val="00CB6E35"/>
    <w:rsid w:val="00CD386B"/>
    <w:rsid w:val="00F12E7E"/>
    <w:rsid w:val="00FC469A"/>
    <w:rsid w:val="00FC6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CA4BB"/>
  <w15:chartTrackingRefBased/>
  <w15:docId w15:val="{C204F6BF-7DE2-4F84-9E6C-1D8AED3F9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4485"/>
    <w:pPr>
      <w:spacing w:line="360" w:lineRule="exact"/>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4485"/>
    <w:pPr>
      <w:widowControl w:val="0"/>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264485"/>
    <w:rPr>
      <w:sz w:val="18"/>
      <w:szCs w:val="18"/>
    </w:rPr>
  </w:style>
  <w:style w:type="paragraph" w:styleId="a5">
    <w:name w:val="footer"/>
    <w:basedOn w:val="a"/>
    <w:link w:val="a6"/>
    <w:uiPriority w:val="99"/>
    <w:unhideWhenUsed/>
    <w:rsid w:val="00264485"/>
    <w:pPr>
      <w:widowControl w:val="0"/>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264485"/>
    <w:rPr>
      <w:sz w:val="18"/>
      <w:szCs w:val="18"/>
    </w:rPr>
  </w:style>
  <w:style w:type="paragraph" w:customStyle="1" w:styleId="TableParagraph">
    <w:name w:val="Table Paragraph"/>
    <w:basedOn w:val="a"/>
    <w:uiPriority w:val="1"/>
    <w:qFormat/>
    <w:rsid w:val="00264485"/>
    <w:rPr>
      <w:rFonts w:ascii="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1507</Words>
  <Characters>8595</Characters>
  <Application>Microsoft Office Word</Application>
  <DocSecurity>0</DocSecurity>
  <Lines>71</Lines>
  <Paragraphs>20</Paragraphs>
  <ScaleCrop>false</ScaleCrop>
  <Company>深圳市招商工程项目管理有限公司</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伊西亚</dc:creator>
  <cp:keywords/>
  <dc:description/>
  <cp:lastModifiedBy>Ischia</cp:lastModifiedBy>
  <cp:revision>3</cp:revision>
  <dcterms:created xsi:type="dcterms:W3CDTF">2023-04-23T16:13:00Z</dcterms:created>
  <dcterms:modified xsi:type="dcterms:W3CDTF">2023-04-27T06:52:00Z</dcterms:modified>
</cp:coreProperties>
</file>