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360" w:lineRule="auto"/>
        <w:jc w:val="center"/>
        <w:rPr>
          <w:rFonts w:eastAsia="黑体"/>
          <w:sz w:val="30"/>
          <w:szCs w:val="30"/>
        </w:rPr>
      </w:pPr>
      <w:r>
        <w:rPr>
          <w:rFonts w:eastAsia="黑体"/>
          <w:sz w:val="30"/>
          <w:szCs w:val="30"/>
        </w:rPr>
        <w:t>评标办法(</w:t>
      </w:r>
      <w:r>
        <w:rPr>
          <w:rFonts w:hint="eastAsia" w:eastAsia="黑体"/>
          <w:sz w:val="30"/>
          <w:szCs w:val="30"/>
        </w:rPr>
        <w:t>综合评估法</w:t>
      </w:r>
      <w:r>
        <w:rPr>
          <w:rFonts w:eastAsia="黑体"/>
          <w:sz w:val="30"/>
          <w:szCs w:val="30"/>
        </w:rPr>
        <w:t>)</w:t>
      </w:r>
    </w:p>
    <w:p>
      <w:pPr>
        <w:wordWrap w:val="0"/>
        <w:topLinePunct/>
        <w:rPr>
          <w:b/>
          <w:szCs w:val="21"/>
        </w:rPr>
      </w:pPr>
      <w:r>
        <w:rPr>
          <w:b/>
          <w:szCs w:val="21"/>
        </w:rPr>
        <w:t>评标办法前附表</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1608"/>
        <w:gridCol w:w="6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418" w:type="dxa"/>
            <w:gridSpan w:val="2"/>
            <w:tcBorders>
              <w:top w:val="single" w:color="auto" w:sz="4" w:space="0"/>
              <w:bottom w:val="single" w:color="auto" w:sz="4" w:space="0"/>
              <w:right w:val="single" w:color="auto" w:sz="4" w:space="0"/>
            </w:tcBorders>
            <w:vAlign w:val="bottom"/>
          </w:tcPr>
          <w:p>
            <w:pPr>
              <w:wordWrap w:val="0"/>
              <w:topLinePunct/>
              <w:jc w:val="center"/>
              <w:rPr>
                <w:rFonts w:ascii="宋体" w:hAnsi="宋体" w:cs="宋体"/>
                <w:b/>
                <w:bCs/>
                <w:szCs w:val="21"/>
              </w:rPr>
            </w:pPr>
            <w:r>
              <w:rPr>
                <w:rFonts w:hint="eastAsia" w:ascii="宋体" w:hAnsi="宋体" w:cs="宋体"/>
                <w:b/>
                <w:bCs/>
                <w:szCs w:val="21"/>
              </w:rPr>
              <w:t>条款号</w:t>
            </w:r>
          </w:p>
        </w:tc>
        <w:tc>
          <w:tcPr>
            <w:tcW w:w="6110" w:type="dxa"/>
            <w:tcBorders>
              <w:top w:val="single" w:color="auto" w:sz="4" w:space="0"/>
              <w:left w:val="single" w:color="auto" w:sz="4" w:space="0"/>
              <w:bottom w:val="single" w:color="auto" w:sz="4" w:space="0"/>
            </w:tcBorders>
            <w:vAlign w:val="bottom"/>
          </w:tcPr>
          <w:p>
            <w:pPr>
              <w:wordWrap w:val="0"/>
              <w:topLinePunct/>
              <w:jc w:val="center"/>
              <w:rPr>
                <w:rFonts w:ascii="宋体" w:hAnsi="宋体" w:cs="宋体"/>
                <w:b/>
                <w:bCs/>
                <w:szCs w:val="21"/>
              </w:rPr>
            </w:pPr>
            <w:r>
              <w:rPr>
                <w:rFonts w:hint="eastAsia" w:ascii="宋体" w:hAnsi="宋体" w:cs="宋体"/>
                <w:b/>
                <w:bCs/>
                <w:szCs w:val="21"/>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0" w:type="dxa"/>
            <w:tcBorders>
              <w:top w:val="single" w:color="auto" w:sz="4" w:space="0"/>
              <w:bottom w:val="single" w:color="auto" w:sz="4" w:space="0"/>
              <w:right w:val="single" w:color="auto" w:sz="4" w:space="0"/>
            </w:tcBorders>
            <w:vAlign w:val="center"/>
          </w:tcPr>
          <w:p>
            <w:pPr>
              <w:wordWrap w:val="0"/>
              <w:topLinePunct/>
              <w:jc w:val="center"/>
              <w:rPr>
                <w:rFonts w:ascii="宋体" w:hAnsi="宋体" w:cs="宋体"/>
                <w:b/>
                <w:bCs/>
                <w:szCs w:val="21"/>
              </w:rPr>
            </w:pPr>
            <w:r>
              <w:rPr>
                <w:rFonts w:hint="eastAsia" w:ascii="宋体" w:hAnsi="宋体" w:cs="宋体"/>
                <w:b/>
                <w:bCs/>
                <w:szCs w:val="21"/>
              </w:rPr>
              <w:t>1</w:t>
            </w:r>
          </w:p>
        </w:tc>
        <w:tc>
          <w:tcPr>
            <w:tcW w:w="1608" w:type="dxa"/>
            <w:tcBorders>
              <w:top w:val="single" w:color="auto" w:sz="4" w:space="0"/>
              <w:bottom w:val="single" w:color="auto" w:sz="4" w:space="0"/>
              <w:right w:val="single" w:color="auto" w:sz="4" w:space="0"/>
            </w:tcBorders>
            <w:vAlign w:val="center"/>
          </w:tcPr>
          <w:p>
            <w:pPr>
              <w:wordWrap w:val="0"/>
              <w:topLinePunct/>
              <w:jc w:val="center"/>
              <w:rPr>
                <w:rFonts w:ascii="宋体" w:hAnsi="宋体" w:cs="宋体"/>
                <w:b/>
                <w:bCs/>
                <w:szCs w:val="21"/>
              </w:rPr>
            </w:pPr>
            <w:r>
              <w:rPr>
                <w:rFonts w:hint="eastAsia" w:ascii="宋体" w:hAnsi="宋体" w:cs="宋体"/>
                <w:szCs w:val="21"/>
              </w:rPr>
              <w:t>评标方法</w:t>
            </w:r>
          </w:p>
        </w:tc>
        <w:tc>
          <w:tcPr>
            <w:tcW w:w="6110" w:type="dxa"/>
            <w:tcBorders>
              <w:top w:val="single" w:color="auto" w:sz="4" w:space="0"/>
              <w:left w:val="single" w:color="auto" w:sz="4" w:space="0"/>
              <w:bottom w:val="single" w:color="auto" w:sz="4" w:space="0"/>
            </w:tcBorders>
            <w:vAlign w:val="center"/>
          </w:tcPr>
          <w:p>
            <w:pPr>
              <w:wordWrap w:val="0"/>
              <w:topLinePunct/>
              <w:rPr>
                <w:rFonts w:ascii="宋体" w:hAnsi="宋体" w:cs="宋体"/>
                <w:szCs w:val="21"/>
              </w:rPr>
            </w:pPr>
            <w:r>
              <w:rPr>
                <w:rFonts w:hint="eastAsia" w:ascii="宋体" w:hAnsi="宋体" w:cs="宋体"/>
                <w:szCs w:val="21"/>
              </w:rPr>
              <w:t>综合评分相等时，评标委员会依次按照以下优先顺序推荐中标候选人或确定中标人：</w:t>
            </w:r>
          </w:p>
          <w:p>
            <w:pPr>
              <w:wordWrap w:val="0"/>
              <w:topLinePunct/>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）评标价低的投标人优先；</w:t>
            </w:r>
          </w:p>
          <w:p>
            <w:pPr>
              <w:wordWrap w:val="0"/>
              <w:topLinePunct/>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）商务和技术得分较高的投标人优先；</w:t>
            </w:r>
          </w:p>
          <w:p>
            <w:pPr>
              <w:wordWrap w:val="0"/>
              <w:topLinePunct/>
              <w:ind w:firstLine="420" w:firstLineChars="200"/>
              <w:rPr>
                <w:rFonts w:ascii="宋体" w:hAnsi="宋体" w:cs="宋体"/>
                <w:b/>
                <w:bCs/>
                <w:szCs w:val="21"/>
              </w:rPr>
            </w:pPr>
            <w:r>
              <w:rPr>
                <w:rFonts w:hint="eastAsia" w:ascii="宋体" w:hAnsi="宋体" w:cs="宋体"/>
                <w:szCs w:val="21"/>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0" w:type="dxa"/>
            <w:tcBorders>
              <w:top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2.1.1</w:t>
            </w:r>
          </w:p>
          <w:p>
            <w:pPr>
              <w:wordWrap w:val="0"/>
              <w:topLinePunct/>
              <w:rPr>
                <w:rFonts w:ascii="宋体" w:hAnsi="宋体" w:cs="宋体"/>
                <w:szCs w:val="21"/>
              </w:rPr>
            </w:pPr>
            <w:r>
              <w:rPr>
                <w:rFonts w:hint="eastAsia" w:ascii="宋体" w:hAnsi="宋体" w:cs="宋体"/>
                <w:szCs w:val="21"/>
              </w:rPr>
              <w:t>2.1.3</w:t>
            </w:r>
          </w:p>
        </w:tc>
        <w:tc>
          <w:tcPr>
            <w:tcW w:w="1608" w:type="dxa"/>
            <w:tcBorders>
              <w:top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形式评审与响应性评审标准</w:t>
            </w:r>
          </w:p>
        </w:tc>
        <w:tc>
          <w:tcPr>
            <w:tcW w:w="6110" w:type="dxa"/>
            <w:tcBorders>
              <w:top w:val="single" w:color="auto" w:sz="4" w:space="0"/>
              <w:left w:val="single" w:color="auto" w:sz="4" w:space="0"/>
              <w:bottom w:val="single" w:color="auto" w:sz="4" w:space="0"/>
            </w:tcBorders>
            <w:vAlign w:val="center"/>
          </w:tcPr>
          <w:p>
            <w:pPr>
              <w:wordWrap w:val="0"/>
              <w:topLinePunct/>
              <w:rPr>
                <w:rFonts w:ascii="宋体" w:hAnsi="宋体" w:cs="宋体"/>
                <w:b/>
                <w:bCs/>
                <w:szCs w:val="21"/>
              </w:rPr>
            </w:pPr>
            <w:r>
              <w:rPr>
                <w:rFonts w:hint="eastAsia" w:ascii="宋体" w:hAnsi="宋体" w:cs="宋体"/>
                <w:b/>
                <w:bCs/>
                <w:szCs w:val="21"/>
              </w:rPr>
              <w:t>第一信封（商务及技术文件）的评审标准：</w:t>
            </w:r>
          </w:p>
          <w:p>
            <w:pPr>
              <w:wordWrap w:val="0"/>
              <w:topLinePunct/>
              <w:ind w:firstLine="420" w:firstLineChars="200"/>
              <w:rPr>
                <w:rFonts w:ascii="宋体" w:hAnsi="宋体" w:cs="宋体"/>
                <w:szCs w:val="21"/>
              </w:rPr>
            </w:pPr>
            <w:r>
              <w:rPr>
                <w:rFonts w:hint="eastAsia" w:ascii="宋体" w:hAnsi="宋体" w:cs="宋体"/>
                <w:szCs w:val="21"/>
              </w:rPr>
              <w:t>（1）投标文件按照招标文件规定的格式、内容填写，字迹清晰可辨：</w:t>
            </w:r>
          </w:p>
          <w:p>
            <w:pPr>
              <w:wordWrap w:val="0"/>
              <w:topLinePunct/>
              <w:ind w:firstLine="420" w:firstLineChars="200"/>
              <w:rPr>
                <w:rFonts w:ascii="宋体" w:hAnsi="宋体" w:cs="宋体"/>
                <w:szCs w:val="21"/>
              </w:rPr>
            </w:pPr>
            <w:r>
              <w:rPr>
                <w:rFonts w:hint="eastAsia" w:ascii="宋体" w:hAnsi="宋体" w:cs="宋体"/>
                <w:szCs w:val="21"/>
              </w:rPr>
              <w:t>a.投标函按招标文件规定填报了项目名称、补遗书编号（如有)、服务期限、质量要求及安全目标；</w:t>
            </w:r>
          </w:p>
          <w:p>
            <w:pPr>
              <w:wordWrap w:val="0"/>
              <w:topLinePunct/>
              <w:ind w:firstLine="420" w:firstLineChars="200"/>
              <w:rPr>
                <w:rFonts w:ascii="宋体" w:hAnsi="宋体" w:cs="宋体"/>
                <w:szCs w:val="21"/>
              </w:rPr>
            </w:pPr>
            <w:r>
              <w:rPr>
                <w:rFonts w:hint="eastAsia" w:ascii="宋体" w:hAnsi="宋体" w:cs="宋体"/>
                <w:szCs w:val="21"/>
              </w:rPr>
              <w:t>b.投标文件组成齐全完整，内容均按规定填写。</w:t>
            </w:r>
          </w:p>
          <w:p>
            <w:pPr>
              <w:wordWrap w:val="0"/>
              <w:topLinePunct/>
              <w:ind w:firstLine="420" w:firstLineChars="200"/>
              <w:rPr>
                <w:rFonts w:ascii="宋体" w:hAnsi="宋体" w:cs="宋体"/>
                <w:szCs w:val="21"/>
              </w:rPr>
            </w:pPr>
            <w:r>
              <w:rPr>
                <w:rFonts w:hint="eastAsia" w:ascii="宋体" w:hAnsi="宋体" w:cs="宋体"/>
                <w:szCs w:val="21"/>
              </w:rPr>
              <w:t>（2）投标文件上法定代表人或其委托代理人的签字、投标人的单位章盖章齐全，符合招标文件规定。</w:t>
            </w:r>
          </w:p>
          <w:p>
            <w:pPr>
              <w:wordWrap w:val="0"/>
              <w:topLinePunct/>
              <w:ind w:firstLine="420" w:firstLineChars="200"/>
              <w:rPr>
                <w:rFonts w:ascii="宋体" w:hAnsi="宋体" w:cs="宋体"/>
                <w:szCs w:val="21"/>
              </w:rPr>
            </w:pPr>
            <w:r>
              <w:rPr>
                <w:rFonts w:hint="eastAsia" w:ascii="宋体" w:hAnsi="宋体" w:cs="宋体"/>
                <w:szCs w:val="21"/>
              </w:rPr>
              <w:t>（3）投标人按照招标文件的规定提供了投标保证金：</w:t>
            </w:r>
          </w:p>
          <w:p>
            <w:pPr>
              <w:wordWrap w:val="0"/>
              <w:topLinePunct/>
              <w:ind w:firstLine="420" w:firstLineChars="200"/>
              <w:rPr>
                <w:rFonts w:ascii="宋体" w:hAnsi="宋体" w:cs="宋体"/>
                <w:szCs w:val="21"/>
              </w:rPr>
            </w:pPr>
            <w:r>
              <w:rPr>
                <w:rFonts w:hint="eastAsia" w:ascii="宋体" w:hAnsi="宋体" w:cs="宋体"/>
                <w:szCs w:val="21"/>
              </w:rPr>
              <w:t>a.投标保证金额符合招标文件规定的金额，</w:t>
            </w:r>
            <w:r>
              <w:rPr>
                <w:rFonts w:hint="eastAsia" w:ascii="宋体" w:hAnsi="宋体"/>
                <w:szCs w:val="21"/>
              </w:rPr>
              <w:t>且投标保证金有效期不少于投标有效期</w:t>
            </w:r>
            <w:r>
              <w:rPr>
                <w:rFonts w:hint="eastAsia" w:ascii="宋体" w:hAnsi="宋体" w:cs="宋体"/>
                <w:szCs w:val="21"/>
              </w:rPr>
              <w:t>；</w:t>
            </w:r>
          </w:p>
          <w:p>
            <w:pPr>
              <w:wordWrap w:val="0"/>
              <w:topLinePunct/>
              <w:ind w:firstLine="420" w:firstLineChars="200"/>
              <w:rPr>
                <w:rFonts w:ascii="宋体" w:hAnsi="宋体" w:cs="宋体"/>
                <w:szCs w:val="21"/>
              </w:rPr>
            </w:pPr>
            <w:r>
              <w:rPr>
                <w:rFonts w:hint="eastAsia" w:ascii="宋体" w:hAnsi="宋体" w:cs="宋体"/>
                <w:szCs w:val="21"/>
              </w:rPr>
              <w:t>b.若投标保证金采用现金（电汇）形式提交，投标人应在投标人须知3.4.1款规定的时间，将投标保证金由投标人的基本账户转入招标人指定账户；</w:t>
            </w:r>
          </w:p>
          <w:p>
            <w:pPr>
              <w:wordWrap w:val="0"/>
              <w:topLinePunct/>
              <w:ind w:firstLine="420" w:firstLineChars="200"/>
              <w:rPr>
                <w:rFonts w:ascii="宋体" w:hAnsi="宋体" w:cs="宋体"/>
                <w:szCs w:val="21"/>
              </w:rPr>
            </w:pPr>
            <w:r>
              <w:rPr>
                <w:rFonts w:hint="eastAsia" w:ascii="宋体" w:hAnsi="宋体" w:cs="宋体"/>
                <w:szCs w:val="21"/>
              </w:rPr>
              <w:t>c.若投标保证金采用银行保函或投标人须知前附表3.4.1项规定的其他形式提交，</w:t>
            </w:r>
            <w:r>
              <w:rPr>
                <w:rFonts w:hint="eastAsia" w:ascii="宋体" w:hAnsi="宋体" w:cs="宋体"/>
                <w:color w:val="auto"/>
                <w:szCs w:val="21"/>
              </w:rPr>
              <w:t>应</w:t>
            </w:r>
            <w:r>
              <w:rPr>
                <w:rFonts w:hint="eastAsia" w:ascii="宋体" w:hAnsi="宋体" w:cs="宋体"/>
                <w:szCs w:val="21"/>
              </w:rPr>
              <w:t>满足招标文件要求。</w:t>
            </w:r>
          </w:p>
          <w:p>
            <w:pPr>
              <w:tabs>
                <w:tab w:val="left" w:pos="917"/>
              </w:tabs>
              <w:wordWrap w:val="0"/>
              <w:topLinePunct/>
              <w:ind w:firstLine="420" w:firstLineChars="200"/>
              <w:rPr>
                <w:rFonts w:ascii="宋体" w:hAnsi="宋体" w:cs="宋体"/>
                <w:szCs w:val="21"/>
              </w:rPr>
            </w:pPr>
            <w:r>
              <w:rPr>
                <w:rFonts w:hint="eastAsia" w:ascii="宋体" w:hAnsi="宋体" w:cs="宋体"/>
                <w:szCs w:val="21"/>
              </w:rPr>
              <w:t>（4）投标人法定代表人授权委托代理人签署投标文件的，需提交授权委托书，且授权人和被授权人均在授权委托书上签名，未使用印章、签名章或其他电子制版签名代替。</w:t>
            </w:r>
          </w:p>
          <w:p>
            <w:pPr>
              <w:wordWrap w:val="0"/>
              <w:topLinePunct/>
              <w:ind w:firstLine="420" w:firstLineChars="200"/>
              <w:rPr>
                <w:rFonts w:ascii="宋体" w:hAnsi="宋体" w:cs="宋体"/>
                <w:szCs w:val="21"/>
              </w:rPr>
            </w:pPr>
            <w:r>
              <w:rPr>
                <w:rFonts w:hint="eastAsia" w:ascii="宋体" w:hAnsi="宋体" w:cs="宋体"/>
                <w:szCs w:val="21"/>
              </w:rPr>
              <w:t>（5）投标人法定代表人亲自签署投标文件的，提供了法定代表人身份证明，且法定代表人在法定代表人身份证明上签名，未使用印章、 签名章或其他电子制版签名代替。</w:t>
            </w:r>
          </w:p>
          <w:p>
            <w:pPr>
              <w:wordWrap w:val="0"/>
              <w:topLinePunct/>
              <w:ind w:firstLine="420" w:firstLineChars="200"/>
              <w:rPr>
                <w:rFonts w:ascii="宋体" w:hAnsi="宋体" w:cs="宋体"/>
                <w:szCs w:val="21"/>
              </w:rPr>
            </w:pPr>
            <w:r>
              <w:rPr>
                <w:rFonts w:hint="eastAsia" w:ascii="宋体" w:hAnsi="宋体" w:cs="宋体"/>
                <w:szCs w:val="21"/>
              </w:rPr>
              <w:t>（6）投标人未以联合体名义进行投标。</w:t>
            </w:r>
          </w:p>
          <w:p>
            <w:pPr>
              <w:wordWrap w:val="0"/>
              <w:topLinePunct/>
              <w:ind w:firstLine="420" w:firstLineChars="200"/>
              <w:rPr>
                <w:rFonts w:ascii="宋体" w:hAnsi="宋体" w:cs="宋体"/>
                <w:szCs w:val="21"/>
              </w:rPr>
            </w:pPr>
            <w:r>
              <w:rPr>
                <w:rFonts w:hint="eastAsia" w:ascii="宋体" w:hAnsi="宋体" w:cs="宋体"/>
                <w:szCs w:val="21"/>
              </w:rPr>
              <w:t>(7)同一投标人未提交两个以上不同的投标文件。</w:t>
            </w:r>
          </w:p>
          <w:p>
            <w:pPr>
              <w:wordWrap w:val="0"/>
              <w:topLinePunct/>
              <w:ind w:firstLine="420" w:firstLineChars="200"/>
              <w:rPr>
                <w:rFonts w:ascii="宋体" w:hAnsi="宋体"/>
                <w:szCs w:val="21"/>
              </w:rPr>
            </w:pPr>
            <w:r>
              <w:rPr>
                <w:rFonts w:hint="eastAsia" w:ascii="宋体" w:hAnsi="宋体" w:cs="宋体"/>
                <w:szCs w:val="21"/>
              </w:rPr>
              <w:t>(8)</w:t>
            </w:r>
            <w:r>
              <w:rPr>
                <w:rFonts w:hint="eastAsia" w:ascii="宋体" w:hAnsi="宋体"/>
                <w:szCs w:val="21"/>
              </w:rPr>
              <w:t>投标文件中未出现有关投标报价的内容。</w:t>
            </w:r>
          </w:p>
          <w:p>
            <w:pPr>
              <w:wordWrap w:val="0"/>
              <w:topLinePunct/>
              <w:ind w:firstLine="420" w:firstLineChars="200"/>
              <w:rPr>
                <w:rFonts w:ascii="宋体" w:hAnsi="宋体" w:cs="宋体"/>
                <w:szCs w:val="21"/>
              </w:rPr>
            </w:pPr>
            <w:r>
              <w:rPr>
                <w:rFonts w:hint="eastAsia" w:ascii="宋体" w:hAnsi="宋体" w:cs="宋体"/>
                <w:szCs w:val="21"/>
              </w:rPr>
              <w:t>(9)投标文件载明的招标项目完成期限未超过招标文件规定的时限。</w:t>
            </w:r>
          </w:p>
          <w:p>
            <w:pPr>
              <w:wordWrap w:val="0"/>
              <w:topLinePunct/>
              <w:ind w:firstLine="420" w:firstLineChars="200"/>
              <w:rPr>
                <w:rFonts w:ascii="宋体" w:hAnsi="宋体" w:cs="宋体"/>
                <w:szCs w:val="21"/>
              </w:rPr>
            </w:pPr>
            <w:r>
              <w:rPr>
                <w:rFonts w:hint="eastAsia" w:ascii="宋体" w:hAnsi="宋体" w:cs="宋体"/>
                <w:szCs w:val="21"/>
              </w:rPr>
              <w:t>(10)投标文件对招标文件的实质性要求和条件作出响应。</w:t>
            </w:r>
          </w:p>
          <w:p>
            <w:pPr>
              <w:wordWrap w:val="0"/>
              <w:topLinePunct/>
              <w:ind w:firstLine="420" w:firstLineChars="200"/>
              <w:rPr>
                <w:rFonts w:ascii="宋体" w:hAnsi="宋体" w:cs="宋体"/>
                <w:szCs w:val="21"/>
              </w:rPr>
            </w:pPr>
            <w:r>
              <w:rPr>
                <w:rFonts w:hint="eastAsia" w:ascii="宋体" w:hAnsi="宋体" w:cs="宋体"/>
                <w:szCs w:val="21"/>
              </w:rPr>
              <w:t>(11)权利义务符合招标文件规定：</w:t>
            </w:r>
          </w:p>
          <w:p>
            <w:pPr>
              <w:wordWrap w:val="0"/>
              <w:topLinePunct/>
              <w:ind w:firstLine="420" w:firstLineChars="200"/>
              <w:rPr>
                <w:rFonts w:ascii="宋体" w:hAnsi="宋体" w:cs="宋体"/>
                <w:szCs w:val="21"/>
              </w:rPr>
            </w:pPr>
            <w:r>
              <w:rPr>
                <w:rFonts w:hint="eastAsia" w:ascii="宋体" w:hAnsi="宋体" w:cs="宋体"/>
                <w:szCs w:val="21"/>
              </w:rPr>
              <w:t>a.投标人应接受招标文件规定的风险划分原则，未提出新的风险划分办法；</w:t>
            </w:r>
          </w:p>
          <w:p>
            <w:pPr>
              <w:wordWrap w:val="0"/>
              <w:topLinePunct/>
              <w:ind w:firstLine="420" w:firstLineChars="200"/>
              <w:rPr>
                <w:rFonts w:ascii="宋体" w:hAnsi="宋体" w:cs="宋体"/>
                <w:szCs w:val="21"/>
              </w:rPr>
            </w:pPr>
            <w:r>
              <w:rPr>
                <w:rFonts w:hint="eastAsia" w:ascii="宋体" w:hAnsi="宋体" w:cs="宋体"/>
                <w:szCs w:val="21"/>
              </w:rPr>
              <w:t>b.投标人未增加发包人的责任范围，或减少投标人义务；</w:t>
            </w:r>
          </w:p>
          <w:p>
            <w:pPr>
              <w:wordWrap w:val="0"/>
              <w:topLinePunct/>
              <w:ind w:firstLine="420" w:firstLineChars="200"/>
              <w:rPr>
                <w:rFonts w:ascii="宋体" w:hAnsi="宋体" w:cs="宋体"/>
                <w:szCs w:val="21"/>
              </w:rPr>
            </w:pPr>
            <w:r>
              <w:rPr>
                <w:rFonts w:hint="eastAsia" w:ascii="宋体" w:hAnsi="宋体" w:cs="宋体"/>
                <w:szCs w:val="21"/>
              </w:rPr>
              <w:t>c.投标人未提出不同的支付办法；</w:t>
            </w:r>
          </w:p>
          <w:p>
            <w:pPr>
              <w:wordWrap w:val="0"/>
              <w:topLinePunct/>
              <w:ind w:firstLine="420" w:firstLineChars="200"/>
              <w:rPr>
                <w:rFonts w:ascii="宋体" w:hAnsi="宋体" w:cs="宋体"/>
                <w:szCs w:val="21"/>
              </w:rPr>
            </w:pPr>
            <w:r>
              <w:rPr>
                <w:rFonts w:hint="eastAsia" w:ascii="宋体" w:hAnsi="宋体" w:cs="宋体"/>
                <w:szCs w:val="21"/>
              </w:rPr>
              <w:t>d.投标人对合同纠纷、事故处理办法未提出异议；</w:t>
            </w:r>
          </w:p>
          <w:p>
            <w:pPr>
              <w:wordWrap w:val="0"/>
              <w:topLinePunct/>
              <w:ind w:firstLine="420" w:firstLineChars="200"/>
              <w:rPr>
                <w:rFonts w:ascii="宋体" w:hAnsi="宋体" w:cs="宋体"/>
                <w:szCs w:val="21"/>
              </w:rPr>
            </w:pPr>
            <w:r>
              <w:rPr>
                <w:rFonts w:hint="eastAsia" w:ascii="宋体" w:hAnsi="宋体" w:cs="宋体"/>
                <w:szCs w:val="21"/>
              </w:rPr>
              <w:t>e.投标人在投标活动中无欺诈行为；</w:t>
            </w:r>
          </w:p>
          <w:p>
            <w:pPr>
              <w:wordWrap w:val="0"/>
              <w:topLinePunct/>
              <w:ind w:firstLine="420" w:firstLineChars="200"/>
              <w:rPr>
                <w:rFonts w:ascii="宋体" w:hAnsi="宋体" w:cs="宋体"/>
                <w:szCs w:val="21"/>
              </w:rPr>
            </w:pPr>
            <w:r>
              <w:rPr>
                <w:rFonts w:hint="eastAsia" w:ascii="宋体" w:hAnsi="宋体" w:cs="宋体"/>
                <w:szCs w:val="21"/>
              </w:rPr>
              <w:t>f.投标人未对合同条款有重要保留。</w:t>
            </w:r>
          </w:p>
          <w:p>
            <w:pPr>
              <w:wordWrap w:val="0"/>
              <w:topLinePunct/>
              <w:ind w:firstLine="420" w:firstLineChars="200"/>
              <w:rPr>
                <w:rFonts w:ascii="宋体" w:hAnsi="宋体" w:cs="宋体"/>
                <w:szCs w:val="21"/>
              </w:rPr>
            </w:pPr>
            <w:r>
              <w:rPr>
                <w:rFonts w:hint="eastAsia" w:ascii="宋体" w:hAnsi="宋体" w:cs="宋体"/>
                <w:szCs w:val="21"/>
              </w:rPr>
              <w:t>(12)</w:t>
            </w:r>
            <w:r>
              <w:rPr>
                <w:rFonts w:hint="eastAsia" w:ascii="宋体" w:hAnsi="宋体"/>
                <w:szCs w:val="21"/>
              </w:rPr>
              <w:t>投标文件正、副本份数符合招标文件第二章“投标人须知”第3.7.4项规定。</w:t>
            </w:r>
          </w:p>
          <w:p>
            <w:pPr>
              <w:pBdr>
                <w:bottom w:val="single" w:color="auto" w:sz="6" w:space="1"/>
              </w:pBdr>
              <w:wordWrap w:val="0"/>
              <w:topLinePunct/>
              <w:ind w:firstLine="420" w:firstLineChars="200"/>
              <w:rPr>
                <w:rFonts w:ascii="宋体" w:hAnsi="宋体" w:cs="宋体"/>
                <w:szCs w:val="21"/>
              </w:rPr>
            </w:pPr>
            <w:r>
              <w:rPr>
                <w:rFonts w:hint="eastAsia" w:ascii="宋体" w:hAnsi="宋体" w:cs="宋体"/>
                <w:szCs w:val="21"/>
              </w:rPr>
              <w:t>(13)投标文件未附有招标人不能接受的条件。</w:t>
            </w:r>
          </w:p>
          <w:p>
            <w:pPr>
              <w:wordWrap w:val="0"/>
              <w:topLinePunct/>
              <w:rPr>
                <w:rFonts w:ascii="宋体" w:hAnsi="宋体" w:cs="宋体"/>
                <w:szCs w:val="21"/>
              </w:rPr>
            </w:pPr>
            <w:r>
              <w:rPr>
                <w:rFonts w:hint="eastAsia" w:ascii="宋体" w:hAnsi="宋体" w:cs="宋体"/>
                <w:b/>
                <w:bCs/>
                <w:szCs w:val="21"/>
              </w:rPr>
              <w:t>第二信封（报价文件）的评审标准：</w:t>
            </w:r>
          </w:p>
          <w:p>
            <w:pPr>
              <w:wordWrap w:val="0"/>
              <w:topLinePunct/>
              <w:ind w:firstLine="420" w:firstLineChars="200"/>
              <w:rPr>
                <w:rFonts w:ascii="宋体" w:hAnsi="宋体" w:cs="宋体"/>
                <w:szCs w:val="21"/>
              </w:rPr>
            </w:pPr>
            <w:r>
              <w:rPr>
                <w:rFonts w:hint="eastAsia" w:ascii="宋体" w:hAnsi="宋体" w:cs="宋体"/>
                <w:szCs w:val="21"/>
              </w:rPr>
              <w:t>（1）投标文件按照招标文件规定的格式、内容填写，字迹清晰可辨，内容齐全完整：</w:t>
            </w:r>
          </w:p>
          <w:p>
            <w:pPr>
              <w:wordWrap w:val="0"/>
              <w:topLinePunct/>
              <w:ind w:firstLine="420" w:firstLineChars="200"/>
              <w:rPr>
                <w:rFonts w:ascii="宋体" w:hAnsi="宋体" w:cs="宋体"/>
                <w:szCs w:val="21"/>
              </w:rPr>
            </w:pPr>
            <w:r>
              <w:rPr>
                <w:rFonts w:hint="eastAsia" w:ascii="宋体" w:hAnsi="宋体" w:cs="宋体"/>
                <w:szCs w:val="21"/>
              </w:rPr>
              <w:t>a.投标函按招标文件规定填报了项目名称、补遗书编号（如有)、投标总报价（包括大写金额和小写金额)；</w:t>
            </w:r>
          </w:p>
          <w:p>
            <w:pPr>
              <w:wordWrap w:val="0"/>
              <w:topLinePunct/>
              <w:ind w:firstLine="420" w:firstLineChars="200"/>
              <w:rPr>
                <w:rFonts w:ascii="宋体" w:hAnsi="宋体" w:cs="宋体"/>
                <w:szCs w:val="21"/>
              </w:rPr>
            </w:pPr>
            <w:r>
              <w:rPr>
                <w:rFonts w:hint="eastAsia" w:ascii="宋体" w:hAnsi="宋体" w:cs="宋体"/>
                <w:szCs w:val="21"/>
              </w:rPr>
              <w:t>b.已标价报价清单及清单说明文字与招标文件规定一致，未进行实质性修改和删减。</w:t>
            </w:r>
          </w:p>
          <w:p>
            <w:pPr>
              <w:wordWrap w:val="0"/>
              <w:topLinePunct/>
              <w:ind w:firstLine="420" w:firstLineChars="200"/>
              <w:rPr>
                <w:rFonts w:ascii="宋体" w:hAnsi="宋体" w:cs="宋体"/>
                <w:szCs w:val="21"/>
              </w:rPr>
            </w:pPr>
            <w:r>
              <w:rPr>
                <w:rFonts w:hint="eastAsia" w:ascii="宋体" w:hAnsi="宋体" w:cs="宋体"/>
                <w:szCs w:val="21"/>
              </w:rPr>
              <w:t>c.投标文件组成齐全完整，内容均按规定填写。</w:t>
            </w:r>
          </w:p>
          <w:p>
            <w:pPr>
              <w:wordWrap w:val="0"/>
              <w:topLinePunct/>
              <w:ind w:firstLine="420" w:firstLineChars="200"/>
              <w:rPr>
                <w:rFonts w:ascii="宋体" w:hAnsi="宋体" w:cs="宋体"/>
                <w:szCs w:val="21"/>
              </w:rPr>
            </w:pPr>
            <w:r>
              <w:rPr>
                <w:rFonts w:hint="eastAsia" w:ascii="宋体" w:hAnsi="宋体" w:cs="宋体"/>
                <w:szCs w:val="21"/>
              </w:rPr>
              <w:t>（2）投标文件上法定代表人或其委托代理人的签字、投标人的单位章盖章齐全，符合招标文件规定。</w:t>
            </w:r>
          </w:p>
          <w:p>
            <w:pPr>
              <w:wordWrap w:val="0"/>
              <w:topLinePunct/>
              <w:ind w:firstLine="420" w:firstLineChars="200"/>
              <w:rPr>
                <w:rFonts w:ascii="宋体" w:hAnsi="宋体" w:cs="宋体"/>
                <w:szCs w:val="21"/>
              </w:rPr>
            </w:pPr>
            <w:r>
              <w:rPr>
                <w:rFonts w:hint="eastAsia" w:ascii="宋体" w:hAnsi="宋体" w:cs="宋体"/>
                <w:szCs w:val="21"/>
              </w:rPr>
              <w:t>（3）投标报价未超过招标文件设定的最高投标限价。</w:t>
            </w:r>
          </w:p>
          <w:p>
            <w:pPr>
              <w:wordWrap w:val="0"/>
              <w:topLinePunct/>
              <w:ind w:firstLine="420" w:firstLineChars="200"/>
              <w:rPr>
                <w:rFonts w:ascii="宋体" w:hAnsi="宋体" w:cs="宋体"/>
                <w:szCs w:val="21"/>
              </w:rPr>
            </w:pPr>
            <w:r>
              <w:rPr>
                <w:rFonts w:hint="eastAsia" w:ascii="宋体" w:hAnsi="宋体" w:cs="宋体"/>
                <w:szCs w:val="21"/>
              </w:rPr>
              <w:t>（4）投标报价的大写金额能够确定具体数值。</w:t>
            </w:r>
          </w:p>
          <w:p>
            <w:pPr>
              <w:wordWrap w:val="0"/>
              <w:topLinePunct/>
              <w:ind w:firstLine="420" w:firstLineChars="200"/>
              <w:rPr>
                <w:rFonts w:ascii="宋体" w:hAnsi="宋体" w:cs="宋体"/>
                <w:szCs w:val="21"/>
              </w:rPr>
            </w:pPr>
            <w:r>
              <w:rPr>
                <w:rFonts w:hint="eastAsia" w:ascii="宋体" w:hAnsi="宋体" w:cs="宋体"/>
                <w:szCs w:val="21"/>
              </w:rPr>
              <w:t>（5）同一投标人未提交两个以上投标报价。</w:t>
            </w:r>
          </w:p>
          <w:p>
            <w:pPr>
              <w:wordWrap w:val="0"/>
              <w:topLinePunct/>
              <w:ind w:firstLine="420" w:firstLineChars="200"/>
              <w:rPr>
                <w:rFonts w:ascii="宋体" w:hAnsi="宋体" w:cs="宋体"/>
                <w:szCs w:val="21"/>
              </w:rPr>
            </w:pPr>
            <w:r>
              <w:rPr>
                <w:rFonts w:hint="eastAsia" w:ascii="宋体" w:hAnsi="宋体" w:cs="宋体"/>
                <w:szCs w:val="21"/>
              </w:rPr>
              <w:t>（6）投标文件正、副本份数符合招标文件第二章“投标人须知”第3.7.4 项规定</w:t>
            </w:r>
          </w:p>
          <w:p>
            <w:pPr>
              <w:wordWrap w:val="0"/>
              <w:topLinePunct/>
              <w:ind w:firstLine="420" w:firstLineChars="200"/>
              <w:rPr>
                <w:rFonts w:ascii="宋体" w:hAnsi="宋体" w:cs="宋体"/>
                <w:szCs w:val="21"/>
              </w:rPr>
            </w:pPr>
            <w:r>
              <w:rPr>
                <w:rFonts w:hint="eastAsia" w:ascii="宋体" w:hAnsi="宋体" w:cs="宋体"/>
                <w:szCs w:val="21"/>
              </w:rPr>
              <w:t>（7）投标人未提交调价函。</w:t>
            </w:r>
          </w:p>
          <w:p>
            <w:pPr>
              <w:wordWrap w:val="0"/>
              <w:topLinePunct/>
              <w:ind w:firstLine="420" w:firstLineChars="200"/>
              <w:rPr>
                <w:rFonts w:ascii="宋体" w:hAnsi="宋体" w:cs="宋体"/>
                <w:szCs w:val="21"/>
              </w:rPr>
            </w:pPr>
            <w:r>
              <w:rPr>
                <w:rFonts w:hint="eastAsia" w:ascii="宋体" w:hAnsi="宋体" w:cs="宋体"/>
                <w:szCs w:val="21"/>
              </w:rPr>
              <w:t>（8）投标文件未附有招标人不能接受的条件。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0" w:type="dxa"/>
            <w:tcBorders>
              <w:top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2.1.2</w:t>
            </w:r>
          </w:p>
        </w:tc>
        <w:tc>
          <w:tcPr>
            <w:tcW w:w="1608" w:type="dxa"/>
            <w:tcBorders>
              <w:top w:val="single" w:color="auto" w:sz="4" w:space="0"/>
              <w:right w:val="single" w:color="auto" w:sz="4" w:space="0"/>
            </w:tcBorders>
            <w:vAlign w:val="center"/>
          </w:tcPr>
          <w:p>
            <w:pPr>
              <w:wordWrap w:val="0"/>
              <w:topLinePunct/>
              <w:rPr>
                <w:rFonts w:ascii="宋体" w:hAnsi="宋体" w:cs="宋体"/>
                <w:strike/>
                <w:szCs w:val="21"/>
              </w:rPr>
            </w:pPr>
            <w:r>
              <w:rPr>
                <w:rFonts w:hint="eastAsia" w:ascii="宋体" w:hAnsi="宋体" w:cs="宋体"/>
                <w:szCs w:val="21"/>
              </w:rPr>
              <w:t>资格评审标准</w:t>
            </w:r>
          </w:p>
        </w:tc>
        <w:tc>
          <w:tcPr>
            <w:tcW w:w="6110" w:type="dxa"/>
            <w:tcBorders>
              <w:top w:val="single" w:color="auto" w:sz="4" w:space="0"/>
              <w:left w:val="single" w:color="auto" w:sz="4" w:space="0"/>
            </w:tcBorders>
            <w:vAlign w:val="center"/>
          </w:tcPr>
          <w:p>
            <w:pPr>
              <w:wordWrap w:val="0"/>
              <w:topLinePunct/>
              <w:ind w:firstLine="420" w:firstLineChars="200"/>
              <w:rPr>
                <w:rStyle w:val="13"/>
                <w:rFonts w:ascii="宋体" w:hAnsi="宋体" w:eastAsia="宋体" w:cs="宋体"/>
                <w:szCs w:val="21"/>
                <w:lang w:val="zh-CN"/>
              </w:rPr>
            </w:pPr>
            <w:r>
              <w:rPr>
                <w:rStyle w:val="12"/>
                <w:rFonts w:hint="eastAsia" w:ascii="宋体" w:hAnsi="宋体" w:eastAsia="宋体" w:cs="宋体"/>
                <w:sz w:val="21"/>
                <w:szCs w:val="21"/>
                <w:lang w:val="zh-CN"/>
              </w:rPr>
              <w:t>（</w:t>
            </w:r>
            <w:r>
              <w:rPr>
                <w:rStyle w:val="12"/>
                <w:rFonts w:hint="eastAsia" w:ascii="宋体" w:hAnsi="宋体" w:eastAsia="宋体" w:cs="宋体"/>
                <w:sz w:val="21"/>
                <w:szCs w:val="21"/>
              </w:rPr>
              <w:t>1</w:t>
            </w:r>
            <w:r>
              <w:rPr>
                <w:rStyle w:val="12"/>
                <w:rFonts w:hint="eastAsia" w:ascii="宋体" w:hAnsi="宋体" w:eastAsia="宋体" w:cs="宋体"/>
                <w:sz w:val="21"/>
                <w:szCs w:val="21"/>
                <w:lang w:val="zh-CN"/>
              </w:rPr>
              <w:t>）</w:t>
            </w:r>
            <w:r>
              <w:rPr>
                <w:rFonts w:hint="eastAsia" w:ascii="宋体" w:hAnsi="宋体" w:cs="宋体"/>
                <w:szCs w:val="21"/>
                <w:lang w:val="zh-CN"/>
              </w:rPr>
              <w:t>投标人具备有效的营业执照（或事业单位法人证书）、资质证书（</w:t>
            </w:r>
            <w:r>
              <w:rPr>
                <w:rFonts w:hint="eastAsia" w:ascii="宋体" w:hAnsi="宋体" w:cs="宋体"/>
                <w:szCs w:val="21"/>
              </w:rPr>
              <w:t>如有</w:t>
            </w:r>
            <w:r>
              <w:rPr>
                <w:rFonts w:hint="eastAsia" w:ascii="宋体" w:hAnsi="宋体" w:cs="宋体"/>
                <w:szCs w:val="21"/>
                <w:lang w:val="zh-CN"/>
              </w:rPr>
              <w:t>）和基本账户开户许可证（如企业所在地已取消企业银行账户许可而无法提供开户许可证的，则需附上“基本存款账户信息”或“人民银行账户管理系统查询的基本账户信息截图”）</w:t>
            </w:r>
            <w:r>
              <w:rPr>
                <w:rStyle w:val="12"/>
                <w:rFonts w:hint="eastAsia" w:ascii="宋体" w:hAnsi="宋体" w:eastAsia="宋体" w:cs="宋体"/>
                <w:sz w:val="21"/>
                <w:szCs w:val="21"/>
              </w:rPr>
              <w:t>。</w:t>
            </w:r>
          </w:p>
          <w:p>
            <w:pPr>
              <w:wordWrap w:val="0"/>
              <w:topLinePunct/>
              <w:ind w:firstLine="420" w:firstLineChars="200"/>
              <w:rPr>
                <w:rStyle w:val="12"/>
                <w:rFonts w:ascii="宋体" w:hAnsi="宋体" w:eastAsia="宋体" w:cs="宋体"/>
                <w:sz w:val="21"/>
                <w:szCs w:val="21"/>
                <w:lang w:val="zh-CN"/>
              </w:rPr>
            </w:pPr>
            <w:r>
              <w:rPr>
                <w:rStyle w:val="12"/>
                <w:rFonts w:hint="eastAsia" w:ascii="宋体" w:hAnsi="宋体" w:eastAsia="宋体" w:cs="宋体"/>
                <w:sz w:val="21"/>
                <w:szCs w:val="21"/>
                <w:lang w:val="zh-CN"/>
              </w:rPr>
              <w:t>（</w:t>
            </w:r>
            <w:r>
              <w:rPr>
                <w:rStyle w:val="12"/>
                <w:rFonts w:hint="eastAsia" w:ascii="宋体" w:hAnsi="宋体" w:eastAsia="宋体" w:cs="宋体"/>
                <w:sz w:val="21"/>
                <w:szCs w:val="21"/>
              </w:rPr>
              <w:t>2</w:t>
            </w:r>
            <w:r>
              <w:rPr>
                <w:rStyle w:val="12"/>
                <w:rFonts w:hint="eastAsia" w:ascii="宋体" w:hAnsi="宋体" w:eastAsia="宋体" w:cs="宋体"/>
                <w:sz w:val="21"/>
                <w:szCs w:val="21"/>
                <w:lang w:val="zh-CN"/>
              </w:rPr>
              <w:t>）投标人的资质等级符合招标文件规定</w:t>
            </w:r>
            <w:r>
              <w:rPr>
                <w:rStyle w:val="12"/>
                <w:rFonts w:ascii="宋体" w:hAnsi="宋体" w:eastAsia="宋体" w:cs="宋体"/>
                <w:sz w:val="21"/>
                <w:szCs w:val="21"/>
                <w:lang w:val="zh-CN"/>
              </w:rPr>
              <w:t>。</w:t>
            </w:r>
          </w:p>
          <w:p>
            <w:pPr>
              <w:wordWrap w:val="0"/>
              <w:topLinePunct/>
              <w:ind w:firstLine="420" w:firstLineChars="200"/>
              <w:rPr>
                <w:rStyle w:val="12"/>
                <w:rFonts w:ascii="宋体" w:hAnsi="宋体" w:eastAsia="宋体" w:cs="宋体"/>
                <w:sz w:val="21"/>
                <w:szCs w:val="21"/>
                <w:lang w:val="zh-CN"/>
              </w:rPr>
            </w:pPr>
            <w:r>
              <w:rPr>
                <w:rStyle w:val="12"/>
                <w:rFonts w:hint="eastAsia" w:ascii="宋体" w:hAnsi="宋体" w:eastAsia="宋体" w:cs="宋体"/>
                <w:sz w:val="21"/>
                <w:szCs w:val="21"/>
                <w:lang w:val="zh-CN"/>
              </w:rPr>
              <w:t>（</w:t>
            </w:r>
            <w:r>
              <w:rPr>
                <w:rStyle w:val="12"/>
                <w:rFonts w:hint="eastAsia" w:ascii="宋体" w:hAnsi="宋体" w:eastAsia="宋体" w:cs="宋体"/>
                <w:sz w:val="21"/>
                <w:szCs w:val="21"/>
              </w:rPr>
              <w:t>3</w:t>
            </w:r>
            <w:r>
              <w:rPr>
                <w:rStyle w:val="12"/>
                <w:rFonts w:hint="eastAsia" w:ascii="宋体" w:hAnsi="宋体" w:eastAsia="宋体" w:cs="宋体"/>
                <w:sz w:val="21"/>
                <w:szCs w:val="21"/>
                <w:lang w:val="zh-CN"/>
              </w:rPr>
              <w:t>）投标人的业绩符合招标文件规定。</w:t>
            </w:r>
          </w:p>
          <w:p>
            <w:pPr>
              <w:wordWrap w:val="0"/>
              <w:topLinePunct/>
              <w:ind w:firstLine="420" w:firstLineChars="200"/>
              <w:rPr>
                <w:rFonts w:ascii="宋体" w:hAnsi="宋体" w:cs="宋体"/>
                <w:szCs w:val="21"/>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）投标人的信誉符合</w:t>
            </w:r>
            <w:r>
              <w:rPr>
                <w:rStyle w:val="12"/>
                <w:rFonts w:hint="eastAsia" w:ascii="宋体" w:hAnsi="宋体" w:eastAsia="宋体" w:cs="宋体"/>
                <w:sz w:val="21"/>
                <w:szCs w:val="21"/>
                <w:lang w:val="zh-CN"/>
              </w:rPr>
              <w:t>招标文件规定。</w:t>
            </w:r>
          </w:p>
          <w:p>
            <w:pPr>
              <w:wordWrap w:val="0"/>
              <w:topLinePunct/>
              <w:ind w:firstLine="420" w:firstLineChars="200"/>
              <w:rPr>
                <w:rStyle w:val="12"/>
                <w:rFonts w:ascii="宋体" w:hAnsi="宋体" w:eastAsia="宋体" w:cs="宋体"/>
                <w:sz w:val="21"/>
                <w:szCs w:val="21"/>
                <w:lang w:val="zh-CN"/>
              </w:rPr>
            </w:pPr>
            <w:r>
              <w:rPr>
                <w:rStyle w:val="12"/>
                <w:rFonts w:hint="eastAsia" w:ascii="宋体" w:hAnsi="宋体" w:eastAsia="宋体" w:cs="宋体"/>
                <w:sz w:val="21"/>
                <w:szCs w:val="21"/>
                <w:lang w:val="zh-CN"/>
              </w:rPr>
              <w:t>（</w:t>
            </w:r>
            <w:r>
              <w:rPr>
                <w:rStyle w:val="12"/>
                <w:rFonts w:ascii="宋体" w:hAnsi="宋体" w:eastAsia="宋体" w:cs="宋体"/>
                <w:sz w:val="21"/>
                <w:szCs w:val="21"/>
              </w:rPr>
              <w:t>5</w:t>
            </w:r>
            <w:r>
              <w:rPr>
                <w:rStyle w:val="12"/>
                <w:rFonts w:hint="eastAsia" w:ascii="宋体" w:hAnsi="宋体" w:eastAsia="宋体" w:cs="宋体"/>
                <w:sz w:val="21"/>
                <w:szCs w:val="21"/>
                <w:lang w:val="zh-CN"/>
              </w:rPr>
              <w:t>）投标人的主要人员</w:t>
            </w:r>
            <w:r>
              <w:rPr>
                <w:rFonts w:hint="eastAsia" w:ascii="宋体" w:hAnsi="宋体" w:cs="宋体"/>
                <w:szCs w:val="21"/>
                <w:lang w:val="zh-CN"/>
              </w:rPr>
              <w:t>符合</w:t>
            </w:r>
            <w:r>
              <w:rPr>
                <w:rStyle w:val="12"/>
                <w:rFonts w:hint="eastAsia" w:ascii="宋体" w:hAnsi="宋体" w:eastAsia="宋体" w:cs="宋体"/>
                <w:sz w:val="21"/>
                <w:szCs w:val="21"/>
                <w:lang w:val="zh-CN"/>
              </w:rPr>
              <w:t>招标文件规定。</w:t>
            </w:r>
          </w:p>
          <w:p>
            <w:pPr>
              <w:wordWrap w:val="0"/>
              <w:topLinePunct/>
              <w:ind w:firstLine="420" w:firstLineChars="200"/>
              <w:rPr>
                <w:rFonts w:ascii="宋体" w:hAnsi="宋体" w:cs="宋体"/>
                <w:szCs w:val="21"/>
              </w:rPr>
            </w:pPr>
            <w:r>
              <w:rPr>
                <w:rFonts w:hint="eastAsia" w:ascii="宋体" w:hAnsi="宋体" w:cs="宋体"/>
                <w:szCs w:val="21"/>
                <w:lang w:val="zh-CN"/>
              </w:rPr>
              <w:t>（</w:t>
            </w:r>
            <w:r>
              <w:rPr>
                <w:rFonts w:ascii="宋体" w:hAnsi="宋体" w:cs="宋体"/>
                <w:szCs w:val="21"/>
              </w:rPr>
              <w:t>6</w:t>
            </w:r>
            <w:r>
              <w:rPr>
                <w:rFonts w:hint="eastAsia" w:ascii="宋体" w:hAnsi="宋体" w:cs="宋体"/>
                <w:szCs w:val="21"/>
                <w:lang w:val="zh-CN"/>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0" w:type="dxa"/>
            <w:tcBorders>
              <w:top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2.2.1</w:t>
            </w:r>
          </w:p>
        </w:tc>
        <w:tc>
          <w:tcPr>
            <w:tcW w:w="1608" w:type="dxa"/>
            <w:tcBorders>
              <w:top w:val="single" w:color="auto" w:sz="4" w:space="0"/>
              <w:right w:val="single" w:color="auto" w:sz="4" w:space="0"/>
            </w:tcBorders>
            <w:vAlign w:val="center"/>
          </w:tcPr>
          <w:p>
            <w:pPr>
              <w:wordWrap w:val="0"/>
              <w:topLinePunct/>
              <w:jc w:val="center"/>
              <w:rPr>
                <w:rFonts w:ascii="宋体" w:hAnsi="宋体" w:cs="宋体"/>
                <w:szCs w:val="21"/>
              </w:rPr>
            </w:pPr>
            <w:r>
              <w:rPr>
                <w:rFonts w:hint="eastAsia" w:ascii="宋体" w:hAnsi="宋体" w:cs="宋体"/>
                <w:szCs w:val="21"/>
              </w:rPr>
              <w:t>分值构成</w:t>
            </w:r>
          </w:p>
          <w:p>
            <w:pPr>
              <w:wordWrap w:val="0"/>
              <w:topLinePunct/>
              <w:rPr>
                <w:rFonts w:ascii="宋体" w:hAnsi="宋体" w:cs="宋体"/>
                <w:szCs w:val="21"/>
              </w:rPr>
            </w:pPr>
            <w:r>
              <w:rPr>
                <w:rFonts w:hint="eastAsia" w:ascii="宋体" w:hAnsi="宋体" w:cs="宋体"/>
                <w:szCs w:val="21"/>
              </w:rPr>
              <w:t>(总分100分)</w:t>
            </w:r>
          </w:p>
        </w:tc>
        <w:tc>
          <w:tcPr>
            <w:tcW w:w="6110" w:type="dxa"/>
            <w:tcBorders>
              <w:top w:val="single" w:color="auto" w:sz="4" w:space="0"/>
              <w:left w:val="single" w:color="auto" w:sz="4" w:space="0"/>
            </w:tcBorders>
            <w:vAlign w:val="center"/>
          </w:tcPr>
          <w:p>
            <w:pPr>
              <w:wordWrap w:val="0"/>
              <w:topLinePunct/>
              <w:rPr>
                <w:rFonts w:ascii="宋体" w:hAnsi="宋体" w:cs="宋体"/>
                <w:b/>
                <w:szCs w:val="21"/>
                <w:lang w:val="zh-CN"/>
              </w:rPr>
            </w:pPr>
            <w:r>
              <w:rPr>
                <w:rFonts w:hint="eastAsia" w:ascii="宋体" w:hAnsi="宋体" w:cs="宋体"/>
                <w:b/>
                <w:szCs w:val="21"/>
                <w:lang w:val="zh-CN"/>
              </w:rPr>
              <w:t>第一信封（商务及技术文件）评分分值构成：</w:t>
            </w:r>
          </w:p>
          <w:p>
            <w:pPr>
              <w:wordWrap w:val="0"/>
              <w:topLinePunct/>
              <w:ind w:firstLine="420" w:firstLineChars="200"/>
              <w:rPr>
                <w:rFonts w:ascii="宋体" w:hAnsi="宋体"/>
                <w:szCs w:val="21"/>
              </w:rPr>
            </w:pPr>
            <w:r>
              <w:rPr>
                <w:rFonts w:hint="eastAsia" w:ascii="宋体" w:hAnsi="宋体"/>
                <w:szCs w:val="21"/>
              </w:rPr>
              <w:t>技术建议书：</w:t>
            </w:r>
            <w:r>
              <w:rPr>
                <w:rFonts w:hint="eastAsia" w:ascii="宋体" w:hAnsi="宋体"/>
                <w:szCs w:val="21"/>
                <w:u w:val="single"/>
              </w:rPr>
              <w:t>40</w:t>
            </w:r>
            <w:r>
              <w:rPr>
                <w:rFonts w:hint="eastAsia" w:ascii="宋体" w:hAnsi="宋体"/>
                <w:szCs w:val="21"/>
              </w:rPr>
              <w:t>分</w:t>
            </w:r>
          </w:p>
          <w:p>
            <w:pPr>
              <w:wordWrap w:val="0"/>
              <w:topLinePunct/>
              <w:ind w:firstLine="420" w:firstLineChars="200"/>
              <w:rPr>
                <w:rFonts w:ascii="宋体" w:hAnsi="宋体"/>
                <w:szCs w:val="21"/>
              </w:rPr>
            </w:pPr>
            <w:r>
              <w:rPr>
                <w:rFonts w:hint="eastAsia" w:ascii="宋体" w:hAnsi="宋体"/>
                <w:szCs w:val="21"/>
              </w:rPr>
              <w:t>主要人员</w:t>
            </w:r>
            <w:r>
              <w:rPr>
                <w:rFonts w:ascii="宋体" w:hAnsi="宋体"/>
                <w:szCs w:val="21"/>
              </w:rPr>
              <w:t>：</w:t>
            </w:r>
            <w:r>
              <w:rPr>
                <w:rFonts w:ascii="宋体" w:hAnsi="宋体"/>
                <w:szCs w:val="21"/>
                <w:u w:val="single"/>
              </w:rPr>
              <w:t>2</w:t>
            </w:r>
            <w:r>
              <w:rPr>
                <w:rFonts w:hint="eastAsia" w:ascii="宋体" w:hAnsi="宋体"/>
                <w:szCs w:val="21"/>
                <w:u w:val="single"/>
              </w:rPr>
              <w:t>0</w:t>
            </w:r>
            <w:r>
              <w:rPr>
                <w:rFonts w:ascii="宋体" w:hAnsi="宋体"/>
                <w:szCs w:val="21"/>
              </w:rPr>
              <w:t>分</w:t>
            </w:r>
          </w:p>
          <w:p>
            <w:pPr>
              <w:wordWrap w:val="0"/>
              <w:topLinePunct/>
              <w:ind w:firstLine="420" w:firstLineChars="200"/>
              <w:rPr>
                <w:rFonts w:ascii="宋体" w:hAnsi="宋体"/>
              </w:rPr>
            </w:pPr>
            <w:r>
              <w:rPr>
                <w:rFonts w:hint="eastAsia" w:ascii="宋体" w:hAnsi="宋体"/>
              </w:rPr>
              <w:t>其他因素：业绩：</w:t>
            </w:r>
            <w:r>
              <w:rPr>
                <w:rFonts w:hint="eastAsia" w:ascii="宋体" w:hAnsi="宋体"/>
                <w:u w:val="single"/>
              </w:rPr>
              <w:t>25</w:t>
            </w:r>
            <w:r>
              <w:rPr>
                <w:rFonts w:hint="eastAsia" w:ascii="宋体" w:hAnsi="宋体"/>
              </w:rPr>
              <w:t>分</w:t>
            </w:r>
          </w:p>
          <w:p>
            <w:pPr>
              <w:wordWrap w:val="0"/>
              <w:topLinePunct/>
              <w:ind w:firstLine="420" w:firstLineChars="200"/>
              <w:rPr>
                <w:rFonts w:ascii="宋体" w:hAnsi="宋体"/>
                <w:szCs w:val="21"/>
              </w:rPr>
            </w:pPr>
            <w:r>
              <w:rPr>
                <w:rFonts w:hint="eastAsia" w:ascii="宋体" w:hAnsi="宋体"/>
              </w:rPr>
              <w:t>履约信誉：</w:t>
            </w:r>
            <w:r>
              <w:rPr>
                <w:rFonts w:hint="eastAsia" w:ascii="宋体" w:hAnsi="宋体"/>
                <w:u w:val="single"/>
              </w:rPr>
              <w:t>5</w:t>
            </w:r>
            <w:r>
              <w:rPr>
                <w:rFonts w:hint="eastAsia" w:ascii="宋体" w:hAnsi="宋体"/>
              </w:rPr>
              <w:t xml:space="preserve">分 </w:t>
            </w:r>
          </w:p>
          <w:p>
            <w:pPr>
              <w:wordWrap w:val="0"/>
              <w:topLinePunct/>
              <w:rPr>
                <w:rFonts w:ascii="宋体" w:hAnsi="宋体" w:cs="宋体"/>
                <w:b/>
                <w:szCs w:val="21"/>
                <w:lang w:val="zh-CN"/>
              </w:rPr>
            </w:pPr>
            <w:r>
              <w:rPr>
                <w:rFonts w:hint="eastAsia" w:ascii="宋体" w:hAnsi="宋体" w:cs="宋体"/>
                <w:b/>
                <w:szCs w:val="21"/>
                <w:lang w:val="zh-CN"/>
              </w:rPr>
              <w:t>第二信封（报价文件）评分分值构成：</w:t>
            </w:r>
          </w:p>
          <w:p>
            <w:pPr>
              <w:wordWrap w:val="0"/>
              <w:topLinePunct/>
              <w:ind w:firstLine="420" w:firstLineChars="200"/>
              <w:rPr>
                <w:rFonts w:ascii="宋体" w:hAnsi="宋体" w:cs="宋体"/>
                <w:szCs w:val="21"/>
              </w:rPr>
            </w:pPr>
            <w:r>
              <w:rPr>
                <w:rFonts w:hint="eastAsia" w:ascii="宋体" w:hAnsi="宋体" w:cs="宋体"/>
                <w:szCs w:val="21"/>
                <w:lang w:val="zh-CN"/>
              </w:rPr>
              <w:t>评标价：</w:t>
            </w:r>
            <w:r>
              <w:rPr>
                <w:rFonts w:ascii="宋体" w:hAnsi="宋体" w:cs="宋体"/>
                <w:szCs w:val="21"/>
                <w:u w:val="single"/>
              </w:rPr>
              <w:t>1</w:t>
            </w:r>
            <w:r>
              <w:rPr>
                <w:rFonts w:hint="eastAsia" w:ascii="宋体" w:hAnsi="宋体" w:cs="宋体"/>
                <w:szCs w:val="21"/>
                <w:u w:val="single"/>
              </w:rPr>
              <w:t>0</w:t>
            </w:r>
            <w:r>
              <w:rPr>
                <w:rFonts w:hint="eastAsia" w:ascii="宋体" w:hAnsi="宋体" w:cs="宋体"/>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0" w:type="dxa"/>
            <w:tcBorders>
              <w:top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2.2.2</w:t>
            </w:r>
          </w:p>
        </w:tc>
        <w:tc>
          <w:tcPr>
            <w:tcW w:w="1608" w:type="dxa"/>
            <w:tcBorders>
              <w:top w:val="single" w:color="auto" w:sz="4" w:space="0"/>
              <w:right w:val="single" w:color="auto" w:sz="4" w:space="0"/>
            </w:tcBorders>
            <w:vAlign w:val="center"/>
          </w:tcPr>
          <w:p>
            <w:pPr>
              <w:wordWrap w:val="0"/>
              <w:topLinePunct/>
              <w:jc w:val="center"/>
              <w:rPr>
                <w:rFonts w:ascii="宋体" w:hAnsi="宋体" w:cs="宋体"/>
                <w:szCs w:val="21"/>
              </w:rPr>
            </w:pPr>
            <w:r>
              <w:rPr>
                <w:rFonts w:hint="eastAsia" w:ascii="宋体" w:hAnsi="宋体" w:cs="宋体"/>
                <w:szCs w:val="21"/>
              </w:rPr>
              <w:t>评标基准价计算方法</w:t>
            </w:r>
          </w:p>
        </w:tc>
        <w:tc>
          <w:tcPr>
            <w:tcW w:w="6110" w:type="dxa"/>
            <w:tcBorders>
              <w:top w:val="single" w:color="auto" w:sz="4" w:space="0"/>
              <w:left w:val="single" w:color="auto" w:sz="4" w:space="0"/>
            </w:tcBorders>
            <w:vAlign w:val="center"/>
          </w:tcPr>
          <w:p>
            <w:pPr>
              <w:pStyle w:val="15"/>
              <w:wordWrap w:val="0"/>
              <w:topLinePunct/>
              <w:jc w:val="both"/>
              <w:rPr>
                <w:bCs/>
                <w:sz w:val="21"/>
                <w:szCs w:val="21"/>
                <w:lang w:eastAsia="zh-CN"/>
              </w:rPr>
            </w:pPr>
            <w:r>
              <w:rPr>
                <w:rFonts w:hint="eastAsia"/>
                <w:bCs/>
                <w:sz w:val="21"/>
                <w:szCs w:val="21"/>
                <w:lang w:eastAsia="zh-CN"/>
              </w:rPr>
              <w:t>评标基准价的计算</w:t>
            </w:r>
          </w:p>
          <w:p>
            <w:pPr>
              <w:pStyle w:val="15"/>
              <w:wordWrap w:val="0"/>
              <w:topLinePunct/>
              <w:ind w:firstLine="420" w:firstLineChars="200"/>
              <w:jc w:val="both"/>
              <w:rPr>
                <w:sz w:val="21"/>
                <w:szCs w:val="21"/>
                <w:lang w:eastAsia="zh-CN"/>
              </w:rPr>
            </w:pPr>
            <w:r>
              <w:rPr>
                <w:rFonts w:hint="eastAsia"/>
                <w:sz w:val="21"/>
                <w:szCs w:val="21"/>
                <w:lang w:eastAsia="zh-CN"/>
              </w:rPr>
              <w:t>在开标现场，招标人将当场计算并宣布评标基准价。</w:t>
            </w:r>
          </w:p>
          <w:p>
            <w:pPr>
              <w:pStyle w:val="15"/>
              <w:wordWrap w:val="0"/>
              <w:topLinePunct/>
              <w:ind w:firstLine="422" w:firstLineChars="200"/>
              <w:jc w:val="both"/>
              <w:rPr>
                <w:sz w:val="21"/>
                <w:szCs w:val="21"/>
                <w:lang w:eastAsia="zh-CN"/>
              </w:rPr>
            </w:pPr>
            <w:r>
              <w:rPr>
                <w:rFonts w:hint="eastAsia"/>
                <w:b/>
                <w:sz w:val="21"/>
                <w:szCs w:val="21"/>
                <w:lang w:eastAsia="zh-CN"/>
              </w:rPr>
              <w:t>（1）评标价的确定：</w:t>
            </w:r>
            <w:r>
              <w:rPr>
                <w:rFonts w:hint="eastAsia"/>
                <w:sz w:val="21"/>
                <w:szCs w:val="21"/>
                <w:lang w:eastAsia="zh-CN"/>
              </w:rPr>
              <w:t>评标价=投标函文字报价</w:t>
            </w:r>
          </w:p>
          <w:p>
            <w:pPr>
              <w:pStyle w:val="15"/>
              <w:wordWrap w:val="0"/>
              <w:topLinePunct/>
              <w:ind w:firstLine="422" w:firstLineChars="200"/>
              <w:jc w:val="both"/>
              <w:rPr>
                <w:b/>
                <w:sz w:val="21"/>
                <w:lang w:eastAsia="zh-CN"/>
              </w:rPr>
            </w:pPr>
            <w:r>
              <w:rPr>
                <w:rFonts w:hint="eastAsia"/>
                <w:b/>
                <w:sz w:val="21"/>
                <w:lang w:eastAsia="zh-CN"/>
              </w:rPr>
              <w:t>（2）最高评标限价的确定</w:t>
            </w:r>
          </w:p>
          <w:p>
            <w:pPr>
              <w:pStyle w:val="15"/>
              <w:wordWrap w:val="0"/>
              <w:topLinePunct/>
              <w:ind w:firstLine="420" w:firstLineChars="200"/>
              <w:jc w:val="both"/>
              <w:rPr>
                <w:sz w:val="21"/>
                <w:szCs w:val="21"/>
                <w:lang w:eastAsia="zh-CN"/>
              </w:rPr>
            </w:pPr>
            <w:r>
              <w:rPr>
                <w:rFonts w:hint="eastAsia"/>
                <w:sz w:val="21"/>
                <w:szCs w:val="21"/>
                <w:lang w:eastAsia="zh-CN"/>
              </w:rPr>
              <w:t>①最高投标限价下浮率的确定。下浮率在开标前在开标现场采取摇珠方式确定。摇珠操作办法如下：下浮率范围0%～3%，在下浮率范围内，以0.1%为一档次增序确定摇珠号码，不少于31个球，一次性摇取3个球（摇出的球不放回），摇出的3个球对应的下浮率的平均值即为本招标的下浮率（注：摇出的3个下浮率平均值四舍五入取整到0.001%。）</w:t>
            </w:r>
          </w:p>
          <w:p>
            <w:pPr>
              <w:pStyle w:val="15"/>
              <w:wordWrap w:val="0"/>
              <w:topLinePunct/>
              <w:ind w:firstLine="420" w:firstLineChars="200"/>
              <w:jc w:val="both"/>
              <w:rPr>
                <w:sz w:val="21"/>
                <w:szCs w:val="21"/>
                <w:lang w:eastAsia="zh-CN"/>
              </w:rPr>
            </w:pPr>
            <w:r>
              <w:rPr>
                <w:rFonts w:hint="eastAsia"/>
                <w:sz w:val="21"/>
                <w:szCs w:val="21"/>
                <w:lang w:eastAsia="zh-CN"/>
              </w:rPr>
              <w:t>②最高评标限价＝最高投标限价×（1-下浮率）</w:t>
            </w:r>
          </w:p>
          <w:p>
            <w:pPr>
              <w:pStyle w:val="15"/>
              <w:wordWrap w:val="0"/>
              <w:topLinePunct/>
              <w:ind w:firstLine="420" w:firstLineChars="200"/>
              <w:jc w:val="both"/>
              <w:rPr>
                <w:sz w:val="21"/>
                <w:szCs w:val="21"/>
                <w:lang w:eastAsia="zh-CN"/>
              </w:rPr>
            </w:pPr>
            <w:r>
              <w:rPr>
                <w:rFonts w:hint="eastAsia"/>
                <w:sz w:val="21"/>
                <w:szCs w:val="21"/>
                <w:lang w:eastAsia="zh-CN"/>
              </w:rPr>
              <w:t>（3）有效评标价范围：不大于最高评标限价的评标价为有效评标价。若大于最高评标限价的评标价，其评标价得分为0分。</w:t>
            </w:r>
          </w:p>
          <w:p>
            <w:pPr>
              <w:wordWrap w:val="0"/>
              <w:topLinePunct/>
              <w:ind w:firstLine="420" w:firstLineChars="200"/>
              <w:rPr>
                <w:rFonts w:ascii="宋体" w:hAnsi="宋体"/>
                <w:szCs w:val="21"/>
              </w:rPr>
            </w:pPr>
            <w:r>
              <w:rPr>
                <w:rFonts w:hint="eastAsia" w:ascii="宋体" w:hAnsi="宋体"/>
              </w:rPr>
              <w:t>（4）评标基准价的确定：将最高评标限价下浮</w:t>
            </w:r>
            <w:r>
              <w:rPr>
                <w:rFonts w:hint="eastAsia" w:ascii="宋体" w:hAnsi="宋体"/>
                <w:u w:val="single"/>
              </w:rPr>
              <w:t>2</w:t>
            </w:r>
            <w:r>
              <w:rPr>
                <w:rFonts w:ascii="宋体" w:hAnsi="宋体"/>
              </w:rPr>
              <w:t>%</w:t>
            </w:r>
            <w:r>
              <w:rPr>
                <w:rFonts w:hint="eastAsia" w:ascii="宋体" w:hAnsi="宋体"/>
              </w:rPr>
              <w:t>，作为评标基准价。</w:t>
            </w:r>
          </w:p>
          <w:p>
            <w:pPr>
              <w:pStyle w:val="15"/>
              <w:wordWrap w:val="0"/>
              <w:topLinePunct/>
              <w:ind w:firstLine="420" w:firstLineChars="200"/>
              <w:jc w:val="both"/>
              <w:rPr>
                <w:sz w:val="21"/>
                <w:szCs w:val="21"/>
                <w:lang w:eastAsia="zh-CN"/>
              </w:rPr>
            </w:pPr>
            <w:r>
              <w:rPr>
                <w:rFonts w:hint="eastAsia"/>
                <w:sz w:val="21"/>
                <w:szCs w:val="21"/>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p>
            <w:pPr>
              <w:wordWrap w:val="0"/>
              <w:topLinePunct/>
              <w:rPr>
                <w:rFonts w:ascii="宋体" w:hAnsi="宋体" w:cs="宋体"/>
                <w:szCs w:val="21"/>
              </w:rPr>
            </w:pPr>
            <w:r>
              <w:rPr>
                <w:rFonts w:hint="eastAsia" w:ascii="宋体" w:hAnsi="宋体"/>
                <w:szCs w:val="21"/>
              </w:rPr>
              <w:t>注：最高评标限价、评标基准价均四舍五入至个位整数。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0" w:type="dxa"/>
            <w:tcBorders>
              <w:top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2.2.3</w:t>
            </w:r>
          </w:p>
        </w:tc>
        <w:tc>
          <w:tcPr>
            <w:tcW w:w="1608" w:type="dxa"/>
            <w:tcBorders>
              <w:top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评标价的偏差率计算公式</w:t>
            </w:r>
          </w:p>
        </w:tc>
        <w:tc>
          <w:tcPr>
            <w:tcW w:w="6110" w:type="dxa"/>
            <w:tcBorders>
              <w:top w:val="single" w:color="auto" w:sz="4" w:space="0"/>
              <w:left w:val="single" w:color="auto" w:sz="4" w:space="0"/>
            </w:tcBorders>
            <w:vAlign w:val="center"/>
          </w:tcPr>
          <w:p>
            <w:pPr>
              <w:wordWrap w:val="0"/>
              <w:topLinePunct/>
              <w:rPr>
                <w:rFonts w:ascii="宋体" w:hAnsi="宋体" w:cs="宋体"/>
                <w:szCs w:val="21"/>
              </w:rPr>
            </w:pPr>
            <w:r>
              <w:rPr>
                <w:rFonts w:hint="eastAsia" w:ascii="宋体" w:hAnsi="宋体" w:cs="宋体"/>
                <w:szCs w:val="21"/>
              </w:rPr>
              <w:t>偏差率=100% ×(投标人评标价－评标基准价)/评标基准价</w:t>
            </w:r>
          </w:p>
        </w:tc>
      </w:tr>
    </w:tbl>
    <w:p>
      <w:pPr>
        <w:wordWrap w:val="0"/>
        <w:topLinePunct/>
        <w:rPr>
          <w:b/>
        </w:rPr>
      </w:pPr>
      <w:r>
        <w:br w:type="page"/>
      </w:r>
      <w:r>
        <w:rPr>
          <w:b/>
        </w:rPr>
        <w:t>续上表</w:t>
      </w:r>
    </w:p>
    <w:tbl>
      <w:tblPr>
        <w:tblStyle w:val="9"/>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4"/>
        <w:gridCol w:w="573"/>
        <w:gridCol w:w="597"/>
        <w:gridCol w:w="509"/>
        <w:gridCol w:w="838"/>
        <w:gridCol w:w="507"/>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4118" w:type="dxa"/>
            <w:gridSpan w:val="6"/>
            <w:vAlign w:val="center"/>
          </w:tcPr>
          <w:p>
            <w:pPr>
              <w:pStyle w:val="15"/>
              <w:jc w:val="center"/>
              <w:rPr>
                <w:b/>
                <w:bCs/>
                <w:sz w:val="21"/>
                <w:szCs w:val="21"/>
              </w:rPr>
            </w:pPr>
            <w:r>
              <w:rPr>
                <w:rFonts w:hint="eastAsia"/>
                <w:b/>
                <w:bCs/>
                <w:sz w:val="21"/>
                <w:szCs w:val="21"/>
              </w:rPr>
              <w:t>评分因素与权重分值</w:t>
            </w:r>
          </w:p>
        </w:tc>
        <w:tc>
          <w:tcPr>
            <w:tcW w:w="4264" w:type="dxa"/>
            <w:vMerge w:val="restart"/>
            <w:vAlign w:val="center"/>
          </w:tcPr>
          <w:p>
            <w:pPr>
              <w:pStyle w:val="15"/>
              <w:jc w:val="center"/>
              <w:rPr>
                <w:b/>
                <w:bCs/>
                <w:sz w:val="21"/>
                <w:szCs w:val="21"/>
                <w:lang w:eastAsia="zh-CN"/>
              </w:rPr>
            </w:pPr>
            <w:r>
              <w:rPr>
                <w:rFonts w:hint="eastAsia"/>
                <w:b/>
                <w:bCs/>
                <w:sz w:val="21"/>
                <w:szCs w:val="21"/>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1094" w:type="dxa"/>
            <w:vAlign w:val="center"/>
          </w:tcPr>
          <w:p>
            <w:pPr>
              <w:pStyle w:val="15"/>
              <w:jc w:val="center"/>
              <w:rPr>
                <w:b/>
                <w:bCs/>
                <w:sz w:val="21"/>
                <w:szCs w:val="21"/>
              </w:rPr>
            </w:pPr>
            <w:r>
              <w:rPr>
                <w:rFonts w:hint="eastAsia"/>
                <w:b/>
                <w:bCs/>
                <w:sz w:val="21"/>
                <w:szCs w:val="21"/>
              </w:rPr>
              <w:t>条款号</w:t>
            </w:r>
          </w:p>
        </w:tc>
        <w:tc>
          <w:tcPr>
            <w:tcW w:w="573" w:type="dxa"/>
            <w:vAlign w:val="center"/>
          </w:tcPr>
          <w:p>
            <w:pPr>
              <w:pStyle w:val="15"/>
              <w:jc w:val="center"/>
              <w:rPr>
                <w:b/>
                <w:bCs/>
                <w:sz w:val="21"/>
                <w:szCs w:val="21"/>
              </w:rPr>
            </w:pPr>
            <w:r>
              <w:rPr>
                <w:rFonts w:hint="eastAsia"/>
                <w:b/>
                <w:bCs/>
                <w:sz w:val="21"/>
                <w:szCs w:val="21"/>
              </w:rPr>
              <w:t>评分</w:t>
            </w:r>
          </w:p>
          <w:p>
            <w:pPr>
              <w:pStyle w:val="15"/>
              <w:jc w:val="center"/>
              <w:rPr>
                <w:b/>
                <w:bCs/>
                <w:sz w:val="21"/>
                <w:szCs w:val="21"/>
              </w:rPr>
            </w:pPr>
            <w:r>
              <w:rPr>
                <w:rFonts w:hint="eastAsia"/>
                <w:b/>
                <w:bCs/>
                <w:sz w:val="21"/>
                <w:szCs w:val="21"/>
              </w:rPr>
              <w:t>因素</w:t>
            </w:r>
          </w:p>
        </w:tc>
        <w:tc>
          <w:tcPr>
            <w:tcW w:w="2451" w:type="dxa"/>
            <w:gridSpan w:val="4"/>
            <w:vAlign w:val="center"/>
          </w:tcPr>
          <w:p>
            <w:pPr>
              <w:pStyle w:val="15"/>
              <w:jc w:val="center"/>
              <w:rPr>
                <w:b/>
                <w:bCs/>
                <w:sz w:val="21"/>
                <w:szCs w:val="21"/>
              </w:rPr>
            </w:pPr>
            <w:r>
              <w:rPr>
                <w:rFonts w:hint="eastAsia"/>
                <w:b/>
                <w:bCs/>
                <w:sz w:val="21"/>
                <w:szCs w:val="21"/>
              </w:rPr>
              <w:t>评分因素权重分值</w:t>
            </w:r>
          </w:p>
        </w:tc>
        <w:tc>
          <w:tcPr>
            <w:tcW w:w="4264" w:type="dxa"/>
            <w:vMerge w:val="continue"/>
            <w:vAlign w:val="center"/>
          </w:tcPr>
          <w:p>
            <w:pPr>
              <w:pStyle w:val="15"/>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94" w:type="dxa"/>
            <w:vMerge w:val="restart"/>
            <w:tcBorders>
              <w:top w:val="nil"/>
            </w:tcBorders>
            <w:vAlign w:val="center"/>
          </w:tcPr>
          <w:p>
            <w:pPr>
              <w:pStyle w:val="15"/>
              <w:jc w:val="center"/>
              <w:rPr>
                <w:sz w:val="21"/>
                <w:szCs w:val="21"/>
              </w:rPr>
            </w:pPr>
            <w:r>
              <w:rPr>
                <w:rFonts w:hint="eastAsia"/>
                <w:sz w:val="21"/>
                <w:szCs w:val="21"/>
              </w:rPr>
              <w:t>2.2.4(1)</w:t>
            </w:r>
          </w:p>
        </w:tc>
        <w:tc>
          <w:tcPr>
            <w:tcW w:w="573" w:type="dxa"/>
            <w:vMerge w:val="restart"/>
            <w:vAlign w:val="center"/>
          </w:tcPr>
          <w:p>
            <w:pPr>
              <w:pStyle w:val="15"/>
              <w:jc w:val="center"/>
              <w:rPr>
                <w:sz w:val="21"/>
                <w:szCs w:val="21"/>
              </w:rPr>
            </w:pPr>
            <w:r>
              <w:rPr>
                <w:rFonts w:hint="eastAsia"/>
                <w:sz w:val="21"/>
                <w:szCs w:val="21"/>
              </w:rPr>
              <w:t>技术建议书</w:t>
            </w:r>
          </w:p>
        </w:tc>
        <w:tc>
          <w:tcPr>
            <w:tcW w:w="597" w:type="dxa"/>
            <w:vMerge w:val="restart"/>
            <w:vAlign w:val="center"/>
          </w:tcPr>
          <w:p>
            <w:pPr>
              <w:jc w:val="center"/>
              <w:rPr>
                <w:rFonts w:ascii="宋体" w:hAnsi="宋体"/>
                <w:szCs w:val="21"/>
              </w:rPr>
            </w:pPr>
            <w:r>
              <w:rPr>
                <w:rFonts w:hint="eastAsia" w:ascii="宋体" w:hAnsi="宋体"/>
                <w:szCs w:val="21"/>
              </w:rPr>
              <w:t>40分</w:t>
            </w:r>
          </w:p>
        </w:tc>
        <w:tc>
          <w:tcPr>
            <w:tcW w:w="1347" w:type="dxa"/>
            <w:gridSpan w:val="2"/>
            <w:vAlign w:val="center"/>
          </w:tcPr>
          <w:p>
            <w:pPr>
              <w:spacing w:line="380" w:lineRule="exact"/>
              <w:jc w:val="center"/>
              <w:rPr>
                <w:szCs w:val="21"/>
              </w:rPr>
            </w:pPr>
            <w:r>
              <w:rPr>
                <w:rFonts w:hint="eastAsia" w:hAnsi="宋体" w:cs="宋体"/>
                <w:snapToGrid w:val="0"/>
                <w:szCs w:val="21"/>
              </w:rPr>
              <w:t>对招标项目的理解和总体思路</w:t>
            </w:r>
          </w:p>
        </w:tc>
        <w:tc>
          <w:tcPr>
            <w:tcW w:w="507" w:type="dxa"/>
            <w:vAlign w:val="center"/>
          </w:tcPr>
          <w:p>
            <w:pPr>
              <w:spacing w:line="380" w:lineRule="exact"/>
              <w:rPr>
                <w:szCs w:val="21"/>
              </w:rPr>
            </w:pPr>
            <w:r>
              <w:rPr>
                <w:rFonts w:hint="eastAsia" w:hAnsi="宋体" w:cs="宋体"/>
                <w:szCs w:val="21"/>
                <w:u w:val="single"/>
              </w:rPr>
              <w:t>10</w:t>
            </w:r>
            <w:r>
              <w:rPr>
                <w:rFonts w:hint="eastAsia" w:hAnsi="宋体" w:cs="宋体"/>
                <w:szCs w:val="21"/>
              </w:rPr>
              <w:t>分</w:t>
            </w:r>
          </w:p>
        </w:tc>
        <w:tc>
          <w:tcPr>
            <w:tcW w:w="4264" w:type="dxa"/>
            <w:vAlign w:val="center"/>
          </w:tcPr>
          <w:p>
            <w:pPr>
              <w:pStyle w:val="7"/>
              <w:rPr>
                <w:szCs w:val="21"/>
              </w:rPr>
            </w:pPr>
            <w:r>
              <w:rPr>
                <w:rFonts w:hint="eastAsia" w:ascii="Times New Roman" w:hAnsi="宋体" w:cs="宋体"/>
                <w:bCs w:val="0"/>
                <w:szCs w:val="21"/>
              </w:rPr>
              <w:t>根据对工作范围和任务描述准确程度和总体思路清晰、切实可行程度；</w:t>
            </w:r>
            <w:r>
              <w:rPr>
                <w:rFonts w:hint="eastAsia" w:ascii="Times New Roman" w:hAnsi="宋体" w:cs="宋体"/>
                <w:szCs w:val="21"/>
              </w:rPr>
              <w:t>满分10分，好：(8.0,10.0]分；中：</w:t>
            </w:r>
            <w:r>
              <w:rPr>
                <w:rFonts w:hint="eastAsia" w:ascii="Times New Roman" w:hAnsi="宋体" w:cs="宋体"/>
                <w:szCs w:val="21"/>
                <w:lang w:eastAsia="zh-CN"/>
              </w:rPr>
              <w:t>（</w:t>
            </w:r>
            <w:r>
              <w:rPr>
                <w:rFonts w:hint="eastAsia" w:ascii="Times New Roman" w:hAnsi="宋体" w:cs="宋体"/>
                <w:szCs w:val="21"/>
              </w:rPr>
              <w:t>6.0,8.0]；一般但不被评定为不响应的, 起评分6分。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94" w:type="dxa"/>
            <w:vMerge w:val="continue"/>
            <w:vAlign w:val="center"/>
          </w:tcPr>
          <w:p>
            <w:pPr>
              <w:pStyle w:val="15"/>
              <w:jc w:val="center"/>
              <w:rPr>
                <w:sz w:val="21"/>
                <w:szCs w:val="21"/>
                <w:lang w:eastAsia="zh-CN"/>
              </w:rPr>
            </w:pPr>
          </w:p>
        </w:tc>
        <w:tc>
          <w:tcPr>
            <w:tcW w:w="573" w:type="dxa"/>
            <w:vMerge w:val="continue"/>
            <w:vAlign w:val="center"/>
          </w:tcPr>
          <w:p>
            <w:pPr>
              <w:pStyle w:val="15"/>
              <w:jc w:val="center"/>
              <w:rPr>
                <w:sz w:val="21"/>
                <w:szCs w:val="21"/>
                <w:lang w:eastAsia="zh-CN"/>
              </w:rPr>
            </w:pPr>
          </w:p>
        </w:tc>
        <w:tc>
          <w:tcPr>
            <w:tcW w:w="597" w:type="dxa"/>
            <w:vMerge w:val="continue"/>
            <w:vAlign w:val="center"/>
          </w:tcPr>
          <w:p>
            <w:pPr>
              <w:pStyle w:val="15"/>
              <w:jc w:val="center"/>
              <w:rPr>
                <w:sz w:val="21"/>
                <w:szCs w:val="21"/>
                <w:lang w:eastAsia="zh-CN"/>
              </w:rPr>
            </w:pPr>
          </w:p>
        </w:tc>
        <w:tc>
          <w:tcPr>
            <w:tcW w:w="1347" w:type="dxa"/>
            <w:gridSpan w:val="2"/>
            <w:vAlign w:val="center"/>
          </w:tcPr>
          <w:p>
            <w:pPr>
              <w:spacing w:line="380" w:lineRule="exact"/>
              <w:jc w:val="center"/>
              <w:rPr>
                <w:szCs w:val="21"/>
              </w:rPr>
            </w:pPr>
            <w:r>
              <w:rPr>
                <w:rFonts w:hint="eastAsia" w:hAnsi="宋体" w:cs="宋体"/>
                <w:snapToGrid w:val="0"/>
                <w:szCs w:val="21"/>
              </w:rPr>
              <w:t>招标项目</w:t>
            </w:r>
            <w:r>
              <w:rPr>
                <w:rFonts w:hint="eastAsia" w:asciiTheme="minorEastAsia" w:hAnsiTheme="minorEastAsia" w:eastAsiaTheme="minorEastAsia"/>
                <w:snapToGrid w:val="0"/>
                <w:szCs w:val="21"/>
              </w:rPr>
              <w:t>工作量及计划安排</w:t>
            </w:r>
          </w:p>
        </w:tc>
        <w:tc>
          <w:tcPr>
            <w:tcW w:w="507" w:type="dxa"/>
            <w:vAlign w:val="center"/>
          </w:tcPr>
          <w:p>
            <w:pPr>
              <w:spacing w:line="380" w:lineRule="exact"/>
              <w:rPr>
                <w:szCs w:val="21"/>
                <w:u w:val="single"/>
              </w:rPr>
            </w:pPr>
            <w:r>
              <w:rPr>
                <w:rFonts w:hint="eastAsia" w:hAnsi="宋体" w:cs="宋体"/>
                <w:szCs w:val="21"/>
                <w:u w:val="single"/>
              </w:rPr>
              <w:t>10</w:t>
            </w:r>
            <w:r>
              <w:rPr>
                <w:rFonts w:hint="eastAsia" w:hAnsi="宋体" w:cs="宋体"/>
                <w:szCs w:val="21"/>
              </w:rPr>
              <w:t>分</w:t>
            </w:r>
          </w:p>
        </w:tc>
        <w:tc>
          <w:tcPr>
            <w:tcW w:w="4264" w:type="dxa"/>
            <w:vAlign w:val="center"/>
          </w:tcPr>
          <w:p>
            <w:pPr>
              <w:spacing w:line="380" w:lineRule="exact"/>
              <w:rPr>
                <w:szCs w:val="21"/>
              </w:rPr>
            </w:pPr>
            <w:r>
              <w:rPr>
                <w:rFonts w:hint="eastAsia" w:hAnsi="宋体" w:cs="宋体"/>
                <w:bCs/>
                <w:szCs w:val="21"/>
              </w:rPr>
              <w:t>根据</w:t>
            </w:r>
            <w:r>
              <w:rPr>
                <w:rFonts w:hint="eastAsia" w:hAnsi="宋体" w:cs="宋体"/>
                <w:snapToGrid w:val="0"/>
                <w:szCs w:val="21"/>
              </w:rPr>
              <w:t>招标项目</w:t>
            </w:r>
            <w:r>
              <w:rPr>
                <w:rFonts w:hint="eastAsia" w:asciiTheme="minorEastAsia" w:hAnsiTheme="minorEastAsia" w:eastAsiaTheme="minorEastAsia"/>
                <w:snapToGrid w:val="0"/>
                <w:szCs w:val="21"/>
              </w:rPr>
              <w:t>工作量及计划安排的合理程度</w:t>
            </w:r>
            <w:r>
              <w:rPr>
                <w:rFonts w:hint="eastAsia" w:hAnsi="宋体" w:cs="宋体"/>
                <w:bCs/>
                <w:szCs w:val="21"/>
              </w:rPr>
              <w:t>；</w:t>
            </w:r>
            <w:r>
              <w:rPr>
                <w:rFonts w:hint="eastAsia" w:hAnsi="宋体" w:cs="宋体"/>
                <w:szCs w:val="21"/>
              </w:rPr>
              <w:t>满分10分，好：(8.0,10.0]分；中：</w:t>
            </w:r>
            <w:r>
              <w:rPr>
                <w:rFonts w:hint="eastAsia" w:hAnsi="宋体" w:cs="宋体"/>
                <w:szCs w:val="21"/>
                <w:lang w:eastAsia="zh-CN"/>
              </w:rPr>
              <w:t>（</w:t>
            </w:r>
            <w:r>
              <w:rPr>
                <w:rFonts w:hint="eastAsia" w:hAnsi="宋体" w:cs="宋体"/>
                <w:szCs w:val="21"/>
              </w:rPr>
              <w:t>6.0,8.0]；一般但不被评定为不响应的, 起评分6分。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1094" w:type="dxa"/>
            <w:vMerge w:val="continue"/>
            <w:vAlign w:val="center"/>
          </w:tcPr>
          <w:p>
            <w:pPr>
              <w:pStyle w:val="15"/>
              <w:jc w:val="center"/>
              <w:rPr>
                <w:sz w:val="21"/>
                <w:szCs w:val="21"/>
                <w:lang w:eastAsia="zh-CN"/>
              </w:rPr>
            </w:pPr>
          </w:p>
        </w:tc>
        <w:tc>
          <w:tcPr>
            <w:tcW w:w="573" w:type="dxa"/>
            <w:vMerge w:val="continue"/>
            <w:vAlign w:val="center"/>
          </w:tcPr>
          <w:p>
            <w:pPr>
              <w:pStyle w:val="15"/>
              <w:jc w:val="center"/>
              <w:rPr>
                <w:sz w:val="21"/>
                <w:szCs w:val="21"/>
                <w:lang w:eastAsia="zh-CN"/>
              </w:rPr>
            </w:pPr>
          </w:p>
        </w:tc>
        <w:tc>
          <w:tcPr>
            <w:tcW w:w="597" w:type="dxa"/>
            <w:vMerge w:val="continue"/>
            <w:vAlign w:val="center"/>
          </w:tcPr>
          <w:p>
            <w:pPr>
              <w:pStyle w:val="15"/>
              <w:jc w:val="center"/>
              <w:rPr>
                <w:sz w:val="21"/>
                <w:szCs w:val="21"/>
                <w:lang w:eastAsia="zh-CN"/>
              </w:rPr>
            </w:pPr>
          </w:p>
        </w:tc>
        <w:tc>
          <w:tcPr>
            <w:tcW w:w="1347" w:type="dxa"/>
            <w:gridSpan w:val="2"/>
            <w:vAlign w:val="center"/>
          </w:tcPr>
          <w:p>
            <w:pPr>
              <w:spacing w:line="380" w:lineRule="exact"/>
              <w:jc w:val="center"/>
              <w:rPr>
                <w:rFonts w:hAnsi="宋体" w:cs="宋体"/>
                <w:snapToGrid w:val="0"/>
                <w:szCs w:val="21"/>
              </w:rPr>
            </w:pPr>
            <w:r>
              <w:rPr>
                <w:rFonts w:hint="eastAsia" w:hAnsi="宋体" w:cs="宋体"/>
                <w:snapToGrid w:val="0"/>
                <w:szCs w:val="21"/>
              </w:rPr>
              <w:t>对招标项目</w:t>
            </w:r>
            <w:r>
              <w:rPr>
                <w:rFonts w:asciiTheme="minorEastAsia" w:hAnsiTheme="minorEastAsia" w:eastAsiaTheme="minorEastAsia"/>
                <w:snapToGrid w:val="0"/>
                <w:szCs w:val="21"/>
              </w:rPr>
              <w:t>特点、关键技术问题</w:t>
            </w:r>
            <w:r>
              <w:rPr>
                <w:rFonts w:hint="eastAsia" w:asciiTheme="minorEastAsia" w:hAnsiTheme="minorEastAsia" w:eastAsiaTheme="minorEastAsia"/>
                <w:snapToGrid w:val="0"/>
                <w:szCs w:val="21"/>
              </w:rPr>
              <w:t>的认识</w:t>
            </w:r>
            <w:r>
              <w:rPr>
                <w:rFonts w:asciiTheme="minorEastAsia" w:hAnsiTheme="minorEastAsia" w:eastAsiaTheme="minorEastAsia"/>
                <w:snapToGrid w:val="0"/>
                <w:szCs w:val="21"/>
              </w:rPr>
              <w:t>及其对策措施</w:t>
            </w:r>
          </w:p>
        </w:tc>
        <w:tc>
          <w:tcPr>
            <w:tcW w:w="507" w:type="dxa"/>
            <w:vAlign w:val="center"/>
          </w:tcPr>
          <w:p>
            <w:pPr>
              <w:spacing w:line="380" w:lineRule="exact"/>
              <w:rPr>
                <w:rFonts w:hAnsi="宋体" w:cs="宋体"/>
                <w:szCs w:val="21"/>
                <w:u w:val="single"/>
              </w:rPr>
            </w:pPr>
            <w:r>
              <w:rPr>
                <w:rFonts w:hint="eastAsia" w:hAnsi="宋体" w:cs="宋体"/>
                <w:szCs w:val="21"/>
                <w:u w:val="single"/>
              </w:rPr>
              <w:t>10</w:t>
            </w:r>
            <w:r>
              <w:rPr>
                <w:rFonts w:hint="eastAsia" w:hAnsi="宋体" w:cs="宋体"/>
                <w:szCs w:val="21"/>
              </w:rPr>
              <w:t>分</w:t>
            </w:r>
          </w:p>
        </w:tc>
        <w:tc>
          <w:tcPr>
            <w:tcW w:w="4264" w:type="dxa"/>
            <w:vAlign w:val="center"/>
          </w:tcPr>
          <w:p>
            <w:pPr>
              <w:spacing w:line="380" w:lineRule="exact"/>
              <w:rPr>
                <w:rFonts w:hAnsi="宋体" w:cs="宋体"/>
                <w:bCs/>
                <w:szCs w:val="21"/>
              </w:rPr>
            </w:pPr>
            <w:r>
              <w:rPr>
                <w:rFonts w:hint="eastAsia" w:hAnsi="宋体" w:cs="宋体"/>
                <w:snapToGrid w:val="0"/>
                <w:szCs w:val="21"/>
              </w:rPr>
              <w:t>根据对招标项目</w:t>
            </w:r>
            <w:r>
              <w:rPr>
                <w:rFonts w:asciiTheme="minorEastAsia" w:hAnsiTheme="minorEastAsia" w:eastAsiaTheme="minorEastAsia"/>
                <w:snapToGrid w:val="0"/>
                <w:szCs w:val="21"/>
              </w:rPr>
              <w:t>特点、关键技术问题</w:t>
            </w:r>
            <w:r>
              <w:rPr>
                <w:rFonts w:hint="eastAsia" w:asciiTheme="minorEastAsia" w:hAnsiTheme="minorEastAsia" w:eastAsiaTheme="minorEastAsia"/>
                <w:snapToGrid w:val="0"/>
                <w:szCs w:val="21"/>
              </w:rPr>
              <w:t>的认识</w:t>
            </w:r>
            <w:r>
              <w:rPr>
                <w:rFonts w:asciiTheme="minorEastAsia" w:hAnsiTheme="minorEastAsia" w:eastAsiaTheme="minorEastAsia"/>
                <w:snapToGrid w:val="0"/>
                <w:szCs w:val="21"/>
              </w:rPr>
              <w:t>及其对策措施</w:t>
            </w:r>
            <w:r>
              <w:rPr>
                <w:rFonts w:hint="eastAsia" w:asciiTheme="minorEastAsia" w:hAnsiTheme="minorEastAsia" w:eastAsiaTheme="minorEastAsia"/>
                <w:snapToGrid w:val="0"/>
                <w:szCs w:val="21"/>
              </w:rPr>
              <w:t>的可行程度；</w:t>
            </w:r>
            <w:r>
              <w:rPr>
                <w:rFonts w:hint="eastAsia" w:hAnsi="宋体" w:cs="宋体"/>
                <w:szCs w:val="21"/>
              </w:rPr>
              <w:t>满分10分，好：(8.0,10.0]分；中：</w:t>
            </w:r>
            <w:r>
              <w:rPr>
                <w:rFonts w:hint="eastAsia" w:hAnsi="宋体" w:cs="宋体"/>
                <w:szCs w:val="21"/>
                <w:lang w:eastAsia="zh-CN"/>
              </w:rPr>
              <w:t>（</w:t>
            </w:r>
            <w:r>
              <w:rPr>
                <w:rFonts w:hint="eastAsia" w:hAnsi="宋体" w:cs="宋体"/>
                <w:szCs w:val="21"/>
              </w:rPr>
              <w:t>6.0,8.0]；一般但不被评定为不响应的, 起评分6分。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94" w:type="dxa"/>
            <w:vMerge w:val="continue"/>
            <w:vAlign w:val="center"/>
          </w:tcPr>
          <w:p>
            <w:pPr>
              <w:pStyle w:val="15"/>
              <w:jc w:val="center"/>
              <w:rPr>
                <w:sz w:val="21"/>
                <w:szCs w:val="21"/>
                <w:lang w:eastAsia="zh-CN"/>
              </w:rPr>
            </w:pPr>
          </w:p>
        </w:tc>
        <w:tc>
          <w:tcPr>
            <w:tcW w:w="573" w:type="dxa"/>
            <w:vMerge w:val="continue"/>
            <w:vAlign w:val="center"/>
          </w:tcPr>
          <w:p>
            <w:pPr>
              <w:pStyle w:val="15"/>
              <w:jc w:val="center"/>
              <w:rPr>
                <w:sz w:val="21"/>
                <w:szCs w:val="21"/>
                <w:lang w:eastAsia="zh-CN"/>
              </w:rPr>
            </w:pPr>
          </w:p>
        </w:tc>
        <w:tc>
          <w:tcPr>
            <w:tcW w:w="597" w:type="dxa"/>
            <w:vMerge w:val="continue"/>
            <w:vAlign w:val="center"/>
          </w:tcPr>
          <w:p>
            <w:pPr>
              <w:pStyle w:val="15"/>
              <w:jc w:val="center"/>
              <w:rPr>
                <w:sz w:val="21"/>
                <w:szCs w:val="21"/>
                <w:lang w:eastAsia="zh-CN"/>
              </w:rPr>
            </w:pPr>
          </w:p>
        </w:tc>
        <w:tc>
          <w:tcPr>
            <w:tcW w:w="1347" w:type="dxa"/>
            <w:gridSpan w:val="2"/>
            <w:vAlign w:val="center"/>
          </w:tcPr>
          <w:p>
            <w:pPr>
              <w:spacing w:line="380" w:lineRule="exact"/>
              <w:jc w:val="center"/>
              <w:rPr>
                <w:szCs w:val="21"/>
              </w:rPr>
            </w:pPr>
            <w:r>
              <w:rPr>
                <w:rFonts w:hint="eastAsia" w:hAnsi="宋体" w:cs="宋体"/>
                <w:szCs w:val="21"/>
              </w:rPr>
              <w:t>工作质量及进度保证措施</w:t>
            </w:r>
          </w:p>
        </w:tc>
        <w:tc>
          <w:tcPr>
            <w:tcW w:w="507" w:type="dxa"/>
            <w:vAlign w:val="center"/>
          </w:tcPr>
          <w:p>
            <w:pPr>
              <w:spacing w:line="380" w:lineRule="exact"/>
              <w:rPr>
                <w:szCs w:val="21"/>
                <w:u w:val="single"/>
              </w:rPr>
            </w:pPr>
            <w:r>
              <w:rPr>
                <w:rFonts w:hint="eastAsia" w:hAnsi="宋体" w:cs="宋体"/>
                <w:szCs w:val="21"/>
                <w:u w:val="single"/>
              </w:rPr>
              <w:t>10</w:t>
            </w:r>
            <w:r>
              <w:rPr>
                <w:rFonts w:hint="eastAsia" w:hAnsi="宋体" w:cs="宋体"/>
                <w:szCs w:val="21"/>
              </w:rPr>
              <w:t>分</w:t>
            </w:r>
          </w:p>
        </w:tc>
        <w:tc>
          <w:tcPr>
            <w:tcW w:w="4264" w:type="dxa"/>
            <w:vAlign w:val="center"/>
          </w:tcPr>
          <w:p>
            <w:pPr>
              <w:spacing w:line="380" w:lineRule="exact"/>
              <w:rPr>
                <w:szCs w:val="21"/>
              </w:rPr>
            </w:pPr>
            <w:r>
              <w:rPr>
                <w:rFonts w:hint="eastAsia" w:hAnsi="宋体" w:cs="宋体"/>
                <w:bCs/>
                <w:szCs w:val="21"/>
              </w:rPr>
              <w:t>根据进度保证措施的可实施性；</w:t>
            </w:r>
            <w:r>
              <w:rPr>
                <w:rFonts w:hint="eastAsia" w:hAnsi="宋体" w:cs="宋体"/>
                <w:szCs w:val="21"/>
              </w:rPr>
              <w:t>满分10分，好：(8.0,10.0]分；中：</w:t>
            </w:r>
            <w:r>
              <w:rPr>
                <w:rFonts w:hint="eastAsia" w:hAnsi="宋体" w:cs="宋体"/>
                <w:szCs w:val="21"/>
                <w:lang w:eastAsia="zh-CN"/>
              </w:rPr>
              <w:t>（</w:t>
            </w:r>
            <w:r>
              <w:rPr>
                <w:rFonts w:hint="eastAsia" w:hAnsi="宋体" w:cs="宋体"/>
                <w:szCs w:val="21"/>
              </w:rPr>
              <w:t>6.0,8.0]；一般但不被评定为不响应的, 起评分6分。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94" w:type="dxa"/>
            <w:vAlign w:val="center"/>
          </w:tcPr>
          <w:p>
            <w:pPr>
              <w:rPr>
                <w:rFonts w:ascii="宋体" w:hAnsi="宋体"/>
                <w:szCs w:val="21"/>
              </w:rPr>
            </w:pPr>
            <w:r>
              <w:rPr>
                <w:rFonts w:hint="eastAsia" w:ascii="宋体" w:hAnsi="宋体"/>
                <w:szCs w:val="21"/>
              </w:rPr>
              <w:t>2.2.4(2)</w:t>
            </w:r>
          </w:p>
        </w:tc>
        <w:tc>
          <w:tcPr>
            <w:tcW w:w="573" w:type="dxa"/>
            <w:vAlign w:val="center"/>
          </w:tcPr>
          <w:p>
            <w:pPr>
              <w:jc w:val="center"/>
              <w:rPr>
                <w:rFonts w:ascii="宋体" w:hAnsi="宋体"/>
                <w:szCs w:val="21"/>
              </w:rPr>
            </w:pPr>
            <w:r>
              <w:rPr>
                <w:rFonts w:hint="eastAsia" w:ascii="宋体" w:hAnsi="宋体"/>
                <w:szCs w:val="21"/>
              </w:rPr>
              <w:t>主要</w:t>
            </w:r>
          </w:p>
          <w:p>
            <w:pPr>
              <w:jc w:val="center"/>
              <w:rPr>
                <w:rFonts w:ascii="宋体" w:hAnsi="宋体"/>
                <w:szCs w:val="21"/>
              </w:rPr>
            </w:pPr>
            <w:r>
              <w:rPr>
                <w:rFonts w:hint="eastAsia" w:ascii="宋体" w:hAnsi="宋体"/>
                <w:szCs w:val="21"/>
              </w:rPr>
              <w:t>人员</w:t>
            </w:r>
          </w:p>
        </w:tc>
        <w:tc>
          <w:tcPr>
            <w:tcW w:w="2451" w:type="dxa"/>
            <w:gridSpan w:val="4"/>
            <w:vAlign w:val="center"/>
          </w:tcPr>
          <w:p>
            <w:pPr>
              <w:jc w:val="center"/>
              <w:rPr>
                <w:rFonts w:ascii="宋体" w:hAnsi="宋体"/>
                <w:szCs w:val="21"/>
              </w:rPr>
            </w:pPr>
            <w:r>
              <w:rPr>
                <w:rFonts w:ascii="宋体" w:hAnsi="宋体"/>
                <w:szCs w:val="21"/>
              </w:rPr>
              <w:t>2</w:t>
            </w:r>
            <w:r>
              <w:rPr>
                <w:rFonts w:hint="eastAsia" w:ascii="宋体" w:hAnsi="宋体"/>
                <w:szCs w:val="21"/>
              </w:rPr>
              <w:t>0分</w:t>
            </w:r>
          </w:p>
        </w:tc>
        <w:tc>
          <w:tcPr>
            <w:tcW w:w="4264" w:type="dxa"/>
            <w:vAlign w:val="center"/>
          </w:tcPr>
          <w:p>
            <w:pPr>
              <w:pStyle w:val="17"/>
              <w:numPr>
                <w:ilvl w:val="0"/>
                <w:numId w:val="2"/>
              </w:numPr>
              <w:adjustRightInd w:val="0"/>
              <w:snapToGrid w:val="0"/>
              <w:ind w:firstLine="420"/>
              <w:rPr>
                <w:rFonts w:ascii="宋体" w:hAnsi="宋体" w:cs="宋体"/>
                <w:kern w:val="0"/>
                <w:szCs w:val="21"/>
              </w:rPr>
            </w:pPr>
            <w:r>
              <w:rPr>
                <w:rFonts w:hint="eastAsia" w:ascii="宋体" w:hAnsi="宋体" w:cs="宋体"/>
                <w:kern w:val="0"/>
                <w:szCs w:val="21"/>
              </w:rPr>
              <w:t>满足资格审查条件（人员最低要求）得</w:t>
            </w:r>
            <w:r>
              <w:rPr>
                <w:rFonts w:ascii="宋体" w:hAnsi="宋体" w:cs="宋体"/>
                <w:kern w:val="0"/>
                <w:szCs w:val="21"/>
              </w:rPr>
              <w:t>12</w:t>
            </w:r>
            <w:r>
              <w:rPr>
                <w:rFonts w:hint="eastAsia" w:ascii="宋体" w:hAnsi="宋体" w:cs="宋体"/>
                <w:kern w:val="0"/>
                <w:szCs w:val="21"/>
              </w:rPr>
              <w:t>分；</w:t>
            </w:r>
          </w:p>
          <w:p>
            <w:pPr>
              <w:pStyle w:val="17"/>
              <w:numPr>
                <w:ilvl w:val="0"/>
                <w:numId w:val="2"/>
              </w:numPr>
              <w:adjustRightInd w:val="0"/>
              <w:snapToGrid w:val="0"/>
              <w:ind w:firstLine="420"/>
              <w:rPr>
                <w:rFonts w:ascii="宋体" w:hAnsi="宋体" w:cs="宋体"/>
                <w:kern w:val="0"/>
                <w:szCs w:val="21"/>
              </w:rPr>
            </w:pPr>
            <w:r>
              <w:rPr>
                <w:rFonts w:hint="eastAsia" w:ascii="宋体" w:hAnsi="宋体" w:cs="宋体"/>
                <w:kern w:val="0"/>
                <w:szCs w:val="21"/>
              </w:rPr>
              <w:t>在满足资格审查条件（人员最低要求）的基础上，拟投入本项目的其他</w:t>
            </w:r>
            <w:r>
              <w:rPr>
                <w:rFonts w:hint="eastAsia" w:ascii="宋体" w:hAnsi="宋体" w:cs="宋体"/>
                <w:kern w:val="0"/>
                <w:szCs w:val="21"/>
                <w:lang w:val="en-US" w:eastAsia="zh-CN"/>
              </w:rPr>
              <w:t>人员</w:t>
            </w:r>
            <w:r>
              <w:rPr>
                <w:rFonts w:hint="eastAsia" w:ascii="宋体" w:hAnsi="宋体" w:cs="宋体"/>
                <w:kern w:val="0"/>
                <w:szCs w:val="21"/>
              </w:rPr>
              <w:t>同时具备高级工程师职称证书和环境影响评价工程师职业资格证书，每增加一人得</w:t>
            </w:r>
            <w:r>
              <w:rPr>
                <w:rFonts w:ascii="宋体" w:hAnsi="宋体" w:cs="宋体"/>
                <w:kern w:val="0"/>
                <w:szCs w:val="21"/>
              </w:rPr>
              <w:t>2</w:t>
            </w:r>
            <w:r>
              <w:rPr>
                <w:rFonts w:hint="eastAsia" w:ascii="宋体" w:hAnsi="宋体" w:cs="宋体"/>
                <w:kern w:val="0"/>
                <w:szCs w:val="21"/>
              </w:rPr>
              <w:t>分，本项最高得</w:t>
            </w:r>
            <w:r>
              <w:rPr>
                <w:rFonts w:ascii="宋体" w:hAnsi="宋体" w:cs="宋体"/>
                <w:kern w:val="0"/>
                <w:szCs w:val="21"/>
              </w:rPr>
              <w:t>4</w:t>
            </w:r>
            <w:r>
              <w:rPr>
                <w:rFonts w:hint="eastAsia" w:ascii="宋体" w:hAnsi="宋体" w:cs="宋体"/>
                <w:kern w:val="0"/>
                <w:szCs w:val="21"/>
              </w:rPr>
              <w:t>分。注：本项加分人员不含满足最低要求的人员</w:t>
            </w:r>
            <w:r>
              <w:rPr>
                <w:rFonts w:hint="eastAsia" w:ascii="宋体" w:hAnsi="宋体" w:cs="宋体"/>
                <w:kern w:val="0"/>
                <w:szCs w:val="21"/>
                <w:lang w:eastAsia="zh-CN"/>
              </w:rPr>
              <w:t>。</w:t>
            </w:r>
          </w:p>
          <w:p>
            <w:pPr>
              <w:pStyle w:val="17"/>
              <w:numPr>
                <w:ilvl w:val="0"/>
                <w:numId w:val="2"/>
              </w:numPr>
              <w:ind w:firstLine="420"/>
              <w:rPr>
                <w:rFonts w:ascii="宋体" w:hAnsi="宋体" w:cs="宋体"/>
                <w:kern w:val="0"/>
                <w:szCs w:val="21"/>
              </w:rPr>
            </w:pPr>
            <w:r>
              <w:rPr>
                <w:rFonts w:hint="eastAsia" w:ascii="宋体" w:hAnsi="宋体" w:cs="宋体"/>
                <w:kern w:val="0"/>
                <w:szCs w:val="21"/>
              </w:rPr>
              <w:t>项目负责人自2020年1月1日起至递交投标文件截止日止每增加完成一个声学分析或其他噪声相关咨询类业绩得</w:t>
            </w:r>
            <w:r>
              <w:rPr>
                <w:rFonts w:ascii="宋体" w:hAnsi="宋体" w:cs="宋体"/>
                <w:kern w:val="0"/>
                <w:szCs w:val="21"/>
              </w:rPr>
              <w:t>2</w:t>
            </w:r>
            <w:r>
              <w:rPr>
                <w:rFonts w:hint="eastAsia" w:ascii="宋体" w:hAnsi="宋体" w:cs="宋体"/>
                <w:kern w:val="0"/>
                <w:szCs w:val="21"/>
              </w:rPr>
              <w:t>分，本项最高得</w:t>
            </w:r>
            <w:r>
              <w:rPr>
                <w:rFonts w:ascii="宋体" w:hAnsi="宋体" w:cs="宋体"/>
                <w:kern w:val="0"/>
                <w:szCs w:val="21"/>
              </w:rPr>
              <w:t>4</w:t>
            </w:r>
            <w:r>
              <w:rPr>
                <w:rFonts w:hint="eastAsia" w:ascii="宋体" w:hAnsi="宋体" w:cs="宋体"/>
                <w:kern w:val="0"/>
                <w:szCs w:val="21"/>
              </w:rPr>
              <w:t>分</w:t>
            </w:r>
            <w:r>
              <w:rPr>
                <w:rFonts w:hint="eastAsia" w:ascii="宋体" w:hAnsi="宋体" w:cs="宋体"/>
                <w:kern w:val="0"/>
                <w:szCs w:val="21"/>
                <w:lang w:eastAsia="zh-CN"/>
              </w:rPr>
              <w:t>。</w:t>
            </w:r>
            <w:r>
              <w:rPr>
                <w:rFonts w:hint="eastAsia" w:ascii="宋体" w:hAnsi="宋体" w:cs="宋体"/>
                <w:kern w:val="0"/>
                <w:szCs w:val="21"/>
                <w:lang w:val="en-US" w:eastAsia="zh-CN"/>
              </w:rPr>
              <w:t>注：须按</w:t>
            </w:r>
            <w:r>
              <w:rPr>
                <w:rFonts w:hint="eastAsia" w:ascii="宋体" w:hAnsi="宋体" w:cs="宋体"/>
                <w:kern w:val="0"/>
                <w:sz w:val="21"/>
                <w:szCs w:val="21"/>
              </w:rPr>
              <w:t>招标文件第二章“投标人须知”第3.5.3项的要求在本表后附相关证明材料</w:t>
            </w:r>
            <w:r>
              <w:rPr>
                <w:rFonts w:hint="eastAsia" w:ascii="宋体" w:hAnsi="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1094" w:type="dxa"/>
            <w:vAlign w:val="center"/>
          </w:tcPr>
          <w:p>
            <w:pPr>
              <w:pStyle w:val="15"/>
              <w:jc w:val="center"/>
              <w:rPr>
                <w:sz w:val="21"/>
                <w:szCs w:val="21"/>
              </w:rPr>
            </w:pPr>
            <w:r>
              <w:rPr>
                <w:rFonts w:hint="eastAsia"/>
                <w:sz w:val="21"/>
                <w:szCs w:val="21"/>
              </w:rPr>
              <w:t>2.2.4(</w:t>
            </w:r>
            <w:r>
              <w:rPr>
                <w:rFonts w:hint="eastAsia"/>
                <w:sz w:val="21"/>
                <w:szCs w:val="21"/>
                <w:lang w:eastAsia="zh-CN"/>
              </w:rPr>
              <w:t>3</w:t>
            </w:r>
            <w:r>
              <w:rPr>
                <w:rFonts w:hint="eastAsia"/>
                <w:sz w:val="21"/>
                <w:szCs w:val="21"/>
              </w:rPr>
              <w:t>)</w:t>
            </w:r>
          </w:p>
        </w:tc>
        <w:tc>
          <w:tcPr>
            <w:tcW w:w="573" w:type="dxa"/>
            <w:vAlign w:val="center"/>
          </w:tcPr>
          <w:p>
            <w:pPr>
              <w:pStyle w:val="15"/>
              <w:jc w:val="center"/>
              <w:rPr>
                <w:sz w:val="21"/>
                <w:szCs w:val="21"/>
                <w:lang w:eastAsia="zh-CN"/>
              </w:rPr>
            </w:pPr>
            <w:r>
              <w:rPr>
                <w:rFonts w:hint="eastAsia"/>
                <w:sz w:val="21"/>
                <w:szCs w:val="21"/>
                <w:lang w:eastAsia="zh-CN"/>
              </w:rPr>
              <w:t>评标价</w:t>
            </w:r>
          </w:p>
        </w:tc>
        <w:tc>
          <w:tcPr>
            <w:tcW w:w="2451" w:type="dxa"/>
            <w:gridSpan w:val="4"/>
            <w:vAlign w:val="center"/>
          </w:tcPr>
          <w:p>
            <w:pPr>
              <w:pStyle w:val="15"/>
              <w:jc w:val="center"/>
              <w:rPr>
                <w:sz w:val="21"/>
                <w:szCs w:val="21"/>
                <w:lang w:eastAsia="zh-CN"/>
              </w:rPr>
            </w:pPr>
            <w:r>
              <w:rPr>
                <w:rFonts w:hint="eastAsia"/>
                <w:sz w:val="21"/>
                <w:szCs w:val="21"/>
                <w:lang w:eastAsia="zh-CN"/>
              </w:rPr>
              <w:t>10分</w:t>
            </w:r>
          </w:p>
        </w:tc>
        <w:tc>
          <w:tcPr>
            <w:tcW w:w="4264" w:type="dxa"/>
            <w:vAlign w:val="center"/>
          </w:tcPr>
          <w:p>
            <w:pPr>
              <w:pStyle w:val="15"/>
              <w:rPr>
                <w:sz w:val="21"/>
                <w:szCs w:val="21"/>
                <w:lang w:eastAsia="zh-CN"/>
              </w:rPr>
            </w:pPr>
            <w:r>
              <w:rPr>
                <w:rFonts w:hint="eastAsia"/>
                <w:sz w:val="21"/>
                <w:szCs w:val="21"/>
                <w:lang w:eastAsia="zh-CN"/>
              </w:rPr>
              <w:t>评标价得分计算公式示例：</w:t>
            </w:r>
          </w:p>
          <w:p>
            <w:pPr>
              <w:pStyle w:val="15"/>
              <w:rPr>
                <w:sz w:val="21"/>
                <w:szCs w:val="21"/>
                <w:lang w:eastAsia="zh-CN"/>
              </w:rPr>
            </w:pPr>
            <w:r>
              <w:rPr>
                <w:sz w:val="21"/>
                <w:szCs w:val="21"/>
              </w:rPr>
              <w:fldChar w:fldCharType="begin"/>
            </w:r>
            <w:r>
              <w:rPr>
                <w:sz w:val="21"/>
                <w:szCs w:val="21"/>
                <w:lang w:eastAsia="zh-CN"/>
              </w:rPr>
              <w:instrText xml:space="preserve"> </w:instrText>
            </w:r>
            <w:r>
              <w:rPr>
                <w:rFonts w:hint="eastAsia"/>
                <w:sz w:val="21"/>
                <w:szCs w:val="21"/>
                <w:lang w:eastAsia="zh-CN"/>
              </w:rPr>
              <w:instrText xml:space="preserve">= 1 \* GB2</w:instrText>
            </w:r>
            <w:r>
              <w:rPr>
                <w:sz w:val="21"/>
                <w:szCs w:val="21"/>
                <w:lang w:eastAsia="zh-CN"/>
              </w:rPr>
              <w:instrText xml:space="preserve"> </w:instrText>
            </w:r>
            <w:r>
              <w:rPr>
                <w:sz w:val="21"/>
                <w:szCs w:val="21"/>
              </w:rPr>
              <w:fldChar w:fldCharType="separate"/>
            </w:r>
            <w:r>
              <w:rPr>
                <w:rFonts w:hint="eastAsia"/>
                <w:sz w:val="21"/>
                <w:szCs w:val="21"/>
                <w:lang w:eastAsia="zh-CN"/>
              </w:rPr>
              <w:t>⑴</w:t>
            </w:r>
            <w:r>
              <w:rPr>
                <w:sz w:val="21"/>
                <w:szCs w:val="21"/>
              </w:rPr>
              <w:fldChar w:fldCharType="end"/>
            </w:r>
            <w:r>
              <w:rPr>
                <w:rFonts w:hint="eastAsia"/>
                <w:sz w:val="21"/>
                <w:szCs w:val="21"/>
                <w:lang w:eastAsia="zh-CN"/>
              </w:rPr>
              <w:t>如果投标人的评标价＞评标基准价，则评标价得分=10-偏差率×100×0.6；</w:t>
            </w:r>
          </w:p>
          <w:p>
            <w:pPr>
              <w:pStyle w:val="15"/>
              <w:rPr>
                <w:sz w:val="21"/>
                <w:szCs w:val="21"/>
                <w:lang w:eastAsia="zh-CN"/>
              </w:rPr>
            </w:pPr>
            <w:r>
              <w:rPr>
                <w:sz w:val="21"/>
                <w:szCs w:val="21"/>
              </w:rPr>
              <w:fldChar w:fldCharType="begin"/>
            </w:r>
            <w:r>
              <w:rPr>
                <w:sz w:val="21"/>
                <w:szCs w:val="21"/>
                <w:lang w:eastAsia="zh-CN"/>
              </w:rPr>
              <w:instrText xml:space="preserve"> </w:instrText>
            </w:r>
            <w:r>
              <w:rPr>
                <w:rFonts w:hint="eastAsia"/>
                <w:sz w:val="21"/>
                <w:szCs w:val="21"/>
                <w:lang w:eastAsia="zh-CN"/>
              </w:rPr>
              <w:instrText xml:space="preserve">= 2 \* GB2</w:instrText>
            </w:r>
            <w:r>
              <w:rPr>
                <w:sz w:val="21"/>
                <w:szCs w:val="21"/>
                <w:lang w:eastAsia="zh-CN"/>
              </w:rPr>
              <w:instrText xml:space="preserve"> </w:instrText>
            </w:r>
            <w:r>
              <w:rPr>
                <w:sz w:val="21"/>
                <w:szCs w:val="21"/>
              </w:rPr>
              <w:fldChar w:fldCharType="separate"/>
            </w:r>
            <w:r>
              <w:rPr>
                <w:rFonts w:hint="eastAsia"/>
                <w:sz w:val="21"/>
                <w:szCs w:val="21"/>
                <w:lang w:eastAsia="zh-CN"/>
              </w:rPr>
              <w:t>⑵</w:t>
            </w:r>
            <w:r>
              <w:rPr>
                <w:sz w:val="21"/>
                <w:szCs w:val="21"/>
              </w:rPr>
              <w:fldChar w:fldCharType="end"/>
            </w:r>
            <w:r>
              <w:rPr>
                <w:rFonts w:hint="eastAsia"/>
                <w:sz w:val="21"/>
                <w:szCs w:val="21"/>
                <w:lang w:eastAsia="zh-CN"/>
              </w:rPr>
              <w:t>如果投标人的评标价≤评标基准价，则评标价得分=10+偏差率×100×0.3。</w:t>
            </w:r>
          </w:p>
          <w:p>
            <w:pPr>
              <w:pStyle w:val="15"/>
              <w:rPr>
                <w:sz w:val="21"/>
                <w:szCs w:val="21"/>
                <w:lang w:eastAsia="zh-CN"/>
              </w:rPr>
            </w:pPr>
            <w:r>
              <w:rPr>
                <w:rFonts w:hint="eastAsia"/>
                <w:sz w:val="21"/>
                <w:szCs w:val="21"/>
                <w:lang w:eastAsia="zh-CN"/>
              </w:rPr>
              <w:t>备注：评标价得分四舍五入至小数点后四位。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94" w:type="dxa"/>
            <w:vMerge w:val="restart"/>
            <w:vAlign w:val="center"/>
          </w:tcPr>
          <w:p>
            <w:pPr>
              <w:pStyle w:val="15"/>
              <w:jc w:val="center"/>
              <w:rPr>
                <w:sz w:val="21"/>
                <w:szCs w:val="21"/>
                <w:lang w:eastAsia="zh-CN"/>
              </w:rPr>
            </w:pPr>
          </w:p>
        </w:tc>
        <w:tc>
          <w:tcPr>
            <w:tcW w:w="573" w:type="dxa"/>
            <w:vMerge w:val="restart"/>
            <w:vAlign w:val="center"/>
          </w:tcPr>
          <w:p>
            <w:pPr>
              <w:pStyle w:val="15"/>
              <w:jc w:val="center"/>
              <w:rPr>
                <w:sz w:val="21"/>
                <w:szCs w:val="21"/>
                <w:lang w:eastAsia="zh-CN"/>
              </w:rPr>
            </w:pPr>
            <w:r>
              <w:rPr>
                <w:rFonts w:hint="eastAsia"/>
                <w:sz w:val="21"/>
                <w:szCs w:val="21"/>
                <w:lang w:eastAsia="zh-CN"/>
              </w:rPr>
              <w:t>其他因素</w:t>
            </w:r>
          </w:p>
        </w:tc>
        <w:tc>
          <w:tcPr>
            <w:tcW w:w="1106" w:type="dxa"/>
            <w:gridSpan w:val="2"/>
            <w:vAlign w:val="center"/>
          </w:tcPr>
          <w:p>
            <w:pPr>
              <w:pStyle w:val="15"/>
              <w:jc w:val="center"/>
              <w:rPr>
                <w:sz w:val="21"/>
                <w:szCs w:val="21"/>
                <w:lang w:eastAsia="zh-CN"/>
              </w:rPr>
            </w:pPr>
            <w:r>
              <w:rPr>
                <w:rFonts w:hint="eastAsia"/>
                <w:sz w:val="21"/>
                <w:szCs w:val="21"/>
              </w:rPr>
              <w:t>主要业绩</w:t>
            </w:r>
          </w:p>
        </w:tc>
        <w:tc>
          <w:tcPr>
            <w:tcW w:w="1345" w:type="dxa"/>
            <w:gridSpan w:val="2"/>
            <w:vAlign w:val="center"/>
          </w:tcPr>
          <w:p>
            <w:pPr>
              <w:pStyle w:val="15"/>
              <w:jc w:val="center"/>
              <w:rPr>
                <w:sz w:val="21"/>
                <w:szCs w:val="21"/>
                <w:lang w:eastAsia="zh-CN"/>
              </w:rPr>
            </w:pPr>
            <w:r>
              <w:rPr>
                <w:rFonts w:hint="eastAsia"/>
                <w:sz w:val="21"/>
                <w:szCs w:val="21"/>
                <w:u w:val="single"/>
                <w:lang w:eastAsia="zh-CN"/>
              </w:rPr>
              <w:t>25</w:t>
            </w:r>
            <w:r>
              <w:rPr>
                <w:rFonts w:hint="eastAsia"/>
                <w:sz w:val="21"/>
                <w:szCs w:val="21"/>
              </w:rPr>
              <w:t>分</w:t>
            </w:r>
          </w:p>
        </w:tc>
        <w:tc>
          <w:tcPr>
            <w:tcW w:w="4264" w:type="dxa"/>
            <w:vAlign w:val="center"/>
          </w:tcPr>
          <w:p>
            <w:pPr>
              <w:pStyle w:val="15"/>
              <w:rPr>
                <w:rFonts w:hint="eastAsia"/>
                <w:sz w:val="21"/>
                <w:szCs w:val="21"/>
                <w:lang w:eastAsia="zh-CN"/>
              </w:rPr>
            </w:pPr>
            <w:r>
              <w:rPr>
                <w:rFonts w:hint="eastAsia"/>
                <w:sz w:val="21"/>
                <w:szCs w:val="21"/>
                <w:lang w:eastAsia="zh-CN"/>
              </w:rPr>
              <w:t>1.满足资格审查</w:t>
            </w:r>
            <w:r>
              <w:rPr>
                <w:rFonts w:hint="eastAsia"/>
                <w:sz w:val="21"/>
                <w:szCs w:val="21"/>
                <w:lang w:val="en-US" w:eastAsia="zh-CN"/>
              </w:rPr>
              <w:t>业绩</w:t>
            </w:r>
            <w:r>
              <w:rPr>
                <w:rFonts w:hint="eastAsia"/>
                <w:sz w:val="21"/>
                <w:szCs w:val="21"/>
                <w:lang w:eastAsia="zh-CN"/>
              </w:rPr>
              <w:t>最低要求，得15分。</w:t>
            </w:r>
          </w:p>
          <w:p>
            <w:pPr>
              <w:pStyle w:val="15"/>
              <w:rPr>
                <w:rFonts w:hint="eastAsia"/>
                <w:sz w:val="21"/>
                <w:szCs w:val="21"/>
                <w:lang w:eastAsia="zh-CN"/>
              </w:rPr>
            </w:pPr>
            <w:r>
              <w:rPr>
                <w:rFonts w:hint="eastAsia"/>
                <w:sz w:val="21"/>
                <w:szCs w:val="21"/>
                <w:lang w:eastAsia="zh-CN"/>
              </w:rPr>
              <w:t>2.在满足资格审查最低要求的情况下:</w:t>
            </w:r>
          </w:p>
          <w:p>
            <w:pPr>
              <w:pStyle w:val="15"/>
              <w:rPr>
                <w:rFonts w:hint="eastAsia"/>
                <w:sz w:val="21"/>
                <w:szCs w:val="21"/>
                <w:lang w:eastAsia="zh-CN"/>
              </w:rPr>
            </w:pPr>
            <w:r>
              <w:rPr>
                <w:rFonts w:hint="eastAsia"/>
                <w:sz w:val="21"/>
                <w:szCs w:val="21"/>
                <w:lang w:eastAsia="zh-CN"/>
              </w:rPr>
              <w:t>（1）投标人自2020年1月1日起至递交投标文件截止日止，每</w:t>
            </w:r>
            <w:r>
              <w:rPr>
                <w:rFonts w:hint="eastAsia"/>
                <w:sz w:val="21"/>
                <w:szCs w:val="21"/>
                <w:lang w:val="en-US" w:eastAsia="zh-CN"/>
              </w:rPr>
              <w:t>增加</w:t>
            </w:r>
            <w:r>
              <w:rPr>
                <w:rFonts w:hint="eastAsia"/>
                <w:sz w:val="21"/>
                <w:szCs w:val="21"/>
                <w:lang w:eastAsia="zh-CN"/>
              </w:rPr>
              <w:t xml:space="preserve">完成一个声学分析或其他噪声相关咨询类业绩得1分，本项最高得5分； </w:t>
            </w:r>
          </w:p>
          <w:p>
            <w:pPr>
              <w:pStyle w:val="15"/>
              <w:rPr>
                <w:rFonts w:hint="eastAsia"/>
                <w:sz w:val="21"/>
                <w:szCs w:val="21"/>
                <w:lang w:eastAsia="zh-CN"/>
              </w:rPr>
            </w:pPr>
            <w:r>
              <w:rPr>
                <w:rFonts w:hint="eastAsia"/>
                <w:sz w:val="21"/>
                <w:szCs w:val="21"/>
                <w:lang w:eastAsia="zh-CN"/>
              </w:rPr>
              <w:t>（2）投标人自2020年1月1日起至递交投标文件截止日止，每</w:t>
            </w:r>
            <w:r>
              <w:rPr>
                <w:rFonts w:hint="eastAsia"/>
                <w:sz w:val="21"/>
                <w:szCs w:val="21"/>
                <w:lang w:val="en-US" w:eastAsia="zh-CN"/>
              </w:rPr>
              <w:t>增加</w:t>
            </w:r>
            <w:r>
              <w:rPr>
                <w:rFonts w:hint="eastAsia"/>
                <w:sz w:val="21"/>
                <w:szCs w:val="21"/>
                <w:lang w:eastAsia="zh-CN"/>
              </w:rPr>
              <w:t>完成一个高速公路类项目环境影响评价业绩得1分，本项最高得5分；</w:t>
            </w:r>
          </w:p>
          <w:p>
            <w:pPr>
              <w:pStyle w:val="15"/>
              <w:rPr>
                <w:sz w:val="21"/>
                <w:szCs w:val="21"/>
                <w:lang w:eastAsia="zh-CN"/>
              </w:rPr>
            </w:pPr>
            <w:r>
              <w:rPr>
                <w:rFonts w:hint="eastAsia"/>
                <w:sz w:val="21"/>
                <w:szCs w:val="21"/>
                <w:lang w:eastAsia="zh-CN"/>
              </w:rPr>
              <w:t>注：本项最多得25分，同一项目不重复加分，按最高分计算。须按招标文件要求提供相关证明材料，否则不加分。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94" w:type="dxa"/>
            <w:vMerge w:val="continue"/>
            <w:vAlign w:val="center"/>
          </w:tcPr>
          <w:p>
            <w:pPr>
              <w:pStyle w:val="15"/>
              <w:jc w:val="center"/>
              <w:rPr>
                <w:sz w:val="21"/>
                <w:szCs w:val="21"/>
                <w:lang w:eastAsia="zh-CN"/>
              </w:rPr>
            </w:pPr>
          </w:p>
        </w:tc>
        <w:tc>
          <w:tcPr>
            <w:tcW w:w="573" w:type="dxa"/>
            <w:vMerge w:val="continue"/>
            <w:vAlign w:val="center"/>
          </w:tcPr>
          <w:p>
            <w:pPr>
              <w:pStyle w:val="15"/>
              <w:jc w:val="center"/>
              <w:rPr>
                <w:sz w:val="21"/>
                <w:szCs w:val="21"/>
                <w:lang w:eastAsia="zh-CN"/>
              </w:rPr>
            </w:pPr>
          </w:p>
        </w:tc>
        <w:tc>
          <w:tcPr>
            <w:tcW w:w="1106" w:type="dxa"/>
            <w:gridSpan w:val="2"/>
            <w:vAlign w:val="center"/>
          </w:tcPr>
          <w:p>
            <w:pPr>
              <w:jc w:val="center"/>
              <w:rPr>
                <w:rFonts w:ascii="宋体" w:hAnsi="宋体"/>
                <w:szCs w:val="21"/>
              </w:rPr>
            </w:pPr>
            <w:r>
              <w:rPr>
                <w:rFonts w:hint="eastAsia" w:ascii="宋体" w:hAnsi="宋体"/>
                <w:szCs w:val="21"/>
              </w:rPr>
              <w:t>履约信誉</w:t>
            </w:r>
          </w:p>
        </w:tc>
        <w:tc>
          <w:tcPr>
            <w:tcW w:w="1345" w:type="dxa"/>
            <w:gridSpan w:val="2"/>
            <w:vAlign w:val="center"/>
          </w:tcPr>
          <w:p>
            <w:pPr>
              <w:jc w:val="center"/>
              <w:rPr>
                <w:rFonts w:ascii="宋体" w:hAnsi="宋体"/>
                <w:szCs w:val="21"/>
                <w:u w:val="single"/>
              </w:rPr>
            </w:pPr>
            <w:r>
              <w:rPr>
                <w:rFonts w:hint="eastAsia" w:ascii="宋体" w:hAnsi="宋体"/>
                <w:szCs w:val="21"/>
                <w:u w:val="single"/>
              </w:rPr>
              <w:t>5</w:t>
            </w:r>
            <w:r>
              <w:rPr>
                <w:rFonts w:hint="eastAsia" w:ascii="宋体" w:hAnsi="宋体"/>
                <w:szCs w:val="21"/>
              </w:rPr>
              <w:t>分</w:t>
            </w:r>
          </w:p>
        </w:tc>
        <w:tc>
          <w:tcPr>
            <w:tcW w:w="4264" w:type="dxa"/>
            <w:vAlign w:val="center"/>
          </w:tcPr>
          <w:p>
            <w:pPr>
              <w:pStyle w:val="15"/>
              <w:jc w:val="both"/>
              <w:rPr>
                <w:rFonts w:hint="eastAsia"/>
                <w:sz w:val="21"/>
                <w:szCs w:val="21"/>
                <w:lang w:eastAsia="zh-CN"/>
              </w:rPr>
            </w:pPr>
            <w:r>
              <w:rPr>
                <w:rFonts w:hint="eastAsia"/>
                <w:sz w:val="21"/>
                <w:szCs w:val="21"/>
                <w:lang w:eastAsia="zh-CN"/>
              </w:rPr>
              <w:t>若没出现下述情形得满分（5分）；</w:t>
            </w:r>
          </w:p>
          <w:p>
            <w:pPr>
              <w:pStyle w:val="15"/>
              <w:jc w:val="both"/>
              <w:rPr>
                <w:rFonts w:hint="eastAsia"/>
                <w:sz w:val="21"/>
                <w:szCs w:val="21"/>
                <w:lang w:eastAsia="zh-CN"/>
              </w:rPr>
            </w:pPr>
            <w:r>
              <w:rPr>
                <w:rFonts w:hint="eastAsia"/>
                <w:sz w:val="21"/>
                <w:szCs w:val="21"/>
                <w:lang w:eastAsia="zh-CN"/>
              </w:rPr>
              <w:t>投标文件递交截止日前1年内，投标人因公路工程（含附属设施）质量、安全、履约或招标投标问题等原因被：</w:t>
            </w:r>
          </w:p>
          <w:p>
            <w:pPr>
              <w:pStyle w:val="15"/>
              <w:jc w:val="both"/>
              <w:rPr>
                <w:rFonts w:hint="eastAsia"/>
                <w:sz w:val="21"/>
                <w:szCs w:val="21"/>
                <w:lang w:eastAsia="zh-CN"/>
              </w:rPr>
            </w:pPr>
            <w:r>
              <w:rPr>
                <w:rFonts w:hint="eastAsia"/>
                <w:sz w:val="21"/>
                <w:szCs w:val="21"/>
                <w:lang w:eastAsia="zh-CN"/>
              </w:rPr>
              <w:t>（1）交通运输部行政处罚的，扣5分/次。</w:t>
            </w:r>
          </w:p>
          <w:p>
            <w:pPr>
              <w:pStyle w:val="15"/>
              <w:jc w:val="both"/>
              <w:rPr>
                <w:rFonts w:hint="eastAsia"/>
                <w:sz w:val="21"/>
                <w:szCs w:val="21"/>
                <w:lang w:eastAsia="zh-CN"/>
              </w:rPr>
            </w:pPr>
            <w:r>
              <w:rPr>
                <w:rFonts w:hint="eastAsia"/>
                <w:sz w:val="21"/>
                <w:szCs w:val="21"/>
                <w:lang w:eastAsia="zh-CN"/>
              </w:rPr>
              <w:t>（2）广东省交通运输厅行政处罚的，扣3分/次。</w:t>
            </w:r>
          </w:p>
          <w:p>
            <w:pPr>
              <w:pStyle w:val="15"/>
              <w:jc w:val="both"/>
              <w:rPr>
                <w:rFonts w:hint="eastAsia"/>
                <w:sz w:val="21"/>
                <w:szCs w:val="21"/>
                <w:lang w:eastAsia="zh-CN"/>
              </w:rPr>
            </w:pPr>
            <w:r>
              <w:rPr>
                <w:rFonts w:hint="eastAsia"/>
                <w:sz w:val="21"/>
                <w:szCs w:val="21"/>
                <w:lang w:eastAsia="zh-CN"/>
              </w:rPr>
              <w:t>（3）广州市交通运输局行政处罚的，扣1.5分/次。</w:t>
            </w:r>
          </w:p>
          <w:p>
            <w:pPr>
              <w:pStyle w:val="15"/>
              <w:jc w:val="both"/>
              <w:rPr>
                <w:rFonts w:hint="eastAsia"/>
                <w:sz w:val="21"/>
                <w:szCs w:val="21"/>
                <w:lang w:eastAsia="zh-CN"/>
              </w:rPr>
            </w:pPr>
            <w:r>
              <w:rPr>
                <w:rFonts w:hint="eastAsia"/>
                <w:sz w:val="21"/>
                <w:szCs w:val="21"/>
                <w:lang w:eastAsia="zh-CN"/>
              </w:rPr>
              <w:t>（4）广东省交通运输厅正式约谈的，扣0.1分/次。</w:t>
            </w:r>
          </w:p>
          <w:p>
            <w:pPr>
              <w:pStyle w:val="15"/>
              <w:rPr>
                <w:sz w:val="21"/>
                <w:szCs w:val="21"/>
                <w:lang w:eastAsia="zh-CN"/>
              </w:rPr>
            </w:pPr>
            <w:r>
              <w:rPr>
                <w:rFonts w:hint="eastAsia"/>
                <w:sz w:val="21"/>
                <w:szCs w:val="21"/>
                <w:lang w:eastAsia="zh-CN"/>
              </w:rPr>
              <w:t>注：同一事项同时被多个部门行政处罚或正式约谈只按最高的扣分计算1次（行政处罚要以上述单位正式发文为依据，以正式发文时间为准；正式约谈要以上述单位的书面通知和约谈会议纪要为依据，时间以约谈会议纪要发文时间为准，正式约谈是指因建设项目质量、安全、履约或招标投标等问题被约见从业单位的企业法人情形)。如果扣完本项分值，可以从总分中扣。</w:t>
            </w:r>
          </w:p>
        </w:tc>
      </w:tr>
    </w:tbl>
    <w:p>
      <w:pPr>
        <w:pStyle w:val="6"/>
        <w:rPr>
          <w:b/>
        </w:rPr>
      </w:pPr>
    </w:p>
    <w:p>
      <w:pPr>
        <w:wordWrap w:val="0"/>
        <w:topLinePunct/>
        <w:spacing w:line="360" w:lineRule="auto"/>
      </w:pPr>
      <w:r>
        <w:rPr>
          <w:rFonts w:hint="eastAsia"/>
        </w:rPr>
        <w:br w:type="page"/>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72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8" w:type="dxa"/>
            <w:gridSpan w:val="2"/>
          </w:tcPr>
          <w:p>
            <w:pPr>
              <w:topLinePunct/>
              <w:rPr>
                <w:rFonts w:ascii="宋体" w:hAnsi="宋体"/>
                <w:kern w:val="0"/>
                <w:szCs w:val="21"/>
              </w:rPr>
            </w:pPr>
            <w:r>
              <w:rPr>
                <w:rFonts w:ascii="宋体" w:hAnsi="宋体"/>
                <w:b/>
                <w:szCs w:val="21"/>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topLinePunct/>
              <w:jc w:val="center"/>
              <w:rPr>
                <w:rFonts w:ascii="宋体" w:hAnsi="宋体"/>
                <w:b/>
                <w:kern w:val="0"/>
                <w:szCs w:val="21"/>
              </w:rPr>
            </w:pPr>
            <w:r>
              <w:rPr>
                <w:rFonts w:hint="eastAsia" w:ascii="宋体" w:hAnsi="宋体"/>
                <w:b/>
                <w:szCs w:val="21"/>
              </w:rPr>
              <w:t>条款号</w:t>
            </w:r>
          </w:p>
        </w:tc>
        <w:tc>
          <w:tcPr>
            <w:tcW w:w="7259" w:type="dxa"/>
            <w:vAlign w:val="center"/>
          </w:tcPr>
          <w:p>
            <w:pPr>
              <w:topLinePunct/>
              <w:jc w:val="center"/>
              <w:rPr>
                <w:rFonts w:ascii="宋体" w:hAnsi="宋体"/>
                <w:b/>
                <w:kern w:val="0"/>
                <w:szCs w:val="21"/>
              </w:rPr>
            </w:pPr>
            <w:r>
              <w:rPr>
                <w:rFonts w:hint="eastAsia" w:ascii="宋体" w:hAnsi="宋体"/>
                <w:b/>
                <w:szCs w:val="21"/>
              </w:rPr>
              <w:t>补充的内容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topLinePunct/>
              <w:jc w:val="center"/>
              <w:rPr>
                <w:rFonts w:ascii="宋体" w:hAnsi="宋体"/>
                <w:kern w:val="0"/>
                <w:szCs w:val="21"/>
              </w:rPr>
            </w:pPr>
            <w:r>
              <w:rPr>
                <w:rFonts w:hint="eastAsia" w:ascii="宋体" w:hAnsi="宋体"/>
                <w:szCs w:val="21"/>
              </w:rPr>
              <w:t>1</w:t>
            </w:r>
          </w:p>
        </w:tc>
        <w:tc>
          <w:tcPr>
            <w:tcW w:w="7259" w:type="dxa"/>
            <w:vAlign w:val="center"/>
          </w:tcPr>
          <w:p>
            <w:pPr>
              <w:topLinePunct/>
              <w:rPr>
                <w:rFonts w:ascii="宋体" w:hAnsi="宋体"/>
                <w:b/>
                <w:szCs w:val="21"/>
              </w:rPr>
            </w:pPr>
            <w:r>
              <w:rPr>
                <w:rFonts w:hint="eastAsia" w:ascii="宋体" w:hAnsi="宋体"/>
                <w:b/>
                <w:szCs w:val="21"/>
              </w:rPr>
              <w:t>将评标办法范本原文第 1 条“评标方法”改为“评标方法、组织及工作程序，并且原文内容修改如下：</w:t>
            </w:r>
          </w:p>
          <w:p>
            <w:pPr>
              <w:topLinePunct/>
              <w:rPr>
                <w:rFonts w:ascii="宋体" w:hAnsi="宋体"/>
                <w:szCs w:val="21"/>
              </w:rPr>
            </w:pPr>
            <w:r>
              <w:rPr>
                <w:rFonts w:hint="eastAsia" w:ascii="宋体" w:hAnsi="宋体"/>
                <w:szCs w:val="21"/>
              </w:rPr>
              <w:t>1.1 评标方法</w:t>
            </w:r>
          </w:p>
          <w:p>
            <w:pPr>
              <w:topLinePunct/>
              <w:rPr>
                <w:rFonts w:ascii="宋体" w:hAnsi="宋体"/>
                <w:szCs w:val="21"/>
              </w:rPr>
            </w:pPr>
            <w:r>
              <w:rPr>
                <w:rFonts w:hint="eastAsia" w:ascii="宋体" w:hAnsi="宋体"/>
                <w:szCs w:val="21"/>
              </w:rPr>
              <w:t>本次评标采用综合评估法。评标委员会对满足招标文件实质性要求的投标文件，按照本章第 2.2 款规定的评分标准进行打分，并按得分由高到低顺序推荐中标候选人，但投标报价低于其成本的除外。综合评分相等时，评标委员会应按照评标办法前附表规定的优先次序推荐中标候选人或确定中标人。</w:t>
            </w:r>
          </w:p>
          <w:p>
            <w:pPr>
              <w:topLinePunct/>
              <w:rPr>
                <w:rFonts w:ascii="宋体" w:hAnsi="宋体"/>
                <w:szCs w:val="21"/>
              </w:rPr>
            </w:pPr>
            <w:r>
              <w:rPr>
                <w:rFonts w:hint="eastAsia" w:ascii="宋体" w:hAnsi="宋体"/>
                <w:szCs w:val="21"/>
              </w:rPr>
              <w:t>1.2 评标组织</w:t>
            </w:r>
          </w:p>
          <w:p>
            <w:pPr>
              <w:topLinePunct/>
              <w:rPr>
                <w:rFonts w:ascii="宋体" w:hAnsi="宋体"/>
                <w:szCs w:val="21"/>
              </w:rPr>
            </w:pPr>
            <w:r>
              <w:rPr>
                <w:rFonts w:hint="eastAsia" w:ascii="宋体" w:hAnsi="宋体"/>
                <w:szCs w:val="21"/>
              </w:rPr>
              <w:t>1.2.1 协助工作组</w:t>
            </w:r>
          </w:p>
          <w:p>
            <w:pPr>
              <w:topLinePunct/>
              <w:rPr>
                <w:rFonts w:ascii="宋体" w:hAnsi="宋体"/>
                <w:szCs w:val="21"/>
              </w:rPr>
            </w:pPr>
            <w:r>
              <w:rPr>
                <w:rFonts w:hint="eastAsia" w:ascii="宋体" w:hAnsi="宋体"/>
                <w:szCs w:val="21"/>
              </w:rPr>
              <w:t>招标人可在评标工作开始前成立协助工作组，选派熟悉招标工作、政治素质高的人员组成，协助评标委员会工作。协助工作组人员的具体数量由招标人视评标工作量确定。招标人可以协助评标委员会开展下列工作并提供相关信息：</w:t>
            </w:r>
          </w:p>
          <w:p>
            <w:pPr>
              <w:topLinePunct/>
              <w:rPr>
                <w:rFonts w:ascii="宋体" w:hAnsi="宋体"/>
                <w:szCs w:val="21"/>
              </w:rPr>
            </w:pPr>
            <w:r>
              <w:rPr>
                <w:rFonts w:hint="eastAsia" w:ascii="宋体" w:hAnsi="宋体"/>
                <w:szCs w:val="21"/>
              </w:rPr>
              <w:t>（1）根据招标文件，编制评标使用的相应表格；</w:t>
            </w:r>
          </w:p>
          <w:p>
            <w:pPr>
              <w:topLinePunct/>
              <w:rPr>
                <w:rFonts w:ascii="宋体" w:hAnsi="宋体"/>
                <w:szCs w:val="21"/>
              </w:rPr>
            </w:pPr>
            <w:r>
              <w:rPr>
                <w:rFonts w:hint="eastAsia" w:ascii="宋体" w:hAnsi="宋体"/>
                <w:szCs w:val="21"/>
              </w:rPr>
              <w:t>（2）对投标报价进行算术性校核（如采用固化工程量清单，本步骤省略）；</w:t>
            </w:r>
          </w:p>
          <w:p>
            <w:pPr>
              <w:topLinePunct/>
              <w:rPr>
                <w:rFonts w:ascii="宋体" w:hAnsi="宋体"/>
                <w:szCs w:val="21"/>
              </w:rPr>
            </w:pPr>
            <w:r>
              <w:rPr>
                <w:rFonts w:hint="eastAsia" w:ascii="宋体" w:hAnsi="宋体"/>
                <w:szCs w:val="21"/>
              </w:rPr>
              <w:t>（3）以评标标准和方法为依据，列出投标文件相对于招标文件的所有偏差，并进行归类汇总；</w:t>
            </w:r>
          </w:p>
          <w:p>
            <w:pPr>
              <w:topLinePunct/>
              <w:rPr>
                <w:rFonts w:ascii="宋体" w:hAnsi="宋体"/>
                <w:szCs w:val="21"/>
              </w:rPr>
            </w:pPr>
            <w:r>
              <w:rPr>
                <w:rFonts w:hint="eastAsia" w:ascii="宋体" w:hAnsi="宋体"/>
                <w:szCs w:val="21"/>
              </w:rPr>
              <w:t>招标人不得对投标文件作出任何评价，不得故意遗漏或者片面摘录，不得在评标委员会对所有偏差定性之前透露存有偏差的投标人名称。</w:t>
            </w:r>
          </w:p>
          <w:p>
            <w:pPr>
              <w:topLinePunct/>
              <w:rPr>
                <w:rFonts w:ascii="宋体" w:hAnsi="宋体"/>
                <w:szCs w:val="21"/>
              </w:rPr>
            </w:pPr>
            <w:r>
              <w:rPr>
                <w:rFonts w:hint="eastAsia" w:ascii="宋体" w:hAnsi="宋体"/>
                <w:szCs w:val="21"/>
              </w:rPr>
              <w:t>1.2.2 评标委员会</w:t>
            </w:r>
          </w:p>
          <w:p>
            <w:pPr>
              <w:topLinePunct/>
              <w:rPr>
                <w:rFonts w:ascii="宋体" w:hAnsi="宋体"/>
                <w:szCs w:val="21"/>
              </w:rPr>
            </w:pPr>
            <w:r>
              <w:rPr>
                <w:rFonts w:hint="eastAsia" w:ascii="宋体" w:hAnsi="宋体"/>
                <w:szCs w:val="21"/>
              </w:rPr>
              <w:t>评标委员会的组建按投标人须知第6.1.1项执行。评标委员会的主要工作内容包括：</w:t>
            </w:r>
          </w:p>
          <w:p>
            <w:pPr>
              <w:topLinePunct/>
              <w:rPr>
                <w:rFonts w:ascii="宋体" w:hAnsi="宋体"/>
                <w:szCs w:val="21"/>
              </w:rPr>
            </w:pPr>
            <w:r>
              <w:rPr>
                <w:rFonts w:hint="eastAsia" w:ascii="宋体" w:hAnsi="宋体"/>
                <w:szCs w:val="21"/>
              </w:rPr>
              <w:t>（1）评标委员会开始评标工作之前，首先听取招标人、协助工作组关于工程情况和辅助工作的说明，并认真研读招标文件，获取评标所需的重要信息和数据；</w:t>
            </w:r>
          </w:p>
          <w:p>
            <w:pPr>
              <w:topLinePunct/>
              <w:rPr>
                <w:rFonts w:ascii="宋体" w:hAnsi="宋体"/>
                <w:szCs w:val="21"/>
              </w:rPr>
            </w:pPr>
            <w:r>
              <w:rPr>
                <w:rFonts w:hint="eastAsia" w:ascii="宋体" w:hAnsi="宋体"/>
                <w:szCs w:val="21"/>
              </w:rPr>
              <w:t>（2）对协助工作组提供的评标工作用表和评标内容进行核查。</w:t>
            </w:r>
          </w:p>
          <w:p>
            <w:pPr>
              <w:topLinePunct/>
              <w:rPr>
                <w:rFonts w:ascii="宋体" w:hAnsi="宋体"/>
                <w:kern w:val="0"/>
                <w:szCs w:val="21"/>
              </w:rPr>
            </w:pPr>
            <w:r>
              <w:rPr>
                <w:rFonts w:hint="eastAsia" w:ascii="宋体" w:hAnsi="宋体"/>
                <w:szCs w:val="21"/>
              </w:rPr>
              <w:t>（3）按照评标程序进行各项评审工作。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topLinePunct/>
              <w:jc w:val="center"/>
              <w:rPr>
                <w:rFonts w:ascii="宋体" w:hAnsi="宋体"/>
                <w:kern w:val="0"/>
                <w:szCs w:val="21"/>
              </w:rPr>
            </w:pPr>
            <w:r>
              <w:rPr>
                <w:rFonts w:hint="eastAsia" w:ascii="宋体" w:hAnsi="宋体"/>
                <w:szCs w:val="21"/>
              </w:rPr>
              <w:t>3.2.3</w:t>
            </w:r>
          </w:p>
        </w:tc>
        <w:tc>
          <w:tcPr>
            <w:tcW w:w="7259" w:type="dxa"/>
            <w:vAlign w:val="center"/>
          </w:tcPr>
          <w:p>
            <w:pPr>
              <w:topLinePunct/>
              <w:rPr>
                <w:rFonts w:ascii="宋体" w:hAnsi="宋体"/>
                <w:b/>
                <w:szCs w:val="21"/>
              </w:rPr>
            </w:pPr>
            <w:r>
              <w:rPr>
                <w:rFonts w:hint="eastAsia" w:ascii="宋体" w:hAnsi="宋体"/>
                <w:b/>
                <w:szCs w:val="21"/>
              </w:rPr>
              <w:t>将评标办法范本原文第 3.2.3 款细化如下：</w:t>
            </w:r>
          </w:p>
          <w:p>
            <w:pPr>
              <w:pStyle w:val="6"/>
              <w:topLinePunct/>
              <w:spacing w:after="0"/>
              <w:ind w:left="0" w:leftChars="0"/>
              <w:rPr>
                <w:rFonts w:ascii="宋体" w:hAnsi="宋体"/>
                <w:szCs w:val="21"/>
              </w:rPr>
            </w:pPr>
            <w:r>
              <w:rPr>
                <w:rFonts w:hint="eastAsia" w:ascii="宋体" w:hAnsi="宋体"/>
                <w:szCs w:val="21"/>
              </w:rPr>
              <w:t>3.2.3 投标人的商务和技术得分=A+B+D。</w:t>
            </w:r>
          </w:p>
          <w:p>
            <w:pPr>
              <w:pStyle w:val="6"/>
              <w:topLinePunct/>
              <w:spacing w:after="0"/>
              <w:ind w:left="0" w:leftChars="0"/>
              <w:rPr>
                <w:rFonts w:ascii="宋体" w:hAnsi="宋体"/>
                <w:szCs w:val="21"/>
              </w:rPr>
            </w:pPr>
            <w:r>
              <w:rPr>
                <w:rFonts w:hint="eastAsia" w:ascii="宋体" w:hAnsi="宋体"/>
                <w:szCs w:val="21"/>
              </w:rPr>
              <w:t>评分因素（评标价除外）及其各评审因素细分项的得分一般不得低于其权重分值的60%，评分低于权重分值60%的，评标委员会成员应当在评标报告中作出说明。</w:t>
            </w:r>
          </w:p>
          <w:p>
            <w:pPr>
              <w:pStyle w:val="6"/>
              <w:topLinePunct/>
              <w:spacing w:after="0"/>
              <w:ind w:left="0" w:leftChars="0"/>
              <w:rPr>
                <w:rFonts w:ascii="宋体" w:hAnsi="宋体"/>
                <w:szCs w:val="21"/>
              </w:rPr>
            </w:pPr>
            <w:r>
              <w:rPr>
                <w:rFonts w:hint="eastAsia" w:ascii="宋体" w:hAnsi="宋体"/>
                <w:szCs w:val="21"/>
              </w:rPr>
              <w:t>计算投标人技术建议书得分时：当评标委员会人数7人以下单数时，各评标委员打分的算术平均值即为投标人的最终技术服务书评分，平均值计算四舍五入保留小数点后两位；当评标委员会人数为7人及以上单数时，以评标委员会各成员对该投标人的技术建议书评分去掉一个最高分和一个最低分后计算的算术平均值为投标人的最终技术建议书评分，平均值计算四舍五入保留小数点后两位。</w:t>
            </w:r>
          </w:p>
          <w:p>
            <w:pPr>
              <w:pStyle w:val="6"/>
              <w:topLinePunct/>
              <w:spacing w:after="0"/>
              <w:ind w:left="0" w:leftChars="0"/>
              <w:rPr>
                <w:rFonts w:ascii="宋体" w:hAnsi="宋体"/>
                <w:szCs w:val="21"/>
              </w:rPr>
            </w:pPr>
            <w:r>
              <w:rPr>
                <w:rFonts w:hint="eastAsia" w:ascii="宋体" w:hAnsi="宋体"/>
                <w:szCs w:val="21"/>
              </w:rPr>
              <w:t>评委对各评分因素细分项评分保留小数点后一位。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topLinePunct/>
              <w:jc w:val="center"/>
              <w:rPr>
                <w:rFonts w:ascii="宋体" w:hAnsi="宋体"/>
                <w:szCs w:val="21"/>
              </w:rPr>
            </w:pPr>
            <w:r>
              <w:rPr>
                <w:rFonts w:hint="eastAsia" w:ascii="宋体" w:hAnsi="宋体"/>
                <w:szCs w:val="21"/>
              </w:rPr>
              <w:t>3.6</w:t>
            </w:r>
          </w:p>
        </w:tc>
        <w:tc>
          <w:tcPr>
            <w:tcW w:w="7259" w:type="dxa"/>
            <w:vAlign w:val="center"/>
          </w:tcPr>
          <w:p>
            <w:pPr>
              <w:pStyle w:val="6"/>
              <w:topLinePunct/>
              <w:spacing w:after="0"/>
              <w:ind w:left="0" w:leftChars="0"/>
              <w:rPr>
                <w:rFonts w:ascii="宋体" w:hAnsi="宋体"/>
                <w:b/>
                <w:bCs/>
                <w:szCs w:val="21"/>
              </w:rPr>
            </w:pPr>
            <w:r>
              <w:rPr>
                <w:rFonts w:hint="eastAsia" w:ascii="宋体" w:hAnsi="宋体"/>
                <w:b/>
                <w:bCs/>
                <w:szCs w:val="21"/>
              </w:rPr>
              <w:t>在评标办法范本原文3.6.1（4）项后增加（5）:</w:t>
            </w:r>
          </w:p>
          <w:p>
            <w:pPr>
              <w:pStyle w:val="6"/>
              <w:topLinePunct/>
              <w:spacing w:after="0"/>
              <w:ind w:left="0" w:leftChars="0"/>
              <w:rPr>
                <w:rFonts w:ascii="宋体" w:hAnsi="宋体"/>
                <w:szCs w:val="21"/>
              </w:rPr>
            </w:pPr>
            <w:r>
              <w:rPr>
                <w:rFonts w:hint="eastAsia" w:ascii="宋体" w:hAnsi="宋体"/>
                <w:szCs w:val="21"/>
              </w:rPr>
              <w:t>（5）投标人之间不得有下列情形</w:t>
            </w:r>
          </w:p>
          <w:p>
            <w:pPr>
              <w:pStyle w:val="6"/>
              <w:topLinePunct/>
              <w:spacing w:after="0"/>
              <w:ind w:left="0" w:leftChars="0"/>
              <w:rPr>
                <w:rFonts w:ascii="宋体" w:hAnsi="宋体"/>
                <w:szCs w:val="21"/>
              </w:rPr>
            </w:pPr>
            <w:r>
              <w:rPr>
                <w:rFonts w:hint="eastAsia" w:ascii="宋体" w:hAnsi="宋体"/>
                <w:szCs w:val="21"/>
              </w:rPr>
              <w:t>1.不同投标人编制的投标文件的实质性内容存在两处以上细节错误一致；</w:t>
            </w:r>
          </w:p>
          <w:p>
            <w:pPr>
              <w:pStyle w:val="6"/>
              <w:topLinePunct/>
              <w:spacing w:after="0"/>
              <w:ind w:left="0" w:leftChars="0"/>
              <w:rPr>
                <w:rFonts w:ascii="宋体" w:hAnsi="宋体"/>
                <w:szCs w:val="21"/>
              </w:rPr>
            </w:pPr>
            <w:r>
              <w:rPr>
                <w:rFonts w:hint="eastAsia" w:ascii="宋体" w:hAnsi="宋体"/>
                <w:szCs w:val="21"/>
              </w:rPr>
              <w:t>2.不同投标人的投标文件由同一电子设备编制、打包加密或者上传，不同投标人的投标文件由同一投标人的电子设备打印、复印；</w:t>
            </w:r>
          </w:p>
          <w:p>
            <w:pPr>
              <w:pStyle w:val="6"/>
              <w:topLinePunct/>
              <w:spacing w:after="0"/>
              <w:ind w:left="0" w:leftChars="0"/>
              <w:rPr>
                <w:rFonts w:ascii="宋体" w:hAnsi="宋体"/>
                <w:szCs w:val="21"/>
              </w:rPr>
            </w:pPr>
            <w:r>
              <w:rPr>
                <w:rFonts w:hint="eastAsia" w:ascii="宋体" w:hAnsi="宋体"/>
                <w:szCs w:val="21"/>
              </w:rPr>
              <w:t>3.不同投标人的投标文件由同一投标人送达或者分发；</w:t>
            </w:r>
          </w:p>
          <w:p>
            <w:pPr>
              <w:pStyle w:val="6"/>
              <w:topLinePunct/>
              <w:spacing w:after="0"/>
              <w:ind w:left="0" w:leftChars="0"/>
              <w:rPr>
                <w:rFonts w:ascii="宋体" w:hAnsi="宋体"/>
                <w:szCs w:val="21"/>
              </w:rPr>
            </w:pPr>
            <w:r>
              <w:rPr>
                <w:rFonts w:hint="eastAsia" w:ascii="宋体" w:hAnsi="宋体"/>
                <w:szCs w:val="21"/>
              </w:rPr>
              <w:t>4.参加投标活动的人员为同一标段其他投标人的在职人员；</w:t>
            </w:r>
          </w:p>
          <w:p>
            <w:pPr>
              <w:pStyle w:val="6"/>
              <w:topLinePunct/>
              <w:spacing w:after="0"/>
              <w:ind w:left="0" w:leftChars="0"/>
              <w:rPr>
                <w:rFonts w:ascii="宋体" w:hAnsi="宋体"/>
                <w:szCs w:val="21"/>
              </w:rPr>
            </w:pPr>
            <w:r>
              <w:rPr>
                <w:rFonts w:hint="eastAsia" w:ascii="宋体" w:hAnsi="宋体"/>
                <w:szCs w:val="21"/>
              </w:rPr>
              <w:t>5.不同投标人的投标保证金从投标人各自的基本账户转出，但是，所需资金来自同一单位或者个人账户；</w:t>
            </w:r>
          </w:p>
          <w:p>
            <w:pPr>
              <w:pStyle w:val="6"/>
              <w:topLinePunct/>
              <w:spacing w:after="0"/>
              <w:ind w:left="0" w:leftChars="0"/>
              <w:rPr>
                <w:rFonts w:ascii="宋体" w:hAnsi="宋体"/>
                <w:szCs w:val="21"/>
              </w:rPr>
            </w:pPr>
            <w:r>
              <w:rPr>
                <w:rFonts w:hint="eastAsia" w:ascii="宋体" w:hAnsi="宋体"/>
                <w:szCs w:val="21"/>
              </w:rPr>
              <w:t>6.法律、行政法规规定的其他禁止情形。</w:t>
            </w:r>
          </w:p>
          <w:p>
            <w:pPr>
              <w:pStyle w:val="6"/>
              <w:topLinePunct/>
              <w:spacing w:after="0"/>
              <w:ind w:left="0" w:leftChars="0"/>
              <w:rPr>
                <w:rFonts w:ascii="宋体" w:hAnsi="宋体"/>
                <w:b/>
                <w:bCs/>
                <w:szCs w:val="21"/>
              </w:rPr>
            </w:pPr>
            <w:r>
              <w:rPr>
                <w:rFonts w:hint="eastAsia" w:ascii="宋体" w:hAnsi="宋体"/>
                <w:b/>
                <w:bCs/>
                <w:szCs w:val="21"/>
              </w:rPr>
              <w:t>增加3.6.2款：</w:t>
            </w:r>
          </w:p>
          <w:p>
            <w:pPr>
              <w:pStyle w:val="6"/>
              <w:topLinePunct/>
              <w:spacing w:after="0"/>
              <w:ind w:left="0" w:leftChars="0"/>
              <w:rPr>
                <w:rFonts w:ascii="宋体" w:hAnsi="宋体"/>
                <w:szCs w:val="21"/>
              </w:rPr>
            </w:pPr>
            <w:r>
              <w:rPr>
                <w:rFonts w:hint="eastAsia" w:ascii="宋体" w:hAnsi="宋体"/>
                <w:szCs w:val="21"/>
              </w:rPr>
              <w:t>3.6.2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topLinePunct/>
              <w:jc w:val="center"/>
              <w:rPr>
                <w:rFonts w:ascii="宋体" w:hAnsi="宋体"/>
                <w:kern w:val="0"/>
                <w:szCs w:val="21"/>
              </w:rPr>
            </w:pPr>
            <w:r>
              <w:rPr>
                <w:rFonts w:hint="eastAsia" w:ascii="宋体" w:hAnsi="宋体"/>
                <w:szCs w:val="21"/>
              </w:rPr>
              <w:t>3.9.1</w:t>
            </w:r>
          </w:p>
        </w:tc>
        <w:tc>
          <w:tcPr>
            <w:tcW w:w="7259" w:type="dxa"/>
            <w:vAlign w:val="center"/>
          </w:tcPr>
          <w:p>
            <w:pPr>
              <w:pStyle w:val="6"/>
              <w:topLinePunct/>
              <w:spacing w:after="0"/>
              <w:ind w:left="0" w:leftChars="0"/>
              <w:rPr>
                <w:rFonts w:ascii="宋体" w:hAnsi="宋体"/>
                <w:b/>
                <w:bCs/>
                <w:szCs w:val="21"/>
              </w:rPr>
            </w:pPr>
            <w:r>
              <w:rPr>
                <w:rFonts w:hint="eastAsia" w:ascii="宋体" w:hAnsi="宋体"/>
                <w:b/>
                <w:bCs/>
                <w:szCs w:val="21"/>
              </w:rPr>
              <w:t>增加 3.9.3-3.9.8款：</w:t>
            </w:r>
          </w:p>
          <w:p>
            <w:pPr>
              <w:pStyle w:val="6"/>
              <w:topLinePunct/>
              <w:spacing w:after="0"/>
              <w:ind w:left="0" w:leftChars="0"/>
              <w:rPr>
                <w:rFonts w:ascii="宋体" w:hAnsi="宋体"/>
                <w:szCs w:val="21"/>
              </w:rPr>
            </w:pPr>
            <w:r>
              <w:rPr>
                <w:rFonts w:hint="eastAsia" w:ascii="宋体" w:hAnsi="宋体"/>
                <w:szCs w:val="21"/>
              </w:rPr>
              <w:t>3.9.3 推荐中标候选人方式：按照综合得分排名次序推荐出3名中标候选人（若不足3名，则按实际数量选取）</w:t>
            </w:r>
          </w:p>
          <w:p>
            <w:pPr>
              <w:pStyle w:val="6"/>
              <w:topLinePunct/>
              <w:spacing w:after="0"/>
              <w:ind w:left="0" w:leftChars="0"/>
              <w:rPr>
                <w:rFonts w:ascii="宋体" w:hAnsi="宋体"/>
                <w:szCs w:val="21"/>
              </w:rPr>
            </w:pPr>
            <w:r>
              <w:rPr>
                <w:rFonts w:hint="eastAsia" w:ascii="宋体" w:hAnsi="宋体"/>
                <w:szCs w:val="21"/>
              </w:rPr>
              <w:t>3.9.4 通过第一信封商务文件和技术文件评审的投标人少于 3 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pStyle w:val="6"/>
              <w:topLinePunct/>
              <w:spacing w:after="0"/>
              <w:ind w:left="0" w:leftChars="0"/>
              <w:rPr>
                <w:rFonts w:ascii="宋体" w:hAnsi="宋体"/>
                <w:szCs w:val="21"/>
              </w:rPr>
            </w:pPr>
            <w:r>
              <w:rPr>
                <w:rFonts w:hint="eastAsia" w:ascii="宋体" w:hAnsi="宋体"/>
                <w:szCs w:val="21"/>
              </w:rPr>
              <w:t>3.9.5 通过第一信封商务文件和技术文件评审的投标人在 3 个及以上的，招标人应当按照招标文件规定的程序进行第二信封报价文件开标；在对报价文件进行评审后，有效投标不足 3 个的，评标委员会可以否决全部投标。未否决全部投标的，评标委员会应当在评标报告中阐明理由并推荐中标候选人。</w:t>
            </w:r>
          </w:p>
          <w:p>
            <w:pPr>
              <w:pStyle w:val="6"/>
              <w:topLinePunct/>
              <w:spacing w:after="0"/>
              <w:ind w:left="0" w:leftChars="0"/>
              <w:rPr>
                <w:rFonts w:ascii="宋体" w:hAnsi="宋体"/>
                <w:szCs w:val="21"/>
              </w:rPr>
            </w:pPr>
            <w:r>
              <w:rPr>
                <w:rFonts w:hint="eastAsia" w:ascii="宋体" w:hAnsi="宋体"/>
                <w:szCs w:val="21"/>
              </w:rPr>
              <w:t>3.9.6 如果发生无法确定推荐中标候选人的其它意外情况，评标委员会可建议招标人重新招标。</w:t>
            </w:r>
          </w:p>
          <w:p>
            <w:pPr>
              <w:pStyle w:val="6"/>
              <w:topLinePunct/>
              <w:spacing w:after="0"/>
              <w:ind w:left="0" w:leftChars="0"/>
              <w:rPr>
                <w:rFonts w:ascii="宋体" w:hAnsi="宋体"/>
                <w:szCs w:val="21"/>
              </w:rPr>
            </w:pPr>
            <w:r>
              <w:rPr>
                <w:rFonts w:hint="eastAsia" w:ascii="宋体" w:hAnsi="宋体"/>
                <w:szCs w:val="21"/>
              </w:rPr>
              <w:t>3.9.7如果推荐的第一中标候选人放弃中标、因不可抗力提出不能履行合同，招标人可以确定排名第二的中标候选人为中标人，但第一中标候选人的投标保证金将不予退还。</w:t>
            </w:r>
          </w:p>
          <w:p>
            <w:pPr>
              <w:pStyle w:val="6"/>
              <w:topLinePunct/>
              <w:spacing w:after="0"/>
              <w:ind w:left="0" w:leftChars="0"/>
              <w:rPr>
                <w:rFonts w:ascii="宋体" w:hAnsi="宋体"/>
                <w:szCs w:val="21"/>
              </w:rPr>
            </w:pPr>
            <w:r>
              <w:rPr>
                <w:rFonts w:hint="eastAsia" w:ascii="宋体" w:hAnsi="宋体"/>
                <w:szCs w:val="21"/>
              </w:rPr>
              <w:t>3.9.8如果推荐的中标候选人因公示被投诉并查证属实存在造假行为的，按否决其投标处理，且没收其投标保证金；如果开标后至中标通知书发出前，中标候选人发生失信行为被交通运输部、省交通运输厅等主管部门通报批评而取消投标资格，则取消其中标资格，按否决其投标处理；发生以上情况时，招标人按推荐中标候选人排名顺序依次确定中标人，或重新组织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topLinePunct/>
              <w:jc w:val="center"/>
              <w:rPr>
                <w:rFonts w:ascii="宋体" w:hAnsi="宋体"/>
                <w:szCs w:val="21"/>
              </w:rPr>
            </w:pPr>
            <w:r>
              <w:rPr>
                <w:rFonts w:hint="eastAsia" w:ascii="宋体" w:hAnsi="宋体"/>
                <w:szCs w:val="21"/>
              </w:rPr>
              <w:t>3.10</w:t>
            </w:r>
          </w:p>
        </w:tc>
        <w:tc>
          <w:tcPr>
            <w:tcW w:w="7259" w:type="dxa"/>
            <w:vAlign w:val="center"/>
          </w:tcPr>
          <w:p>
            <w:pPr>
              <w:pStyle w:val="6"/>
              <w:topLinePunct/>
              <w:spacing w:after="0"/>
              <w:ind w:left="0" w:leftChars="0"/>
              <w:rPr>
                <w:rFonts w:ascii="宋体" w:hAnsi="宋体"/>
                <w:b/>
                <w:bCs/>
                <w:szCs w:val="21"/>
              </w:rPr>
            </w:pPr>
            <w:r>
              <w:rPr>
                <w:rFonts w:hint="eastAsia" w:ascii="宋体" w:hAnsi="宋体"/>
                <w:b/>
                <w:bCs/>
                <w:szCs w:val="21"/>
              </w:rPr>
              <w:t>增加3.10款“否决投标的情形”：</w:t>
            </w:r>
          </w:p>
          <w:p>
            <w:pPr>
              <w:pStyle w:val="6"/>
              <w:topLinePunct/>
              <w:spacing w:after="0"/>
              <w:ind w:left="0" w:leftChars="0"/>
              <w:rPr>
                <w:rFonts w:ascii="宋体" w:hAnsi="宋体"/>
                <w:szCs w:val="21"/>
              </w:rPr>
            </w:pPr>
            <w:r>
              <w:rPr>
                <w:rFonts w:hint="eastAsia" w:ascii="宋体" w:hAnsi="宋体"/>
                <w:szCs w:val="21"/>
              </w:rPr>
              <w:t>（1）投标人不按照本招标文件的要求进行投标登记的，按否决其投标处理。</w:t>
            </w:r>
          </w:p>
          <w:p>
            <w:pPr>
              <w:pStyle w:val="6"/>
              <w:topLinePunct/>
              <w:spacing w:after="0"/>
              <w:ind w:left="0" w:leftChars="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）单位负责人为同一人、或者存在控股、管理关系的不同单位参加同一标段投标的，按否决其投标处理；</w:t>
            </w:r>
          </w:p>
          <w:p>
            <w:pPr>
              <w:pStyle w:val="6"/>
              <w:topLinePunct/>
              <w:spacing w:after="0"/>
              <w:ind w:left="0" w:leftChars="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）依据评标办法2.1.1、2.1.2、2.1.3规定的评审标准进行评审，有一项不符合评审标准的，将否决其投标；</w:t>
            </w:r>
          </w:p>
          <w:p>
            <w:pPr>
              <w:pStyle w:val="6"/>
              <w:topLinePunct/>
              <w:spacing w:after="0"/>
              <w:ind w:left="0" w:leftChars="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）大于最高评标限价的评标价，将否决其投标；</w:t>
            </w:r>
          </w:p>
          <w:p>
            <w:pPr>
              <w:pStyle w:val="6"/>
              <w:topLinePunct/>
              <w:spacing w:after="0"/>
              <w:ind w:left="0" w:leftChars="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）当1家以上投标人综合得分相等且评标价也相等时，若各投标人报价细目单价也相同，视为串标（1个合同段仅1工作细目报价的除外），应否决其投标；</w:t>
            </w:r>
          </w:p>
          <w:p>
            <w:pPr>
              <w:pStyle w:val="6"/>
              <w:topLinePunct/>
              <w:spacing w:after="0"/>
              <w:ind w:left="0" w:leftChars="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）经评标委员会评审，认定投标人与投标人之间、投标人与招标人之间存在法律、法规及本招标文件规定的串通投标情形的，将否决其投标；</w:t>
            </w:r>
          </w:p>
          <w:p>
            <w:pPr>
              <w:pStyle w:val="6"/>
              <w:topLinePunct/>
              <w:spacing w:after="0"/>
              <w:ind w:left="0" w:leftChars="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）如果推荐的中标候选人因公示被投诉并查证属实存在造假行为的，按否决其投标处理；</w:t>
            </w:r>
          </w:p>
          <w:p>
            <w:pPr>
              <w:pStyle w:val="6"/>
              <w:topLinePunct/>
              <w:spacing w:after="0"/>
              <w:ind w:left="0" w:leftChars="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）如果开标后至中标通知书发出前，中标候选人发生失信行为被省交通运输厅（包括转发交通运输部）通报批评而取消投标资格，则取消其中标资格，按否决其投标处理；</w:t>
            </w:r>
          </w:p>
          <w:p>
            <w:pPr>
              <w:pStyle w:val="6"/>
              <w:topLinePunct/>
              <w:spacing w:after="0"/>
              <w:ind w:left="0" w:leftChars="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）法律、法规及招标文件等规定的其它否决投标的情形。</w:t>
            </w:r>
          </w:p>
        </w:tc>
      </w:tr>
    </w:tbl>
    <w:p>
      <w:pPr>
        <w:wordWrap w:val="0"/>
        <w:topLinePunct/>
        <w:spacing w:line="360" w:lineRule="auto"/>
      </w:pPr>
    </w:p>
    <w:p>
      <w:pPr>
        <w:wordWrap w:val="0"/>
        <w:topLinePunct/>
        <w:spacing w:line="360" w:lineRule="auto"/>
        <w:rPr>
          <w:rFonts w:eastAsia="黑体"/>
          <w:sz w:val="28"/>
          <w:szCs w:val="28"/>
        </w:rPr>
      </w:pPr>
    </w:p>
    <w:p>
      <w:pPr>
        <w:topLinePunct/>
        <w:spacing w:line="360" w:lineRule="auto"/>
        <w:ind w:firstLine="480" w:firstLineChars="200"/>
        <w:rPr>
          <w:rFonts w:ascii="宋体" w:hAnsi="宋体" w:cs="宋体"/>
          <w:szCs w:val="21"/>
        </w:rPr>
      </w:pPr>
      <w:r>
        <w:rPr>
          <w:rFonts w:hint="eastAsia"/>
          <w:sz w:val="24"/>
        </w:rPr>
        <w:br w:type="page"/>
      </w:r>
      <w:r>
        <w:rPr>
          <w:rFonts w:hint="eastAsia" w:ascii="宋体" w:hAnsi="宋体" w:cs="宋体"/>
          <w:b/>
          <w:bCs/>
          <w:szCs w:val="21"/>
        </w:rPr>
        <w:t>1. 评标方法</w:t>
      </w:r>
    </w:p>
    <w:p>
      <w:pPr>
        <w:topLinePunct/>
        <w:spacing w:line="360" w:lineRule="auto"/>
        <w:ind w:firstLine="420" w:firstLineChars="200"/>
        <w:rPr>
          <w:rFonts w:ascii="宋体" w:hAnsi="宋体" w:cs="宋体"/>
          <w:szCs w:val="21"/>
        </w:rPr>
      </w:pPr>
      <w:r>
        <w:rPr>
          <w:rFonts w:hint="eastAsia" w:ascii="宋体" w:hAnsi="宋体" w:cs="宋体"/>
          <w:szCs w:val="21"/>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topLinePunct/>
        <w:spacing w:line="360" w:lineRule="auto"/>
        <w:ind w:firstLine="422" w:firstLineChars="200"/>
        <w:rPr>
          <w:rFonts w:ascii="宋体" w:hAnsi="宋体" w:cs="宋体"/>
          <w:b/>
          <w:bCs/>
          <w:szCs w:val="21"/>
        </w:rPr>
      </w:pPr>
      <w:r>
        <w:rPr>
          <w:rFonts w:hint="eastAsia" w:ascii="宋体" w:hAnsi="宋体" w:cs="宋体"/>
          <w:b/>
          <w:bCs/>
          <w:szCs w:val="21"/>
        </w:rPr>
        <w:t>2. 评审标准</w:t>
      </w:r>
    </w:p>
    <w:p>
      <w:pPr>
        <w:topLinePunct/>
        <w:spacing w:line="360" w:lineRule="auto"/>
        <w:ind w:firstLine="422" w:firstLineChars="200"/>
        <w:rPr>
          <w:rFonts w:ascii="宋体" w:hAnsi="宋体" w:cs="宋体"/>
          <w:szCs w:val="21"/>
        </w:rPr>
      </w:pPr>
      <w:r>
        <w:rPr>
          <w:rFonts w:hint="eastAsia" w:ascii="宋体" w:hAnsi="宋体" w:cs="宋体"/>
          <w:b/>
          <w:bCs/>
          <w:szCs w:val="21"/>
        </w:rPr>
        <w:t>2.1 初步评审标准</w:t>
      </w:r>
    </w:p>
    <w:p>
      <w:pPr>
        <w:topLinePunct/>
        <w:spacing w:line="360" w:lineRule="auto"/>
        <w:ind w:firstLine="420" w:firstLineChars="200"/>
        <w:rPr>
          <w:rFonts w:ascii="宋体" w:hAnsi="宋体" w:cs="宋体"/>
          <w:szCs w:val="21"/>
        </w:rPr>
      </w:pPr>
      <w:r>
        <w:rPr>
          <w:rFonts w:hint="eastAsia" w:ascii="宋体" w:hAnsi="宋体" w:cs="宋体"/>
          <w:szCs w:val="21"/>
        </w:rPr>
        <w:t>2.1.1 形式评审标准：见评标办法前附表。</w:t>
      </w:r>
    </w:p>
    <w:p>
      <w:pPr>
        <w:topLinePunct/>
        <w:spacing w:line="360" w:lineRule="auto"/>
        <w:ind w:firstLine="420" w:firstLineChars="200"/>
        <w:rPr>
          <w:rFonts w:ascii="宋体" w:hAnsi="宋体" w:cs="宋体"/>
          <w:szCs w:val="21"/>
        </w:rPr>
      </w:pPr>
      <w:r>
        <w:rPr>
          <w:rFonts w:hint="eastAsia" w:ascii="宋体" w:hAnsi="宋体" w:cs="宋体"/>
          <w:szCs w:val="21"/>
        </w:rPr>
        <w:t>2.1.2 资格评审标准：见评标办法前附表。</w:t>
      </w:r>
    </w:p>
    <w:p>
      <w:pPr>
        <w:topLinePunct/>
        <w:spacing w:line="360" w:lineRule="auto"/>
        <w:ind w:firstLine="420" w:firstLineChars="200"/>
        <w:rPr>
          <w:rFonts w:ascii="宋体" w:hAnsi="宋体" w:cs="宋体"/>
          <w:szCs w:val="21"/>
        </w:rPr>
      </w:pPr>
      <w:r>
        <w:rPr>
          <w:rFonts w:hint="eastAsia" w:ascii="宋体" w:hAnsi="宋体" w:cs="宋体"/>
          <w:szCs w:val="21"/>
        </w:rPr>
        <w:t>2.1.3 响应性评审标准：见评标办法前附表。</w:t>
      </w:r>
    </w:p>
    <w:p>
      <w:pPr>
        <w:topLinePunct/>
        <w:spacing w:line="360" w:lineRule="auto"/>
        <w:ind w:firstLine="422" w:firstLineChars="200"/>
        <w:rPr>
          <w:rFonts w:ascii="宋体" w:hAnsi="宋体" w:cs="宋体"/>
          <w:b/>
          <w:bCs/>
          <w:szCs w:val="21"/>
        </w:rPr>
      </w:pPr>
      <w:r>
        <w:rPr>
          <w:rFonts w:hint="eastAsia" w:ascii="宋体" w:hAnsi="宋体" w:cs="宋体"/>
          <w:b/>
          <w:bCs/>
          <w:szCs w:val="21"/>
        </w:rPr>
        <w:t>2.2 分值构成与评分标准</w:t>
      </w:r>
    </w:p>
    <w:p>
      <w:pPr>
        <w:topLinePunct/>
        <w:spacing w:line="360" w:lineRule="auto"/>
        <w:ind w:firstLine="422" w:firstLineChars="200"/>
        <w:rPr>
          <w:rFonts w:ascii="宋体" w:hAnsi="宋体" w:cs="宋体"/>
          <w:b/>
          <w:bCs/>
          <w:szCs w:val="21"/>
        </w:rPr>
      </w:pPr>
      <w:r>
        <w:rPr>
          <w:rFonts w:hint="eastAsia" w:ascii="宋体" w:hAnsi="宋体" w:cs="宋体"/>
          <w:b/>
          <w:bCs/>
          <w:szCs w:val="21"/>
        </w:rPr>
        <w:t>2.2.1 分值构成</w:t>
      </w:r>
    </w:p>
    <w:p>
      <w:pPr>
        <w:topLinePunct/>
        <w:spacing w:line="360" w:lineRule="auto"/>
        <w:ind w:firstLine="420" w:firstLineChars="200"/>
        <w:rPr>
          <w:rFonts w:ascii="宋体" w:hAnsi="宋体" w:cs="宋体"/>
          <w:szCs w:val="21"/>
        </w:rPr>
      </w:pPr>
      <w:r>
        <w:rPr>
          <w:rFonts w:hint="eastAsia" w:ascii="宋体" w:hAnsi="宋体" w:cs="宋体"/>
          <w:szCs w:val="21"/>
        </w:rPr>
        <w:t>（1）技术建议书：见评标办法前附表；</w:t>
      </w:r>
    </w:p>
    <w:p>
      <w:pPr>
        <w:topLinePunct/>
        <w:spacing w:line="360" w:lineRule="auto"/>
        <w:ind w:firstLine="420" w:firstLineChars="200"/>
        <w:rPr>
          <w:rFonts w:ascii="宋体" w:hAnsi="宋体" w:cs="宋体"/>
          <w:szCs w:val="21"/>
        </w:rPr>
      </w:pPr>
      <w:r>
        <w:rPr>
          <w:rFonts w:hint="eastAsia" w:ascii="宋体" w:hAnsi="宋体" w:cs="宋体"/>
          <w:szCs w:val="21"/>
        </w:rPr>
        <w:t>（2）主要人员：见评标办法前附表；</w:t>
      </w:r>
    </w:p>
    <w:p>
      <w:pPr>
        <w:topLinePunct/>
        <w:spacing w:line="360" w:lineRule="auto"/>
        <w:ind w:firstLine="420" w:firstLineChars="200"/>
        <w:rPr>
          <w:rFonts w:ascii="宋体" w:hAnsi="宋体" w:cs="宋体"/>
          <w:szCs w:val="21"/>
        </w:rPr>
      </w:pPr>
      <w:r>
        <w:rPr>
          <w:rFonts w:hint="eastAsia" w:ascii="宋体" w:hAnsi="宋体" w:cs="宋体"/>
          <w:szCs w:val="21"/>
        </w:rPr>
        <w:t>（3）评标价：见评标办法前附表；</w:t>
      </w:r>
    </w:p>
    <w:p>
      <w:pPr>
        <w:topLinePunct/>
        <w:spacing w:line="360" w:lineRule="auto"/>
        <w:ind w:firstLine="420" w:firstLineChars="200"/>
        <w:rPr>
          <w:rFonts w:ascii="宋体" w:hAnsi="宋体" w:cs="宋体"/>
          <w:szCs w:val="21"/>
        </w:rPr>
      </w:pPr>
      <w:r>
        <w:rPr>
          <w:rFonts w:hint="eastAsia" w:ascii="宋体" w:hAnsi="宋体" w:cs="宋体"/>
          <w:szCs w:val="21"/>
        </w:rPr>
        <w:t>（4）其他评分因素：见评标办法前附表。</w:t>
      </w:r>
    </w:p>
    <w:p>
      <w:pPr>
        <w:topLinePunct/>
        <w:spacing w:line="360" w:lineRule="auto"/>
        <w:ind w:firstLine="422" w:firstLineChars="200"/>
        <w:rPr>
          <w:rFonts w:ascii="宋体" w:hAnsi="宋体" w:cs="宋体"/>
          <w:b/>
          <w:bCs/>
          <w:szCs w:val="21"/>
        </w:rPr>
      </w:pPr>
      <w:r>
        <w:rPr>
          <w:rFonts w:hint="eastAsia" w:ascii="宋体" w:hAnsi="宋体" w:cs="宋体"/>
          <w:b/>
          <w:bCs/>
          <w:szCs w:val="21"/>
        </w:rPr>
        <w:t>2.2.2 评标基准价计算</w:t>
      </w:r>
    </w:p>
    <w:p>
      <w:pPr>
        <w:topLinePunct/>
        <w:spacing w:line="360" w:lineRule="auto"/>
        <w:ind w:firstLine="420" w:firstLineChars="200"/>
        <w:rPr>
          <w:rFonts w:ascii="宋体" w:hAnsi="宋体" w:cs="宋体"/>
          <w:szCs w:val="21"/>
        </w:rPr>
      </w:pPr>
      <w:r>
        <w:rPr>
          <w:rFonts w:hint="eastAsia" w:ascii="宋体" w:hAnsi="宋体" w:cs="宋体"/>
          <w:szCs w:val="21"/>
        </w:rPr>
        <w:t>评标基准价计算方法：见评标办法前附表。</w:t>
      </w:r>
    </w:p>
    <w:p>
      <w:pPr>
        <w:topLinePunct/>
        <w:spacing w:line="360" w:lineRule="auto"/>
        <w:ind w:firstLine="422" w:firstLineChars="200"/>
        <w:rPr>
          <w:rFonts w:ascii="宋体" w:hAnsi="宋体" w:cs="宋体"/>
          <w:b/>
          <w:bCs/>
          <w:szCs w:val="21"/>
        </w:rPr>
      </w:pPr>
      <w:r>
        <w:rPr>
          <w:rFonts w:hint="eastAsia" w:ascii="宋体" w:hAnsi="宋体" w:cs="宋体"/>
          <w:b/>
          <w:bCs/>
          <w:szCs w:val="21"/>
        </w:rPr>
        <w:t>2.2.3 评标价的偏差率计算</w:t>
      </w:r>
    </w:p>
    <w:p>
      <w:pPr>
        <w:topLinePunct/>
        <w:spacing w:line="360" w:lineRule="auto"/>
        <w:ind w:firstLine="420" w:firstLineChars="200"/>
        <w:rPr>
          <w:rFonts w:ascii="宋体" w:hAnsi="宋体" w:cs="宋体"/>
          <w:szCs w:val="21"/>
        </w:rPr>
      </w:pPr>
      <w:r>
        <w:rPr>
          <w:rFonts w:hint="eastAsia" w:ascii="宋体" w:hAnsi="宋体" w:cs="宋体"/>
          <w:szCs w:val="21"/>
        </w:rPr>
        <w:t>评标价的偏差率计算公式：见评标办法前附表。</w:t>
      </w:r>
    </w:p>
    <w:p>
      <w:pPr>
        <w:topLinePunct/>
        <w:spacing w:line="360" w:lineRule="auto"/>
        <w:ind w:firstLine="422" w:firstLineChars="200"/>
        <w:rPr>
          <w:rFonts w:ascii="宋体" w:hAnsi="宋体" w:cs="宋体"/>
          <w:b/>
          <w:bCs/>
          <w:szCs w:val="21"/>
        </w:rPr>
      </w:pPr>
      <w:r>
        <w:rPr>
          <w:rFonts w:hint="eastAsia" w:ascii="宋体" w:hAnsi="宋体" w:cs="宋体"/>
          <w:b/>
          <w:bCs/>
          <w:szCs w:val="21"/>
        </w:rPr>
        <w:t>2.2.4 评分标准</w:t>
      </w:r>
    </w:p>
    <w:p>
      <w:pPr>
        <w:topLinePunct/>
        <w:spacing w:line="360" w:lineRule="auto"/>
        <w:ind w:firstLine="420" w:firstLineChars="200"/>
        <w:rPr>
          <w:rFonts w:ascii="宋体" w:hAnsi="宋体" w:cs="宋体"/>
          <w:szCs w:val="21"/>
        </w:rPr>
      </w:pPr>
      <w:r>
        <w:rPr>
          <w:rFonts w:hint="eastAsia" w:ascii="宋体" w:hAnsi="宋体" w:cs="宋体"/>
          <w:szCs w:val="21"/>
        </w:rPr>
        <w:t>（1）技术建议书评分标准：见评标办法前附表；</w:t>
      </w:r>
    </w:p>
    <w:p>
      <w:pPr>
        <w:topLinePunct/>
        <w:spacing w:line="360" w:lineRule="auto"/>
        <w:ind w:firstLine="420" w:firstLineChars="200"/>
        <w:rPr>
          <w:rFonts w:ascii="宋体" w:hAnsi="宋体" w:cs="宋体"/>
          <w:szCs w:val="21"/>
        </w:rPr>
      </w:pPr>
      <w:r>
        <w:rPr>
          <w:rFonts w:hint="eastAsia" w:ascii="宋体" w:hAnsi="宋体" w:cs="宋体"/>
          <w:szCs w:val="21"/>
        </w:rPr>
        <w:t>（2）主要人员评分标准：见评标办法前附表；</w:t>
      </w:r>
    </w:p>
    <w:p>
      <w:pPr>
        <w:topLinePunct/>
        <w:spacing w:line="360" w:lineRule="auto"/>
        <w:ind w:firstLine="420" w:firstLineChars="200"/>
        <w:rPr>
          <w:rFonts w:ascii="宋体" w:hAnsi="宋体" w:cs="宋体"/>
          <w:szCs w:val="21"/>
        </w:rPr>
      </w:pPr>
      <w:r>
        <w:rPr>
          <w:rFonts w:hint="eastAsia" w:ascii="宋体" w:hAnsi="宋体" w:cs="宋体"/>
          <w:szCs w:val="21"/>
        </w:rPr>
        <w:t>（3）评标价评分标准：见评标办法前附表；</w:t>
      </w:r>
    </w:p>
    <w:p>
      <w:pPr>
        <w:topLinePunct/>
        <w:spacing w:line="360" w:lineRule="auto"/>
        <w:ind w:firstLine="420" w:firstLineChars="200"/>
        <w:rPr>
          <w:rFonts w:ascii="宋体" w:hAnsi="宋体" w:cs="宋体"/>
          <w:szCs w:val="21"/>
        </w:rPr>
      </w:pPr>
      <w:r>
        <w:rPr>
          <w:rFonts w:hint="eastAsia" w:ascii="宋体" w:hAnsi="宋体" w:cs="宋体"/>
          <w:szCs w:val="21"/>
        </w:rPr>
        <w:t>（4）其他因素评分标准：见评标办法前附表。</w:t>
      </w:r>
    </w:p>
    <w:p>
      <w:pPr>
        <w:topLinePunct/>
        <w:spacing w:line="360" w:lineRule="auto"/>
        <w:ind w:firstLine="422" w:firstLineChars="200"/>
        <w:rPr>
          <w:rFonts w:ascii="宋体" w:hAnsi="宋体" w:cs="宋体"/>
          <w:b/>
          <w:bCs/>
          <w:szCs w:val="21"/>
        </w:rPr>
      </w:pPr>
      <w:r>
        <w:rPr>
          <w:rFonts w:hint="eastAsia" w:ascii="宋体" w:hAnsi="宋体" w:cs="宋体"/>
          <w:b/>
          <w:bCs/>
          <w:szCs w:val="21"/>
        </w:rPr>
        <w:t>3. 评标程序</w:t>
      </w:r>
    </w:p>
    <w:p>
      <w:pPr>
        <w:topLinePunct/>
        <w:spacing w:line="360" w:lineRule="auto"/>
        <w:ind w:firstLine="422" w:firstLineChars="200"/>
        <w:rPr>
          <w:rFonts w:ascii="宋体" w:hAnsi="宋体" w:cs="宋体"/>
          <w:b/>
          <w:bCs/>
          <w:szCs w:val="21"/>
        </w:rPr>
      </w:pPr>
      <w:r>
        <w:rPr>
          <w:rFonts w:hint="eastAsia" w:ascii="宋体" w:hAnsi="宋体" w:cs="宋体"/>
          <w:b/>
          <w:bCs/>
          <w:szCs w:val="21"/>
        </w:rPr>
        <w:t>3.1 第一信封初步评审</w:t>
      </w:r>
    </w:p>
    <w:p>
      <w:pPr>
        <w:topLinePunct/>
        <w:spacing w:line="360" w:lineRule="auto"/>
        <w:ind w:firstLine="420" w:firstLineChars="200"/>
        <w:rPr>
          <w:rFonts w:ascii="宋体" w:hAnsi="宋体" w:cs="宋体"/>
          <w:szCs w:val="21"/>
        </w:rPr>
      </w:pPr>
      <w:r>
        <w:rPr>
          <w:rFonts w:hint="eastAsia" w:ascii="宋体" w:hAnsi="宋体" w:cs="宋体"/>
          <w:szCs w:val="21"/>
        </w:rPr>
        <w:t>3.1.1 评标委员会可以要求投标人提交第二章“投标人须知”第3.5.1项至第3.5.5项规定的有关证明和证件的原件，以便核验。评标委员会依据本章第2.1款规定的标准对投标文件第一信封（商务及技术文件）进行初步评审。有一项不符合评审标准的，评标委员会应否决其投标。</w:t>
      </w:r>
    </w:p>
    <w:p>
      <w:pPr>
        <w:topLinePunct/>
        <w:spacing w:line="360" w:lineRule="auto"/>
        <w:ind w:firstLine="422" w:firstLineChars="200"/>
        <w:rPr>
          <w:rFonts w:ascii="宋体" w:hAnsi="宋体" w:cs="宋体"/>
          <w:b/>
          <w:bCs/>
          <w:szCs w:val="21"/>
        </w:rPr>
      </w:pPr>
      <w:r>
        <w:rPr>
          <w:rFonts w:hint="eastAsia" w:ascii="宋体" w:hAnsi="宋体" w:cs="宋体"/>
          <w:b/>
          <w:bCs/>
          <w:szCs w:val="21"/>
        </w:rPr>
        <w:t>3.2 第一信封详细评审</w:t>
      </w:r>
    </w:p>
    <w:p>
      <w:pPr>
        <w:topLinePunct/>
        <w:spacing w:line="360" w:lineRule="auto"/>
        <w:ind w:firstLine="420" w:firstLineChars="200"/>
        <w:rPr>
          <w:rFonts w:ascii="宋体" w:hAnsi="宋体" w:cs="宋体"/>
          <w:szCs w:val="21"/>
        </w:rPr>
      </w:pPr>
      <w:r>
        <w:rPr>
          <w:rFonts w:hint="eastAsia" w:ascii="宋体" w:hAnsi="宋体" w:cs="宋体"/>
          <w:szCs w:val="21"/>
        </w:rPr>
        <w:t>3.2.1 评标委员会按本章第2.2款规定的量化因素和分值进行打分，并计算出各投标人的商务和技术得分。</w:t>
      </w:r>
    </w:p>
    <w:p>
      <w:pPr>
        <w:topLinePunct/>
        <w:spacing w:line="360" w:lineRule="auto"/>
        <w:ind w:firstLine="420" w:firstLineChars="200"/>
        <w:rPr>
          <w:rFonts w:ascii="宋体" w:hAnsi="宋体" w:cs="宋体"/>
          <w:szCs w:val="21"/>
        </w:rPr>
      </w:pPr>
      <w:r>
        <w:rPr>
          <w:rFonts w:hint="eastAsia" w:ascii="宋体" w:hAnsi="宋体" w:cs="宋体"/>
          <w:szCs w:val="21"/>
        </w:rPr>
        <w:t>（1）按本章第2.2.4项（1）目规定的评审因素和分值对技术建议书部分计算出得分A；</w:t>
      </w:r>
    </w:p>
    <w:p>
      <w:pPr>
        <w:topLinePunct/>
        <w:spacing w:line="360" w:lineRule="auto"/>
        <w:ind w:firstLine="420" w:firstLineChars="200"/>
        <w:rPr>
          <w:rFonts w:ascii="宋体" w:hAnsi="宋体" w:cs="宋体"/>
          <w:szCs w:val="21"/>
        </w:rPr>
      </w:pPr>
      <w:r>
        <w:rPr>
          <w:rFonts w:hint="eastAsia" w:ascii="宋体" w:hAnsi="宋体" w:cs="宋体"/>
          <w:szCs w:val="21"/>
        </w:rPr>
        <w:t>（2）按本章第2.2.4项（2）目规定的评审因素和分值对主要人员部分计算出得分B；</w:t>
      </w:r>
    </w:p>
    <w:p>
      <w:pPr>
        <w:topLinePunct/>
        <w:spacing w:line="360" w:lineRule="auto"/>
        <w:ind w:firstLine="420" w:firstLineChars="200"/>
        <w:rPr>
          <w:rFonts w:ascii="宋体" w:hAnsi="宋体" w:cs="宋体"/>
          <w:szCs w:val="21"/>
        </w:rPr>
      </w:pPr>
      <w:r>
        <w:rPr>
          <w:rFonts w:hint="eastAsia" w:ascii="宋体" w:hAnsi="宋体" w:cs="宋体"/>
          <w:szCs w:val="21"/>
        </w:rPr>
        <w:t>（3）按本章第2.2.4项（4）目规定的评审因素和分值对其他部分计算出得分D。</w:t>
      </w:r>
    </w:p>
    <w:p>
      <w:pPr>
        <w:topLinePunct/>
        <w:spacing w:line="360" w:lineRule="auto"/>
        <w:ind w:firstLine="420" w:firstLineChars="200"/>
        <w:jc w:val="left"/>
        <w:rPr>
          <w:rFonts w:ascii="宋体" w:hAnsi="宋体" w:cs="宋体"/>
          <w:szCs w:val="21"/>
        </w:rPr>
      </w:pPr>
      <w:r>
        <w:rPr>
          <w:rFonts w:hint="eastAsia" w:ascii="宋体" w:hAnsi="宋体" w:cs="宋体"/>
          <w:szCs w:val="21"/>
        </w:rPr>
        <w:t>计算投标人技术得分时，各评分因素细分项得分以评标委员会各成员的评分算术平均值确定，平均值计算四舍五入保留小数点后两位，评委对各评分因素细分项评分保留小数点后一位。技术得分总分为技术部分各评分因素细分项得分之和，结果四舍五入保留小数点后两位。</w:t>
      </w:r>
    </w:p>
    <w:p>
      <w:pPr>
        <w:topLinePunct/>
        <w:spacing w:line="360" w:lineRule="auto"/>
        <w:ind w:firstLine="420" w:firstLineChars="200"/>
        <w:rPr>
          <w:rFonts w:ascii="宋体" w:hAnsi="宋体" w:cs="宋体"/>
          <w:szCs w:val="21"/>
        </w:rPr>
      </w:pPr>
      <w:r>
        <w:rPr>
          <w:rFonts w:hint="eastAsia" w:ascii="宋体" w:hAnsi="宋体" w:cs="宋体"/>
          <w:szCs w:val="21"/>
        </w:rPr>
        <w:t>3.2.3 投标人的商务和技术得分=A+B+D。</w:t>
      </w:r>
    </w:p>
    <w:p>
      <w:pPr>
        <w:topLinePunct/>
        <w:spacing w:line="360" w:lineRule="auto"/>
        <w:ind w:firstLine="422" w:firstLineChars="200"/>
        <w:rPr>
          <w:rFonts w:ascii="宋体" w:hAnsi="宋体" w:cs="宋体"/>
          <w:b/>
          <w:bCs/>
          <w:szCs w:val="21"/>
        </w:rPr>
      </w:pPr>
      <w:r>
        <w:rPr>
          <w:rFonts w:hint="eastAsia" w:ascii="宋体" w:hAnsi="宋体" w:cs="宋体"/>
          <w:b/>
          <w:bCs/>
          <w:szCs w:val="21"/>
        </w:rPr>
        <w:t>3.3 第二信封开标</w:t>
      </w:r>
    </w:p>
    <w:p>
      <w:pPr>
        <w:topLinePunct/>
        <w:spacing w:line="360" w:lineRule="auto"/>
        <w:ind w:firstLine="420" w:firstLineChars="200"/>
        <w:rPr>
          <w:rFonts w:ascii="宋体" w:hAnsi="宋体" w:cs="宋体"/>
          <w:szCs w:val="21"/>
        </w:rPr>
      </w:pPr>
      <w:r>
        <w:rPr>
          <w:rFonts w:hint="eastAsia" w:ascii="宋体" w:hAnsi="宋体" w:cs="宋体"/>
          <w:szCs w:val="21"/>
        </w:rPr>
        <w:t>第一信封（商务及技术文件）评审结束后，招标人将按照第二章“投标人须知”第5.1款规定的时间和地点对通过投标文件第一信封（商务及技术文件）评审的投标文件第二信封（报价文件）进行开标。</w:t>
      </w:r>
    </w:p>
    <w:p>
      <w:pPr>
        <w:topLinePunct/>
        <w:spacing w:line="360" w:lineRule="auto"/>
        <w:ind w:firstLine="422" w:firstLineChars="200"/>
        <w:rPr>
          <w:rFonts w:ascii="宋体" w:hAnsi="宋体" w:cs="宋体"/>
          <w:b/>
          <w:bCs/>
          <w:szCs w:val="21"/>
        </w:rPr>
      </w:pPr>
      <w:r>
        <w:rPr>
          <w:rFonts w:hint="eastAsia" w:ascii="宋体" w:hAnsi="宋体" w:cs="宋体"/>
          <w:b/>
          <w:bCs/>
          <w:szCs w:val="21"/>
        </w:rPr>
        <w:t>3.4 第二信封初步评审</w:t>
      </w:r>
    </w:p>
    <w:p>
      <w:pPr>
        <w:topLinePunct/>
        <w:spacing w:line="360" w:lineRule="auto"/>
        <w:ind w:firstLine="420" w:firstLineChars="200"/>
        <w:rPr>
          <w:rFonts w:ascii="宋体" w:hAnsi="宋体" w:cs="宋体"/>
          <w:szCs w:val="21"/>
        </w:rPr>
      </w:pPr>
      <w:r>
        <w:rPr>
          <w:rFonts w:hint="eastAsia" w:ascii="宋体" w:hAnsi="宋体" w:cs="宋体"/>
          <w:szCs w:val="21"/>
        </w:rPr>
        <w:t>3.4.1 评标委员会依据本章第2.1.1项、第2.1.3项规定的评审标准对投标文件第二信封（报价文件）进行初步评审。有一项不符合评审标准的，评标委员会应否决其投标。</w:t>
      </w:r>
    </w:p>
    <w:p>
      <w:pPr>
        <w:topLinePunct/>
        <w:spacing w:line="360" w:lineRule="auto"/>
        <w:ind w:firstLine="420" w:firstLineChars="200"/>
        <w:rPr>
          <w:rFonts w:ascii="宋体" w:hAnsi="宋体" w:cs="宋体"/>
          <w:szCs w:val="21"/>
        </w:rPr>
      </w:pPr>
      <w:r>
        <w:rPr>
          <w:rFonts w:hint="eastAsia" w:ascii="宋体" w:hAnsi="宋体" w:cs="宋体"/>
          <w:szCs w:val="21"/>
        </w:rPr>
        <w:t>3.4.2 投标报价有算术错误的，评标委员会按以下原则对投标报价进行修正，修正的价格无需投标人在评标过程中书面确认，具有约束力。投标人不接受修正价格的，评标委员会应否决其投标。</w:t>
      </w:r>
    </w:p>
    <w:p>
      <w:pPr>
        <w:topLinePunct/>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topLinePunct/>
        <w:spacing w:line="360" w:lineRule="auto"/>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topLinePunct/>
        <w:spacing w:line="360" w:lineRule="auto"/>
        <w:ind w:firstLine="420" w:firstLineChars="200"/>
        <w:rPr>
          <w:rFonts w:ascii="宋体" w:hAnsi="宋体" w:cs="宋体"/>
          <w:szCs w:val="21"/>
        </w:rPr>
      </w:pPr>
      <w:r>
        <w:rPr>
          <w:rFonts w:hint="eastAsia" w:ascii="宋体" w:hAnsi="宋体" w:cs="宋体"/>
          <w:szCs w:val="21"/>
        </w:rPr>
        <w:t>（3）当单价与数量相乘不等于合价时，以单价计算为准，如果单价有明显的小数点位置差错，应以标出的合价为准，同时对单价予以修正；</w:t>
      </w:r>
    </w:p>
    <w:p>
      <w:pPr>
        <w:topLinePunct/>
        <w:spacing w:line="360" w:lineRule="auto"/>
        <w:ind w:firstLine="420" w:firstLineChars="200"/>
        <w:rPr>
          <w:rFonts w:ascii="宋体" w:hAnsi="宋体" w:cs="宋体"/>
          <w:szCs w:val="21"/>
        </w:rPr>
      </w:pPr>
      <w:r>
        <w:rPr>
          <w:rFonts w:hint="eastAsia" w:ascii="宋体" w:hAnsi="宋体" w:cs="宋体"/>
          <w:szCs w:val="21"/>
        </w:rPr>
        <w:t>（4）当各子目的合价累计不等于总价时，应以各子目合价累计数为准，修正总价。</w:t>
      </w:r>
    </w:p>
    <w:p>
      <w:pPr>
        <w:topLinePunct/>
        <w:spacing w:line="360" w:lineRule="auto"/>
        <w:ind w:firstLine="420" w:firstLineChars="200"/>
        <w:rPr>
          <w:rFonts w:ascii="宋体" w:hAnsi="宋体" w:cs="宋体"/>
          <w:szCs w:val="21"/>
        </w:rPr>
      </w:pPr>
      <w:r>
        <w:rPr>
          <w:rFonts w:hint="eastAsia" w:ascii="宋体" w:hAnsi="宋体" w:cs="宋体"/>
          <w:szCs w:val="21"/>
        </w:rPr>
        <w:t>3.4.3 修正后的最终投标报价若超过最高投标限价，评标委员会应否决其投标。</w:t>
      </w:r>
    </w:p>
    <w:p>
      <w:pPr>
        <w:topLinePunct/>
        <w:spacing w:line="360" w:lineRule="auto"/>
        <w:ind w:firstLine="420" w:firstLineChars="200"/>
        <w:rPr>
          <w:rFonts w:ascii="宋体" w:hAnsi="宋体" w:cs="宋体"/>
          <w:szCs w:val="21"/>
        </w:rPr>
      </w:pPr>
      <w:r>
        <w:rPr>
          <w:rFonts w:hint="eastAsia" w:ascii="宋体" w:hAnsi="宋体" w:cs="宋体"/>
          <w:szCs w:val="21"/>
        </w:rPr>
        <w:t>3.4.4 修正后的最终投标报价仅作为签订合同的一个依据，不参与评标价得分的计算。</w:t>
      </w:r>
    </w:p>
    <w:p>
      <w:pPr>
        <w:topLinePunct/>
        <w:spacing w:line="360" w:lineRule="auto"/>
        <w:ind w:firstLine="422" w:firstLineChars="200"/>
        <w:rPr>
          <w:rFonts w:ascii="宋体" w:hAnsi="宋体" w:cs="宋体"/>
          <w:szCs w:val="21"/>
        </w:rPr>
      </w:pPr>
      <w:r>
        <w:rPr>
          <w:rFonts w:hint="eastAsia" w:ascii="宋体" w:hAnsi="宋体" w:cs="宋体"/>
          <w:b/>
          <w:bCs/>
          <w:szCs w:val="21"/>
        </w:rPr>
        <w:t>3.5 第二信封详细评审</w:t>
      </w:r>
    </w:p>
    <w:p>
      <w:pPr>
        <w:topLinePunct/>
        <w:spacing w:line="360" w:lineRule="auto"/>
        <w:ind w:firstLine="420" w:firstLineChars="200"/>
        <w:rPr>
          <w:rFonts w:ascii="宋体" w:hAnsi="宋体" w:cs="宋体"/>
          <w:szCs w:val="21"/>
        </w:rPr>
      </w:pPr>
      <w:r>
        <w:rPr>
          <w:rFonts w:hint="eastAsia" w:ascii="宋体" w:hAnsi="宋体" w:cs="宋体"/>
          <w:szCs w:val="21"/>
        </w:rPr>
        <w:t>3.5.1 评标委员会按本章第2.2.4项（3）目规定的评审因素和分值对评标价计算出得分C。评标价得分分值计算保留小数点后四位，小数点后第五位“四舍五入”。</w:t>
      </w:r>
    </w:p>
    <w:p>
      <w:pPr>
        <w:topLinePunct/>
        <w:spacing w:line="360" w:lineRule="auto"/>
        <w:ind w:firstLine="420" w:firstLineChars="200"/>
        <w:rPr>
          <w:rFonts w:ascii="宋体" w:hAnsi="宋体" w:cs="宋体"/>
          <w:szCs w:val="21"/>
        </w:rPr>
      </w:pPr>
      <w:r>
        <w:rPr>
          <w:rFonts w:hint="eastAsia" w:ascii="宋体" w:hAnsi="宋体" w:cs="宋体"/>
          <w:szCs w:val="21"/>
        </w:rPr>
        <w:t>3.5.2 投标人综合得分=投标人的商务和技术得分+C。</w:t>
      </w:r>
    </w:p>
    <w:p>
      <w:pPr>
        <w:topLinePunct/>
        <w:spacing w:line="360" w:lineRule="auto"/>
        <w:ind w:firstLine="420" w:firstLineChars="200"/>
        <w:rPr>
          <w:rFonts w:ascii="宋体" w:hAnsi="宋体" w:cs="宋体"/>
          <w:szCs w:val="21"/>
        </w:rPr>
      </w:pPr>
      <w:r>
        <w:rPr>
          <w:rFonts w:hint="eastAsia" w:ascii="宋体" w:hAnsi="宋体" w:cs="宋体"/>
          <w:szCs w:val="21"/>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topLinePunct/>
        <w:spacing w:line="360" w:lineRule="auto"/>
        <w:ind w:firstLine="422" w:firstLineChars="200"/>
        <w:rPr>
          <w:rFonts w:ascii="宋体" w:hAnsi="宋体" w:cs="宋体"/>
          <w:szCs w:val="21"/>
        </w:rPr>
      </w:pPr>
      <w:r>
        <w:rPr>
          <w:rFonts w:hint="eastAsia" w:ascii="宋体" w:hAnsi="宋体" w:cs="宋体"/>
          <w:b/>
          <w:bCs/>
          <w:szCs w:val="21"/>
        </w:rPr>
        <w:t>3.6 投标文件相关信息的核查</w:t>
      </w:r>
    </w:p>
    <w:p>
      <w:pPr>
        <w:topLinePunct/>
        <w:spacing w:line="360" w:lineRule="auto"/>
        <w:ind w:firstLine="420" w:firstLineChars="200"/>
        <w:rPr>
          <w:rFonts w:ascii="宋体" w:hAnsi="宋体" w:cs="宋体"/>
          <w:szCs w:val="21"/>
        </w:rPr>
      </w:pPr>
      <w:r>
        <w:rPr>
          <w:rFonts w:hint="eastAsia" w:ascii="宋体" w:hAnsi="宋体" w:cs="宋体"/>
          <w:szCs w:val="21"/>
        </w:rPr>
        <w:t>3.6.1 评标委员会应对在评标过程中发现的投标人与投标人之间、投标人与招标人之间存在的串通投标的情形进行评审和认定。投标人存在串通投标、弄虚作假、行贿等违法行为的，评标委员会应否决其投标。</w:t>
      </w:r>
    </w:p>
    <w:p>
      <w:pPr>
        <w:topLinePunct/>
        <w:spacing w:line="360" w:lineRule="auto"/>
        <w:ind w:firstLine="420" w:firstLineChars="200"/>
        <w:rPr>
          <w:rFonts w:ascii="宋体" w:hAnsi="宋体" w:cs="宋体"/>
          <w:szCs w:val="21"/>
        </w:rPr>
      </w:pPr>
      <w:r>
        <w:rPr>
          <w:rFonts w:hint="eastAsia" w:ascii="宋体" w:hAnsi="宋体" w:cs="宋体"/>
          <w:szCs w:val="21"/>
        </w:rPr>
        <w:t>（1）有下列情形之一的，属于投标人相互串通投标：</w:t>
      </w:r>
    </w:p>
    <w:p>
      <w:pPr>
        <w:topLinePunct/>
        <w:spacing w:line="360" w:lineRule="auto"/>
        <w:ind w:firstLine="420" w:firstLineChars="200"/>
        <w:rPr>
          <w:rFonts w:ascii="宋体" w:hAnsi="宋体" w:cs="宋体"/>
          <w:szCs w:val="21"/>
        </w:rPr>
      </w:pPr>
      <w:r>
        <w:rPr>
          <w:rFonts w:hint="eastAsia" w:ascii="宋体" w:hAnsi="宋体" w:cs="宋体"/>
          <w:szCs w:val="21"/>
        </w:rPr>
        <w:t>a.投标人之间协商投标报价等投标文件的实质性内容；</w:t>
      </w:r>
    </w:p>
    <w:p>
      <w:pPr>
        <w:topLinePunct/>
        <w:spacing w:line="360" w:lineRule="auto"/>
        <w:ind w:firstLine="420" w:firstLineChars="200"/>
        <w:rPr>
          <w:rFonts w:ascii="宋体" w:hAnsi="宋体" w:cs="宋体"/>
          <w:szCs w:val="21"/>
        </w:rPr>
      </w:pPr>
      <w:r>
        <w:rPr>
          <w:rFonts w:hint="eastAsia" w:ascii="宋体" w:hAnsi="宋体" w:cs="宋体"/>
          <w:szCs w:val="21"/>
        </w:rPr>
        <w:t>b.投标人之间约定中标人；</w:t>
      </w:r>
    </w:p>
    <w:p>
      <w:pPr>
        <w:topLinePunct/>
        <w:spacing w:line="360" w:lineRule="auto"/>
        <w:ind w:firstLine="420" w:firstLineChars="200"/>
        <w:rPr>
          <w:rFonts w:ascii="宋体" w:hAnsi="宋体" w:cs="宋体"/>
          <w:szCs w:val="21"/>
        </w:rPr>
      </w:pPr>
      <w:r>
        <w:rPr>
          <w:rFonts w:hint="eastAsia" w:ascii="宋体" w:hAnsi="宋体" w:cs="宋体"/>
          <w:szCs w:val="21"/>
        </w:rPr>
        <w:t>c.投标人之间约定部分投标人放弃投标或中标；</w:t>
      </w:r>
    </w:p>
    <w:p>
      <w:pPr>
        <w:topLinePunct/>
        <w:spacing w:line="360" w:lineRule="auto"/>
        <w:ind w:firstLine="420" w:firstLineChars="200"/>
        <w:rPr>
          <w:rFonts w:ascii="宋体" w:hAnsi="宋体" w:cs="宋体"/>
          <w:szCs w:val="21"/>
        </w:rPr>
      </w:pPr>
      <w:r>
        <w:rPr>
          <w:rFonts w:hint="eastAsia" w:ascii="宋体" w:hAnsi="宋体" w:cs="宋体"/>
          <w:szCs w:val="21"/>
        </w:rPr>
        <w:t>d.属于同一集团、协会、商会等组织成员的投标人按照该组织要求协同投标；</w:t>
      </w:r>
    </w:p>
    <w:p>
      <w:pPr>
        <w:topLinePunct/>
        <w:spacing w:line="360" w:lineRule="auto"/>
        <w:ind w:firstLine="420" w:firstLineChars="200"/>
        <w:rPr>
          <w:rFonts w:ascii="宋体" w:hAnsi="宋体" w:cs="宋体"/>
          <w:szCs w:val="21"/>
        </w:rPr>
      </w:pPr>
      <w:r>
        <w:rPr>
          <w:rFonts w:hint="eastAsia" w:ascii="宋体" w:hAnsi="宋体" w:cs="宋体"/>
          <w:szCs w:val="21"/>
        </w:rPr>
        <w:t>e.投标人之间为谋取中标或排斥特定投标人而采取的其他联合行动。</w:t>
      </w:r>
    </w:p>
    <w:p>
      <w:pPr>
        <w:topLinePunct/>
        <w:spacing w:line="360" w:lineRule="auto"/>
        <w:ind w:firstLine="420" w:firstLineChars="200"/>
        <w:rPr>
          <w:rFonts w:ascii="宋体" w:hAnsi="宋体" w:cs="宋体"/>
          <w:szCs w:val="21"/>
        </w:rPr>
      </w:pPr>
      <w:r>
        <w:rPr>
          <w:rFonts w:hint="eastAsia" w:ascii="宋体" w:hAnsi="宋体" w:cs="宋体"/>
          <w:szCs w:val="21"/>
        </w:rPr>
        <w:t>（2）有下列情形之一的，视为投标人相互串通投标：</w:t>
      </w:r>
    </w:p>
    <w:p>
      <w:pPr>
        <w:topLinePunct/>
        <w:spacing w:line="360" w:lineRule="auto"/>
        <w:ind w:firstLine="420" w:firstLineChars="200"/>
        <w:rPr>
          <w:rFonts w:ascii="宋体" w:hAnsi="宋体" w:cs="宋体"/>
          <w:szCs w:val="21"/>
        </w:rPr>
      </w:pPr>
      <w:r>
        <w:rPr>
          <w:rFonts w:hint="eastAsia" w:ascii="宋体" w:hAnsi="宋体" w:cs="宋体"/>
          <w:szCs w:val="21"/>
        </w:rPr>
        <w:t>a.不同投标人的投标文件由同一单位或个人编制；</w:t>
      </w:r>
    </w:p>
    <w:p>
      <w:pPr>
        <w:topLinePunct/>
        <w:spacing w:line="360" w:lineRule="auto"/>
        <w:ind w:firstLine="420" w:firstLineChars="200"/>
        <w:rPr>
          <w:rFonts w:ascii="宋体" w:hAnsi="宋体" w:cs="宋体"/>
          <w:szCs w:val="21"/>
        </w:rPr>
      </w:pPr>
      <w:r>
        <w:rPr>
          <w:rFonts w:hint="eastAsia" w:ascii="宋体" w:hAnsi="宋体" w:cs="宋体"/>
          <w:szCs w:val="21"/>
        </w:rPr>
        <w:t>b.不同投标人委托同一单位或个人办理投标事宜；</w:t>
      </w:r>
    </w:p>
    <w:p>
      <w:pPr>
        <w:topLinePunct/>
        <w:spacing w:line="360" w:lineRule="auto"/>
        <w:ind w:firstLine="420" w:firstLineChars="200"/>
        <w:rPr>
          <w:rFonts w:ascii="宋体" w:hAnsi="宋体" w:cs="宋体"/>
          <w:szCs w:val="21"/>
        </w:rPr>
      </w:pPr>
      <w:r>
        <w:rPr>
          <w:rFonts w:hint="eastAsia" w:ascii="宋体" w:hAnsi="宋体" w:cs="宋体"/>
          <w:szCs w:val="21"/>
        </w:rPr>
        <w:t>c.不同投标人的投标文件载明的项目管理成员为同一人；</w:t>
      </w:r>
    </w:p>
    <w:p>
      <w:pPr>
        <w:topLinePunct/>
        <w:spacing w:line="360" w:lineRule="auto"/>
        <w:ind w:firstLine="420" w:firstLineChars="200"/>
        <w:rPr>
          <w:rFonts w:ascii="宋体" w:hAnsi="宋体" w:cs="宋体"/>
          <w:szCs w:val="21"/>
        </w:rPr>
      </w:pPr>
      <w:r>
        <w:rPr>
          <w:rFonts w:hint="eastAsia" w:ascii="宋体" w:hAnsi="宋体" w:cs="宋体"/>
          <w:szCs w:val="21"/>
        </w:rPr>
        <w:t>d.不同投标人的投标文件异常一致或投标报价呈规律性差异；</w:t>
      </w:r>
    </w:p>
    <w:p>
      <w:pPr>
        <w:topLinePunct/>
        <w:spacing w:line="360" w:lineRule="auto"/>
        <w:ind w:firstLine="420" w:firstLineChars="200"/>
        <w:rPr>
          <w:rFonts w:ascii="宋体" w:hAnsi="宋体" w:cs="宋体"/>
          <w:szCs w:val="21"/>
        </w:rPr>
      </w:pPr>
      <w:r>
        <w:rPr>
          <w:rFonts w:hint="eastAsia" w:ascii="宋体" w:hAnsi="宋体" w:cs="宋体"/>
          <w:szCs w:val="21"/>
        </w:rPr>
        <w:t>e.不同投标人的投标文件相互混装；</w:t>
      </w:r>
    </w:p>
    <w:p>
      <w:pPr>
        <w:topLinePunct/>
        <w:spacing w:line="360" w:lineRule="auto"/>
        <w:ind w:firstLine="420" w:firstLineChars="200"/>
        <w:rPr>
          <w:rFonts w:ascii="宋体" w:hAnsi="宋体" w:cs="宋体"/>
          <w:szCs w:val="21"/>
        </w:rPr>
      </w:pPr>
      <w:r>
        <w:rPr>
          <w:rFonts w:hint="eastAsia" w:ascii="宋体" w:hAnsi="宋体" w:cs="宋体"/>
          <w:szCs w:val="21"/>
        </w:rPr>
        <w:t>f.不同投标人的投标保证金从同一单位或个人的账户转出。</w:t>
      </w:r>
    </w:p>
    <w:p>
      <w:pPr>
        <w:topLinePunct/>
        <w:spacing w:line="360" w:lineRule="auto"/>
        <w:ind w:firstLine="420" w:firstLineChars="200"/>
        <w:rPr>
          <w:rFonts w:ascii="宋体" w:hAnsi="宋体" w:cs="宋体"/>
          <w:szCs w:val="21"/>
        </w:rPr>
      </w:pPr>
      <w:r>
        <w:rPr>
          <w:rFonts w:hint="eastAsia" w:ascii="宋体" w:hAnsi="宋体" w:cs="宋体"/>
          <w:szCs w:val="21"/>
        </w:rPr>
        <w:t>（3）有下列情形之一的，属于招标人与投标人串通投标：</w:t>
      </w:r>
    </w:p>
    <w:p>
      <w:pPr>
        <w:topLinePunct/>
        <w:spacing w:line="360" w:lineRule="auto"/>
        <w:ind w:firstLine="420" w:firstLineChars="200"/>
        <w:rPr>
          <w:rFonts w:ascii="宋体" w:hAnsi="宋体" w:cs="宋体"/>
          <w:szCs w:val="21"/>
        </w:rPr>
      </w:pPr>
      <w:r>
        <w:rPr>
          <w:rFonts w:hint="eastAsia" w:ascii="宋体" w:hAnsi="宋体" w:cs="宋体"/>
          <w:szCs w:val="21"/>
        </w:rPr>
        <w:t>a.招标人在开标前开启投标文件并将有关信息泄露给其他投标人;</w:t>
      </w:r>
    </w:p>
    <w:p>
      <w:pPr>
        <w:topLinePunct/>
        <w:spacing w:line="360" w:lineRule="auto"/>
        <w:ind w:firstLine="420" w:firstLineChars="200"/>
        <w:rPr>
          <w:rFonts w:ascii="宋体" w:hAnsi="宋体" w:cs="宋体"/>
          <w:szCs w:val="21"/>
        </w:rPr>
      </w:pPr>
      <w:r>
        <w:rPr>
          <w:rFonts w:hint="eastAsia" w:ascii="宋体" w:hAnsi="宋体" w:cs="宋体"/>
          <w:szCs w:val="21"/>
        </w:rPr>
        <w:t>b.招标人直接或间接向投标人泄露标底、评标委员会成员等信息；</w:t>
      </w:r>
    </w:p>
    <w:p>
      <w:pPr>
        <w:topLinePunct/>
        <w:spacing w:line="360" w:lineRule="auto"/>
        <w:ind w:firstLine="420" w:firstLineChars="200"/>
        <w:rPr>
          <w:rFonts w:ascii="宋体" w:hAnsi="宋体" w:cs="宋体"/>
          <w:szCs w:val="21"/>
        </w:rPr>
      </w:pPr>
      <w:r>
        <w:rPr>
          <w:rFonts w:hint="eastAsia" w:ascii="宋体" w:hAnsi="宋体" w:cs="宋体"/>
          <w:szCs w:val="21"/>
        </w:rPr>
        <w:t>c.招标人明示或暗示投标人压低或抬高投标报价；</w:t>
      </w:r>
    </w:p>
    <w:p>
      <w:pPr>
        <w:topLinePunct/>
        <w:spacing w:line="360" w:lineRule="auto"/>
        <w:ind w:firstLine="420" w:firstLineChars="200"/>
        <w:rPr>
          <w:rFonts w:ascii="宋体" w:hAnsi="宋体" w:cs="宋体"/>
          <w:szCs w:val="21"/>
        </w:rPr>
      </w:pPr>
      <w:r>
        <w:rPr>
          <w:rFonts w:hint="eastAsia" w:ascii="宋体" w:hAnsi="宋体" w:cs="宋体"/>
          <w:szCs w:val="21"/>
        </w:rPr>
        <w:t>d.招标人授意投标人撤换、修改投标文件；</w:t>
      </w:r>
    </w:p>
    <w:p>
      <w:pPr>
        <w:topLinePunct/>
        <w:spacing w:line="360" w:lineRule="auto"/>
        <w:ind w:firstLine="420" w:firstLineChars="200"/>
        <w:rPr>
          <w:rFonts w:ascii="宋体" w:hAnsi="宋体" w:cs="宋体"/>
          <w:szCs w:val="21"/>
        </w:rPr>
      </w:pPr>
      <w:r>
        <w:rPr>
          <w:rFonts w:hint="eastAsia" w:ascii="宋体" w:hAnsi="宋体" w:cs="宋体"/>
          <w:szCs w:val="21"/>
        </w:rPr>
        <w:t>e.招标人明示或暗示投标人为特定投标人中标提供方便；</w:t>
      </w:r>
    </w:p>
    <w:p>
      <w:pPr>
        <w:topLinePunct/>
        <w:spacing w:line="360" w:lineRule="auto"/>
        <w:ind w:firstLine="420" w:firstLineChars="200"/>
        <w:rPr>
          <w:rFonts w:ascii="宋体" w:hAnsi="宋体" w:cs="宋体"/>
          <w:szCs w:val="21"/>
        </w:rPr>
      </w:pPr>
      <w:r>
        <w:rPr>
          <w:rFonts w:hint="eastAsia" w:ascii="宋体" w:hAnsi="宋体" w:cs="宋体"/>
          <w:szCs w:val="21"/>
        </w:rPr>
        <w:t>f.招标人与投标人为谋求特定投标人中标而采取的其他串通行为。</w:t>
      </w:r>
    </w:p>
    <w:p>
      <w:pPr>
        <w:topLinePunct/>
        <w:spacing w:line="360" w:lineRule="auto"/>
        <w:ind w:firstLine="420" w:firstLineChars="200"/>
        <w:rPr>
          <w:rFonts w:ascii="宋体" w:hAnsi="宋体" w:cs="宋体"/>
          <w:szCs w:val="21"/>
        </w:rPr>
      </w:pPr>
      <w:r>
        <w:rPr>
          <w:rFonts w:hint="eastAsia" w:ascii="宋体" w:hAnsi="宋体" w:cs="宋体"/>
          <w:szCs w:val="21"/>
        </w:rPr>
        <w:t>（4）投标人有下列情形之一的，属于弄虚作假的行为：</w:t>
      </w:r>
    </w:p>
    <w:p>
      <w:pPr>
        <w:topLinePunct/>
        <w:spacing w:line="360" w:lineRule="auto"/>
        <w:ind w:firstLine="420" w:firstLineChars="200"/>
        <w:rPr>
          <w:rFonts w:ascii="宋体" w:hAnsi="宋体" w:cs="宋体"/>
          <w:szCs w:val="21"/>
        </w:rPr>
      </w:pPr>
      <w:r>
        <w:rPr>
          <w:rFonts w:hint="eastAsia" w:ascii="宋体" w:hAnsi="宋体" w:cs="宋体"/>
          <w:szCs w:val="21"/>
        </w:rPr>
        <w:t>a.使用通过受让或租借等方式获取的资格、资质证书投标；</w:t>
      </w:r>
    </w:p>
    <w:p>
      <w:pPr>
        <w:topLinePunct/>
        <w:spacing w:line="360" w:lineRule="auto"/>
        <w:ind w:firstLine="420" w:firstLineChars="200"/>
        <w:rPr>
          <w:rFonts w:ascii="宋体" w:hAnsi="宋体" w:cs="宋体"/>
          <w:szCs w:val="21"/>
        </w:rPr>
      </w:pPr>
      <w:r>
        <w:rPr>
          <w:rFonts w:hint="eastAsia" w:ascii="宋体" w:hAnsi="宋体" w:cs="宋体"/>
          <w:szCs w:val="21"/>
        </w:rPr>
        <w:t>b.使用伪造、变造的许可证件；</w:t>
      </w:r>
    </w:p>
    <w:p>
      <w:pPr>
        <w:topLinePunct/>
        <w:spacing w:line="360" w:lineRule="auto"/>
        <w:ind w:firstLine="420" w:firstLineChars="200"/>
        <w:rPr>
          <w:rFonts w:ascii="宋体" w:hAnsi="宋体" w:cs="宋体"/>
          <w:szCs w:val="21"/>
        </w:rPr>
      </w:pPr>
      <w:r>
        <w:rPr>
          <w:rFonts w:hint="eastAsia" w:ascii="宋体" w:hAnsi="宋体" w:cs="宋体"/>
          <w:szCs w:val="21"/>
        </w:rPr>
        <w:t>c.提供虚假的业绩；</w:t>
      </w:r>
    </w:p>
    <w:p>
      <w:pPr>
        <w:topLinePunct/>
        <w:spacing w:line="360" w:lineRule="auto"/>
        <w:ind w:firstLine="420" w:firstLineChars="200"/>
        <w:rPr>
          <w:rFonts w:ascii="宋体" w:hAnsi="宋体" w:cs="宋体"/>
          <w:szCs w:val="21"/>
        </w:rPr>
      </w:pPr>
      <w:r>
        <w:rPr>
          <w:rFonts w:hint="eastAsia" w:ascii="宋体" w:hAnsi="宋体" w:cs="宋体"/>
          <w:szCs w:val="21"/>
        </w:rPr>
        <w:t>d.提供虚假的项目负责人或主要技术人员简历、劳动关系证明；</w:t>
      </w:r>
    </w:p>
    <w:p>
      <w:pPr>
        <w:topLinePunct/>
        <w:spacing w:line="360" w:lineRule="auto"/>
        <w:ind w:firstLine="420" w:firstLineChars="200"/>
        <w:rPr>
          <w:rFonts w:ascii="宋体" w:hAnsi="宋体" w:cs="宋体"/>
          <w:szCs w:val="21"/>
        </w:rPr>
      </w:pPr>
      <w:r>
        <w:rPr>
          <w:rFonts w:hint="eastAsia" w:ascii="宋体" w:hAnsi="宋体" w:cs="宋体"/>
          <w:szCs w:val="21"/>
        </w:rPr>
        <w:t>e.提供虚假的信用状况；</w:t>
      </w:r>
    </w:p>
    <w:p>
      <w:pPr>
        <w:topLinePunct/>
        <w:spacing w:line="360" w:lineRule="auto"/>
        <w:ind w:firstLine="420" w:firstLineChars="200"/>
        <w:rPr>
          <w:rFonts w:ascii="宋体" w:hAnsi="宋体" w:cs="宋体"/>
          <w:szCs w:val="21"/>
        </w:rPr>
      </w:pPr>
      <w:r>
        <w:rPr>
          <w:rFonts w:hint="eastAsia" w:ascii="宋体" w:hAnsi="宋体" w:cs="宋体"/>
          <w:szCs w:val="21"/>
        </w:rPr>
        <w:t>f.其他弄虚作假的行为。</w:t>
      </w:r>
    </w:p>
    <w:p>
      <w:pPr>
        <w:topLinePunct/>
        <w:spacing w:line="360" w:lineRule="auto"/>
        <w:ind w:firstLine="422" w:firstLineChars="200"/>
        <w:rPr>
          <w:rFonts w:ascii="宋体" w:hAnsi="宋体" w:cs="宋体"/>
          <w:b/>
          <w:bCs/>
          <w:szCs w:val="21"/>
        </w:rPr>
      </w:pPr>
      <w:r>
        <w:rPr>
          <w:rFonts w:hint="eastAsia" w:ascii="宋体" w:hAnsi="宋体" w:cs="宋体"/>
          <w:b/>
          <w:bCs/>
          <w:szCs w:val="21"/>
        </w:rPr>
        <w:t>3.7 投标文件的澄清和说明</w:t>
      </w:r>
    </w:p>
    <w:p>
      <w:pPr>
        <w:topLinePunct/>
        <w:spacing w:line="360" w:lineRule="auto"/>
        <w:ind w:firstLine="420" w:firstLineChars="200"/>
        <w:rPr>
          <w:rFonts w:ascii="宋体" w:hAnsi="宋体" w:cs="宋体"/>
          <w:szCs w:val="21"/>
        </w:rPr>
      </w:pPr>
      <w:r>
        <w:rPr>
          <w:rFonts w:hint="eastAsia" w:ascii="宋体" w:hAnsi="宋体" w:cs="宋体"/>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topLinePunct/>
        <w:spacing w:line="360" w:lineRule="auto"/>
        <w:ind w:firstLine="420" w:firstLineChars="200"/>
        <w:rPr>
          <w:rFonts w:ascii="宋体" w:hAnsi="宋体" w:cs="宋体"/>
          <w:szCs w:val="21"/>
        </w:rPr>
      </w:pPr>
      <w:r>
        <w:rPr>
          <w:rFonts w:hint="eastAsia" w:ascii="宋体" w:hAnsi="宋体" w:cs="宋体"/>
          <w:szCs w:val="21"/>
        </w:rPr>
        <w:t>3.7.2 澄清和说明不得超出投标文件的范围或改变投标文件的实质性内容（算术性错误的修正除外）。投标人的书面澄清、说明属于投标文件的组成部分。</w:t>
      </w:r>
    </w:p>
    <w:p>
      <w:pPr>
        <w:topLinePunct/>
        <w:spacing w:line="360" w:lineRule="auto"/>
        <w:ind w:firstLine="420" w:firstLineChars="200"/>
        <w:rPr>
          <w:rFonts w:ascii="宋体" w:hAnsi="宋体" w:cs="宋体"/>
          <w:szCs w:val="21"/>
        </w:rPr>
      </w:pPr>
      <w:r>
        <w:rPr>
          <w:rFonts w:hint="eastAsia" w:ascii="宋体" w:hAnsi="宋体" w:cs="宋体"/>
          <w:szCs w:val="21"/>
        </w:rPr>
        <w:t>3.7.3 评标委员会不得暗示或诱导投标人作出澄清、说明，对投标人提交的澄清、说明有疑问的，可以要求投标人进一步澄清或说明，直至满足评标委员会的要求。</w:t>
      </w:r>
    </w:p>
    <w:p>
      <w:pPr>
        <w:topLinePunct/>
        <w:spacing w:line="360" w:lineRule="auto"/>
        <w:ind w:firstLine="420" w:firstLineChars="200"/>
        <w:rPr>
          <w:rFonts w:ascii="宋体" w:hAnsi="宋体" w:cs="宋体"/>
          <w:szCs w:val="21"/>
        </w:rPr>
      </w:pPr>
      <w:r>
        <w:rPr>
          <w:rFonts w:hint="eastAsia" w:ascii="宋体" w:hAnsi="宋体" w:cs="宋体"/>
          <w:szCs w:val="21"/>
        </w:rPr>
        <w:t>3.7.4 凡超出招标文件规定的或给发包人带来未曾要求的利益的变化、偏差或其他因素在评标时不予考虑。</w:t>
      </w:r>
    </w:p>
    <w:p>
      <w:pPr>
        <w:topLinePunct/>
        <w:spacing w:line="360" w:lineRule="auto"/>
        <w:ind w:firstLine="422" w:firstLineChars="200"/>
        <w:rPr>
          <w:rFonts w:ascii="宋体" w:hAnsi="宋体" w:cs="宋体"/>
          <w:szCs w:val="21"/>
        </w:rPr>
      </w:pPr>
      <w:r>
        <w:rPr>
          <w:rFonts w:hint="eastAsia" w:ascii="宋体" w:hAnsi="宋体" w:cs="宋体"/>
          <w:b/>
          <w:bCs/>
          <w:szCs w:val="21"/>
        </w:rPr>
        <w:t>3.8 不得否决投标的情形</w:t>
      </w:r>
    </w:p>
    <w:p>
      <w:pPr>
        <w:topLinePunct/>
        <w:spacing w:line="360" w:lineRule="auto"/>
        <w:ind w:firstLine="420" w:firstLineChars="200"/>
        <w:rPr>
          <w:rFonts w:ascii="宋体" w:hAnsi="宋体" w:cs="宋体"/>
          <w:szCs w:val="21"/>
        </w:rPr>
      </w:pPr>
      <w:r>
        <w:rPr>
          <w:rFonts w:hint="eastAsia" w:ascii="宋体" w:hAnsi="宋体" w:cs="宋体"/>
          <w:szCs w:val="21"/>
        </w:rPr>
        <w:t>不得否决投标的情形：投标文件存在第二章“投标人须知”第1.12.3项所列情形的，均视为细微偏差，评标委员会不得否决投标人的投标，应按照第二章“投标人须知”第1.12.4项规定的原则处理。</w:t>
      </w:r>
    </w:p>
    <w:p>
      <w:pPr>
        <w:topLinePunct/>
        <w:spacing w:line="360" w:lineRule="auto"/>
        <w:ind w:firstLine="422" w:firstLineChars="200"/>
        <w:rPr>
          <w:rFonts w:ascii="宋体" w:hAnsi="宋体" w:cs="宋体"/>
          <w:b/>
          <w:bCs/>
          <w:szCs w:val="21"/>
        </w:rPr>
      </w:pPr>
      <w:r>
        <w:rPr>
          <w:rFonts w:hint="eastAsia" w:ascii="宋体" w:hAnsi="宋体" w:cs="宋体"/>
          <w:b/>
          <w:bCs/>
          <w:szCs w:val="21"/>
        </w:rPr>
        <w:t>3.9 评标结果</w:t>
      </w:r>
    </w:p>
    <w:p>
      <w:pPr>
        <w:topLinePunct/>
        <w:spacing w:line="360" w:lineRule="auto"/>
        <w:ind w:firstLine="420" w:firstLineChars="200"/>
        <w:rPr>
          <w:rFonts w:ascii="宋体" w:hAnsi="宋体" w:cs="宋体"/>
          <w:szCs w:val="21"/>
        </w:rPr>
      </w:pPr>
      <w:r>
        <w:rPr>
          <w:rFonts w:hint="eastAsia" w:ascii="宋体" w:hAnsi="宋体" w:cs="宋体"/>
          <w:szCs w:val="21"/>
        </w:rPr>
        <w:t>3.9.1 除第二章“投标人须知”前附表授权直接确定中标人外，评标委员会按照得分由高到低的顺序推荐中标候选人，并标明排序。</w:t>
      </w:r>
    </w:p>
    <w:p>
      <w:pPr>
        <w:ind w:firstLine="420" w:firstLineChars="200"/>
      </w:pPr>
      <w:r>
        <w:rPr>
          <w:rFonts w:hint="eastAsia" w:ascii="宋体" w:hAnsi="宋体" w:cs="宋体"/>
          <w:szCs w:val="21"/>
        </w:rPr>
        <w:t>3.9.2 评标委员会完成评标后，应向招标人提交书面评标报告。</w:t>
      </w:r>
      <w:bookmarkStart w:id="0" w:name="_GoBack"/>
      <w:bookmarkEnd w:id="0"/>
    </w:p>
    <w:sectPr>
      <w:pgSz w:w="11906" w:h="16838"/>
      <w:pgMar w:top="1304" w:right="1361" w:bottom="130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0509E"/>
    <w:multiLevelType w:val="multilevel"/>
    <w:tmpl w:val="8340509E"/>
    <w:lvl w:ilvl="0" w:tentative="0">
      <w:start w:val="1"/>
      <w:numFmt w:val="decimalEnclosedParen"/>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4"/>
      <w:lvlText w:val="%1.%2.%3."/>
      <w:lvlJc w:val="left"/>
      <w:pPr>
        <w:tabs>
          <w:tab w:val="left" w:pos="3229"/>
        </w:tabs>
        <w:ind w:left="32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OTE4ZmVjZmRiYTIxNDdiNTk5YTQ5NGMyYTJkNWMifQ=="/>
  </w:docVars>
  <w:rsids>
    <w:rsidRoot w:val="5DB82BAF"/>
    <w:rsid w:val="1CE926BE"/>
    <w:rsid w:val="4C424783"/>
    <w:rsid w:val="5DB82BAF"/>
    <w:rsid w:val="7B533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80" w:lineRule="exact"/>
      <w:jc w:val="center"/>
      <w:outlineLvl w:val="1"/>
    </w:pPr>
    <w:rPr>
      <w:rFonts w:ascii="宋体" w:hAnsi="宋体" w:eastAsia="黑体"/>
      <w:bCs/>
      <w:i/>
      <w:iCs/>
      <w:sz w:val="24"/>
      <w:szCs w:val="20"/>
    </w:rPr>
  </w:style>
  <w:style w:type="paragraph" w:styleId="4">
    <w:name w:val="heading 3"/>
    <w:basedOn w:val="1"/>
    <w:next w:val="2"/>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5">
    <w:name w:val="Body Text"/>
    <w:basedOn w:val="1"/>
    <w:qFormat/>
    <w:uiPriority w:val="0"/>
    <w:pPr>
      <w:spacing w:after="120" w:afterLines="0"/>
    </w:pPr>
  </w:style>
  <w:style w:type="paragraph" w:styleId="6">
    <w:name w:val="Body Text Indent"/>
    <w:basedOn w:val="1"/>
    <w:next w:val="1"/>
    <w:qFormat/>
    <w:uiPriority w:val="0"/>
    <w:pPr>
      <w:spacing w:after="120" w:afterLines="0"/>
      <w:ind w:left="420" w:leftChars="200"/>
    </w:pPr>
    <w:rPr>
      <w:kern w:val="2"/>
      <w:sz w:val="21"/>
      <w:szCs w:val="24"/>
    </w:rPr>
  </w:style>
  <w:style w:type="paragraph" w:styleId="7">
    <w:name w:val="Plain Text"/>
    <w:basedOn w:val="1"/>
    <w:qFormat/>
    <w:uiPriority w:val="0"/>
    <w:rPr>
      <w:rFonts w:ascii="宋体" w:hAnsi="Courier New" w:eastAsia="宋体"/>
      <w:kern w:val="2"/>
      <w:sz w:val="21"/>
      <w:lang w:val="en-US" w:eastAsia="zh-CN" w:bidi="ar-SA"/>
    </w:rPr>
  </w:style>
  <w:style w:type="paragraph" w:styleId="8">
    <w:name w:val="Body Text First Indent 2"/>
    <w:basedOn w:val="6"/>
    <w:qFormat/>
    <w:uiPriority w:val="0"/>
    <w:pPr>
      <w:ind w:firstLine="420" w:firstLineChars="200"/>
    </w:pPr>
  </w:style>
  <w:style w:type="paragraph" w:customStyle="1" w:styleId="11">
    <w:name w:val="表格文字"/>
    <w:basedOn w:val="1"/>
    <w:uiPriority w:val="0"/>
    <w:pPr>
      <w:adjustRightInd w:val="0"/>
      <w:spacing w:line="420" w:lineRule="atLeast"/>
      <w:jc w:val="left"/>
      <w:textAlignment w:val="baseline"/>
    </w:pPr>
    <w:rPr>
      <w:kern w:val="0"/>
      <w:szCs w:val="20"/>
    </w:rPr>
  </w:style>
  <w:style w:type="character" w:customStyle="1" w:styleId="12">
    <w:name w:val="正文文本 (2) + 间距 0 pt5"/>
    <w:qFormat/>
    <w:uiPriority w:val="0"/>
    <w:rPr>
      <w:rFonts w:ascii="MingLiU" w:eastAsia="MingLiU" w:cs="MingLiU"/>
      <w:spacing w:val="0"/>
      <w:sz w:val="22"/>
      <w:szCs w:val="22"/>
      <w:u w:val="none"/>
    </w:rPr>
  </w:style>
  <w:style w:type="character" w:customStyle="1" w:styleId="13">
    <w:name w:val="正文文本 (5)_"/>
    <w:link w:val="14"/>
    <w:qFormat/>
    <w:uiPriority w:val="0"/>
    <w:rPr>
      <w:rFonts w:ascii="MingLiU" w:eastAsia="MingLiU"/>
      <w:shd w:val="clear" w:color="auto" w:fill="FFFFFF"/>
    </w:rPr>
  </w:style>
  <w:style w:type="paragraph" w:customStyle="1" w:styleId="14">
    <w:name w:val="正文文本 (5)1"/>
    <w:basedOn w:val="1"/>
    <w:link w:val="13"/>
    <w:qFormat/>
    <w:uiPriority w:val="0"/>
    <w:pPr>
      <w:shd w:val="clear" w:color="auto" w:fill="FFFFFF"/>
      <w:spacing w:before="5100" w:beforeLines="0" w:line="240" w:lineRule="atLeast"/>
      <w:ind w:firstLine="881" w:firstLineChars="200"/>
    </w:pPr>
    <w:rPr>
      <w:rFonts w:ascii="MingLiU" w:eastAsia="MingLiU"/>
      <w:shd w:val="clear" w:color="auto" w:fill="FFFFFF"/>
    </w:rPr>
  </w:style>
  <w:style w:type="paragraph" w:customStyle="1" w:styleId="15">
    <w:name w:val="Table Paragraph"/>
    <w:basedOn w:val="1"/>
    <w:qFormat/>
    <w:uiPriority w:val="0"/>
    <w:pPr>
      <w:jc w:val="left"/>
    </w:pPr>
    <w:rPr>
      <w:rFonts w:ascii="宋体" w:hAnsi="宋体" w:cs="宋体"/>
      <w:kern w:val="0"/>
      <w:sz w:val="22"/>
      <w:szCs w:val="22"/>
      <w:lang w:eastAsia="en-US"/>
    </w:rPr>
  </w:style>
  <w:style w:type="paragraph" w:customStyle="1" w:styleId="16">
    <w:name w:val="样式 标题 3 + 首行缩进:  2 字符1"/>
    <w:basedOn w:val="4"/>
    <w:qFormat/>
    <w:uiPriority w:val="0"/>
    <w:pPr>
      <w:widowControl w:val="0"/>
      <w:numPr>
        <w:numId w:val="0"/>
      </w:numPr>
      <w:spacing w:after="0" w:line="415" w:lineRule="auto"/>
      <w:ind w:firstLine="200" w:firstLineChars="200"/>
      <w:jc w:val="both"/>
    </w:pPr>
    <w:rPr>
      <w:rFonts w:cs="宋体"/>
      <w:bCs/>
      <w:kern w:val="2"/>
      <w:sz w:val="24"/>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8179</Words>
  <Characters>8717</Characters>
  <Lines>0</Lines>
  <Paragraphs>0</Paragraphs>
  <TotalTime>0</TotalTime>
  <ScaleCrop>false</ScaleCrop>
  <LinksUpToDate>false</LinksUpToDate>
  <CharactersWithSpaces>8786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2023-04-03T03:55:00Z</dcterms:created>
  <dc:creator>鱼缸灬</dc:creator>
  <cp:lastModifiedBy>MisL</cp:lastModifiedBy>
  <cp:lastPrinted>2023-04-03T03:56:00Z</cp:lastPrinted>
  <dcterms:modified xsi:type="dcterms:W3CDTF">2023-04-26T09:11:55Z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CEA7233CF14446BDB0BF7864B48B9F82_13</vt:lpwstr>
  </property>
</Properties>
</file>