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细黑" w:hAnsi="华文细黑" w:eastAsia="华文细黑"/>
          <w:b/>
          <w:color w:val="000000" w:themeColor="text1"/>
          <w:szCs w:val="21"/>
          <w:highlight w:val="none"/>
          <w14:textFill>
            <w14:solidFill>
              <w14:schemeClr w14:val="tx1"/>
            </w14:solidFill>
          </w14:textFill>
        </w:rPr>
      </w:pPr>
      <w:r>
        <w:rPr>
          <w:rFonts w:hint="eastAsia" w:ascii="华文细黑" w:hAnsi="华文细黑" w:eastAsia="华文细黑"/>
          <w:b/>
          <w:color w:val="000000" w:themeColor="text1"/>
          <w:szCs w:val="21"/>
          <w:highlight w:val="none"/>
          <w14:textFill>
            <w14:solidFill>
              <w14:schemeClr w14:val="tx1"/>
            </w14:solidFill>
          </w14:textFill>
        </w:rPr>
        <w:t>版本号：2015-1</w:t>
      </w:r>
    </w:p>
    <w:p>
      <w:pPr>
        <w:jc w:val="center"/>
        <w:rPr>
          <w:rFonts w:ascii="宋体" w:hAnsi="宋体"/>
          <w:b/>
          <w:color w:val="000000" w:themeColor="text1"/>
          <w:sz w:val="52"/>
          <w:szCs w:val="52"/>
          <w:highlight w:val="none"/>
          <w14:textFill>
            <w14:solidFill>
              <w14:schemeClr w14:val="tx1"/>
            </w14:solidFill>
          </w14:textFill>
        </w:rPr>
      </w:pPr>
    </w:p>
    <w:p>
      <w:pPr>
        <w:jc w:val="center"/>
        <w:rPr>
          <w:rFonts w:hint="eastAsia" w:ascii="宋体" w:hAnsi="宋体" w:cs="Times New Roman"/>
          <w:b/>
          <w:color w:val="000000" w:themeColor="text1"/>
          <w:sz w:val="52"/>
          <w:szCs w:val="52"/>
          <w:highlight w:val="none"/>
          <w:lang w:val="en-US" w:eastAsia="zh-CN"/>
          <w14:textFill>
            <w14:solidFill>
              <w14:schemeClr w14:val="tx1"/>
            </w14:solidFill>
          </w14:textFill>
        </w:rPr>
      </w:pPr>
      <w:r>
        <w:rPr>
          <w:rFonts w:hint="eastAsia" w:ascii="宋体" w:hAnsi="宋体" w:cs="Times New Roman"/>
          <w:b/>
          <w:color w:val="000000" w:themeColor="text1"/>
          <w:sz w:val="52"/>
          <w:szCs w:val="52"/>
          <w:highlight w:val="none"/>
          <w:lang w:val="en-US" w:eastAsia="zh-CN"/>
          <w14:textFill>
            <w14:solidFill>
              <w14:schemeClr w14:val="tx1"/>
            </w14:solidFill>
          </w14:textFill>
        </w:rPr>
        <w:t>仙村镇蓝山三路建设工程勘察设计</w:t>
      </w:r>
    </w:p>
    <w:p>
      <w:pPr>
        <w:jc w:val="center"/>
        <w:rPr>
          <w:rFonts w:hint="eastAsia" w:ascii="宋体" w:hAnsi="宋体" w:cs="Times New Roman"/>
          <w:b/>
          <w:color w:val="000000" w:themeColor="text1"/>
          <w:sz w:val="52"/>
          <w:szCs w:val="52"/>
          <w:highlight w:val="none"/>
          <w14:textFill>
            <w14:solidFill>
              <w14:schemeClr w14:val="tx1"/>
            </w14:solidFill>
          </w14:textFill>
        </w:rPr>
      </w:pPr>
      <w:r>
        <w:rPr>
          <w:rFonts w:hint="eastAsia" w:ascii="宋体" w:hAnsi="宋体" w:cs="Times New Roman"/>
          <w:b/>
          <w:color w:val="000000" w:themeColor="text1"/>
          <w:sz w:val="52"/>
          <w:szCs w:val="52"/>
          <w:highlight w:val="none"/>
          <w14:textFill>
            <w14:solidFill>
              <w14:schemeClr w14:val="tx1"/>
            </w14:solidFill>
          </w14:textFill>
        </w:rPr>
        <w:t>招标文件</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pStyle w:val="31"/>
        <w:rPr>
          <w:rFonts w:ascii="宋体" w:hAnsi="宋体"/>
          <w:color w:val="000000" w:themeColor="text1"/>
          <w:sz w:val="24"/>
          <w:highlight w:val="none"/>
          <w14:textFill>
            <w14:solidFill>
              <w14:schemeClr w14:val="tx1"/>
            </w14:solidFill>
          </w14:textFill>
        </w:rPr>
      </w:pPr>
    </w:p>
    <w:p>
      <w:pPr>
        <w:pStyle w:val="31"/>
        <w:rPr>
          <w:rFonts w:ascii="宋体" w:hAnsi="宋体"/>
          <w:color w:val="000000" w:themeColor="text1"/>
          <w:sz w:val="24"/>
          <w:highlight w:val="none"/>
          <w14:textFill>
            <w14:solidFill>
              <w14:schemeClr w14:val="tx1"/>
            </w14:solidFill>
          </w14:textFill>
        </w:rPr>
      </w:pPr>
    </w:p>
    <w:p>
      <w:pPr>
        <w:pStyle w:val="31"/>
        <w:rPr>
          <w:rFonts w:ascii="宋体" w:hAnsi="宋体"/>
          <w:color w:val="000000" w:themeColor="text1"/>
          <w:sz w:val="24"/>
          <w:highlight w:val="none"/>
          <w14:textFill>
            <w14:solidFill>
              <w14:schemeClr w14:val="tx1"/>
            </w14:solidFill>
          </w14:textFill>
        </w:rPr>
      </w:pPr>
    </w:p>
    <w:p>
      <w:pPr>
        <w:pStyle w:val="31"/>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sectPr>
          <w:headerReference r:id="rId3" w:type="default"/>
          <w:pgSz w:w="11906" w:h="16838"/>
          <w:pgMar w:top="1440" w:right="1440" w:bottom="1440" w:left="1440" w:header="851" w:footer="992" w:gutter="0"/>
          <w:cols w:space="425" w:num="1"/>
          <w:docGrid w:type="linesAndChars" w:linePitch="312" w:charSpace="0"/>
        </w:sectPr>
      </w:pPr>
      <w:r>
        <w:rPr>
          <w:rFonts w:hint="eastAsia" w:ascii="宋体" w:hAnsi="宋体"/>
          <w:color w:val="000000" w:themeColor="text1"/>
          <w:sz w:val="24"/>
          <w:highlight w:val="none"/>
          <w14:textFill>
            <w14:solidFill>
              <w14:schemeClr w14:val="tx1"/>
            </w14:solidFill>
          </w14:textFill>
        </w:rPr>
        <w:t>------------------------------------------------------------------------</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招标人（章）：广州市增城区公共建设项目管理服务中心</w:t>
      </w:r>
    </w:p>
    <w:p>
      <w:pPr>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w:t>
      </w:r>
      <w:r>
        <w:rPr>
          <w:rFonts w:hint="eastAsia" w:ascii="宋体" w:hAnsi="宋体"/>
          <w:color w:val="000000" w:themeColor="text1"/>
          <w:sz w:val="24"/>
          <w:highlight w:val="none"/>
          <w:lang w:eastAsia="zh-CN"/>
          <w14:textFill>
            <w14:solidFill>
              <w14:schemeClr w14:val="tx1"/>
            </w14:solidFill>
          </w14:textFill>
        </w:rPr>
        <w:t>谢工</w:t>
      </w:r>
      <w:r>
        <w:rPr>
          <w:rFonts w:hint="eastAsia" w:ascii="宋体" w:hAnsi="宋体"/>
          <w:color w:val="000000" w:themeColor="text1"/>
          <w:sz w:val="24"/>
          <w:highlight w:val="none"/>
          <w:lang w:val="en-US" w:eastAsia="zh-CN"/>
          <w14:textFill>
            <w14:solidFill>
              <w14:schemeClr w14:val="tx1"/>
            </w14:solidFill>
          </w14:textFill>
        </w:rPr>
        <w:t xml:space="preserve">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地址：广州市增城区荔乡路81号13楼</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s="宋体"/>
          <w:color w:val="000000" w:themeColor="text1"/>
          <w:sz w:val="24"/>
          <w:highlight w:val="none"/>
          <w14:textFill>
            <w14:solidFill>
              <w14:schemeClr w14:val="tx1"/>
            </w14:solidFill>
          </w14:textFill>
        </w:rPr>
        <w:t>510000</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电话：020-62701974</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传真：020-62701974</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电子邮箱：</w:t>
      </w:r>
      <w:r>
        <w:rPr>
          <w:rFonts w:hint="eastAsia" w:ascii="宋体" w:hAnsi="宋体"/>
          <w:color w:val="000000" w:themeColor="text1"/>
          <w:sz w:val="24"/>
          <w:highlight w:val="none"/>
          <w:u w:val="single"/>
          <w14:textFill>
            <w14:solidFill>
              <w14:schemeClr w14:val="tx1"/>
            </w14:solidFill>
          </w14:textFill>
        </w:rPr>
        <w:t>/</w:t>
      </w: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400" w:lineRule="exact"/>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招标代理（章）：</w:t>
      </w:r>
      <w:r>
        <w:rPr>
          <w:rFonts w:hint="eastAsia" w:ascii="宋体" w:hAnsi="宋体"/>
          <w:color w:val="000000" w:themeColor="text1"/>
          <w:sz w:val="24"/>
          <w:highlight w:val="none"/>
          <w:lang w:eastAsia="zh-CN"/>
          <w14:textFill>
            <w14:solidFill>
              <w14:schemeClr w14:val="tx1"/>
            </w14:solidFill>
          </w14:textFill>
        </w:rPr>
        <w:t>广州建筑工程监理有限公司</w:t>
      </w:r>
      <w:r>
        <w:rPr>
          <w:rFonts w:hint="eastAsia" w:ascii="宋体" w:hAnsi="宋体"/>
          <w:color w:val="000000" w:themeColor="text1"/>
          <w:sz w:val="24"/>
          <w:highlight w:val="none"/>
          <w:lang w:val="en-US" w:eastAsia="zh-CN"/>
          <w14:textFill>
            <w14:solidFill>
              <w14:schemeClr w14:val="tx1"/>
            </w14:solidFill>
          </w14:textFill>
        </w:rPr>
        <w:t xml:space="preserve"> </w:t>
      </w:r>
    </w:p>
    <w:p>
      <w:pPr>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w:t>
      </w:r>
      <w:r>
        <w:rPr>
          <w:rFonts w:hint="eastAsia" w:ascii="宋体" w:hAnsi="宋体"/>
          <w:color w:val="000000" w:themeColor="text1"/>
          <w:sz w:val="24"/>
          <w:highlight w:val="none"/>
          <w:lang w:eastAsia="zh-CN"/>
          <w14:textFill>
            <w14:solidFill>
              <w14:schemeClr w14:val="tx1"/>
            </w14:solidFill>
          </w14:textFill>
        </w:rPr>
        <w:t>陆</w:t>
      </w:r>
      <w:r>
        <w:rPr>
          <w:rFonts w:hint="eastAsia" w:ascii="宋体" w:hAnsi="宋体"/>
          <w:color w:val="000000" w:themeColor="text1"/>
          <w:sz w:val="24"/>
          <w:highlight w:val="none"/>
          <w14:textFill>
            <w14:solidFill>
              <w14:schemeClr w14:val="tx1"/>
            </w14:solidFill>
          </w14:textFill>
        </w:rPr>
        <w:t>工</w:t>
      </w:r>
    </w:p>
    <w:p>
      <w:pPr>
        <w:spacing w:line="360" w:lineRule="auto"/>
        <w:ind w:left="720" w:hanging="720" w:hangingChars="3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地址：广州市越秀区</w:t>
      </w:r>
      <w:r>
        <w:rPr>
          <w:rFonts w:hint="eastAsia" w:ascii="宋体" w:hAnsi="宋体"/>
          <w:color w:val="000000" w:themeColor="text1"/>
          <w:sz w:val="24"/>
          <w:highlight w:val="none"/>
          <w:lang w:val="en-US" w:eastAsia="zh-CN"/>
          <w14:textFill>
            <w14:solidFill>
              <w14:schemeClr w14:val="tx1"/>
            </w14:solidFill>
          </w14:textFill>
        </w:rPr>
        <w:t xml:space="preserve">广卫路4号20楼 </w:t>
      </w:r>
    </w:p>
    <w:p>
      <w:pPr>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邮政编码：5100</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0 </w:t>
      </w:r>
    </w:p>
    <w:p>
      <w:pPr>
        <w:spacing w:line="360" w:lineRule="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14:textFill>
            <w14:solidFill>
              <w14:schemeClr w14:val="tx1"/>
            </w14:solidFill>
          </w14:textFill>
        </w:rPr>
        <w:t>020-</w:t>
      </w:r>
      <w:r>
        <w:rPr>
          <w:rFonts w:hint="eastAsia" w:ascii="宋体" w:hAnsi="宋体"/>
          <w:color w:val="000000" w:themeColor="text1"/>
          <w:sz w:val="24"/>
          <w:highlight w:val="none"/>
          <w:lang w:val="en-US" w:eastAsia="zh-CN"/>
          <w14:textFill>
            <w14:solidFill>
              <w14:schemeClr w14:val="tx1"/>
            </w14:solidFill>
          </w14:textFill>
        </w:rPr>
        <w:t>82627566</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电子邮箱：</w:t>
      </w:r>
      <w:r>
        <w:rPr>
          <w:rFonts w:hint="eastAsia" w:ascii="宋体" w:hAnsi="宋体"/>
          <w:color w:val="000000" w:themeColor="text1"/>
          <w:sz w:val="24"/>
          <w:highlight w:val="none"/>
          <w:u w:val="single"/>
          <w:lang w:val="en-US" w:eastAsia="zh-CN"/>
          <w14:textFill>
            <w14:solidFill>
              <w14:schemeClr w14:val="tx1"/>
            </w14:solidFill>
          </w14:textFill>
        </w:rPr>
        <w:t>gjjlns@126.com</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color w:val="000000" w:themeColor="text1"/>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招标文件修改申报表</w:t>
      </w:r>
    </w:p>
    <w:p>
      <w:pPr>
        <w:spacing w:line="360" w:lineRule="auto"/>
        <w:ind w:firstLine="48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广州市建设工程招标管理办公室网站（网址：</w:t>
      </w:r>
      <w:r>
        <w:rPr>
          <w:rFonts w:ascii="宋体" w:hAnsi="宋体"/>
          <w:color w:val="000000" w:themeColor="text1"/>
          <w:sz w:val="24"/>
          <w:highlight w:val="none"/>
          <w14:textFill>
            <w14:solidFill>
              <w14:schemeClr w14:val="tx1"/>
            </w14:solidFill>
          </w14:textFill>
        </w:rPr>
        <w:t>http://www.gzzbb.gz.cn</w:t>
      </w:r>
      <w:r>
        <w:rPr>
          <w:rFonts w:hint="eastAsia" w:ascii="宋体" w:hAnsi="宋体"/>
          <w:color w:val="000000" w:themeColor="text1"/>
          <w:sz w:val="24"/>
          <w:highlight w:val="none"/>
          <w14:textFill>
            <w14:solidFill>
              <w14:schemeClr w14:val="tx1"/>
            </w14:solidFill>
          </w14:textFill>
        </w:rPr>
        <w:t>）下载查阅。</w:t>
      </w:r>
    </w:p>
    <w:tbl>
      <w:tblPr>
        <w:tblStyle w:val="25"/>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57" w:type="dxa"/>
            <w:vAlign w:val="center"/>
          </w:tcPr>
          <w:p>
            <w:pPr>
              <w:spacing w:line="360" w:lineRule="auto"/>
              <w:jc w:val="center"/>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434" w:type="dxa"/>
            <w:vAlign w:val="center"/>
          </w:tcPr>
          <w:p>
            <w:pPr>
              <w:spacing w:line="360" w:lineRule="auto"/>
              <w:jc w:val="center"/>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章节、条目</w:t>
            </w:r>
          </w:p>
        </w:tc>
        <w:tc>
          <w:tcPr>
            <w:tcW w:w="2583" w:type="dxa"/>
            <w:vAlign w:val="center"/>
          </w:tcPr>
          <w:p>
            <w:pPr>
              <w:spacing w:line="360" w:lineRule="auto"/>
              <w:jc w:val="center"/>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范本原文</w:t>
            </w:r>
          </w:p>
        </w:tc>
        <w:tc>
          <w:tcPr>
            <w:tcW w:w="4742" w:type="dxa"/>
            <w:vAlign w:val="center"/>
          </w:tcPr>
          <w:p>
            <w:pPr>
              <w:spacing w:line="360" w:lineRule="auto"/>
              <w:jc w:val="center"/>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第一章</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招标公告</w:t>
            </w:r>
          </w:p>
        </w:tc>
        <w:tc>
          <w:tcPr>
            <w:tcW w:w="4742" w:type="dxa"/>
            <w:vAlign w:val="center"/>
          </w:tcPr>
          <w:p>
            <w:pPr>
              <w:tabs>
                <w:tab w:val="left" w:pos="0"/>
              </w:tabs>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asciiTheme="minorEastAsia" w:hAnsiTheme="minorEastAsia" w:eastAsiaTheme="minorEastAsia" w:cstheme="minorEastAsia"/>
                <w:color w:val="000000" w:themeColor="text1"/>
                <w:szCs w:val="21"/>
                <w:highlight w:val="none"/>
                <w14:textFill>
                  <w14:solidFill>
                    <w14:schemeClr w14:val="tx1"/>
                  </w14:solidFill>
                </w14:textFill>
              </w:rPr>
              <w:t>.2.1</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招标文件在招标管理机构备案。</w:t>
            </w:r>
          </w:p>
        </w:tc>
        <w:tc>
          <w:tcPr>
            <w:tcW w:w="4742" w:type="dxa"/>
            <w:vAlign w:val="center"/>
          </w:tcPr>
          <w:p>
            <w:pPr>
              <w:tabs>
                <w:tab w:val="left" w:pos="0"/>
              </w:tabs>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投标人自行对工程现场进行考察，在考察前需提前通知招标人，招标人不另行组织投标人进行现场考察。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2.3.2~2.3.5</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2.3.2  每个投标人参加现场考察的人数不宜超过3人，外国投标人代表应自带中文翻译。</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2.3.3  现场考察期间招标人将召开一次会议，接受投标人代表的提问。</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2.3.4 现场考察集合时间：。</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2.3.5 现场考察集合地点：。</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潜在投标人或者其他利害关系人对招标文件有异议的，应当在投标截止时间18日前提出。招标人应当自收到异议之日起3日内作出答复；作出答复前，应当暂停招标投标活动。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2.4.3</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"http://www.gzzb.gd.cn/t05wz/t0206zbdy/util/index_dyyz.jsp"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招标答疑</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2.4.4</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2.4.4投标人收到书面补充材料后，应该在首页上签名盖章，并立即传真给招标人或者代理机构，说明收到有关资料。</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澄清及补充材料一旦发出，视为各投标人已收到，请各投标人及时自行查询。投标人应及时在广州公共资源交易中心项目答疑纪要专区中查询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2.4.5</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ind w:left="210" w:hanging="210" w:hangingChars="1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新增：</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投标时间和地点</w:t>
            </w:r>
          </w:p>
        </w:tc>
        <w:tc>
          <w:tcPr>
            <w:tcW w:w="4742" w:type="dxa"/>
            <w:vAlign w:val="center"/>
          </w:tcPr>
          <w:p>
            <w:pPr>
              <w:ind w:left="210" w:leftChars="0" w:hanging="210" w:hangingChars="1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u w:val="single"/>
                <w14:textFill>
                  <w14:solidFill>
                    <w14:schemeClr w14:val="tx1"/>
                  </w14:solidFill>
                </w14:textFill>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10</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投标截止时间为年月日时分，投标地点为。</w:t>
            </w:r>
          </w:p>
        </w:tc>
        <w:tc>
          <w:tcPr>
            <w:tcW w:w="4742" w:type="dxa"/>
            <w:vAlign w:val="center"/>
          </w:tcPr>
          <w:p>
            <w:pPr>
              <w:ind w:left="210" w:hanging="210" w:hangingChars="100"/>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11</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2.6.2</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投标人应在投标截止时间前递交投标文件，逾期概不受理。</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numPr>
                <w:ilvl w:val="0"/>
                <w:numId w:val="0"/>
              </w:numPr>
              <w:ind w:leftChars="0"/>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12</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2.6.3</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投标人递交投标文件后应自行离开投标地点，不得逗留及影响他人递交投标文件。</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13</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2.6.4</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spacing w:line="36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新增：如按招标公告要求需要提交投标文件光盘（备用），备用光盘不得加密。如使用投标文件光盘（备用）时无法读取或导入的，则视为未提交投标文件。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14</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2.6.5</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15</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2.6.</w:t>
            </w:r>
            <w:r>
              <w:rPr>
                <w:rFonts w:asciiTheme="minorEastAsia" w:hAnsiTheme="minorEastAsia" w:eastAsiaTheme="minorEastAsia" w:cstheme="minorEastAsia"/>
                <w:color w:val="000000" w:themeColor="text1"/>
                <w:szCs w:val="21"/>
                <w:highlight w:val="none"/>
                <w14:textFill>
                  <w14:solidFill>
                    <w14:schemeClr w14:val="tx1"/>
                  </w14:solidFill>
                </w14:textFill>
              </w:rPr>
              <w:t>6</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spacing w:line="360" w:lineRule="exact"/>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增加：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投标截止时间自招标人（招标代理机构）从招标文件发布起始日计：备标时间不少于</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16</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投标文件编号</w:t>
            </w:r>
          </w:p>
        </w:tc>
        <w:tc>
          <w:tcPr>
            <w:tcW w:w="4742" w:type="dxa"/>
            <w:vAlign w:val="center"/>
          </w:tcPr>
          <w:p>
            <w:pPr>
              <w:spacing w:line="36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u w:val="single"/>
                <w14:textFill>
                  <w14:solidFill>
                    <w14:schemeClr w14:val="tx1"/>
                  </w14:solidFill>
                </w14:textFill>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17</w:t>
            </w:r>
          </w:p>
        </w:tc>
        <w:tc>
          <w:tcPr>
            <w:tcW w:w="1434" w:type="dxa"/>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p>
        </w:tc>
        <w:tc>
          <w:tcPr>
            <w:tcW w:w="2583" w:type="dxa"/>
            <w:vAlign w:val="center"/>
          </w:tcPr>
          <w:p>
            <w:pPr>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hint="eastAsia" w:ascii="宋体" w:hAnsi="宋体" w:cs="宋体"/>
                <w:b/>
                <w:color w:val="000000" w:themeColor="text1"/>
                <w:kern w:val="0"/>
                <w:szCs w:val="21"/>
                <w:highlight w:val="none"/>
                <w:u w:val="singl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8</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color w:val="000000" w:themeColor="text1"/>
                <w:kern w:val="2"/>
                <w:sz w:val="21"/>
                <w:szCs w:val="21"/>
                <w:highlight w:val="none"/>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2.7.3</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20</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2.7.4</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21</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asciiTheme="minorEastAsia" w:hAnsiTheme="minorEastAsia" w:eastAsiaTheme="minorEastAsia" w:cstheme="minorEastAsia"/>
                <w:color w:val="000000" w:themeColor="text1"/>
                <w:szCs w:val="21"/>
                <w:highlight w:val="none"/>
                <w14:textFill>
                  <w14:solidFill>
                    <w14:schemeClr w14:val="tx1"/>
                  </w14:solidFill>
                </w14:textFill>
              </w:rPr>
              <w:t>.8.1</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2.8.</w:t>
            </w:r>
            <w:r>
              <w:rPr>
                <w:rFonts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按招标文件规定获得补偿的投标文件，评标后不予退回。</w:t>
            </w:r>
          </w:p>
        </w:tc>
        <w:tc>
          <w:tcPr>
            <w:tcW w:w="4742" w:type="dxa"/>
            <w:vAlign w:val="center"/>
          </w:tcPr>
          <w:p>
            <w:pPr>
              <w:rPr>
                <w:rFonts w:hint="eastAsia" w:ascii="宋体" w:hAnsi="宋体" w:cs="宋体"/>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asciiTheme="minorEastAsia" w:hAnsiTheme="minorEastAsia" w:eastAsiaTheme="minorEastAsia" w:cstheme="minorEastAsia"/>
                <w:color w:val="000000" w:themeColor="text1"/>
                <w:szCs w:val="21"/>
                <w:highlight w:val="none"/>
                <w14:textFill>
                  <w14:solidFill>
                    <w14:schemeClr w14:val="tx1"/>
                  </w14:solidFill>
                </w14:textFill>
              </w:rPr>
              <w:t>.8.1</w:t>
            </w:r>
            <w:r>
              <w:rPr>
                <w:rFonts w:hint="eastAsia" w:ascii="宋体" w:hAnsi="宋体"/>
                <w:color w:val="000000" w:themeColor="text1"/>
                <w:highlight w:val="none"/>
                <w14:textFill>
                  <w14:solidFill>
                    <w14:schemeClr w14:val="tx1"/>
                  </w14:solidFill>
                </w14:textFill>
              </w:rPr>
              <w:t>修改：</w:t>
            </w:r>
            <w:r>
              <w:rPr>
                <w:rFonts w:hint="eastAsia" w:ascii="宋体" w:hAnsi="宋体"/>
                <w:color w:val="000000" w:themeColor="text1"/>
                <w:highlight w:val="none"/>
                <w:u w:val="single"/>
                <w14:textFill>
                  <w14:solidFill>
                    <w14:schemeClr w14:val="tx1"/>
                  </w14:solidFill>
                </w14:textFill>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2.8.2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2.9.2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24</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2.10.1</w:t>
            </w:r>
          </w:p>
        </w:tc>
        <w:tc>
          <w:tcPr>
            <w:tcW w:w="2583" w:type="dxa"/>
            <w:vAlign w:val="top"/>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修改：</w:t>
            </w:r>
            <w:r>
              <w:rPr>
                <w:rFonts w:hint="eastAsia" w:ascii="宋体" w:hAnsi="宋体"/>
                <w:color w:val="000000" w:themeColor="text1"/>
                <w:highlight w:val="none"/>
                <w:u w:val="single"/>
                <w14:textFill>
                  <w14:solidFill>
                    <w14:schemeClr w14:val="tx1"/>
                  </w14:solidFill>
                </w14:textFill>
              </w:rPr>
              <w:t>除特殊情况外，招标人有权在工程建设中根据需要对选定的实施方案进行调整和修改。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25</w:t>
            </w:r>
          </w:p>
        </w:tc>
        <w:tc>
          <w:tcPr>
            <w:tcW w:w="1434" w:type="dxa"/>
            <w:vAlign w:val="center"/>
          </w:tcPr>
          <w:p>
            <w:pPr>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w:t>
            </w:r>
          </w:p>
        </w:tc>
        <w:tc>
          <w:tcPr>
            <w:tcW w:w="2583" w:type="dxa"/>
            <w:vAlign w:val="top"/>
          </w:tcPr>
          <w:p>
            <w:pPr>
              <w:jc w:val="left"/>
              <w:rPr>
                <w:rFonts w:hint="eastAsia" w:ascii="宋体" w:hAnsi="宋体"/>
                <w:color w:val="000000" w:themeColor="text1"/>
                <w:highlight w:val="none"/>
                <w14:textFill>
                  <w14:solidFill>
                    <w14:schemeClr w14:val="tx1"/>
                  </w14:solidFill>
                </w14:textFill>
              </w:rPr>
            </w:pPr>
          </w:p>
        </w:tc>
        <w:tc>
          <w:tcPr>
            <w:tcW w:w="4742" w:type="dxa"/>
            <w:vAlign w:val="center"/>
          </w:tcPr>
          <w:p>
            <w:pPr>
              <w:jc w:val="left"/>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26</w:t>
            </w:r>
          </w:p>
        </w:tc>
        <w:tc>
          <w:tcPr>
            <w:tcW w:w="1434" w:type="dxa"/>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2.11.1</w:t>
            </w:r>
          </w:p>
        </w:tc>
        <w:tc>
          <w:tcPr>
            <w:tcW w:w="2583" w:type="dxa"/>
            <w:vAlign w:val="top"/>
          </w:tcPr>
          <w:p>
            <w:pPr>
              <w:jc w:val="left"/>
              <w:rPr>
                <w:rFonts w:hint="eastAsia" w:ascii="宋体" w:hAnsi="宋体"/>
                <w:color w:val="000000" w:themeColor="text1"/>
                <w:highlight w:val="none"/>
                <w14:textFill>
                  <w14:solidFill>
                    <w14:schemeClr w14:val="tx1"/>
                  </w14:solidFill>
                </w14:textFill>
              </w:rPr>
            </w:pP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提交投标文件光盘备用</w:t>
            </w:r>
          </w:p>
          <w:p>
            <w:pPr>
              <w:jc w:val="left"/>
              <w:rPr>
                <w:rFonts w:hint="eastAsia" w:ascii="宋体" w:hAnsi="宋体"/>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27</w:t>
            </w:r>
          </w:p>
        </w:tc>
        <w:tc>
          <w:tcPr>
            <w:tcW w:w="1434" w:type="dxa"/>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2.11.2</w:t>
            </w:r>
          </w:p>
        </w:tc>
        <w:tc>
          <w:tcPr>
            <w:tcW w:w="2583" w:type="dxa"/>
            <w:vAlign w:val="top"/>
          </w:tcPr>
          <w:p>
            <w:pPr>
              <w:jc w:val="left"/>
              <w:rPr>
                <w:rFonts w:hint="eastAsia" w:ascii="宋体" w:hAnsi="宋体"/>
                <w:color w:val="000000" w:themeColor="text1"/>
                <w:highlight w:val="none"/>
                <w14:textFill>
                  <w14:solidFill>
                    <w14:schemeClr w14:val="tx1"/>
                  </w14:solidFill>
                </w14:textFill>
              </w:rPr>
            </w:pPr>
          </w:p>
        </w:tc>
        <w:tc>
          <w:tcPr>
            <w:tcW w:w="4742" w:type="dxa"/>
            <w:vAlign w:val="center"/>
          </w:tcPr>
          <w:p>
            <w:pPr>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新增：</w:t>
            </w:r>
          </w:p>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28</w:t>
            </w:r>
          </w:p>
        </w:tc>
        <w:tc>
          <w:tcPr>
            <w:tcW w:w="1434" w:type="dxa"/>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2.11.2.1</w:t>
            </w:r>
          </w:p>
        </w:tc>
        <w:tc>
          <w:tcPr>
            <w:tcW w:w="2583" w:type="dxa"/>
            <w:vAlign w:val="top"/>
          </w:tcPr>
          <w:p>
            <w:pPr>
              <w:jc w:val="left"/>
              <w:rPr>
                <w:rFonts w:hint="eastAsia" w:ascii="宋体" w:hAnsi="宋体"/>
                <w:color w:val="000000" w:themeColor="text1"/>
                <w:highlight w:val="none"/>
                <w14:textFill>
                  <w14:solidFill>
                    <w14:schemeClr w14:val="tx1"/>
                  </w14:solidFill>
                </w14:textFill>
              </w:rPr>
            </w:pPr>
          </w:p>
        </w:tc>
        <w:tc>
          <w:tcPr>
            <w:tcW w:w="4742" w:type="dxa"/>
            <w:vAlign w:val="center"/>
          </w:tcPr>
          <w:p>
            <w:pPr>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新增：</w:t>
            </w:r>
          </w:p>
          <w:p>
            <w:pPr>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29</w:t>
            </w:r>
          </w:p>
        </w:tc>
        <w:tc>
          <w:tcPr>
            <w:tcW w:w="1434" w:type="dxa"/>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2.11.2.2</w:t>
            </w:r>
          </w:p>
        </w:tc>
        <w:tc>
          <w:tcPr>
            <w:tcW w:w="2583" w:type="dxa"/>
            <w:vAlign w:val="top"/>
          </w:tcPr>
          <w:p>
            <w:pPr>
              <w:jc w:val="left"/>
              <w:rPr>
                <w:rFonts w:hint="eastAsia" w:ascii="宋体" w:hAnsi="宋体"/>
                <w:color w:val="000000" w:themeColor="text1"/>
                <w:highlight w:val="none"/>
                <w14:textFill>
                  <w14:solidFill>
                    <w14:schemeClr w14:val="tx1"/>
                  </w14:solidFill>
                </w14:textFill>
              </w:rPr>
            </w:pPr>
          </w:p>
        </w:tc>
        <w:tc>
          <w:tcPr>
            <w:tcW w:w="4742" w:type="dxa"/>
            <w:vAlign w:val="center"/>
          </w:tcPr>
          <w:p>
            <w:pPr>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30</w:t>
            </w:r>
          </w:p>
        </w:tc>
        <w:tc>
          <w:tcPr>
            <w:tcW w:w="1434" w:type="dxa"/>
            <w:vAlign w:val="center"/>
          </w:tcPr>
          <w:p>
            <w:pPr>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2.11.2.3</w:t>
            </w:r>
          </w:p>
        </w:tc>
        <w:tc>
          <w:tcPr>
            <w:tcW w:w="2583" w:type="dxa"/>
            <w:vAlign w:val="top"/>
          </w:tcPr>
          <w:p>
            <w:pPr>
              <w:jc w:val="left"/>
              <w:rPr>
                <w:rFonts w:hint="eastAsia" w:ascii="宋体" w:hAnsi="宋体"/>
                <w:color w:val="000000" w:themeColor="text1"/>
                <w:highlight w:val="none"/>
                <w14:textFill>
                  <w14:solidFill>
                    <w14:schemeClr w14:val="tx1"/>
                  </w14:solidFill>
                </w14:textFill>
              </w:rPr>
            </w:pPr>
          </w:p>
        </w:tc>
        <w:tc>
          <w:tcPr>
            <w:tcW w:w="4742" w:type="dxa"/>
            <w:vAlign w:val="center"/>
          </w:tcPr>
          <w:p>
            <w:pPr>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31</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32</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3.1.3</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33</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3.1.6</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p>
            <w:pPr>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联合体</w:t>
            </w:r>
            <w:r>
              <w:rPr>
                <w:rFonts w:hint="eastAsia"/>
                <w:color w:val="000000" w:themeColor="text1"/>
                <w:highlight w:val="none"/>
                <w14:textFill>
                  <w14:solidFill>
                    <w14:schemeClr w14:val="tx1"/>
                  </w14:solidFill>
                </w14:textFill>
              </w:rPr>
              <w:t>投标时，法人证明及授权委托书由联合体主办方提供即可。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34</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r>
              <w:rPr>
                <w:rFonts w:asciiTheme="minorEastAsia" w:hAnsiTheme="minorEastAsia" w:eastAsiaTheme="minorEastAsia" w:cstheme="minorEastAsia"/>
                <w:color w:val="000000" w:themeColor="text1"/>
                <w:szCs w:val="21"/>
                <w:highlight w:val="none"/>
                <w14:textFill>
                  <w14:solidFill>
                    <w14:schemeClr w14:val="tx1"/>
                  </w14:solidFill>
                </w14:textFill>
              </w:rPr>
              <w:t>.1.7</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35</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3.2.1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（3）投标书（格式见附录7）及联合体共同投标协议（如果有）（格式见附录8）； 勘察设计费报价表（格式见附录）</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（3）投标书（格式见附录5）及联合体共同投标协议（如果有）（格式见附录6）</w:t>
            </w:r>
            <w:r>
              <w:rPr>
                <w:rFonts w:hint="eastAsia" w:ascii="宋体" w:hAnsi="宋体" w:cs="宋体"/>
                <w:color w:val="000000" w:themeColor="text1"/>
                <w:szCs w:val="21"/>
                <w:highlight w:val="none"/>
                <w14:textFill>
                  <w14:solidFill>
                    <w14:schemeClr w14:val="tx1"/>
                  </w14:solidFill>
                </w14:textFill>
              </w:rPr>
              <w:t>；勘察设计费报价表（格式见附录4）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本项资料要求投标人在“开标文件”和“商务文件”中同时提供，但评标委员会应根据“开标文件”中的“投标书”、联合体共同投标协议（如果有）、勘察察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36</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r>
              <w:rPr>
                <w:rFonts w:asciiTheme="minorEastAsia" w:hAnsiTheme="minorEastAsia" w:eastAsiaTheme="minorEastAsia" w:cstheme="minorEastAsia"/>
                <w:color w:val="000000" w:themeColor="text1"/>
                <w:szCs w:val="21"/>
                <w:highlight w:val="none"/>
                <w14:textFill>
                  <w14:solidFill>
                    <w14:schemeClr w14:val="tx1"/>
                  </w14:solidFill>
                </w14:textFill>
              </w:rPr>
              <w:t>2.1</w:t>
            </w:r>
          </w:p>
        </w:tc>
        <w:tc>
          <w:tcPr>
            <w:tcW w:w="2583" w:type="dxa"/>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（13）满足第一章第1.2条（资格审查合格条件）评审要求的资料。</w:t>
            </w:r>
          </w:p>
        </w:tc>
        <w:tc>
          <w:tcPr>
            <w:tcW w:w="4742" w:type="dxa"/>
            <w:vAlign w:val="center"/>
          </w:tcPr>
          <w:p>
            <w:pPr>
              <w:ind w:left="718" w:hanging="718" w:hangingChars="34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37</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3.2.2</w:t>
            </w:r>
          </w:p>
        </w:tc>
        <w:tc>
          <w:tcPr>
            <w:tcW w:w="2583" w:type="dxa"/>
            <w:vAlign w:val="center"/>
          </w:tcPr>
          <w:p>
            <w:pPr>
              <w:jc w:val="left"/>
              <w:rPr>
                <w:rFonts w:hint="eastAsia" w:ascii="宋体" w:hAns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商务投标文件的密封要求：投标人应确保投标文件密闭封装，外包装材料不应留有可在包封后添加或抽取投标文件的空隙。外面标注“项目名称”及“商务文件”字样。</w:t>
            </w:r>
          </w:p>
        </w:tc>
        <w:tc>
          <w:tcPr>
            <w:tcW w:w="4742" w:type="dxa"/>
            <w:vAlign w:val="center"/>
          </w:tcPr>
          <w:p>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38</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3.2.3</w:t>
            </w:r>
          </w:p>
        </w:tc>
        <w:tc>
          <w:tcPr>
            <w:tcW w:w="2583" w:type="dxa"/>
            <w:vAlign w:val="center"/>
          </w:tcPr>
          <w:p>
            <w:pPr>
              <w:jc w:val="left"/>
              <w:rPr>
                <w:rFonts w:hint="eastAsia"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接收投标文件时，如果包封上没有按上述规定密封或加写标志，招标人予以拒绝，并退还给投标人。</w:t>
            </w:r>
          </w:p>
        </w:tc>
        <w:tc>
          <w:tcPr>
            <w:tcW w:w="4742" w:type="dxa"/>
            <w:vAlign w:val="center"/>
          </w:tcPr>
          <w:p>
            <w:pPr>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39</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3.3.1</w:t>
            </w:r>
          </w:p>
        </w:tc>
        <w:tc>
          <w:tcPr>
            <w:tcW w:w="2583" w:type="dxa"/>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3.3.1 </w:t>
            </w:r>
            <w:r>
              <w:rPr>
                <w:rFonts w:hint="eastAsia" w:ascii="宋体" w:hAnsi="宋体" w:cs="宋体"/>
                <w:b/>
                <w:color w:val="000000" w:themeColor="text1"/>
                <w:szCs w:val="21"/>
                <w:highlight w:val="none"/>
                <w14:textFill>
                  <w14:solidFill>
                    <w14:schemeClr w14:val="tx1"/>
                  </w14:solidFill>
                </w14:textFill>
              </w:rPr>
              <w:t>技术文件由下列资料组成：</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 保密信封。</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 设计方案。</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 计算机文件。</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 展示图纸。</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w:t>
            </w:r>
          </w:p>
        </w:tc>
        <w:tc>
          <w:tcPr>
            <w:tcW w:w="4742" w:type="dxa"/>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3.3.1 </w:t>
            </w:r>
            <w:r>
              <w:rPr>
                <w:rFonts w:hint="eastAsia" w:ascii="宋体" w:hAnsi="宋体" w:cs="宋体"/>
                <w:b/>
                <w:color w:val="000000" w:themeColor="text1"/>
                <w:szCs w:val="21"/>
                <w:highlight w:val="none"/>
                <w14:textFill>
                  <w14:solidFill>
                    <w14:schemeClr w14:val="tx1"/>
                  </w14:solidFill>
                </w14:textFill>
              </w:rPr>
              <w:t>技术文件由下列资料组成：</w:t>
            </w:r>
          </w:p>
          <w:p>
            <w:pPr>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(a) 设计方案。</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40</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3.3.2</w:t>
            </w:r>
          </w:p>
        </w:tc>
        <w:tc>
          <w:tcPr>
            <w:tcW w:w="2583" w:type="dxa"/>
            <w:vAlign w:val="center"/>
          </w:tcPr>
          <w:p>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3.3.2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保密要求</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3.3.2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保密要求</w:t>
            </w:r>
          </w:p>
          <w:p>
            <w:pPr>
              <w:jc w:val="left"/>
              <w:rPr>
                <w:rFonts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41</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3.3.3</w:t>
            </w:r>
          </w:p>
        </w:tc>
        <w:tc>
          <w:tcPr>
            <w:tcW w:w="2583" w:type="dxa"/>
            <w:vAlign w:val="center"/>
          </w:tcPr>
          <w:p>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保密信封</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hint="eastAsia" w:hAnsi="宋体" w:cs="宋体"/>
                <w:b/>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（2）保密信封用不透明信封独立密封，外面标注“项目名称”及“保密信封”字样。</w:t>
            </w:r>
          </w:p>
        </w:tc>
        <w:tc>
          <w:tcPr>
            <w:tcW w:w="4742" w:type="dxa"/>
            <w:vAlign w:val="center"/>
          </w:tcPr>
          <w:p>
            <w:pPr>
              <w:spacing w:line="360" w:lineRule="auto"/>
              <w:jc w:val="left"/>
              <w:rPr>
                <w:rFonts w:hint="eastAsia" w:hAnsi="宋体"/>
                <w:b/>
                <w:color w:val="000000" w:themeColor="text1"/>
                <w:sz w:val="2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42</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3.3.4</w:t>
            </w:r>
          </w:p>
        </w:tc>
        <w:tc>
          <w:tcPr>
            <w:tcW w:w="2583" w:type="dxa"/>
            <w:vAlign w:val="center"/>
          </w:tcPr>
          <w:p>
            <w:pPr>
              <w:pStyle w:val="14"/>
              <w:ind w:firstLine="0" w:firstLineChars="0"/>
              <w:jc w:val="left"/>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（1）设计方案以A3(297mm×420mm) 规格编排装订成册  （含封面及封底建议不超过  页）。</w:t>
            </w:r>
          </w:p>
          <w:p>
            <w:pPr>
              <w:pStyle w:val="14"/>
              <w:ind w:firstLine="0" w:firstLineChars="0"/>
              <w:jc w:val="left"/>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w:t>
            </w:r>
          </w:p>
          <w:p>
            <w:pPr>
              <w:pStyle w:val="14"/>
              <w:ind w:firstLine="0" w:firstLineChars="0"/>
              <w:jc w:val="left"/>
              <w:rPr>
                <w:rFonts w:hint="eastAsia"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如本项目含勘察，则需增加如下内容：</w:t>
            </w:r>
          </w:p>
        </w:tc>
        <w:tc>
          <w:tcPr>
            <w:tcW w:w="4742" w:type="dxa"/>
            <w:vAlign w:val="center"/>
          </w:tcPr>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（1）设计方案文本文件内容：</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(a) 封面：写明项目名称、编制年月；</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(b) 目录。</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(c) 设计说明书（含本项目的难点、建议和工程创新）。</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(d) 投标人认为有必要提供的其他资料。</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（2）勘察部分内容：</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(a) 针对项目场地及工程性质采用的勘察方案及建议，本次勘察的重点、难点及建议。</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(b) 勘察工作流程和相应的工期进度计划。</w:t>
            </w:r>
            <w:r>
              <w:rPr>
                <w:rFonts w:hint="eastAsia" w:hAnsi="宋体"/>
                <w:bCs/>
                <w:color w:val="000000" w:themeColor="text1"/>
                <w:sz w:val="21"/>
                <w:szCs w:val="21"/>
                <w:highlight w:val="none"/>
                <w:u w:val="single"/>
                <w14:textFill>
                  <w14:solidFill>
                    <w14:schemeClr w14:val="tx1"/>
                  </w14:solidFill>
                </w14:textFill>
              </w:rPr>
              <w:tab/>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(c) 勘察报告综合评价深度，勘察成果文件内容目录。</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(d) 投标人掌握的勘察工作有关的法律法规、标准、规范一览表。</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(e) 需要建设单位配合的事项。</w:t>
            </w:r>
          </w:p>
          <w:p>
            <w:pPr>
              <w:pStyle w:val="14"/>
              <w:ind w:firstLine="0" w:firstLineChars="0"/>
              <w:rPr>
                <w:rFonts w:hAnsi="宋体"/>
                <w:bCs/>
                <w:color w:val="000000" w:themeColor="text1"/>
                <w:sz w:val="21"/>
                <w:szCs w:val="21"/>
                <w:highlight w:val="none"/>
                <w:u w:val="singl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 xml:space="preserve"> (f) 投标人参与施工验槽，解决工程设计和施工中与勘察工作有关问题的服务承诺、响应时间。</w:t>
            </w:r>
          </w:p>
          <w:p>
            <w:pPr>
              <w:pStyle w:val="14"/>
              <w:ind w:firstLine="420" w:firstLineChars="0"/>
              <w:rPr>
                <w:rFonts w:hint="eastAsia" w:hAnsi="宋体"/>
                <w:b/>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u w:val="single"/>
                <w14:textFill>
                  <w14:solidFill>
                    <w14:schemeClr w14:val="tx1"/>
                  </w14:solidFill>
                </w14:textFill>
              </w:rPr>
              <w:t>注：技术文件文件大小不宜超过500M。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43</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3.3.5</w:t>
            </w:r>
          </w:p>
        </w:tc>
        <w:tc>
          <w:tcPr>
            <w:tcW w:w="2583" w:type="dxa"/>
            <w:vAlign w:val="center"/>
          </w:tcPr>
          <w:p>
            <w:pPr>
              <w:jc w:val="left"/>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3.3.5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计算机文件</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（1）计算机文件包括内容：</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 一张用于识别投标方案的JPG格式的图型文件。</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(b) 一套PDF格式或PPT格式制作的电子版文本文件。</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(c) 一套WORD格式的电子版文本文件。</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(d) 一套AutoCAD格式的设计图形文件。</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3.3.5 投标文件光盘（备用）</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44</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3.3.6</w:t>
            </w:r>
          </w:p>
        </w:tc>
        <w:tc>
          <w:tcPr>
            <w:tcW w:w="2583" w:type="dxa"/>
            <w:vAlign w:val="center"/>
          </w:tcPr>
          <w:p>
            <w:pPr>
              <w:spacing w:line="360" w:lineRule="auto"/>
              <w:jc w:val="left"/>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3.3.6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展示图纸</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3.3.6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展示图纸</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不单独提供展示图，所有展示图编入投标文件。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45</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3.4.1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46</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3.5</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4742" w:type="dxa"/>
            <w:vAlign w:val="center"/>
          </w:tcPr>
          <w:p>
            <w:pPr>
              <w:jc w:val="left"/>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u w:val="single"/>
                <w14:textFill>
                  <w14:solidFill>
                    <w14:schemeClr w14:val="tx1"/>
                  </w14:solidFill>
                </w14:textFill>
              </w:rPr>
              <w:t>3.5开标文件编制要求</w:t>
            </w:r>
          </w:p>
          <w:p>
            <w:pPr>
              <w:jc w:val="left"/>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3.5.1开标文件由下列资料组成：</w:t>
            </w:r>
          </w:p>
          <w:p>
            <w:pPr>
              <w:jc w:val="left"/>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（1）《投标书》（格式见附录</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，填妥并签名盖章）。</w:t>
            </w:r>
          </w:p>
          <w:p>
            <w:pPr>
              <w:jc w:val="left"/>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（2）《联合体共同投标协议》(如有）（格式见附录</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，联合体投标时递交，填妥并由联合体各方共同签名盖章）。</w:t>
            </w:r>
          </w:p>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（3）勘察设计费报价表（格式见附录</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47</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4.1.1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投标人有下列情况之一的，招标人将拒绝接收投标人的投标文件：</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 在投标截止期后逾期或未在指定地点递交投标文件的。</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(b) 投标文件未按招标文件要求密封的。</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(c) 项目负责人未携本人身份证原件准时出席收标会或未按要求签到的。</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投标人有下列情况之一的，招标人将拒绝接收投标人的投标文件或者投标文件光盘：</w:t>
            </w:r>
          </w:p>
          <w:p>
            <w:pPr>
              <w:jc w:val="left"/>
              <w:rPr>
                <w:rFonts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(a) 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48</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4.1.2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（b）</w:t>
            </w:r>
            <w:r>
              <w:rPr>
                <w:rFonts w:hint="eastAsia" w:ascii="宋体" w:hAnsi="宋体"/>
                <w:color w:val="000000" w:themeColor="text1"/>
                <w:szCs w:val="21"/>
                <w:highlight w:val="none"/>
                <w14:textFill>
                  <w14:solidFill>
                    <w14:schemeClr w14:val="tx1"/>
                  </w14:solidFill>
                </w14:textFill>
              </w:rPr>
              <w:t>商务文件封面未盖投标人公章</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49</w:t>
            </w:r>
          </w:p>
        </w:tc>
        <w:tc>
          <w:tcPr>
            <w:tcW w:w="1434" w:type="dxa"/>
            <w:vAlign w:val="center"/>
          </w:tcPr>
          <w:p>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4.1.2</w:t>
            </w:r>
          </w:p>
        </w:tc>
        <w:tc>
          <w:tcPr>
            <w:tcW w:w="2583" w:type="dxa"/>
            <w:vAlign w:val="center"/>
          </w:tcPr>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（i）未按照招标文件要求提交投标保证金的。</w:t>
            </w:r>
          </w:p>
        </w:tc>
        <w:tc>
          <w:tcPr>
            <w:tcW w:w="4742" w:type="dxa"/>
            <w:vAlign w:val="center"/>
          </w:tcPr>
          <w:p>
            <w:pPr>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50</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4.1.3</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投标人在设计方案内标注名称、印章、商标</w:t>
            </w:r>
            <w:r>
              <w:rPr>
                <w:rFonts w:hint="eastAsia" w:ascii="宋体" w:hAnsi="宋体" w:cs="宋体"/>
                <w:color w:val="000000" w:themeColor="text1"/>
                <w:szCs w:val="21"/>
                <w:highlight w:val="none"/>
                <w:u w:val="single"/>
                <w14:textFill>
                  <w14:solidFill>
                    <w14:schemeClr w14:val="tx1"/>
                  </w14:solidFill>
                </w14:textFill>
              </w:rPr>
              <w:t>、图形</w:t>
            </w:r>
            <w:r>
              <w:rPr>
                <w:rFonts w:hint="eastAsia" w:ascii="宋体" w:hAnsi="宋体"/>
                <w:color w:val="000000" w:themeColor="text1"/>
                <w:szCs w:val="21"/>
                <w:highlight w:val="none"/>
                <w14:textFill>
                  <w14:solidFill>
                    <w14:schemeClr w14:val="tx1"/>
                  </w14:solidFill>
                </w14:textFill>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51</w:t>
            </w:r>
          </w:p>
        </w:tc>
        <w:tc>
          <w:tcPr>
            <w:tcW w:w="143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5.1.1评标委员会由广州建设工程交易中心专家库随机抽取的专家名和业主代表名组成，共名。</w:t>
            </w:r>
          </w:p>
        </w:tc>
        <w:tc>
          <w:tcPr>
            <w:tcW w:w="4742" w:type="dxa"/>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52</w:t>
            </w:r>
          </w:p>
        </w:tc>
        <w:tc>
          <w:tcPr>
            <w:tcW w:w="143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5.2.5</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53</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5.3</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5.3评标办法 采用</w:t>
            </w:r>
          </w:p>
        </w:tc>
        <w:tc>
          <w:tcPr>
            <w:tcW w:w="4742" w:type="dxa"/>
            <w:vAlign w:val="center"/>
          </w:tcPr>
          <w:p>
            <w:pPr>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评标办法 采用</w:t>
            </w:r>
            <w:r>
              <w:rPr>
                <w:rFonts w:hint="eastAsia" w:ascii="宋体" w:hAnsi="宋体" w:cs="宋体"/>
                <w:b/>
                <w:bCs/>
                <w:color w:val="000000" w:themeColor="text1"/>
                <w:szCs w:val="21"/>
                <w:highlight w:val="none"/>
                <w:u w:val="single"/>
                <w14:textFill>
                  <w14:solidFill>
                    <w14:schemeClr w14:val="tx1"/>
                  </w14:solidFill>
                </w14:textFill>
              </w:rPr>
              <w:t>办法一</w:t>
            </w:r>
          </w:p>
          <w:p>
            <w:pPr>
              <w:pStyle w:val="3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办法一   采用综合评分法评标</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开标评标程序</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.3.1.1</w:t>
            </w:r>
            <w:r>
              <w:rPr>
                <w:rFonts w:hint="eastAsia"/>
                <w:color w:val="000000" w:themeColor="text1"/>
                <w:highlight w:val="none"/>
                <w14:textFill>
                  <w14:solidFill>
                    <w14:schemeClr w14:val="tx1"/>
                  </w14:solidFill>
                </w14:textFill>
              </w:rPr>
              <w:t>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.2.截标后，开标开始时间因故推迟的，相关评标信息仍以原定的开标开始时间的信息为准。</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.3备用光盘的读取按2.11.2的规定执行。</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.6参加现场开标的投标人对开标结果有异议的，应当在开标现场提出，招标人应当当场作出答复，并制作记录。</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.8投标人未参加开标或在规定的时间内未提出异议的，视为对开标无异议。</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.9开标时，两个（含两个）以上的投标人加密打包投标文件电脑机器特征码一致的，由评标委员会确定其为废标。</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.11开标时，出现下列情形之一的投标人，不参与下一程序，其投标文件作无效处理：</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（1）未成功递交或因投标人原因未成功导入投标文件的；</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（2）因投标人原因造成投标文件未解密的。</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 xml:space="preserve">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）。评委必须严格按照“综合评分表”对投标文件进行评议、打分。</w:t>
            </w:r>
          </w:p>
          <w:p>
            <w:pPr>
              <w:pStyle w:val="24"/>
              <w:ind w:left="0" w:leftChars="0"/>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(a) 评标委员会专家首先按附录1</w:t>
            </w:r>
            <w:r>
              <w:rPr>
                <w:rFonts w:hint="eastAsia" w:hAnsi="Times New Roman" w:cs="Times New Roman"/>
                <w:color w:val="000000" w:themeColor="text1"/>
                <w:highlight w:val="none"/>
                <w:lang w:val="en-US" w:eastAsia="zh-CN"/>
                <w14:textFill>
                  <w14:solidFill>
                    <w14:schemeClr w14:val="tx1"/>
                  </w14:solidFill>
                </w14:textFill>
              </w:rPr>
              <w:t>0</w:t>
            </w:r>
            <w:r>
              <w:rPr>
                <w:rFonts w:hint="eastAsia" w:hAnsi="Times New Roman" w:cs="Times New Roman"/>
                <w:color w:val="000000" w:themeColor="text1"/>
                <w:highlight w:val="none"/>
                <w14:textFill>
                  <w14:solidFill>
                    <w14:schemeClr w14:val="tx1"/>
                  </w14:solidFill>
                </w14:textFill>
              </w:rPr>
              <w:t>《资格审查表》对各投标文件进行评审，只有通过资格审查的投标文件方可进入下一阶段的评审。如果有废标提议，则评标委员会成员共同表决，按照少数服从多数的原则决定是否废标。</w:t>
            </w:r>
          </w:p>
          <w:p>
            <w:pPr>
              <w:pStyle w:val="24"/>
              <w:ind w:left="0" w:leftChars="0"/>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(b) 评标委员会专家首先按附录1</w:t>
            </w:r>
            <w:r>
              <w:rPr>
                <w:rFonts w:hint="eastAsia" w:hAnsi="Times New Roman" w:cs="Times New Roman"/>
                <w:color w:val="000000" w:themeColor="text1"/>
                <w:highlight w:val="none"/>
                <w:lang w:val="en-US" w:eastAsia="zh-CN"/>
                <w14:textFill>
                  <w14:solidFill>
                    <w14:schemeClr w14:val="tx1"/>
                  </w14:solidFill>
                </w14:textFill>
              </w:rPr>
              <w:t>1</w:t>
            </w:r>
            <w:r>
              <w:rPr>
                <w:rFonts w:hint="eastAsia" w:hAnsi="Times New Roman" w:cs="Times New Roman"/>
                <w:color w:val="000000" w:themeColor="text1"/>
                <w:highlight w:val="none"/>
                <w14:textFill>
                  <w14:solidFill>
                    <w14:schemeClr w14:val="tx1"/>
                  </w14:solidFill>
                </w14:textFill>
              </w:rPr>
              <w:t>《商务文件有效性审查表》对各投标文件进行评审，只有通过商务有效性审查的投标文件方可进入下一阶段的评审。如果有废标提议，则评标委员会成员共同表决，按照少数服从多数的原则决定是否废标。</w:t>
            </w:r>
          </w:p>
          <w:p>
            <w:pPr>
              <w:pStyle w:val="24"/>
              <w:ind w:left="0" w:leftChars="0"/>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(c) 评标委员会专家按附录1</w:t>
            </w:r>
            <w:r>
              <w:rPr>
                <w:rFonts w:hint="eastAsia" w:hAnsi="Times New Roman" w:cs="Times New Roman"/>
                <w:color w:val="000000" w:themeColor="text1"/>
                <w:highlight w:val="none"/>
                <w:lang w:val="en-US" w:eastAsia="zh-CN"/>
                <w14:textFill>
                  <w14:solidFill>
                    <w14:schemeClr w14:val="tx1"/>
                  </w14:solidFill>
                </w14:textFill>
              </w:rPr>
              <w:t>2</w:t>
            </w:r>
            <w:r>
              <w:rPr>
                <w:rFonts w:hint="eastAsia" w:hAnsi="Times New Roman" w:cs="Times New Roman"/>
                <w:color w:val="000000" w:themeColor="text1"/>
                <w:highlight w:val="none"/>
                <w14:textFill>
                  <w14:solidFill>
                    <w14:schemeClr w14:val="tx1"/>
                  </w14:solidFill>
                </w14:textFill>
              </w:rPr>
              <w:t>《商务文件综合评分表》对各投标单位的商务文件进行综合评分。</w:t>
            </w:r>
          </w:p>
          <w:p>
            <w:pPr>
              <w:pStyle w:val="24"/>
              <w:ind w:left="0" w:leftChars="0"/>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(d) 评标委员会专家按附录1</w:t>
            </w:r>
            <w:r>
              <w:rPr>
                <w:rFonts w:hint="eastAsia" w:hAnsi="Times New Roman" w:cs="Times New Roman"/>
                <w:color w:val="000000" w:themeColor="text1"/>
                <w:highlight w:val="none"/>
                <w:lang w:val="en-US" w:eastAsia="zh-CN"/>
                <w14:textFill>
                  <w14:solidFill>
                    <w14:schemeClr w14:val="tx1"/>
                  </w14:solidFill>
                </w14:textFill>
              </w:rPr>
              <w:t>3</w:t>
            </w:r>
            <w:r>
              <w:rPr>
                <w:rFonts w:hint="eastAsia" w:hAnsi="Times New Roman" w:cs="Times New Roman"/>
                <w:color w:val="000000" w:themeColor="text1"/>
                <w:highlight w:val="none"/>
                <w14:textFill>
                  <w14:solidFill>
                    <w14:schemeClr w14:val="tx1"/>
                  </w14:solidFill>
                </w14:textFill>
              </w:rPr>
              <w:t>《技术文件有效性审查表》对各投标文件进行评审，只有通过技术有效性审查的投标文件方可进入下一阶段的评审。如果有废标提议，则评标委员会成员共同表决，按照少数服从多数的原则决定是否废标。</w:t>
            </w:r>
          </w:p>
          <w:p>
            <w:pPr>
              <w:pStyle w:val="24"/>
              <w:ind w:left="0" w:leftChars="0"/>
              <w:rPr>
                <w:rFonts w:hint="eastAsia" w:hAnsi="Times New Roman" w:cs="Times New Roman"/>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(e) 评标委员会专家按附录1</w:t>
            </w:r>
            <w:r>
              <w:rPr>
                <w:rFonts w:hint="eastAsia" w:hAnsi="Times New Roman" w:cs="Times New Roman"/>
                <w:color w:val="000000" w:themeColor="text1"/>
                <w:highlight w:val="none"/>
                <w:lang w:val="en-US" w:eastAsia="zh-CN"/>
                <w14:textFill>
                  <w14:solidFill>
                    <w14:schemeClr w14:val="tx1"/>
                  </w14:solidFill>
                </w14:textFill>
              </w:rPr>
              <w:t>4</w:t>
            </w:r>
            <w:r>
              <w:rPr>
                <w:rFonts w:hint="eastAsia" w:hAnsi="Times New Roman" w:cs="Times New Roman"/>
                <w:color w:val="000000" w:themeColor="text1"/>
                <w:highlight w:val="none"/>
                <w14:textFill>
                  <w14:solidFill>
                    <w14:schemeClr w14:val="tx1"/>
                  </w14:solidFill>
                </w14:textFill>
              </w:rPr>
              <w:t>《技术文件综合评分表》对各投标单位的技术文件（设计方案）进行综合评分。</w:t>
            </w:r>
          </w:p>
          <w:p>
            <w:pPr>
              <w:pStyle w:val="24"/>
              <w:ind w:left="0" w:leftChars="0"/>
              <w:rPr>
                <w:color w:val="000000" w:themeColor="text1"/>
                <w:highlight w:val="none"/>
                <w14:textFill>
                  <w14:solidFill>
                    <w14:schemeClr w14:val="tx1"/>
                  </w14:solidFill>
                </w14:textFill>
              </w:rPr>
            </w:pPr>
            <w:r>
              <w:rPr>
                <w:rFonts w:hint="eastAsia" w:hAnsi="Times New Roman" w:cs="Times New Roman"/>
                <w:color w:val="000000" w:themeColor="text1"/>
                <w:highlight w:val="none"/>
                <w14:textFill>
                  <w14:solidFill>
                    <w14:schemeClr w14:val="tx1"/>
                  </w14:solidFill>
                </w14:textFill>
              </w:rPr>
              <w:t>(f) 评标委员会专家评出各投标人商务和技术文件的分数，去掉一个最高分和一个最低分后计取算术平均分，得出</w:t>
            </w:r>
            <w:r>
              <w:rPr>
                <w:rFonts w:hint="eastAsia"/>
                <w:color w:val="000000" w:themeColor="text1"/>
                <w:highlight w:val="none"/>
                <w14:textFill>
                  <w14:solidFill>
                    <w14:schemeClr w14:val="tx1"/>
                  </w14:solidFill>
                </w14:textFill>
              </w:rPr>
              <w:t>每个投标人商务和技术文件的得分，分数出现小数点，保留小数点后二位，第三位小数四舍五入。</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 广州公共资源交易中心电子评标系统自动揭晓技术文件的暗标编码，列出各编码技术文件所对应的投标人。</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(h) 计算各投标人的综合得分，投标人的综合得分（满分100分）＝商务文件得分×30％（招标人确定）+技术文件得分×70％</w:t>
            </w:r>
          </w:p>
          <w:p>
            <w:pPr>
              <w:pStyle w:val="24"/>
              <w:ind w:left="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(k ) 评标委员会向招标人提交评标报告后即告解散，评标过程中使用的文件、表格以及其他资料应当即时归还招标人（或招标代理机构）。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54</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5.3</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办法二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采用投票法评标</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55</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5.4.2</w:t>
            </w:r>
          </w:p>
        </w:tc>
        <w:tc>
          <w:tcPr>
            <w:tcW w:w="2583" w:type="dxa"/>
            <w:vAlign w:val="center"/>
          </w:tcPr>
          <w:p>
            <w:pPr>
              <w:spacing w:line="40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5.4.2  招标人采用下面方法确定中标人：</w:t>
            </w:r>
          </w:p>
          <w:p>
            <w:pPr>
              <w:spacing w:line="400" w:lineRule="exact"/>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□（a）招标人委托评标委员会直接确定中标人；</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5.4.2  招标人采用下面方法确定中标人：</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□（a）招标人委托评标委员会直接确定中标人；</w:t>
            </w:r>
          </w:p>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56</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5.5（a）</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 递交投标文件或通过资格审查的投标人不足五人；</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(a) 递交投标文件或通过资格审查的投标人不足</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57</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附录4</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勘察设计费报价表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58</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附录5</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投标书</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59</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附录7</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投标人已完成项目情况</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60</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附录10</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资格审查表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61</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附录11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商务文件有效性审查表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62</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附录12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商务文件综合评分表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63</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附录13</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技术文件有效性审查表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64</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附录11</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技术文件综合评分表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65</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附录12</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市政工程设计方案评审记录表</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66</w:t>
            </w:r>
          </w:p>
        </w:tc>
        <w:tc>
          <w:tcPr>
            <w:tcW w:w="1434" w:type="dxa"/>
            <w:vAlign w:val="center"/>
          </w:tcPr>
          <w:p>
            <w:pPr>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附录15</w:t>
            </w:r>
          </w:p>
        </w:tc>
        <w:tc>
          <w:tcPr>
            <w:tcW w:w="2583"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基础资料和设计任务书</w:t>
            </w:r>
          </w:p>
        </w:tc>
        <w:tc>
          <w:tcPr>
            <w:tcW w:w="4742" w:type="dxa"/>
            <w:vAlign w:val="center"/>
          </w:tcPr>
          <w:p>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修改</w:t>
            </w:r>
          </w:p>
        </w:tc>
      </w:tr>
    </w:tbl>
    <w:p>
      <w:pPr>
        <w:rPr>
          <w:rFonts w:ascii="宋体" w:hAnsi="宋体"/>
          <w:color w:val="000000" w:themeColor="text1"/>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32"/>
          <w:highlight w:val="none"/>
          <w14:textFill>
            <w14:solidFill>
              <w14:schemeClr w14:val="tx1"/>
            </w14:solidFill>
          </w14:textFill>
        </w:rPr>
        <w:t>目  录</w:t>
      </w:r>
    </w:p>
    <w:p>
      <w:pPr>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第一章  招标公告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第二章  招标说明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第三章  投标文件编制要求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第四章  废标条款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第五章  开标评标定标  ┈┈┈┈┈┈┈┈┈┈┈┈┈┈┈┈┈┈┈┈┈┈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第六章  合同主要条款  ┈┈┈┈┈┈┈┈┈┈┈┈┈┈┈┈┈┈┈┈┈┈┈</w:t>
      </w: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附录1  投标申请表（申请人、资质、机构简介）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附录2  投标申请表（投标人的业绩）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附录3  投标申请表（关键人员配备）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附录4  勘察设计费报价表┈┈┈┈┈┈┈┈┈┈┈┈┈┈┈┈┈┈┈┈┈┈</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附录5  投标书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附录6  联合体共同投标协议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附录7  投标人已完成项目情况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附录8 本项目拟投入的人员基本情况表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附录9 投标文件接收记录表格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附录10 资格审查表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附录11 商务文件有效性审查表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附录12 商务文件综合评分表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附录13 技术文件有效性审查表  ┈┈┈┈┈┈┈┈┈┈┈┈┈┈┈┈┈┈┈</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附录14 技术文件综合评分表  ┈┈┈┈┈┈┈┈┈┈┈┈┈┈┈┈┈┈┈┈</w:t>
      </w: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附录15 基础资料和设计任务书  ┈┈┈┈┈┈┈┈┈┈┈┈┈┈┈┈┈┈┈</w:t>
      </w:r>
    </w:p>
    <w:p>
      <w:pPr>
        <w:jc w:val="center"/>
        <w:rPr>
          <w:rFonts w:ascii="宋体" w:hAnsi="宋体"/>
          <w:b/>
          <w:color w:val="000000" w:themeColor="text1"/>
          <w:sz w:val="36"/>
          <w:szCs w:val="36"/>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36"/>
          <w:szCs w:val="36"/>
          <w:highlight w:val="none"/>
          <w14:textFill>
            <w14:solidFill>
              <w14:schemeClr w14:val="tx1"/>
            </w14:solidFill>
          </w14:textFill>
        </w:rPr>
        <w:t>第一章  招标公告</w:t>
      </w:r>
    </w:p>
    <w:p>
      <w:pPr>
        <w:spacing w:line="40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详见招标公告。</w:t>
      </w:r>
    </w:p>
    <w:p>
      <w:pPr>
        <w:widowControl/>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第二章  招标说明</w:t>
      </w:r>
    </w:p>
    <w:p>
      <w:pPr>
        <w:spacing w:line="400" w:lineRule="exact"/>
        <w:ind w:left="824" w:hanging="820" w:hangingChars="342"/>
        <w:rPr>
          <w:rFonts w:ascii="宋体" w:hAnsi="宋体"/>
          <w:b/>
          <w:color w:val="000000" w:themeColor="text1"/>
          <w:sz w:val="24"/>
          <w:highlight w:val="none"/>
          <w14:textFill>
            <w14:solidFill>
              <w14:schemeClr w14:val="tx1"/>
            </w14:solidFill>
          </w14:textFill>
        </w:rPr>
      </w:pPr>
    </w:p>
    <w:p>
      <w:pPr>
        <w:spacing w:line="400" w:lineRule="exact"/>
        <w:jc w:val="left"/>
        <w:rPr>
          <w:rFonts w:ascii="宋体" w:hAnsi="宋体"/>
          <w:b/>
          <w:bCs/>
          <w:color w:val="000000" w:themeColor="text1"/>
          <w:sz w:val="24"/>
          <w:highlight w:val="none"/>
          <w14:textFill>
            <w14:solidFill>
              <w14:schemeClr w14:val="tx1"/>
            </w14:solidFill>
          </w14:textFill>
        </w:rPr>
      </w:pPr>
    </w:p>
    <w:p>
      <w:pPr>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2.1    免责条款</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2.1.3  招标人向投标人提供的资料和数据，是招标人现有的能使投标人利用的资料，招标人对投标人由此而作出的推论、理解和结论概不负责。</w:t>
      </w:r>
    </w:p>
    <w:p>
      <w:pPr>
        <w:pStyle w:val="15"/>
        <w:spacing w:line="400" w:lineRule="exact"/>
        <w:ind w:left="821" w:hanging="820" w:hangingChars="342"/>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2.1.5  </w:t>
      </w:r>
      <w:r>
        <w:rPr>
          <w:rFonts w:hint="eastAsia" w:hAnsi="宋体"/>
          <w:color w:val="000000" w:themeColor="text1"/>
          <w:sz w:val="24"/>
          <w:highlight w:val="none"/>
          <w14:textFill>
            <w14:solidFill>
              <w14:schemeClr w14:val="tx1"/>
            </w14:solidFill>
          </w14:textFill>
        </w:rPr>
        <w:t>招标人（或招标代理机构）对投标人的失误不负任何责任，</w:t>
      </w:r>
      <w:r>
        <w:rPr>
          <w:rFonts w:hint="eastAsia" w:ascii="宋体" w:hAnsi="宋体"/>
          <w:color w:val="000000" w:themeColor="text1"/>
          <w:sz w:val="24"/>
          <w:highlight w:val="none"/>
          <w14:textFill>
            <w14:solidFill>
              <w14:schemeClr w14:val="tx1"/>
            </w14:solidFill>
          </w14:textFill>
        </w:rPr>
        <w:t>投标人应指定一名投标事务负责人，专门负责跟踪、接收、阅读和理解招标文件及随后收到的有关资料，向招标人</w:t>
      </w:r>
      <w:r>
        <w:rPr>
          <w:rFonts w:hint="eastAsia" w:hAnsi="宋体"/>
          <w:color w:val="000000" w:themeColor="text1"/>
          <w:sz w:val="24"/>
          <w:highlight w:val="none"/>
          <w14:textFill>
            <w14:solidFill>
              <w14:schemeClr w14:val="tx1"/>
            </w14:solidFill>
          </w14:textFill>
        </w:rPr>
        <w:t>（或招标代理机构）</w:t>
      </w:r>
      <w:r>
        <w:rPr>
          <w:rFonts w:hint="eastAsia" w:ascii="宋体" w:hAnsi="宋体"/>
          <w:color w:val="000000" w:themeColor="text1"/>
          <w:sz w:val="24"/>
          <w:highlight w:val="none"/>
          <w14:textFill>
            <w14:solidFill>
              <w14:schemeClr w14:val="tx1"/>
            </w14:solidFill>
          </w14:textFill>
        </w:rPr>
        <w:t>发出质疑，检查投标文件，协助有关人员尽力克服各种投标失误。</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2.1.6  评标委员会成员</w:t>
      </w:r>
      <w:r>
        <w:rPr>
          <w:rFonts w:hint="eastAsia" w:hAnsi="宋体"/>
          <w:color w:val="000000" w:themeColor="text1"/>
          <w:sz w:val="24"/>
          <w:highlight w:val="none"/>
          <w14:textFill>
            <w14:solidFill>
              <w14:schemeClr w14:val="tx1"/>
            </w14:solidFill>
          </w14:textFill>
        </w:rPr>
        <w:t>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000000" w:themeColor="text1"/>
          <w:sz w:val="24"/>
          <w:highlight w:val="none"/>
          <w14:textFill>
            <w14:solidFill>
              <w14:schemeClr w14:val="tx1"/>
            </w14:solidFill>
          </w14:textFill>
        </w:rPr>
      </w:pPr>
    </w:p>
    <w:p>
      <w:pPr>
        <w:spacing w:line="40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招标文件效力</w:t>
      </w:r>
    </w:p>
    <w:p>
      <w:pPr>
        <w:spacing w:line="400" w:lineRule="exact"/>
        <w:rPr>
          <w:rFonts w:ascii="宋体" w:hAnsi="宋体"/>
          <w:dstrike/>
          <w:color w:val="000000" w:themeColor="text1"/>
          <w:sz w:val="24"/>
          <w:highlight w:val="none"/>
          <w14:textFill>
            <w14:solidFill>
              <w14:schemeClr w14:val="tx1"/>
            </w14:solidFill>
          </w14:textFill>
        </w:rPr>
      </w:pPr>
      <w:r>
        <w:rPr>
          <w:rFonts w:hint="eastAsia" w:ascii="宋体" w:hAnsi="宋体"/>
          <w:dstrike/>
          <w:color w:val="000000" w:themeColor="text1"/>
          <w:sz w:val="24"/>
          <w:highlight w:val="none"/>
          <w14:textFill>
            <w14:solidFill>
              <w14:schemeClr w14:val="tx1"/>
            </w14:solidFill>
          </w14:textFill>
        </w:rPr>
        <w:t>2.2.1  招标文件在招标管理机构备案。</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2.2.2  招标文件是招标人发出的</w:t>
      </w:r>
      <w:r>
        <w:rPr>
          <w:rFonts w:ascii="宋体" w:hAnsi="宋体"/>
          <w:color w:val="000000" w:themeColor="text1"/>
          <w:sz w:val="24"/>
          <w:highlight w:val="none"/>
          <w14:textFill>
            <w14:solidFill>
              <w14:schemeClr w14:val="tx1"/>
            </w14:solidFill>
          </w14:textFill>
        </w:rPr>
        <w:t>要约</w:t>
      </w:r>
      <w:r>
        <w:rPr>
          <w:rFonts w:hint="eastAsia" w:ascii="宋体" w:hAnsi="宋体"/>
          <w:color w:val="000000" w:themeColor="text1"/>
          <w:sz w:val="24"/>
          <w:highlight w:val="none"/>
          <w14:textFill>
            <w14:solidFill>
              <w14:schemeClr w14:val="tx1"/>
            </w14:solidFill>
          </w14:textFill>
        </w:rPr>
        <w:t>邀请，投标人参加投标均视为承认招标公告、招标文件及附件的所有条款</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并承诺一旦中标将按招标文件、投标文件、合同条款、技术规范要求的质量和进度完成全部委托任务。</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2.2.3  招标人</w:t>
      </w:r>
      <w:r>
        <w:rPr>
          <w:rFonts w:hint="eastAsia" w:hAnsi="宋体"/>
          <w:color w:val="000000" w:themeColor="text1"/>
          <w:sz w:val="24"/>
          <w:highlight w:val="none"/>
          <w14:textFill>
            <w14:solidFill>
              <w14:schemeClr w14:val="tx1"/>
            </w14:solidFill>
          </w14:textFill>
        </w:rPr>
        <w:t>（或招标代理机构）</w:t>
      </w:r>
      <w:r>
        <w:rPr>
          <w:rFonts w:hint="eastAsia" w:ascii="宋体" w:hAnsi="宋体"/>
          <w:color w:val="000000" w:themeColor="text1"/>
          <w:sz w:val="24"/>
          <w:highlight w:val="none"/>
          <w14:textFill>
            <w14:solidFill>
              <w14:schemeClr w14:val="tx1"/>
            </w14:solidFill>
          </w14:textFill>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2.2.4  招标人</w:t>
      </w:r>
      <w:r>
        <w:rPr>
          <w:rFonts w:hint="eastAsia" w:hAnsi="宋体"/>
          <w:color w:val="000000" w:themeColor="text1"/>
          <w:sz w:val="24"/>
          <w:highlight w:val="none"/>
          <w14:textFill>
            <w14:solidFill>
              <w14:schemeClr w14:val="tx1"/>
            </w14:solidFill>
          </w14:textFill>
        </w:rPr>
        <w:t>（或招标代理机构）</w:t>
      </w:r>
      <w:r>
        <w:rPr>
          <w:rFonts w:hint="eastAsia" w:ascii="宋体" w:hAnsi="宋体"/>
          <w:color w:val="000000" w:themeColor="text1"/>
          <w:sz w:val="24"/>
          <w:highlight w:val="none"/>
          <w14:textFill>
            <w14:solidFill>
              <w14:schemeClr w14:val="tx1"/>
            </w14:solidFill>
          </w14:textFill>
        </w:rPr>
        <w:t>通过交易服务机构公开登载的文件，与盖章发出的文件一样具有同等效力。</w:t>
      </w:r>
    </w:p>
    <w:p>
      <w:pPr>
        <w:spacing w:line="400" w:lineRule="exact"/>
        <w:jc w:val="left"/>
        <w:rPr>
          <w:rFonts w:ascii="宋体" w:hAnsi="宋体"/>
          <w:b/>
          <w:color w:val="000000" w:themeColor="text1"/>
          <w:sz w:val="24"/>
          <w:highlight w:val="none"/>
          <w14:textFill>
            <w14:solidFill>
              <w14:schemeClr w14:val="tx1"/>
            </w14:solidFill>
          </w14:textFill>
        </w:rPr>
      </w:pPr>
    </w:p>
    <w:p>
      <w:pPr>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2.3    现场考察</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2.3.1  </w:t>
      </w:r>
      <w:r>
        <w:rPr>
          <w:rFonts w:hint="eastAsia" w:ascii="宋体" w:hAnsi="宋体"/>
          <w:color w:val="000000" w:themeColor="text1"/>
          <w:sz w:val="24"/>
          <w:highlight w:val="none"/>
          <w:u w:val="single"/>
          <w14:textFill>
            <w14:solidFill>
              <w14:schemeClr w14:val="tx1"/>
            </w14:solidFill>
          </w14:textFill>
        </w:rPr>
        <w:t>投标人自行对工程现场进行考察，在考察前需提前通知招标人，招标人不另行组织投标人进行现场</w:t>
      </w:r>
      <w:r>
        <w:rPr>
          <w:rFonts w:hint="eastAsia" w:ascii="宋体" w:hAnsi="宋体" w:cs="Times New Roman"/>
          <w:color w:val="000000" w:themeColor="text1"/>
          <w:sz w:val="24"/>
          <w:highlight w:val="none"/>
          <w:u w:val="single"/>
          <w14:textFill>
            <w14:solidFill>
              <w14:schemeClr w14:val="tx1"/>
            </w14:solidFill>
          </w14:textFill>
        </w:rPr>
        <w:t>考察。</w:t>
      </w:r>
    </w:p>
    <w:p>
      <w:pPr>
        <w:spacing w:line="400" w:lineRule="exact"/>
        <w:ind w:left="840" w:hanging="840" w:hangingChars="350"/>
        <w:jc w:val="left"/>
        <w:rPr>
          <w:rFonts w:ascii="宋体" w:hAnsi="宋体"/>
          <w:dstrike/>
          <w:color w:val="000000" w:themeColor="text1"/>
          <w:sz w:val="24"/>
          <w:highlight w:val="none"/>
          <w14:textFill>
            <w14:solidFill>
              <w14:schemeClr w14:val="tx1"/>
            </w14:solidFill>
          </w14:textFill>
        </w:rPr>
      </w:pPr>
      <w:r>
        <w:rPr>
          <w:rFonts w:hint="eastAsia" w:ascii="宋体" w:hAnsi="宋体"/>
          <w:dstrike/>
          <w:color w:val="000000" w:themeColor="text1"/>
          <w:sz w:val="24"/>
          <w:highlight w:val="none"/>
          <w14:textFill>
            <w14:solidFill>
              <w14:schemeClr w14:val="tx1"/>
            </w14:solidFill>
          </w14:textFill>
        </w:rPr>
        <w:t>2.3.2  每个投标人参加现场考察的人数不宜超过3人，外国投标人代表应自带中文翻译。</w:t>
      </w:r>
    </w:p>
    <w:p>
      <w:pPr>
        <w:spacing w:line="400" w:lineRule="exact"/>
        <w:jc w:val="left"/>
        <w:rPr>
          <w:rFonts w:ascii="宋体" w:hAnsi="宋体"/>
          <w:dstrike/>
          <w:color w:val="000000" w:themeColor="text1"/>
          <w:sz w:val="24"/>
          <w:highlight w:val="none"/>
          <w14:textFill>
            <w14:solidFill>
              <w14:schemeClr w14:val="tx1"/>
            </w14:solidFill>
          </w14:textFill>
        </w:rPr>
      </w:pPr>
      <w:r>
        <w:rPr>
          <w:rFonts w:hint="eastAsia" w:ascii="宋体" w:hAnsi="宋体"/>
          <w:dstrike/>
          <w:color w:val="000000" w:themeColor="text1"/>
          <w:sz w:val="24"/>
          <w:highlight w:val="none"/>
          <w14:textFill>
            <w14:solidFill>
              <w14:schemeClr w14:val="tx1"/>
            </w14:solidFill>
          </w14:textFill>
        </w:rPr>
        <w:t>2.3.3  现场考察期间招标人将召开一次会议，接受投标人代表的提问。</w:t>
      </w:r>
    </w:p>
    <w:p>
      <w:pPr>
        <w:spacing w:line="400" w:lineRule="exact"/>
        <w:jc w:val="left"/>
        <w:rPr>
          <w:rFonts w:ascii="宋体" w:hAnsi="宋体"/>
          <w:dstrike/>
          <w:color w:val="000000" w:themeColor="text1"/>
          <w:sz w:val="24"/>
          <w:highlight w:val="none"/>
          <w14:textFill>
            <w14:solidFill>
              <w14:schemeClr w14:val="tx1"/>
            </w14:solidFill>
          </w14:textFill>
        </w:rPr>
      </w:pPr>
      <w:r>
        <w:rPr>
          <w:rFonts w:hint="eastAsia" w:ascii="宋体" w:hAnsi="宋体"/>
          <w:dstrike/>
          <w:color w:val="000000" w:themeColor="text1"/>
          <w:sz w:val="24"/>
          <w:highlight w:val="none"/>
          <w14:textFill>
            <w14:solidFill>
              <w14:schemeClr w14:val="tx1"/>
            </w14:solidFill>
          </w14:textFill>
        </w:rPr>
        <w:t>2.3.4  现场考察集合时间：。</w:t>
      </w:r>
    </w:p>
    <w:p>
      <w:pPr>
        <w:spacing w:line="400" w:lineRule="exact"/>
        <w:ind w:left="821" w:hanging="820" w:hangingChars="342"/>
        <w:jc w:val="left"/>
        <w:rPr>
          <w:rFonts w:ascii="宋体" w:hAnsi="宋体"/>
          <w:dstrike/>
          <w:color w:val="000000" w:themeColor="text1"/>
          <w:sz w:val="24"/>
          <w:highlight w:val="none"/>
          <w14:textFill>
            <w14:solidFill>
              <w14:schemeClr w14:val="tx1"/>
            </w14:solidFill>
          </w14:textFill>
        </w:rPr>
      </w:pPr>
      <w:r>
        <w:rPr>
          <w:rFonts w:hint="eastAsia" w:ascii="宋体" w:hAnsi="宋体"/>
          <w:dstrike/>
          <w:color w:val="000000" w:themeColor="text1"/>
          <w:sz w:val="24"/>
          <w:highlight w:val="none"/>
          <w14:textFill>
            <w14:solidFill>
              <w14:schemeClr w14:val="tx1"/>
            </w14:solidFill>
          </w14:textFill>
        </w:rPr>
        <w:t>2.3.5  现场考察集合地点：。</w:t>
      </w:r>
    </w:p>
    <w:p>
      <w:pPr>
        <w:spacing w:line="400" w:lineRule="exact"/>
        <w:jc w:val="left"/>
        <w:rPr>
          <w:rFonts w:ascii="宋体" w:hAnsi="宋体"/>
          <w:color w:val="000000" w:themeColor="text1"/>
          <w:sz w:val="24"/>
          <w:highlight w:val="none"/>
          <w14:textFill>
            <w14:solidFill>
              <w14:schemeClr w14:val="tx1"/>
            </w14:solidFill>
          </w14:textFill>
        </w:rPr>
      </w:pP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2.4    质疑和澄清</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2.4.1  投标人应认真审阅招标文件和有关资料，</w:t>
      </w:r>
      <w:r>
        <w:rPr>
          <w:rFonts w:ascii="宋体" w:hAnsi="宋体"/>
          <w:color w:val="000000" w:themeColor="text1"/>
          <w:sz w:val="24"/>
          <w:highlight w:val="none"/>
          <w14:textFill>
            <w14:solidFill>
              <w14:schemeClr w14:val="tx1"/>
            </w14:solidFill>
          </w14:textFill>
        </w:rPr>
        <w:t>尽力澄清一切疑点</w:t>
      </w:r>
      <w:r>
        <w:rPr>
          <w:rFonts w:hint="eastAsia" w:ascii="宋体" w:hAnsi="宋体"/>
          <w:color w:val="000000" w:themeColor="text1"/>
          <w:sz w:val="24"/>
          <w:highlight w:val="none"/>
          <w14:textFill>
            <w14:solidFill>
              <w14:schemeClr w14:val="tx1"/>
            </w14:solidFill>
          </w14:textFill>
        </w:rPr>
        <w:t>，对工程现场和周围环境进行勘察，以获取编制投标文件和签署合同所需的所有资料。</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2.4.2  </w:t>
      </w:r>
      <w:r>
        <w:rPr>
          <w:rFonts w:hint="eastAsia" w:ascii="宋体" w:hAnsi="宋体" w:cs="宋体"/>
          <w:color w:val="000000" w:themeColor="text1"/>
          <w:sz w:val="24"/>
          <w:highlight w:val="none"/>
          <w:u w:val="single"/>
          <w14:textFill>
            <w14:solidFill>
              <w14:schemeClr w14:val="tx1"/>
            </w14:solidFill>
          </w14:textFill>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color w:val="000000" w:themeColor="text1"/>
          <w:sz w:val="24"/>
          <w:highlight w:val="none"/>
          <w14:textFill>
            <w14:solidFill>
              <w14:schemeClr w14:val="tx1"/>
            </w14:solidFill>
          </w14:textFill>
        </w:rPr>
        <w:t>。</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2.4.3  </w:t>
      </w:r>
      <w:r>
        <w:rPr>
          <w:rFonts w:hint="eastAsia" w:ascii="宋体" w:hAnsi="宋体" w:cs="宋体"/>
          <w:color w:val="000000" w:themeColor="text1"/>
          <w:sz w:val="24"/>
          <w:highlight w:val="none"/>
          <w:u w:val="single"/>
          <w14:textFill>
            <w14:solidFill>
              <w14:schemeClr w14:val="tx1"/>
            </w14:solidFill>
          </w14:textFill>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2.4.4  </w:t>
      </w:r>
      <w:r>
        <w:rPr>
          <w:rFonts w:hint="eastAsia" w:ascii="宋体" w:hAnsi="宋体" w:cs="宋体"/>
          <w:color w:val="000000" w:themeColor="text1"/>
          <w:sz w:val="24"/>
          <w:highlight w:val="none"/>
          <w:u w:val="single"/>
          <w14:textFill>
            <w14:solidFill>
              <w14:schemeClr w14:val="tx1"/>
            </w14:solidFill>
          </w14:textFill>
        </w:rPr>
        <w:t>澄清及补充材料一旦发出，视为各投标人已收到，请各投标人及时自行查询。投标人应及时在广州公共资源交易中心项目答疑纪要专区中查询。</w:t>
      </w:r>
    </w:p>
    <w:p>
      <w:pPr>
        <w:spacing w:line="400" w:lineRule="exact"/>
        <w:ind w:left="821" w:hanging="820" w:hangingChars="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2.4.5  </w:t>
      </w:r>
      <w:r>
        <w:rPr>
          <w:rFonts w:hint="eastAsia" w:ascii="宋体" w:hAnsi="宋体" w:cs="宋体"/>
          <w:color w:val="000000" w:themeColor="text1"/>
          <w:sz w:val="24"/>
          <w:highlight w:val="none"/>
          <w:u w:val="single"/>
          <w14:textFill>
            <w14:solidFill>
              <w14:schemeClr w14:val="tx1"/>
            </w14:solidFill>
          </w14:textFill>
        </w:rPr>
        <w:t>网上答疑的操作指南为：投标人登录交易中心数字交易平台，进入“我是投标人（供应商）”-&gt;“我的投标”-&gt;“招标答疑提问”查询项目并提问。</w:t>
      </w:r>
    </w:p>
    <w:p>
      <w:pPr>
        <w:pStyle w:val="15"/>
        <w:spacing w:line="400" w:lineRule="exact"/>
        <w:rPr>
          <w:rFonts w:hint="eastAsia" w:hAnsi="宋体"/>
          <w:b/>
          <w:bCs/>
          <w:color w:val="000000" w:themeColor="text1"/>
          <w:sz w:val="24"/>
          <w:highlight w:val="none"/>
          <w14:textFill>
            <w14:solidFill>
              <w14:schemeClr w14:val="tx1"/>
            </w14:solidFill>
          </w14:textFill>
        </w:rPr>
      </w:pPr>
    </w:p>
    <w:p>
      <w:pPr>
        <w:pStyle w:val="15"/>
        <w:spacing w:line="400" w:lineRule="exact"/>
        <w:rPr>
          <w:rFonts w:hAnsi="宋体"/>
          <w:b/>
          <w:color w:val="000000" w:themeColor="text1"/>
          <w:sz w:val="24"/>
          <w:szCs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2</w:t>
      </w:r>
      <w:r>
        <w:rPr>
          <w:rFonts w:hint="eastAsia" w:hAnsi="宋体"/>
          <w:b/>
          <w:color w:val="000000" w:themeColor="text1"/>
          <w:sz w:val="24"/>
          <w:szCs w:val="24"/>
          <w:highlight w:val="none"/>
          <w14:textFill>
            <w14:solidFill>
              <w14:schemeClr w14:val="tx1"/>
            </w14:solidFill>
          </w14:textFill>
        </w:rPr>
        <w:t>.5    延期</w:t>
      </w:r>
    </w:p>
    <w:p>
      <w:pPr>
        <w:pStyle w:val="15"/>
        <w:spacing w:line="400" w:lineRule="exact"/>
        <w:ind w:left="821" w:hanging="820" w:hangingChars="34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2.5.1  如果招标过程出现招标管理机构要求暂停、重新评标等意外情形，招标投标各项期限相应延长</w:t>
      </w:r>
      <w:r>
        <w:rPr>
          <w:rFonts w:hAnsi="宋体"/>
          <w:color w:val="000000" w:themeColor="text1"/>
          <w:sz w:val="24"/>
          <w:szCs w:val="24"/>
          <w:highlight w:val="none"/>
          <w14:textFill>
            <w14:solidFill>
              <w14:schemeClr w14:val="tx1"/>
            </w14:solidFill>
          </w14:textFill>
        </w:rPr>
        <w:t>。</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2.5.2  为使投标人在编制投标文件时把</w:t>
      </w:r>
      <w:r>
        <w:rPr>
          <w:rFonts w:hint="eastAsia" w:ascii="宋体" w:hAnsi="宋体"/>
          <w:color w:val="000000" w:themeColor="text1"/>
          <w:kern w:val="0"/>
          <w:sz w:val="24"/>
          <w:highlight w:val="none"/>
          <w14:textFill>
            <w14:solidFill>
              <w14:schemeClr w14:val="tx1"/>
            </w14:solidFill>
          </w14:textFill>
        </w:rPr>
        <w:t>招标人</w:t>
      </w:r>
      <w:r>
        <w:rPr>
          <w:rFonts w:ascii="宋体" w:hAnsi="宋体"/>
          <w:color w:val="000000" w:themeColor="text1"/>
          <w:kern w:val="0"/>
          <w:sz w:val="24"/>
          <w:highlight w:val="none"/>
          <w14:textFill>
            <w14:solidFill>
              <w14:schemeClr w14:val="tx1"/>
            </w14:solidFill>
          </w14:textFill>
        </w:rPr>
        <w:t>对招标文件</w:t>
      </w:r>
      <w:r>
        <w:rPr>
          <w:rFonts w:hint="eastAsia" w:ascii="宋体" w:hAnsi="宋体"/>
          <w:color w:val="000000" w:themeColor="text1"/>
          <w:kern w:val="0"/>
          <w:sz w:val="24"/>
          <w:highlight w:val="none"/>
          <w14:textFill>
            <w14:solidFill>
              <w14:schemeClr w14:val="tx1"/>
            </w14:solidFill>
          </w14:textFill>
        </w:rPr>
        <w:t>的</w:t>
      </w:r>
      <w:r>
        <w:rPr>
          <w:rFonts w:ascii="宋体" w:hAnsi="宋体"/>
          <w:color w:val="000000" w:themeColor="text1"/>
          <w:kern w:val="0"/>
          <w:sz w:val="24"/>
          <w:highlight w:val="none"/>
          <w14:textFill>
            <w14:solidFill>
              <w14:schemeClr w14:val="tx1"/>
            </w14:solidFill>
          </w14:textFill>
        </w:rPr>
        <w:t>澄清、修改</w:t>
      </w:r>
      <w:r>
        <w:rPr>
          <w:rFonts w:hint="eastAsia" w:ascii="宋体" w:hAnsi="宋体"/>
          <w:color w:val="000000" w:themeColor="text1"/>
          <w:kern w:val="0"/>
          <w:sz w:val="24"/>
          <w:highlight w:val="none"/>
          <w14:textFill>
            <w14:solidFill>
              <w14:schemeClr w14:val="tx1"/>
            </w14:solidFill>
          </w14:textFill>
        </w:rPr>
        <w:t>和</w:t>
      </w:r>
      <w:r>
        <w:rPr>
          <w:rFonts w:hint="eastAsia" w:ascii="宋体" w:hAnsi="宋体"/>
          <w:color w:val="000000" w:themeColor="text1"/>
          <w:sz w:val="24"/>
          <w:highlight w:val="none"/>
          <w14:textFill>
            <w14:solidFill>
              <w14:schemeClr w14:val="tx1"/>
            </w14:solidFill>
          </w14:textFill>
        </w:rPr>
        <w:t>补充内容考虑进去，招标人可以酌情延长提交投标文件的截止日期。</w:t>
      </w:r>
    </w:p>
    <w:p>
      <w:pPr>
        <w:spacing w:line="400" w:lineRule="exact"/>
        <w:rPr>
          <w:rFonts w:ascii="宋体" w:hAnsi="宋体"/>
          <w:b/>
          <w:color w:val="000000" w:themeColor="text1"/>
          <w:sz w:val="24"/>
          <w:highlight w:val="none"/>
          <w14:textFill>
            <w14:solidFill>
              <w14:schemeClr w14:val="tx1"/>
            </w14:solidFill>
          </w14:textFill>
        </w:rPr>
      </w:pPr>
    </w:p>
    <w:p>
      <w:pPr>
        <w:spacing w:line="400" w:lineRule="exact"/>
        <w:rPr>
          <w:rFonts w:hint="eastAsia" w:ascii="宋体" w:hAnsi="宋体" w:eastAsia="宋体" w:cs="Times New Roman"/>
          <w:b/>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2.6    </w:t>
      </w:r>
      <w:r>
        <w:rPr>
          <w:rFonts w:hint="eastAsia" w:ascii="宋体" w:hAnsi="宋体" w:eastAsia="宋体" w:cs="Times New Roman"/>
          <w:b/>
          <w:color w:val="000000" w:themeColor="text1"/>
          <w:kern w:val="0"/>
          <w:sz w:val="24"/>
          <w:szCs w:val="24"/>
          <w:highlight w:val="none"/>
          <w:u w:val="single"/>
          <w:lang w:val="en-US" w:eastAsia="zh-CN" w:bidi="ar-SA"/>
          <w14:textFill>
            <w14:solidFill>
              <w14:schemeClr w14:val="tx1"/>
            </w14:solidFill>
          </w14:textFill>
        </w:rPr>
        <w:t>投标时间、投标文件的递交和接收</w:t>
      </w:r>
    </w:p>
    <w:p>
      <w:pPr>
        <w:spacing w:line="400" w:lineRule="exact"/>
        <w:ind w:left="821" w:hanging="820" w:hangingChars="342"/>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2.6.1  </w:t>
      </w:r>
      <w:r>
        <w:rPr>
          <w:rFonts w:hint="eastAsia" w:ascii="宋体" w:hAnsi="宋体" w:cs="宋体"/>
          <w:color w:val="000000" w:themeColor="text1"/>
          <w:sz w:val="24"/>
          <w:highlight w:val="none"/>
          <w:u w:val="single"/>
          <w14:textFill>
            <w14:solidFill>
              <w14:schemeClr w14:val="tx1"/>
            </w14:solidFill>
          </w14:textFill>
        </w:rPr>
        <w:t>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2.6.2  </w:t>
      </w:r>
      <w:r>
        <w:rPr>
          <w:rFonts w:hint="eastAsia" w:ascii="宋体" w:hAnsi="宋体" w:cs="宋体"/>
          <w:color w:val="000000" w:themeColor="text1"/>
          <w:sz w:val="24"/>
          <w:highlight w:val="none"/>
          <w:u w:val="single"/>
          <w14:textFill>
            <w14:solidFill>
              <w14:schemeClr w14:val="tx1"/>
            </w14:solidFill>
          </w14:textFill>
        </w:rPr>
        <w:t>投标人通过下载招标文件的交易平台递交电子投标文件。。</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2.6.3  </w:t>
      </w:r>
      <w:r>
        <w:rPr>
          <w:rFonts w:hint="eastAsia" w:ascii="宋体" w:hAnsi="宋体" w:cs="宋体"/>
          <w:color w:val="000000" w:themeColor="text1"/>
          <w:sz w:val="24"/>
          <w:highlight w:val="none"/>
          <w:u w:val="single"/>
          <w14:textFill>
            <w14:solidFill>
              <w14:schemeClr w14:val="tx1"/>
            </w14:solidFill>
          </w14:textFill>
        </w:rPr>
        <w:t>投标人完成电子投标文件上传后，交易平台即时向投标人发出递交回执通知。递交时间以递交回执通知载明的传输完成时间为准</w:t>
      </w:r>
      <w:r>
        <w:rPr>
          <w:rFonts w:hint="eastAsia" w:ascii="宋体" w:hAnsi="宋体"/>
          <w:color w:val="000000" w:themeColor="text1"/>
          <w:sz w:val="24"/>
          <w:highlight w:val="none"/>
          <w14:textFill>
            <w14:solidFill>
              <w14:schemeClr w14:val="tx1"/>
            </w14:solidFill>
          </w14:textFill>
        </w:rPr>
        <w:t>。</w:t>
      </w:r>
    </w:p>
    <w:p>
      <w:pPr>
        <w:spacing w:line="400" w:lineRule="exact"/>
        <w:ind w:left="821" w:hanging="820" w:hangingChars="342"/>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2.6.4  </w:t>
      </w:r>
      <w:r>
        <w:rPr>
          <w:rFonts w:hint="eastAsia" w:ascii="宋体" w:hAnsi="宋体" w:cs="宋体"/>
          <w:color w:val="000000" w:themeColor="text1"/>
          <w:sz w:val="24"/>
          <w:highlight w:val="none"/>
          <w:u w:val="single"/>
          <w14:textFill>
            <w14:solidFill>
              <w14:schemeClr w14:val="tx1"/>
            </w14:solidFill>
          </w14:textFill>
        </w:rPr>
        <w:t>如按招标公告要求需要提交投标文件光盘（备用），备用光盘不得加密。如使用投标文件光盘（备用）时无法读取或导入的，则视为未提交投标文件。</w:t>
      </w:r>
    </w:p>
    <w:p>
      <w:pPr>
        <w:spacing w:line="400" w:lineRule="exact"/>
        <w:ind w:left="821" w:hanging="820" w:hangingChars="342"/>
        <w:jc w:val="left"/>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2.6.5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21" w:hanging="820" w:hangingChars="342"/>
        <w:jc w:val="left"/>
        <w:rPr>
          <w:rFonts w:hint="default"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2.6.6  </w:t>
      </w:r>
      <w:r>
        <w:rPr>
          <w:rFonts w:hint="eastAsia" w:ascii="宋体" w:hAnsi="宋体" w:cs="宋体"/>
          <w:color w:val="000000" w:themeColor="text1"/>
          <w:sz w:val="24"/>
          <w:highlight w:val="none"/>
          <w:u w:val="single"/>
          <w14:textFill>
            <w14:solidFill>
              <w14:schemeClr w14:val="tx1"/>
            </w14:solidFill>
          </w14:textFill>
        </w:rPr>
        <w:t>投标截止时间自招标人（招标代理机构）从招标文件发布起始日计：备标时间不少于</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0天。</w:t>
      </w: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2.7    </w:t>
      </w:r>
      <w:r>
        <w:rPr>
          <w:rFonts w:hint="eastAsia" w:ascii="宋体" w:hAnsi="宋体"/>
          <w:b/>
          <w:bCs/>
          <w:color w:val="000000" w:themeColor="text1"/>
          <w:sz w:val="24"/>
          <w:highlight w:val="none"/>
          <w:u w:val="single"/>
          <w14:textFill>
            <w14:solidFill>
              <w14:schemeClr w14:val="tx1"/>
            </w14:solidFill>
          </w14:textFill>
        </w:rPr>
        <w:t>投标文件的修改与撤回</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2.7.1  </w:t>
      </w:r>
      <w:r>
        <w:rPr>
          <w:rFonts w:hint="default" w:ascii="宋体" w:hAnsi="宋体" w:cs="宋体"/>
          <w:color w:val="000000" w:themeColor="text1"/>
          <w:sz w:val="24"/>
          <w:highlight w:val="none"/>
          <w:u w:val="single"/>
          <w:lang w:val="en-US" w:eastAsia="zh-CN"/>
          <w14:textFill>
            <w14:solidFill>
              <w14:schemeClr w14:val="tx1"/>
            </w14:solidFill>
          </w14:textFill>
        </w:rPr>
        <w:t>在规定的投标截止时间前，投标人可以修改或撤回已递交的投标文件</w:t>
      </w:r>
      <w:r>
        <w:rPr>
          <w:rFonts w:hint="eastAsia" w:ascii="宋体" w:hAnsi="宋体"/>
          <w:color w:val="000000" w:themeColor="text1"/>
          <w:sz w:val="24"/>
          <w:highlight w:val="none"/>
          <w14:textFill>
            <w14:solidFill>
              <w14:schemeClr w14:val="tx1"/>
            </w14:solidFill>
          </w14:textFill>
        </w:rPr>
        <w:t>。</w:t>
      </w:r>
    </w:p>
    <w:p>
      <w:pPr>
        <w:spacing w:line="400" w:lineRule="exact"/>
        <w:ind w:left="821" w:hanging="820" w:hangingChars="342"/>
        <w:rPr>
          <w:rFonts w:hint="default"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2.7.2  投标人修改或撤回已递交的投标文件，需在交易平台发出撤回通知，并按要求加盖电子印章。电子招标投标交易平台收到通知后，即时向投标人发布确认回执通知。</w:t>
      </w:r>
    </w:p>
    <w:p>
      <w:pPr>
        <w:spacing w:line="400" w:lineRule="exact"/>
        <w:rPr>
          <w:rFonts w:hint="eastAsia"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2.7.3  </w:t>
      </w:r>
      <w:r>
        <w:rPr>
          <w:rFonts w:hint="eastAsia" w:ascii="宋体" w:hAnsi="宋体" w:cs="宋体"/>
          <w:color w:val="000000" w:themeColor="text1"/>
          <w:sz w:val="24"/>
          <w:highlight w:val="none"/>
          <w:u w:val="single"/>
          <w:lang w:val="en-US" w:eastAsia="zh-CN"/>
          <w14:textFill>
            <w14:solidFill>
              <w14:schemeClr w14:val="tx1"/>
            </w14:solidFill>
          </w14:textFill>
        </w:rPr>
        <w:t>修改后再次递交的，按2.6的规定执行。</w:t>
      </w:r>
    </w:p>
    <w:p>
      <w:pPr>
        <w:spacing w:line="400" w:lineRule="exact"/>
        <w:ind w:left="821" w:hanging="820" w:hangingChars="342"/>
        <w:jc w:val="left"/>
        <w:rPr>
          <w:rFonts w:hint="default"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2.7.4  在投标截止时间后，投标人不得补充、修改或更换投标文件。</w:t>
      </w:r>
    </w:p>
    <w:p>
      <w:pPr>
        <w:pStyle w:val="15"/>
        <w:rPr>
          <w:rFonts w:hAnsi="宋体"/>
          <w:color w:val="000000" w:themeColor="text1"/>
          <w:highlight w:val="none"/>
          <w14:textFill>
            <w14:solidFill>
              <w14:schemeClr w14:val="tx1"/>
            </w14:solidFill>
          </w14:textFill>
        </w:rPr>
      </w:pP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2.8    公开展示</w:t>
      </w:r>
    </w:p>
    <w:p>
      <w:pPr>
        <w:spacing w:line="400" w:lineRule="exact"/>
        <w:ind w:left="824" w:hanging="820" w:hangingChars="342"/>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2.8</w:t>
      </w:r>
      <w:r>
        <w:rPr>
          <w:rFonts w:hint="eastAsia" w:ascii="宋体" w:hAnsi="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u w:val="single"/>
          <w:lang w:val="en-US" w:eastAsia="zh-CN"/>
          <w14:textFill>
            <w14:solidFill>
              <w14:schemeClr w14:val="tx1"/>
            </w14:solidFill>
          </w14:textFill>
        </w:rPr>
        <w:t>投标文件评标后不予退回。</w:t>
      </w:r>
    </w:p>
    <w:p>
      <w:pPr>
        <w:spacing w:line="400" w:lineRule="exact"/>
        <w:ind w:left="824" w:hanging="820" w:hangingChars="342"/>
        <w:jc w:val="left"/>
        <w:rPr>
          <w:rFonts w:ascii="宋体" w:hAnsi="宋体"/>
          <w:dstrike/>
          <w:color w:val="000000" w:themeColor="text1"/>
          <w:sz w:val="24"/>
          <w:highlight w:val="none"/>
          <w14:textFill>
            <w14:solidFill>
              <w14:schemeClr w14:val="tx1"/>
            </w14:solidFill>
          </w14:textFill>
        </w:rPr>
      </w:pPr>
      <w:r>
        <w:rPr>
          <w:rFonts w:hint="eastAsia" w:ascii="宋体" w:hAnsi="宋体"/>
          <w:b/>
          <w:bCs/>
          <w:dstrike/>
          <w:color w:val="000000" w:themeColor="text1"/>
          <w:sz w:val="24"/>
          <w:highlight w:val="none"/>
          <w14:textFill>
            <w14:solidFill>
              <w14:schemeClr w14:val="tx1"/>
            </w14:solidFill>
          </w14:textFill>
        </w:rPr>
        <w:t>2.8</w:t>
      </w:r>
      <w:r>
        <w:rPr>
          <w:rFonts w:hint="eastAsia" w:ascii="宋体" w:hAnsi="宋体"/>
          <w:dstrike/>
          <w:color w:val="000000" w:themeColor="text1"/>
          <w:sz w:val="24"/>
          <w:highlight w:val="none"/>
          <w14:textFill>
            <w14:solidFill>
              <w14:schemeClr w14:val="tx1"/>
            </w14:solidFill>
          </w14:textFill>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2.9   知识产权转移</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2.9.1  授予合同并支付定金后，中标方案的一次性使用权归招标人所有（署名权除外）。</w:t>
      </w:r>
    </w:p>
    <w:p>
      <w:pPr>
        <w:spacing w:line="400" w:lineRule="exact"/>
        <w:ind w:left="821" w:hanging="820" w:hangingChars="342"/>
        <w:rPr>
          <w:rFonts w:ascii="宋体" w:hAnsi="宋体"/>
          <w:dstrike/>
          <w:color w:val="000000" w:themeColor="text1"/>
          <w:sz w:val="24"/>
          <w:highlight w:val="none"/>
          <w14:textFill>
            <w14:solidFill>
              <w14:schemeClr w14:val="tx1"/>
            </w14:solidFill>
          </w14:textFill>
        </w:rPr>
      </w:pPr>
      <w:r>
        <w:rPr>
          <w:rFonts w:hint="eastAsia" w:ascii="宋体" w:hAnsi="宋体"/>
          <w:dstrike/>
          <w:color w:val="000000" w:themeColor="text1"/>
          <w:sz w:val="24"/>
          <w:highlight w:val="none"/>
          <w14:textFill>
            <w14:solidFill>
              <w14:schemeClr w14:val="tx1"/>
            </w14:solidFill>
          </w14:textFill>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2.10    其他</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2.10.1  除特殊情况外，招标人有权在工程建设中根据需要对选定的实施方案进行调整和修改。</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2.10.2  投标人保证投标文件及资料均未侵犯他人的知识产权，否则必须承担全部责任。若投标人使用了他人的专利、专有技术，涉及的费用由投标人负责。</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2.10.3  招标人有权无须事先征求中标人的同意而披露关于中标人的名称、地址、合同条款。</w:t>
      </w:r>
    </w:p>
    <w:p>
      <w:pPr>
        <w:spacing w:line="400" w:lineRule="exact"/>
        <w:ind w:left="821" w:hanging="820" w:hangingChars="342"/>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2.10.4  本次招标由交易服务机构对各投标人提交的成果和评标过程、评标结果予以见证，若有纠纷，将按现行法律、法规通过友好协商或诉讼程序解决。</w:t>
      </w:r>
    </w:p>
    <w:p>
      <w:pPr>
        <w:spacing w:line="400" w:lineRule="exact"/>
        <w:rPr>
          <w:rFonts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u w:val="single"/>
          <w14:textFill>
            <w14:solidFill>
              <w14:schemeClr w14:val="tx1"/>
            </w14:solidFill>
          </w14:textFill>
        </w:rPr>
        <w:t>2.11    电子招标投标解密失败及突发状况的补救</w:t>
      </w:r>
    </w:p>
    <w:p>
      <w:pPr>
        <w:spacing w:line="400" w:lineRule="exact"/>
        <w:ind w:left="821" w:hanging="820" w:hangingChars="342"/>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2.11.1  提交投标文件光盘备用</w:t>
      </w:r>
    </w:p>
    <w:p>
      <w:pPr>
        <w:spacing w:line="400" w:lineRule="exact"/>
        <w:ind w:left="821" w:hanging="820" w:hangingChars="342"/>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821" w:hanging="820" w:hangingChars="342"/>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2.11.2  补救方案</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821" w:hanging="820" w:hangingChars="342"/>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2.11.2.2</w:t>
      </w:r>
      <w:r>
        <w:rPr>
          <w:rFonts w:hint="eastAsia" w:ascii="宋体" w:hAnsi="宋体" w:cs="宋体"/>
          <w:color w:val="000000" w:themeColor="text1"/>
          <w:sz w:val="24"/>
          <w:highlight w:val="none"/>
          <w:u w:val="single"/>
          <w14:textFill>
            <w14:solidFill>
              <w14:schemeClr w14:val="tx1"/>
            </w14:solidFill>
          </w14:textFill>
        </w:rPr>
        <w:t>评标</w:t>
      </w:r>
      <w:r>
        <w:rPr>
          <w:rFonts w:hint="eastAsia" w:ascii="宋体" w:hAnsi="宋体"/>
          <w:color w:val="000000" w:themeColor="text1"/>
          <w:sz w:val="24"/>
          <w:highlight w:val="none"/>
          <w:u w:val="single"/>
          <w14:textFill>
            <w14:solidFill>
              <w14:schemeClr w14:val="tx1"/>
            </w14:solidFill>
          </w14:textFill>
        </w:rPr>
        <w:t>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400" w:lineRule="exact"/>
        <w:ind w:left="821" w:hanging="820" w:hangingChars="342"/>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2.11.2.3除</w:t>
      </w:r>
      <w:r>
        <w:rPr>
          <w:rFonts w:hint="eastAsia" w:ascii="宋体" w:hAnsi="宋体" w:cs="宋体"/>
          <w:color w:val="000000" w:themeColor="text1"/>
          <w:sz w:val="24"/>
          <w:highlight w:val="none"/>
          <w:u w:val="single"/>
          <w14:textFill>
            <w14:solidFill>
              <w14:schemeClr w14:val="tx1"/>
            </w14:solidFill>
          </w14:textFill>
        </w:rPr>
        <w:t>发生</w:t>
      </w:r>
      <w:r>
        <w:rPr>
          <w:rFonts w:hint="eastAsia" w:ascii="宋体" w:hAnsi="宋体"/>
          <w:color w:val="000000" w:themeColor="text1"/>
          <w:sz w:val="24"/>
          <w:highlight w:val="none"/>
          <w:u w:val="single"/>
          <w14:textFill>
            <w14:solidFill>
              <w14:schemeClr w14:val="tx1"/>
            </w14:solidFill>
          </w14:textFill>
        </w:rPr>
        <w:t>上述情况外，开标评标均以投标人通过交易平台网上递交的电子投标文件为准。</w:t>
      </w:r>
    </w:p>
    <w:p>
      <w:pPr>
        <w:jc w:val="center"/>
        <w:rPr>
          <w:rFonts w:ascii="宋体" w:hAnsi="宋体"/>
          <w:b/>
          <w:color w:val="000000" w:themeColor="text1"/>
          <w:sz w:val="36"/>
          <w:szCs w:val="36"/>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r>
        <w:rPr>
          <w:rFonts w:hint="eastAsia" w:ascii="宋体" w:hAnsi="宋体"/>
          <w:b/>
          <w:color w:val="000000" w:themeColor="text1"/>
          <w:sz w:val="36"/>
          <w:szCs w:val="36"/>
          <w:highlight w:val="none"/>
          <w14:textFill>
            <w14:solidFill>
              <w14:schemeClr w14:val="tx1"/>
            </w14:solidFill>
          </w14:textFill>
        </w:rPr>
        <w:t>第三章  投标文件编制要求</w:t>
      </w:r>
    </w:p>
    <w:p>
      <w:pPr>
        <w:jc w:val="center"/>
        <w:rPr>
          <w:rFonts w:ascii="宋体" w:hAnsi="宋体"/>
          <w:color w:val="000000" w:themeColor="text1"/>
          <w:highlight w:val="none"/>
          <w14:textFill>
            <w14:solidFill>
              <w14:schemeClr w14:val="tx1"/>
            </w14:solidFill>
          </w14:textFill>
        </w:rPr>
      </w:pPr>
    </w:p>
    <w:p>
      <w:pPr>
        <w:spacing w:line="400" w:lineRule="exact"/>
        <w:jc w:val="left"/>
        <w:rPr>
          <w:rFonts w:ascii="宋体" w:hAnsi="宋体"/>
          <w:b/>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3.1   投标文件</w:t>
      </w:r>
    </w:p>
    <w:p>
      <w:pPr>
        <w:pStyle w:val="14"/>
        <w:spacing w:line="360" w:lineRule="auto"/>
        <w:ind w:left="821" w:hanging="820" w:hangingChars="342"/>
        <w:rPr>
          <w:rFonts w:hAnsi="宋体"/>
          <w:strike/>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3.1.1  </w:t>
      </w:r>
      <w:r>
        <w:rPr>
          <w:rFonts w:hint="eastAsia" w:hAnsi="宋体"/>
          <w:strike/>
          <w:dstrike w:val="0"/>
          <w:color w:val="000000" w:themeColor="text1"/>
          <w:sz w:val="24"/>
          <w:highlight w:val="none"/>
          <w14:textFill>
            <w14:solidFill>
              <w14:schemeClr w14:val="tx1"/>
            </w14:solidFill>
          </w14:textFill>
        </w:rPr>
        <w:t>投标文件由商务文件和技术文件两部分组成。各部分投标文件应分别编制，各自独立包装</w:t>
      </w:r>
      <w:r>
        <w:rPr>
          <w:rFonts w:hint="eastAsia" w:hAnsi="宋体"/>
          <w:strike/>
          <w:dstrike w:val="0"/>
          <w:color w:val="000000" w:themeColor="text1"/>
          <w:sz w:val="24"/>
          <w:highlight w:val="none"/>
          <w:lang w:eastAsia="zh-CN"/>
          <w14:textFill>
            <w14:solidFill>
              <w14:schemeClr w14:val="tx1"/>
            </w14:solidFill>
          </w14:textFill>
        </w:rPr>
        <w:t>。</w:t>
      </w:r>
    </w:p>
    <w:p>
      <w:pPr>
        <w:pStyle w:val="14"/>
        <w:spacing w:line="360" w:lineRule="auto"/>
        <w:ind w:left="821" w:hanging="820" w:hangingChars="342"/>
        <w:rPr>
          <w:rFonts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3.1.2  </w:t>
      </w:r>
      <w:r>
        <w:rPr>
          <w:rFonts w:hint="eastAsia" w:hAnsi="宋体"/>
          <w:color w:val="000000" w:themeColor="text1"/>
          <w:sz w:val="24"/>
          <w:szCs w:val="24"/>
          <w:highlight w:val="none"/>
          <w:u w:val="single"/>
          <w14:textFill>
            <w14:solidFill>
              <w14:schemeClr w14:val="tx1"/>
            </w14:solidFill>
          </w14:textFill>
        </w:rPr>
        <w:t>投标文件由下列部分组成：（1）开标文件；（2）商务文件（含资审文件）；（3）技术文件；（4）投标文件光盘（备用）。注：投标人也可不提交投标文件光盘（备用）。</w:t>
      </w:r>
    </w:p>
    <w:p>
      <w:pPr>
        <w:pStyle w:val="14"/>
        <w:spacing w:line="360" w:lineRule="auto"/>
        <w:ind w:left="821" w:hanging="820" w:hangingChars="34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3.1.3</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投标文件全部采用电子文档，投标文件所附证书证件均为原件清晰扫描件或</w:t>
      </w:r>
      <w:r>
        <w:rPr>
          <w:rFonts w:hAnsi="宋体"/>
          <w:color w:val="000000" w:themeColor="text1"/>
          <w:sz w:val="24"/>
          <w:highlight w:val="none"/>
          <w:u w:val="single"/>
          <w14:textFill>
            <w14:solidFill>
              <w14:schemeClr w14:val="tx1"/>
            </w14:solidFill>
          </w14:textFill>
        </w:rPr>
        <w:t>电子证书</w:t>
      </w:r>
      <w:r>
        <w:rPr>
          <w:rFonts w:hint="eastAsia" w:hAnsi="宋体"/>
          <w:color w:val="000000" w:themeColor="text1"/>
          <w:sz w:val="24"/>
          <w:highlight w:val="none"/>
          <w:u w:val="single"/>
          <w14:textFill>
            <w14:solidFill>
              <w14:schemeClr w14:val="tx1"/>
            </w14:solidFill>
          </w14:textFill>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3.1.4  投标文件应做到清晰、完整，文本、图纸规格应当尽量统一。</w:t>
      </w:r>
      <w:r>
        <w:rPr>
          <w:rFonts w:hint="eastAsia" w:hAnsi="宋体"/>
          <w:color w:val="000000" w:themeColor="text1"/>
          <w:sz w:val="24"/>
          <w:highlight w:val="none"/>
          <w14:textFill>
            <w14:solidFill>
              <w14:schemeClr w14:val="tx1"/>
            </w14:solidFill>
          </w14:textFill>
        </w:rPr>
        <w:t>除非另有规定，否则投标文件的</w:t>
      </w:r>
      <w:r>
        <w:rPr>
          <w:rFonts w:hint="eastAsia" w:ascii="宋体" w:hAnsi="宋体"/>
          <w:color w:val="000000" w:themeColor="text1"/>
          <w:sz w:val="24"/>
          <w:highlight w:val="none"/>
          <w14:textFill>
            <w14:solidFill>
              <w14:schemeClr w14:val="tx1"/>
            </w14:solidFill>
          </w14:textFill>
        </w:rPr>
        <w:t>计量单位宜采用国际标准计量单位，尺寸齐全、准确，</w:t>
      </w:r>
      <w:r>
        <w:rPr>
          <w:rFonts w:hint="eastAsia" w:hAnsi="宋体"/>
          <w:color w:val="000000" w:themeColor="text1"/>
          <w:sz w:val="24"/>
          <w:highlight w:val="none"/>
          <w14:textFill>
            <w14:solidFill>
              <w14:schemeClr w14:val="tx1"/>
            </w14:solidFill>
          </w14:textFill>
        </w:rPr>
        <w:t>所有文字说明和文字标注以中文为准，报价均为人民币，时间均为北京时间。</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3.1.5  每个投标人报送一个投标方案，投标文件应达到招标文件规定的深度，满足评审需要。不响应招标文件要求的投标文件可能被拒绝，责任由投标人自负。</w:t>
      </w:r>
    </w:p>
    <w:p>
      <w:pPr>
        <w:pStyle w:val="14"/>
        <w:spacing w:line="360" w:lineRule="auto"/>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w:t>
      </w:r>
      <w:r>
        <w:rPr>
          <w:rFonts w:ascii="宋体" w:hAnsi="宋体"/>
          <w:color w:val="000000" w:themeColor="text1"/>
          <w:sz w:val="24"/>
          <w:highlight w:val="none"/>
          <w:u w:val="single"/>
          <w14:textFill>
            <w14:solidFill>
              <w14:schemeClr w14:val="tx1"/>
            </w14:solidFill>
          </w14:textFill>
        </w:rPr>
        <w:t xml:space="preserve">.1.6  </w:t>
      </w:r>
      <w:bookmarkStart w:id="0" w:name="_Hlk83750820"/>
      <w:r>
        <w:rPr>
          <w:rFonts w:hint="eastAsia" w:ascii="宋体" w:hAnsi="宋体"/>
          <w:color w:val="000000" w:themeColor="text1"/>
          <w:sz w:val="24"/>
          <w:highlight w:val="none"/>
          <w:u w:val="single"/>
          <w14:textFill>
            <w14:solidFill>
              <w14:schemeClr w14:val="tx1"/>
            </w14:solidFill>
          </w14:textFill>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bookmarkEnd w:id="0"/>
    </w:p>
    <w:p>
      <w:pPr>
        <w:pStyle w:val="14"/>
        <w:spacing w:line="360" w:lineRule="auto"/>
        <w:ind w:left="821" w:hanging="820" w:hangingChars="342"/>
        <w:rPr>
          <w:color w:val="000000" w:themeColor="text1"/>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3.1.7  </w:t>
      </w:r>
      <w:r>
        <w:rPr>
          <w:rFonts w:hint="eastAsia" w:ascii="宋体" w:hAnsi="宋体"/>
          <w:color w:val="000000" w:themeColor="text1"/>
          <w:sz w:val="24"/>
          <w:highlight w:val="none"/>
          <w:u w:val="single"/>
          <w14:textFill>
            <w14:solidFill>
              <w14:schemeClr w14:val="tx1"/>
            </w14:solidFill>
          </w14:textFill>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hint="eastAsia" w:ascii="宋体" w:hAnsi="宋体"/>
          <w:b/>
          <w:bCs/>
          <w:color w:val="000000" w:themeColor="text1"/>
          <w:sz w:val="24"/>
          <w:highlight w:val="none"/>
          <w14:textFill>
            <w14:solidFill>
              <w14:schemeClr w14:val="tx1"/>
            </w14:solidFill>
          </w14:textFill>
        </w:rPr>
        <w:t>.2  商务文件（含资格审查文件）编制要求</w:t>
      </w:r>
    </w:p>
    <w:p>
      <w:pPr>
        <w:pStyle w:val="15"/>
        <w:spacing w:line="360" w:lineRule="auto"/>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3.2.1 </w:t>
      </w:r>
      <w:r>
        <w:rPr>
          <w:rFonts w:hint="eastAsia" w:hAnsi="宋体"/>
          <w:color w:val="000000" w:themeColor="text1"/>
          <w:sz w:val="24"/>
          <w:szCs w:val="24"/>
          <w:highlight w:val="none"/>
          <w14:textFill>
            <w14:solidFill>
              <w14:schemeClr w14:val="tx1"/>
            </w14:solidFill>
          </w14:textFill>
        </w:rPr>
        <w:t>商务文件由下列资料组成：</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（1）封面：写明项目名称、商务文件、投标人单位及年月日；加盖投标人公章。</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（2）目录。</w:t>
      </w:r>
    </w:p>
    <w:p>
      <w:pPr>
        <w:spacing w:line="360" w:lineRule="auto"/>
        <w:jc w:val="left"/>
        <w:rPr>
          <w:rFonts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u w:val="single"/>
          <w14:textFill>
            <w14:solidFill>
              <w14:schemeClr w14:val="tx1"/>
            </w14:solidFill>
          </w14:textFill>
        </w:rPr>
        <w:t>（3）投标书（格式见附录5）及联合体共同投标协议（如果有）（格式见附录6）；勘察设计费报价表（格式见附录4）。注：本项资料要求投标人在“开标文件”和“商务文件”中同时提供，但评标委员会应根据“开标文件”中的“投标书”、联合体共同投标协议（如果有）、</w:t>
      </w:r>
      <w:r>
        <w:rPr>
          <w:rFonts w:hint="eastAsia" w:ascii="宋体" w:hAnsi="宋体"/>
          <w:color w:val="000000" w:themeColor="text1"/>
          <w:sz w:val="24"/>
          <w:highlight w:val="none"/>
          <w:u w:val="single"/>
          <w14:textFill>
            <w14:solidFill>
              <w14:schemeClr w14:val="tx1"/>
            </w14:solidFill>
          </w14:textFill>
        </w:rPr>
        <w:t>察设计费报价表进行评审。如两者不一致，以“开标文件”中的为准。）</w:t>
      </w:r>
    </w:p>
    <w:p>
      <w:pPr>
        <w:spacing w:line="360" w:lineRule="auto"/>
        <w:jc w:val="left"/>
        <w:rPr>
          <w:rFonts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（4）填妥并盖章的《投标申请表》</w:t>
      </w:r>
      <w:r>
        <w:rPr>
          <w:rFonts w:hint="eastAsia" w:hAnsi="宋体"/>
          <w:color w:val="000000" w:themeColor="text1"/>
          <w:sz w:val="24"/>
          <w:highlight w:val="none"/>
          <w14:textFill>
            <w14:solidFill>
              <w14:schemeClr w14:val="tx1"/>
            </w14:solidFill>
          </w14:textFill>
        </w:rPr>
        <w:t>（格式见附录1、</w:t>
      </w:r>
      <w:r>
        <w:rPr>
          <w:rFonts w:hint="eastAsia" w:hAnsi="宋体"/>
          <w:strike/>
          <w:dstrike w:val="0"/>
          <w:color w:val="000000" w:themeColor="text1"/>
          <w:sz w:val="24"/>
          <w:highlight w:val="none"/>
          <w14:textFill>
            <w14:solidFill>
              <w14:schemeClr w14:val="tx1"/>
            </w14:solidFill>
          </w14:textFill>
        </w:rPr>
        <w:t>2、</w:t>
      </w:r>
      <w:r>
        <w:rPr>
          <w:rFonts w:hint="eastAsia" w:hAnsi="宋体"/>
          <w:color w:val="000000" w:themeColor="text1"/>
          <w:sz w:val="24"/>
          <w:highlight w:val="none"/>
          <w14:textFill>
            <w14:solidFill>
              <w14:schemeClr w14:val="tx1"/>
            </w14:solidFill>
          </w14:textFill>
        </w:rPr>
        <w:t>3）。</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（5）企业营业执照副本复印件。</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（6）企业资质证书副本复印件。</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（7）项目负责人注册证书或职称证书复印件。</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（8）各专业负责人注册证书或职称证书复印件。</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（9）企业类似工程业绩证明材料复印件。</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（10）项目负责人类似工程业绩证明材料复印件。</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为本项目拟投入的技术力量。主要包括项目负责人及各专业负责人的资格、设计经历及业务能力，主要设计人员的资格、设计经历及业务能力，工程勘察人员的资格、业务能力，参加本项目人员配置情况等，对资格等内容必须附上有关的证明材料，并能保证材料的真实性；（格式见附录8）。</w:t>
      </w:r>
    </w:p>
    <w:p>
      <w:pPr>
        <w:spacing w:line="360" w:lineRule="auto"/>
        <w:ind w:left="600" w:hanging="600" w:hangingChars="25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（12）投标人认为有必要的其他资料。</w:t>
      </w:r>
    </w:p>
    <w:p>
      <w:pPr>
        <w:spacing w:line="360" w:lineRule="auto"/>
        <w:ind w:left="600" w:hanging="600" w:hangingChars="250"/>
        <w:rPr>
          <w:rFonts w:hint="eastAsia" w:ascii="宋体" w:hAnsi="宋体"/>
          <w:strike/>
          <w:dstrike w:val="0"/>
          <w:color w:val="000000" w:themeColor="text1"/>
          <w:sz w:val="24"/>
          <w:highlight w:val="none"/>
          <w14:textFill>
            <w14:solidFill>
              <w14:schemeClr w14:val="tx1"/>
            </w14:solidFill>
          </w14:textFill>
        </w:rPr>
      </w:pPr>
      <w:r>
        <w:rPr>
          <w:rFonts w:hint="eastAsia" w:ascii="宋体" w:hAnsi="宋体"/>
          <w:strike/>
          <w:dstrike w:val="0"/>
          <w:color w:val="000000" w:themeColor="text1"/>
          <w:sz w:val="24"/>
          <w:highlight w:val="none"/>
          <w14:textFill>
            <w14:solidFill>
              <w14:schemeClr w14:val="tx1"/>
            </w14:solidFill>
          </w14:textFill>
        </w:rPr>
        <w:t>3.2.2 商务投标文件的密封要求：投标人应确保投标文件密闭封装，外包装材料不应留有可在包封后添加或抽取投标文件的空隙。外面标注“项目名称”及“商务文件”字样。</w:t>
      </w:r>
    </w:p>
    <w:p>
      <w:pPr>
        <w:spacing w:line="360" w:lineRule="auto"/>
        <w:ind w:left="600" w:hanging="600" w:hangingChars="250"/>
        <w:rPr>
          <w:rFonts w:hint="eastAsia" w:ascii="宋体" w:hAnsi="宋体"/>
          <w:strike/>
          <w:dstrike w:val="0"/>
          <w:color w:val="000000" w:themeColor="text1"/>
          <w:sz w:val="24"/>
          <w:highlight w:val="none"/>
          <w14:textFill>
            <w14:solidFill>
              <w14:schemeClr w14:val="tx1"/>
            </w14:solidFill>
          </w14:textFill>
        </w:rPr>
      </w:pPr>
      <w:r>
        <w:rPr>
          <w:rFonts w:hint="eastAsia" w:ascii="宋体" w:hAnsi="宋体"/>
          <w:strike/>
          <w:dstrike w:val="0"/>
          <w:color w:val="000000" w:themeColor="text1"/>
          <w:sz w:val="24"/>
          <w:highlight w:val="none"/>
          <w14:textFill>
            <w14:solidFill>
              <w14:schemeClr w14:val="tx1"/>
            </w14:solidFill>
          </w14:textFill>
        </w:rPr>
        <w:t>3.2.3接收投标文件时，如果包封上没有按上述规定密封或加写标志，招标人予以拒绝，并退还给投标人。</w:t>
      </w:r>
    </w:p>
    <w:p>
      <w:pPr>
        <w:spacing w:line="360" w:lineRule="auto"/>
        <w:rPr>
          <w:rFonts w:ascii="宋体" w:hAnsi="宋体"/>
          <w:b/>
          <w:bCs/>
          <w:color w:val="000000" w:themeColor="text1"/>
          <w:sz w:val="24"/>
          <w:highlight w:val="none"/>
          <w14:textFill>
            <w14:solidFill>
              <w14:schemeClr w14:val="tx1"/>
            </w14:solidFill>
          </w14:textFill>
        </w:rPr>
      </w:pPr>
    </w:p>
    <w:p>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3.3   技术文件编制要求</w:t>
      </w:r>
    </w:p>
    <w:p>
      <w:pPr>
        <w:spacing w:line="360" w:lineRule="auto"/>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3.3.1 </w:t>
      </w:r>
      <w:r>
        <w:rPr>
          <w:rFonts w:hint="eastAsia" w:ascii="宋体" w:hAnsi="宋体"/>
          <w:b/>
          <w:color w:val="000000" w:themeColor="text1"/>
          <w:sz w:val="24"/>
          <w:highlight w:val="none"/>
          <w14:textFill>
            <w14:solidFill>
              <w14:schemeClr w14:val="tx1"/>
            </w14:solidFill>
          </w14:textFill>
        </w:rPr>
        <w:t>技术文件由下列资料组成：</w:t>
      </w:r>
    </w:p>
    <w:p>
      <w:pPr>
        <w:spacing w:line="360" w:lineRule="auto"/>
        <w:ind w:firstLine="480" w:firstLineChars="200"/>
        <w:jc w:val="left"/>
        <w:rPr>
          <w:rFonts w:hAnsi="宋体"/>
          <w:dstrike/>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 设计方案。</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3.3.2 </w:t>
      </w:r>
      <w:r>
        <w:rPr>
          <w:rFonts w:hint="eastAsia" w:ascii="宋体" w:hAnsi="宋体"/>
          <w:b/>
          <w:bCs/>
          <w:color w:val="000000" w:themeColor="text1"/>
          <w:sz w:val="24"/>
          <w:highlight w:val="none"/>
          <w14:textFill>
            <w14:solidFill>
              <w14:schemeClr w14:val="tx1"/>
            </w14:solidFill>
          </w14:textFill>
        </w:rPr>
        <w:t>保密要求</w:t>
      </w:r>
    </w:p>
    <w:p>
      <w:pPr>
        <w:spacing w:line="360" w:lineRule="auto"/>
        <w:ind w:left="718" w:leftChars="342"/>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技术文件必须隐匿投标人及专业技术人员的名称，投标人不得在技术文件的设计方案上标注或做任何可以辨认投标人及专业技术人员身份的名称、印章、商标、图形</w:t>
      </w:r>
      <w:r>
        <w:rPr>
          <w:rFonts w:hint="eastAsia" w:ascii="宋体" w:hAnsi="宋体"/>
          <w:color w:val="000000" w:themeColor="text1"/>
          <w:sz w:val="24"/>
          <w:highlight w:val="none"/>
          <w14:textFill>
            <w14:solidFill>
              <w14:schemeClr w14:val="tx1"/>
            </w14:solidFill>
          </w14:textFill>
        </w:rPr>
        <w:t>。</w:t>
      </w:r>
    </w:p>
    <w:p>
      <w:pPr>
        <w:spacing w:line="360" w:lineRule="auto"/>
        <w:rPr>
          <w:rFonts w:hint="eastAsia" w:ascii="宋体" w:hAnsi="宋体"/>
          <w:color w:val="000000" w:themeColor="text1"/>
          <w:sz w:val="24"/>
          <w:highlight w:val="none"/>
          <w14:textFill>
            <w14:solidFill>
              <w14:schemeClr w14:val="tx1"/>
            </w14:solidFill>
          </w14:textFill>
        </w:rPr>
      </w:pPr>
    </w:p>
    <w:p>
      <w:pPr>
        <w:spacing w:line="360" w:lineRule="auto"/>
        <w:rPr>
          <w:rFonts w:ascii="宋体" w:hAnsi="宋体"/>
          <w:b/>
          <w:strike/>
          <w:dstrike w:val="0"/>
          <w:color w:val="000000" w:themeColor="text1"/>
          <w:sz w:val="24"/>
          <w:highlight w:val="none"/>
          <w14:textFill>
            <w14:solidFill>
              <w14:schemeClr w14:val="tx1"/>
            </w14:solidFill>
          </w14:textFill>
        </w:rPr>
      </w:pPr>
      <w:r>
        <w:rPr>
          <w:rFonts w:hint="eastAsia" w:ascii="宋体" w:hAnsi="宋体"/>
          <w:strike/>
          <w:dstrike w:val="0"/>
          <w:color w:val="000000" w:themeColor="text1"/>
          <w:sz w:val="24"/>
          <w:highlight w:val="none"/>
          <w14:textFill>
            <w14:solidFill>
              <w14:schemeClr w14:val="tx1"/>
            </w14:solidFill>
          </w14:textFill>
        </w:rPr>
        <w:t xml:space="preserve">3.3.3 </w:t>
      </w:r>
      <w:r>
        <w:rPr>
          <w:rFonts w:hint="eastAsia" w:ascii="宋体" w:hAnsi="宋体"/>
          <w:b/>
          <w:strike/>
          <w:dstrike w:val="0"/>
          <w:color w:val="000000" w:themeColor="text1"/>
          <w:sz w:val="24"/>
          <w:highlight w:val="none"/>
          <w14:textFill>
            <w14:solidFill>
              <w14:schemeClr w14:val="tx1"/>
            </w14:solidFill>
          </w14:textFill>
        </w:rPr>
        <w:t>保密信封</w:t>
      </w:r>
    </w:p>
    <w:p>
      <w:pPr>
        <w:spacing w:line="360" w:lineRule="auto"/>
        <w:ind w:left="719" w:leftChars="114" w:hanging="480" w:hangingChars="200"/>
        <w:jc w:val="left"/>
        <w:rPr>
          <w:rFonts w:ascii="宋体" w:hAnsi="宋体"/>
          <w:strike/>
          <w:dstrike w:val="0"/>
          <w:color w:val="000000" w:themeColor="text1"/>
          <w:sz w:val="24"/>
          <w:highlight w:val="none"/>
          <w14:textFill>
            <w14:solidFill>
              <w14:schemeClr w14:val="tx1"/>
            </w14:solidFill>
          </w14:textFill>
        </w:rPr>
      </w:pPr>
      <w:r>
        <w:rPr>
          <w:rFonts w:hint="eastAsia" w:ascii="宋体" w:hAnsi="宋体"/>
          <w:strike/>
          <w:dstrike w:val="0"/>
          <w:color w:val="000000" w:themeColor="text1"/>
          <w:sz w:val="24"/>
          <w:highlight w:val="none"/>
          <w14:textFill>
            <w14:solidFill>
              <w14:schemeClr w14:val="tx1"/>
            </w14:solidFill>
          </w14:textFill>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dstrike w:val="0"/>
          <w:color w:val="000000" w:themeColor="text1"/>
          <w:sz w:val="24"/>
          <w:highlight w:val="none"/>
          <w14:textFill>
            <w14:solidFill>
              <w14:schemeClr w14:val="tx1"/>
            </w14:solidFill>
          </w14:textFill>
        </w:rPr>
      </w:pPr>
      <w:r>
        <w:rPr>
          <w:rFonts w:hint="eastAsia" w:ascii="宋体" w:hAnsi="宋体"/>
          <w:strike/>
          <w:dstrike w:val="0"/>
          <w:color w:val="000000" w:themeColor="text1"/>
          <w:sz w:val="24"/>
          <w:highlight w:val="none"/>
          <w14:textFill>
            <w14:solidFill>
              <w14:schemeClr w14:val="tx1"/>
            </w14:solidFill>
          </w14:textFill>
        </w:rPr>
        <w:t>（2）保密信封用不透明信封独立密封，外面标注“项目名称”及“保密信封”字样。</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3.3.4 </w:t>
      </w:r>
      <w:r>
        <w:rPr>
          <w:rFonts w:hint="eastAsia" w:ascii="宋体" w:hAnsi="宋体"/>
          <w:b/>
          <w:color w:val="000000" w:themeColor="text1"/>
          <w:sz w:val="24"/>
          <w:highlight w:val="none"/>
          <w14:textFill>
            <w14:solidFill>
              <w14:schemeClr w14:val="tx1"/>
            </w14:solidFill>
          </w14:textFill>
        </w:rPr>
        <w:t>设计方案</w:t>
      </w:r>
    </w:p>
    <w:p>
      <w:pPr>
        <w:spacing w:line="360" w:lineRule="auto"/>
        <w:ind w:left="1199" w:leftChars="114" w:hanging="960" w:hangingChars="4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（1）设计方案文本文件内容：</w:t>
      </w:r>
    </w:p>
    <w:p>
      <w:pPr>
        <w:spacing w:line="360" w:lineRule="auto"/>
        <w:ind w:left="720" w:hanging="720" w:hangingChars="30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(a) 封面：写明项目名称、编制年月；</w:t>
      </w:r>
    </w:p>
    <w:p>
      <w:pPr>
        <w:spacing w:line="360" w:lineRule="auto"/>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(b) 目录。</w:t>
      </w:r>
    </w:p>
    <w:p>
      <w:pPr>
        <w:spacing w:line="360" w:lineRule="auto"/>
        <w:ind w:firstLine="120" w:firstLineChars="5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(c) 设计说明书（含本项目的难点、建议和</w:t>
      </w:r>
      <w:r>
        <w:rPr>
          <w:rFonts w:hAnsi="宋体"/>
          <w:color w:val="000000" w:themeColor="text1"/>
          <w:sz w:val="24"/>
          <w:highlight w:val="none"/>
          <w:u w:val="single"/>
          <w14:textFill>
            <w14:solidFill>
              <w14:schemeClr w14:val="tx1"/>
            </w14:solidFill>
          </w14:textFill>
        </w:rPr>
        <w:t>工程创新</w:t>
      </w:r>
      <w:r>
        <w:rPr>
          <w:rFonts w:hint="eastAsia" w:hAnsi="宋体"/>
          <w:color w:val="000000" w:themeColor="text1"/>
          <w:sz w:val="24"/>
          <w:highlight w:val="none"/>
          <w:u w:val="single"/>
          <w14:textFill>
            <w14:solidFill>
              <w14:schemeClr w14:val="tx1"/>
            </w14:solidFill>
          </w14:textFill>
        </w:rPr>
        <w:t>）。</w:t>
      </w:r>
    </w:p>
    <w:p>
      <w:pPr>
        <w:spacing w:line="360" w:lineRule="auto"/>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w:t>
      </w:r>
      <w:r>
        <w:rPr>
          <w:rFonts w:hAnsi="宋体"/>
          <w:color w:val="000000" w:themeColor="text1"/>
          <w:sz w:val="24"/>
          <w:highlight w:val="none"/>
          <w:u w:val="single"/>
          <w14:textFill>
            <w14:solidFill>
              <w14:schemeClr w14:val="tx1"/>
            </w14:solidFill>
          </w14:textFill>
        </w:rPr>
        <w:t>d</w:t>
      </w:r>
      <w:r>
        <w:rPr>
          <w:rFonts w:hint="eastAsia" w:hAnsi="宋体"/>
          <w:color w:val="000000" w:themeColor="text1"/>
          <w:sz w:val="24"/>
          <w:highlight w:val="none"/>
          <w:u w:val="single"/>
          <w14:textFill>
            <w14:solidFill>
              <w14:schemeClr w14:val="tx1"/>
            </w14:solidFill>
          </w14:textFill>
        </w:rPr>
        <w:t>) 投标人认为有必要提供的其他资料。</w:t>
      </w:r>
    </w:p>
    <w:p>
      <w:pPr>
        <w:pStyle w:val="14"/>
        <w:spacing w:line="360" w:lineRule="auto"/>
        <w:ind w:firstLine="0" w:firstLineChars="0"/>
        <w:rPr>
          <w:rFonts w:hAnsi="宋体"/>
          <w:b/>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Ansi="宋体"/>
          <w:color w:val="000000" w:themeColor="text1"/>
          <w:sz w:val="24"/>
          <w:highlight w:val="none"/>
          <w:u w:val="single"/>
          <w14:textFill>
            <w14:solidFill>
              <w14:schemeClr w14:val="tx1"/>
            </w14:solidFill>
          </w14:textFill>
        </w:rPr>
        <w:t>2</w:t>
      </w:r>
      <w:r>
        <w:rPr>
          <w:rFonts w:hint="eastAsia" w:hAnsi="宋体"/>
          <w:color w:val="000000" w:themeColor="text1"/>
          <w:sz w:val="24"/>
          <w:highlight w:val="none"/>
          <w:u w:val="single"/>
          <w14:textFill>
            <w14:solidFill>
              <w14:schemeClr w14:val="tx1"/>
            </w14:solidFill>
          </w14:textFill>
        </w:rPr>
        <w:t>）</w:t>
      </w:r>
      <w:r>
        <w:rPr>
          <w:rFonts w:hint="eastAsia" w:hAnsi="宋体"/>
          <w:b/>
          <w:color w:val="000000" w:themeColor="text1"/>
          <w:sz w:val="24"/>
          <w:szCs w:val="24"/>
          <w:highlight w:val="none"/>
          <w:u w:val="single"/>
          <w14:textFill>
            <w14:solidFill>
              <w14:schemeClr w14:val="tx1"/>
            </w14:solidFill>
          </w14:textFill>
        </w:rPr>
        <w:t>勘察部分内容：</w:t>
      </w:r>
    </w:p>
    <w:p>
      <w:pPr>
        <w:spacing w:line="360" w:lineRule="auto"/>
        <w:ind w:left="720" w:hanging="720" w:hangingChars="30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(a) 针对项目场地及工程性质采用的勘察方案及建议，本次勘察的重点、难点及建议。</w:t>
      </w:r>
    </w:p>
    <w:p>
      <w:pPr>
        <w:tabs>
          <w:tab w:val="right" w:pos="8350"/>
        </w:tabs>
        <w:spacing w:line="360" w:lineRule="auto"/>
        <w:ind w:left="720" w:hanging="720" w:hangingChars="30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(b) 勘察工作流程和相应的工期进度计划。</w:t>
      </w:r>
      <w:r>
        <w:rPr>
          <w:rFonts w:hint="eastAsia" w:hAnsi="宋体"/>
          <w:color w:val="000000" w:themeColor="text1"/>
          <w:sz w:val="24"/>
          <w:highlight w:val="none"/>
          <w:u w:val="single"/>
          <w14:textFill>
            <w14:solidFill>
              <w14:schemeClr w14:val="tx1"/>
            </w14:solidFill>
          </w14:textFill>
        </w:rPr>
        <w:tab/>
      </w:r>
    </w:p>
    <w:p>
      <w:pPr>
        <w:spacing w:line="360" w:lineRule="auto"/>
        <w:ind w:left="720" w:hanging="720" w:hangingChars="30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(c) 勘察报告综合评价深度，勘察成果文件内容目录。</w:t>
      </w:r>
    </w:p>
    <w:p>
      <w:pPr>
        <w:spacing w:line="360" w:lineRule="auto"/>
        <w:ind w:left="720" w:hanging="720" w:hangingChars="30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(d) 投标人掌握的勘察工作有关的法律法规、标准、规范一览表。</w:t>
      </w:r>
    </w:p>
    <w:p>
      <w:pPr>
        <w:spacing w:line="360" w:lineRule="auto"/>
        <w:ind w:left="720" w:hanging="720" w:hangingChars="30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(e) 需要建设单位配合的事项。</w:t>
      </w:r>
    </w:p>
    <w:p>
      <w:pPr>
        <w:spacing w:line="360" w:lineRule="auto"/>
        <w:ind w:left="720" w:hanging="720" w:hangingChars="300"/>
        <w:jc w:val="left"/>
        <w:rPr>
          <w:rFonts w:hAns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 xml:space="preserve">    (f) 投标人参与施工验槽，解决工程设计和施工中与勘察工作有关问题的服务承诺、响应时间。</w:t>
      </w:r>
    </w:p>
    <w:p>
      <w:pPr>
        <w:spacing w:line="360" w:lineRule="auto"/>
        <w:ind w:left="719" w:leftChars="114" w:hanging="480" w:hanging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注：技术文件文件大小不宜超过500M。</w:t>
      </w:r>
    </w:p>
    <w:p>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3.3.5 </w:t>
      </w:r>
      <w:r>
        <w:rPr>
          <w:rFonts w:hint="eastAsia" w:ascii="宋体" w:hAnsi="宋体"/>
          <w:b/>
          <w:color w:val="000000" w:themeColor="text1"/>
          <w:sz w:val="24"/>
          <w:highlight w:val="none"/>
          <w:u w:val="single"/>
          <w14:textFill>
            <w14:solidFill>
              <w14:schemeClr w14:val="tx1"/>
            </w14:solidFill>
          </w14:textFill>
        </w:rPr>
        <w:t>投标文件光盘（备用）</w:t>
      </w:r>
    </w:p>
    <w:p>
      <w:pPr>
        <w:spacing w:line="360" w:lineRule="auto"/>
        <w:ind w:left="630" w:leftChars="3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投标文件光盘（备用）的封装要求详见招标文件第二章第2.11.1款的规定。投标人可自主选择是否递交投标文件光盘（备用）。</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3.3.6 </w:t>
      </w:r>
      <w:r>
        <w:rPr>
          <w:rFonts w:hint="eastAsia" w:ascii="宋体" w:hAnsi="宋体"/>
          <w:b/>
          <w:color w:val="000000" w:themeColor="text1"/>
          <w:sz w:val="24"/>
          <w:highlight w:val="none"/>
          <w14:textFill>
            <w14:solidFill>
              <w14:schemeClr w14:val="tx1"/>
            </w14:solidFill>
          </w14:textFill>
        </w:rPr>
        <w:t>展示图纸</w:t>
      </w:r>
    </w:p>
    <w:p>
      <w:pPr>
        <w:spacing w:line="360" w:lineRule="auto"/>
        <w:ind w:left="600" w:hanging="600" w:hangingChars="2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不单独提供展示图，所有展示图编入投标文件。</w:t>
      </w:r>
    </w:p>
    <w:p>
      <w:pPr>
        <w:spacing w:line="40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3.4    投标保证</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3.4.1  投标人□需要/</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不需要提交投标保证金。     </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3.4.2  </w:t>
      </w:r>
      <w:r>
        <w:rPr>
          <w:rFonts w:hint="eastAsia" w:ascii="宋体" w:hAnsi="宋体"/>
          <w:color w:val="000000" w:themeColor="text1"/>
          <w:kern w:val="0"/>
          <w:sz w:val="24"/>
          <w:highlight w:val="none"/>
          <w14:textFill>
            <w14:solidFill>
              <w14:schemeClr w14:val="tx1"/>
            </w14:solidFill>
          </w14:textFill>
        </w:rPr>
        <w:t>投标有效期90天，</w:t>
      </w:r>
      <w:r>
        <w:rPr>
          <w:rFonts w:hint="eastAsia" w:ascii="宋体" w:hAnsi="宋体"/>
          <w:color w:val="000000" w:themeColor="text1"/>
          <w:sz w:val="24"/>
          <w:highlight w:val="none"/>
          <w14:textFill>
            <w14:solidFill>
              <w14:schemeClr w14:val="tx1"/>
            </w14:solidFill>
          </w14:textFill>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rPr>
          <w:rFonts w:ascii="宋体" w:hAnsi="宋体"/>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u w:val="single"/>
          <w14:textFill>
            <w14:solidFill>
              <w14:schemeClr w14:val="tx1"/>
            </w14:solidFill>
          </w14:textFill>
        </w:rPr>
        <w:t>3.5</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开标文件编制要求</w:t>
      </w:r>
    </w:p>
    <w:p>
      <w:pPr>
        <w:pStyle w:val="14"/>
        <w:spacing w:line="360" w:lineRule="auto"/>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3.5.1开标文件由下列资料组成：</w:t>
      </w:r>
    </w:p>
    <w:p>
      <w:pPr>
        <w:pStyle w:val="14"/>
        <w:spacing w:line="360" w:lineRule="auto"/>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（1）《投标书》（格式见附录</w:t>
      </w:r>
      <w:r>
        <w:rPr>
          <w:rFonts w:hint="eastAsia"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，填妥并签名盖章）。</w:t>
      </w:r>
    </w:p>
    <w:p>
      <w:pPr>
        <w:pStyle w:val="14"/>
        <w:spacing w:line="360" w:lineRule="auto"/>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（2）《联合体共同投标协议》(如有）（格式见附录</w:t>
      </w:r>
      <w:r>
        <w:rPr>
          <w:rFonts w:hint="eastAsia"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，联合体投标时递交，填妥并由联合体各方共同签名盖章）。</w:t>
      </w:r>
    </w:p>
    <w:p>
      <w:pPr>
        <w:pStyle w:val="14"/>
        <w:spacing w:line="360" w:lineRule="auto"/>
        <w:ind w:left="821" w:hanging="820" w:hangingChars="342"/>
        <w:rPr>
          <w:rFonts w:hint="eastAsia" w:hAnsi="宋体"/>
          <w:color w:val="000000" w:themeColor="text1"/>
          <w:sz w:val="24"/>
          <w:highlight w:val="none"/>
          <w:u w:val="single"/>
          <w:lang w:val="en-US" w:eastAsia="zh-CN"/>
          <w14:textFill>
            <w14:solidFill>
              <w14:schemeClr w14:val="tx1"/>
            </w14:solidFill>
          </w14:textFill>
        </w:rPr>
      </w:pPr>
      <w:r>
        <w:rPr>
          <w:rFonts w:hint="eastAsia" w:hAnsi="宋体"/>
          <w:color w:val="000000" w:themeColor="text1"/>
          <w:sz w:val="24"/>
          <w:highlight w:val="none"/>
          <w:u w:val="single"/>
          <w:lang w:val="en-US" w:eastAsia="zh-CN"/>
          <w14:textFill>
            <w14:solidFill>
              <w14:schemeClr w14:val="tx1"/>
            </w14:solidFill>
          </w14:textFill>
        </w:rPr>
        <w:t>（3）勘察设计费报价表（格式见附录4）。</w:t>
      </w:r>
    </w:p>
    <w:p>
      <w:pPr>
        <w:spacing w:line="360" w:lineRule="auto"/>
        <w:ind w:left="600" w:hanging="600" w:hangingChars="250"/>
        <w:jc w:val="center"/>
        <w:rPr>
          <w:rFonts w:ascii="宋体" w:hAnsi="宋体"/>
          <w:b/>
          <w:color w:val="000000" w:themeColor="text1"/>
          <w:sz w:val="36"/>
          <w:szCs w:val="36"/>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rFonts w:hint="eastAsia" w:ascii="宋体" w:hAnsi="宋体"/>
          <w:b/>
          <w:color w:val="000000" w:themeColor="text1"/>
          <w:sz w:val="36"/>
          <w:szCs w:val="36"/>
          <w:highlight w:val="none"/>
          <w14:textFill>
            <w14:solidFill>
              <w14:schemeClr w14:val="tx1"/>
            </w14:solidFill>
          </w14:textFill>
        </w:rPr>
        <w:t>第四章  废标条款</w:t>
      </w:r>
    </w:p>
    <w:p>
      <w:pPr>
        <w:pStyle w:val="15"/>
        <w:rPr>
          <w:rFonts w:hAnsi="宋体"/>
          <w:color w:val="000000" w:themeColor="text1"/>
          <w:highlight w:val="none"/>
          <w14:textFill>
            <w14:solidFill>
              <w14:schemeClr w14:val="tx1"/>
            </w14:solidFill>
          </w14:textFill>
        </w:rPr>
      </w:pP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4.1    废标</w:t>
      </w:r>
    </w:p>
    <w:p>
      <w:pPr>
        <w:spacing w:line="400" w:lineRule="exact"/>
        <w:ind w:left="960" w:hanging="960" w:hangingChars="4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4.1</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 xml:space="preserve">  投标人有下列情况之一的，招标人将拒绝接收投标人的投标文件或者投标文件光盘：</w:t>
      </w:r>
    </w:p>
    <w:p>
      <w:pPr>
        <w:spacing w:line="400" w:lineRule="exact"/>
        <w:ind w:left="842" w:leftChars="228" w:hanging="364" w:hangingChars="15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4.1.2  商务投标文件有下列情况之一的，由评标委员会确定其为废标：</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（a）投标人与招标人、评标委员会成员或者其他投标人串通投标。</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（b）投标人与其他投标人加密打包投标文件电脑机器特征码一致的</w:t>
      </w:r>
      <w:r>
        <w:rPr>
          <w:rFonts w:hint="eastAsia" w:ascii="宋体" w:hAnsi="宋体"/>
          <w:color w:val="000000" w:themeColor="text1"/>
          <w:sz w:val="24"/>
          <w:highlight w:val="none"/>
          <w14:textFill>
            <w14:solidFill>
              <w14:schemeClr w14:val="tx1"/>
            </w14:solidFill>
          </w14:textFill>
        </w:rPr>
        <w:t xml:space="preserve">。 </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（c）《投标书》未加盖投标人公章。 </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（d）《投标书》未经法定代表人或者其授权代表签名或盖章。 </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（e）《投标书》包含有招标人不能接受的偏差，并且投标人拒绝书面撤回偏差。</w:t>
      </w:r>
    </w:p>
    <w:p>
      <w:pPr>
        <w:spacing w:line="400" w:lineRule="exact"/>
        <w:ind w:left="719" w:leftChars="114" w:hanging="480" w:hanging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（f）《投标书》未按招标文件规定的格式填写，内容不全或者关键字迹模糊无法辨认的。</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（g）证明材料有弄虚作假者。</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（h）不按第三章投标文件编制要求编制的投标文件。</w:t>
      </w:r>
    </w:p>
    <w:p>
      <w:pPr>
        <w:spacing w:line="400" w:lineRule="exact"/>
        <w:ind w:firstLine="240" w:firstLineChars="100"/>
        <w:rPr>
          <w:rFonts w:ascii="宋体" w:hAnsi="宋体"/>
          <w:dstrike/>
          <w:color w:val="000000" w:themeColor="text1"/>
          <w:sz w:val="24"/>
          <w:highlight w:val="none"/>
          <w14:textFill>
            <w14:solidFill>
              <w14:schemeClr w14:val="tx1"/>
            </w14:solidFill>
          </w14:textFill>
        </w:rPr>
      </w:pPr>
      <w:r>
        <w:rPr>
          <w:rFonts w:hint="eastAsia" w:ascii="宋体" w:hAnsi="宋体"/>
          <w:dstrike/>
          <w:color w:val="000000" w:themeColor="text1"/>
          <w:sz w:val="24"/>
          <w:highlight w:val="none"/>
          <w14:textFill>
            <w14:solidFill>
              <w14:schemeClr w14:val="tx1"/>
            </w14:solidFill>
          </w14:textFill>
        </w:rPr>
        <w:t>（i）未按照招标文件要求提交投标保证金的。</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（j）不按照要求对投标文件进行澄清、说明或者补正的。</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（k）未按照招标文件要求进行投标报价的。</w:t>
      </w:r>
    </w:p>
    <w:p>
      <w:pPr>
        <w:spacing w:line="400" w:lineRule="exact"/>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(l) 以联合体形式投标的，未向招标人提交联合体共同投标协议。</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  技术投标文件有下列情况之一的，由评标委员会确定其为废标：</w:t>
      </w:r>
    </w:p>
    <w:p>
      <w:pPr>
        <w:spacing w:line="360" w:lineRule="auto"/>
        <w:ind w:left="599" w:leftChars="114" w:hanging="360" w:hanging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（a）投标人在设计方案内标注名称、印章、商标</w:t>
      </w:r>
      <w:r>
        <w:rPr>
          <w:rFonts w:hint="eastAsia" w:ascii="宋体" w:hAnsi="宋体" w:cs="宋体"/>
          <w:color w:val="000000" w:themeColor="text1"/>
          <w:sz w:val="24"/>
          <w:highlight w:val="none"/>
          <w:u w:val="single"/>
          <w14:textFill>
            <w14:solidFill>
              <w14:schemeClr w14:val="tx1"/>
            </w14:solidFill>
          </w14:textFill>
        </w:rPr>
        <w:t>、图形</w:t>
      </w:r>
      <w:r>
        <w:rPr>
          <w:rFonts w:hint="eastAsia" w:ascii="宋体" w:hAnsi="宋体"/>
          <w:color w:val="000000" w:themeColor="text1"/>
          <w:sz w:val="24"/>
          <w:highlight w:val="none"/>
          <w14:textFill>
            <w14:solidFill>
              <w14:schemeClr w14:val="tx1"/>
            </w14:solidFill>
          </w14:textFill>
        </w:rPr>
        <w:t xml:space="preserve">等记认符号，使人辨认出投标人或其专业技术人员的身份。 </w:t>
      </w:r>
    </w:p>
    <w:p>
      <w:pPr>
        <w:spacing w:line="360" w:lineRule="auto"/>
        <w:ind w:left="599" w:leftChars="114" w:hanging="360" w:hanging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（b）有互相雷同或串通投标的。 </w:t>
      </w:r>
    </w:p>
    <w:p>
      <w:pPr>
        <w:spacing w:line="360" w:lineRule="auto"/>
        <w:ind w:left="599" w:leftChars="114" w:hanging="360" w:hanging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（c）有明显抄袭行为。 </w:t>
      </w:r>
    </w:p>
    <w:p>
      <w:pPr>
        <w:spacing w:line="360" w:lineRule="auto"/>
        <w:ind w:left="599" w:leftChars="114" w:hanging="360" w:hanging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（d）侵犯他人著作权和特许权。</w:t>
      </w:r>
    </w:p>
    <w:p>
      <w:pPr>
        <w:spacing w:line="40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（e）不按第三章投标文件编制要求编制投标文件。</w:t>
      </w:r>
    </w:p>
    <w:p>
      <w:pPr>
        <w:spacing w:line="360" w:lineRule="auto"/>
        <w:rPr>
          <w:rFonts w:ascii="宋体" w:hAnsi="宋体"/>
          <w:color w:val="000000" w:themeColor="text1"/>
          <w:sz w:val="24"/>
          <w:highlight w:val="none"/>
          <w14:textFill>
            <w14:solidFill>
              <w14:schemeClr w14:val="tx1"/>
            </w14:solidFill>
          </w14:textFill>
        </w:rPr>
        <w:sectPr>
          <w:footerReference r:id="rId4" w:type="default"/>
          <w:type w:val="nextColumn"/>
          <w:pgSz w:w="11906" w:h="16838"/>
          <w:pgMar w:top="1418" w:right="1418" w:bottom="1418" w:left="1418" w:header="851" w:footer="992" w:gutter="0"/>
          <w:pgNumType w:start="1"/>
          <w:cols w:space="425" w:num="1"/>
          <w:docGrid w:type="linesAndChars" w:linePitch="312" w:charSpace="0"/>
        </w:sectPr>
      </w:pPr>
    </w:p>
    <w:p>
      <w:pPr>
        <w:spacing w:line="360" w:lineRule="auto"/>
        <w:ind w:left="904" w:hanging="900" w:hangingChars="250"/>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第五章  开标评标定标</w:t>
      </w:r>
    </w:p>
    <w:p>
      <w:pPr>
        <w:pStyle w:val="15"/>
        <w:spacing w:line="400" w:lineRule="exact"/>
        <w:rPr>
          <w:rFonts w:hAnsi="宋体"/>
          <w:b/>
          <w:bCs/>
          <w:color w:val="000000" w:themeColor="text1"/>
          <w:sz w:val="24"/>
          <w:szCs w:val="24"/>
          <w:highlight w:val="none"/>
          <w14:textFill>
            <w14:solidFill>
              <w14:schemeClr w14:val="tx1"/>
            </w14:solidFill>
          </w14:textFill>
        </w:rPr>
      </w:pPr>
    </w:p>
    <w:p>
      <w:pPr>
        <w:pStyle w:val="15"/>
        <w:spacing w:line="400" w:lineRule="exact"/>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5.1    评标委员会</w:t>
      </w:r>
    </w:p>
    <w:p>
      <w:pPr>
        <w:pStyle w:val="15"/>
        <w:spacing w:line="400" w:lineRule="exact"/>
        <w:ind w:left="821" w:hanging="820" w:hangingChars="34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5.1</w:t>
      </w:r>
      <w:r>
        <w:rPr>
          <w:rFonts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14:textFill>
            <w14:solidFill>
              <w14:schemeClr w14:val="tx1"/>
            </w14:solidFill>
          </w14:textFill>
        </w:rPr>
        <w:t xml:space="preserve">1  </w:t>
      </w:r>
      <w:r>
        <w:rPr>
          <w:rFonts w:hint="eastAsia" w:hAnsi="宋体" w:cs="宋体"/>
          <w:color w:val="000000" w:themeColor="text1"/>
          <w:sz w:val="24"/>
          <w:szCs w:val="24"/>
          <w:highlight w:val="none"/>
          <w14:textFill>
            <w14:solidFill>
              <w14:schemeClr w14:val="tx1"/>
            </w14:solidFill>
          </w14:textFill>
        </w:rPr>
        <w:t>评标委员会由招标人依法组建</w:t>
      </w:r>
      <w:r>
        <w:rPr>
          <w:rFonts w:hint="eastAsia" w:hAnsi="宋体"/>
          <w:color w:val="000000" w:themeColor="text1"/>
          <w:sz w:val="24"/>
          <w:szCs w:val="24"/>
          <w:highlight w:val="none"/>
          <w14:textFill>
            <w14:solidFill>
              <w14:schemeClr w14:val="tx1"/>
            </w14:solidFill>
          </w14:textFill>
        </w:rPr>
        <w:t>。</w:t>
      </w:r>
    </w:p>
    <w:p>
      <w:pPr>
        <w:pStyle w:val="15"/>
        <w:spacing w:line="400" w:lineRule="exact"/>
        <w:ind w:left="821" w:hanging="820" w:hangingChars="342"/>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5.1.2  评标委员会随机产生1名负责人，主持评审工作，负责人与其他成员有同等表决权。在评标分数统计结束后，</w:t>
      </w:r>
      <w:r>
        <w:rPr>
          <w:rFonts w:hint="eastAsia" w:hAnsi="宋体" w:cs="Arial"/>
          <w:color w:val="000000" w:themeColor="text1"/>
          <w:sz w:val="24"/>
          <w:szCs w:val="24"/>
          <w:highlight w:val="none"/>
          <w14:textFill>
            <w14:solidFill>
              <w14:schemeClr w14:val="tx1"/>
            </w14:solidFill>
          </w14:textFill>
        </w:rPr>
        <w:t>如果有得分相同的投标方案，则评标委员会对得分相同的投标方案进行投票表决。</w:t>
      </w: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5.2    评标原则</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5.2.2  在符合招标文件规定的前提下，评标委员会主要对投标方案</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总体设计、可行性、</w:t>
      </w:r>
      <w:r>
        <w:rPr>
          <w:rFonts w:ascii="宋体" w:hAnsi="宋体"/>
          <w:color w:val="000000" w:themeColor="text1"/>
          <w:sz w:val="24"/>
          <w:highlight w:val="none"/>
          <w14:textFill>
            <w14:solidFill>
              <w14:schemeClr w14:val="tx1"/>
            </w14:solidFill>
          </w14:textFill>
        </w:rPr>
        <w:t>经济性</w:t>
      </w:r>
      <w:r>
        <w:rPr>
          <w:rFonts w:hint="eastAsia" w:ascii="宋体" w:hAnsi="宋体"/>
          <w:color w:val="000000" w:themeColor="text1"/>
          <w:sz w:val="24"/>
          <w:highlight w:val="none"/>
          <w14:textFill>
            <w14:solidFill>
              <w14:schemeClr w14:val="tx1"/>
            </w14:solidFill>
          </w14:textFill>
        </w:rPr>
        <w:t>、优越性、功能和造型、运行和维护费用、对环境的影响等进行比选、评价和裁定，确定方案的优劣和分值。</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若在评标期间</w:t>
      </w:r>
      <w:r>
        <w:rPr>
          <w:rFonts w:hint="eastAsia" w:ascii="宋体" w:hAnsi="宋体"/>
          <w:b/>
          <w:color w:val="000000" w:themeColor="text1"/>
          <w:sz w:val="24"/>
          <w:highlight w:val="none"/>
          <w14:textFill>
            <w14:solidFill>
              <w14:schemeClr w14:val="tx1"/>
            </w14:solidFill>
          </w14:textFill>
        </w:rPr>
        <w:t>（设计</w:t>
      </w:r>
      <w:r>
        <w:rPr>
          <w:rFonts w:ascii="宋体" w:hAnsi="宋体"/>
          <w:b/>
          <w:color w:val="000000" w:themeColor="text1"/>
          <w:sz w:val="24"/>
          <w:highlight w:val="none"/>
          <w14:textFill>
            <w14:solidFill>
              <w14:schemeClr w14:val="tx1"/>
            </w14:solidFill>
          </w14:textFill>
        </w:rPr>
        <w:t>方案评审阶段除外</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，经评标委员会两人以上（含两人）以书面形式提出动议，评标委员会应当书面发出澄清通知，要求投标人对投标文件含义不明确的内容作出澄清。</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评标委员会均应当阅读投标人的澄清，但应独立参考澄清对投标文件进行评审。</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5.2</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color w:val="000000" w:themeColor="text1"/>
          <w:sz w:val="24"/>
          <w:highlight w:val="none"/>
          <w14:textFill>
            <w14:solidFill>
              <w14:schemeClr w14:val="tx1"/>
            </w14:solidFill>
          </w14:textFill>
        </w:rPr>
      </w:pP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5.3    评标办法 采用</w:t>
      </w:r>
      <w:r>
        <w:rPr>
          <w:rFonts w:hint="eastAsia" w:ascii="宋体" w:hAnsi="宋体" w:cs="宋体"/>
          <w:b/>
          <w:bCs/>
          <w:color w:val="000000" w:themeColor="text1"/>
          <w:sz w:val="24"/>
          <w:highlight w:val="none"/>
          <w:u w:val="single"/>
          <w14:textFill>
            <w14:solidFill>
              <w14:schemeClr w14:val="tx1"/>
            </w14:solidFill>
          </w14:textFill>
        </w:rPr>
        <w:t>办法一</w:t>
      </w: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办法一   采用综合评分法评标</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5.3.1  开标评标程序</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.2.截标后，开标开始时间因故推迟的，相关评标信息仍以原定的开标开始时间的信息为准。</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.3备用光盘的读取按2.11.2的规定执行。</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color w:val="000000" w:themeColor="text1"/>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.6参加现场开标的投标人对开标结果有异议的，应当在开标现场提出，招标人应当当场作出答复，并制作记录。</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.8投标人未参加开标或在规定的时间内未提出异议的，视为对开标无异议。</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.9开标时，两个（含两个）以上的投标人加密打包投标文件电脑机器特征码一致的，由评标委员会确定其为废标。</w:t>
      </w:r>
    </w:p>
    <w:p>
      <w:pPr>
        <w:spacing w:line="400" w:lineRule="exact"/>
        <w:ind w:left="821" w:hanging="820" w:hangingChars="342"/>
        <w:rPr>
          <w:color w:val="000000" w:themeColor="text1"/>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w:t>
      </w:r>
      <w:r>
        <w:rPr>
          <w:rFonts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.11开标时，出现下列情形之一的投标人，不参与下一程序，其投标文件作无效处理：</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（1）未成功递交或因投标人原因未成功导入投标文件的；</w:t>
      </w:r>
    </w:p>
    <w:p>
      <w:pPr>
        <w:spacing w:line="400" w:lineRule="exact"/>
        <w:ind w:left="821" w:hanging="820" w:hangingChars="342"/>
        <w:rPr>
          <w:color w:val="000000" w:themeColor="text1"/>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（2）因投标人原因造成投标文件未解密的。</w:t>
      </w:r>
    </w:p>
    <w:p>
      <w:pPr>
        <w:spacing w:line="400" w:lineRule="exact"/>
        <w:ind w:left="821" w:hanging="820" w:hangingChars="342"/>
        <w:rPr>
          <w:color w:val="000000" w:themeColor="text1"/>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w:t>
      </w:r>
      <w:r>
        <w:rPr>
          <w:rFonts w:hint="eastAsia" w:ascii="宋体" w:hAnsi="宋体"/>
          <w:color w:val="000000" w:themeColor="text1"/>
          <w:sz w:val="24"/>
          <w:highlight w:val="none"/>
          <w:u w:val="single"/>
          <w:lang w:val="en-US" w:eastAsia="zh-CN"/>
          <w14:textFill>
            <w14:solidFill>
              <w14:schemeClr w14:val="tx1"/>
            </w14:solidFill>
          </w14:textFill>
        </w:rPr>
        <w:t>2</w:t>
      </w:r>
      <w:r>
        <w:rPr>
          <w:rFonts w:hint="eastAsia" w:ascii="宋体" w:hAnsi="宋体"/>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u w:val="single"/>
          <w:lang w:val="en-US" w:eastAsia="zh-CN"/>
          <w14:textFill>
            <w14:solidFill>
              <w14:schemeClr w14:val="tx1"/>
            </w14:solidFill>
          </w14:textFill>
        </w:rPr>
        <w:t>4</w:t>
      </w:r>
      <w:r>
        <w:rPr>
          <w:rFonts w:hint="eastAsia" w:ascii="宋体" w:hAnsi="宋体"/>
          <w:color w:val="000000" w:themeColor="text1"/>
          <w:sz w:val="24"/>
          <w:highlight w:val="none"/>
          <w:u w:val="single"/>
          <w14:textFill>
            <w14:solidFill>
              <w14:schemeClr w14:val="tx1"/>
            </w14:solidFill>
          </w14:textFill>
        </w:rPr>
        <w:t>）。评委必须严格按照“综合评分表”对投标文件进行评议、打分。</w:t>
      </w:r>
    </w:p>
    <w:p>
      <w:pPr>
        <w:spacing w:line="400" w:lineRule="exact"/>
        <w:ind w:left="839" w:leftChars="171" w:hanging="480" w:hangingChars="200"/>
        <w:jc w:val="left"/>
        <w:rPr>
          <w:rFonts w:ascii="宋体" w:hAnsi="宋体"/>
          <w:color w:val="000000" w:themeColor="text1"/>
          <w:sz w:val="24"/>
          <w:highlight w:val="none"/>
          <w:u w:val="single"/>
          <w14:textFill>
            <w14:solidFill>
              <w14:schemeClr w14:val="tx1"/>
            </w14:solidFill>
          </w14:textFill>
        </w:rPr>
      </w:pPr>
      <w:bookmarkStart w:id="1" w:name="_Toc36623011"/>
    </w:p>
    <w:bookmarkEnd w:id="1"/>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(a) 评标委员会专家首先按附录1</w:t>
      </w:r>
      <w:r>
        <w:rPr>
          <w:rFonts w:hint="eastAsia"/>
          <w:color w:val="000000" w:themeColor="text1"/>
          <w:sz w:val="24"/>
          <w:highlight w:val="none"/>
          <w:u w:val="single"/>
          <w:lang w:val="en-US" w:eastAsia="zh-CN"/>
          <w14:textFill>
            <w14:solidFill>
              <w14:schemeClr w14:val="tx1"/>
            </w14:solidFill>
          </w14:textFill>
        </w:rPr>
        <w:t>0</w:t>
      </w:r>
      <w:r>
        <w:rPr>
          <w:rFonts w:hint="eastAsia"/>
          <w:color w:val="000000" w:themeColor="text1"/>
          <w:sz w:val="24"/>
          <w:highlight w:val="none"/>
          <w:u w:val="single"/>
          <w14:textFill>
            <w14:solidFill>
              <w14:schemeClr w14:val="tx1"/>
            </w14:solidFill>
          </w14:textFill>
        </w:rPr>
        <w:t>《资格审查表》对各投标文件进行评审，只有通过资格审查的投标文件方可进入下一阶段的评审。如果有废标提议，则评标委员会成员共同表决，按照少数服从多数的原则决定是否废标。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(b) 评标委员会专家首先按附录1</w:t>
      </w:r>
      <w:r>
        <w:rPr>
          <w:rFonts w:hint="eastAsia"/>
          <w:color w:val="000000" w:themeColor="text1"/>
          <w:sz w:val="24"/>
          <w:highlight w:val="none"/>
          <w:u w:val="single"/>
          <w:lang w:val="en-US" w:eastAsia="zh-CN"/>
          <w14:textFill>
            <w14:solidFill>
              <w14:schemeClr w14:val="tx1"/>
            </w14:solidFill>
          </w14:textFill>
        </w:rPr>
        <w:t>1</w:t>
      </w:r>
      <w:r>
        <w:rPr>
          <w:rFonts w:hint="eastAsia"/>
          <w:color w:val="000000" w:themeColor="text1"/>
          <w:sz w:val="24"/>
          <w:highlight w:val="none"/>
          <w:u w:val="single"/>
          <w14:textFill>
            <w14:solidFill>
              <w14:schemeClr w14:val="tx1"/>
            </w14:solidFill>
          </w14:textFill>
        </w:rPr>
        <w:t>《商务文件有效性审查表》对各投标文件进行评审，只有通过商务有效性审查的投标文件方可进入下一阶段的评审。如果有废标提议，则评标委员会成员共同表决，按照少数服从多数的原则决定是否废标。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(c) 评标委员会专家按附录1</w:t>
      </w:r>
      <w:r>
        <w:rPr>
          <w:rFonts w:hint="eastAsia"/>
          <w:color w:val="000000" w:themeColor="text1"/>
          <w:sz w:val="24"/>
          <w:highlight w:val="none"/>
          <w:u w:val="single"/>
          <w:lang w:val="en-US" w:eastAsia="zh-CN"/>
          <w14:textFill>
            <w14:solidFill>
              <w14:schemeClr w14:val="tx1"/>
            </w14:solidFill>
          </w14:textFill>
        </w:rPr>
        <w:t>2</w:t>
      </w:r>
      <w:r>
        <w:rPr>
          <w:rFonts w:hint="eastAsia"/>
          <w:color w:val="000000" w:themeColor="text1"/>
          <w:sz w:val="24"/>
          <w:highlight w:val="none"/>
          <w:u w:val="single"/>
          <w14:textFill>
            <w14:solidFill>
              <w14:schemeClr w14:val="tx1"/>
            </w14:solidFill>
          </w14:textFill>
        </w:rPr>
        <w:t>《商务文件综合评分表》对各投标单位的商务文件进行综合评分。</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(d) 评标委员会专家按附录1</w:t>
      </w:r>
      <w:r>
        <w:rPr>
          <w:rFonts w:hint="eastAsia"/>
          <w:color w:val="000000" w:themeColor="text1"/>
          <w:sz w:val="24"/>
          <w:highlight w:val="none"/>
          <w:u w:val="single"/>
          <w:lang w:val="en-US" w:eastAsia="zh-CN"/>
          <w14:textFill>
            <w14:solidFill>
              <w14:schemeClr w14:val="tx1"/>
            </w14:solidFill>
          </w14:textFill>
        </w:rPr>
        <w:t>3</w:t>
      </w:r>
      <w:r>
        <w:rPr>
          <w:rFonts w:hint="eastAsia"/>
          <w:color w:val="000000" w:themeColor="text1"/>
          <w:sz w:val="24"/>
          <w:highlight w:val="none"/>
          <w:u w:val="single"/>
          <w14:textFill>
            <w14:solidFill>
              <w14:schemeClr w14:val="tx1"/>
            </w14:solidFill>
          </w14:textFill>
        </w:rPr>
        <w:t>《技术文件有效性审查表》对各投标文件进行评审，只有通过技术有效性审查的投标文件方可进入下一阶段的评审。如果有废标提议，则评标委员会成员共同表决，按照少数服从多数的原则决定是否废标。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(e) 评标委员会专家按附录1</w:t>
      </w:r>
      <w:r>
        <w:rPr>
          <w:rFonts w:hint="eastAsia"/>
          <w:color w:val="000000" w:themeColor="text1"/>
          <w:sz w:val="24"/>
          <w:highlight w:val="none"/>
          <w:u w:val="single"/>
          <w:lang w:val="en-US" w:eastAsia="zh-CN"/>
          <w14:textFill>
            <w14:solidFill>
              <w14:schemeClr w14:val="tx1"/>
            </w14:solidFill>
          </w14:textFill>
        </w:rPr>
        <w:t>4</w:t>
      </w:r>
      <w:r>
        <w:rPr>
          <w:rFonts w:hint="eastAsia"/>
          <w:color w:val="000000" w:themeColor="text1"/>
          <w:sz w:val="24"/>
          <w:highlight w:val="none"/>
          <w:u w:val="single"/>
          <w14:textFill>
            <w14:solidFill>
              <w14:schemeClr w14:val="tx1"/>
            </w14:solidFill>
          </w14:textFill>
        </w:rPr>
        <w:t>《技术文件综合评分表》对各投标单位的技术文件（设计方案）进行综合评分。</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(g) 广州公共资源交易中心电子评标系统自动揭晓技术文件的暗标编码，列出各编码技术文件所对应的投标人。</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(h) 计算各投标人的综合得分，投标人的综合得分（满分100分）＝商务文件得分×30％（招标人确定）+技术文件得分×70％</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(k ) 评标委员会向招标人提交评标报告后即告解散，评标过程中使用的文件、表格以及其他资料应当即时归还招标人（或招标代理机构）。</w:t>
      </w:r>
    </w:p>
    <w:p>
      <w:pPr>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5.4   定标</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5.4.1  </w:t>
      </w:r>
      <w:r>
        <w:rPr>
          <w:rFonts w:hint="eastAsia"/>
          <w:color w:val="000000" w:themeColor="text1"/>
          <w:sz w:val="24"/>
          <w:highlight w:val="none"/>
          <w14:textFill>
            <w14:solidFill>
              <w14:schemeClr w14:val="tx1"/>
            </w14:solidFill>
          </w14:textFill>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5.4.2  </w:t>
      </w:r>
      <w:r>
        <w:rPr>
          <w:rFonts w:hint="eastAsia"/>
          <w:color w:val="000000" w:themeColor="text1"/>
          <w:sz w:val="24"/>
          <w:highlight w:val="none"/>
          <w14:textFill>
            <w14:solidFill>
              <w14:schemeClr w14:val="tx1"/>
            </w14:solidFill>
          </w14:textFill>
        </w:rPr>
        <w:t>招标人采用下面方法确定中标人：</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□（a）招标人委托评标委员会直接确定中标人；</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color w:val="000000" w:themeColor="text1"/>
          <w:sz w:val="24"/>
          <w:highlight w:val="none"/>
          <w14:textFill>
            <w14:solidFill>
              <w14:schemeClr w14:val="tx1"/>
            </w14:solidFill>
          </w14:textFill>
        </w:rPr>
      </w:pPr>
    </w:p>
    <w:p>
      <w:pPr>
        <w:spacing w:line="40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5.5  发生下列情形之一的，招标人将重新组织招标：</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(a) 递交投标文件或通过资格审查的投标人不足</w:t>
      </w:r>
      <w:r>
        <w:rPr>
          <w:rFonts w:hint="eastAsia" w:ascii="宋体" w:hAnsi="宋体"/>
          <w:color w:val="000000" w:themeColor="text1"/>
          <w:sz w:val="24"/>
          <w:highlight w:val="none"/>
          <w:u w:val="single"/>
          <w14:textFill>
            <w14:solidFill>
              <w14:schemeClr w14:val="tx1"/>
            </w14:solidFill>
          </w14:textFill>
        </w:rPr>
        <w:t>三</w:t>
      </w:r>
      <w:r>
        <w:rPr>
          <w:rFonts w:hint="eastAsia" w:ascii="宋体" w:hAnsi="宋体"/>
          <w:color w:val="000000" w:themeColor="text1"/>
          <w:sz w:val="24"/>
          <w:highlight w:val="none"/>
          <w14:textFill>
            <w14:solidFill>
              <w14:schemeClr w14:val="tx1"/>
            </w14:solidFill>
          </w14:textFill>
        </w:rPr>
        <w:t>人；</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(b) 所有投标被否决，或者经评议有效投标的投标人不足三人；</w:t>
      </w:r>
    </w:p>
    <w:p>
      <w:pPr>
        <w:spacing w:line="400" w:lineRule="exact"/>
        <w:ind w:left="617" w:hanging="616" w:hangingChars="257"/>
        <w:rPr>
          <w:rFonts w:ascii="宋体" w:hAnsi="宋体"/>
          <w:color w:val="000000" w:themeColor="text1"/>
          <w:sz w:val="24"/>
          <w:highlight w:val="none"/>
          <w14:textFill>
            <w14:solidFill>
              <w14:schemeClr w14:val="tx1"/>
            </w14:solidFill>
          </w14:textFill>
        </w:rPr>
      </w:pPr>
    </w:p>
    <w:p>
      <w:pPr>
        <w:spacing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5.6    授予合同</w:t>
      </w:r>
    </w:p>
    <w:p>
      <w:pPr>
        <w:pStyle w:val="15"/>
        <w:spacing w:line="400" w:lineRule="exact"/>
        <w:ind w:left="821" w:hanging="820" w:hangingChars="342"/>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5.6.1  招标人一般将合同授予中标人，合同在投标有效期或投标人接受的延长期内授出。</w:t>
      </w:r>
    </w:p>
    <w:p>
      <w:pPr>
        <w:pStyle w:val="15"/>
        <w:spacing w:line="400" w:lineRule="exact"/>
        <w:ind w:left="821" w:hanging="820" w:hangingChars="342"/>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5.6.2  联合体中标的，由所有联合体成员法定代表人签署授权委托书，指定牵头人或代表，授权其代表所有联合体成员与招标人签订合同，负责整个合同实施阶段的协调工作。</w:t>
      </w:r>
    </w:p>
    <w:p>
      <w:pPr>
        <w:pStyle w:val="15"/>
        <w:spacing w:line="400" w:lineRule="exact"/>
        <w:ind w:left="821" w:hanging="820" w:hangingChars="342"/>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5.6.3  中标人必须签署并执行招标文件规定的合同条件，</w:t>
      </w:r>
      <w:r>
        <w:rPr>
          <w:rFonts w:hAnsi="宋体"/>
          <w:color w:val="000000" w:themeColor="text1"/>
          <w:sz w:val="24"/>
          <w:szCs w:val="24"/>
          <w:highlight w:val="none"/>
          <w14:textFill>
            <w14:solidFill>
              <w14:schemeClr w14:val="tx1"/>
            </w14:solidFill>
          </w14:textFill>
        </w:rPr>
        <w:t>如</w:t>
      </w:r>
      <w:r>
        <w:rPr>
          <w:rFonts w:hint="eastAsia" w:hAnsi="宋体"/>
          <w:color w:val="000000" w:themeColor="text1"/>
          <w:sz w:val="24"/>
          <w:szCs w:val="24"/>
          <w:highlight w:val="none"/>
          <w14:textFill>
            <w14:solidFill>
              <w14:schemeClr w14:val="tx1"/>
            </w14:solidFill>
          </w14:textFill>
        </w:rPr>
        <w:t>中标人</w:t>
      </w:r>
      <w:r>
        <w:rPr>
          <w:rFonts w:hAnsi="宋体"/>
          <w:color w:val="000000" w:themeColor="text1"/>
          <w:sz w:val="24"/>
          <w:szCs w:val="24"/>
          <w:highlight w:val="none"/>
          <w14:textFill>
            <w14:solidFill>
              <w14:schemeClr w14:val="tx1"/>
            </w14:solidFill>
          </w14:textFill>
        </w:rPr>
        <w:t>所提供的投标条件</w:t>
      </w:r>
      <w:r>
        <w:rPr>
          <w:rFonts w:hint="eastAsia" w:hAnsi="宋体"/>
          <w:color w:val="000000" w:themeColor="text1"/>
          <w:sz w:val="24"/>
          <w:szCs w:val="24"/>
          <w:highlight w:val="none"/>
          <w14:textFill>
            <w14:solidFill>
              <w14:schemeClr w14:val="tx1"/>
            </w14:solidFill>
          </w14:textFill>
        </w:rPr>
        <w:t>（报价、工期、估算工程造价）比其他投标</w:t>
      </w:r>
      <w:r>
        <w:rPr>
          <w:rFonts w:hAnsi="宋体"/>
          <w:color w:val="000000" w:themeColor="text1"/>
          <w:sz w:val="24"/>
          <w:szCs w:val="24"/>
          <w:highlight w:val="none"/>
          <w14:textFill>
            <w14:solidFill>
              <w14:schemeClr w14:val="tx1"/>
            </w14:solidFill>
          </w14:textFill>
        </w:rPr>
        <w:t>异常低，</w:t>
      </w:r>
      <w:r>
        <w:rPr>
          <w:rFonts w:hint="eastAsia" w:hAnsi="宋体"/>
          <w:color w:val="000000" w:themeColor="text1"/>
          <w:sz w:val="24"/>
          <w:szCs w:val="24"/>
          <w:highlight w:val="none"/>
          <w14:textFill>
            <w14:solidFill>
              <w14:schemeClr w14:val="tx1"/>
            </w14:solidFill>
          </w14:textFill>
        </w:rPr>
        <w:t>招标人</w:t>
      </w:r>
      <w:r>
        <w:rPr>
          <w:rFonts w:hAnsi="宋体"/>
          <w:color w:val="000000" w:themeColor="text1"/>
          <w:sz w:val="24"/>
          <w:szCs w:val="24"/>
          <w:highlight w:val="none"/>
          <w14:textFill>
            <w14:solidFill>
              <w14:schemeClr w14:val="tx1"/>
            </w14:solidFill>
          </w14:textFill>
        </w:rPr>
        <w:t>可要求</w:t>
      </w:r>
      <w:r>
        <w:rPr>
          <w:rFonts w:hint="eastAsia" w:hAnsi="宋体"/>
          <w:color w:val="000000" w:themeColor="text1"/>
          <w:sz w:val="24"/>
          <w:szCs w:val="24"/>
          <w:highlight w:val="none"/>
          <w14:textFill>
            <w14:solidFill>
              <w14:schemeClr w14:val="tx1"/>
            </w14:solidFill>
          </w14:textFill>
        </w:rPr>
        <w:t>中</w:t>
      </w:r>
      <w:r>
        <w:rPr>
          <w:rFonts w:hAnsi="宋体"/>
          <w:color w:val="000000" w:themeColor="text1"/>
          <w:sz w:val="24"/>
          <w:szCs w:val="24"/>
          <w:highlight w:val="none"/>
          <w14:textFill>
            <w14:solidFill>
              <w14:schemeClr w14:val="tx1"/>
            </w14:solidFill>
          </w14:textFill>
        </w:rPr>
        <w:t>标人对遵守参加投标的各项条件和履行合同的能力作出保证。</w:t>
      </w:r>
    </w:p>
    <w:p>
      <w:pPr>
        <w:spacing w:line="400" w:lineRule="exact"/>
        <w:ind w:left="821" w:hanging="820" w:hangingChars="342"/>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5.6.4  招标人提供证据证明中标人有下列行为之一的，经有关行政监督部门确认，该中标无效，招标人可以不与中标人签订合同：</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(a) 不能兑现投标承诺。</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(b) 弄虚作假骗取中标。</w:t>
      </w:r>
    </w:p>
    <w:p>
      <w:pPr>
        <w:spacing w:line="400" w:lineRule="exact"/>
        <w:ind w:left="821" w:hanging="820" w:hangingChars="34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(c) </w:t>
      </w:r>
      <w:r>
        <w:rPr>
          <w:rFonts w:hint="eastAsia" w:hAnsi="宋体"/>
          <w:color w:val="000000" w:themeColor="text1"/>
          <w:sz w:val="24"/>
          <w:highlight w:val="none"/>
          <w14:textFill>
            <w14:solidFill>
              <w14:schemeClr w14:val="tx1"/>
            </w14:solidFill>
          </w14:textFill>
        </w:rPr>
        <w:t>在招标、投标、评标、定标以及授予合同过程中，对招标人、代理机构、其他投标人、评标委员会成员、</w:t>
      </w:r>
      <w:r>
        <w:rPr>
          <w:rFonts w:hint="eastAsia" w:hAnsi="宋体"/>
          <w:color w:val="000000" w:themeColor="text1"/>
          <w:kern w:val="0"/>
          <w:sz w:val="24"/>
          <w:highlight w:val="none"/>
          <w14:textFill>
            <w14:solidFill>
              <w14:schemeClr w14:val="tx1"/>
            </w14:solidFill>
          </w14:textFill>
        </w:rPr>
        <w:t>交易服务机构的</w:t>
      </w:r>
      <w:r>
        <w:rPr>
          <w:rFonts w:hint="eastAsia" w:hAnsi="宋体"/>
          <w:color w:val="000000" w:themeColor="text1"/>
          <w:sz w:val="24"/>
          <w:highlight w:val="none"/>
          <w14:textFill>
            <w14:solidFill>
              <w14:schemeClr w14:val="tx1"/>
            </w14:solidFill>
          </w14:textFill>
        </w:rPr>
        <w:t>工作人员行贿、</w:t>
      </w:r>
      <w:r>
        <w:rPr>
          <w:rFonts w:hAnsi="宋体"/>
          <w:color w:val="000000" w:themeColor="text1"/>
          <w:kern w:val="0"/>
          <w:sz w:val="24"/>
          <w:highlight w:val="none"/>
          <w14:textFill>
            <w14:solidFill>
              <w14:schemeClr w14:val="tx1"/>
            </w14:solidFill>
          </w14:textFill>
        </w:rPr>
        <w:t>利诱</w:t>
      </w:r>
      <w:r>
        <w:rPr>
          <w:rFonts w:hint="eastAsia" w:hAnsi="宋体"/>
          <w:color w:val="000000" w:themeColor="text1"/>
          <w:kern w:val="0"/>
          <w:sz w:val="24"/>
          <w:highlight w:val="none"/>
          <w14:textFill>
            <w14:solidFill>
              <w14:schemeClr w14:val="tx1"/>
            </w14:solidFill>
          </w14:textFill>
        </w:rPr>
        <w:t>、</w:t>
      </w:r>
      <w:r>
        <w:rPr>
          <w:rFonts w:hint="eastAsia" w:hAnsi="宋体"/>
          <w:color w:val="000000" w:themeColor="text1"/>
          <w:sz w:val="24"/>
          <w:highlight w:val="none"/>
          <w14:textFill>
            <w14:solidFill>
              <w14:schemeClr w14:val="tx1"/>
            </w14:solidFill>
          </w14:textFill>
        </w:rPr>
        <w:t>欺诈或者施加影响。</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(d) 擅自将任务转包其他单位。</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(e) 中标人实质上不符合资格审查合格条件。</w:t>
      </w:r>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(f) 法律、法规规定的其他损害招标人利益和社会公共利益的情形。</w:t>
      </w:r>
    </w:p>
    <w:p>
      <w:pPr>
        <w:spacing w:line="400" w:lineRule="exact"/>
        <w:ind w:left="821" w:hanging="820" w:hangingChars="342"/>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5.6.5  中标人不得擅自更换投标文件中拟派的设计人员及项目负责人，否则每人次扣合同金额1%。</w:t>
      </w:r>
    </w:p>
    <w:p>
      <w:pPr>
        <w:spacing w:line="400" w:lineRule="exact"/>
        <w:ind w:left="1236" w:hanging="1231" w:hangingChars="342"/>
        <w:jc w:val="center"/>
        <w:rPr>
          <w:rFonts w:ascii="宋体" w:hAnsi="宋体"/>
          <w:b/>
          <w:bCs/>
          <w:color w:val="000000" w:themeColor="text1"/>
          <w:sz w:val="24"/>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br w:type="page"/>
      </w:r>
    </w:p>
    <w:p>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第六章  合同主要条款</w:t>
      </w:r>
    </w:p>
    <w:p>
      <w:pPr>
        <w:spacing w:line="0" w:lineRule="atLeast"/>
        <w:rPr>
          <w:rFonts w:ascii="宋体" w:hAnsi="宋体"/>
          <w:color w:val="000000" w:themeColor="text1"/>
          <w:highlight w:val="none"/>
          <w14:textFill>
            <w14:solidFill>
              <w14:schemeClr w14:val="tx1"/>
            </w14:solidFill>
          </w14:textFill>
        </w:rPr>
      </w:pPr>
    </w:p>
    <w:p>
      <w:pPr>
        <w:spacing w:line="0" w:lineRule="atLeas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（另册）</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sectPr>
          <w:footerReference r:id="rId5" w:type="default"/>
          <w:pgSz w:w="11906" w:h="16838"/>
          <w:pgMar w:top="1418" w:right="1418" w:bottom="1418" w:left="1418" w:header="851" w:footer="992" w:gutter="0"/>
          <w:cols w:space="425" w:num="1"/>
          <w:docGrid w:type="linesAndChars" w:linePitch="312" w:charSpace="0"/>
        </w:sectPr>
      </w:pPr>
    </w:p>
    <w:p>
      <w:pPr>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附录1</w:t>
      </w:r>
    </w:p>
    <w:p>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投标申请表（申请人、资质、机构简介）</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3240"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4616"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申请人（牵头人）</w:t>
            </w:r>
          </w:p>
        </w:tc>
        <w:tc>
          <w:tcPr>
            <w:tcW w:w="2835"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联合体成员</w:t>
            </w:r>
          </w:p>
        </w:tc>
        <w:tc>
          <w:tcPr>
            <w:tcW w:w="2835"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240" w:type="dxa"/>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名称（盖章）</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3240" w:type="dxa"/>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3240" w:type="dxa"/>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总部邮政编码、注册地址</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3240" w:type="dxa"/>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总部电话号码</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总部传真号码</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总部联络人、手机号码</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本地邮政编码、注册地址</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3240" w:type="dxa"/>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本地电话号码</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本地传真号码</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本地联络人、手机号码</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电子邮箱</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法人营业执照号、营业范围</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3240" w:type="dxa"/>
          </w:tcPr>
          <w:p>
            <w:pP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工程设计资质证号、范围和等级</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w:t>
            </w:r>
          </w:p>
        </w:tc>
        <w:tc>
          <w:tcPr>
            <w:tcW w:w="3240" w:type="dxa"/>
          </w:tcPr>
          <w:p>
            <w:pPr>
              <w:rPr>
                <w:rFonts w:ascii="宋体"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工程勘察资质证号、范围和等级</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3240" w:type="dxa"/>
          </w:tcPr>
          <w:p>
            <w:pPr>
              <w:rPr>
                <w:rFonts w:ascii="宋体"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ISO9000认证号、范围</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p>
        </w:tc>
        <w:tc>
          <w:tcPr>
            <w:tcW w:w="3240" w:type="dxa"/>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简介（宜300字以内）</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3240" w:type="dxa"/>
          </w:tcPr>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本项目</w:t>
            </w:r>
            <w:r>
              <w:rPr>
                <w:rFonts w:ascii="宋体" w:hAnsi="宋体"/>
                <w:color w:val="000000" w:themeColor="text1"/>
                <w:highlight w:val="none"/>
                <w14:textFill>
                  <w14:solidFill>
                    <w14:schemeClr w14:val="tx1"/>
                  </w14:solidFill>
                </w14:textFill>
              </w:rPr>
              <w:t>所独有的有利条件</w:t>
            </w:r>
          </w:p>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（宜200字以内）</w:t>
            </w: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3240" w:type="dxa"/>
          </w:tcPr>
          <w:p>
            <w:pPr>
              <w:rPr>
                <w:rFonts w:ascii="宋体" w:hAnsi="宋体"/>
                <w:color w:val="000000" w:themeColor="text1"/>
                <w:highlight w:val="none"/>
                <w14:textFill>
                  <w14:solidFill>
                    <w14:schemeClr w14:val="tx1"/>
                  </w14:solidFill>
                </w14:textFill>
              </w:rPr>
            </w:pPr>
          </w:p>
        </w:tc>
        <w:tc>
          <w:tcPr>
            <w:tcW w:w="4616"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c>
          <w:tcPr>
            <w:tcW w:w="2835" w:type="dxa"/>
          </w:tcPr>
          <w:p>
            <w:pPr>
              <w:rPr>
                <w:rFonts w:ascii="宋体" w:hAnsi="宋体"/>
                <w:color w:val="000000" w:themeColor="text1"/>
                <w:szCs w:val="21"/>
                <w:highlight w:val="none"/>
                <w14:textFill>
                  <w14:solidFill>
                    <w14:schemeClr w14:val="tx1"/>
                  </w14:solidFill>
                </w14:textFill>
              </w:rPr>
            </w:pPr>
          </w:p>
        </w:tc>
      </w:tr>
    </w:tbl>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申请人：                                                                                          申请日期：       年    月    日</w:t>
      </w:r>
    </w:p>
    <w:p>
      <w:pPr>
        <w:rPr>
          <w:rFonts w:ascii="宋体" w:hAnsi="宋体"/>
          <w:color w:val="000000" w:themeColor="text1"/>
          <w:szCs w:val="21"/>
          <w:highlight w:val="none"/>
          <w14:textFill>
            <w14:solidFill>
              <w14:schemeClr w14:val="tx1"/>
            </w14:solidFill>
          </w14:textFill>
        </w:rPr>
      </w:pPr>
    </w:p>
    <w:p>
      <w:pPr>
        <w:rPr>
          <w:rFonts w:ascii="宋体" w:hAnsi="宋体"/>
          <w:strike/>
          <w:dstrike w:val="0"/>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bCs/>
          <w:strike/>
          <w:dstrike w:val="0"/>
          <w:color w:val="000000" w:themeColor="text1"/>
          <w:sz w:val="24"/>
          <w:highlight w:val="none"/>
          <w14:textFill>
            <w14:solidFill>
              <w14:schemeClr w14:val="tx1"/>
            </w14:solidFill>
          </w14:textFill>
        </w:rPr>
        <w:t>附录2</w:t>
      </w:r>
    </w:p>
    <w:p>
      <w:pPr>
        <w:jc w:val="center"/>
        <w:rPr>
          <w:rFonts w:ascii="宋体" w:hAnsi="宋体"/>
          <w:b/>
          <w:strike/>
          <w:dstrike w:val="0"/>
          <w:color w:val="000000" w:themeColor="text1"/>
          <w:sz w:val="36"/>
          <w:szCs w:val="36"/>
          <w:highlight w:val="none"/>
          <w14:textFill>
            <w14:solidFill>
              <w14:schemeClr w14:val="tx1"/>
            </w14:solidFill>
          </w14:textFill>
        </w:rPr>
      </w:pPr>
      <w:r>
        <w:rPr>
          <w:rFonts w:hint="eastAsia" w:ascii="宋体" w:hAnsi="宋体"/>
          <w:b/>
          <w:strike/>
          <w:dstrike w:val="0"/>
          <w:color w:val="000000" w:themeColor="text1"/>
          <w:sz w:val="36"/>
          <w:szCs w:val="36"/>
          <w:highlight w:val="none"/>
          <w14:textFill>
            <w14:solidFill>
              <w14:schemeClr w14:val="tx1"/>
            </w14:solidFill>
          </w14:textFill>
        </w:rPr>
        <w:t>投标申请表</w:t>
      </w:r>
      <w:r>
        <w:rPr>
          <w:rFonts w:hint="eastAsia" w:ascii="宋体" w:hAnsi="宋体"/>
          <w:b/>
          <w:bCs/>
          <w:strike/>
          <w:dstrike w:val="0"/>
          <w:color w:val="000000" w:themeColor="text1"/>
          <w:sz w:val="36"/>
          <w:szCs w:val="36"/>
          <w:highlight w:val="none"/>
          <w14:textFill>
            <w14:solidFill>
              <w14:schemeClr w14:val="tx1"/>
            </w14:solidFill>
          </w14:textFill>
        </w:rPr>
        <w:t>（投标人的业绩）</w:t>
      </w:r>
    </w:p>
    <w:tbl>
      <w:tblPr>
        <w:tblStyle w:val="2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dstrike w:val="0"/>
                <w:color w:val="000000" w:themeColor="text1"/>
                <w:szCs w:val="21"/>
                <w:highlight w:val="none"/>
                <w14:textFill>
                  <w14:solidFill>
                    <w14:schemeClr w14:val="tx1"/>
                  </w14:solidFill>
                </w14:textFill>
              </w:rPr>
            </w:pPr>
            <w:r>
              <w:rPr>
                <w:rFonts w:hint="eastAsia" w:ascii="宋体" w:hAnsi="宋体"/>
                <w:strike/>
                <w:dstrike w:val="0"/>
                <w:color w:val="000000" w:themeColor="text1"/>
                <w:szCs w:val="21"/>
                <w:highlight w:val="none"/>
                <w14:textFill>
                  <w14:solidFill>
                    <w14:schemeClr w14:val="tx1"/>
                  </w14:solidFill>
                </w14:textFill>
              </w:rPr>
              <w:t>序号</w:t>
            </w:r>
          </w:p>
        </w:tc>
        <w:tc>
          <w:tcPr>
            <w:tcW w:w="2700" w:type="dxa"/>
            <w:vAlign w:val="center"/>
          </w:tcPr>
          <w:p>
            <w:pPr>
              <w:jc w:val="center"/>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投标人</w:t>
            </w:r>
          </w:p>
          <w:p>
            <w:pPr>
              <w:jc w:val="center"/>
              <w:rPr>
                <w:rFonts w:ascii="宋体" w:hAnsi="宋体"/>
                <w:strike/>
                <w:dstrike w:val="0"/>
                <w:color w:val="000000" w:themeColor="text1"/>
                <w:szCs w:val="2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（联合体成员）</w:t>
            </w:r>
          </w:p>
        </w:tc>
        <w:tc>
          <w:tcPr>
            <w:tcW w:w="3780" w:type="dxa"/>
            <w:shd w:val="clear" w:color="auto" w:fill="auto"/>
            <w:vAlign w:val="center"/>
          </w:tcPr>
          <w:p>
            <w:pPr>
              <w:jc w:val="center"/>
              <w:rPr>
                <w:rFonts w:ascii="宋体" w:hAnsi="宋体"/>
                <w:strike/>
                <w:dstrike w:val="0"/>
                <w:color w:val="000000" w:themeColor="text1"/>
                <w:szCs w:val="21"/>
                <w:highlight w:val="none"/>
                <w14:textFill>
                  <w14:solidFill>
                    <w14:schemeClr w14:val="tx1"/>
                  </w14:solidFill>
                </w14:textFill>
              </w:rPr>
            </w:pPr>
            <w:r>
              <w:rPr>
                <w:rFonts w:hint="eastAsia" w:hAnsi="宋体"/>
                <w:strike/>
                <w:dstrike w:val="0"/>
                <w:color w:val="000000" w:themeColor="text1"/>
                <w:highlight w:val="none"/>
                <w14:textFill>
                  <w14:solidFill>
                    <w14:schemeClr w14:val="tx1"/>
                  </w14:solidFill>
                </w14:textFill>
              </w:rPr>
              <w:t>作品、业绩、著作名称</w:t>
            </w:r>
          </w:p>
        </w:tc>
        <w:tc>
          <w:tcPr>
            <w:tcW w:w="4500" w:type="dxa"/>
            <w:shd w:val="clear" w:color="auto" w:fill="auto"/>
            <w:vAlign w:val="center"/>
          </w:tcPr>
          <w:p>
            <w:pPr>
              <w:jc w:val="center"/>
              <w:rPr>
                <w:rFonts w:ascii="宋体" w:hAnsi="宋体"/>
                <w:strike/>
                <w:dstrike w:val="0"/>
                <w:color w:val="000000" w:themeColor="text1"/>
                <w:szCs w:val="2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简介</w:t>
            </w:r>
          </w:p>
        </w:tc>
        <w:tc>
          <w:tcPr>
            <w:tcW w:w="1128" w:type="dxa"/>
            <w:shd w:val="clear" w:color="auto" w:fill="auto"/>
            <w:vAlign w:val="center"/>
          </w:tcPr>
          <w:p>
            <w:pPr>
              <w:jc w:val="center"/>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投资金额</w:t>
            </w:r>
          </w:p>
          <w:p>
            <w:pPr>
              <w:jc w:val="center"/>
              <w:rPr>
                <w:rFonts w:ascii="宋体" w:hAnsi="宋体"/>
                <w:strike/>
                <w:dstrike w:val="0"/>
                <w:color w:val="000000" w:themeColor="text1"/>
                <w:szCs w:val="2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（万元）</w:t>
            </w:r>
          </w:p>
        </w:tc>
        <w:tc>
          <w:tcPr>
            <w:tcW w:w="1418" w:type="dxa"/>
            <w:shd w:val="clear" w:color="auto" w:fill="auto"/>
            <w:vAlign w:val="center"/>
          </w:tcPr>
          <w:p>
            <w:pPr>
              <w:jc w:val="center"/>
              <w:rPr>
                <w:rFonts w:ascii="宋体" w:hAnsi="宋体"/>
                <w:strike/>
                <w:dstrike w:val="0"/>
                <w:color w:val="000000" w:themeColor="text1"/>
                <w:szCs w:val="21"/>
                <w:highlight w:val="none"/>
                <w14:textFill>
                  <w14:solidFill>
                    <w14:schemeClr w14:val="tx1"/>
                  </w14:solidFill>
                </w14:textFill>
              </w:rPr>
            </w:pPr>
            <w:r>
              <w:rPr>
                <w:rFonts w:hint="eastAsia" w:ascii="宋体" w:hAnsi="宋体"/>
                <w:strike/>
                <w:dstrike w:val="0"/>
                <w:color w:val="000000" w:themeColor="text1"/>
                <w:szCs w:val="21"/>
                <w:highlight w:val="none"/>
                <w14:textFill>
                  <w14:solidFill>
                    <w14:schemeClr w14:val="tx1"/>
                  </w14:solidFill>
                </w14:textFill>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dstrike w:val="0"/>
                <w:color w:val="000000" w:themeColor="text1"/>
                <w:szCs w:val="21"/>
                <w:highlight w:val="none"/>
                <w14:textFill>
                  <w14:solidFill>
                    <w14:schemeClr w14:val="tx1"/>
                  </w14:solidFill>
                </w14:textFill>
              </w:rPr>
            </w:pPr>
          </w:p>
        </w:tc>
        <w:tc>
          <w:tcPr>
            <w:tcW w:w="2700" w:type="dxa"/>
          </w:tcPr>
          <w:p>
            <w:pPr>
              <w:rPr>
                <w:rFonts w:ascii="宋体" w:hAnsi="宋体"/>
                <w:strike/>
                <w:dstrike w:val="0"/>
                <w:color w:val="000000" w:themeColor="text1"/>
                <w:szCs w:val="21"/>
                <w:highlight w:val="none"/>
                <w14:textFill>
                  <w14:solidFill>
                    <w14:schemeClr w14:val="tx1"/>
                  </w14:solidFill>
                </w14:textFill>
              </w:rPr>
            </w:pPr>
          </w:p>
        </w:tc>
        <w:tc>
          <w:tcPr>
            <w:tcW w:w="378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4500"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12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c>
          <w:tcPr>
            <w:tcW w:w="1418" w:type="dxa"/>
            <w:shd w:val="clear" w:color="auto" w:fill="auto"/>
          </w:tcPr>
          <w:p>
            <w:pPr>
              <w:rPr>
                <w:rFonts w:ascii="宋体" w:hAnsi="宋体"/>
                <w:strike/>
                <w:dstrike w:val="0"/>
                <w:color w:val="000000" w:themeColor="text1"/>
                <w:szCs w:val="21"/>
                <w:highlight w:val="none"/>
                <w14:textFill>
                  <w14:solidFill>
                    <w14:schemeClr w14:val="tx1"/>
                  </w14:solidFill>
                </w14:textFill>
              </w:rPr>
            </w:pPr>
          </w:p>
        </w:tc>
      </w:tr>
    </w:tbl>
    <w:p>
      <w:pPr>
        <w:rPr>
          <w:rFonts w:ascii="宋体" w:hAnsi="宋体"/>
          <w:strike/>
          <w:dstrike w:val="0"/>
          <w:color w:val="000000" w:themeColor="text1"/>
          <w:highlight w:val="none"/>
          <w14:textFill>
            <w14:solidFill>
              <w14:schemeClr w14:val="tx1"/>
            </w14:solidFill>
          </w14:textFill>
        </w:rPr>
      </w:pPr>
      <w:r>
        <w:rPr>
          <w:rFonts w:hint="eastAsia" w:ascii="宋体" w:hAnsi="宋体"/>
          <w:strike/>
          <w:dstrike w:val="0"/>
          <w:color w:val="000000" w:themeColor="text1"/>
          <w:highlight w:val="none"/>
          <w14:textFill>
            <w14:solidFill>
              <w14:schemeClr w14:val="tx1"/>
            </w14:solidFill>
          </w14:textFill>
        </w:rPr>
        <w:t>申请人（盖章）：                                                                                    申请日期：       年    月    日</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附录3</w:t>
      </w:r>
    </w:p>
    <w:p>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投标申请表（关键人员配备）</w:t>
      </w:r>
    </w:p>
    <w:tbl>
      <w:tblPr>
        <w:tblStyle w:val="25"/>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080"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姓名</w:t>
            </w:r>
          </w:p>
        </w:tc>
        <w:tc>
          <w:tcPr>
            <w:tcW w:w="1800" w:type="dxa"/>
            <w:shd w:val="clear" w:color="auto" w:fill="auto"/>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专业分工</w:t>
            </w:r>
          </w:p>
        </w:tc>
        <w:tc>
          <w:tcPr>
            <w:tcW w:w="1800" w:type="dxa"/>
            <w:shd w:val="clear" w:color="auto" w:fill="auto"/>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职务</w:t>
            </w:r>
          </w:p>
        </w:tc>
        <w:tc>
          <w:tcPr>
            <w:tcW w:w="2160" w:type="dxa"/>
            <w:shd w:val="clear" w:color="auto" w:fill="auto"/>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专业职称</w:t>
            </w:r>
          </w:p>
        </w:tc>
        <w:tc>
          <w:tcPr>
            <w:tcW w:w="1800" w:type="dxa"/>
            <w:vAlign w:val="center"/>
          </w:tcPr>
          <w:p>
            <w:pPr>
              <w:jc w:val="center"/>
              <w:rPr>
                <w:rFonts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工龄（年）</w:t>
            </w:r>
          </w:p>
        </w:tc>
        <w:tc>
          <w:tcPr>
            <w:tcW w:w="4320" w:type="dxa"/>
            <w:shd w:val="clear" w:color="auto" w:fill="auto"/>
            <w:vAlign w:val="center"/>
          </w:tcPr>
          <w:p>
            <w:pPr>
              <w:jc w:val="center"/>
              <w:rPr>
                <w:rFonts w:ascii="宋体"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000000" w:themeColor="text1"/>
                <w:szCs w:val="21"/>
                <w:highlight w:val="none"/>
                <w14:textFill>
                  <w14:solidFill>
                    <w14:schemeClr w14:val="tx1"/>
                  </w14:solidFill>
                </w14:textFill>
              </w:rPr>
            </w:pPr>
          </w:p>
        </w:tc>
        <w:tc>
          <w:tcPr>
            <w:tcW w:w="1080" w:type="dxa"/>
            <w:vAlign w:val="center"/>
          </w:tcPr>
          <w:p>
            <w:pPr>
              <w:jc w:val="center"/>
              <w:rPr>
                <w:rFonts w:ascii="宋体" w:hAnsi="宋体"/>
                <w:color w:val="000000" w:themeColor="text1"/>
                <w:szCs w:val="21"/>
                <w:highlight w:val="none"/>
                <w14:textFill>
                  <w14:solidFill>
                    <w14:schemeClr w14:val="tx1"/>
                  </w14:solidFill>
                </w14:textFill>
              </w:rPr>
            </w:pPr>
          </w:p>
        </w:tc>
        <w:tc>
          <w:tcPr>
            <w:tcW w:w="1800" w:type="dxa"/>
            <w:shd w:val="clear" w:color="auto" w:fill="auto"/>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tc>
        <w:tc>
          <w:tcPr>
            <w:tcW w:w="1800" w:type="dxa"/>
            <w:shd w:val="clear" w:color="auto" w:fill="auto"/>
            <w:vAlign w:val="center"/>
          </w:tcPr>
          <w:p>
            <w:pPr>
              <w:jc w:val="center"/>
              <w:rPr>
                <w:rFonts w:ascii="宋体" w:hAnsi="宋体"/>
                <w:color w:val="000000" w:themeColor="text1"/>
                <w:szCs w:val="21"/>
                <w:highlight w:val="none"/>
                <w14:textFill>
                  <w14:solidFill>
                    <w14:schemeClr w14:val="tx1"/>
                  </w14:solidFill>
                </w14:textFill>
              </w:rPr>
            </w:pPr>
          </w:p>
        </w:tc>
        <w:tc>
          <w:tcPr>
            <w:tcW w:w="2160" w:type="dxa"/>
            <w:shd w:val="clear" w:color="auto" w:fill="auto"/>
            <w:vAlign w:val="center"/>
          </w:tcPr>
          <w:p>
            <w:pPr>
              <w:jc w:val="center"/>
              <w:rPr>
                <w:rFonts w:ascii="宋体" w:hAnsi="宋体"/>
                <w:color w:val="000000" w:themeColor="text1"/>
                <w:szCs w:val="21"/>
                <w:highlight w:val="none"/>
                <w14:textFill>
                  <w14:solidFill>
                    <w14:schemeClr w14:val="tx1"/>
                  </w14:solidFill>
                </w14:textFill>
              </w:rPr>
            </w:pPr>
          </w:p>
        </w:tc>
        <w:tc>
          <w:tcPr>
            <w:tcW w:w="1800" w:type="dxa"/>
          </w:tcPr>
          <w:p>
            <w:pPr>
              <w:jc w:val="center"/>
              <w:rPr>
                <w:rFonts w:ascii="宋体" w:hAnsi="宋体"/>
                <w:color w:val="000000" w:themeColor="text1"/>
                <w:szCs w:val="21"/>
                <w:highlight w:val="none"/>
                <w14:textFill>
                  <w14:solidFill>
                    <w14:schemeClr w14:val="tx1"/>
                  </w14:solidFill>
                </w14:textFill>
              </w:rPr>
            </w:pPr>
          </w:p>
        </w:tc>
        <w:tc>
          <w:tcPr>
            <w:tcW w:w="4320" w:type="dxa"/>
            <w:shd w:val="clear" w:color="auto" w:fill="auto"/>
            <w:vAlign w:val="center"/>
          </w:tcPr>
          <w:p>
            <w:pPr>
              <w:jc w:val="center"/>
              <w:rPr>
                <w:rFonts w:ascii="宋体" w:hAnsi="宋体"/>
                <w:color w:val="000000" w:themeColor="text1"/>
                <w:szCs w:val="21"/>
                <w:highlight w:val="none"/>
                <w14:textFill>
                  <w14:solidFill>
                    <w14:schemeClr w14:val="tx1"/>
                  </w14:solidFill>
                </w14:textFill>
              </w:rPr>
            </w:pPr>
          </w:p>
        </w:tc>
      </w:tr>
    </w:tbl>
    <w:p>
      <w:pP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注：总负责人和负责人按本工程的实际需求填写。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申请人：                                                                                          申请日期：       年    月    日</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附录4</w:t>
      </w:r>
    </w:p>
    <w:p>
      <w:pPr>
        <w:ind w:left="178" w:leftChars="85"/>
        <w:jc w:val="center"/>
        <w:rPr>
          <w:rFonts w:asci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勘察设计费报价表</w:t>
      </w:r>
    </w:p>
    <w:tbl>
      <w:tblPr>
        <w:tblStyle w:val="25"/>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33"/>
        <w:gridCol w:w="1485"/>
        <w:gridCol w:w="1267"/>
        <w:gridCol w:w="1457"/>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序号</w:t>
            </w:r>
          </w:p>
        </w:tc>
        <w:tc>
          <w:tcPr>
            <w:tcW w:w="1733" w:type="dxa"/>
            <w:vAlign w:val="center"/>
          </w:tcPr>
          <w:p>
            <w:pPr>
              <w:spacing w:line="360" w:lineRule="auto"/>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分项名称</w:t>
            </w:r>
          </w:p>
        </w:tc>
        <w:tc>
          <w:tcPr>
            <w:tcW w:w="1485" w:type="dxa"/>
            <w:vAlign w:val="center"/>
          </w:tcPr>
          <w:p>
            <w:pPr>
              <w:spacing w:line="360" w:lineRule="auto"/>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最高投标限价</w:t>
            </w:r>
          </w:p>
        </w:tc>
        <w:tc>
          <w:tcPr>
            <w:tcW w:w="1267" w:type="dxa"/>
            <w:vAlign w:val="center"/>
          </w:tcPr>
          <w:p>
            <w:pPr>
              <w:spacing w:line="360" w:lineRule="auto"/>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下浮率</w:t>
            </w:r>
          </w:p>
        </w:tc>
        <w:tc>
          <w:tcPr>
            <w:tcW w:w="1457" w:type="dxa"/>
            <w:vAlign w:val="center"/>
          </w:tcPr>
          <w:p>
            <w:pPr>
              <w:spacing w:line="360" w:lineRule="auto"/>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勘察设计费报价</w:t>
            </w:r>
          </w:p>
        </w:tc>
        <w:tc>
          <w:tcPr>
            <w:tcW w:w="2608" w:type="dxa"/>
            <w:vAlign w:val="center"/>
          </w:tcPr>
          <w:p>
            <w:pPr>
              <w:spacing w:line="360" w:lineRule="auto"/>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宋体" w:cs="仿宋_GB2312"/>
                <w:color w:val="000000" w:themeColor="text1"/>
                <w:highlight w:val="none"/>
                <w14:textFill>
                  <w14:solidFill>
                    <w14:schemeClr w14:val="tx1"/>
                  </w14:solidFill>
                </w14:textFill>
              </w:rPr>
            </w:pPr>
            <w:r>
              <w:rPr>
                <w:rFonts w:ascii="宋体" w:hAnsi="宋体" w:cs="仿宋_GB2312"/>
                <w:color w:val="000000" w:themeColor="text1"/>
                <w:highlight w:val="none"/>
                <w14:textFill>
                  <w14:solidFill>
                    <w14:schemeClr w14:val="tx1"/>
                  </w14:solidFill>
                </w14:textFill>
              </w:rPr>
              <w:t>1</w:t>
            </w:r>
          </w:p>
        </w:tc>
        <w:tc>
          <w:tcPr>
            <w:tcW w:w="1733" w:type="dxa"/>
            <w:vAlign w:val="center"/>
          </w:tcPr>
          <w:p>
            <w:pPr>
              <w:spacing w:line="360" w:lineRule="auto"/>
              <w:jc w:val="center"/>
              <w:rPr>
                <w:rFonts w:asci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勘察费</w:t>
            </w:r>
          </w:p>
        </w:tc>
        <w:tc>
          <w:tcPr>
            <w:tcW w:w="1485"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p>
        </w:tc>
        <w:tc>
          <w:tcPr>
            <w:tcW w:w="1267"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w:t>
            </w:r>
          </w:p>
        </w:tc>
        <w:tc>
          <w:tcPr>
            <w:tcW w:w="1457"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2608" w:type="dxa"/>
            <w:vAlign w:val="center"/>
          </w:tcPr>
          <w:p>
            <w:pPr>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勘察费下浮率=（勘察费限价-勘察费）/勘察费限价*100%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2</w:t>
            </w:r>
          </w:p>
        </w:tc>
        <w:tc>
          <w:tcPr>
            <w:tcW w:w="1733" w:type="dxa"/>
            <w:vAlign w:val="center"/>
          </w:tcPr>
          <w:p>
            <w:pPr>
              <w:spacing w:line="360" w:lineRule="auto"/>
              <w:jc w:val="center"/>
              <w:rPr>
                <w:rFonts w:asci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设计费</w:t>
            </w:r>
          </w:p>
        </w:tc>
        <w:tc>
          <w:tcPr>
            <w:tcW w:w="1485"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p>
        </w:tc>
        <w:tc>
          <w:tcPr>
            <w:tcW w:w="1267"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w:t>
            </w:r>
          </w:p>
        </w:tc>
        <w:tc>
          <w:tcPr>
            <w:tcW w:w="1457"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2608" w:type="dxa"/>
            <w:vAlign w:val="center"/>
          </w:tcPr>
          <w:p>
            <w:pPr>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设计费下浮率=（设计费限价-设计费）/设计费限价*100%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97" w:type="dxa"/>
            <w:vAlign w:val="center"/>
          </w:tcPr>
          <w:p>
            <w:pPr>
              <w:spacing w:line="360" w:lineRule="auto"/>
              <w:jc w:val="center"/>
              <w:rPr>
                <w:rFonts w:ascii="宋体" w:cs="仿宋_GB2312"/>
                <w:color w:val="000000" w:themeColor="text1"/>
                <w:highlight w:val="none"/>
                <w14:textFill>
                  <w14:solidFill>
                    <w14:schemeClr w14:val="tx1"/>
                  </w14:solidFill>
                </w14:textFill>
              </w:rPr>
            </w:pPr>
            <w:r>
              <w:rPr>
                <w:rFonts w:hint="eastAsia" w:ascii="宋体" w:cs="仿宋_GB2312"/>
                <w:color w:val="000000" w:themeColor="text1"/>
                <w:highlight w:val="none"/>
                <w14:textFill>
                  <w14:solidFill>
                    <w14:schemeClr w14:val="tx1"/>
                  </w14:solidFill>
                </w14:textFill>
              </w:rPr>
              <w:t>3</w:t>
            </w:r>
          </w:p>
        </w:tc>
        <w:tc>
          <w:tcPr>
            <w:tcW w:w="1733" w:type="dxa"/>
            <w:vAlign w:val="center"/>
          </w:tcPr>
          <w:p>
            <w:pPr>
              <w:spacing w:line="360" w:lineRule="auto"/>
              <w:jc w:val="center"/>
              <w:rPr>
                <w:rFonts w:asci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勘察设计费合计</w:t>
            </w:r>
          </w:p>
        </w:tc>
        <w:tc>
          <w:tcPr>
            <w:tcW w:w="1485"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p>
        </w:tc>
        <w:tc>
          <w:tcPr>
            <w:tcW w:w="1267"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w:t>
            </w:r>
          </w:p>
        </w:tc>
        <w:tc>
          <w:tcPr>
            <w:tcW w:w="1457" w:type="dxa"/>
            <w:vAlign w:val="center"/>
          </w:tcPr>
          <w:p>
            <w:pPr>
              <w:spacing w:line="360" w:lineRule="auto"/>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2608" w:type="dxa"/>
            <w:vAlign w:val="center"/>
          </w:tcPr>
          <w:p>
            <w:pPr>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勘察设计费下浮率=（勘察设计费限价-勘察设计费）/勘察设计费限价*100%</w:t>
            </w:r>
          </w:p>
        </w:tc>
      </w:tr>
    </w:tbl>
    <w:p>
      <w:pPr>
        <w:spacing w:line="360" w:lineRule="auto"/>
        <w:ind w:firstLine="420" w:firstLineChars="200"/>
        <w:rPr>
          <w:color w:val="000000" w:themeColor="text1"/>
          <w:highlight w:val="none"/>
          <w:u w:val="singl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注释：投标人根据《勘察设计费报价表》、《工程勘察费用报价表（表2）》、《工程设计费用报价表（表3）》和本招标文件的要求对勘察设计费进行报价</w:t>
      </w:r>
      <w:r>
        <w:rPr>
          <w:rFonts w:hint="eastAsia" w:ascii="宋体" w:hAnsi="宋体" w:cs="仿宋_GB2312"/>
          <w:color w:val="000000" w:themeColor="text1"/>
          <w:highlight w:val="none"/>
          <w:lang w:eastAsia="zh-CN"/>
          <w14:textFill>
            <w14:solidFill>
              <w14:schemeClr w14:val="tx1"/>
            </w14:solidFill>
          </w14:textFill>
        </w:rPr>
        <w:t>，</w:t>
      </w:r>
      <w:r>
        <w:rPr>
          <w:rFonts w:hint="eastAsia" w:ascii="宋体" w:hAnsi="宋体" w:cs="仿宋_GB2312"/>
          <w:color w:val="000000" w:themeColor="text1"/>
          <w:highlight w:val="none"/>
          <w:lang w:val="en-US" w:eastAsia="zh-CN"/>
          <w14:textFill>
            <w14:solidFill>
              <w14:schemeClr w14:val="tx1"/>
            </w14:solidFill>
          </w14:textFill>
        </w:rPr>
        <w:t>下浮率范围为0%-20%</w:t>
      </w:r>
      <w:r>
        <w:rPr>
          <w:rFonts w:hint="eastAsia" w:ascii="宋体" w:hAnsi="宋体" w:cs="仿宋_GB2312"/>
          <w:color w:val="000000" w:themeColor="text1"/>
          <w:highlight w:val="none"/>
          <w14:textFill>
            <w14:solidFill>
              <w14:schemeClr w14:val="tx1"/>
            </w14:solidFill>
          </w14:textFill>
        </w:rPr>
        <w:t>，投标人报价应不高于限价</w:t>
      </w:r>
      <w:r>
        <w:rPr>
          <w:rFonts w:hint="eastAsia"/>
          <w:color w:val="000000" w:themeColor="text1"/>
          <w:highlight w:val="none"/>
          <w14:textFill>
            <w14:solidFill>
              <w14:schemeClr w14:val="tx1"/>
            </w14:solidFill>
          </w14:textFill>
        </w:rPr>
        <w:t>。</w:t>
      </w: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工程勘察费用报价表（表2）</w:t>
      </w:r>
    </w:p>
    <w:tbl>
      <w:tblPr>
        <w:tblStyle w:val="25"/>
        <w:tblW w:w="8581" w:type="dxa"/>
        <w:jc w:val="center"/>
        <w:tblLayout w:type="fixed"/>
        <w:tblCellMar>
          <w:top w:w="0" w:type="dxa"/>
          <w:left w:w="108" w:type="dxa"/>
          <w:bottom w:w="0" w:type="dxa"/>
          <w:right w:w="108" w:type="dxa"/>
        </w:tblCellMar>
      </w:tblPr>
      <w:tblGrid>
        <w:gridCol w:w="723"/>
        <w:gridCol w:w="2996"/>
        <w:gridCol w:w="2476"/>
        <w:gridCol w:w="2386"/>
      </w:tblGrid>
      <w:tr>
        <w:tblPrEx>
          <w:tblCellMar>
            <w:top w:w="0" w:type="dxa"/>
            <w:left w:w="108" w:type="dxa"/>
            <w:bottom w:w="0" w:type="dxa"/>
            <w:right w:w="108" w:type="dxa"/>
          </w:tblCellMar>
        </w:tblPrEx>
        <w:trPr>
          <w:trHeight w:val="615"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分项名称</w:t>
            </w:r>
          </w:p>
        </w:tc>
        <w:tc>
          <w:tcPr>
            <w:tcW w:w="2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工程勘察费报价</w:t>
            </w:r>
          </w:p>
        </w:tc>
        <w:tc>
          <w:tcPr>
            <w:tcW w:w="238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岩土工程勘探费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工程测量费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工程物探费</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476" w:type="dxa"/>
            <w:tcBorders>
              <w:top w:val="nil"/>
              <w:left w:val="nil"/>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2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996" w:type="dxa"/>
            <w:tcBorders>
              <w:top w:val="nil"/>
              <w:left w:val="nil"/>
              <w:bottom w:val="single" w:color="auto" w:sz="4" w:space="0"/>
              <w:right w:val="single" w:color="auto" w:sz="4" w:space="0"/>
            </w:tcBorders>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勘察费小计</w:t>
            </w:r>
          </w:p>
        </w:tc>
        <w:tc>
          <w:tcPr>
            <w:tcW w:w="2476" w:type="dxa"/>
            <w:tcBorders>
              <w:top w:val="nil"/>
              <w:left w:val="nil"/>
              <w:bottom w:val="single" w:color="auto" w:sz="4" w:space="0"/>
              <w:right w:val="single" w:color="auto" w:sz="4" w:space="0"/>
            </w:tcBorders>
            <w:vAlign w:val="center"/>
          </w:tcPr>
          <w:p>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2386" w:type="dxa"/>
            <w:tcBorders>
              <w:top w:val="nil"/>
              <w:left w:val="nil"/>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p>
        </w:tc>
      </w:tr>
    </w:tbl>
    <w:p>
      <w:pPr>
        <w:rPr>
          <w:color w:val="000000" w:themeColor="text1"/>
          <w:highlight w:val="none"/>
          <w:u w:val="singl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注：投标人根据《工程勘察费用报价表》和本招标文件的要求对勘察费进行报价，投标人报价应不高于限价</w:t>
      </w:r>
      <w:r>
        <w:rPr>
          <w:rFonts w:hint="eastAsia"/>
          <w:color w:val="000000" w:themeColor="text1"/>
          <w:highlight w:val="none"/>
          <w14:textFill>
            <w14:solidFill>
              <w14:schemeClr w14:val="tx1"/>
            </w14:solidFill>
          </w14:textFill>
        </w:rPr>
        <w:t>。</w:t>
      </w:r>
    </w:p>
    <w:p>
      <w:pPr>
        <w:rPr>
          <w:rFonts w:ascii="宋体" w:hAnsi="宋体"/>
          <w:b/>
          <w:bCs/>
          <w:color w:val="000000" w:themeColor="text1"/>
          <w:sz w:val="24"/>
          <w:highlight w:val="none"/>
          <w14:textFill>
            <w14:solidFill>
              <w14:schemeClr w14:val="tx1"/>
            </w14:solidFill>
          </w14:textFill>
        </w:rPr>
        <w:sectPr>
          <w:type w:val="nextColumn"/>
          <w:pgSz w:w="11906" w:h="16838"/>
          <w:pgMar w:top="1418" w:right="1588" w:bottom="1418" w:left="1588" w:header="851" w:footer="992" w:gutter="0"/>
          <w:cols w:space="720" w:num="1"/>
          <w:docGrid w:type="lines" w:linePitch="312" w:charSpace="0"/>
        </w:sectPr>
      </w:pPr>
    </w:p>
    <w:p>
      <w:pPr>
        <w:spacing w:line="360" w:lineRule="auto"/>
        <w:ind w:firstLine="643" w:firstLineChars="20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工程设计费用报价表（表3）</w:t>
      </w:r>
    </w:p>
    <w:tbl>
      <w:tblPr>
        <w:tblStyle w:val="25"/>
        <w:tblW w:w="9796" w:type="dxa"/>
        <w:jc w:val="center"/>
        <w:tblLayout w:type="fixed"/>
        <w:tblCellMar>
          <w:top w:w="0" w:type="dxa"/>
          <w:left w:w="108" w:type="dxa"/>
          <w:bottom w:w="0" w:type="dxa"/>
          <w:right w:w="108" w:type="dxa"/>
        </w:tblCellMar>
      </w:tblPr>
      <w:tblGrid>
        <w:gridCol w:w="713"/>
        <w:gridCol w:w="2510"/>
        <w:gridCol w:w="1530"/>
        <w:gridCol w:w="2024"/>
        <w:gridCol w:w="3019"/>
      </w:tblGrid>
      <w:tr>
        <w:tblPrEx>
          <w:tblCellMar>
            <w:top w:w="0" w:type="dxa"/>
            <w:left w:w="108" w:type="dxa"/>
            <w:bottom w:w="0" w:type="dxa"/>
            <w:right w:w="108" w:type="dxa"/>
          </w:tblCellMar>
        </w:tblPrEx>
        <w:trPr>
          <w:trHeight w:val="615"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序号</w:t>
            </w:r>
          </w:p>
        </w:tc>
        <w:tc>
          <w:tcPr>
            <w:tcW w:w="25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分项名称</w:t>
            </w:r>
          </w:p>
        </w:tc>
        <w:tc>
          <w:tcPr>
            <w:tcW w:w="1530" w:type="dxa"/>
            <w:tcBorders>
              <w:top w:val="single" w:color="auto" w:sz="4" w:space="0"/>
              <w:left w:val="nil"/>
              <w:bottom w:val="nil"/>
              <w:right w:val="single" w:color="auto" w:sz="4" w:space="0"/>
            </w:tcBorders>
            <w:vAlign w:val="center"/>
          </w:tcPr>
          <w:p>
            <w:pPr>
              <w:widowControl/>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估算建安费</w:t>
            </w:r>
          </w:p>
        </w:tc>
        <w:tc>
          <w:tcPr>
            <w:tcW w:w="20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工程设计费报价</w:t>
            </w:r>
          </w:p>
        </w:tc>
        <w:tc>
          <w:tcPr>
            <w:tcW w:w="30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highlight w:val="none"/>
                <w14:textFill>
                  <w14:solidFill>
                    <w14:schemeClr w14:val="tx1"/>
                  </w14:solidFill>
                </w14:textFill>
              </w:rPr>
            </w:pPr>
            <w:r>
              <w:rPr>
                <w:rFonts w:hint="eastAsia" w:ascii="宋体" w:hAnsi="宋体" w:cs="宋体"/>
                <w:b/>
                <w:color w:val="000000" w:themeColor="text1"/>
                <w:kern w:val="0"/>
                <w:highlight w:val="none"/>
                <w14:textFill>
                  <w14:solidFill>
                    <w14:schemeClr w14:val="tx1"/>
                  </w14:solidFill>
                </w14:textFill>
              </w:rPr>
              <w:t>备注</w:t>
            </w: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1</w:t>
            </w: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道路工程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专业调整系数</w:t>
            </w:r>
            <w:r>
              <w:rPr>
                <w:rFonts w:hint="eastAsia" w:ascii="宋体" w:hAnsi="宋体" w:cs="仿宋_GB2312"/>
                <w:color w:val="000000" w:themeColor="text1"/>
                <w:highlight w:val="none"/>
                <w:u w:val="single"/>
                <w:lang w:val="en-US" w:eastAsia="zh-CN"/>
                <w14:textFill>
                  <w14:solidFill>
                    <w14:schemeClr w14:val="tx1"/>
                  </w14:solidFill>
                </w14:textFill>
              </w:rPr>
              <w:t xml:space="preserve">     </w:t>
            </w:r>
          </w:p>
          <w:p>
            <w:pPr>
              <w:widowControl/>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工程复杂程度调整系数</w:t>
            </w:r>
            <w:r>
              <w:rPr>
                <w:rFonts w:hint="eastAsia" w:ascii="宋体" w:hAnsi="宋体" w:cs="仿宋_GB2312"/>
                <w:color w:val="000000" w:themeColor="text1"/>
                <w:highlight w:val="none"/>
                <w:u w:val="single"/>
                <w:lang w:val="en-US" w:eastAsia="zh-CN"/>
                <w14:textFill>
                  <w14:solidFill>
                    <w14:schemeClr w14:val="tx1"/>
                  </w14:solidFill>
                </w14:textFill>
              </w:rPr>
              <w:t xml:space="preserve">     </w:t>
            </w:r>
          </w:p>
          <w:p>
            <w:pPr>
              <w:widowControl/>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附加调整系数</w:t>
            </w:r>
            <w:r>
              <w:rPr>
                <w:rFonts w:hint="eastAsia" w:ascii="宋体" w:hAnsi="宋体" w:cs="仿宋_GB2312"/>
                <w:color w:val="000000" w:themeColor="text1"/>
                <w:highlight w:val="none"/>
                <w:u w:val="single"/>
                <w:lang w:val="en-US" w:eastAsia="zh-CN"/>
                <w14:textFill>
                  <w14:solidFill>
                    <w14:schemeClr w14:val="tx1"/>
                  </w14:solidFill>
                </w14:textFill>
              </w:rPr>
              <w:t xml:space="preserve">     </w:t>
            </w: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2</w:t>
            </w:r>
          </w:p>
        </w:tc>
        <w:tc>
          <w:tcPr>
            <w:tcW w:w="2510" w:type="dxa"/>
            <w:tcBorders>
              <w:top w:val="nil"/>
              <w:left w:val="nil"/>
              <w:bottom w:val="single" w:color="auto" w:sz="4" w:space="0"/>
              <w:right w:val="single" w:color="auto" w:sz="4" w:space="0"/>
            </w:tcBorders>
            <w:vAlign w:val="center"/>
          </w:tcPr>
          <w:p>
            <w:pPr>
              <w:widowControl/>
              <w:jc w:val="center"/>
              <w:rPr>
                <w:rFonts w:hint="eastAsia" w:ascii="宋体" w:hAnsi="宋体" w:cs="宋体"/>
                <w:bCs/>
                <w:color w:val="000000" w:themeColor="text1"/>
                <w:kern w:val="0"/>
                <w:highlight w:val="none"/>
                <w14:textFill>
                  <w14:solidFill>
                    <w14:schemeClr w14:val="tx1"/>
                  </w14:solidFill>
                </w14:textFill>
              </w:rPr>
            </w:pPr>
            <w:r>
              <w:rPr>
                <w:rFonts w:hint="eastAsia" w:ascii="宋体" w:hAnsi="宋体" w:eastAsia="宋体" w:cs="宋体"/>
                <w:bCs/>
                <w:color w:val="000000" w:themeColor="text1"/>
                <w:kern w:val="0"/>
                <w:sz w:val="21"/>
                <w:highlight w:val="none"/>
                <w:u w:val="none"/>
                <w:lang w:val="en-US" w:eastAsia="zh-CN"/>
                <w14:textFill>
                  <w14:solidFill>
                    <w14:schemeClr w14:val="tx1"/>
                  </w14:solidFill>
                </w14:textFill>
              </w:rPr>
              <w:t>桥</w:t>
            </w:r>
            <w:r>
              <w:rPr>
                <w:rFonts w:hint="eastAsia" w:ascii="宋体" w:hAnsi="宋体" w:cs="宋体"/>
                <w:bCs/>
                <w:color w:val="000000" w:themeColor="text1"/>
                <w:kern w:val="0"/>
                <w:sz w:val="21"/>
                <w:highlight w:val="none"/>
                <w:u w:val="none"/>
                <w:lang w:val="en-US" w:eastAsia="zh-CN"/>
                <w14:textFill>
                  <w14:solidFill>
                    <w14:schemeClr w14:val="tx1"/>
                  </w14:solidFill>
                </w14:textFill>
              </w:rPr>
              <w:t>涵</w:t>
            </w:r>
            <w:r>
              <w:rPr>
                <w:rFonts w:hint="eastAsia" w:ascii="宋体" w:hAnsi="宋体" w:eastAsia="宋体" w:cs="宋体"/>
                <w:bCs/>
                <w:color w:val="000000" w:themeColor="text1"/>
                <w:kern w:val="0"/>
                <w:sz w:val="21"/>
                <w:highlight w:val="none"/>
                <w:u w:val="none"/>
                <w:lang w:val="en-US" w:eastAsia="zh-CN"/>
                <w14:textFill>
                  <w14:solidFill>
                    <w14:schemeClr w14:val="tx1"/>
                  </w14:solidFill>
                </w14:textFill>
              </w:rPr>
              <w:t>工程</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专业调整系数</w:t>
            </w:r>
            <w:r>
              <w:rPr>
                <w:rFonts w:hint="eastAsia" w:ascii="宋体" w:hAnsi="宋体" w:cs="仿宋_GB2312"/>
                <w:color w:val="000000" w:themeColor="text1"/>
                <w:highlight w:val="none"/>
                <w:u w:val="single"/>
                <w:lang w:val="en-US" w:eastAsia="zh-CN"/>
                <w14:textFill>
                  <w14:solidFill>
                    <w14:schemeClr w14:val="tx1"/>
                  </w14:solidFill>
                </w14:textFill>
              </w:rPr>
              <w:t xml:space="preserve">     </w:t>
            </w:r>
          </w:p>
          <w:p>
            <w:pPr>
              <w:widowControl/>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工程复杂程度调整系数</w:t>
            </w:r>
            <w:r>
              <w:rPr>
                <w:rFonts w:hint="eastAsia" w:ascii="宋体" w:hAnsi="宋体" w:cs="仿宋_GB2312"/>
                <w:color w:val="000000" w:themeColor="text1"/>
                <w:highlight w:val="none"/>
                <w:u w:val="single"/>
                <w:lang w:val="en-US" w:eastAsia="zh-CN"/>
                <w14:textFill>
                  <w14:solidFill>
                    <w14:schemeClr w14:val="tx1"/>
                  </w14:solidFill>
                </w14:textFill>
              </w:rPr>
              <w:t xml:space="preserve">     </w:t>
            </w:r>
          </w:p>
          <w:p>
            <w:pPr>
              <w:widowControl/>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附加调整系数</w:t>
            </w:r>
            <w:r>
              <w:rPr>
                <w:rFonts w:hint="eastAsia" w:ascii="宋体" w:hAnsi="宋体" w:cs="仿宋_GB2312"/>
                <w:color w:val="000000" w:themeColor="text1"/>
                <w:highlight w:val="none"/>
                <w:u w:val="single"/>
                <w:lang w:val="en-US" w:eastAsia="zh-CN"/>
                <w14:textFill>
                  <w14:solidFill>
                    <w14:schemeClr w14:val="tx1"/>
                  </w14:solidFill>
                </w14:textFill>
              </w:rPr>
              <w:t xml:space="preserve">     </w:t>
            </w: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Cs/>
                <w:color w:val="000000" w:themeColor="text1"/>
                <w:kern w:val="0"/>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3019" w:type="dxa"/>
            <w:tcBorders>
              <w:top w:val="nil"/>
              <w:left w:val="nil"/>
              <w:bottom w:val="single" w:color="auto" w:sz="4" w:space="0"/>
              <w:right w:val="single" w:color="auto" w:sz="4" w:space="0"/>
            </w:tcBorders>
            <w:vAlign w:val="center"/>
          </w:tcPr>
          <w:p>
            <w:pPr>
              <w:widowControl/>
              <w:jc w:val="left"/>
              <w:rPr>
                <w:rFonts w:ascii="宋体" w:hAnsi="宋体" w:cs="宋体"/>
                <w:bCs/>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c>
          <w:tcPr>
            <w:tcW w:w="25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c>
          <w:tcPr>
            <w:tcW w:w="1530" w:type="dxa"/>
            <w:tcBorders>
              <w:top w:val="single" w:color="auto" w:sz="4" w:space="0"/>
              <w:left w:val="nil"/>
              <w:bottom w:val="single" w:color="auto" w:sz="4" w:space="0"/>
              <w:right w:val="single" w:color="auto" w:sz="4" w:space="0"/>
            </w:tcBorders>
            <w:vAlign w:val="center"/>
          </w:tcPr>
          <w:p>
            <w:pPr>
              <w:widowControl/>
              <w:rPr>
                <w:rFonts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c>
          <w:tcPr>
            <w:tcW w:w="3019" w:type="dxa"/>
            <w:tcBorders>
              <w:top w:val="nil"/>
              <w:left w:val="nil"/>
              <w:bottom w:val="single" w:color="auto" w:sz="4" w:space="0"/>
              <w:right w:val="single" w:color="auto" w:sz="4" w:space="0"/>
            </w:tcBorders>
            <w:vAlign w:val="center"/>
          </w:tcPr>
          <w:p>
            <w:pPr>
              <w:widowControl/>
              <w:rPr>
                <w:rFonts w:hint="eastAsia" w:ascii="宋体" w:hAnsi="宋体" w:eastAsia="宋体" w:cs="宋体"/>
                <w:bCs/>
                <w:color w:val="000000" w:themeColor="text1"/>
                <w:kern w:val="0"/>
                <w:sz w:val="21"/>
                <w:szCs w:val="24"/>
                <w:highlight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Cs/>
                <w:color w:val="000000" w:themeColor="text1"/>
                <w:kern w:val="0"/>
                <w:highlight w:val="none"/>
                <w:lang w:val="en-US" w:eastAsia="zh-CN"/>
                <w14:textFill>
                  <w14:solidFill>
                    <w14:schemeClr w14:val="tx1"/>
                  </w14:solidFill>
                </w14:textFill>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1530"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3019" w:type="dxa"/>
            <w:tcBorders>
              <w:top w:val="nil"/>
              <w:left w:val="nil"/>
              <w:bottom w:val="single" w:color="auto" w:sz="4" w:space="0"/>
              <w:right w:val="single" w:color="auto" w:sz="4" w:space="0"/>
            </w:tcBorders>
            <w:vAlign w:val="center"/>
          </w:tcPr>
          <w:p>
            <w:pPr>
              <w:widowControl/>
              <w:rPr>
                <w:rFonts w:ascii="宋体" w:hAnsi="宋体" w:cs="宋体"/>
                <w:bCs/>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251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1530"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2024"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3019" w:type="dxa"/>
            <w:tcBorders>
              <w:top w:val="nil"/>
              <w:left w:val="nil"/>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c>
          <w:tcPr>
            <w:tcW w:w="25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r>
              <w:rPr>
                <w:rFonts w:hint="eastAsia" w:ascii="宋体" w:hAnsi="宋体" w:cs="宋体"/>
                <w:bCs/>
                <w:color w:val="000000" w:themeColor="text1"/>
                <w:kern w:val="0"/>
                <w:highlight w:val="none"/>
                <w14:textFill>
                  <w14:solidFill>
                    <w14:schemeClr w14:val="tx1"/>
                  </w14:solidFill>
                </w14:textFill>
              </w:rPr>
              <w:t>设计费</w:t>
            </w:r>
            <w:r>
              <w:rPr>
                <w:rFonts w:hint="eastAsia" w:ascii="宋体" w:hAnsi="宋体" w:cs="宋体"/>
                <w:color w:val="000000" w:themeColor="text1"/>
                <w:szCs w:val="21"/>
                <w:highlight w:val="none"/>
                <w14:textFill>
                  <w14:solidFill>
                    <w14:schemeClr w14:val="tx1"/>
                  </w14:solidFill>
                </w14:textFill>
              </w:rPr>
              <w:t>小计</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000000" w:themeColor="text1"/>
                <w:kern w:val="0"/>
                <w:highlight w:val="none"/>
                <w14:textFill>
                  <w14:solidFill>
                    <w14:schemeClr w14:val="tx1"/>
                  </w14:solidFill>
                </w14:textFill>
              </w:rPr>
            </w:pPr>
          </w:p>
        </w:tc>
        <w:tc>
          <w:tcPr>
            <w:tcW w:w="20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r>
              <w:rPr>
                <w:rFonts w:hint="eastAsia" w:ascii="宋体" w:hAnsi="宋体" w:cs="仿宋_GB2312"/>
                <w:color w:val="000000" w:themeColor="text1"/>
                <w:highlight w:val="none"/>
                <w:u w:val="single"/>
                <w:lang w:val="en-US" w:eastAsia="zh-CN"/>
                <w14:textFill>
                  <w14:solidFill>
                    <w14:schemeClr w14:val="tx1"/>
                  </w14:solidFill>
                </w14:textFill>
              </w:rPr>
              <w:t xml:space="preserve">     </w:t>
            </w:r>
            <w:r>
              <w:rPr>
                <w:rFonts w:hint="eastAsia" w:ascii="宋体" w:hAnsi="宋体" w:cs="仿宋_GB2312"/>
                <w:color w:val="000000" w:themeColor="text1"/>
                <w:highlight w:val="none"/>
                <w14:textFill>
                  <w14:solidFill>
                    <w14:schemeClr w14:val="tx1"/>
                  </w14:solidFill>
                </w14:textFill>
              </w:rPr>
              <w:t>万元</w:t>
            </w:r>
          </w:p>
        </w:tc>
        <w:tc>
          <w:tcPr>
            <w:tcW w:w="30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themeColor="text1"/>
                <w:kern w:val="0"/>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注：投标人根据《工程设计费用报价表》和本招标文件的要求对设计费进行报价,并对各专业工程分别填报对应的专业调整系数、工程复杂程度调整系数、附加调整系数，投标人报价应不高于限价</w:t>
      </w:r>
      <w:r>
        <w:rPr>
          <w:rFonts w:hint="eastAsia"/>
          <w:color w:val="000000" w:themeColor="text1"/>
          <w:highlight w:val="none"/>
          <w14:textFill>
            <w14:solidFill>
              <w14:schemeClr w14:val="tx1"/>
            </w14:solidFill>
          </w14:textFill>
        </w:rPr>
        <w:t>。</w:t>
      </w: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pStyle w:val="31"/>
        <w:rPr>
          <w:color w:val="000000" w:themeColor="text1"/>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hint="eastAsia" w:ascii="宋体" w:hAnsi="宋体"/>
          <w:b/>
          <w:bCs/>
          <w:color w:val="000000" w:themeColor="text1"/>
          <w:sz w:val="24"/>
          <w:highlight w:val="none"/>
          <w14:textFill>
            <w14:solidFill>
              <w14:schemeClr w14:val="tx1"/>
            </w14:solidFill>
          </w14:textFill>
        </w:rPr>
      </w:pPr>
    </w:p>
    <w:p>
      <w:pP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附录5</w:t>
      </w:r>
    </w:p>
    <w:p>
      <w:pPr>
        <w:jc w:val="center"/>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投标书</w:t>
      </w:r>
    </w:p>
    <w:p>
      <w:pPr>
        <w:rPr>
          <w:rFonts w:ascii="宋体" w:hAnsi="宋体"/>
          <w:color w:val="000000" w:themeColor="text1"/>
          <w:highlight w:val="none"/>
          <w14:textFill>
            <w14:solidFill>
              <w14:schemeClr w14:val="tx1"/>
            </w14:solidFill>
          </w14:textFill>
        </w:rPr>
      </w:pPr>
    </w:p>
    <w:p>
      <w:pPr>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p>
      <w:pPr>
        <w:pStyle w:val="15"/>
        <w:rPr>
          <w:rFonts w:hAnsi="宋体"/>
          <w:color w:val="000000" w:themeColor="text1"/>
          <w:highlight w:val="none"/>
          <w14:textFill>
            <w14:solidFill>
              <w14:schemeClr w14:val="tx1"/>
            </w14:solidFill>
          </w14:textFill>
        </w:rPr>
      </w:pPr>
    </w:p>
    <w:p>
      <w:pPr>
        <w:pStyle w:val="15"/>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致：（招标人、招标代理机构名称）</w:t>
      </w:r>
    </w:p>
    <w:p>
      <w:pPr>
        <w:jc w:val="left"/>
        <w:rPr>
          <w:rFonts w:ascii="宋体" w:hAnsi="宋体"/>
          <w:color w:val="000000" w:themeColor="text1"/>
          <w:highlight w:val="none"/>
          <w14:textFill>
            <w14:solidFill>
              <w14:schemeClr w14:val="tx1"/>
            </w14:solidFill>
          </w14:textFill>
        </w:rPr>
      </w:pPr>
    </w:p>
    <w:p>
      <w:pPr>
        <w:pStyle w:val="15"/>
        <w:ind w:firstLine="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5"/>
        <w:ind w:firstLine="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我方愿以人民币</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元（大写：</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元）</w:t>
      </w:r>
      <w:r>
        <w:rPr>
          <w:rFonts w:hAnsi="宋体"/>
          <w:color w:val="000000" w:themeColor="text1"/>
          <w:highlight w:val="none"/>
          <w14:textFill>
            <w14:solidFill>
              <w14:schemeClr w14:val="tx1"/>
            </w14:solidFill>
          </w14:textFill>
        </w:rPr>
        <w:t>[（其中：勘察费</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元；设计费</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元）]的投标总报价</w:t>
      </w:r>
      <w:r>
        <w:rPr>
          <w:rFonts w:hint="eastAsia" w:hAnsi="宋体"/>
          <w:color w:val="000000" w:themeColor="text1"/>
          <w:highlight w:val="none"/>
          <w:u w:val="single"/>
          <w14:textFill>
            <w14:solidFill>
              <w14:schemeClr w14:val="tx1"/>
            </w14:solidFill>
          </w14:textFill>
        </w:rPr>
        <w:t>（均填写已经下浮后的报价）</w:t>
      </w:r>
      <w:r>
        <w:rPr>
          <w:rFonts w:hint="eastAsia" w:hAnsi="宋体"/>
          <w:color w:val="000000" w:themeColor="text1"/>
          <w:highlight w:val="none"/>
          <w14:textFill>
            <w14:solidFill>
              <w14:schemeClr w14:val="tx1"/>
            </w14:solidFill>
          </w14:textFill>
        </w:rPr>
        <w:t>，承包本次招标所包含的工作，并承担任何质量缺陷责任。我方项目负责人为网上投标登记时选择的项目负责人。</w:t>
      </w:r>
    </w:p>
    <w:p>
      <w:pPr>
        <w:pStyle w:val="15"/>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我方遵守本投标书直至投标有效期满，在投标有效期满前，本投标书对我方一直具有约束力，随时可接受中标。我方承认所附投标文件资料为本投标书的一部分。</w:t>
      </w:r>
    </w:p>
    <w:p>
      <w:pPr>
        <w:pStyle w:val="15"/>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我方认同招标文件规定的评审规则，遵守评标委员会的裁决结果，并且不会采取妨碍项目进展的行为。</w:t>
      </w:r>
    </w:p>
    <w:p>
      <w:pPr>
        <w:pStyle w:val="15"/>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如果我方中标，我方将提供规定的履约担保，将在合同规定的日期开工，并在竣工时间内，按照上述文件完成项目。</w:t>
      </w:r>
    </w:p>
    <w:p>
      <w:pPr>
        <w:pStyle w:val="15"/>
        <w:ind w:firstLine="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除非制定正式合同协议书并生效，本投标书以及你方中标通知书，应构成你我双方间具有约束力的合同。</w:t>
      </w:r>
    </w:p>
    <w:p>
      <w:pPr>
        <w:pStyle w:val="15"/>
        <w:ind w:firstLine="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我方保证投标材料及其后提供的一切材料都是真实的；在</w:t>
      </w:r>
      <w:r>
        <w:rPr>
          <w:rFonts w:hint="eastAsia" w:hAnsi="宋体" w:cs="Times New Roman"/>
          <w:color w:val="000000" w:themeColor="text1"/>
          <w:highlight w:val="none"/>
          <w:u w:val="single"/>
          <w14:textFill>
            <w14:solidFill>
              <w14:schemeClr w14:val="tx1"/>
            </w14:solidFill>
          </w14:textFill>
        </w:rPr>
        <w:t>广州公共资源交易中心</w:t>
      </w:r>
      <w:r>
        <w:rPr>
          <w:rFonts w:hint="eastAsia" w:hAnsi="宋体"/>
          <w:color w:val="000000" w:themeColor="text1"/>
          <w:highlight w:val="none"/>
          <w14:textFill>
            <w14:solidFill>
              <w14:schemeClr w14:val="tx1"/>
            </w14:solidFill>
          </w14:textFill>
        </w:rPr>
        <w:t>企业库登记的一切信息都是真实的、在有效期内的。若与事实不符，经查实，我方愿意接受公开通报，承担由此带来的法律后果，并自愿停止参加广州市行政辖区内的招标投标活动三个月。</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投标人：（盖章）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法定代表人：（签名或盖章）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委托代理人：（签名或盖章）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项目负责人：（签名或盖章）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地址：</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邮政编码：</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电话/传真：</w:t>
      </w:r>
      <w:r>
        <w:rPr>
          <w:rFonts w:hint="eastAsia" w:hAnsi="宋体"/>
          <w:color w:val="000000" w:themeColor="text1"/>
          <w:highlight w:val="none"/>
          <w:u w:val="single"/>
          <w14:textFill>
            <w14:solidFill>
              <w14:schemeClr w14:val="tx1"/>
            </w14:solidFill>
          </w14:textFill>
        </w:rPr>
        <w:t xml:space="preserve">                    /FAX              </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电子邮箱：</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开户银行名称、帐号：</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开户行地址/电话：</w:t>
      </w:r>
    </w:p>
    <w:p>
      <w:pPr>
        <w:pStyle w:val="15"/>
        <w:rPr>
          <w:rFonts w:hAnsi="宋体"/>
          <w:color w:val="000000" w:themeColor="text1"/>
          <w:highlight w:val="none"/>
          <w14:textFill>
            <w14:solidFill>
              <w14:schemeClr w14:val="tx1"/>
            </w14:solidFill>
          </w14:textFill>
        </w:rPr>
      </w:pPr>
    </w:p>
    <w:p>
      <w:pPr>
        <w:pStyle w:val="15"/>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日期：       年    月    日</w:t>
      </w:r>
    </w:p>
    <w:p>
      <w:pPr>
        <w:rPr>
          <w:rFonts w:ascii="宋体" w:hAnsi="宋体"/>
          <w:b/>
          <w:bCs/>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highlight w:val="none"/>
          <w14:textFill>
            <w14:solidFill>
              <w14:schemeClr w14:val="tx1"/>
            </w14:solidFill>
          </w14:textFill>
        </w:rPr>
        <w:t>附录6</w:t>
      </w:r>
      <w:r>
        <w:rPr>
          <w:rFonts w:hint="eastAsia" w:ascii="宋体" w:hAnsi="宋体"/>
          <w:color w:val="000000" w:themeColor="text1"/>
          <w:highlight w:val="none"/>
          <w14:textFill>
            <w14:solidFill>
              <w14:schemeClr w14:val="tx1"/>
            </w14:solidFill>
          </w14:textFill>
        </w:rPr>
        <w:t>（如果招标人接受联合体，则与投标书一起递交）</w:t>
      </w:r>
    </w:p>
    <w:p>
      <w:pPr>
        <w:jc w:val="center"/>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联合体共同投标协议</w:t>
      </w:r>
    </w:p>
    <w:p>
      <w:pPr>
        <w:rPr>
          <w:rFonts w:ascii="宋体" w:hAnsi="宋体"/>
          <w:color w:val="000000" w:themeColor="text1"/>
          <w:sz w:val="24"/>
          <w:highlight w:val="none"/>
          <w14:textFill>
            <w14:solidFill>
              <w14:schemeClr w14:val="tx1"/>
            </w14:solidFill>
          </w14:textFill>
        </w:rPr>
      </w:pPr>
    </w:p>
    <w:p>
      <w:pPr>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投标项目名称：</w:t>
      </w:r>
    </w:p>
    <w:p>
      <w:pPr>
        <w:pStyle w:val="15"/>
        <w:rPr>
          <w:rFonts w:hAnsi="宋体"/>
          <w:color w:val="000000" w:themeColor="text1"/>
          <w:highlight w:val="none"/>
          <w14:textFill>
            <w14:solidFill>
              <w14:schemeClr w14:val="tx1"/>
            </w14:solidFill>
          </w14:textFill>
        </w:rPr>
      </w:pPr>
    </w:p>
    <w:p>
      <w:pPr>
        <w:pStyle w:val="15"/>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致：（招标人、招标代理机构名称）</w:t>
      </w:r>
    </w:p>
    <w:p>
      <w:pPr>
        <w:jc w:val="left"/>
        <w:rPr>
          <w:rFonts w:ascii="宋体" w:hAnsi="宋体"/>
          <w:color w:val="000000" w:themeColor="text1"/>
          <w:sz w:val="24"/>
          <w:highlight w:val="none"/>
          <w14:textFill>
            <w14:solidFill>
              <w14:schemeClr w14:val="tx1"/>
            </w14:solidFill>
          </w14:textFill>
        </w:rPr>
      </w:pPr>
    </w:p>
    <w:p>
      <w:pPr>
        <w:pStyle w:val="15"/>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我方决定组成联合体共同参加以上项目的投标，若中标，联合体各成员向招标人承担连带责任</w:t>
      </w:r>
      <w:r>
        <w:rPr>
          <w:rFonts w:hint="eastAsia" w:hAnsi="宋体"/>
          <w:color w:val="000000" w:themeColor="text1"/>
          <w:szCs w:val="2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我方</w:t>
      </w:r>
      <w:r>
        <w:rPr>
          <w:rFonts w:hint="eastAsia" w:hAnsi="宋体"/>
          <w:color w:val="000000" w:themeColor="text1"/>
          <w:szCs w:val="21"/>
          <w:highlight w:val="none"/>
          <w14:textFill>
            <w14:solidFill>
              <w14:schemeClr w14:val="tx1"/>
            </w14:solidFill>
          </w14:textFill>
        </w:rPr>
        <w:t>授权委托本协议牵头人，代表所有联合体成员参加投标、提交投标文件，以及与招标人签订合同，负责整个合同实施阶段的协调工作。</w:t>
      </w:r>
    </w:p>
    <w:p>
      <w:pPr>
        <w:rPr>
          <w:rFonts w:ascii="宋体" w:hAnsi="宋体"/>
          <w:color w:val="000000" w:themeColor="text1"/>
          <w:highlight w:val="none"/>
          <w14:textFill>
            <w14:solidFill>
              <w14:schemeClr w14:val="tx1"/>
            </w14:solidFill>
          </w14:textFill>
        </w:rPr>
      </w:pPr>
    </w:p>
    <w:p>
      <w:pPr>
        <w:pStyle w:val="15"/>
        <w:rPr>
          <w:rFonts w:hAnsi="宋体"/>
          <w:color w:val="000000" w:themeColor="text1"/>
          <w:highlight w:val="none"/>
          <w14:textFill>
            <w14:solidFill>
              <w14:schemeClr w14:val="tx1"/>
            </w14:solidFill>
          </w14:textFill>
        </w:rPr>
      </w:pP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投标</w:t>
      </w:r>
      <w:r>
        <w:rPr>
          <w:rFonts w:hint="eastAsia" w:hAnsi="宋体"/>
          <w:color w:val="000000" w:themeColor="text1"/>
          <w:szCs w:val="21"/>
          <w:highlight w:val="none"/>
          <w14:textFill>
            <w14:solidFill>
              <w14:schemeClr w14:val="tx1"/>
            </w14:solidFill>
          </w14:textFill>
        </w:rPr>
        <w:t>牵头人</w:t>
      </w:r>
      <w:r>
        <w:rPr>
          <w:rFonts w:hint="eastAsia" w:hAnsi="宋体"/>
          <w:color w:val="000000" w:themeColor="text1"/>
          <w:highlight w:val="none"/>
          <w14:textFill>
            <w14:solidFill>
              <w14:schemeClr w14:val="tx1"/>
            </w14:solidFill>
          </w14:textFill>
        </w:rPr>
        <w:t>：（盖章）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法定代表人：（签名或盖章）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委托代理人：（签名或盖章）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地址：</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邮政编码：电话/传真：</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分工内容：</w:t>
      </w:r>
    </w:p>
    <w:p>
      <w:pPr>
        <w:pStyle w:val="15"/>
        <w:spacing w:line="360" w:lineRule="auto"/>
        <w:rPr>
          <w:rFonts w:hAnsi="宋体"/>
          <w:color w:val="000000" w:themeColor="text1"/>
          <w:highlight w:val="none"/>
          <w14:textFill>
            <w14:solidFill>
              <w14:schemeClr w14:val="tx1"/>
            </w14:solidFill>
          </w14:textFill>
        </w:rPr>
      </w:pP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联合体成员：（盖章）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法定代表人：（签名或盖章）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委托代理人：（签名或盖章）</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地址：</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邮政编码：电话/传真：</w:t>
      </w:r>
    </w:p>
    <w:p>
      <w:pPr>
        <w:pStyle w:val="1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分工内容：</w:t>
      </w:r>
    </w:p>
    <w:p>
      <w:pPr>
        <w:pStyle w:val="15"/>
        <w:spacing w:line="360" w:lineRule="auto"/>
        <w:rPr>
          <w:rFonts w:hAnsi="宋体"/>
          <w:color w:val="000000" w:themeColor="text1"/>
          <w:highlight w:val="none"/>
          <w14:textFill>
            <w14:solidFill>
              <w14:schemeClr w14:val="tx1"/>
            </w14:solidFill>
          </w14:textFill>
        </w:rPr>
      </w:pPr>
    </w:p>
    <w:p>
      <w:pPr>
        <w:pStyle w:val="15"/>
        <w:spacing w:line="360" w:lineRule="auto"/>
        <w:rPr>
          <w:rFonts w:hAnsi="宋体"/>
          <w:color w:val="000000" w:themeColor="text1"/>
          <w:highlight w:val="none"/>
          <w14:textFill>
            <w14:solidFill>
              <w14:schemeClr w14:val="tx1"/>
            </w14:solidFill>
          </w14:textFill>
        </w:rPr>
      </w:pPr>
    </w:p>
    <w:p>
      <w:pPr>
        <w:pStyle w:val="15"/>
        <w:spacing w:line="360" w:lineRule="auto"/>
        <w:rPr>
          <w:rFonts w:hAnsi="宋体"/>
          <w:color w:val="000000" w:themeColor="text1"/>
          <w:highlight w:val="none"/>
          <w14:textFill>
            <w14:solidFill>
              <w14:schemeClr w14:val="tx1"/>
            </w14:solidFill>
          </w14:textFill>
        </w:rPr>
      </w:pPr>
    </w:p>
    <w:p>
      <w:pPr>
        <w:pStyle w:val="15"/>
        <w:spacing w:line="360" w:lineRule="auto"/>
        <w:rPr>
          <w:rFonts w:hAnsi="宋体"/>
          <w:color w:val="000000" w:themeColor="text1"/>
          <w:highlight w:val="none"/>
          <w14:textFill>
            <w14:solidFill>
              <w14:schemeClr w14:val="tx1"/>
            </w14:solidFill>
          </w14:textFill>
        </w:rPr>
      </w:pPr>
    </w:p>
    <w:p>
      <w:pPr>
        <w:pStyle w:val="15"/>
        <w:spacing w:line="360" w:lineRule="auto"/>
        <w:rPr>
          <w:rFonts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签订日期：       年    月    日</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法人证明书或法人授权委托书格式</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（原件放在正本上，副本可用复印件）</w:t>
      </w:r>
    </w:p>
    <w:p>
      <w:pPr>
        <w:spacing w:line="360" w:lineRule="auto"/>
        <w:jc w:val="center"/>
        <w:rPr>
          <w:rFonts w:ascii="宋体" w:hAnsi="宋体"/>
          <w:b/>
          <w:color w:val="000000" w:themeColor="text1"/>
          <w:sz w:val="28"/>
          <w:highlight w:val="none"/>
          <w14:textFill>
            <w14:solidFill>
              <w14:schemeClr w14:val="tx1"/>
            </w14:solidFill>
          </w14:textFill>
        </w:rPr>
      </w:pPr>
      <w:r>
        <w:rPr>
          <w:rFonts w:ascii="宋体" w:hAnsi="宋体"/>
          <w:b/>
          <w:color w:val="000000" w:themeColor="text1"/>
          <w:sz w:val="28"/>
          <w:highlight w:val="none"/>
          <w14:textFill>
            <w14:solidFill>
              <w14:schemeClr w14:val="tx1"/>
            </w14:solidFill>
          </w14:textFill>
        </w:rPr>
        <w:t>法定代表人</w:t>
      </w:r>
      <w:r>
        <w:rPr>
          <w:rFonts w:hint="eastAsia" w:ascii="宋体" w:hAnsi="宋体"/>
          <w:b/>
          <w:color w:val="000000" w:themeColor="text1"/>
          <w:sz w:val="28"/>
          <w:highlight w:val="none"/>
          <w14:textFill>
            <w14:solidFill>
              <w14:schemeClr w14:val="tx1"/>
            </w14:solidFill>
          </w14:textFill>
        </w:rPr>
        <w:t>（负责人）</w:t>
      </w:r>
      <w:r>
        <w:rPr>
          <w:rFonts w:ascii="宋体" w:hAnsi="宋体"/>
          <w:b/>
          <w:color w:val="000000" w:themeColor="text1"/>
          <w:sz w:val="28"/>
          <w:highlight w:val="none"/>
          <w14:textFill>
            <w14:solidFill>
              <w14:schemeClr w14:val="tx1"/>
            </w14:solidFill>
          </w14:textFill>
        </w:rPr>
        <w:t>证明书</w:t>
      </w:r>
    </w:p>
    <w:p>
      <w:pPr>
        <w:spacing w:line="360" w:lineRule="auto"/>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）第　号</w:t>
      </w:r>
    </w:p>
    <w:tbl>
      <w:tblPr>
        <w:tblStyle w:val="25"/>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现任我单位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有效期限：</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附：法定代表人（负责人）性别：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注册号码：</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企业类型：</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经营范围：</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年　  月　　日</w:t>
            </w:r>
          </w:p>
        </w:tc>
      </w:tr>
    </w:tbl>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注：法定代表人证明书也可以采用工商行政管理局统一印制的格式。</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法定代表人授权委托</w:t>
      </w:r>
      <w:r>
        <w:rPr>
          <w:rFonts w:ascii="宋体" w:hAnsi="宋体"/>
          <w:b/>
          <w:color w:val="000000" w:themeColor="text1"/>
          <w:sz w:val="24"/>
          <w:highlight w:val="none"/>
          <w14:textFill>
            <w14:solidFill>
              <w14:schemeClr w14:val="tx1"/>
            </w14:solidFill>
          </w14:textFill>
        </w:rPr>
        <w:t>书</w:t>
      </w:r>
    </w:p>
    <w:p>
      <w:pPr>
        <w:spacing w:line="360" w:lineRule="auto"/>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）第　号</w:t>
      </w:r>
    </w:p>
    <w:tbl>
      <w:tblPr>
        <w:tblStyle w:val="25"/>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兹授权为我方委托代理人，其权限是：</w:t>
            </w:r>
          </w:p>
          <w:p>
            <w:pPr>
              <w:spacing w:line="360" w:lineRule="auto"/>
              <w:rPr>
                <w:rFonts w:ascii="宋体" w:hAnsi="宋体"/>
                <w:color w:val="000000" w:themeColor="text1"/>
                <w:sz w:val="24"/>
                <w:highlight w:val="none"/>
                <w:u w:val="single"/>
                <w14:textFill>
                  <w14:solidFill>
                    <w14:schemeClr w14:val="tx1"/>
                  </w14:solidFill>
                </w14:textFill>
              </w:rPr>
            </w:pP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有效期限：</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附：代理人性别：年龄：身份证号码：</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注册号码：企业类型：</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经营范围：</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法定代表人（负责人）：（签名或盖章）</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授权单位：（盖章）</w:t>
            </w:r>
          </w:p>
          <w:p>
            <w:pPr>
              <w:spacing w:line="360" w:lineRule="auto"/>
              <w:ind w:firstLine="5880" w:firstLineChars="2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tc>
      </w:tr>
    </w:tbl>
    <w:p>
      <w:pPr>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注：法定代表人授权委托书也可以采用工商行政管理局统一印制的格式。</w:t>
      </w:r>
    </w:p>
    <w:p>
      <w:pPr>
        <w:rPr>
          <w:rFonts w:ascii="宋体" w:hAnsi="宋体"/>
          <w:color w:val="000000" w:themeColor="text1"/>
          <w:highlight w:val="none"/>
          <w14:textFill>
            <w14:solidFill>
              <w14:schemeClr w14:val="tx1"/>
            </w14:solidFill>
          </w14:textFill>
        </w:rPr>
      </w:pPr>
    </w:p>
    <w:p>
      <w:pPr>
        <w:spacing w:line="360" w:lineRule="auto"/>
        <w:rPr>
          <w:b/>
          <w:color w:val="000000" w:themeColor="text1"/>
          <w:sz w:val="24"/>
          <w:highlight w:val="none"/>
          <w14:textFill>
            <w14:solidFill>
              <w14:schemeClr w14:val="tx1"/>
            </w14:solidFill>
          </w14:textFill>
        </w:rPr>
      </w:pPr>
      <w:r>
        <w:rPr>
          <w:color w:val="000000" w:themeColor="text1"/>
          <w:sz w:val="32"/>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附录7</w:t>
      </w:r>
    </w:p>
    <w:p>
      <w:pPr>
        <w:pStyle w:val="47"/>
        <w:rPr>
          <w:color w:val="000000" w:themeColor="text1"/>
          <w:highlight w:val="none"/>
          <w14:textFill>
            <w14:solidFill>
              <w14:schemeClr w14:val="tx1"/>
            </w14:solidFill>
          </w14:textFill>
        </w:rPr>
      </w:pPr>
      <w:bookmarkStart w:id="2" w:name="_Toc298486574"/>
      <w:bookmarkStart w:id="3" w:name="_Toc298486613"/>
      <w:r>
        <w:rPr>
          <w:rFonts w:hint="eastAsia"/>
          <w:color w:val="000000" w:themeColor="text1"/>
          <w:highlight w:val="none"/>
          <w14:textFill>
            <w14:solidFill>
              <w14:schemeClr w14:val="tx1"/>
            </w14:solidFill>
          </w14:textFill>
        </w:rPr>
        <w:t>投标人已完成项目情况</w:t>
      </w:r>
      <w:bookmarkEnd w:id="2"/>
      <w:bookmarkEnd w:id="3"/>
    </w:p>
    <w:tbl>
      <w:tblPr>
        <w:tblStyle w:val="2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合同签订时间</w:t>
            </w:r>
          </w:p>
        </w:tc>
        <w:tc>
          <w:tcPr>
            <w:tcW w:w="1790"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项目概况</w:t>
            </w:r>
          </w:p>
        </w:tc>
        <w:tc>
          <w:tcPr>
            <w:tcW w:w="1789"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业主单位</w:t>
            </w:r>
          </w:p>
        </w:tc>
        <w:tc>
          <w:tcPr>
            <w:tcW w:w="1789"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完成情况</w:t>
            </w:r>
          </w:p>
        </w:tc>
        <w:tc>
          <w:tcPr>
            <w:tcW w:w="1789"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90"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90"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90"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90"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90"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90"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c>
          <w:tcPr>
            <w:tcW w:w="1789" w:type="dxa"/>
            <w:vAlign w:val="center"/>
          </w:tcPr>
          <w:p>
            <w:pPr>
              <w:jc w:val="center"/>
              <w:rPr>
                <w:rFonts w:ascii="宋体" w:hAnsi="宋体"/>
                <w:color w:val="000000" w:themeColor="text1"/>
                <w:highlight w:val="none"/>
                <w14:textFill>
                  <w14:solidFill>
                    <w14:schemeClr w14:val="tx1"/>
                  </w14:solidFill>
                </w14:textFill>
              </w:rPr>
            </w:pPr>
          </w:p>
        </w:tc>
      </w:tr>
    </w:tbl>
    <w:p>
      <w:pPr>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注：①投标人应将近</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highlight w:val="none"/>
          <w14:textFill>
            <w14:solidFill>
              <w14:schemeClr w14:val="tx1"/>
            </w14:solidFill>
          </w14:textFill>
        </w:rPr>
        <w:t>内</w:t>
      </w:r>
      <w:r>
        <w:rPr>
          <w:rFonts w:hint="eastAsia" w:ascii="宋体" w:hAnsi="宋体"/>
          <w:color w:val="000000" w:themeColor="text1"/>
          <w:highlight w:val="none"/>
          <w:u w:val="single"/>
          <w14:textFill>
            <w14:solidFill>
              <w14:schemeClr w14:val="tx1"/>
            </w14:solidFill>
          </w14:textFill>
        </w:rPr>
        <w:t>（201</w:t>
      </w:r>
      <w:r>
        <w:rPr>
          <w:rFonts w:hint="eastAsia" w:ascii="宋体" w:hAnsi="宋体"/>
          <w:color w:val="000000" w:themeColor="text1"/>
          <w:highlight w:val="none"/>
          <w:u w:val="single"/>
          <w:lang w:val="en-US" w:eastAsia="zh-CN"/>
          <w14:textFill>
            <w14:solidFill>
              <w14:schemeClr w14:val="tx1"/>
            </w14:solidFill>
          </w14:textFill>
        </w:rPr>
        <w:t>8</w:t>
      </w:r>
      <w:r>
        <w:rPr>
          <w:rFonts w:hint="eastAsia" w:ascii="宋体" w:hAnsi="宋体"/>
          <w:color w:val="000000" w:themeColor="text1"/>
          <w:highlight w:val="none"/>
          <w:u w:val="single"/>
          <w14:textFill>
            <w14:solidFill>
              <w14:schemeClr w14:val="tx1"/>
            </w14:solidFill>
          </w14:textFill>
        </w:rPr>
        <w:t>年1月1日至今）</w:t>
      </w:r>
      <w:r>
        <w:rPr>
          <w:rFonts w:hint="eastAsia" w:ascii="宋体" w:hAnsi="宋体"/>
          <w:color w:val="000000" w:themeColor="text1"/>
          <w:highlight w:val="none"/>
          <w14:textFill>
            <w14:solidFill>
              <w14:schemeClr w14:val="tx1"/>
            </w14:solidFill>
          </w14:textFill>
        </w:rPr>
        <w:t>已完成的类似勘察设计项目情况填入本表中，</w:t>
      </w:r>
      <w:r>
        <w:rPr>
          <w:rFonts w:hint="eastAsia" w:ascii="宋体" w:hAnsi="宋体" w:eastAsia="宋体" w:cs="宋体"/>
          <w:color w:val="000000" w:themeColor="text1"/>
          <w14:textFill>
            <w14:solidFill>
              <w14:schemeClr w14:val="tx1"/>
            </w14:solidFill>
          </w14:textFill>
        </w:rPr>
        <w:t>时间以合同签订时间为准，合同无法体现签订日期的，以中标通知书(或免招标证明文件)时间为准</w:t>
      </w:r>
      <w:r>
        <w:rPr>
          <w:rFonts w:hint="eastAsia" w:ascii="宋体" w:hAnsi="宋体"/>
          <w:color w:val="000000" w:themeColor="text1"/>
          <w:highlight w:val="none"/>
          <w14:textFill>
            <w14:solidFill>
              <w14:schemeClr w14:val="tx1"/>
            </w14:solidFill>
          </w14:textFill>
        </w:rPr>
        <w:t>。</w:t>
      </w:r>
    </w:p>
    <w:p>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②项目概况包括：项目名称、项目等级、规模、建安费或总投资。</w:t>
      </w:r>
    </w:p>
    <w:p>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③完成情况：已完成施工图设计或已竣工。</w:t>
      </w:r>
    </w:p>
    <w:p>
      <w:pPr>
        <w:spacing w:line="360" w:lineRule="auto"/>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④投标人应随本表出具所填项目的</w:t>
      </w:r>
      <w:r>
        <w:rPr>
          <w:rFonts w:hint="eastAsia" w:ascii="宋体" w:hAnsi="宋体" w:eastAsia="宋体" w:cs="宋体"/>
          <w:color w:val="000000" w:themeColor="text1"/>
          <w14:textFill>
            <w14:solidFill>
              <w14:schemeClr w14:val="tx1"/>
            </w14:solidFill>
          </w14:textFill>
        </w:rPr>
        <w:t>中标通知书(或免招标证明文件)</w:t>
      </w:r>
      <w:r>
        <w:rPr>
          <w:rFonts w:hint="eastAsia" w:ascii="宋体" w:hAnsi="宋体" w:eastAsia="宋体" w:cs="宋体"/>
          <w:color w:val="000000" w:themeColor="text1"/>
          <w:lang w:val="en-US" w:eastAsia="zh-CN"/>
          <w14:textFill>
            <w14:solidFill>
              <w14:schemeClr w14:val="tx1"/>
            </w14:solidFill>
          </w14:textFill>
        </w:rPr>
        <w:t>和</w:t>
      </w:r>
      <w:r>
        <w:rPr>
          <w:rFonts w:hint="eastAsia" w:ascii="宋体" w:hAnsi="宋体" w:eastAsia="宋体" w:cs="宋体"/>
          <w:color w:val="000000" w:themeColor="text1"/>
          <w14:textFill>
            <w14:solidFill>
              <w14:schemeClr w14:val="tx1"/>
            </w14:solidFill>
          </w14:textFill>
        </w:rPr>
        <w:t>合同</w:t>
      </w:r>
      <w:r>
        <w:rPr>
          <w:rFonts w:hint="eastAsia" w:ascii="宋体" w:hAnsi="宋体" w:eastAsia="宋体" w:cs="宋体"/>
          <w:color w:val="000000" w:themeColor="text1"/>
          <w:lang w:val="en-US" w:eastAsia="zh-CN"/>
          <w14:textFill>
            <w14:solidFill>
              <w14:schemeClr w14:val="tx1"/>
            </w14:solidFill>
          </w14:textFill>
        </w:rPr>
        <w:t>关键页（包括合同封面、工程内容及签字盖章页等）</w:t>
      </w:r>
      <w:r>
        <w:rPr>
          <w:rFonts w:hint="eastAsia" w:ascii="宋体" w:hAnsi="宋体" w:cs="Times New Roman"/>
          <w:color w:val="000000" w:themeColor="text1"/>
          <w:szCs w:val="21"/>
          <w:highlight w:val="none"/>
          <w:u w:val="single"/>
          <w14:textFill>
            <w14:solidFill>
              <w14:schemeClr w14:val="tx1"/>
            </w14:solidFill>
          </w14:textFill>
        </w:rPr>
        <w:t>（原件</w:t>
      </w:r>
      <w:r>
        <w:rPr>
          <w:rFonts w:hint="eastAsia" w:ascii="宋体" w:hAnsi="宋体"/>
          <w:color w:val="000000" w:themeColor="text1"/>
          <w:szCs w:val="21"/>
          <w:highlight w:val="none"/>
          <w:u w:val="single"/>
          <w14:textFill>
            <w14:solidFill>
              <w14:schemeClr w14:val="tx1"/>
            </w14:solidFill>
          </w14:textFill>
        </w:rPr>
        <w:t>清晰扫描件）</w:t>
      </w:r>
      <w:r>
        <w:rPr>
          <w:rFonts w:hint="eastAsia" w:ascii="宋体" w:hAnsi="宋体"/>
          <w:color w:val="000000" w:themeColor="text1"/>
          <w:highlight w:val="none"/>
          <w14:textFill>
            <w14:solidFill>
              <w14:schemeClr w14:val="tx1"/>
            </w14:solidFill>
          </w14:textFill>
        </w:rPr>
        <w:t>，否则，招标人将不考虑投标人所填项目的业绩。</w:t>
      </w:r>
    </w:p>
    <w:p>
      <w:pPr>
        <w:spacing w:line="360" w:lineRule="auto"/>
        <w:ind w:firstLine="420" w:firstLineChars="200"/>
        <w:jc w:val="left"/>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附录8</w:t>
      </w:r>
    </w:p>
    <w:p>
      <w:pPr>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本项目拟投入的人员基本情况表</w:t>
      </w:r>
    </w:p>
    <w:tbl>
      <w:tblPr>
        <w:tblStyle w:val="25"/>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092"/>
        <w:gridCol w:w="1166"/>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982"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人员安排</w:t>
            </w:r>
          </w:p>
        </w:tc>
        <w:tc>
          <w:tcPr>
            <w:tcW w:w="1092"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 名</w:t>
            </w:r>
          </w:p>
        </w:tc>
        <w:tc>
          <w:tcPr>
            <w:tcW w:w="1166"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年龄</w:t>
            </w:r>
          </w:p>
        </w:tc>
        <w:tc>
          <w:tcPr>
            <w:tcW w:w="1203"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所学专业</w:t>
            </w:r>
          </w:p>
        </w:tc>
        <w:tc>
          <w:tcPr>
            <w:tcW w:w="2001" w:type="dxa"/>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项目负责人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道路专业负责人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lang w:eastAsia="zh-CN"/>
                <w14:textFill>
                  <w14:solidFill>
                    <w14:schemeClr w14:val="tx1"/>
                  </w14:solidFill>
                </w14:textFill>
              </w:rPr>
              <w:t>桥</w:t>
            </w:r>
            <w:r>
              <w:rPr>
                <w:rFonts w:hint="eastAsia" w:ascii="宋体" w:hAnsi="宋体"/>
                <w:b/>
                <w:color w:val="000000" w:themeColor="text1"/>
                <w:highlight w:val="none"/>
                <w:lang w:val="en-US" w:eastAsia="zh-CN"/>
                <w14:textFill>
                  <w14:solidFill>
                    <w14:schemeClr w14:val="tx1"/>
                  </w14:solidFill>
                </w14:textFill>
              </w:rPr>
              <w:t>涵</w:t>
            </w:r>
            <w:r>
              <w:rPr>
                <w:rFonts w:hint="eastAsia" w:ascii="宋体" w:hAnsi="宋体"/>
                <w:b/>
                <w:color w:val="000000" w:themeColor="text1"/>
                <w:highlight w:val="none"/>
                <w:lang w:eastAsia="zh-CN"/>
                <w14:textFill>
                  <w14:solidFill>
                    <w14:schemeClr w14:val="tx1"/>
                  </w14:solidFill>
                </w14:textFill>
              </w:rPr>
              <w:t>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lang w:eastAsia="zh-CN"/>
                <w14:textFill>
                  <w14:solidFill>
                    <w14:schemeClr w14:val="tx1"/>
                  </w14:solidFill>
                </w14:textFill>
              </w:rPr>
              <w:t>给</w:t>
            </w:r>
            <w:r>
              <w:rPr>
                <w:rFonts w:hint="eastAsia" w:ascii="宋体" w:hAnsi="宋体"/>
                <w:b/>
                <w:color w:val="000000" w:themeColor="text1"/>
                <w:highlight w:val="none"/>
                <w:lang w:val="en-US" w:eastAsia="zh-CN"/>
                <w14:textFill>
                  <w14:solidFill>
                    <w14:schemeClr w14:val="tx1"/>
                  </w14:solidFill>
                </w14:textFill>
              </w:rPr>
              <w:t>排</w:t>
            </w:r>
            <w:r>
              <w:rPr>
                <w:rFonts w:hint="eastAsia" w:ascii="宋体" w:hAnsi="宋体"/>
                <w:b/>
                <w:color w:val="000000" w:themeColor="text1"/>
                <w:highlight w:val="none"/>
                <w14:textFill>
                  <w14:solidFill>
                    <w14:schemeClr w14:val="tx1"/>
                  </w14:solidFill>
                </w14:textFill>
              </w:rPr>
              <w:t>水专业负责人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结构</w:t>
            </w:r>
            <w:r>
              <w:rPr>
                <w:rFonts w:hint="eastAsia" w:ascii="宋体" w:hAnsi="宋体"/>
                <w:b/>
                <w:color w:val="000000" w:themeColor="text1"/>
                <w:highlight w:val="none"/>
                <w14:textFill>
                  <w14:solidFill>
                    <w14:schemeClr w14:val="tx1"/>
                  </w14:solidFill>
                </w14:textFill>
              </w:rPr>
              <w:t>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岩土</w:t>
            </w:r>
            <w:r>
              <w:rPr>
                <w:rFonts w:hint="eastAsia" w:ascii="宋体" w:hAnsi="宋体"/>
                <w:b/>
                <w:color w:val="000000" w:themeColor="text1"/>
                <w:highlight w:val="none"/>
                <w14:textFill>
                  <w14:solidFill>
                    <w14:schemeClr w14:val="tx1"/>
                  </w14:solidFill>
                </w14:textFill>
              </w:rPr>
              <w:t>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982"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电</w:t>
            </w:r>
            <w:r>
              <w:rPr>
                <w:rFonts w:hint="eastAsia" w:ascii="宋体" w:hAnsi="宋体"/>
                <w:b/>
                <w:color w:val="000000" w:themeColor="text1"/>
                <w:highlight w:val="none"/>
                <w:lang w:eastAsia="zh-CN"/>
                <w14:textFill>
                  <w14:solidFill>
                    <w14:schemeClr w14:val="tx1"/>
                  </w14:solidFill>
                </w14:textFill>
              </w:rPr>
              <w:t>气</w:t>
            </w:r>
            <w:r>
              <w:rPr>
                <w:rFonts w:hint="eastAsia" w:ascii="宋体" w:hAnsi="宋体"/>
                <w:b/>
                <w:color w:val="000000" w:themeColor="text1"/>
                <w:highlight w:val="none"/>
                <w14:textFill>
                  <w14:solidFill>
                    <w14:schemeClr w14:val="tx1"/>
                  </w14:solidFill>
                </w14:textFill>
              </w:rPr>
              <w:t>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982"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景观</w:t>
            </w:r>
            <w:r>
              <w:rPr>
                <w:rFonts w:hint="eastAsia" w:ascii="宋体" w:hAnsi="宋体"/>
                <w:b/>
                <w:color w:val="000000" w:themeColor="text1"/>
                <w:highlight w:val="none"/>
                <w14:textFill>
                  <w14:solidFill>
                    <w14:schemeClr w14:val="tx1"/>
                  </w14:solidFill>
                </w14:textFill>
              </w:rPr>
              <w:t>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982" w:type="dxa"/>
            <w:vAlign w:val="center"/>
          </w:tcPr>
          <w:p>
            <w:p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b/>
                <w:color w:val="000000" w:themeColor="text1"/>
                <w:highlight w:val="none"/>
                <w14:textFill>
                  <w14:solidFill>
                    <w14:schemeClr w14:val="tx1"/>
                  </w14:solidFill>
                </w14:textFill>
              </w:rPr>
              <w:t>造价专业负责人</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82"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p>
        </w:tc>
        <w:tc>
          <w:tcPr>
            <w:tcW w:w="1092" w:type="dxa"/>
            <w:vAlign w:val="center"/>
          </w:tcPr>
          <w:p>
            <w:pPr>
              <w:rPr>
                <w:rFonts w:ascii="宋体" w:hAnsi="宋体"/>
                <w:color w:val="000000" w:themeColor="text1"/>
                <w:highlight w:val="none"/>
                <w14:textFill>
                  <w14:solidFill>
                    <w14:schemeClr w14:val="tx1"/>
                  </w14:solidFill>
                </w14:textFill>
              </w:rPr>
            </w:pPr>
          </w:p>
        </w:tc>
        <w:tc>
          <w:tcPr>
            <w:tcW w:w="1166" w:type="dxa"/>
          </w:tcPr>
          <w:p>
            <w:pPr>
              <w:rPr>
                <w:rFonts w:ascii="宋体" w:hAnsi="宋体"/>
                <w:color w:val="000000" w:themeColor="text1"/>
                <w:highlight w:val="none"/>
                <w14:textFill>
                  <w14:solidFill>
                    <w14:schemeClr w14:val="tx1"/>
                  </w14:solidFill>
                </w14:textFill>
              </w:rPr>
            </w:pPr>
          </w:p>
        </w:tc>
        <w:tc>
          <w:tcPr>
            <w:tcW w:w="1203" w:type="dxa"/>
            <w:vAlign w:val="center"/>
          </w:tcPr>
          <w:p>
            <w:pPr>
              <w:rPr>
                <w:rFonts w:ascii="宋体" w:hAnsi="宋体"/>
                <w:color w:val="000000" w:themeColor="text1"/>
                <w:highlight w:val="none"/>
                <w14:textFill>
                  <w14:solidFill>
                    <w14:schemeClr w14:val="tx1"/>
                  </w14:solidFill>
                </w14:textFill>
              </w:rPr>
            </w:pPr>
          </w:p>
        </w:tc>
        <w:tc>
          <w:tcPr>
            <w:tcW w:w="2001" w:type="dxa"/>
            <w:vAlign w:val="center"/>
          </w:tcPr>
          <w:p>
            <w:pPr>
              <w:rPr>
                <w:rFonts w:ascii="宋体" w:hAnsi="宋体"/>
                <w:color w:val="000000" w:themeColor="text1"/>
                <w:highlight w:val="none"/>
                <w14:textFill>
                  <w14:solidFill>
                    <w14:schemeClr w14:val="tx1"/>
                  </w14:solidFill>
                </w14:textFill>
              </w:rPr>
            </w:pPr>
          </w:p>
        </w:tc>
      </w:tr>
    </w:tbl>
    <w:p>
      <w:pPr>
        <w:rPr>
          <w:rFonts w:ascii="宋体" w:hAnsi="宋体"/>
          <w:color w:val="000000" w:themeColor="text1"/>
          <w:highlight w:val="none"/>
          <w14:textFill>
            <w14:solidFill>
              <w14:schemeClr w14:val="tx1"/>
            </w14:solidFill>
          </w14:textFill>
        </w:rPr>
      </w:pPr>
    </w:p>
    <w:p>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注：①投标人应根据招标文件要求和招标项目的实际需要，列出项目负责人及各专业负责人，如道路专业、</w:t>
      </w:r>
      <w:r>
        <w:rPr>
          <w:rFonts w:hint="eastAsia" w:ascii="宋体" w:hAnsi="宋体"/>
          <w:color w:val="000000" w:themeColor="text1"/>
          <w:sz w:val="24"/>
          <w:highlight w:val="none"/>
          <w:lang w:eastAsia="zh-CN"/>
          <w14:textFill>
            <w14:solidFill>
              <w14:schemeClr w14:val="tx1"/>
            </w14:solidFill>
          </w14:textFill>
        </w:rPr>
        <w:t>桥</w:t>
      </w:r>
      <w:r>
        <w:rPr>
          <w:rFonts w:hint="eastAsia" w:ascii="宋体" w:hAnsi="宋体"/>
          <w:color w:val="000000" w:themeColor="text1"/>
          <w:sz w:val="24"/>
          <w:highlight w:val="none"/>
          <w:lang w:val="en-US" w:eastAsia="zh-CN"/>
          <w14:textFill>
            <w14:solidFill>
              <w14:schemeClr w14:val="tx1"/>
            </w14:solidFill>
          </w14:textFill>
        </w:rPr>
        <w:t>涵</w:t>
      </w:r>
      <w:r>
        <w:rPr>
          <w:rFonts w:hint="eastAsia" w:ascii="宋体" w:hAnsi="宋体"/>
          <w:color w:val="000000" w:themeColor="text1"/>
          <w:sz w:val="24"/>
          <w:highlight w:val="none"/>
          <w:lang w:eastAsia="zh-CN"/>
          <w14:textFill>
            <w14:solidFill>
              <w14:schemeClr w14:val="tx1"/>
            </w14:solidFill>
          </w14:textFill>
        </w:rPr>
        <w:t>专业、给</w:t>
      </w:r>
      <w:r>
        <w:rPr>
          <w:rFonts w:hint="eastAsia" w:ascii="宋体" w:hAnsi="宋体"/>
          <w:color w:val="000000" w:themeColor="text1"/>
          <w:sz w:val="24"/>
          <w:highlight w:val="none"/>
          <w14:textFill>
            <w14:solidFill>
              <w14:schemeClr w14:val="tx1"/>
            </w14:solidFill>
          </w14:textFill>
        </w:rPr>
        <w:t>排</w:t>
      </w:r>
      <w:r>
        <w:rPr>
          <w:rFonts w:hint="eastAsia" w:ascii="宋体" w:hAnsi="宋体"/>
          <w:color w:val="000000" w:themeColor="text1"/>
          <w:sz w:val="24"/>
          <w:highlight w:val="none"/>
          <w:lang w:eastAsia="zh-CN"/>
          <w14:textFill>
            <w14:solidFill>
              <w14:schemeClr w14:val="tx1"/>
            </w14:solidFill>
          </w14:textFill>
        </w:rPr>
        <w:t>水专业、</w:t>
      </w:r>
      <w:r>
        <w:rPr>
          <w:rFonts w:hint="eastAsia" w:ascii="宋体" w:hAnsi="宋体"/>
          <w:color w:val="000000" w:themeColor="text1"/>
          <w:sz w:val="24"/>
          <w:highlight w:val="none"/>
          <w:lang w:val="en-US" w:eastAsia="zh-CN"/>
          <w14:textFill>
            <w14:solidFill>
              <w14:schemeClr w14:val="tx1"/>
            </w14:solidFill>
          </w14:textFill>
        </w:rPr>
        <w:t>结构</w:t>
      </w:r>
      <w:r>
        <w:rPr>
          <w:rFonts w:hint="eastAsia" w:ascii="宋体" w:hAnsi="宋体"/>
          <w:color w:val="000000" w:themeColor="text1"/>
          <w:sz w:val="24"/>
          <w:highlight w:val="none"/>
          <w14:textFill>
            <w14:solidFill>
              <w14:schemeClr w14:val="tx1"/>
            </w14:solidFill>
          </w14:textFill>
        </w:rPr>
        <w:t>专业、</w:t>
      </w:r>
      <w:r>
        <w:rPr>
          <w:rFonts w:hint="eastAsia" w:ascii="宋体" w:hAnsi="宋体"/>
          <w:color w:val="000000" w:themeColor="text1"/>
          <w:sz w:val="24"/>
          <w:highlight w:val="none"/>
          <w:lang w:val="en-US" w:eastAsia="zh-CN"/>
          <w14:textFill>
            <w14:solidFill>
              <w14:schemeClr w14:val="tx1"/>
            </w14:solidFill>
          </w14:textFill>
        </w:rPr>
        <w:t>岩土专业、</w:t>
      </w:r>
      <w:r>
        <w:rPr>
          <w:rFonts w:hint="eastAsia" w:ascii="宋体" w:hAnsi="宋体"/>
          <w:color w:val="000000" w:themeColor="text1"/>
          <w:sz w:val="24"/>
          <w:highlight w:val="none"/>
          <w14:textFill>
            <w14:solidFill>
              <w14:schemeClr w14:val="tx1"/>
            </w14:solidFill>
          </w14:textFill>
        </w:rPr>
        <w:t>电</w:t>
      </w:r>
      <w:r>
        <w:rPr>
          <w:rFonts w:hint="eastAsia" w:ascii="宋体" w:hAnsi="宋体"/>
          <w:color w:val="000000" w:themeColor="text1"/>
          <w:sz w:val="24"/>
          <w:highlight w:val="none"/>
          <w:lang w:eastAsia="zh-CN"/>
          <w14:textFill>
            <w14:solidFill>
              <w14:schemeClr w14:val="tx1"/>
            </w14:solidFill>
          </w14:textFill>
        </w:rPr>
        <w:t>气</w:t>
      </w:r>
      <w:r>
        <w:rPr>
          <w:rFonts w:hint="eastAsia" w:ascii="宋体" w:hAnsi="宋体"/>
          <w:color w:val="000000" w:themeColor="text1"/>
          <w:sz w:val="24"/>
          <w:highlight w:val="none"/>
          <w14:textFill>
            <w14:solidFill>
              <w14:schemeClr w14:val="tx1"/>
            </w14:solidFill>
          </w14:textFill>
        </w:rPr>
        <w:t>专业、</w:t>
      </w:r>
      <w:r>
        <w:rPr>
          <w:rFonts w:hint="eastAsia" w:ascii="宋体" w:hAnsi="宋体"/>
          <w:color w:val="000000" w:themeColor="text1"/>
          <w:sz w:val="24"/>
          <w:highlight w:val="none"/>
          <w:lang w:val="en-US" w:eastAsia="zh-CN"/>
          <w14:textFill>
            <w14:solidFill>
              <w14:schemeClr w14:val="tx1"/>
            </w14:solidFill>
          </w14:textFill>
        </w:rPr>
        <w:t>景观</w:t>
      </w:r>
      <w:r>
        <w:rPr>
          <w:rFonts w:hint="eastAsia" w:ascii="宋体" w:hAnsi="宋体"/>
          <w:color w:val="000000" w:themeColor="text1"/>
          <w:sz w:val="24"/>
          <w:highlight w:val="none"/>
          <w14:textFill>
            <w14:solidFill>
              <w14:schemeClr w14:val="tx1"/>
            </w14:solidFill>
          </w14:textFill>
        </w:rPr>
        <w:t>专业、造价专业等设计专业负责人。</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②投标人应按本表所列的项目负责人和专业负责人填写资历表。</w:t>
      </w:r>
    </w:p>
    <w:p>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③所提供的本项目投入人员必须为投标单位人员，并提供近</w:t>
      </w:r>
      <w:r>
        <w:rPr>
          <w:rFonts w:hint="eastAsia" w:ascii="宋体" w:hAnsi="宋体"/>
          <w:color w:val="000000" w:themeColor="text1"/>
          <w:sz w:val="24"/>
          <w:highlight w:val="none"/>
          <w:lang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个月（202</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月）有效参保的社保证明。</w:t>
      </w:r>
    </w:p>
    <w:p>
      <w:pPr>
        <w:spacing w:line="360" w:lineRule="auto"/>
        <w:rPr>
          <w:rFonts w:ascii="宋体" w:hAnsi="宋体"/>
          <w:b/>
          <w:bCs/>
          <w:color w:val="000000" w:themeColor="text1"/>
          <w:sz w:val="24"/>
          <w:highlight w:val="none"/>
          <w14:textFill>
            <w14:solidFill>
              <w14:schemeClr w14:val="tx1"/>
            </w14:solidFill>
          </w14:textFill>
        </w:rPr>
      </w:pPr>
      <w:r>
        <w:rPr>
          <w:rFonts w:ascii="宋体" w:hAnsi="宋体"/>
          <w:b/>
          <w:color w:val="000000" w:themeColor="text1"/>
          <w:sz w:val="32"/>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附录9</w:t>
      </w:r>
      <w:r>
        <w:rPr>
          <w:rFonts w:hint="eastAsia" w:ascii="宋体" w:hAnsi="宋体"/>
          <w:color w:val="000000" w:themeColor="text1"/>
          <w:sz w:val="24"/>
          <w:highlight w:val="none"/>
          <w14:textFill>
            <w14:solidFill>
              <w14:schemeClr w14:val="tx1"/>
            </w14:solidFill>
          </w14:textFill>
        </w:rPr>
        <w:t>（本页接收投标文件时使用，结束时收回存档备查）</w:t>
      </w:r>
    </w:p>
    <w:p>
      <w:pPr>
        <w:jc w:val="center"/>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投标文件接收记录表格</w:t>
      </w:r>
    </w:p>
    <w:tbl>
      <w:tblPr>
        <w:tblStyle w:val="25"/>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序号</w:t>
            </w:r>
          </w:p>
        </w:tc>
        <w:tc>
          <w:tcPr>
            <w:tcW w:w="2942" w:type="dxa"/>
            <w:vAlign w:val="center"/>
          </w:tcPr>
          <w:p>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tc>
        <w:tc>
          <w:tcPr>
            <w:tcW w:w="1558" w:type="dxa"/>
            <w:vAlign w:val="center"/>
          </w:tcPr>
          <w:p>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投标文件</w:t>
            </w:r>
          </w:p>
          <w:p>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接收情况</w:t>
            </w:r>
          </w:p>
        </w:tc>
        <w:tc>
          <w:tcPr>
            <w:tcW w:w="1620" w:type="dxa"/>
            <w:vAlign w:val="center"/>
          </w:tcPr>
          <w:p>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投标人代表</w:t>
            </w:r>
          </w:p>
          <w:p>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签名</w:t>
            </w:r>
          </w:p>
        </w:tc>
        <w:tc>
          <w:tcPr>
            <w:tcW w:w="1940" w:type="dxa"/>
            <w:vAlign w:val="center"/>
          </w:tcPr>
          <w:p>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color w:val="000000" w:themeColor="text1"/>
                <w:sz w:val="24"/>
                <w:highlight w:val="none"/>
                <w14:textFill>
                  <w14:solidFill>
                    <w14:schemeClr w14:val="tx1"/>
                  </w14:solidFill>
                </w14:textFill>
              </w:rPr>
            </w:pPr>
          </w:p>
        </w:tc>
        <w:tc>
          <w:tcPr>
            <w:tcW w:w="2942" w:type="dxa"/>
          </w:tcPr>
          <w:p>
            <w:pPr>
              <w:jc w:val="center"/>
              <w:rPr>
                <w:rFonts w:ascii="宋体" w:hAnsi="宋体"/>
                <w:bCs/>
                <w:color w:val="000000" w:themeColor="text1"/>
                <w:sz w:val="24"/>
                <w:highlight w:val="none"/>
                <w14:textFill>
                  <w14:solidFill>
                    <w14:schemeClr w14:val="tx1"/>
                  </w14:solidFill>
                </w14:textFill>
              </w:rPr>
            </w:pPr>
          </w:p>
        </w:tc>
        <w:tc>
          <w:tcPr>
            <w:tcW w:w="1558" w:type="dxa"/>
          </w:tcPr>
          <w:p>
            <w:pPr>
              <w:jc w:val="center"/>
              <w:rPr>
                <w:rFonts w:ascii="宋体" w:hAnsi="宋体"/>
                <w:bCs/>
                <w:color w:val="000000" w:themeColor="text1"/>
                <w:sz w:val="24"/>
                <w:highlight w:val="none"/>
                <w14:textFill>
                  <w14:solidFill>
                    <w14:schemeClr w14:val="tx1"/>
                  </w14:solidFill>
                </w14:textFill>
              </w:rPr>
            </w:pPr>
          </w:p>
        </w:tc>
        <w:tc>
          <w:tcPr>
            <w:tcW w:w="1620" w:type="dxa"/>
          </w:tcPr>
          <w:p>
            <w:pPr>
              <w:jc w:val="center"/>
              <w:rPr>
                <w:rFonts w:ascii="宋体" w:hAnsi="宋体"/>
                <w:bCs/>
                <w:color w:val="000000" w:themeColor="text1"/>
                <w:sz w:val="24"/>
                <w:highlight w:val="none"/>
                <w14:textFill>
                  <w14:solidFill>
                    <w14:schemeClr w14:val="tx1"/>
                  </w14:solidFill>
                </w14:textFill>
              </w:rPr>
            </w:pPr>
          </w:p>
        </w:tc>
        <w:tc>
          <w:tcPr>
            <w:tcW w:w="1940" w:type="dxa"/>
          </w:tcPr>
          <w:p>
            <w:pPr>
              <w:jc w:val="center"/>
              <w:rPr>
                <w:rFonts w:ascii="宋体" w:hAnsi="宋体"/>
                <w:bCs/>
                <w:color w:val="000000" w:themeColor="text1"/>
                <w:sz w:val="24"/>
                <w:highlight w:val="none"/>
                <w14:textFill>
                  <w14:solidFill>
                    <w14:schemeClr w14:val="tx1"/>
                  </w14:solidFill>
                </w14:textFill>
              </w:rPr>
            </w:pPr>
          </w:p>
        </w:tc>
      </w:tr>
    </w:tbl>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为方便联络，请</w:t>
      </w:r>
      <w:r>
        <w:rPr>
          <w:rFonts w:hint="eastAsia" w:ascii="宋体" w:hAnsi="宋体"/>
          <w:bCs/>
          <w:color w:val="000000" w:themeColor="text1"/>
          <w:sz w:val="24"/>
          <w:highlight w:val="none"/>
          <w14:textFill>
            <w14:solidFill>
              <w14:schemeClr w14:val="tx1"/>
            </w14:solidFill>
          </w14:textFill>
        </w:rPr>
        <w:t>投标人代表的手机保持开启状态。</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代理机构代表：            见证人：           日期：      年    月    日</w:t>
      </w:r>
    </w:p>
    <w:p>
      <w:pPr>
        <w:pStyle w:val="15"/>
        <w:jc w:val="center"/>
        <w:rPr>
          <w:rFonts w:hAnsi="宋体"/>
          <w:b/>
          <w:color w:val="000000" w:themeColor="text1"/>
          <w:sz w:val="32"/>
          <w:highlight w:val="none"/>
          <w14:textFill>
            <w14:solidFill>
              <w14:schemeClr w14:val="tx1"/>
            </w14:solidFill>
          </w14:textFill>
        </w:rPr>
      </w:pPr>
    </w:p>
    <w:p>
      <w:pPr>
        <w:pStyle w:val="15"/>
        <w:jc w:val="center"/>
        <w:rPr>
          <w:rFonts w:hAnsi="宋体"/>
          <w:b/>
          <w:color w:val="000000" w:themeColor="text1"/>
          <w:sz w:val="32"/>
          <w:highlight w:val="none"/>
          <w14:textFill>
            <w14:solidFill>
              <w14:schemeClr w14:val="tx1"/>
            </w14:solidFill>
          </w14:textFill>
        </w:rPr>
      </w:pPr>
    </w:p>
    <w:p>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附录10</w:t>
      </w:r>
    </w:p>
    <w:p>
      <w:pPr>
        <w:pStyle w:val="15"/>
        <w:jc w:val="center"/>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资格审查表</w:t>
      </w:r>
    </w:p>
    <w:p>
      <w:pPr>
        <w:pStyle w:val="15"/>
        <w:rPr>
          <w:rFonts w:hAnsi="宋体"/>
          <w:b/>
          <w:color w:val="000000" w:themeColor="text1"/>
          <w:sz w:val="32"/>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项目名称：</w:t>
      </w:r>
    </w:p>
    <w:tbl>
      <w:tblPr>
        <w:tblStyle w:val="2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16"/>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序号</w:t>
            </w:r>
          </w:p>
        </w:tc>
        <w:tc>
          <w:tcPr>
            <w:tcW w:w="5516" w:type="dxa"/>
            <w:tcBorders>
              <w:tl2br w:val="single" w:color="auto" w:sz="4" w:space="0"/>
            </w:tcBorders>
          </w:tcPr>
          <w:p>
            <w:pPr>
              <w:pStyle w:val="15"/>
              <w:jc w:val="center"/>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 xml:space="preserve">                      投标人名称</w:t>
            </w:r>
          </w:p>
          <w:p>
            <w:pPr>
              <w:pStyle w:val="15"/>
              <w:rPr>
                <w:rFonts w:hAnsi="宋体"/>
                <w:b/>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审查项目</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1</w:t>
            </w:r>
          </w:p>
        </w:tc>
        <w:tc>
          <w:tcPr>
            <w:tcW w:w="5516" w:type="dxa"/>
            <w:vAlign w:val="center"/>
          </w:tcPr>
          <w:p>
            <w:pPr>
              <w:pStyle w:val="15"/>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申请人参加投标的意思表达清楚，投标人代表被授权有效</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2</w:t>
            </w:r>
          </w:p>
        </w:tc>
        <w:tc>
          <w:tcPr>
            <w:tcW w:w="5516" w:type="dxa"/>
            <w:vAlign w:val="center"/>
          </w:tcPr>
          <w:p>
            <w:pPr>
              <w:pStyle w:val="15"/>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申请人具有独立法人资格，持有工商行政管理部门（或市场监督管理部门）核发的法人营业执照，按国家法律经营。</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3</w:t>
            </w:r>
          </w:p>
        </w:tc>
        <w:tc>
          <w:tcPr>
            <w:tcW w:w="5516" w:type="dxa"/>
            <w:vAlign w:val="center"/>
          </w:tcPr>
          <w:p>
            <w:pPr>
              <w:pStyle w:val="15"/>
              <w:rPr>
                <w:rFonts w:hAnsi="宋体"/>
                <w:b/>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投标人的资质满足招标公告规定</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4</w:t>
            </w:r>
          </w:p>
        </w:tc>
        <w:tc>
          <w:tcPr>
            <w:tcW w:w="5516" w:type="dxa"/>
            <w:vAlign w:val="center"/>
          </w:tcPr>
          <w:p>
            <w:pPr>
              <w:pStyle w:val="15"/>
              <w:rPr>
                <w:rFonts w:hAnsi="宋体"/>
                <w:b/>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投标人拟派项目负责人资格满足招标公告规定</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5</w:t>
            </w:r>
          </w:p>
        </w:tc>
        <w:tc>
          <w:tcPr>
            <w:tcW w:w="5516" w:type="dxa"/>
            <w:vAlign w:val="center"/>
          </w:tcPr>
          <w:p>
            <w:pPr>
              <w:pStyle w:val="15"/>
              <w:rPr>
                <w:rFonts w:hint="eastAsia" w:hAnsi="宋体" w:cs="Times New Roman"/>
                <w:color w:val="000000" w:themeColor="text1"/>
                <w:kern w:val="2"/>
                <w:sz w:val="21"/>
                <w:szCs w:val="21"/>
                <w:highlight w:val="none"/>
                <w14:textFill>
                  <w14:solidFill>
                    <w14:schemeClr w14:val="tx1"/>
                  </w14:solidFill>
                </w14:textFill>
              </w:rPr>
            </w:pPr>
            <w:r>
              <w:rPr>
                <w:rFonts w:hint="eastAsia" w:hAnsi="宋体" w:cs="Times New Roman"/>
                <w:color w:val="000000" w:themeColor="text1"/>
                <w:kern w:val="2"/>
                <w:sz w:val="21"/>
                <w:szCs w:val="21"/>
                <w:highlight w:val="none"/>
                <w14:textFill>
                  <w14:solidFill>
                    <w14:schemeClr w14:val="tx1"/>
                  </w14:solidFill>
                </w14:textFill>
              </w:rPr>
              <w:t>投标人拟派的各专业负责人满足招标公告规定</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6</w:t>
            </w:r>
          </w:p>
        </w:tc>
        <w:tc>
          <w:tcPr>
            <w:tcW w:w="5516" w:type="dxa"/>
            <w:vAlign w:val="center"/>
          </w:tcPr>
          <w:p>
            <w:pPr>
              <w:pStyle w:val="15"/>
              <w:rPr>
                <w:rFonts w:hint="eastAsia" w:hAnsi="宋体" w:cs="Times New Roman"/>
                <w:color w:val="000000" w:themeColor="text1"/>
                <w:kern w:val="2"/>
                <w:sz w:val="21"/>
                <w:szCs w:val="21"/>
                <w:highlight w:val="none"/>
                <w14:textFill>
                  <w14:solidFill>
                    <w14:schemeClr w14:val="tx1"/>
                  </w14:solidFill>
                </w14:textFill>
              </w:rPr>
            </w:pPr>
            <w:r>
              <w:rPr>
                <w:rFonts w:hint="eastAsia" w:hAnsi="宋体" w:cs="Times New Roman"/>
                <w:color w:val="000000" w:themeColor="text1"/>
                <w:kern w:val="2"/>
                <w:sz w:val="21"/>
                <w:szCs w:val="21"/>
                <w:highlight w:val="none"/>
                <w14:textFill>
                  <w14:solidFill>
                    <w14:schemeClr w14:val="tx1"/>
                  </w14:solidFill>
                </w14:textFill>
              </w:rPr>
              <w:t>申请人已在广州公共资源交易中心企业库办理企业信息登记，拟委派的项目负责人须是本企业信息登记中的在册人员。</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7</w:t>
            </w:r>
          </w:p>
        </w:tc>
        <w:tc>
          <w:tcPr>
            <w:tcW w:w="5516" w:type="dxa"/>
            <w:vAlign w:val="center"/>
          </w:tcPr>
          <w:p>
            <w:pPr>
              <w:pStyle w:val="15"/>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投标人没有处于被广州建设行政主管部门取消投标资格的处罚期内；</w:t>
            </w:r>
            <w:r>
              <w:rPr>
                <w:rFonts w:hAnsi="宋体"/>
                <w:color w:val="000000" w:themeColor="text1"/>
                <w:kern w:val="2"/>
                <w:sz w:val="21"/>
                <w:szCs w:val="21"/>
                <w:highlight w:val="none"/>
                <w14:textFill>
                  <w14:solidFill>
                    <w14:schemeClr w14:val="tx1"/>
                  </w14:solidFill>
                </w14:textFill>
              </w:rPr>
              <w:t>未被纳入国家、市、区的失信联合惩戒名单且被限制参加财政投资工程或政府投资工程或建设工程投标的（具体名单以递交</w:t>
            </w:r>
            <w:r>
              <w:rPr>
                <w:rFonts w:hint="eastAsia" w:hAnsi="宋体"/>
                <w:color w:val="000000" w:themeColor="text1"/>
                <w:kern w:val="2"/>
                <w:sz w:val="21"/>
                <w:szCs w:val="21"/>
                <w:highlight w:val="none"/>
                <w14:textFill>
                  <w14:solidFill>
                    <w14:schemeClr w14:val="tx1"/>
                  </w14:solidFill>
                </w14:textFill>
              </w:rPr>
              <w:t>投标</w:t>
            </w:r>
            <w:r>
              <w:rPr>
                <w:rFonts w:hAnsi="宋体"/>
                <w:color w:val="000000" w:themeColor="text1"/>
                <w:kern w:val="2"/>
                <w:sz w:val="21"/>
                <w:szCs w:val="21"/>
                <w:highlight w:val="none"/>
                <w14:textFill>
                  <w14:solidFill>
                    <w14:schemeClr w14:val="tx1"/>
                  </w14:solidFill>
                </w14:textFill>
              </w:rPr>
              <w:t>文件截止时间“信用广州”</w:t>
            </w:r>
            <w:r>
              <w:rPr>
                <w:rFonts w:hAnsi="宋体"/>
                <w:color w:val="000000" w:themeColor="text1"/>
                <w:kern w:val="2"/>
                <w:sz w:val="21"/>
                <w:szCs w:val="21"/>
                <w:highlight w:val="none"/>
                <w14:textFill>
                  <w14:solidFill>
                    <w14:schemeClr w14:val="tx1"/>
                  </w14:solidFill>
                </w14:textFill>
              </w:rPr>
              <w:drawing>
                <wp:inline distT="0" distB="0" distL="114300" distR="114300">
                  <wp:extent cx="190500" cy="142875"/>
                  <wp:effectExtent l="0" t="0" r="0"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Ansi="宋体"/>
                <w:color w:val="000000" w:themeColor="text1"/>
                <w:kern w:val="2"/>
                <w:sz w:val="21"/>
                <w:szCs w:val="21"/>
                <w:highlight w:val="none"/>
                <w14:textFill>
                  <w14:solidFill>
                    <w14:schemeClr w14:val="tx1"/>
                  </w14:solidFill>
                </w14:textFill>
              </w:rPr>
              <w:t>https://credit1.gz.gov.cn/sgs/sgsXkNew公布的“失信黑名单”为准）；</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8</w:t>
            </w:r>
          </w:p>
        </w:tc>
        <w:tc>
          <w:tcPr>
            <w:tcW w:w="5516" w:type="dxa"/>
            <w:vAlign w:val="center"/>
          </w:tcPr>
          <w:p>
            <w:pPr>
              <w:pStyle w:val="15"/>
              <w:rPr>
                <w:color w:val="000000" w:themeColor="text1"/>
                <w:kern w:val="2"/>
                <w:sz w:val="21"/>
                <w:szCs w:val="21"/>
                <w:highlight w:val="none"/>
                <w:u w:val="single"/>
                <w14:textFill>
                  <w14:solidFill>
                    <w14:schemeClr w14:val="tx1"/>
                  </w14:solidFill>
                </w14:textFill>
              </w:rPr>
            </w:pPr>
            <w:r>
              <w:rPr>
                <w:rFonts w:hint="eastAsia" w:hAnsi="宋体"/>
                <w:color w:val="000000" w:themeColor="text1"/>
                <w:kern w:val="2"/>
                <w:sz w:val="21"/>
                <w:szCs w:val="21"/>
                <w:highlight w:val="none"/>
                <w:u w:val="single"/>
                <w14:textFill>
                  <w14:solidFill>
                    <w14:schemeClr w14:val="tx1"/>
                  </w14:solidFill>
                </w14:textFill>
              </w:rPr>
              <w:t>以联合体形式投标的，联合体组成符合要求，并已按要求向招标人提交共同投标协议</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结论</w:t>
            </w:r>
          </w:p>
        </w:tc>
        <w:tc>
          <w:tcPr>
            <w:tcW w:w="5516" w:type="dxa"/>
            <w:vAlign w:val="center"/>
          </w:tcPr>
          <w:p>
            <w:pPr>
              <w:pStyle w:val="15"/>
              <w:rPr>
                <w:rFonts w:hAnsi="宋体"/>
                <w:b/>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是否通过并进入下一阶段评审</w:t>
            </w:r>
          </w:p>
        </w:tc>
        <w:tc>
          <w:tcPr>
            <w:tcW w:w="875" w:type="dxa"/>
          </w:tcPr>
          <w:p>
            <w:pPr>
              <w:pStyle w:val="15"/>
              <w:jc w:val="center"/>
              <w:rPr>
                <w:rFonts w:hAnsi="宋体"/>
                <w:b/>
                <w:color w:val="000000" w:themeColor="text1"/>
                <w:kern w:val="2"/>
                <w:sz w:val="32"/>
                <w:highlight w:val="none"/>
                <w14:textFill>
                  <w14:solidFill>
                    <w14:schemeClr w14:val="tx1"/>
                  </w14:solidFill>
                </w14:textFill>
              </w:rPr>
            </w:pPr>
          </w:p>
        </w:tc>
        <w:tc>
          <w:tcPr>
            <w:tcW w:w="900" w:type="dxa"/>
          </w:tcPr>
          <w:p>
            <w:pPr>
              <w:pStyle w:val="15"/>
              <w:jc w:val="center"/>
              <w:rPr>
                <w:rFonts w:hAnsi="宋体"/>
                <w:b/>
                <w:color w:val="000000" w:themeColor="text1"/>
                <w:kern w:val="2"/>
                <w:sz w:val="32"/>
                <w:highlight w:val="none"/>
                <w14:textFill>
                  <w14:solidFill>
                    <w14:schemeClr w14:val="tx1"/>
                  </w14:solidFill>
                </w14:textFill>
              </w:rPr>
            </w:pPr>
          </w:p>
        </w:tc>
        <w:tc>
          <w:tcPr>
            <w:tcW w:w="918" w:type="dxa"/>
          </w:tcPr>
          <w:p>
            <w:pPr>
              <w:pStyle w:val="15"/>
              <w:jc w:val="center"/>
              <w:rPr>
                <w:rFonts w:hAnsi="宋体"/>
                <w:b/>
                <w:color w:val="000000" w:themeColor="text1"/>
                <w:kern w:val="2"/>
                <w:sz w:val="32"/>
                <w:highlight w:val="none"/>
                <w14:textFill>
                  <w14:solidFill>
                    <w14:schemeClr w14:val="tx1"/>
                  </w14:solidFill>
                </w14:textFill>
              </w:rPr>
            </w:pPr>
          </w:p>
        </w:tc>
      </w:tr>
    </w:tbl>
    <w:p>
      <w:pPr>
        <w:tabs>
          <w:tab w:val="left" w:pos="720"/>
        </w:tabs>
        <w:snapToGrid w:val="0"/>
        <w:spacing w:beforeLines="5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备注：1、根据本表的审查项目，填“是”或“否”。</w:t>
      </w:r>
    </w:p>
    <w:p>
      <w:pPr>
        <w:tabs>
          <w:tab w:val="left" w:pos="720"/>
        </w:tabs>
        <w:snapToGrid w:val="0"/>
        <w:spacing w:beforeLines="50"/>
        <w:ind w:left="840" w:leftChars="300" w:hanging="210" w:hangingChars="1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2、表中出现一个或以上“否”，即该投标人的评审“结论”为“否”，即该投标人不进入下一阶段评审</w:t>
      </w:r>
      <w:r>
        <w:rPr>
          <w:rFonts w:hint="eastAsia"/>
          <w:color w:val="000000" w:themeColor="text1"/>
          <w:sz w:val="24"/>
          <w:highlight w:val="none"/>
          <w14:textFill>
            <w14:solidFill>
              <w14:schemeClr w14:val="tx1"/>
            </w14:solidFill>
          </w14:textFill>
        </w:rPr>
        <w:t>。</w:t>
      </w:r>
    </w:p>
    <w:p>
      <w:pPr>
        <w:tabs>
          <w:tab w:val="left" w:pos="720"/>
        </w:tabs>
        <w:snapToGrid w:val="0"/>
        <w:spacing w:beforeLines="50"/>
        <w:ind w:firstLine="630" w:firstLineChars="3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4、若评委意见不一致时，则按少数服从多数的原则，决定该投标人是否通过符合性审查，进入下一阶段评审。</w:t>
      </w:r>
    </w:p>
    <w:p>
      <w:pPr>
        <w:tabs>
          <w:tab w:val="left" w:pos="720"/>
        </w:tabs>
        <w:snapToGrid w:val="0"/>
        <w:rPr>
          <w:rFonts w:ascii="宋体" w:hAnsi="Courier New"/>
          <w:color w:val="000000" w:themeColor="text1"/>
          <w:sz w:val="18"/>
          <w:szCs w:val="18"/>
          <w:highlight w:val="none"/>
          <w14:textFill>
            <w14:solidFill>
              <w14:schemeClr w14:val="tx1"/>
            </w14:solidFill>
          </w14:textFill>
        </w:rPr>
      </w:pPr>
    </w:p>
    <w:p>
      <w:pPr>
        <w:pStyle w:val="15"/>
        <w:rPr>
          <w:rFonts w:hAnsi="宋体"/>
          <w:b/>
          <w:color w:val="000000" w:themeColor="text1"/>
          <w:sz w:val="32"/>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评委签名：                     日期：</w:t>
      </w:r>
    </w:p>
    <w:p>
      <w:pPr>
        <w:rPr>
          <w:rFonts w:ascii="宋体" w:hAnsi="宋体"/>
          <w:color w:val="000000" w:themeColor="text1"/>
          <w:highlight w:val="none"/>
          <w14:textFill>
            <w14:solidFill>
              <w14:schemeClr w14:val="tx1"/>
            </w14:solidFill>
          </w14:textFill>
        </w:rPr>
        <w:sectPr>
          <w:footerReference r:id="rId6" w:type="default"/>
          <w:footerReference r:id="rId7" w:type="even"/>
          <w:type w:val="nextColumn"/>
          <w:pgSz w:w="11906" w:h="16838"/>
          <w:pgMar w:top="1418" w:right="1588" w:bottom="1418" w:left="1588" w:header="851" w:footer="992" w:gutter="0"/>
          <w:cols w:space="425" w:num="1"/>
          <w:docGrid w:type="lines" w:linePitch="312" w:charSpace="0"/>
        </w:sectPr>
      </w:pPr>
    </w:p>
    <w:p>
      <w:pPr>
        <w:pStyle w:val="15"/>
        <w:rPr>
          <w:rFonts w:hAnsi="宋体"/>
          <w:b/>
          <w:color w:val="000000" w:themeColor="text1"/>
          <w:sz w:val="32"/>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附录11</w:t>
      </w:r>
    </w:p>
    <w:p>
      <w:pPr>
        <w:pStyle w:val="15"/>
        <w:jc w:val="center"/>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商务文件有效性审查表</w:t>
      </w:r>
    </w:p>
    <w:p>
      <w:pPr>
        <w:tabs>
          <w:tab w:val="left" w:pos="720"/>
        </w:tabs>
        <w:snapToGrid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项目名称：</w:t>
      </w:r>
    </w:p>
    <w:tbl>
      <w:tblPr>
        <w:tblStyle w:val="25"/>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投标单位</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p>
            <w:pPr>
              <w:jc w:val="cente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《投标书》已有法定代表人或者其授权代表签名</w:t>
            </w:r>
            <w:r>
              <w:rPr>
                <w:rFonts w:hint="eastAsia" w:ascii="宋体" w:hAnsi="宋体" w:cs="宋体"/>
                <w:color w:val="000000" w:themeColor="text1"/>
                <w:szCs w:val="21"/>
                <w:highlight w:val="none"/>
                <w14:textFill>
                  <w14:solidFill>
                    <w14:schemeClr w14:val="tx1"/>
                  </w14:solidFill>
                </w14:textFill>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bl>
    <w:p>
      <w:pPr>
        <w:tabs>
          <w:tab w:val="left" w:pos="720"/>
        </w:tabs>
        <w:snapToGrid w:val="0"/>
        <w:spacing w:beforeLines="5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备注：1、根据本表的审查项目，填“是”或“否”。</w:t>
      </w:r>
    </w:p>
    <w:p>
      <w:pPr>
        <w:tabs>
          <w:tab w:val="left" w:pos="720"/>
        </w:tabs>
        <w:snapToGrid w:val="0"/>
        <w:spacing w:beforeLines="50"/>
        <w:ind w:firstLine="630" w:firstLineChars="3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2、表中出现一个或以上“否”，即该投标人的评审“结论”为“否”，即该投标人不进入下一阶段评审</w:t>
      </w:r>
      <w:r>
        <w:rPr>
          <w:rFonts w:hint="eastAsia"/>
          <w:color w:val="000000" w:themeColor="text1"/>
          <w:sz w:val="24"/>
          <w:highlight w:val="none"/>
          <w14:textFill>
            <w14:solidFill>
              <w14:schemeClr w14:val="tx1"/>
            </w14:solidFill>
          </w14:textFill>
        </w:rPr>
        <w:t>。</w:t>
      </w:r>
    </w:p>
    <w:p>
      <w:pPr>
        <w:tabs>
          <w:tab w:val="left" w:pos="720"/>
        </w:tabs>
        <w:snapToGrid w:val="0"/>
        <w:spacing w:beforeLines="50"/>
        <w:ind w:firstLine="630" w:firstLineChars="3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4、若评委意见不一致时，则按少数服从多数的原则，决定该投标人是否通过符合性审查，进入下一阶段评审。</w:t>
      </w:r>
    </w:p>
    <w:p>
      <w:pPr>
        <w:spacing w:line="360" w:lineRule="auto"/>
        <w:rPr>
          <w:rFonts w:ascii="宋体" w:hAnsi="宋体"/>
          <w:b/>
          <w:bCs/>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评委签名：日期：</w:t>
      </w:r>
    </w:p>
    <w:p>
      <w:pPr>
        <w:widowControl/>
        <w:jc w:val="left"/>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附录12（</w:t>
      </w:r>
      <w:r>
        <w:rPr>
          <w:rFonts w:hint="eastAsia" w:ascii="宋体" w:hAnsi="宋体"/>
          <w:color w:val="000000" w:themeColor="text1"/>
          <w:sz w:val="24"/>
          <w:highlight w:val="none"/>
          <w14:textFill>
            <w14:solidFill>
              <w14:schemeClr w14:val="tx1"/>
            </w14:solidFill>
          </w14:textFill>
        </w:rPr>
        <w:t>适用于综合评分法</w:t>
      </w:r>
      <w:r>
        <w:rPr>
          <w:rFonts w:hint="eastAsia" w:ascii="宋体" w:hAnsi="宋体"/>
          <w:b/>
          <w:bCs/>
          <w:color w:val="000000" w:themeColor="text1"/>
          <w:highlight w:val="none"/>
          <w14:textFill>
            <w14:solidFill>
              <w14:schemeClr w14:val="tx1"/>
            </w14:solidFill>
          </w14:textFill>
        </w:rPr>
        <w:t>）</w:t>
      </w:r>
    </w:p>
    <w:p>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商务文件综合评分表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cs="宋体"/>
          <w:color w:val="000000" w:themeColor="text1"/>
          <w:szCs w:val="21"/>
          <w:highlight w:val="none"/>
          <w:lang w:val="zh-CN"/>
          <w14:textFill>
            <w14:solidFill>
              <w14:schemeClr w14:val="tx1"/>
            </w14:solidFill>
          </w14:textFill>
        </w:rPr>
        <w:t>投标单位名称：</w:t>
      </w:r>
    </w:p>
    <w:tbl>
      <w:tblPr>
        <w:tblStyle w:val="25"/>
        <w:tblW w:w="13687" w:type="dxa"/>
        <w:tblInd w:w="108" w:type="dxa"/>
        <w:tblLayout w:type="fixed"/>
        <w:tblCellMar>
          <w:top w:w="0" w:type="dxa"/>
          <w:left w:w="108" w:type="dxa"/>
          <w:bottom w:w="0" w:type="dxa"/>
          <w:right w:w="108" w:type="dxa"/>
        </w:tblCellMar>
      </w:tblPr>
      <w:tblGrid>
        <w:gridCol w:w="540"/>
        <w:gridCol w:w="795"/>
        <w:gridCol w:w="1496"/>
        <w:gridCol w:w="9776"/>
        <w:gridCol w:w="1080"/>
      </w:tblGrid>
      <w:tr>
        <w:tblPrEx>
          <w:tblCellMar>
            <w:top w:w="0" w:type="dxa"/>
            <w:left w:w="108" w:type="dxa"/>
            <w:bottom w:w="0" w:type="dxa"/>
            <w:right w:w="108" w:type="dxa"/>
          </w:tblCellMar>
        </w:tblPrEx>
        <w:trPr>
          <w:trHeight w:val="44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rFonts w:hint="eastAsia" w:ascii="宋体" w:cs="宋体"/>
                <w:color w:val="auto"/>
                <w:szCs w:val="21"/>
                <w:highlight w:val="none"/>
                <w:lang w:val="zh-CN"/>
              </w:rPr>
              <w:t>序号</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rFonts w:hint="eastAsia" w:ascii="宋体" w:cs="宋体"/>
                <w:color w:val="auto"/>
                <w:szCs w:val="21"/>
                <w:highlight w:val="none"/>
                <w:lang w:val="zh-CN"/>
              </w:rPr>
              <w:t>项目</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color w:val="auto"/>
                <w:szCs w:val="21"/>
                <w:highlight w:val="none"/>
              </w:rPr>
            </w:pPr>
            <w:r>
              <w:rPr>
                <w:rFonts w:hint="eastAsia" w:ascii="宋体" w:cs="宋体"/>
                <w:color w:val="auto"/>
                <w:szCs w:val="21"/>
                <w:highlight w:val="none"/>
                <w:lang w:val="zh-CN"/>
              </w:rPr>
              <w:t>分值分配</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rFonts w:hint="eastAsia" w:ascii="宋体" w:cs="宋体"/>
                <w:color w:val="auto"/>
                <w:szCs w:val="21"/>
                <w:highlight w:val="none"/>
                <w:lang w:val="zh-CN"/>
              </w:rPr>
              <w:t>内容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lang w:val="zh-CN"/>
              </w:rPr>
              <w:t>得分</w:t>
            </w:r>
          </w:p>
        </w:tc>
      </w:tr>
      <w:tr>
        <w:tblPrEx>
          <w:tblCellMar>
            <w:top w:w="0" w:type="dxa"/>
            <w:left w:w="108" w:type="dxa"/>
            <w:bottom w:w="0" w:type="dxa"/>
            <w:right w:w="108" w:type="dxa"/>
          </w:tblCellMar>
        </w:tblPrEx>
        <w:trPr>
          <w:trHeight w:val="391" w:hRule="atLeast"/>
        </w:trPr>
        <w:tc>
          <w:tcPr>
            <w:tcW w:w="540"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cs="宋体"/>
                <w:color w:val="auto"/>
                <w:szCs w:val="21"/>
                <w:highlight w:val="none"/>
                <w:lang w:val="zh-CN"/>
              </w:rPr>
              <w:t>一</w:t>
            </w:r>
          </w:p>
        </w:tc>
        <w:tc>
          <w:tcPr>
            <w:tcW w:w="795"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240" w:lineRule="exact"/>
              <w:jc w:val="center"/>
              <w:rPr>
                <w:rFonts w:hint="eastAsia" w:ascii="宋体" w:eastAsia="宋体" w:cs="宋体"/>
                <w:color w:val="auto"/>
                <w:szCs w:val="21"/>
                <w:highlight w:val="none"/>
                <w:lang w:val="zh-CN"/>
              </w:rPr>
            </w:pPr>
            <w:r>
              <w:rPr>
                <w:rFonts w:hint="eastAsia" w:ascii="宋体" w:eastAsia="宋体" w:cs="宋体"/>
                <w:color w:val="auto"/>
                <w:szCs w:val="21"/>
                <w:highlight w:val="none"/>
                <w:lang w:val="zh-CN"/>
              </w:rPr>
              <w:t>企业</w:t>
            </w:r>
          </w:p>
          <w:p>
            <w:pPr>
              <w:autoSpaceDE w:val="0"/>
              <w:autoSpaceDN w:val="0"/>
              <w:adjustRightInd w:val="0"/>
              <w:spacing w:line="240" w:lineRule="exact"/>
              <w:jc w:val="center"/>
              <w:rPr>
                <w:rFonts w:hint="eastAsia" w:ascii="宋体" w:eastAsia="宋体" w:cs="宋体"/>
                <w:color w:val="auto"/>
                <w:szCs w:val="21"/>
                <w:highlight w:val="none"/>
                <w:lang w:val="zh-CN"/>
              </w:rPr>
            </w:pPr>
            <w:r>
              <w:rPr>
                <w:rFonts w:hint="eastAsia" w:ascii="宋体" w:eastAsia="宋体" w:cs="宋体"/>
                <w:color w:val="auto"/>
                <w:szCs w:val="21"/>
                <w:highlight w:val="none"/>
                <w:lang w:val="zh-CN"/>
              </w:rPr>
              <w:t>类似</w:t>
            </w:r>
          </w:p>
          <w:p>
            <w:pPr>
              <w:autoSpaceDE w:val="0"/>
              <w:autoSpaceDN w:val="0"/>
              <w:adjustRightInd w:val="0"/>
              <w:spacing w:line="240" w:lineRule="exact"/>
              <w:jc w:val="center"/>
              <w:rPr>
                <w:rFonts w:hint="eastAsia" w:ascii="宋体" w:eastAsia="宋体" w:cs="宋体"/>
                <w:color w:val="auto"/>
                <w:szCs w:val="21"/>
                <w:highlight w:val="none"/>
                <w:lang w:val="zh-CN" w:eastAsia="zh-CN"/>
              </w:rPr>
            </w:pPr>
            <w:r>
              <w:rPr>
                <w:rFonts w:hint="eastAsia" w:ascii="宋体" w:eastAsia="宋体" w:cs="宋体"/>
                <w:color w:val="auto"/>
                <w:szCs w:val="21"/>
                <w:highlight w:val="none"/>
                <w:lang w:val="zh-CN"/>
              </w:rPr>
              <w:t>业绩</w:t>
            </w:r>
          </w:p>
        </w:tc>
        <w:tc>
          <w:tcPr>
            <w:tcW w:w="1496" w:type="dxa"/>
            <w:tcBorders>
              <w:top w:val="single" w:color="auto" w:sz="6" w:space="0"/>
              <w:left w:val="single" w:color="auto" w:sz="6" w:space="0"/>
              <w:right w:val="single" w:color="auto" w:sz="6" w:space="0"/>
            </w:tcBorders>
            <w:shd w:val="clear" w:color="auto" w:fill="auto"/>
            <w:vAlign w:val="center"/>
          </w:tcPr>
          <w:p>
            <w:pPr>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lang w:val="zh-CN"/>
              </w:rPr>
              <w:t>[25]</w:t>
            </w:r>
          </w:p>
        </w:tc>
        <w:tc>
          <w:tcPr>
            <w:tcW w:w="977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76" w:lineRule="auto"/>
              <w:rPr>
                <w:rFonts w:hint="eastAsia" w:ascii="宋体" w:hAnsi="宋体" w:eastAsia="宋体" w:cs="宋体"/>
                <w:color w:val="auto"/>
                <w:kern w:val="2"/>
                <w:sz w:val="21"/>
                <w:szCs w:val="21"/>
                <w:lang w:val="zh-CN" w:eastAsia="zh-CN" w:bidi="ar-SA"/>
              </w:rPr>
            </w:pPr>
            <w:r>
              <w:rPr>
                <w:rFonts w:hint="eastAsia" w:cs="宋体" w:asciiTheme="minorEastAsia" w:hAnsiTheme="minorEastAsia" w:eastAsiaTheme="minorEastAsia"/>
                <w:color w:val="auto"/>
                <w:szCs w:val="21"/>
                <w:highlight w:val="none"/>
                <w:lang w:val="zh-CN"/>
              </w:rPr>
              <w:t>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val="zh-CN"/>
              </w:rPr>
              <w:t>年1月1日至今设计对应类似业绩</w:t>
            </w:r>
            <w:r>
              <w:rPr>
                <w:rFonts w:hint="eastAsia" w:ascii="宋体" w:hAnsi="宋体" w:cs="宋体"/>
                <w:color w:val="auto"/>
                <w:szCs w:val="21"/>
                <w:highlight w:val="none"/>
                <w:u w:val="single" w:color="FFFFFF"/>
                <w:lang w:val="en-US" w:eastAsia="zh-CN"/>
              </w:rPr>
              <w:t>，</w:t>
            </w:r>
            <w:r>
              <w:rPr>
                <w:rFonts w:hint="eastAsia" w:ascii="宋体" w:hAnsi="宋体" w:eastAsia="宋体" w:cs="宋体"/>
                <w:color w:val="auto"/>
                <w:sz w:val="21"/>
                <w:szCs w:val="21"/>
              </w:rPr>
              <w:t>每项得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分，最多得</w:t>
            </w:r>
            <w:r>
              <w:rPr>
                <w:rFonts w:hint="eastAsia" w:ascii="宋体" w:hAnsi="宋体" w:eastAsia="宋体" w:cs="宋体"/>
                <w:color w:val="auto"/>
                <w:sz w:val="21"/>
                <w:szCs w:val="21"/>
                <w:u w:val="single"/>
                <w:lang w:val="en-US" w:eastAsia="zh-CN"/>
              </w:rPr>
              <w:t xml:space="preserve"> 25 </w:t>
            </w:r>
            <w:r>
              <w:rPr>
                <w:rFonts w:hint="eastAsia" w:ascii="宋体" w:hAnsi="宋体" w:eastAsia="宋体" w:cs="宋体"/>
                <w:color w:val="auto"/>
                <w:sz w:val="21"/>
                <w:szCs w:val="21"/>
              </w:rPr>
              <w:t>分。</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color w:val="auto"/>
                <w:szCs w:val="21"/>
                <w:highlight w:val="none"/>
                <w:lang w:val="zh-CN"/>
              </w:rPr>
            </w:pPr>
          </w:p>
        </w:tc>
      </w:tr>
      <w:tr>
        <w:tblPrEx>
          <w:tblCellMar>
            <w:top w:w="0" w:type="dxa"/>
            <w:left w:w="108" w:type="dxa"/>
            <w:bottom w:w="0" w:type="dxa"/>
            <w:right w:w="108" w:type="dxa"/>
          </w:tblCellMar>
        </w:tblPrEx>
        <w:trPr>
          <w:trHeight w:val="217" w:hRule="atLeast"/>
        </w:trPr>
        <w:tc>
          <w:tcPr>
            <w:tcW w:w="54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ordWrap/>
              <w:overflowPunct/>
              <w:topLinePunct w:val="0"/>
              <w:autoSpaceDE w:val="0"/>
              <w:autoSpaceDN w:val="0"/>
              <w:bidi w:val="0"/>
              <w:adjustRightInd w:val="0"/>
              <w:spacing w:line="360" w:lineRule="auto"/>
              <w:jc w:val="center"/>
              <w:rPr>
                <w:color w:val="auto"/>
                <w:szCs w:val="21"/>
                <w:highlight w:val="none"/>
              </w:rPr>
            </w:pPr>
            <w:r>
              <w:rPr>
                <w:rFonts w:hint="eastAsia" w:ascii="宋体" w:hAnsi="宋体" w:eastAsia="宋体" w:cs="宋体"/>
                <w:color w:val="auto"/>
                <w:sz w:val="21"/>
                <w:szCs w:val="21"/>
                <w:lang w:val="en-US" w:eastAsia="zh-CN"/>
              </w:rPr>
              <w:t>二</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企业</w:t>
            </w:r>
          </w:p>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业绩</w:t>
            </w:r>
          </w:p>
          <w:p>
            <w:pPr>
              <w:autoSpaceDE w:val="0"/>
              <w:autoSpaceDN w:val="0"/>
              <w:adjustRightInd w:val="0"/>
              <w:spacing w:line="240" w:lineRule="exact"/>
              <w:jc w:val="center"/>
              <w:rPr>
                <w:rFonts w:hint="eastAsia" w:ascii="宋体" w:eastAsia="宋体" w:cs="宋体"/>
                <w:color w:val="auto"/>
                <w:szCs w:val="21"/>
                <w:highlight w:val="none"/>
                <w:lang w:val="zh-CN"/>
              </w:rPr>
            </w:pPr>
            <w:r>
              <w:rPr>
                <w:rFonts w:hint="eastAsia" w:ascii="宋体" w:cs="宋体"/>
                <w:color w:val="auto"/>
                <w:szCs w:val="21"/>
                <w:highlight w:val="none"/>
                <w:lang w:val="zh-CN"/>
              </w:rPr>
              <w:t>获奖</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276" w:lineRule="auto"/>
              <w:ind w:firstLine="0" w:firstLineChars="0"/>
              <w:rPr>
                <w:color w:val="auto"/>
                <w:highlight w:val="none"/>
              </w:rPr>
            </w:pPr>
            <w:r>
              <w:rPr>
                <w:rFonts w:hint="eastAsia" w:cs="宋体" w:asciiTheme="minorEastAsia" w:hAnsiTheme="minorEastAsia" w:eastAsiaTheme="minorEastAsia"/>
                <w:color w:val="auto"/>
                <w:szCs w:val="21"/>
                <w:highlight w:val="none"/>
                <w:lang w:val="zh-CN"/>
              </w:rPr>
              <w:t>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val="zh-CN"/>
              </w:rPr>
              <w:t>年1月1日至今设计类似业绩获得国家级或行业级奖项，每项得</w:t>
            </w:r>
            <w:r>
              <w:rPr>
                <w:rFonts w:hint="eastAsia" w:cs="宋体" w:asciiTheme="minorEastAsia" w:hAnsiTheme="minorEastAsia" w:eastAsiaTheme="minorEastAsia"/>
                <w:color w:val="auto"/>
                <w:szCs w:val="21"/>
                <w:highlight w:val="none"/>
                <w:u w:val="single"/>
                <w:lang w:val="en-US" w:eastAsia="zh-CN"/>
              </w:rPr>
              <w:t xml:space="preserve"> 2.5 </w:t>
            </w:r>
            <w:r>
              <w:rPr>
                <w:rFonts w:hint="eastAsia" w:cs="宋体" w:asciiTheme="minorEastAsia" w:hAnsiTheme="minorEastAsia" w:eastAsiaTheme="minorEastAsia"/>
                <w:color w:val="auto"/>
                <w:szCs w:val="21"/>
                <w:highlight w:val="none"/>
                <w:lang w:val="zh-CN"/>
              </w:rPr>
              <w:t>分；获得省级奖项，每项得</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u w:val="single"/>
                <w:lang w:val="zh-CN"/>
              </w:rPr>
              <w:t>1</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lang w:val="zh-CN"/>
              </w:rPr>
              <w:t>分；获得市</w:t>
            </w:r>
            <w:r>
              <w:rPr>
                <w:rFonts w:hint="eastAsia" w:cs="宋体" w:asciiTheme="minorEastAsia" w:hAnsiTheme="minorEastAsia" w:eastAsiaTheme="minorEastAsia"/>
                <w:color w:val="auto"/>
                <w:szCs w:val="21"/>
                <w:highlight w:val="none"/>
                <w:lang w:val="en-US" w:eastAsia="zh-CN"/>
              </w:rPr>
              <w:t>级</w:t>
            </w:r>
            <w:r>
              <w:rPr>
                <w:rFonts w:hint="eastAsia" w:cs="宋体" w:asciiTheme="minorEastAsia" w:hAnsiTheme="minorEastAsia" w:eastAsiaTheme="minorEastAsia"/>
                <w:color w:val="auto"/>
                <w:szCs w:val="21"/>
                <w:highlight w:val="none"/>
                <w:lang w:val="zh-CN"/>
              </w:rPr>
              <w:t>（副省级）奖项，每项得</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u w:val="single"/>
                <w:lang w:val="zh-CN"/>
              </w:rPr>
              <w:t>0.5</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lang w:val="zh-CN"/>
              </w:rPr>
              <w:t>分。</w:t>
            </w:r>
          </w:p>
          <w:p>
            <w:pPr>
              <w:autoSpaceDE w:val="0"/>
              <w:autoSpaceDN w:val="0"/>
              <w:adjustRightInd w:val="0"/>
              <w:spacing w:line="276" w:lineRule="auto"/>
              <w:ind w:firstLine="0" w:firstLineChars="0"/>
              <w:rPr>
                <w:rFonts w:cs="宋体" w:asciiTheme="minorEastAsia" w:hAnsiTheme="minorEastAsia" w:eastAsiaTheme="minorEastAsia"/>
                <w:color w:val="auto"/>
                <w:kern w:val="2"/>
                <w:sz w:val="21"/>
                <w:szCs w:val="21"/>
                <w:highlight w:val="none"/>
                <w:lang w:val="zh-CN" w:eastAsia="zh-CN" w:bidi="ar-SA"/>
              </w:rPr>
            </w:pPr>
            <w:r>
              <w:rPr>
                <w:rFonts w:hint="eastAsia" w:ascii="宋体" w:hAnsi="宋体" w:eastAsia="宋体" w:cs="宋体"/>
                <w:b w:val="0"/>
                <w:bCs w:val="0"/>
                <w:i w:val="0"/>
                <w:iCs w:val="0"/>
                <w:caps w:val="0"/>
                <w:color w:val="auto"/>
                <w:spacing w:val="0"/>
                <w:kern w:val="0"/>
                <w:sz w:val="21"/>
                <w:szCs w:val="21"/>
                <w:lang w:val="en-US" w:eastAsia="zh-CN" w:bidi="ar"/>
              </w:rPr>
              <w:t>注：</w:t>
            </w:r>
            <w:r>
              <w:rPr>
                <w:rFonts w:hint="eastAsia"/>
                <w:color w:val="auto"/>
                <w:highlight w:val="none"/>
                <w:lang w:eastAsia="zh-CN"/>
              </w:rPr>
              <w:t>以上奖项合计最多得</w:t>
            </w:r>
            <w:r>
              <w:rPr>
                <w:rFonts w:hint="eastAsia"/>
                <w:color w:val="auto"/>
                <w:highlight w:val="none"/>
                <w:lang w:val="en-US" w:eastAsia="zh-CN"/>
              </w:rPr>
              <w:t>25分。</w:t>
            </w:r>
            <w:r>
              <w:rPr>
                <w:rFonts w:hint="eastAsia" w:ascii="宋体" w:hAnsi="宋体" w:eastAsia="宋体" w:cs="宋体"/>
                <w:b w:val="0"/>
                <w:bCs w:val="0"/>
                <w:i w:val="0"/>
                <w:iCs w:val="0"/>
                <w:caps w:val="0"/>
                <w:color w:val="auto"/>
                <w:spacing w:val="0"/>
                <w:kern w:val="0"/>
                <w:sz w:val="21"/>
                <w:szCs w:val="21"/>
                <w:lang w:val="en-US" w:eastAsia="zh-CN" w:bidi="ar"/>
              </w:rPr>
              <w:t>获奖时间以证书颁发日期为准</w:t>
            </w:r>
            <w:r>
              <w:rPr>
                <w:rFonts w:hint="eastAsia" w:ascii="宋体" w:hAnsi="宋体" w:cs="宋体"/>
                <w:b w:val="0"/>
                <w:bCs w:val="0"/>
                <w:i w:val="0"/>
                <w:iCs w:val="0"/>
                <w:caps w:val="0"/>
                <w:color w:val="auto"/>
                <w:spacing w:val="0"/>
                <w:kern w:val="0"/>
                <w:sz w:val="21"/>
                <w:szCs w:val="21"/>
                <w:lang w:val="en-US" w:eastAsia="zh-CN" w:bidi="ar"/>
              </w:rPr>
              <w:t>。</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r>
      <w:tr>
        <w:tblPrEx>
          <w:tblCellMar>
            <w:top w:w="0" w:type="dxa"/>
            <w:left w:w="108" w:type="dxa"/>
            <w:bottom w:w="0" w:type="dxa"/>
            <w:right w:w="108" w:type="dxa"/>
          </w:tblCellMar>
        </w:tblPrEx>
        <w:trPr>
          <w:trHeight w:val="1363"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hint="eastAsia" w:ascii="宋体" w:eastAsia="宋体" w:cs="宋体"/>
                <w:color w:val="auto"/>
                <w:szCs w:val="21"/>
                <w:highlight w:val="none"/>
                <w:lang w:val="zh-CN" w:eastAsia="zh-CN"/>
              </w:rPr>
            </w:pPr>
            <w:r>
              <w:rPr>
                <w:rFonts w:hint="eastAsia" w:ascii="宋体" w:cs="宋体"/>
                <w:color w:val="auto"/>
                <w:szCs w:val="21"/>
                <w:highlight w:val="none"/>
                <w:lang w:val="en-US" w:eastAsia="zh-CN"/>
              </w:rPr>
              <w:t>三</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r>
              <w:rPr>
                <w:rFonts w:hint="eastAsia" w:ascii="宋体" w:cs="宋体"/>
                <w:color w:val="auto"/>
                <w:szCs w:val="21"/>
                <w:highlight w:val="none"/>
                <w:lang w:val="zh-CN"/>
              </w:rPr>
              <w:t>人员配备及技术水平</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276"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1、项目负责人设计经历及业务能力：</w:t>
            </w:r>
          </w:p>
          <w:p>
            <w:pPr>
              <w:autoSpaceDE w:val="0"/>
              <w:autoSpaceDN w:val="0"/>
              <w:adjustRightInd w:val="0"/>
              <w:spacing w:line="276" w:lineRule="auto"/>
              <w:ind w:firstLine="0" w:firstLineChars="0"/>
              <w:rPr>
                <w:rFonts w:hint="eastAsia" w:cs="宋体" w:asciiTheme="minorEastAsia" w:hAnsiTheme="minorEastAsia" w:eastAsiaTheme="minorEastAsia"/>
                <w:color w:val="auto"/>
                <w:szCs w:val="21"/>
                <w:highlight w:val="none"/>
                <w:lang w:val="zh-CN" w:eastAsia="zh-CN"/>
              </w:rPr>
            </w:pPr>
            <w:r>
              <w:rPr>
                <w:rFonts w:hint="eastAsia" w:cs="宋体" w:asciiTheme="minorEastAsia" w:hAnsiTheme="minorEastAsia" w:eastAsiaTheme="minorEastAsia"/>
                <w:color w:val="auto"/>
                <w:szCs w:val="21"/>
                <w:highlight w:val="none"/>
                <w:lang w:val="zh-CN" w:eastAsia="zh-CN"/>
              </w:rPr>
              <w:t>（</w:t>
            </w: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lang w:val="zh-CN" w:eastAsia="zh-CN"/>
              </w:rPr>
              <w:t>）设计经历在</w:t>
            </w:r>
            <w:r>
              <w:rPr>
                <w:rFonts w:hint="eastAsia" w:cs="宋体" w:asciiTheme="minorEastAsia" w:hAnsiTheme="minorEastAsia" w:eastAsiaTheme="minorEastAsia"/>
                <w:color w:val="auto"/>
                <w:szCs w:val="21"/>
                <w:highlight w:val="none"/>
                <w:u w:val="single"/>
                <w:lang w:val="en-US" w:eastAsia="zh-CN"/>
              </w:rPr>
              <w:t>20</w:t>
            </w:r>
            <w:r>
              <w:rPr>
                <w:rFonts w:hint="eastAsia" w:cs="宋体" w:asciiTheme="minorEastAsia" w:hAnsiTheme="minorEastAsia" w:eastAsiaTheme="minorEastAsia"/>
                <w:color w:val="auto"/>
                <w:szCs w:val="21"/>
                <w:highlight w:val="none"/>
                <w:lang w:val="zh-CN" w:eastAsia="zh-CN"/>
              </w:rPr>
              <w:t>年以上，</w:t>
            </w:r>
            <w:r>
              <w:rPr>
                <w:rFonts w:hint="eastAsia" w:cs="宋体" w:asciiTheme="minorEastAsia" w:hAnsiTheme="minorEastAsia" w:eastAsiaTheme="minorEastAsia"/>
                <w:color w:val="auto"/>
                <w:szCs w:val="21"/>
                <w:highlight w:val="none"/>
                <w:lang w:val="en-US" w:eastAsia="zh-CN"/>
              </w:rPr>
              <w:t>高工</w:t>
            </w:r>
            <w:r>
              <w:rPr>
                <w:rFonts w:hint="eastAsia" w:cs="宋体" w:asciiTheme="minorEastAsia" w:hAnsiTheme="minorEastAsia" w:eastAsiaTheme="minorEastAsia"/>
                <w:color w:val="auto"/>
                <w:szCs w:val="21"/>
                <w:highlight w:val="none"/>
                <w:lang w:val="zh-CN" w:eastAsia="zh-CN"/>
              </w:rPr>
              <w:t>得</w:t>
            </w:r>
            <w:r>
              <w:rPr>
                <w:rFonts w:hint="eastAsia" w:cs="宋体" w:asciiTheme="minorEastAsia" w:hAnsiTheme="minorEastAsia" w:eastAsiaTheme="minorEastAsia"/>
                <w:color w:val="auto"/>
                <w:szCs w:val="21"/>
                <w:highlight w:val="none"/>
                <w:u w:val="single"/>
                <w:lang w:val="en-US" w:eastAsia="zh-CN"/>
              </w:rPr>
              <w:t xml:space="preserve"> 1 </w:t>
            </w:r>
            <w:r>
              <w:rPr>
                <w:rFonts w:hint="eastAsia" w:cs="宋体" w:asciiTheme="minorEastAsia" w:hAnsiTheme="minorEastAsia" w:eastAsiaTheme="minorEastAsia"/>
                <w:color w:val="auto"/>
                <w:szCs w:val="21"/>
                <w:highlight w:val="none"/>
                <w:lang w:val="zh-CN" w:eastAsia="zh-CN"/>
              </w:rPr>
              <w:t>分，其它</w:t>
            </w:r>
            <w:r>
              <w:rPr>
                <w:rFonts w:hint="eastAsia" w:cs="宋体" w:asciiTheme="minorEastAsia" w:hAnsiTheme="minorEastAsia" w:eastAsiaTheme="minorEastAsia"/>
                <w:color w:val="auto"/>
                <w:szCs w:val="21"/>
                <w:highlight w:val="none"/>
                <w:lang w:val="en-US" w:eastAsia="zh-CN"/>
              </w:rPr>
              <w:t xml:space="preserve"> </w:t>
            </w:r>
            <w:r>
              <w:rPr>
                <w:rFonts w:hint="eastAsia" w:cs="宋体" w:asciiTheme="minorEastAsia" w:hAnsiTheme="minorEastAsia" w:eastAsiaTheme="minorEastAsia"/>
                <w:color w:val="auto"/>
                <w:szCs w:val="21"/>
                <w:highlight w:val="none"/>
                <w:u w:val="single"/>
                <w:lang w:val="en-US" w:eastAsia="zh-CN"/>
              </w:rPr>
              <w:t xml:space="preserve"> 0.5  </w:t>
            </w:r>
            <w:r>
              <w:rPr>
                <w:rFonts w:hint="eastAsia" w:cs="宋体" w:asciiTheme="minorEastAsia" w:hAnsiTheme="minorEastAsia" w:eastAsiaTheme="minorEastAsia"/>
                <w:color w:val="auto"/>
                <w:szCs w:val="21"/>
                <w:highlight w:val="none"/>
                <w:lang w:val="zh-CN" w:eastAsia="zh-CN"/>
              </w:rPr>
              <w:t>分</w:t>
            </w:r>
            <w:r>
              <w:rPr>
                <w:rFonts w:hint="eastAsia" w:cs="宋体" w:asciiTheme="minorEastAsia" w:hAnsiTheme="minorEastAsia" w:eastAsiaTheme="minorEastAsia"/>
                <w:color w:val="auto"/>
                <w:szCs w:val="21"/>
                <w:highlight w:val="none"/>
                <w:lang w:val="en-US" w:eastAsia="zh-CN"/>
              </w:rPr>
              <w:t>。本小项最多得1分。</w:t>
            </w:r>
          </w:p>
          <w:p>
            <w:pPr>
              <w:autoSpaceDE w:val="0"/>
              <w:autoSpaceDN w:val="0"/>
              <w:adjustRightInd w:val="0"/>
              <w:spacing w:line="276" w:lineRule="auto"/>
              <w:ind w:firstLine="0" w:firstLineChars="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zh-CN" w:eastAsia="zh-CN"/>
              </w:rPr>
              <w:t>（2）</w:t>
            </w:r>
            <w:r>
              <w:rPr>
                <w:rFonts w:hint="eastAsia" w:cs="宋体" w:asciiTheme="minorEastAsia" w:hAnsiTheme="minorEastAsia" w:eastAsiaTheme="minorEastAsia"/>
                <w:color w:val="auto"/>
                <w:szCs w:val="21"/>
                <w:highlight w:val="none"/>
                <w:lang w:val="zh-CN"/>
              </w:rPr>
              <w:t>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val="zh-CN"/>
              </w:rPr>
              <w:t>年1月1日至今</w:t>
            </w:r>
            <w:r>
              <w:rPr>
                <w:rFonts w:hint="eastAsia" w:cs="宋体" w:asciiTheme="minorEastAsia" w:hAnsiTheme="minorEastAsia" w:eastAsiaTheme="minorEastAsia"/>
                <w:color w:val="auto"/>
                <w:szCs w:val="21"/>
                <w:highlight w:val="none"/>
                <w:lang w:val="en-US" w:eastAsia="zh-CN"/>
              </w:rPr>
              <w:t>参与</w:t>
            </w:r>
            <w:r>
              <w:rPr>
                <w:rFonts w:hint="eastAsia" w:cs="宋体" w:asciiTheme="minorEastAsia" w:hAnsiTheme="minorEastAsia" w:eastAsiaTheme="minorEastAsia"/>
                <w:color w:val="auto"/>
                <w:szCs w:val="21"/>
                <w:highlight w:val="none"/>
                <w:lang w:val="zh-CN" w:eastAsia="zh-CN"/>
              </w:rPr>
              <w:t>设计的市政</w:t>
            </w:r>
            <w:r>
              <w:rPr>
                <w:rFonts w:hint="eastAsia" w:cs="宋体" w:asciiTheme="minorEastAsia" w:hAnsiTheme="minorEastAsia" w:eastAsiaTheme="minorEastAsia"/>
                <w:color w:val="auto"/>
                <w:szCs w:val="21"/>
                <w:highlight w:val="none"/>
                <w:lang w:val="en-US" w:eastAsia="zh-CN"/>
              </w:rPr>
              <w:t>工程类</w:t>
            </w:r>
            <w:r>
              <w:rPr>
                <w:rFonts w:hint="eastAsia" w:cs="宋体" w:asciiTheme="minorEastAsia" w:hAnsiTheme="minorEastAsia" w:eastAsiaTheme="minorEastAsia"/>
                <w:color w:val="auto"/>
                <w:szCs w:val="21"/>
                <w:highlight w:val="none"/>
                <w:lang w:val="zh-CN" w:eastAsia="zh-CN"/>
              </w:rPr>
              <w:t>项目</w:t>
            </w:r>
            <w:r>
              <w:rPr>
                <w:rFonts w:hint="eastAsia" w:cs="宋体" w:asciiTheme="minorEastAsia" w:hAnsiTheme="minorEastAsia" w:eastAsiaTheme="minorEastAsia"/>
                <w:color w:val="auto"/>
                <w:szCs w:val="21"/>
                <w:highlight w:val="none"/>
                <w:lang w:val="en-US" w:eastAsia="zh-CN"/>
              </w:rPr>
              <w:t>获得国家级或行业级奖项的，</w:t>
            </w:r>
            <w:r>
              <w:rPr>
                <w:rFonts w:hint="eastAsia" w:cs="宋体" w:asciiTheme="minorEastAsia" w:hAnsiTheme="minorEastAsia" w:eastAsiaTheme="minorEastAsia"/>
                <w:color w:val="auto"/>
                <w:szCs w:val="21"/>
                <w:highlight w:val="none"/>
                <w:lang w:val="zh-CN" w:eastAsia="zh-CN"/>
              </w:rPr>
              <w:t>每项得</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u w:val="single"/>
                <w:lang w:val="en-US" w:eastAsia="zh-CN"/>
              </w:rPr>
              <w:t>3</w:t>
            </w:r>
            <w:r>
              <w:rPr>
                <w:rFonts w:hint="eastAsia" w:cs="宋体" w:asciiTheme="minorEastAsia" w:hAnsiTheme="minorEastAsia" w:eastAsiaTheme="minorEastAsia"/>
                <w:color w:val="auto"/>
                <w:szCs w:val="21"/>
                <w:highlight w:val="none"/>
                <w:u w:val="single"/>
                <w:lang w:val="zh-CN" w:eastAsia="zh-CN"/>
              </w:rPr>
              <w:t xml:space="preserve"> 分</w:t>
            </w:r>
            <w:r>
              <w:rPr>
                <w:rFonts w:hint="eastAsia" w:cs="宋体" w:asciiTheme="minorEastAsia" w:hAnsiTheme="minorEastAsia" w:eastAsiaTheme="minorEastAsia"/>
                <w:color w:val="auto"/>
                <w:szCs w:val="21"/>
                <w:highlight w:val="none"/>
                <w:lang w:val="zh-CN" w:eastAsia="zh-CN"/>
              </w:rPr>
              <w:t>；获省级奖项的，每项得</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u w:val="single"/>
                <w:lang w:val="en-US" w:eastAsia="zh-CN"/>
              </w:rPr>
              <w:t>2</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lang w:val="zh-CN" w:eastAsia="zh-CN"/>
              </w:rPr>
              <w:t>分；获市（副省级）奖项，每项得</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u w:val="single"/>
                <w:lang w:val="en-US" w:eastAsia="zh-CN"/>
              </w:rPr>
              <w:t>1</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lang w:val="zh-CN" w:eastAsia="zh-CN"/>
              </w:rPr>
              <w:t>分。</w:t>
            </w:r>
            <w:r>
              <w:rPr>
                <w:rFonts w:hint="eastAsia" w:cs="宋体" w:asciiTheme="minorEastAsia" w:hAnsiTheme="minorEastAsia" w:eastAsiaTheme="minorEastAsia"/>
                <w:color w:val="auto"/>
                <w:szCs w:val="21"/>
                <w:highlight w:val="none"/>
                <w:lang w:val="en-US" w:eastAsia="zh-CN"/>
              </w:rPr>
              <w:t>本小项最多得11分。</w:t>
            </w:r>
          </w:p>
          <w:p>
            <w:pPr>
              <w:autoSpaceDE w:val="0"/>
              <w:autoSpaceDN w:val="0"/>
              <w:adjustRightInd w:val="0"/>
              <w:spacing w:line="276" w:lineRule="auto"/>
              <w:ind w:firstLine="0" w:firstLineChars="0"/>
              <w:rPr>
                <w:rFonts w:hint="eastAsia" w:cs="宋体" w:asciiTheme="minorEastAsia" w:hAnsiTheme="minorEastAsia" w:eastAsiaTheme="minorEastAsia"/>
                <w:color w:val="auto"/>
                <w:szCs w:val="21"/>
                <w:highlight w:val="none"/>
                <w:lang w:val="zh-CN" w:eastAsia="zh-CN"/>
              </w:rPr>
            </w:pPr>
            <w:r>
              <w:rPr>
                <w:rFonts w:hint="eastAsia" w:cs="宋体" w:asciiTheme="minorEastAsia" w:hAnsiTheme="minorEastAsia" w:eastAsiaTheme="minorEastAsia"/>
                <w:color w:val="auto"/>
                <w:szCs w:val="21"/>
                <w:highlight w:val="none"/>
                <w:lang w:val="zh-CN" w:eastAsia="zh-CN"/>
              </w:rPr>
              <w:t xml:space="preserve">以上各项合计最多得 </w:t>
            </w:r>
            <w:r>
              <w:rPr>
                <w:rFonts w:hint="eastAsia" w:cs="宋体" w:asciiTheme="minorEastAsia" w:hAnsiTheme="minorEastAsia" w:eastAsiaTheme="minorEastAsia"/>
                <w:color w:val="auto"/>
                <w:szCs w:val="21"/>
                <w:highlight w:val="none"/>
                <w:lang w:val="en-US" w:eastAsia="zh-CN"/>
              </w:rPr>
              <w:t>12</w:t>
            </w:r>
            <w:r>
              <w:rPr>
                <w:rFonts w:hint="eastAsia" w:cs="宋体" w:asciiTheme="minorEastAsia" w:hAnsiTheme="minorEastAsia" w:eastAsiaTheme="minorEastAsia"/>
                <w:color w:val="auto"/>
                <w:szCs w:val="21"/>
                <w:highlight w:val="none"/>
                <w:lang w:val="zh-CN" w:eastAsia="zh-CN"/>
              </w:rPr>
              <w:t xml:space="preserve"> 分。</w:t>
            </w:r>
          </w:p>
          <w:p>
            <w:pPr>
              <w:autoSpaceDE w:val="0"/>
              <w:autoSpaceDN w:val="0"/>
              <w:adjustRightInd w:val="0"/>
              <w:spacing w:line="276" w:lineRule="auto"/>
              <w:ind w:firstLine="0" w:firstLineChars="0"/>
              <w:rPr>
                <w:color w:val="auto"/>
                <w:szCs w:val="21"/>
                <w:highlight w:val="none"/>
                <w:lang w:val="zh-CN"/>
              </w:rPr>
            </w:pPr>
            <w:r>
              <w:rPr>
                <w:rFonts w:hint="eastAsia" w:cs="宋体" w:asciiTheme="minorEastAsia" w:hAnsiTheme="minorEastAsia" w:eastAsiaTheme="minorEastAsia"/>
                <w:color w:val="auto"/>
                <w:szCs w:val="21"/>
                <w:highlight w:val="none"/>
                <w:lang w:val="en-US" w:eastAsia="zh-CN"/>
              </w:rPr>
              <w:t>注：</w:t>
            </w:r>
            <w:r>
              <w:rPr>
                <w:rFonts w:hint="eastAsia" w:cs="宋体" w:asciiTheme="minorEastAsia" w:hAnsiTheme="minorEastAsia" w:eastAsiaTheme="minorEastAsia"/>
                <w:color w:val="auto"/>
                <w:szCs w:val="21"/>
                <w:highlight w:val="none"/>
                <w:lang w:val="zh-CN" w:eastAsia="zh-CN"/>
              </w:rPr>
              <w:t>所提供的投入人员必须为投标单位人员，须提供毕业证、职称证、获奖证书及2023年</w:t>
            </w:r>
            <w:r>
              <w:rPr>
                <w:rFonts w:hint="eastAsia" w:cs="宋体" w:asciiTheme="minorEastAsia" w:hAnsiTheme="minorEastAsia" w:eastAsiaTheme="minorEastAsia"/>
                <w:color w:val="auto"/>
                <w:szCs w:val="21"/>
                <w:highlight w:val="none"/>
                <w:lang w:val="en-US" w:eastAsia="zh-CN"/>
              </w:rPr>
              <w:t>4</w:t>
            </w:r>
            <w:r>
              <w:rPr>
                <w:rFonts w:hint="eastAsia" w:cs="宋体" w:asciiTheme="minorEastAsia" w:hAnsiTheme="minorEastAsia" w:eastAsiaTheme="minorEastAsia"/>
                <w:color w:val="auto"/>
                <w:szCs w:val="21"/>
                <w:highlight w:val="none"/>
                <w:lang w:val="zh-CN" w:eastAsia="zh-CN"/>
              </w:rPr>
              <w:t>月有效的社保缴费证明材料，社保证明需能反映参保人在该投标单位(或其分支机构)缴纳，否则不予计算得分。</w:t>
            </w:r>
            <w:r>
              <w:rPr>
                <w:rFonts w:hint="eastAsia" w:cs="宋体" w:asciiTheme="minorEastAsia" w:hAnsiTheme="minorEastAsia" w:eastAsiaTheme="minorEastAsia"/>
                <w:color w:val="auto"/>
                <w:sz w:val="21"/>
                <w:szCs w:val="21"/>
                <w:highlight w:val="none"/>
                <w:lang w:val="zh-CN" w:eastAsia="zh-CN"/>
              </w:rPr>
              <w:t>设计经历年限以大学本科毕业证书毕业时间计算。</w:t>
            </w:r>
            <w:bookmarkStart w:id="23" w:name="_GoBack"/>
            <w:bookmarkEnd w:id="23"/>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blPrEx>
          <w:tblCellMar>
            <w:top w:w="0" w:type="dxa"/>
            <w:left w:w="108" w:type="dxa"/>
            <w:bottom w:w="0" w:type="dxa"/>
            <w:right w:w="108" w:type="dxa"/>
          </w:tblCellMar>
        </w:tblPrEx>
        <w:trPr>
          <w:trHeight w:val="634" w:hRule="atLeast"/>
        </w:trPr>
        <w:tc>
          <w:tcPr>
            <w:tcW w:w="54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p>
        </w:tc>
        <w:tc>
          <w:tcPr>
            <w:tcW w:w="7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p>
        </w:tc>
        <w:tc>
          <w:tcPr>
            <w:tcW w:w="149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c>
          <w:tcPr>
            <w:tcW w:w="9776"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276"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2、各专业负责人设计经历及业务能力</w:t>
            </w:r>
            <w:r>
              <w:rPr>
                <w:rFonts w:hint="eastAsia" w:cs="宋体" w:asciiTheme="minorEastAsia" w:hAnsiTheme="minorEastAsia" w:eastAsiaTheme="minorEastAsia"/>
                <w:b w:val="0"/>
                <w:bCs w:val="0"/>
                <w:i w:val="0"/>
                <w:iCs w:val="0"/>
                <w:caps w:val="0"/>
                <w:color w:val="auto"/>
                <w:spacing w:val="0"/>
                <w:kern w:val="2"/>
                <w:sz w:val="21"/>
                <w:szCs w:val="21"/>
                <w:highlight w:val="none"/>
                <w:lang w:val="en-US" w:eastAsia="zh-CN" w:bidi="ar"/>
              </w:rPr>
              <w:t>（项目负责人不得兼任）</w:t>
            </w:r>
            <w:r>
              <w:rPr>
                <w:rFonts w:hint="eastAsia" w:cs="宋体" w:asciiTheme="minorEastAsia" w:hAnsiTheme="minorEastAsia" w:eastAsiaTheme="minorEastAsia"/>
                <w:color w:val="auto"/>
                <w:szCs w:val="21"/>
                <w:highlight w:val="none"/>
              </w:rPr>
              <w:t>：</w:t>
            </w:r>
          </w:p>
          <w:p>
            <w:pPr>
              <w:autoSpaceDE w:val="0"/>
              <w:autoSpaceDN w:val="0"/>
              <w:adjustRightInd w:val="0"/>
              <w:spacing w:line="276" w:lineRule="auto"/>
              <w:ind w:firstLine="0" w:firstLineChars="0"/>
              <w:rPr>
                <w:rFonts w:hint="eastAsia" w:cs="宋体" w:asciiTheme="minorEastAsia" w:hAnsiTheme="minorEastAsia" w:eastAsiaTheme="minorEastAsia"/>
                <w:color w:val="auto"/>
                <w:szCs w:val="21"/>
                <w:highlight w:val="none"/>
                <w:lang w:val="zh-CN" w:eastAsia="zh-CN"/>
              </w:rPr>
            </w:pPr>
            <w:r>
              <w:rPr>
                <w:rFonts w:hint="eastAsia" w:cs="宋体" w:asciiTheme="minorEastAsia" w:hAnsiTheme="minorEastAsia" w:eastAsiaTheme="minorEastAsia"/>
                <w:color w:val="auto"/>
                <w:szCs w:val="21"/>
                <w:highlight w:val="none"/>
                <w:lang w:val="en-US" w:eastAsia="zh-CN"/>
              </w:rPr>
              <w:t>投入的各专业负责人</w:t>
            </w:r>
            <w:r>
              <w:rPr>
                <w:rFonts w:hint="eastAsia" w:cs="宋体" w:asciiTheme="minorEastAsia" w:hAnsiTheme="minorEastAsia" w:eastAsiaTheme="minorEastAsia"/>
                <w:color w:val="auto"/>
                <w:szCs w:val="21"/>
                <w:highlight w:val="none"/>
                <w:lang w:val="zh-CN" w:eastAsia="zh-CN"/>
              </w:rPr>
              <w:t>必须专业齐全，</w:t>
            </w:r>
            <w:r>
              <w:rPr>
                <w:rFonts w:hint="eastAsia" w:cs="宋体" w:asciiTheme="minorEastAsia" w:hAnsiTheme="minorEastAsia" w:eastAsiaTheme="minorEastAsia"/>
                <w:color w:val="auto"/>
                <w:szCs w:val="21"/>
                <w:highlight w:val="none"/>
                <w:lang w:val="en-US" w:eastAsia="zh-CN"/>
              </w:rPr>
              <w:t>至少</w:t>
            </w:r>
            <w:r>
              <w:rPr>
                <w:rFonts w:hint="eastAsia" w:cs="宋体" w:asciiTheme="minorEastAsia" w:hAnsiTheme="minorEastAsia" w:eastAsiaTheme="minorEastAsia"/>
                <w:color w:val="auto"/>
                <w:szCs w:val="21"/>
                <w:highlight w:val="none"/>
                <w:lang w:val="zh-CN" w:eastAsia="zh-CN"/>
              </w:rPr>
              <w:t>包括</w:t>
            </w:r>
            <w:r>
              <w:rPr>
                <w:rFonts w:hint="eastAsia" w:cs="宋体" w:asciiTheme="minorEastAsia" w:hAnsiTheme="minorEastAsia" w:eastAsiaTheme="minorEastAsia"/>
                <w:color w:val="auto"/>
                <w:szCs w:val="21"/>
                <w:highlight w:val="none"/>
                <w:lang w:val="en-US" w:eastAsia="zh-CN"/>
              </w:rPr>
              <w:t>道路、桥涵、</w:t>
            </w:r>
            <w:r>
              <w:rPr>
                <w:rFonts w:hint="eastAsia" w:cs="宋体" w:asciiTheme="minorEastAsia" w:hAnsiTheme="minorEastAsia" w:eastAsiaTheme="minorEastAsia"/>
                <w:color w:val="auto"/>
                <w:szCs w:val="21"/>
                <w:highlight w:val="none"/>
                <w:lang w:val="zh-CN" w:eastAsia="zh-CN"/>
              </w:rPr>
              <w:t>给排水、结构、岩土、</w:t>
            </w:r>
            <w:r>
              <w:rPr>
                <w:rFonts w:hint="eastAsia" w:cs="宋体" w:asciiTheme="minorEastAsia" w:hAnsiTheme="minorEastAsia" w:eastAsiaTheme="minorEastAsia"/>
                <w:color w:val="auto"/>
                <w:szCs w:val="21"/>
                <w:highlight w:val="none"/>
                <w:lang w:val="en-US" w:eastAsia="zh-CN"/>
              </w:rPr>
              <w:t>电气、景观、</w:t>
            </w:r>
            <w:r>
              <w:rPr>
                <w:rFonts w:hint="eastAsia" w:cs="宋体" w:asciiTheme="minorEastAsia" w:hAnsiTheme="minorEastAsia" w:eastAsiaTheme="minorEastAsia"/>
                <w:color w:val="auto"/>
                <w:szCs w:val="21"/>
                <w:highlight w:val="none"/>
                <w:lang w:val="zh-CN" w:eastAsia="zh-CN"/>
              </w:rPr>
              <w:t>造价共</w:t>
            </w:r>
            <w:r>
              <w:rPr>
                <w:rFonts w:hint="eastAsia" w:cs="宋体" w:asciiTheme="minorEastAsia" w:hAnsiTheme="minorEastAsia" w:eastAsiaTheme="minorEastAsia"/>
                <w:color w:val="auto"/>
                <w:szCs w:val="21"/>
                <w:highlight w:val="none"/>
                <w:lang w:val="en-US" w:eastAsia="zh-CN"/>
              </w:rPr>
              <w:t>八</w:t>
            </w:r>
            <w:r>
              <w:rPr>
                <w:rFonts w:hint="eastAsia" w:cs="宋体" w:asciiTheme="minorEastAsia" w:hAnsiTheme="minorEastAsia" w:eastAsiaTheme="minorEastAsia"/>
                <w:color w:val="auto"/>
                <w:szCs w:val="21"/>
                <w:highlight w:val="none"/>
                <w:lang w:val="zh-CN" w:eastAsia="zh-CN"/>
              </w:rPr>
              <w:t>个专业。</w:t>
            </w:r>
          </w:p>
          <w:p>
            <w:pPr>
              <w:autoSpaceDE w:val="0"/>
              <w:autoSpaceDN w:val="0"/>
              <w:adjustRightInd w:val="0"/>
              <w:spacing w:line="276" w:lineRule="auto"/>
              <w:ind w:firstLine="0" w:firstLineChars="0"/>
              <w:rPr>
                <w:rFonts w:hint="eastAsia" w:cs="宋体" w:asciiTheme="minorEastAsia" w:hAnsiTheme="minorEastAsia" w:eastAsiaTheme="minorEastAsia"/>
                <w:color w:val="auto"/>
                <w:szCs w:val="21"/>
                <w:highlight w:val="none"/>
                <w:lang w:val="zh-CN" w:eastAsia="zh-CN"/>
              </w:rPr>
            </w:pPr>
            <w:r>
              <w:rPr>
                <w:rFonts w:hint="eastAsia" w:cs="宋体" w:asciiTheme="minorEastAsia" w:hAnsiTheme="minorEastAsia" w:eastAsiaTheme="minorEastAsia"/>
                <w:color w:val="auto"/>
                <w:szCs w:val="21"/>
                <w:highlight w:val="none"/>
                <w:lang w:val="zh-CN" w:eastAsia="zh-CN"/>
              </w:rPr>
              <w:t>（1）</w:t>
            </w:r>
            <w:r>
              <w:rPr>
                <w:rFonts w:hint="eastAsia"/>
                <w:color w:val="auto"/>
                <w:szCs w:val="21"/>
                <w:highlight w:val="none"/>
                <w:lang w:val="zh-CN"/>
              </w:rPr>
              <w:t>各</w:t>
            </w:r>
            <w:r>
              <w:rPr>
                <w:color w:val="auto"/>
                <w:szCs w:val="21"/>
                <w:highlight w:val="none"/>
                <w:lang w:val="zh-CN"/>
              </w:rPr>
              <w:t>专业负责人</w:t>
            </w:r>
            <w:r>
              <w:rPr>
                <w:rFonts w:hint="eastAsia"/>
                <w:color w:val="auto"/>
                <w:szCs w:val="21"/>
                <w:highlight w:val="none"/>
                <w:lang w:val="zh-CN"/>
              </w:rPr>
              <w:t>每1名为注册建筑师或注册结构工程师或注册公用设备工程师或高级职称得</w:t>
            </w:r>
            <w:r>
              <w:rPr>
                <w:rFonts w:hint="eastAsia"/>
                <w:color w:val="auto"/>
                <w:szCs w:val="21"/>
                <w:highlight w:val="none"/>
                <w:u w:val="single"/>
                <w:lang w:val="zh-CN"/>
              </w:rPr>
              <w:t xml:space="preserve"> </w:t>
            </w:r>
            <w:r>
              <w:rPr>
                <w:rFonts w:hint="eastAsia"/>
                <w:color w:val="auto"/>
                <w:szCs w:val="21"/>
                <w:highlight w:val="none"/>
                <w:u w:val="single"/>
                <w:lang w:val="en-US" w:eastAsia="zh-CN"/>
              </w:rPr>
              <w:t>1</w:t>
            </w:r>
            <w:r>
              <w:rPr>
                <w:rFonts w:hint="eastAsia"/>
                <w:color w:val="auto"/>
                <w:szCs w:val="21"/>
                <w:highlight w:val="none"/>
                <w:u w:val="single"/>
                <w:lang w:val="zh-CN"/>
              </w:rPr>
              <w:t xml:space="preserve"> </w:t>
            </w:r>
            <w:r>
              <w:rPr>
                <w:rFonts w:hint="eastAsia"/>
                <w:color w:val="auto"/>
                <w:szCs w:val="21"/>
                <w:highlight w:val="none"/>
                <w:lang w:val="zh-CN"/>
              </w:rPr>
              <w:t>分，每1名为中级职称得</w:t>
            </w:r>
            <w:r>
              <w:rPr>
                <w:rFonts w:hint="eastAsia"/>
                <w:color w:val="auto"/>
                <w:szCs w:val="21"/>
                <w:highlight w:val="none"/>
                <w:u w:val="single"/>
                <w:lang w:val="zh-CN"/>
              </w:rPr>
              <w:t xml:space="preserve"> </w:t>
            </w:r>
            <w:r>
              <w:rPr>
                <w:rFonts w:hint="eastAsia"/>
                <w:color w:val="auto"/>
                <w:szCs w:val="21"/>
                <w:highlight w:val="none"/>
                <w:u w:val="single"/>
                <w:lang w:val="en-US" w:eastAsia="zh-CN"/>
              </w:rPr>
              <w:t>0.5</w:t>
            </w:r>
            <w:r>
              <w:rPr>
                <w:rFonts w:hint="eastAsia"/>
                <w:color w:val="auto"/>
                <w:szCs w:val="21"/>
                <w:highlight w:val="none"/>
                <w:u w:val="single"/>
                <w:lang w:val="zh-CN"/>
              </w:rPr>
              <w:t xml:space="preserve"> </w:t>
            </w:r>
            <w:r>
              <w:rPr>
                <w:rFonts w:hint="eastAsia"/>
                <w:color w:val="auto"/>
                <w:szCs w:val="21"/>
                <w:highlight w:val="none"/>
                <w:lang w:val="zh-CN"/>
              </w:rPr>
              <w:t>分。</w:t>
            </w:r>
            <w:r>
              <w:rPr>
                <w:rFonts w:hint="eastAsia" w:cs="宋体" w:asciiTheme="minorEastAsia" w:hAnsiTheme="minorEastAsia" w:eastAsiaTheme="minorEastAsia"/>
                <w:color w:val="auto"/>
                <w:szCs w:val="21"/>
                <w:highlight w:val="none"/>
                <w:lang w:val="en-US" w:eastAsia="zh-CN"/>
              </w:rPr>
              <w:t>本小项最多得8分。</w:t>
            </w:r>
          </w:p>
          <w:p>
            <w:pPr>
              <w:autoSpaceDE w:val="0"/>
              <w:autoSpaceDN w:val="0"/>
              <w:adjustRightInd w:val="0"/>
              <w:spacing w:line="276" w:lineRule="auto"/>
              <w:ind w:firstLine="0" w:firstLineChars="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zh-CN" w:eastAsia="zh-CN"/>
              </w:rPr>
              <w:t>（2）</w:t>
            </w:r>
            <w:r>
              <w:rPr>
                <w:rFonts w:hint="eastAsia" w:cs="宋体" w:asciiTheme="minorEastAsia" w:hAnsiTheme="minorEastAsia" w:eastAsiaTheme="minorEastAsia"/>
                <w:color w:val="auto"/>
                <w:szCs w:val="21"/>
                <w:highlight w:val="none"/>
                <w:lang w:val="zh-CN"/>
              </w:rPr>
              <w:t>201</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lang w:val="zh-CN"/>
              </w:rPr>
              <w:t>年1月1日至今</w:t>
            </w:r>
            <w:r>
              <w:rPr>
                <w:rFonts w:hint="eastAsia" w:cs="宋体" w:asciiTheme="minorEastAsia" w:hAnsiTheme="minorEastAsia" w:eastAsiaTheme="minorEastAsia"/>
                <w:color w:val="auto"/>
                <w:szCs w:val="21"/>
                <w:highlight w:val="none"/>
                <w:lang w:val="en-US" w:eastAsia="zh-CN"/>
              </w:rPr>
              <w:t>每有1名专业负责人参与设计的市政工程类项目获得国家级或行业级奖项的，得</w:t>
            </w:r>
            <w:r>
              <w:rPr>
                <w:rFonts w:hint="eastAsia" w:cs="宋体" w:asciiTheme="minorEastAsia" w:hAnsiTheme="minorEastAsia" w:eastAsiaTheme="minorEastAsia"/>
                <w:color w:val="auto"/>
                <w:szCs w:val="21"/>
                <w:highlight w:val="none"/>
                <w:u w:val="single"/>
                <w:lang w:val="en-US" w:eastAsia="zh-CN"/>
              </w:rPr>
              <w:t>1</w:t>
            </w:r>
            <w:r>
              <w:rPr>
                <w:rFonts w:hint="eastAsia" w:cs="宋体" w:asciiTheme="minorEastAsia" w:hAnsiTheme="minorEastAsia" w:eastAsiaTheme="minorEastAsia"/>
                <w:color w:val="auto"/>
                <w:szCs w:val="21"/>
                <w:highlight w:val="none"/>
                <w:lang w:val="en-US" w:eastAsia="zh-CN"/>
              </w:rPr>
              <w:t>分；</w:t>
            </w:r>
            <w:r>
              <w:rPr>
                <w:rFonts w:hint="eastAsia" w:cs="宋体" w:asciiTheme="minorEastAsia" w:hAnsiTheme="minorEastAsia" w:eastAsiaTheme="minorEastAsia"/>
                <w:color w:val="auto"/>
                <w:szCs w:val="21"/>
                <w:highlight w:val="none"/>
                <w:lang w:val="zh-CN" w:eastAsia="zh-CN"/>
              </w:rPr>
              <w:t>获得省级奖项的，每项得</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u w:val="single"/>
                <w:lang w:val="en-US" w:eastAsia="zh-CN"/>
              </w:rPr>
              <w:t>0.5</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lang w:val="zh-CN" w:eastAsia="zh-CN"/>
              </w:rPr>
              <w:t>分；获市（副省级）奖项，每项得</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u w:val="single"/>
                <w:lang w:val="en-US" w:eastAsia="zh-CN"/>
              </w:rPr>
              <w:t>0.25</w:t>
            </w:r>
            <w:r>
              <w:rPr>
                <w:rFonts w:hint="eastAsia" w:cs="宋体" w:asciiTheme="minorEastAsia" w:hAnsiTheme="minorEastAsia" w:eastAsiaTheme="minorEastAsia"/>
                <w:color w:val="auto"/>
                <w:szCs w:val="21"/>
                <w:highlight w:val="none"/>
                <w:u w:val="single"/>
                <w:lang w:val="zh-CN" w:eastAsia="zh-CN"/>
              </w:rPr>
              <w:t xml:space="preserve">  </w:t>
            </w:r>
            <w:r>
              <w:rPr>
                <w:rFonts w:hint="eastAsia" w:cs="宋体" w:asciiTheme="minorEastAsia" w:hAnsiTheme="minorEastAsia" w:eastAsiaTheme="minorEastAsia"/>
                <w:color w:val="auto"/>
                <w:szCs w:val="21"/>
                <w:highlight w:val="none"/>
                <w:lang w:val="zh-CN" w:eastAsia="zh-CN"/>
              </w:rPr>
              <w:t>分，</w:t>
            </w:r>
            <w:r>
              <w:rPr>
                <w:rFonts w:hint="eastAsia" w:cs="宋体" w:asciiTheme="minorEastAsia" w:hAnsiTheme="minorEastAsia" w:eastAsiaTheme="minorEastAsia"/>
                <w:color w:val="auto"/>
                <w:szCs w:val="21"/>
                <w:highlight w:val="none"/>
                <w:lang w:val="en-US" w:eastAsia="zh-CN"/>
              </w:rPr>
              <w:t>本小项最多得5分。</w:t>
            </w:r>
          </w:p>
          <w:p>
            <w:pPr>
              <w:autoSpaceDE w:val="0"/>
              <w:autoSpaceDN w:val="0"/>
              <w:adjustRightInd w:val="0"/>
              <w:spacing w:line="276" w:lineRule="auto"/>
              <w:ind w:firstLine="0" w:firstLineChars="0"/>
              <w:rPr>
                <w:rFonts w:hint="eastAsia" w:cs="宋体" w:asciiTheme="minorEastAsia" w:hAnsiTheme="minorEastAsia" w:eastAsiaTheme="minorEastAsia"/>
                <w:color w:val="auto"/>
                <w:szCs w:val="21"/>
                <w:highlight w:val="none"/>
                <w:lang w:val="zh-CN" w:eastAsia="zh-CN"/>
              </w:rPr>
            </w:pPr>
            <w:r>
              <w:rPr>
                <w:rFonts w:hint="eastAsia" w:cs="宋体" w:asciiTheme="minorEastAsia" w:hAnsiTheme="minorEastAsia" w:eastAsiaTheme="minorEastAsia"/>
                <w:color w:val="auto"/>
                <w:szCs w:val="21"/>
                <w:highlight w:val="none"/>
                <w:lang w:val="zh-CN" w:eastAsia="zh-CN"/>
              </w:rPr>
              <w:t xml:space="preserve">以上各项合计最多得 </w:t>
            </w:r>
            <w:r>
              <w:rPr>
                <w:rFonts w:hint="eastAsia" w:cs="宋体" w:asciiTheme="minorEastAsia" w:hAnsiTheme="minorEastAsia" w:eastAsiaTheme="minorEastAsia"/>
                <w:color w:val="auto"/>
                <w:szCs w:val="21"/>
                <w:highlight w:val="none"/>
                <w:lang w:val="en-US" w:eastAsia="zh-CN"/>
              </w:rPr>
              <w:t>13</w:t>
            </w:r>
            <w:r>
              <w:rPr>
                <w:rFonts w:hint="eastAsia" w:cs="宋体" w:asciiTheme="minorEastAsia" w:hAnsiTheme="minorEastAsia" w:eastAsiaTheme="minorEastAsia"/>
                <w:color w:val="auto"/>
                <w:szCs w:val="21"/>
                <w:highlight w:val="none"/>
                <w:lang w:val="zh-CN" w:eastAsia="zh-CN"/>
              </w:rPr>
              <w:t xml:space="preserve"> 分。</w:t>
            </w:r>
          </w:p>
          <w:p>
            <w:pPr>
              <w:autoSpaceDE w:val="0"/>
              <w:autoSpaceDN w:val="0"/>
              <w:adjustRightInd w:val="0"/>
              <w:spacing w:line="276" w:lineRule="auto"/>
              <w:ind w:firstLine="0" w:firstLineChars="0"/>
              <w:rPr>
                <w:color w:val="auto"/>
                <w:szCs w:val="21"/>
                <w:highlight w:val="none"/>
                <w:lang w:val="zh-CN"/>
              </w:rPr>
            </w:pPr>
            <w:r>
              <w:rPr>
                <w:rFonts w:hint="eastAsia" w:cs="宋体" w:asciiTheme="minorEastAsia" w:hAnsiTheme="minorEastAsia" w:eastAsiaTheme="minorEastAsia"/>
                <w:color w:val="auto"/>
                <w:szCs w:val="21"/>
                <w:highlight w:val="none"/>
                <w:lang w:val="en-US" w:eastAsia="zh-CN"/>
              </w:rPr>
              <w:t>注：</w:t>
            </w:r>
            <w:r>
              <w:rPr>
                <w:rFonts w:hint="eastAsia" w:cs="宋体" w:asciiTheme="minorEastAsia" w:hAnsiTheme="minorEastAsia" w:eastAsiaTheme="minorEastAsia"/>
                <w:color w:val="auto"/>
                <w:szCs w:val="21"/>
                <w:highlight w:val="none"/>
                <w:lang w:val="zh-CN" w:eastAsia="zh-CN"/>
              </w:rPr>
              <w:t>所提供的投入人员必须为投标单位人员，各专业负责人不得兼任，</w:t>
            </w:r>
            <w:r>
              <w:rPr>
                <w:rFonts w:hint="eastAsia" w:cs="宋体" w:asciiTheme="minorEastAsia" w:hAnsiTheme="minorEastAsia" w:eastAsiaTheme="minorEastAsia"/>
                <w:color w:val="auto"/>
                <w:szCs w:val="21"/>
                <w:highlight w:val="none"/>
                <w:lang w:val="en-US" w:eastAsia="zh-CN"/>
              </w:rPr>
              <w:t>须提供</w:t>
            </w:r>
            <w:r>
              <w:rPr>
                <w:rFonts w:hint="eastAsia" w:cs="宋体" w:asciiTheme="minorEastAsia" w:hAnsiTheme="minorEastAsia" w:eastAsiaTheme="minorEastAsia"/>
                <w:color w:val="auto"/>
                <w:szCs w:val="21"/>
                <w:highlight w:val="none"/>
                <w:lang w:val="zh-CN" w:eastAsia="zh-CN"/>
              </w:rPr>
              <w:t>毕业证、职称证、注册执业资格证书、</w:t>
            </w:r>
            <w:r>
              <w:rPr>
                <w:rFonts w:hint="eastAsia" w:cs="宋体" w:asciiTheme="minorEastAsia" w:hAnsiTheme="minorEastAsia" w:eastAsiaTheme="minorEastAsia"/>
                <w:color w:val="auto"/>
                <w:szCs w:val="21"/>
                <w:highlight w:val="none"/>
                <w:lang w:val="en-US" w:eastAsia="zh-CN"/>
              </w:rPr>
              <w:t>获奖证书及2023年4月有效的社保缴费证明材料，社保证明需能反映参保人在该投标单位(或其分支机构)缴纳，否则不予计算得分。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blPrEx>
          <w:tblCellMar>
            <w:top w:w="0" w:type="dxa"/>
            <w:left w:w="108" w:type="dxa"/>
            <w:bottom w:w="0" w:type="dxa"/>
            <w:right w:w="108" w:type="dxa"/>
          </w:tblCellMar>
        </w:tblPrEx>
        <w:trPr>
          <w:trHeight w:val="107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eastAsia="宋体"/>
                <w:color w:val="auto"/>
                <w:szCs w:val="21"/>
                <w:highlight w:val="none"/>
                <w:lang w:eastAsia="zh-CN"/>
              </w:rPr>
            </w:pPr>
            <w:r>
              <w:rPr>
                <w:rFonts w:hint="eastAsia"/>
                <w:color w:val="auto"/>
                <w:szCs w:val="21"/>
                <w:highlight w:val="none"/>
                <w:lang w:val="en-US" w:eastAsia="zh-CN"/>
              </w:rPr>
              <w:t>四</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color w:val="auto"/>
                <w:szCs w:val="21"/>
                <w:highlight w:val="none"/>
                <w:lang w:val="zh-CN"/>
              </w:rPr>
            </w:pPr>
            <w:r>
              <w:rPr>
                <w:rFonts w:hint="eastAsia" w:ascii="宋体" w:cs="宋体"/>
                <w:color w:val="auto"/>
                <w:szCs w:val="21"/>
                <w:highlight w:val="none"/>
                <w:lang w:val="zh-CN"/>
              </w:rPr>
              <w:t>服务及措施</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spacing w:line="276" w:lineRule="auto"/>
              <w:rPr>
                <w:color w:val="auto"/>
                <w:szCs w:val="21"/>
                <w:highlight w:val="none"/>
              </w:rPr>
            </w:pPr>
            <w:r>
              <w:rPr>
                <w:rFonts w:hint="eastAsia" w:ascii="宋体" w:hAnsi="宋体" w:eastAsia="宋体" w:cs="宋体"/>
                <w:color w:val="auto"/>
                <w:sz w:val="21"/>
                <w:szCs w:val="21"/>
                <w:highlight w:val="none"/>
              </w:rPr>
              <w:t>有针对本项目所制定的设计进度安排、质量保证措施、协助业主确保工程质量、控制工程规模、降低工程造价、减少设计变更等措施的得</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无得</w:t>
            </w:r>
            <w:r>
              <w:rPr>
                <w:rFonts w:hint="eastAsia" w:ascii="宋体" w:hAnsi="宋体" w:eastAsia="宋体" w:cs="宋体"/>
                <w:color w:val="auto"/>
                <w:sz w:val="21"/>
                <w:szCs w:val="21"/>
                <w:highlight w:val="none"/>
                <w:u w:val="single"/>
                <w:lang w:val="zh-CN"/>
              </w:rPr>
              <w:t>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blPrEx>
          <w:tblCellMar>
            <w:top w:w="0" w:type="dxa"/>
            <w:left w:w="108" w:type="dxa"/>
            <w:bottom w:w="0" w:type="dxa"/>
            <w:right w:w="108" w:type="dxa"/>
          </w:tblCellMar>
        </w:tblPrEx>
        <w:trPr>
          <w:trHeight w:val="1425" w:hRule="atLeast"/>
        </w:trPr>
        <w:tc>
          <w:tcPr>
            <w:tcW w:w="54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hint="eastAsia" w:ascii="宋体" w:eastAsia="宋体" w:cs="宋体"/>
                <w:color w:val="auto"/>
                <w:szCs w:val="21"/>
                <w:highlight w:val="none"/>
                <w:lang w:val="zh-CN" w:eastAsia="zh-CN"/>
              </w:rPr>
            </w:pPr>
            <w:r>
              <w:rPr>
                <w:rFonts w:hint="eastAsia" w:ascii="宋体" w:cs="宋体"/>
                <w:color w:val="auto"/>
                <w:szCs w:val="21"/>
                <w:highlight w:val="none"/>
                <w:lang w:val="en-US" w:eastAsia="zh-CN"/>
              </w:rPr>
              <w:t>五</w:t>
            </w:r>
          </w:p>
        </w:tc>
        <w:tc>
          <w:tcPr>
            <w:tcW w:w="795"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ascii="宋体" w:cs="宋体"/>
                <w:color w:val="auto"/>
                <w:szCs w:val="21"/>
                <w:highlight w:val="none"/>
                <w:lang w:val="zh-CN"/>
              </w:rPr>
              <w:t>信誉</w:t>
            </w:r>
          </w:p>
        </w:tc>
        <w:tc>
          <w:tcPr>
            <w:tcW w:w="1496"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spacing w:line="276"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投标人获得省级 (或以上) 市政行业协会颁发的勘察设计企业信用等级评价证书且在有效期的AAAAA级 (或以上)，得</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分；AAAA级的，得</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分；AAA级</w:t>
            </w:r>
            <w:r>
              <w:rPr>
                <w:rFonts w:hint="eastAsia" w:ascii="宋体" w:hAnsi="宋体" w:eastAsia="宋体" w:cs="宋体"/>
                <w:color w:val="auto"/>
                <w:sz w:val="21"/>
                <w:szCs w:val="21"/>
                <w:highlight w:val="none"/>
                <w:lang w:val="en-US" w:eastAsia="zh-CN"/>
              </w:rPr>
              <w:t>及以下</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rPr>
              <w:t>不得分。本项最多得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autoSpaceDE w:val="0"/>
              <w:autoSpaceDN w:val="0"/>
              <w:adjustRightIn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注：须提供</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发证机构在“中国社会组织公共服务平台”登记的网页查询截图，否则不得分。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r>
      <w:tr>
        <w:tblPrEx>
          <w:tblCellMar>
            <w:top w:w="0" w:type="dxa"/>
            <w:left w:w="108" w:type="dxa"/>
            <w:bottom w:w="0" w:type="dxa"/>
            <w:right w:w="108" w:type="dxa"/>
          </w:tblCellMar>
        </w:tblPrEx>
        <w:trPr>
          <w:trHeight w:val="58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auto"/>
                <w:szCs w:val="21"/>
                <w:highlight w:val="none"/>
              </w:rPr>
            </w:pPr>
            <w:r>
              <w:rPr>
                <w:rFonts w:hint="eastAsia" w:ascii="宋体" w:cs="宋体"/>
                <w:color w:val="auto"/>
                <w:szCs w:val="21"/>
                <w:highlight w:val="none"/>
                <w:lang w:val="zh-CN"/>
              </w:rPr>
              <w:t>总计</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r>
      <w:tr>
        <w:tblPrEx>
          <w:tblCellMar>
            <w:top w:w="0" w:type="dxa"/>
            <w:left w:w="108" w:type="dxa"/>
            <w:bottom w:w="0" w:type="dxa"/>
            <w:right w:w="108" w:type="dxa"/>
          </w:tblCellMar>
        </w:tblPrEx>
        <w:trPr>
          <w:trHeight w:val="61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color w:val="auto"/>
                <w:szCs w:val="21"/>
                <w:highlight w:val="none"/>
                <w:lang w:val="zh-CN"/>
              </w:rPr>
            </w:pPr>
            <w:r>
              <w:rPr>
                <w:rFonts w:hint="eastAsia" w:ascii="宋体" w:cs="宋体"/>
                <w:color w:val="auto"/>
                <w:szCs w:val="21"/>
                <w:highlight w:val="none"/>
                <w:lang w:val="zh-CN"/>
              </w:rPr>
              <w:t>评审人员</w:t>
            </w:r>
          </w:p>
        </w:tc>
        <w:tc>
          <w:tcPr>
            <w:tcW w:w="123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p>
        </w:tc>
      </w:tr>
    </w:tbl>
    <w:p>
      <w:pPr>
        <w:spacing w:line="276" w:lineRule="auto"/>
        <w:jc w:val="left"/>
        <w:rPr>
          <w:rFonts w:asciiTheme="minorEastAsia" w:hAnsiTheme="minorEastAsia" w:eastAsiaTheme="minorEastAsia"/>
          <w:color w:val="000000" w:themeColor="text1"/>
          <w:szCs w:val="21"/>
          <w:highlight w:val="none"/>
          <w:u w:val="none"/>
          <w14:textFill>
            <w14:solidFill>
              <w14:schemeClr w14:val="tx1"/>
            </w14:solidFill>
          </w14:textFill>
        </w:rPr>
      </w:pPr>
      <w:r>
        <w:rPr>
          <w:rFonts w:hint="eastAsia" w:asciiTheme="minorEastAsia" w:hAnsiTheme="minorEastAsia" w:eastAsiaTheme="minorEastAsia"/>
          <w:color w:val="000000" w:themeColor="text1"/>
          <w:szCs w:val="21"/>
          <w:highlight w:val="none"/>
          <w:u w:val="none"/>
          <w:lang w:eastAsia="zh-CN"/>
          <w14:textFill>
            <w14:solidFill>
              <w14:schemeClr w14:val="tx1"/>
            </w14:solidFill>
          </w14:textFill>
        </w:rPr>
        <w:t>说明</w:t>
      </w:r>
      <w:r>
        <w:rPr>
          <w:rFonts w:hint="eastAsia" w:asciiTheme="minorEastAsia" w:hAnsiTheme="minorEastAsia" w:eastAsiaTheme="minorEastAsia"/>
          <w:color w:val="000000" w:themeColor="text1"/>
          <w:szCs w:val="21"/>
          <w:highlight w:val="none"/>
          <w:u w:val="none"/>
          <w14:textFill>
            <w14:solidFill>
              <w14:schemeClr w14:val="tx1"/>
            </w14:solidFill>
          </w14:textFill>
        </w:rPr>
        <w:t>：</w:t>
      </w:r>
    </w:p>
    <w:p>
      <w:pPr>
        <w:spacing w:line="276" w:lineRule="auto"/>
        <w:ind w:firstLine="329" w:firstLineChars="157"/>
        <w:jc w:val="left"/>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pPr>
      <w:r>
        <w:rPr>
          <w:rFonts w:hint="eastAsia" w:asciiTheme="minorEastAsia" w:hAnsiTheme="minorEastAsia" w:eastAsiaTheme="minorEastAsia"/>
          <w:color w:val="000000" w:themeColor="text1"/>
          <w:szCs w:val="21"/>
          <w:highlight w:val="none"/>
          <w:u w:val="none"/>
          <w14:textFill>
            <w14:solidFill>
              <w14:schemeClr w14:val="tx1"/>
            </w14:solidFill>
          </w14:textFill>
        </w:rPr>
        <w:t>1</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、设计类似业绩是指达到招标公告所述设计资质方能承接的市政</w:t>
      </w: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工程类</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项目</w:t>
      </w:r>
      <w:r>
        <w:rPr>
          <w:rFonts w:hint="eastAsia" w:asciiTheme="minorEastAsia" w:hAnsiTheme="minorEastAsia" w:eastAsiaTheme="minorEastAsia"/>
          <w:b w:val="0"/>
          <w:bCs w:val="0"/>
          <w:color w:val="000000" w:themeColor="text1"/>
          <w:szCs w:val="21"/>
          <w:highlight w:val="none"/>
          <w:u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包括设计或勘察</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设计或设计施工总承包或勘察设计施工总承包或PPP项目</w:t>
      </w:r>
      <w:r>
        <w:rPr>
          <w:rFonts w:hint="eastAsia" w:asciiTheme="minorEastAsia" w:hAnsiTheme="minorEastAsia" w:eastAsiaTheme="minorEastAsia"/>
          <w:b w:val="0"/>
          <w:bCs w:val="0"/>
          <w:color w:val="000000" w:themeColor="text1"/>
          <w:szCs w:val="21"/>
          <w:highlight w:val="none"/>
          <w:u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，业绩证明材料须同时提供中标通知书(或免招标证明文件)</w:t>
      </w: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和</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合同</w:t>
      </w: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关键页（包括合同封面、工程内容及签字盖章页等）</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，时间以合同签订时间为准，合同无法体现签订日期的，以中标通知书(或免招标证明文件)时间为准,否则不予计算得分。</w:t>
      </w:r>
    </w:p>
    <w:p>
      <w:pPr>
        <w:spacing w:line="276" w:lineRule="auto"/>
        <w:ind w:firstLine="329" w:firstLineChars="157"/>
        <w:jc w:val="left"/>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2、国家级奖项是指由住建部颁发的全国优秀工程勘察设计奖、国务院颁发的国家科学技术奖；行业级奖项是指中国勘察设计协会颁发的全国优秀工程勘察设计奖、</w:t>
      </w: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行业</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优秀勘察设计奖、优秀市政公用工程勘察设计奖，住建部的华夏建设科学技术奖励委员会颁发的华夏建设科学技术奖；省级奖项指省级建设行政主管部门或省级工程勘察设计行业协会颁发的优秀勘察设计奖或勘察设计成果评价、省级人民政府颁发的省科学技术奖；市（副省级）奖项指市（副省级）建设行政主管部门或市（副省级）工程勘察设计行业协会颁发的优秀勘察设计奖或勘察设计成果评价。</w:t>
      </w:r>
    </w:p>
    <w:p>
      <w:pPr>
        <w:spacing w:line="276" w:lineRule="auto"/>
        <w:ind w:firstLine="329" w:firstLineChars="157"/>
        <w:jc w:val="left"/>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3、业绩获奖</w:t>
      </w: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须</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提供获奖证书。获奖时间以证书颁发时间为准，同一项目如获得多个奖项，按最高级别计算。</w:t>
      </w:r>
    </w:p>
    <w:p>
      <w:pPr>
        <w:spacing w:line="276" w:lineRule="auto"/>
        <w:ind w:firstLine="329" w:firstLineChars="157"/>
        <w:jc w:val="left"/>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4</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、如联合体投标的，</w:t>
      </w:r>
      <w:r>
        <w:rPr>
          <w:rFonts w:hint="eastAsia" w:asciiTheme="minorEastAsia" w:hAnsiTheme="minorEastAsia" w:eastAsiaTheme="minorEastAsia"/>
          <w:b w:val="0"/>
          <w:bCs w:val="0"/>
          <w:color w:val="000000" w:themeColor="text1"/>
          <w:szCs w:val="21"/>
          <w:highlight w:val="none"/>
          <w:u w:val="none"/>
          <w:lang w:val="en-US" w:eastAsia="zh-CN"/>
          <w14:textFill>
            <w14:solidFill>
              <w14:schemeClr w14:val="tx1"/>
            </w14:solidFill>
          </w14:textFill>
        </w:rPr>
        <w:t>所有资料均</w:t>
      </w:r>
      <w:r>
        <w:rPr>
          <w:rFonts w:hint="eastAsia" w:asciiTheme="minorEastAsia" w:hAnsiTheme="minorEastAsia" w:eastAsiaTheme="minorEastAsia"/>
          <w:b w:val="0"/>
          <w:bCs w:val="0"/>
          <w:color w:val="000000" w:themeColor="text1"/>
          <w:szCs w:val="21"/>
          <w:highlight w:val="none"/>
          <w:u w:val="none"/>
          <w14:textFill>
            <w14:solidFill>
              <w14:schemeClr w14:val="tx1"/>
            </w14:solidFill>
          </w14:textFill>
        </w:rPr>
        <w:t>以联合体牵头人的资料为准。</w:t>
      </w:r>
    </w:p>
    <w:p>
      <w:pPr>
        <w:pStyle w:val="15"/>
        <w:rPr>
          <w:rFonts w:hAnsi="宋体"/>
          <w:b/>
          <w:color w:val="000000" w:themeColor="text1"/>
          <w:sz w:val="32"/>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附录13</w:t>
      </w:r>
    </w:p>
    <w:p>
      <w:pPr>
        <w:pStyle w:val="15"/>
        <w:jc w:val="center"/>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技术文件有效性审查表</w:t>
      </w:r>
    </w:p>
    <w:p>
      <w:pPr>
        <w:tabs>
          <w:tab w:val="left" w:pos="720"/>
        </w:tabs>
        <w:snapToGrid w:val="0"/>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项目名称：</w:t>
      </w:r>
    </w:p>
    <w:tbl>
      <w:tblPr>
        <w:tblStyle w:val="25"/>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设计方案编号</w:t>
            </w: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未发现投标人在设计方案内标注名称、印章、商标</w:t>
            </w:r>
            <w:r>
              <w:rPr>
                <w:rFonts w:hint="eastAsia" w:ascii="宋体" w:hAnsi="宋体" w:cs="宋体"/>
                <w:color w:val="000000" w:themeColor="text1"/>
                <w:szCs w:val="21"/>
                <w:highlight w:val="none"/>
                <w:u w:val="single"/>
                <w14:textFill>
                  <w14:solidFill>
                    <w14:schemeClr w14:val="tx1"/>
                  </w14:solidFill>
                </w14:textFill>
              </w:rPr>
              <w:t>、图形</w:t>
            </w:r>
            <w:r>
              <w:rPr>
                <w:rFonts w:hint="eastAsia" w:ascii="宋体" w:hAnsi="宋体"/>
                <w:color w:val="000000" w:themeColor="text1"/>
                <w:szCs w:val="21"/>
                <w:highlight w:val="none"/>
                <w14:textFill>
                  <w14:solidFill>
                    <w14:schemeClr w14:val="tx1"/>
                  </w14:solidFill>
                </w14:textFill>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shd w:val="pct10" w:color="auto" w:fill="FFFFFF"/>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highlight w:val="none"/>
                <w:shd w:val="pct10" w:color="auto" w:fill="FFFFFF"/>
                <w14:textFill>
                  <w14:solidFill>
                    <w14:schemeClr w14:val="tx1"/>
                  </w14:solidFill>
                </w14:textFill>
              </w:rPr>
            </w:pPr>
          </w:p>
        </w:tc>
      </w:tr>
    </w:tbl>
    <w:p>
      <w:pPr>
        <w:tabs>
          <w:tab w:val="left" w:pos="720"/>
        </w:tabs>
        <w:snapToGrid w:val="0"/>
        <w:spacing w:beforeLines="5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备注：1、根据本表的审查项目，填“是”或“否”。</w:t>
      </w:r>
    </w:p>
    <w:p>
      <w:pPr>
        <w:tabs>
          <w:tab w:val="left" w:pos="720"/>
        </w:tabs>
        <w:snapToGrid w:val="0"/>
        <w:spacing w:beforeLines="50"/>
        <w:ind w:firstLine="630" w:firstLineChars="3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2、表中出现一个或以上“否”，即该投标人的评审“结论”为“否”，即该投标人不进入下一阶段评审</w:t>
      </w:r>
      <w:r>
        <w:rPr>
          <w:rFonts w:hint="eastAsia"/>
          <w:color w:val="000000" w:themeColor="text1"/>
          <w:sz w:val="24"/>
          <w:highlight w:val="none"/>
          <w14:textFill>
            <w14:solidFill>
              <w14:schemeClr w14:val="tx1"/>
            </w14:solidFill>
          </w14:textFill>
        </w:rPr>
        <w:t>。</w:t>
      </w:r>
    </w:p>
    <w:p>
      <w:pPr>
        <w:tabs>
          <w:tab w:val="left" w:pos="720"/>
        </w:tabs>
        <w:snapToGrid w:val="0"/>
        <w:spacing w:beforeLines="50"/>
        <w:ind w:firstLine="630" w:firstLineChars="3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3、表中全部评审结果为“是”，视为同意进入下一阶段评审。</w:t>
      </w:r>
    </w:p>
    <w:p>
      <w:pPr>
        <w:tabs>
          <w:tab w:val="left" w:pos="720"/>
        </w:tabs>
        <w:snapToGrid w:val="0"/>
        <w:spacing w:beforeLines="50"/>
        <w:ind w:left="945" w:leftChars="300" w:hanging="315" w:hangingChars="15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4、若评委意见不一致时，则按少数服从多数的原则，决定该投标人是否通过符合性审查，进入下一阶段评审。</w:t>
      </w:r>
    </w:p>
    <w:p>
      <w:pPr>
        <w:tabs>
          <w:tab w:val="left" w:pos="720"/>
        </w:tabs>
        <w:snapToGrid w:val="0"/>
        <w:rPr>
          <w:rFonts w:ascii="宋体" w:hAnsi="Courier New"/>
          <w:color w:val="000000" w:themeColor="text1"/>
          <w:sz w:val="18"/>
          <w:szCs w:val="18"/>
          <w:highlight w:val="none"/>
          <w14:textFill>
            <w14:solidFill>
              <w14:schemeClr w14:val="tx1"/>
            </w14:solidFill>
          </w14:textFill>
        </w:rPr>
      </w:pPr>
    </w:p>
    <w:p>
      <w:pPr>
        <w:pStyle w:val="15"/>
        <w:rPr>
          <w:rFonts w:hAnsi="宋体"/>
          <w:b/>
          <w:color w:val="000000" w:themeColor="text1"/>
          <w:sz w:val="32"/>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评委签名：                     日期：</w:t>
      </w:r>
    </w:p>
    <w:p>
      <w:pPr>
        <w:spacing w:line="360" w:lineRule="auto"/>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rPr>
          <w:rFonts w:hAnsi="宋体" w:cs="宋体"/>
          <w:b/>
          <w:bCs/>
          <w:color w:val="000000" w:themeColor="text1"/>
          <w:sz w:val="24"/>
          <w:highlight w:val="none"/>
          <w14:textFill>
            <w14:solidFill>
              <w14:schemeClr w14:val="tx1"/>
            </w14:solidFill>
          </w14:textFill>
        </w:rPr>
      </w:pPr>
    </w:p>
    <w:p>
      <w:pPr>
        <w:rPr>
          <w:rFonts w:hAnsi="宋体" w:cs="宋体"/>
          <w:b/>
          <w:bCs/>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附录14（适用于综合评分法）</w:t>
      </w:r>
    </w:p>
    <w:p>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技术文件综合评分表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投标单位名称：</w:t>
      </w:r>
    </w:p>
    <w:tbl>
      <w:tblPr>
        <w:tblStyle w:val="25"/>
        <w:tblW w:w="1494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78"/>
        <w:gridCol w:w="722"/>
        <w:gridCol w:w="2452"/>
        <w:gridCol w:w="1816"/>
        <w:gridCol w:w="7252"/>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2520" w:type="dxa"/>
            <w:gridSpan w:val="3"/>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投标方案编号</w:t>
            </w:r>
          </w:p>
        </w:tc>
        <w:tc>
          <w:tcPr>
            <w:tcW w:w="2452"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816" w:type="dxa"/>
            <w:tcBorders>
              <w:right w:val="single" w:color="auto" w:sz="4" w:space="0"/>
            </w:tcBorders>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评标专家（签</w:t>
            </w:r>
            <w:r>
              <w:rPr>
                <w:rFonts w:hint="eastAsia"/>
                <w:color w:val="000000" w:themeColor="text1"/>
                <w:szCs w:val="21"/>
                <w:highlight w:val="none"/>
                <w:lang w:val="zh-CN"/>
                <w14:textFill>
                  <w14:solidFill>
                    <w14:schemeClr w14:val="tx1"/>
                  </w14:solidFill>
                </w14:textFill>
              </w:rPr>
              <w:t>名</w:t>
            </w:r>
            <w:r>
              <w:rPr>
                <w:color w:val="000000" w:themeColor="text1"/>
                <w:szCs w:val="21"/>
                <w:highlight w:val="none"/>
                <w:lang w:val="zh-CN"/>
                <w14:textFill>
                  <w14:solidFill>
                    <w14:schemeClr w14:val="tx1"/>
                  </w14:solidFill>
                </w14:textFill>
              </w:rPr>
              <w:t>）</w:t>
            </w:r>
          </w:p>
        </w:tc>
        <w:tc>
          <w:tcPr>
            <w:tcW w:w="8152" w:type="dxa"/>
            <w:gridSpan w:val="2"/>
            <w:tcBorders>
              <w:left w:val="single" w:color="auto" w:sz="4" w:space="0"/>
            </w:tcBorders>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20" w:type="dxa"/>
            <w:textDirection w:val="tbRlV"/>
            <w:vAlign w:val="center"/>
          </w:tcPr>
          <w:p>
            <w:pPr>
              <w:wordWrap w:val="0"/>
              <w:topLinePunct/>
              <w:spacing w:line="400" w:lineRule="exact"/>
              <w:ind w:left="113" w:right="113"/>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序号</w:t>
            </w:r>
          </w:p>
        </w:tc>
        <w:tc>
          <w:tcPr>
            <w:tcW w:w="1078" w:type="dxa"/>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项目</w:t>
            </w:r>
          </w:p>
        </w:tc>
        <w:tc>
          <w:tcPr>
            <w:tcW w:w="722" w:type="dxa"/>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分值分配</w:t>
            </w:r>
          </w:p>
        </w:tc>
        <w:tc>
          <w:tcPr>
            <w:tcW w:w="11520" w:type="dxa"/>
            <w:gridSpan w:val="3"/>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内容</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720" w:type="dxa"/>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一</w:t>
            </w:r>
          </w:p>
        </w:tc>
        <w:tc>
          <w:tcPr>
            <w:tcW w:w="1078" w:type="dxa"/>
            <w:vAlign w:val="center"/>
          </w:tcPr>
          <w:p>
            <w:pPr>
              <w:wordWrap w:val="0"/>
              <w:topLinePunct/>
              <w:spacing w:line="26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lang w:val="zh-CN"/>
                <w14:textFill>
                  <w14:solidFill>
                    <w14:schemeClr w14:val="tx1"/>
                  </w14:solidFill>
                </w14:textFill>
              </w:rPr>
              <w:t>投标文件的符合性</w:t>
            </w:r>
          </w:p>
        </w:tc>
        <w:tc>
          <w:tcPr>
            <w:tcW w:w="722" w:type="dxa"/>
            <w:vAlign w:val="center"/>
          </w:tcPr>
          <w:p>
            <w:pPr>
              <w:wordWrap w:val="0"/>
              <w:topLinePunct/>
              <w:spacing w:line="2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w:t>
            </w:r>
          </w:p>
        </w:tc>
        <w:tc>
          <w:tcPr>
            <w:tcW w:w="11520" w:type="dxa"/>
            <w:gridSpan w:val="3"/>
            <w:vAlign w:val="center"/>
          </w:tcPr>
          <w:p>
            <w:pPr>
              <w:pStyle w:val="55"/>
              <w:spacing w:line="276" w:lineRule="auto"/>
              <w:rPr>
                <w:rFonts w:hAnsi="宋体" w:cs="宋体"/>
                <w:color w:val="000000" w:themeColor="text1"/>
                <w:sz w:val="21"/>
                <w:szCs w:val="21"/>
                <w:highlight w:val="none"/>
                <w:lang w:val="zh-CN"/>
                <w14:textFill>
                  <w14:solidFill>
                    <w14:schemeClr w14:val="tx1"/>
                  </w14:solidFill>
                </w14:textFill>
              </w:rPr>
            </w:pPr>
            <w:r>
              <w:rPr>
                <w:rFonts w:hint="eastAsia" w:hAnsi="宋体" w:cs="宋体"/>
                <w:color w:val="000000" w:themeColor="text1"/>
                <w:sz w:val="21"/>
                <w:szCs w:val="21"/>
                <w:highlight w:val="none"/>
                <w:lang w:val="zh-CN"/>
                <w14:textFill>
                  <w14:solidFill>
                    <w14:schemeClr w14:val="tx1"/>
                  </w14:solidFill>
                </w14:textFill>
              </w:rPr>
              <w:t>整个设计内容符合招标文件要求，内容全面，设计总说明书文字表达清楚、思路清晰、重点和难点突出、图纸及文卷质量高。</w:t>
            </w:r>
          </w:p>
          <w:p>
            <w:pPr>
              <w:wordWrap w:val="0"/>
              <w:topLinePunct/>
              <w:spacing w:line="240" w:lineRule="exact"/>
              <w:rPr>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wordWrap w:val="0"/>
              <w:topLinePunct/>
              <w:spacing w:line="400" w:lineRule="exact"/>
              <w:jc w:val="center"/>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二</w:t>
            </w:r>
          </w:p>
        </w:tc>
        <w:tc>
          <w:tcPr>
            <w:tcW w:w="1078" w:type="dxa"/>
            <w:vMerge w:val="restart"/>
            <w:vAlign w:val="center"/>
          </w:tcPr>
          <w:p>
            <w:pPr>
              <w:wordWrap w:val="0"/>
              <w:topLinePunct/>
              <w:spacing w:line="260" w:lineRule="exact"/>
              <w:jc w:val="center"/>
              <w:rPr>
                <w:color w:val="000000" w:themeColor="text1"/>
                <w:szCs w:val="21"/>
                <w:highlight w:val="none"/>
                <w:lang w:val="zh-CN"/>
                <w14:textFill>
                  <w14:solidFill>
                    <w14:schemeClr w14:val="tx1"/>
                  </w14:solidFill>
                </w14:textFill>
              </w:rPr>
            </w:pPr>
            <w:r>
              <w:rPr>
                <w:rFonts w:ascii="宋体" w:hAnsi="宋体"/>
                <w:color w:val="000000" w:themeColor="text1"/>
                <w:szCs w:val="21"/>
                <w:highlight w:val="none"/>
                <w:lang w:val="zh-CN"/>
                <w14:textFill>
                  <w14:solidFill>
                    <w14:schemeClr w14:val="tx1"/>
                  </w14:solidFill>
                </w14:textFill>
              </w:rPr>
              <w:t>设计方案及勘察大纲</w:t>
            </w:r>
          </w:p>
        </w:tc>
        <w:tc>
          <w:tcPr>
            <w:tcW w:w="722" w:type="dxa"/>
            <w:vMerge w:val="restart"/>
            <w:vAlign w:val="center"/>
          </w:tcPr>
          <w:p>
            <w:pPr>
              <w:wordWrap w:val="0"/>
              <w:topLinePunct/>
              <w:spacing w:line="2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80</w:t>
            </w:r>
            <w:r>
              <w:rPr>
                <w:rFonts w:hint="eastAsia" w:ascii="宋体" w:hAnsi="宋体" w:cs="宋体"/>
                <w:color w:val="000000" w:themeColor="text1"/>
                <w:szCs w:val="21"/>
                <w:highlight w:val="none"/>
                <w:lang w:val="zh-CN"/>
                <w14:textFill>
                  <w14:solidFill>
                    <w14:schemeClr w14:val="tx1"/>
                  </w14:solidFill>
                </w14:textFill>
              </w:rPr>
              <w:t>]</w:t>
            </w:r>
          </w:p>
        </w:tc>
        <w:tc>
          <w:tcPr>
            <w:tcW w:w="11520" w:type="dxa"/>
            <w:gridSpan w:val="3"/>
            <w:vAlign w:val="center"/>
          </w:tcPr>
          <w:p>
            <w:pPr>
              <w:adjustRightInd w:val="0"/>
              <w:spacing w:line="276"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1、正确理解并执行规划建设意图，与周边路网、管网规划协调一致；对区域内路网的交通组织完善合理，总体思路清晰；路线平、纵、横等设计科学合理；道路、排水之间的关系处理得当。</w:t>
            </w:r>
          </w:p>
          <w:p>
            <w:pPr>
              <w:adjustRightInd w:val="0"/>
              <w:spacing w:line="276" w:lineRule="auto"/>
              <w:rPr>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r>
              <w:rPr>
                <w:rFonts w:hint="eastAsia" w:ascii="宋体" w:hAnsi="宋体" w:cs="宋体"/>
                <w:color w:val="000000" w:themeColor="text1"/>
                <w:szCs w:val="21"/>
                <w:highlight w:val="none"/>
                <w:lang w:val="zh-CN"/>
                <w14:textFill>
                  <w14:solidFill>
                    <w14:schemeClr w14:val="tx1"/>
                  </w14:solidFill>
                </w14:textFill>
              </w:rPr>
              <w:t xml:space="preserve">                                                                       </w:t>
            </w:r>
          </w:p>
        </w:tc>
        <w:tc>
          <w:tcPr>
            <w:tcW w:w="900" w:type="dxa"/>
            <w:vAlign w:val="center"/>
          </w:tcPr>
          <w:p>
            <w:pPr>
              <w:wordWrap w:val="0"/>
              <w:topLinePunct/>
              <w:spacing w:line="400" w:lineRule="exact"/>
              <w:jc w:val="center"/>
              <w:rPr>
                <w:color w:val="000000" w:themeColor="text1"/>
                <w:szCs w:val="21"/>
                <w:highlight w:val="none"/>
                <w:lang w:val="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wordWrap w:val="0"/>
              <w:topLinePunct/>
              <w:spacing w:line="400" w:lineRule="exact"/>
              <w:jc w:val="center"/>
              <w:rPr>
                <w:color w:val="000000" w:themeColor="text1"/>
                <w:szCs w:val="21"/>
                <w:highlight w:val="none"/>
                <w:lang w:val="zh-CN"/>
                <w14:textFill>
                  <w14:solidFill>
                    <w14:schemeClr w14:val="tx1"/>
                  </w14:solidFill>
                </w14:textFill>
              </w:rPr>
            </w:pPr>
          </w:p>
        </w:tc>
        <w:tc>
          <w:tcPr>
            <w:tcW w:w="1078" w:type="dxa"/>
            <w:vMerge w:val="continue"/>
            <w:textDirection w:val="tbRlV"/>
            <w:vAlign w:val="center"/>
          </w:tcPr>
          <w:p>
            <w:pPr>
              <w:wordWrap w:val="0"/>
              <w:topLinePunct/>
              <w:spacing w:line="400" w:lineRule="exact"/>
              <w:ind w:left="113" w:right="113"/>
              <w:jc w:val="center"/>
              <w:rPr>
                <w:color w:val="000000" w:themeColor="text1"/>
                <w:szCs w:val="21"/>
                <w:highlight w:val="none"/>
                <w:lang w:val="zh-CN"/>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djustRightInd w:val="0"/>
              <w:spacing w:line="276"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2、交叉节点功能定位合理；平、纵、横等设计指标符合规范且标准较高，技术措施优良。</w:t>
            </w:r>
          </w:p>
          <w:p>
            <w:pPr>
              <w:adjustRightInd w:val="0"/>
              <w:spacing w:line="276" w:lineRule="auto"/>
              <w:rPr>
                <w:rFonts w:hAnsi="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r>
              <w:rPr>
                <w:rFonts w:hint="eastAsia" w:ascii="宋体" w:hAnsi="宋体" w:cs="宋体"/>
                <w:color w:val="000000" w:themeColor="text1"/>
                <w:szCs w:val="21"/>
                <w:highlight w:val="none"/>
                <w:lang w:val="zh-CN"/>
                <w14:textFill>
                  <w14:solidFill>
                    <w14:schemeClr w14:val="tx1"/>
                  </w14:solidFill>
                </w14:textFill>
              </w:rPr>
              <w:t xml:space="preserve">                                                                   </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720"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078" w:type="dxa"/>
            <w:vMerge w:val="continue"/>
            <w:textDirection w:val="tbRlV"/>
            <w:vAlign w:val="center"/>
          </w:tcPr>
          <w:p>
            <w:pPr>
              <w:wordWrap w:val="0"/>
              <w:topLinePunct/>
              <w:spacing w:line="400" w:lineRule="exact"/>
              <w:ind w:left="113" w:right="113"/>
              <w:jc w:val="center"/>
              <w:rPr>
                <w:color w:val="000000" w:themeColor="text1"/>
                <w:szCs w:val="21"/>
                <w:highlight w:val="none"/>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djustRightInd w:val="0"/>
              <w:spacing w:line="276"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、路基路面、不良地基处理、护坡及挡土墙等基础工程的设计安全、合理、经济且能满足工期的要求；土方平衡合理。</w:t>
            </w:r>
          </w:p>
          <w:p>
            <w:pPr>
              <w:adjustRightInd w:val="0"/>
              <w:spacing w:line="276" w:lineRule="auto"/>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0"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078"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djustRightInd w:val="0"/>
              <w:spacing w:line="276"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、道路公用设施（公共交通站点布置、绿化照明、行人设施、道路元素等）设计科学合理、处理得当、特点鲜明。</w:t>
            </w:r>
          </w:p>
          <w:p>
            <w:pPr>
              <w:adjustRightInd w:val="0"/>
              <w:spacing w:line="276" w:lineRule="auto"/>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720"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078"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djustRightInd w:val="0"/>
              <w:spacing w:line="276"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CN"/>
                <w14:textFill>
                  <w14:solidFill>
                    <w14:schemeClr w14:val="tx1"/>
                  </w14:solidFill>
                </w14:textFill>
              </w:rPr>
              <w:t>综合管线的布置形式系统、合理、经济、实用；管理模式先进合理；能充分考虑与市政道路的衔接与协调。</w:t>
            </w:r>
          </w:p>
          <w:p>
            <w:pPr>
              <w:adjustRightInd w:val="0"/>
              <w:spacing w:line="276" w:lineRule="auto"/>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078"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djustRightInd w:val="0"/>
              <w:spacing w:line="276" w:lineRule="auto"/>
              <w:jc w:val="left"/>
              <w:rPr>
                <w:rFonts w:ascii="宋体" w:hAnsi="宋体"/>
                <w:b/>
                <w:color w:val="000000" w:themeColor="text1"/>
                <w:kern w:val="0"/>
                <w:szCs w:val="21"/>
                <w:highlight w:val="none"/>
                <w:u w:val="singl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p>
          <w:p>
            <w:pPr>
              <w:adjustRightInd w:val="0"/>
              <w:spacing w:line="276" w:lineRule="auto"/>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078"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djustRightInd w:val="0"/>
              <w:spacing w:line="276" w:lineRule="auto"/>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val="zh-CN"/>
                <w14:textFill>
                  <w14:solidFill>
                    <w14:schemeClr w14:val="tx1"/>
                  </w14:solidFill>
                </w14:textFill>
              </w:rPr>
              <w:t>、施工期间交通组织、施工实施方案切合实际。</w:t>
            </w:r>
          </w:p>
          <w:p>
            <w:pPr>
              <w:adjustRightInd w:val="0"/>
              <w:spacing w:line="276" w:lineRule="auto"/>
              <w:rPr>
                <w:rFonts w:hint="eastAsia" w:ascii="Times New Roman" w:hAnsi="Times New Roman" w:eastAsia="宋体" w:cs="Times New Roman"/>
                <w:color w:val="000000" w:themeColor="text1"/>
                <w:kern w:val="2"/>
                <w:sz w:val="21"/>
                <w:szCs w:val="21"/>
                <w:highlight w:val="none"/>
                <w:lang w:val="zh-CN"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优得[5-4.5)分，良得[4.5-4)分，中得[4-3.5)分，一般得[3.5-3]分，无得0分。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20"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078"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djustRightInd w:val="0"/>
              <w:spacing w:line="276" w:lineRule="auto"/>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zh-CN"/>
                <w14:textFill>
                  <w14:solidFill>
                    <w14:schemeClr w14:val="tx1"/>
                  </w14:solidFill>
                </w14:textFill>
              </w:rPr>
              <w:t>、工程建设和使用的重点、难点分析透彻，解决措施合理。有树木迁移保护专项措施。</w:t>
            </w:r>
          </w:p>
          <w:p>
            <w:pPr>
              <w:adjustRightInd w:val="0"/>
              <w:spacing w:line="276" w:lineRule="auto"/>
              <w:jc w:val="left"/>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优得[10-9)分，良得[9-8)分，中得[8-7)分，一般得[7-6]分，无得0分。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078"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722" w:type="dxa"/>
            <w:vMerge w:val="continue"/>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11520" w:type="dxa"/>
            <w:gridSpan w:val="3"/>
            <w:vAlign w:val="center"/>
          </w:tcPr>
          <w:p>
            <w:pPr>
              <w:autoSpaceDE w:val="0"/>
              <w:autoSpaceDN w:val="0"/>
              <w:adjustRightInd w:val="0"/>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9、勘察方案合理可行，勘察的重点、难点理解准确，建议合理可行；勘察工作流程规范，工期进度计划合理可行。</w:t>
            </w:r>
          </w:p>
          <w:p>
            <w:pPr>
              <w:adjustRightInd w:val="0"/>
              <w:spacing w:line="276" w:lineRule="auto"/>
              <w:jc w:val="left"/>
              <w:rPr>
                <w:rFonts w:hint="eastAsia" w:ascii="宋体" w:hAnsi="宋体" w:eastAsia="宋体" w:cs="宋体"/>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优得[5-4.5)分，良得[4.5-4)分，中得[4-3.5)分，一般得[3.5-3]分，无得0分。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Merge w:val="restart"/>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三</w:t>
            </w:r>
          </w:p>
        </w:tc>
        <w:tc>
          <w:tcPr>
            <w:tcW w:w="1078" w:type="dxa"/>
            <w:vMerge w:val="restart"/>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投资控制</w:t>
            </w:r>
          </w:p>
        </w:tc>
        <w:tc>
          <w:tcPr>
            <w:tcW w:w="722" w:type="dxa"/>
            <w:vMerge w:val="restart"/>
            <w:vAlign w:val="center"/>
          </w:tcPr>
          <w:p>
            <w:pPr>
              <w:wordWrap w:val="0"/>
              <w:topLinePunct/>
              <w:spacing w:line="2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w:t>
            </w:r>
          </w:p>
        </w:tc>
        <w:tc>
          <w:tcPr>
            <w:tcW w:w="11520" w:type="dxa"/>
            <w:gridSpan w:val="3"/>
            <w:vAlign w:val="center"/>
          </w:tcPr>
          <w:p>
            <w:pPr>
              <w:tabs>
                <w:tab w:val="left" w:pos="315"/>
              </w:tabs>
              <w:wordWrap w:val="0"/>
              <w:topLinePunct/>
              <w:adjustRightInd w:val="0"/>
              <w:spacing w:line="276"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1、工程总投资合理，节约工程总投资的措施及理由合理、可信、可行。</w:t>
            </w:r>
          </w:p>
          <w:p>
            <w:pPr>
              <w:autoSpaceDE w:val="0"/>
              <w:autoSpaceDN w:val="0"/>
              <w:adjustRightInd w:val="0"/>
              <w:spacing w:line="276" w:lineRule="auto"/>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优得[5-4.5)分，良得[4.5-4)分，中得[4-3.5)分，一般得[3.5-3]分，无得0分。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Merge w:val="continue"/>
            <w:vAlign w:val="center"/>
          </w:tcPr>
          <w:p>
            <w:pPr>
              <w:wordWrap w:val="0"/>
              <w:topLinePunct/>
              <w:spacing w:line="400" w:lineRule="exact"/>
              <w:jc w:val="center"/>
              <w:rPr>
                <w:color w:val="000000" w:themeColor="text1"/>
                <w:szCs w:val="21"/>
                <w:highlight w:val="none"/>
                <w:lang w:val="zh-CN"/>
                <w14:textFill>
                  <w14:solidFill>
                    <w14:schemeClr w14:val="tx1"/>
                  </w14:solidFill>
                </w14:textFill>
              </w:rPr>
            </w:pPr>
          </w:p>
        </w:tc>
        <w:tc>
          <w:tcPr>
            <w:tcW w:w="1078" w:type="dxa"/>
            <w:vMerge w:val="continue"/>
            <w:vAlign w:val="center"/>
          </w:tcPr>
          <w:p>
            <w:pPr>
              <w:wordWrap w:val="0"/>
              <w:topLinePunct/>
              <w:spacing w:line="400" w:lineRule="exact"/>
              <w:jc w:val="center"/>
              <w:rPr>
                <w:color w:val="000000" w:themeColor="text1"/>
                <w:szCs w:val="21"/>
                <w:highlight w:val="none"/>
                <w:lang w:val="zh-CN"/>
                <w14:textFill>
                  <w14:solidFill>
                    <w14:schemeClr w14:val="tx1"/>
                  </w14:solidFill>
                </w14:textFill>
              </w:rPr>
            </w:pPr>
          </w:p>
        </w:tc>
        <w:tc>
          <w:tcPr>
            <w:tcW w:w="722" w:type="dxa"/>
            <w:vMerge w:val="continue"/>
            <w:vAlign w:val="center"/>
          </w:tcPr>
          <w:p>
            <w:pPr>
              <w:wordWrap w:val="0"/>
              <w:topLinePunct/>
              <w:spacing w:line="260" w:lineRule="exact"/>
              <w:jc w:val="center"/>
              <w:rPr>
                <w:rFonts w:hint="eastAsia" w:ascii="宋体" w:hAnsi="宋体" w:cs="宋体"/>
                <w:color w:val="000000" w:themeColor="text1"/>
                <w:szCs w:val="21"/>
                <w:highlight w:val="none"/>
                <w:lang w:val="zh-CN"/>
                <w14:textFill>
                  <w14:solidFill>
                    <w14:schemeClr w14:val="tx1"/>
                  </w14:solidFill>
                </w14:textFill>
              </w:rPr>
            </w:pPr>
          </w:p>
        </w:tc>
        <w:tc>
          <w:tcPr>
            <w:tcW w:w="11520" w:type="dxa"/>
            <w:gridSpan w:val="3"/>
            <w:vAlign w:val="center"/>
          </w:tcPr>
          <w:p>
            <w:pPr>
              <w:wordWrap w:val="0"/>
              <w:topLinePunct/>
              <w:adjustRightIn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2、投资估算编制依据正确，达到相应的深度要求，编制质量高。</w:t>
            </w:r>
          </w:p>
          <w:p>
            <w:pPr>
              <w:autoSpaceDE w:val="0"/>
              <w:autoSpaceDN w:val="0"/>
              <w:adjustRightInd w:val="0"/>
              <w:spacing w:line="276"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优得[5-4.5)分，良得[4.5-4)分，中得[4-3.5)分，一般得[3.5-3]分，无得0分。</w:t>
            </w: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798" w:type="dxa"/>
            <w:gridSpan w:val="2"/>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总计</w:t>
            </w:r>
          </w:p>
        </w:tc>
        <w:tc>
          <w:tcPr>
            <w:tcW w:w="722" w:type="dxa"/>
            <w:vAlign w:val="center"/>
          </w:tcPr>
          <w:p>
            <w:pPr>
              <w:wordWrap w:val="0"/>
              <w:topLinePunct/>
              <w:spacing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11520" w:type="dxa"/>
            <w:gridSpan w:val="3"/>
            <w:vAlign w:val="center"/>
          </w:tcPr>
          <w:p>
            <w:pPr>
              <w:wordWrap w:val="0"/>
              <w:topLinePunct/>
              <w:spacing w:line="400" w:lineRule="exact"/>
              <w:jc w:val="center"/>
              <w:rPr>
                <w:color w:val="000000" w:themeColor="text1"/>
                <w:szCs w:val="21"/>
                <w:highlight w:val="none"/>
                <w14:textFill>
                  <w14:solidFill>
                    <w14:schemeClr w14:val="tx1"/>
                  </w14:solidFill>
                </w14:textFill>
              </w:rPr>
            </w:pPr>
          </w:p>
        </w:tc>
        <w:tc>
          <w:tcPr>
            <w:tcW w:w="900" w:type="dxa"/>
            <w:vAlign w:val="center"/>
          </w:tcPr>
          <w:p>
            <w:pPr>
              <w:wordWrap w:val="0"/>
              <w:topLinePunct/>
              <w:spacing w:line="400" w:lineRule="exact"/>
              <w:jc w:val="center"/>
              <w:rPr>
                <w:color w:val="000000" w:themeColor="text1"/>
                <w:szCs w:val="21"/>
                <w:highlight w:val="none"/>
                <w14:textFill>
                  <w14:solidFill>
                    <w14:schemeClr w14:val="tx1"/>
                  </w14:solidFill>
                </w14:textFill>
              </w:rPr>
            </w:pPr>
          </w:p>
        </w:tc>
      </w:tr>
    </w:tbl>
    <w:p>
      <w:pP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注：本表按百分制评分，评标委员会专家评出各投标人技术文件的分数，去掉一个最高分和一个最低分后计取算术平均分，得出每个投标人技术文件的得分，分数出现小数点，保留小数点后二位，第三位小数四舍五入。</w:t>
      </w:r>
    </w:p>
    <w:p>
      <w:pPr>
        <w:wordWrap w:val="0"/>
        <w:topLinePunct/>
        <w:spacing w:line="360" w:lineRule="auto"/>
        <w:rPr>
          <w:rFonts w:ascii="宋体" w:hAnsi="宋体" w:cs="宋体"/>
          <w:color w:val="000000" w:themeColor="text1"/>
          <w:highlight w:val="none"/>
          <w14:textFill>
            <w14:solidFill>
              <w14:schemeClr w14:val="tx1"/>
            </w14:solidFill>
          </w14:textFill>
        </w:rPr>
        <w:sectPr>
          <w:footerReference r:id="rId8" w:type="default"/>
          <w:pgSz w:w="16838" w:h="11905" w:orient="landscape"/>
          <w:pgMar w:top="1134" w:right="1440" w:bottom="1134" w:left="1440" w:header="851" w:footer="992" w:gutter="0"/>
          <w:cols w:space="0" w:num="1"/>
          <w:docGrid w:type="lines" w:linePitch="321" w:charSpace="0"/>
        </w:sectPr>
      </w:pPr>
    </w:p>
    <w:p>
      <w:pPr>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附录15</w:t>
      </w:r>
    </w:p>
    <w:p>
      <w:pPr>
        <w:jc w:val="center"/>
        <w:rPr>
          <w:rFonts w:ascii="宋体" w:hAns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基础资料和设计任务书</w:t>
      </w:r>
    </w:p>
    <w:p>
      <w:pPr>
        <w:spacing w:line="360" w:lineRule="auto"/>
        <w:ind w:left="210" w:leftChars="100"/>
        <w:rPr>
          <w:rFonts w:ascii="宋体" w:hAnsi="宋体"/>
          <w:color w:val="000000" w:themeColor="text1"/>
          <w:szCs w:val="21"/>
          <w:highlight w:val="none"/>
          <w14:textFill>
            <w14:solidFill>
              <w14:schemeClr w14:val="tx1"/>
            </w14:solidFill>
          </w14:textFill>
        </w:rPr>
      </w:pPr>
      <w:bookmarkStart w:id="4" w:name="_Toc354480984"/>
      <w:bookmarkStart w:id="5" w:name="_Toc430950315"/>
      <w:bookmarkStart w:id="6" w:name="_Toc372241590"/>
      <w:r>
        <w:rPr>
          <w:rFonts w:hint="eastAsia" w:ascii="宋体" w:hAnsi="宋体"/>
          <w:color w:val="000000" w:themeColor="text1"/>
          <w:szCs w:val="21"/>
          <w:highlight w:val="none"/>
          <w14:textFill>
            <w14:solidFill>
              <w14:schemeClr w14:val="tx1"/>
            </w14:solidFill>
          </w14:textFill>
        </w:rPr>
        <w:t>一、项目概况</w:t>
      </w:r>
      <w:bookmarkEnd w:id="4"/>
      <w:bookmarkEnd w:id="5"/>
      <w:bookmarkEnd w:id="6"/>
    </w:p>
    <w:p>
      <w:pPr>
        <w:spacing w:line="360" w:lineRule="auto"/>
        <w:ind w:left="210" w:leftChars="100" w:firstLine="420" w:firstLineChars="200"/>
        <w:rPr>
          <w:rFonts w:hint="eastAsia" w:ascii="宋体" w:hAnsi="宋体"/>
          <w:color w:val="000000" w:themeColor="text1"/>
          <w:szCs w:val="21"/>
          <w:highlight w:val="none"/>
          <w:lang w:eastAsia="zh-CN"/>
          <w14:textFill>
            <w14:solidFill>
              <w14:schemeClr w14:val="tx1"/>
            </w14:solidFill>
          </w14:textFill>
        </w:rPr>
      </w:pPr>
      <w:bookmarkStart w:id="7" w:name="_Toc238270223"/>
      <w:r>
        <w:rPr>
          <w:rFonts w:ascii="宋体" w:hAnsi="宋体"/>
          <w:color w:val="000000" w:themeColor="text1"/>
          <w:szCs w:val="21"/>
          <w:highlight w:val="none"/>
          <w14:textFill>
            <w14:solidFill>
              <w14:schemeClr w14:val="tx1"/>
            </w14:solidFill>
          </w14:textFill>
        </w:rPr>
        <w:t>1、项目名称</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仙村镇蓝山三路建设工程勘察设计</w:t>
      </w:r>
    </w:p>
    <w:p>
      <w:pPr>
        <w:spacing w:line="360" w:lineRule="auto"/>
        <w:ind w:left="210" w:leftChars="100"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2、项目位置：</w:t>
      </w:r>
      <w:r>
        <w:rPr>
          <w:rFonts w:hint="eastAsia" w:ascii="宋体" w:hAnsi="宋体"/>
          <w:color w:val="000000" w:themeColor="text1"/>
          <w:szCs w:val="21"/>
          <w:highlight w:val="none"/>
          <w:lang w:val="en-US" w:eastAsia="zh-CN"/>
          <w14:textFill>
            <w14:solidFill>
              <w14:schemeClr w14:val="tx1"/>
            </w14:solidFill>
          </w14:textFill>
        </w:rPr>
        <w:t>本项目位于增城区仙村镇</w:t>
      </w:r>
    </w:p>
    <w:p>
      <w:pPr>
        <w:spacing w:line="360" w:lineRule="auto"/>
        <w:ind w:left="210" w:leftChars="100"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3、项目概况：</w:t>
      </w:r>
      <w:r>
        <w:rPr>
          <w:rFonts w:hint="eastAsia" w:ascii="宋体" w:hAnsi="宋体"/>
          <w:color w:val="000000" w:themeColor="text1"/>
          <w:szCs w:val="21"/>
          <w:highlight w:val="none"/>
          <w:lang w:val="en-US" w:eastAsia="zh-CN"/>
          <w14:textFill>
            <w14:solidFill>
              <w14:schemeClr w14:val="tx1"/>
            </w14:solidFill>
          </w14:textFill>
        </w:rPr>
        <w:t>本项目道路全长约2.3km，西起仙村大道，东至规划石新路，宽30米，城市次干路，设计速度50km/h，建设内容包括：道路工程、桥涵工程、给排水工程、结构工程、交通工程、电气工程（含照明）、景观工程等。</w:t>
      </w:r>
    </w:p>
    <w:p>
      <w:pPr>
        <w:spacing w:line="360" w:lineRule="auto"/>
        <w:ind w:left="210" w:leftChars="100"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4、本项目估算总造价27055.42万元，其中建安费约19866.38万元。</w:t>
      </w:r>
    </w:p>
    <w:p>
      <w:pPr>
        <w:spacing w:line="360" w:lineRule="auto"/>
        <w:ind w:left="210" w:leftChars="100"/>
        <w:rPr>
          <w:rFonts w:ascii="宋体" w:hAnsi="宋体"/>
          <w:color w:val="000000" w:themeColor="text1"/>
          <w:szCs w:val="21"/>
          <w:highlight w:val="none"/>
          <w14:textFill>
            <w14:solidFill>
              <w14:schemeClr w14:val="tx1"/>
            </w14:solidFill>
          </w14:textFill>
        </w:rPr>
      </w:pPr>
      <w:bookmarkStart w:id="8" w:name="_Toc372241593"/>
      <w:bookmarkStart w:id="9" w:name="_Toc354480987"/>
      <w:bookmarkStart w:id="10" w:name="_Toc309897959"/>
      <w:bookmarkStart w:id="11" w:name="_Toc351107060"/>
      <w:bookmarkStart w:id="12" w:name="_Toc309898035"/>
      <w:bookmarkStart w:id="13" w:name="_Toc238270225"/>
      <w:bookmarkStart w:id="14" w:name="_Toc310950801"/>
      <w:bookmarkStart w:id="15" w:name="_Toc317452086"/>
      <w:bookmarkStart w:id="16" w:name="_Toc430950318"/>
      <w:r>
        <w:rPr>
          <w:rFonts w:hint="eastAsia" w:ascii="宋体" w:hAnsi="宋体"/>
          <w:color w:val="000000" w:themeColor="text1"/>
          <w:szCs w:val="21"/>
          <w:highlight w:val="none"/>
          <w14:textFill>
            <w14:solidFill>
              <w14:schemeClr w14:val="tx1"/>
            </w14:solidFill>
          </w14:textFill>
        </w:rPr>
        <w:t>二、技术经济指标</w:t>
      </w:r>
      <w:bookmarkEnd w:id="8"/>
      <w:bookmarkEnd w:id="9"/>
      <w:bookmarkEnd w:id="10"/>
      <w:bookmarkEnd w:id="11"/>
      <w:bookmarkEnd w:id="12"/>
      <w:bookmarkEnd w:id="13"/>
      <w:bookmarkEnd w:id="14"/>
      <w:bookmarkEnd w:id="15"/>
      <w:bookmarkEnd w:id="16"/>
    </w:p>
    <w:p>
      <w:pPr>
        <w:spacing w:line="360" w:lineRule="auto"/>
        <w:ind w:left="210" w:leftChars="100" w:firstLine="359" w:firstLineChars="171"/>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、设计道路等级：</w:t>
      </w:r>
      <w:r>
        <w:rPr>
          <w:rFonts w:hint="eastAsia" w:ascii="宋体" w:hAnsi="宋体"/>
          <w:color w:val="000000" w:themeColor="text1"/>
          <w:szCs w:val="21"/>
          <w:highlight w:val="none"/>
          <w:lang w:val="en-US" w:eastAsia="zh-CN"/>
          <w14:textFill>
            <w14:solidFill>
              <w14:schemeClr w14:val="tx1"/>
            </w14:solidFill>
          </w14:textFill>
        </w:rPr>
        <w:t>城市次干路</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210" w:leftChars="100" w:firstLine="359" w:firstLine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2、道路标准红线宽：</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米；</w:t>
      </w:r>
    </w:p>
    <w:p>
      <w:pPr>
        <w:spacing w:line="360" w:lineRule="auto"/>
        <w:ind w:left="210" w:leftChars="100" w:firstLine="359" w:firstLine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3、设计道路长度：</w:t>
      </w:r>
      <w:r>
        <w:rPr>
          <w:rFonts w:hint="eastAsia" w:ascii="宋体" w:hAnsi="宋体"/>
          <w:color w:val="000000" w:themeColor="text1"/>
          <w:szCs w:val="21"/>
          <w:highlight w:val="none"/>
          <w:lang w:val="en-US" w:eastAsia="zh-CN"/>
          <w14:textFill>
            <w14:solidFill>
              <w14:schemeClr w14:val="tx1"/>
            </w14:solidFill>
          </w14:textFill>
        </w:rPr>
        <w:t>2.3公里</w:t>
      </w:r>
      <w:r>
        <w:rPr>
          <w:rFonts w:hint="eastAsia" w:ascii="宋体" w:hAnsi="宋体"/>
          <w:color w:val="000000" w:themeColor="text1"/>
          <w:szCs w:val="21"/>
          <w:highlight w:val="none"/>
          <w14:textFill>
            <w14:solidFill>
              <w14:schemeClr w14:val="tx1"/>
            </w14:solidFill>
          </w14:textFill>
        </w:rPr>
        <w:t>；</w:t>
      </w:r>
    </w:p>
    <w:p>
      <w:pPr>
        <w:spacing w:line="360" w:lineRule="auto"/>
        <w:ind w:left="210" w:leftChars="100" w:firstLine="359" w:firstLine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4、设计计算行车速度：</w:t>
      </w:r>
      <w:r>
        <w:rPr>
          <w:rFonts w:hint="eastAsia" w:ascii="宋体" w:hAnsi="宋体"/>
          <w:color w:val="000000" w:themeColor="text1"/>
          <w:szCs w:val="21"/>
          <w:highlight w:val="none"/>
          <w:lang w:val="en-US" w:eastAsia="zh-CN"/>
          <w14:textFill>
            <w14:solidFill>
              <w14:schemeClr w14:val="tx1"/>
            </w14:solidFill>
          </w14:textFill>
        </w:rPr>
        <w:t>50km/h</w:t>
      </w:r>
      <w:r>
        <w:rPr>
          <w:rFonts w:hint="eastAsia" w:ascii="宋体" w:hAnsi="宋体"/>
          <w:color w:val="000000" w:themeColor="text1"/>
          <w:szCs w:val="21"/>
          <w:highlight w:val="none"/>
          <w14:textFill>
            <w14:solidFill>
              <w14:schemeClr w14:val="tx1"/>
            </w14:solidFill>
          </w14:textFill>
        </w:rPr>
        <w:t>。</w:t>
      </w:r>
    </w:p>
    <w:p>
      <w:pPr>
        <w:spacing w:line="360" w:lineRule="auto"/>
        <w:ind w:left="210" w:leftChars="100"/>
        <w:rPr>
          <w:rFonts w:ascii="宋体" w:hAnsi="宋体"/>
          <w:color w:val="000000" w:themeColor="text1"/>
          <w:szCs w:val="21"/>
          <w:highlight w:val="none"/>
          <w14:textFill>
            <w14:solidFill>
              <w14:schemeClr w14:val="tx1"/>
            </w14:solidFill>
          </w14:textFill>
        </w:rPr>
      </w:pPr>
      <w:bookmarkStart w:id="17" w:name="_Toc354480985"/>
      <w:bookmarkStart w:id="18" w:name="_Toc372241591"/>
      <w:bookmarkStart w:id="19" w:name="_Toc430950316"/>
      <w:r>
        <w:rPr>
          <w:rFonts w:hint="eastAsia" w:ascii="宋体" w:hAnsi="宋体"/>
          <w:color w:val="000000" w:themeColor="text1"/>
          <w:szCs w:val="21"/>
          <w:highlight w:val="none"/>
          <w14:textFill>
            <w14:solidFill>
              <w14:schemeClr w14:val="tx1"/>
            </w14:solidFill>
          </w14:textFill>
        </w:rPr>
        <w:t>三、</w:t>
      </w:r>
      <w:bookmarkEnd w:id="17"/>
      <w:bookmarkEnd w:id="18"/>
      <w:bookmarkEnd w:id="19"/>
      <w:bookmarkStart w:id="20" w:name="_Toc430950317"/>
      <w:bookmarkStart w:id="21" w:name="_Toc372241592"/>
      <w:bookmarkStart w:id="22" w:name="_Toc354480986"/>
      <w:r>
        <w:rPr>
          <w:rFonts w:hint="eastAsia" w:ascii="宋体" w:hAnsi="宋体"/>
          <w:color w:val="000000" w:themeColor="text1"/>
          <w:szCs w:val="21"/>
          <w:highlight w:val="none"/>
          <w14:textFill>
            <w14:solidFill>
              <w14:schemeClr w14:val="tx1"/>
            </w14:solidFill>
          </w14:textFill>
        </w:rPr>
        <w:t>设计依据和标准</w:t>
      </w:r>
      <w:bookmarkEnd w:id="7"/>
      <w:bookmarkEnd w:id="20"/>
      <w:bookmarkEnd w:id="21"/>
      <w:bookmarkEnd w:id="22"/>
    </w:p>
    <w:p>
      <w:pPr>
        <w:tabs>
          <w:tab w:val="left" w:pos="108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本项设计项目各阶段的设计文件必须符合现行中华人民共和国以及行业的一切法规、规范要求，包括但不限于：</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1、本工程设计依据</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1）本工程的设计任务书；</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2）规划及国土提供的用地红线图；</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2、本工程的设计标准及主要设计规范：</w:t>
      </w:r>
    </w:p>
    <w:p>
      <w:pPr>
        <w:tabs>
          <w:tab w:val="left" w:pos="108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本工程设计的各阶段设计文件必须符合现行中华人民共和国以及行业的相关法规、规范要求，包括但不限于：</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《城市道路工程设计规范》</w:t>
      </w:r>
      <w:r>
        <w:rPr>
          <w:rFonts w:ascii="宋体" w:hAnsi="宋体"/>
          <w:color w:val="000000" w:themeColor="text1"/>
          <w:szCs w:val="21"/>
          <w:highlight w:val="none"/>
          <w14:textFill>
            <w14:solidFill>
              <w14:schemeClr w14:val="tx1"/>
            </w14:solidFill>
          </w14:textFill>
        </w:rPr>
        <w:t>CJJ37-2012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2016 </w:t>
      </w:r>
      <w:r>
        <w:rPr>
          <w:rFonts w:hint="eastAsia" w:ascii="宋体" w:hAnsi="宋体"/>
          <w:color w:val="000000" w:themeColor="text1"/>
          <w:szCs w:val="21"/>
          <w:highlight w:val="none"/>
          <w14:textFill>
            <w14:solidFill>
              <w14:schemeClr w14:val="tx1"/>
            </w14:solidFill>
          </w14:textFill>
        </w:rPr>
        <w:t xml:space="preserve">年版）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《城市道路路线设计规范》</w:t>
      </w:r>
      <w:r>
        <w:rPr>
          <w:rFonts w:ascii="宋体" w:hAnsi="宋体"/>
          <w:color w:val="000000" w:themeColor="text1"/>
          <w:szCs w:val="21"/>
          <w:highlight w:val="none"/>
          <w14:textFill>
            <w14:solidFill>
              <w14:schemeClr w14:val="tx1"/>
            </w14:solidFill>
          </w14:textFill>
        </w:rPr>
        <w:t xml:space="preserve">CJJ193-2012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《城市道路路基设计规范》</w:t>
      </w:r>
      <w:r>
        <w:rPr>
          <w:rFonts w:ascii="宋体" w:hAnsi="宋体"/>
          <w:color w:val="000000" w:themeColor="text1"/>
          <w:szCs w:val="21"/>
          <w:highlight w:val="none"/>
          <w14:textFill>
            <w14:solidFill>
              <w14:schemeClr w14:val="tx1"/>
            </w14:solidFill>
          </w14:textFill>
        </w:rPr>
        <w:t xml:space="preserve">CJJ194-2013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《城镇道路路面设计规范》</w:t>
      </w:r>
      <w:r>
        <w:rPr>
          <w:rFonts w:ascii="宋体" w:hAnsi="宋体"/>
          <w:color w:val="000000" w:themeColor="text1"/>
          <w:szCs w:val="21"/>
          <w:highlight w:val="none"/>
          <w14:textFill>
            <w14:solidFill>
              <w14:schemeClr w14:val="tx1"/>
            </w14:solidFill>
          </w14:textFill>
        </w:rPr>
        <w:t xml:space="preserve">CJJ169-2012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《城市道路交叉口设计规程》</w:t>
      </w:r>
      <w:r>
        <w:rPr>
          <w:rFonts w:ascii="宋体" w:hAnsi="宋体"/>
          <w:color w:val="000000" w:themeColor="text1"/>
          <w:szCs w:val="21"/>
          <w:highlight w:val="none"/>
          <w14:textFill>
            <w14:solidFill>
              <w14:schemeClr w14:val="tx1"/>
            </w14:solidFill>
          </w14:textFill>
        </w:rPr>
        <w:t xml:space="preserve">CJJ152-2010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 《无障碍设计规范》</w:t>
      </w:r>
      <w:r>
        <w:rPr>
          <w:rFonts w:ascii="宋体" w:hAnsi="宋体"/>
          <w:color w:val="000000" w:themeColor="text1"/>
          <w:szCs w:val="21"/>
          <w:highlight w:val="none"/>
          <w14:textFill>
            <w14:solidFill>
              <w14:schemeClr w14:val="tx1"/>
            </w14:solidFill>
          </w14:textFill>
        </w:rPr>
        <w:t xml:space="preserve">GB50763-2012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《城镇道路工程施工与质量验收规范》</w:t>
      </w:r>
      <w:r>
        <w:rPr>
          <w:rFonts w:ascii="宋体" w:hAnsi="宋体"/>
          <w:color w:val="000000" w:themeColor="text1"/>
          <w:szCs w:val="21"/>
          <w:highlight w:val="none"/>
          <w14:textFill>
            <w14:solidFill>
              <w14:schemeClr w14:val="tx1"/>
            </w14:solidFill>
          </w14:textFill>
        </w:rPr>
        <w:t xml:space="preserve">CJJ1-2008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《城市道路交通设施设计规范》（</w:t>
      </w:r>
      <w:r>
        <w:rPr>
          <w:rFonts w:ascii="宋体" w:hAnsi="宋体"/>
          <w:color w:val="000000" w:themeColor="text1"/>
          <w:szCs w:val="21"/>
          <w:highlight w:val="none"/>
          <w14:textFill>
            <w14:solidFill>
              <w14:schemeClr w14:val="tx1"/>
            </w14:solidFill>
          </w14:textFill>
        </w:rPr>
        <w:t>GB50688-2011</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《广州市城市规划管理技术标准与准则》（试行）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 xml:space="preserve">） 《广州市道路交通指路标志系统实施技术指引》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）《道路交通标志和标线》</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第一部分～第三部分</w:t>
      </w:r>
      <w:r>
        <w:rPr>
          <w:rFonts w:ascii="宋体" w:hAnsi="宋体"/>
          <w:color w:val="000000" w:themeColor="text1"/>
          <w:szCs w:val="21"/>
          <w:highlight w:val="none"/>
          <w14:textFill>
            <w14:solidFill>
              <w14:schemeClr w14:val="tx1"/>
            </w14:solidFill>
          </w14:textFill>
        </w:rPr>
        <w:t xml:space="preserve">)GB5768-2009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 《城镇给水排水技术规范》</w:t>
      </w:r>
      <w:r>
        <w:rPr>
          <w:rFonts w:ascii="宋体" w:hAnsi="宋体"/>
          <w:color w:val="000000" w:themeColor="text1"/>
          <w:szCs w:val="21"/>
          <w:highlight w:val="none"/>
          <w14:textFill>
            <w14:solidFill>
              <w14:schemeClr w14:val="tx1"/>
            </w14:solidFill>
          </w14:textFill>
        </w:rPr>
        <w:t xml:space="preserve">(GB50788-2012)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13</w:t>
      </w:r>
      <w:r>
        <w:rPr>
          <w:rFonts w:hint="eastAsia" w:ascii="宋体" w:hAnsi="宋体"/>
          <w:color w:val="000000" w:themeColor="text1"/>
          <w:szCs w:val="21"/>
          <w:highlight w:val="none"/>
          <w14:textFill>
            <w14:solidFill>
              <w14:schemeClr w14:val="tx1"/>
            </w14:solidFill>
          </w14:textFill>
        </w:rPr>
        <w:t>） 《室外排水设计规范》</w:t>
      </w:r>
      <w:r>
        <w:rPr>
          <w:rFonts w:ascii="宋体" w:hAnsi="宋体"/>
          <w:color w:val="000000" w:themeColor="text1"/>
          <w:szCs w:val="21"/>
          <w:highlight w:val="none"/>
          <w14:textFill>
            <w14:solidFill>
              <w14:schemeClr w14:val="tx1"/>
            </w14:solidFill>
          </w14:textFill>
        </w:rPr>
        <w:t xml:space="preserve">(GB50014-2006)2016 </w:t>
      </w:r>
      <w:r>
        <w:rPr>
          <w:rFonts w:hint="eastAsia" w:ascii="宋体" w:hAnsi="宋体"/>
          <w:color w:val="000000" w:themeColor="text1"/>
          <w:szCs w:val="21"/>
          <w:highlight w:val="none"/>
          <w14:textFill>
            <w14:solidFill>
              <w14:schemeClr w14:val="tx1"/>
            </w14:solidFill>
          </w14:textFill>
        </w:rPr>
        <w:t xml:space="preserve">版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 《给排水管道工程施工及验收规范》</w:t>
      </w:r>
      <w:r>
        <w:rPr>
          <w:rFonts w:ascii="宋体" w:hAnsi="宋体"/>
          <w:color w:val="000000" w:themeColor="text1"/>
          <w:szCs w:val="21"/>
          <w:highlight w:val="none"/>
          <w14:textFill>
            <w14:solidFill>
              <w14:schemeClr w14:val="tx1"/>
            </w14:solidFill>
          </w14:textFill>
        </w:rPr>
        <w:t xml:space="preserve">(GB50268-2008)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 《印发〈广州市排水管理办法实施细则〉的通知》</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穗水〔</w:t>
      </w:r>
      <w:r>
        <w:rPr>
          <w:rFonts w:ascii="宋体" w:hAnsi="宋体"/>
          <w:color w:val="000000" w:themeColor="text1"/>
          <w:szCs w:val="21"/>
          <w:highlight w:val="none"/>
          <w14:textFill>
            <w14:solidFill>
              <w14:schemeClr w14:val="tx1"/>
            </w14:solidFill>
          </w14:textFill>
        </w:rPr>
        <w:t>2013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10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号）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16</w:t>
      </w:r>
      <w:r>
        <w:rPr>
          <w:rFonts w:hint="eastAsia" w:ascii="宋体" w:hAnsi="宋体"/>
          <w:color w:val="000000" w:themeColor="text1"/>
          <w:szCs w:val="21"/>
          <w:highlight w:val="none"/>
          <w14:textFill>
            <w14:solidFill>
              <w14:schemeClr w14:val="tx1"/>
            </w14:solidFill>
          </w14:textFill>
        </w:rPr>
        <w:t>） 《井盖设施建设技术规范》</w:t>
      </w:r>
      <w:r>
        <w:rPr>
          <w:rFonts w:ascii="宋体" w:hAnsi="宋体"/>
          <w:color w:val="000000" w:themeColor="text1"/>
          <w:szCs w:val="21"/>
          <w:highlight w:val="none"/>
          <w14:textFill>
            <w14:solidFill>
              <w14:schemeClr w14:val="tx1"/>
            </w14:solidFill>
          </w14:textFill>
        </w:rPr>
        <w:t xml:space="preserve">(DBJ440100/T160-2013)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17</w:t>
      </w:r>
      <w:r>
        <w:rPr>
          <w:rFonts w:hint="eastAsia" w:ascii="宋体" w:hAnsi="宋体"/>
          <w:color w:val="000000" w:themeColor="text1"/>
          <w:szCs w:val="21"/>
          <w:highlight w:val="none"/>
          <w14:textFill>
            <w14:solidFill>
              <w14:schemeClr w14:val="tx1"/>
            </w14:solidFill>
          </w14:textFill>
        </w:rPr>
        <w:t>） 《广州市海绵城市建设技术指引及标准图集（试行）》（</w:t>
      </w:r>
      <w:r>
        <w:rPr>
          <w:rFonts w:ascii="宋体" w:hAnsi="宋体"/>
          <w:color w:val="000000" w:themeColor="text1"/>
          <w:szCs w:val="21"/>
          <w:highlight w:val="none"/>
          <w14:textFill>
            <w14:solidFill>
              <w14:schemeClr w14:val="tx1"/>
            </w14:solidFill>
          </w14:textFill>
        </w:rPr>
        <w:t>2017.01</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 《海绵城市建设技术指南》（</w:t>
      </w:r>
      <w:r>
        <w:rPr>
          <w:rFonts w:ascii="宋体" w:hAnsi="宋体"/>
          <w:color w:val="000000" w:themeColor="text1"/>
          <w:szCs w:val="21"/>
          <w:highlight w:val="none"/>
          <w14:textFill>
            <w14:solidFill>
              <w14:schemeClr w14:val="tx1"/>
            </w14:solidFill>
          </w14:textFill>
        </w:rPr>
        <w:t>2014.10</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19</w:t>
      </w:r>
      <w:r>
        <w:rPr>
          <w:rFonts w:hint="eastAsia" w:ascii="宋体" w:hAnsi="宋体"/>
          <w:color w:val="000000" w:themeColor="text1"/>
          <w:szCs w:val="21"/>
          <w:highlight w:val="none"/>
          <w14:textFill>
            <w14:solidFill>
              <w14:schemeClr w14:val="tx1"/>
            </w14:solidFill>
          </w14:textFill>
        </w:rPr>
        <w:t>） 《城市工程管线综合规划规范》</w:t>
      </w:r>
      <w:r>
        <w:rPr>
          <w:rFonts w:ascii="宋体" w:hAnsi="宋体"/>
          <w:color w:val="000000" w:themeColor="text1"/>
          <w:szCs w:val="21"/>
          <w:highlight w:val="none"/>
          <w14:textFill>
            <w14:solidFill>
              <w14:schemeClr w14:val="tx1"/>
            </w14:solidFill>
          </w14:textFill>
        </w:rPr>
        <w:t xml:space="preserve">GB50289-2016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 《室外给水排水和燃气热力工程抗震设计规范》</w:t>
      </w:r>
      <w:r>
        <w:rPr>
          <w:rFonts w:ascii="宋体" w:hAnsi="宋体"/>
          <w:color w:val="000000" w:themeColor="text1"/>
          <w:szCs w:val="21"/>
          <w:highlight w:val="none"/>
          <w14:textFill>
            <w14:solidFill>
              <w14:schemeClr w14:val="tx1"/>
            </w14:solidFill>
          </w14:textFill>
        </w:rPr>
        <w:t xml:space="preserve">GB50032—2003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 《消防给水及消火栓系统技术规划》</w:t>
      </w:r>
      <w:r>
        <w:rPr>
          <w:rFonts w:ascii="宋体" w:hAnsi="宋体"/>
          <w:color w:val="000000" w:themeColor="text1"/>
          <w:szCs w:val="21"/>
          <w:highlight w:val="none"/>
          <w14:textFill>
            <w14:solidFill>
              <w14:schemeClr w14:val="tx1"/>
            </w14:solidFill>
          </w14:textFill>
        </w:rPr>
        <w:t xml:space="preserve">GB50947-2014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 《城市用地竖向规划教程》（</w:t>
      </w:r>
      <w:r>
        <w:rPr>
          <w:rFonts w:ascii="宋体" w:hAnsi="宋体"/>
          <w:color w:val="000000" w:themeColor="text1"/>
          <w:szCs w:val="21"/>
          <w:highlight w:val="none"/>
          <w14:textFill>
            <w14:solidFill>
              <w14:schemeClr w14:val="tx1"/>
            </w14:solidFill>
          </w14:textFill>
        </w:rPr>
        <w:t>CJJ83-99</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 《岩土锚杆（索）技术规程》（</w:t>
      </w:r>
      <w:r>
        <w:rPr>
          <w:rFonts w:ascii="宋体" w:hAnsi="宋体"/>
          <w:color w:val="000000" w:themeColor="text1"/>
          <w:szCs w:val="21"/>
          <w:highlight w:val="none"/>
          <w14:textFill>
            <w14:solidFill>
              <w14:schemeClr w14:val="tx1"/>
            </w14:solidFill>
          </w14:textFill>
        </w:rPr>
        <w:t>CECS22</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2005</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24</w:t>
      </w:r>
      <w:r>
        <w:rPr>
          <w:rFonts w:hint="eastAsia" w:ascii="宋体" w:hAnsi="宋体"/>
          <w:color w:val="000000" w:themeColor="text1"/>
          <w:szCs w:val="21"/>
          <w:highlight w:val="none"/>
          <w14:textFill>
            <w14:solidFill>
              <w14:schemeClr w14:val="tx1"/>
            </w14:solidFill>
          </w14:textFill>
        </w:rPr>
        <w:t>） 《岩土锚杆与喷射混凝土支护工程技术规范》（</w:t>
      </w:r>
      <w:r>
        <w:rPr>
          <w:rFonts w:ascii="宋体" w:hAnsi="宋体"/>
          <w:color w:val="000000" w:themeColor="text1"/>
          <w:szCs w:val="21"/>
          <w:highlight w:val="none"/>
          <w14:textFill>
            <w14:solidFill>
              <w14:schemeClr w14:val="tx1"/>
            </w14:solidFill>
          </w14:textFill>
        </w:rPr>
        <w:t>GB50086-2015</w:t>
      </w:r>
      <w:r>
        <w:rPr>
          <w:rFonts w:hint="eastAsia" w:ascii="宋体" w:hAnsi="宋体"/>
          <w:color w:val="000000" w:themeColor="text1"/>
          <w:szCs w:val="21"/>
          <w:highlight w:val="none"/>
          <w14:textFill>
            <w14:solidFill>
              <w14:schemeClr w14:val="tx1"/>
            </w14:solidFill>
          </w14:textFill>
        </w:rPr>
        <w:t>）</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 《混凝土结构设计规范》（</w:t>
      </w:r>
      <w:r>
        <w:rPr>
          <w:rFonts w:ascii="宋体" w:hAnsi="宋体"/>
          <w:color w:val="000000" w:themeColor="text1"/>
          <w:szCs w:val="21"/>
          <w:highlight w:val="none"/>
          <w14:textFill>
            <w14:solidFill>
              <w14:schemeClr w14:val="tx1"/>
            </w14:solidFill>
          </w14:textFill>
        </w:rPr>
        <w:t>GB50010-2010</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26</w:t>
      </w:r>
      <w:r>
        <w:rPr>
          <w:rFonts w:hint="eastAsia" w:ascii="宋体" w:hAnsi="宋体"/>
          <w:color w:val="000000" w:themeColor="text1"/>
          <w:szCs w:val="21"/>
          <w:highlight w:val="none"/>
          <w14:textFill>
            <w14:solidFill>
              <w14:schemeClr w14:val="tx1"/>
            </w14:solidFill>
          </w14:textFill>
        </w:rPr>
        <w:t>） 《砌体结构设计规范》（</w:t>
      </w:r>
      <w:r>
        <w:rPr>
          <w:rFonts w:ascii="宋体" w:hAnsi="宋体"/>
          <w:color w:val="000000" w:themeColor="text1"/>
          <w:szCs w:val="21"/>
          <w:highlight w:val="none"/>
          <w14:textFill>
            <w14:solidFill>
              <w14:schemeClr w14:val="tx1"/>
            </w14:solidFill>
          </w14:textFill>
        </w:rPr>
        <w:t>GB50003-2011</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 《钢筋焊接及验收规程》（</w:t>
      </w:r>
      <w:r>
        <w:rPr>
          <w:rFonts w:ascii="宋体" w:hAnsi="宋体"/>
          <w:color w:val="000000" w:themeColor="text1"/>
          <w:szCs w:val="21"/>
          <w:highlight w:val="none"/>
          <w14:textFill>
            <w14:solidFill>
              <w14:schemeClr w14:val="tx1"/>
            </w14:solidFill>
          </w14:textFill>
        </w:rPr>
        <w:t>JGJ18-2012</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 《混凝土和钢筋混凝土排水管》（</w:t>
      </w:r>
      <w:r>
        <w:rPr>
          <w:rFonts w:ascii="宋体" w:hAnsi="宋体"/>
          <w:color w:val="000000" w:themeColor="text1"/>
          <w:szCs w:val="21"/>
          <w:highlight w:val="none"/>
          <w14:textFill>
            <w14:solidFill>
              <w14:schemeClr w14:val="tx1"/>
            </w14:solidFill>
          </w14:textFill>
        </w:rPr>
        <w:t>GB/T11836-1999</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 《广州市城市规划管理技术标准与准则》（市政规划篇）（</w:t>
      </w:r>
      <w:r>
        <w:rPr>
          <w:rFonts w:ascii="宋体" w:hAnsi="宋体"/>
          <w:color w:val="000000" w:themeColor="text1"/>
          <w:szCs w:val="21"/>
          <w:highlight w:val="none"/>
          <w14:textFill>
            <w14:solidFill>
              <w14:schemeClr w14:val="tx1"/>
            </w14:solidFill>
          </w14:textFill>
        </w:rPr>
        <w:t xml:space="preserve">2005.12.15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实施）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 《城市排水工程规范规范》（</w:t>
      </w:r>
      <w:r>
        <w:rPr>
          <w:rFonts w:ascii="宋体" w:hAnsi="宋体"/>
          <w:color w:val="000000" w:themeColor="text1"/>
          <w:szCs w:val="21"/>
          <w:highlight w:val="none"/>
          <w14:textFill>
            <w14:solidFill>
              <w14:schemeClr w14:val="tx1"/>
            </w14:solidFill>
          </w14:textFill>
        </w:rPr>
        <w:t>GB50318-2000</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 《给水排水工程构筑物结构设计规范》（</w:t>
      </w:r>
      <w:r>
        <w:rPr>
          <w:rFonts w:ascii="宋体" w:hAnsi="宋体"/>
          <w:color w:val="000000" w:themeColor="text1"/>
          <w:szCs w:val="21"/>
          <w:highlight w:val="none"/>
          <w14:textFill>
            <w14:solidFill>
              <w14:schemeClr w14:val="tx1"/>
            </w14:solidFill>
          </w14:textFill>
        </w:rPr>
        <w:t>GB50068-2002</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32</w:t>
      </w:r>
      <w:r>
        <w:rPr>
          <w:rFonts w:hint="eastAsia" w:ascii="宋体" w:hAnsi="宋体"/>
          <w:color w:val="000000" w:themeColor="text1"/>
          <w:szCs w:val="21"/>
          <w:highlight w:val="none"/>
          <w14:textFill>
            <w14:solidFill>
              <w14:schemeClr w14:val="tx1"/>
            </w14:solidFill>
          </w14:textFill>
        </w:rPr>
        <w:t>） 《给水排水管道工程施工及验收规范》（</w:t>
      </w:r>
      <w:r>
        <w:rPr>
          <w:rFonts w:ascii="宋体" w:hAnsi="宋体"/>
          <w:color w:val="000000" w:themeColor="text1"/>
          <w:szCs w:val="21"/>
          <w:highlight w:val="none"/>
          <w14:textFill>
            <w14:solidFill>
              <w14:schemeClr w14:val="tx1"/>
            </w14:solidFill>
          </w14:textFill>
        </w:rPr>
        <w:t>GB50268-2008</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 《埋地给水钢管道水泥砂浆衬里技术标准》（</w:t>
      </w:r>
      <w:r>
        <w:rPr>
          <w:rFonts w:ascii="宋体" w:hAnsi="宋体"/>
          <w:color w:val="000000" w:themeColor="text1"/>
          <w:szCs w:val="21"/>
          <w:highlight w:val="none"/>
          <w14:textFill>
            <w14:solidFill>
              <w14:schemeClr w14:val="tx1"/>
            </w14:solidFill>
          </w14:textFill>
        </w:rPr>
        <w:t>CECS10</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89</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34</w:t>
      </w:r>
      <w:r>
        <w:rPr>
          <w:rFonts w:hint="eastAsia" w:ascii="宋体" w:hAnsi="宋体"/>
          <w:color w:val="000000" w:themeColor="text1"/>
          <w:szCs w:val="21"/>
          <w:highlight w:val="none"/>
          <w14:textFill>
            <w14:solidFill>
              <w14:schemeClr w14:val="tx1"/>
            </w14:solidFill>
          </w14:textFill>
        </w:rPr>
        <w:t>） 《工业金属管道工程施工及验收规范》（</w:t>
      </w:r>
      <w:r>
        <w:rPr>
          <w:rFonts w:ascii="宋体" w:hAnsi="宋体"/>
          <w:color w:val="000000" w:themeColor="text1"/>
          <w:szCs w:val="21"/>
          <w:highlight w:val="none"/>
          <w14:textFill>
            <w14:solidFill>
              <w14:schemeClr w14:val="tx1"/>
            </w14:solidFill>
          </w14:textFill>
        </w:rPr>
        <w:t>GB50235-97</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35</w:t>
      </w:r>
      <w:r>
        <w:rPr>
          <w:rFonts w:hint="eastAsia" w:ascii="宋体" w:hAnsi="宋体"/>
          <w:color w:val="000000" w:themeColor="text1"/>
          <w:szCs w:val="21"/>
          <w:highlight w:val="none"/>
          <w14:textFill>
            <w14:solidFill>
              <w14:schemeClr w14:val="tx1"/>
            </w14:solidFill>
          </w14:textFill>
        </w:rPr>
        <w:t>） 《混凝土和钢筋混凝土排水管》（</w:t>
      </w:r>
      <w:r>
        <w:rPr>
          <w:rFonts w:ascii="宋体" w:hAnsi="宋体"/>
          <w:color w:val="000000" w:themeColor="text1"/>
          <w:szCs w:val="21"/>
          <w:highlight w:val="none"/>
          <w14:textFill>
            <w14:solidFill>
              <w14:schemeClr w14:val="tx1"/>
            </w14:solidFill>
          </w14:textFill>
        </w:rPr>
        <w:t>GB/T11836-2009</w:t>
      </w:r>
      <w:r>
        <w:rPr>
          <w:rFonts w:hint="eastAsia" w:ascii="宋体" w:hAnsi="宋体"/>
          <w:color w:val="000000" w:themeColor="text1"/>
          <w:szCs w:val="21"/>
          <w:highlight w:val="none"/>
          <w14:textFill>
            <w14:solidFill>
              <w14:schemeClr w14:val="tx1"/>
            </w14:solidFill>
          </w14:textFill>
        </w:rPr>
        <w:t xml:space="preserve">）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36</w:t>
      </w:r>
      <w:r>
        <w:rPr>
          <w:rFonts w:hint="eastAsia" w:ascii="宋体" w:hAnsi="宋体"/>
          <w:color w:val="000000" w:themeColor="text1"/>
          <w:szCs w:val="21"/>
          <w:highlight w:val="none"/>
          <w14:textFill>
            <w14:solidFill>
              <w14:schemeClr w14:val="tx1"/>
            </w14:solidFill>
          </w14:textFill>
        </w:rPr>
        <w:t>） 《混凝土结构设计规范》</w:t>
      </w:r>
      <w:r>
        <w:rPr>
          <w:rFonts w:ascii="宋体" w:hAnsi="宋体"/>
          <w:color w:val="000000" w:themeColor="text1"/>
          <w:szCs w:val="21"/>
          <w:highlight w:val="none"/>
          <w14:textFill>
            <w14:solidFill>
              <w14:schemeClr w14:val="tx1"/>
            </w14:solidFill>
          </w14:textFill>
        </w:rPr>
        <w:t xml:space="preserve">GB50010-2010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37</w:t>
      </w:r>
      <w:r>
        <w:rPr>
          <w:rFonts w:hint="eastAsia" w:ascii="宋体" w:hAnsi="宋体"/>
          <w:color w:val="000000" w:themeColor="text1"/>
          <w:szCs w:val="21"/>
          <w:highlight w:val="none"/>
          <w14:textFill>
            <w14:solidFill>
              <w14:schemeClr w14:val="tx1"/>
            </w14:solidFill>
          </w14:textFill>
        </w:rPr>
        <w:t>） 《电力设施抗震设计规范》</w:t>
      </w:r>
      <w:r>
        <w:rPr>
          <w:rFonts w:ascii="宋体" w:hAnsi="宋体"/>
          <w:color w:val="000000" w:themeColor="text1"/>
          <w:szCs w:val="21"/>
          <w:highlight w:val="none"/>
          <w14:textFill>
            <w14:solidFill>
              <w14:schemeClr w14:val="tx1"/>
            </w14:solidFill>
          </w14:textFill>
        </w:rPr>
        <w:t xml:space="preserve">GB50260-2013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38</w:t>
      </w:r>
      <w:r>
        <w:rPr>
          <w:rFonts w:hint="eastAsia" w:ascii="宋体" w:hAnsi="宋体"/>
          <w:color w:val="000000" w:themeColor="text1"/>
          <w:szCs w:val="21"/>
          <w:highlight w:val="none"/>
          <w14:textFill>
            <w14:solidFill>
              <w14:schemeClr w14:val="tx1"/>
            </w14:solidFill>
          </w14:textFill>
        </w:rPr>
        <w:t>） 《电力系统安全稳定导则》</w:t>
      </w:r>
      <w:r>
        <w:rPr>
          <w:rFonts w:ascii="宋体" w:hAnsi="宋体"/>
          <w:color w:val="000000" w:themeColor="text1"/>
          <w:szCs w:val="21"/>
          <w:highlight w:val="none"/>
          <w14:textFill>
            <w14:solidFill>
              <w14:schemeClr w14:val="tx1"/>
            </w14:solidFill>
          </w14:textFill>
        </w:rPr>
        <w:t xml:space="preserve">DL755-2001 </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39</w:t>
      </w:r>
      <w:r>
        <w:rPr>
          <w:rFonts w:hint="eastAsia" w:ascii="宋体" w:hAnsi="宋体"/>
          <w:color w:val="000000" w:themeColor="text1"/>
          <w:szCs w:val="21"/>
          <w:highlight w:val="none"/>
          <w14:textFill>
            <w14:solidFill>
              <w14:schemeClr w14:val="tx1"/>
            </w14:solidFill>
          </w14:textFill>
        </w:rPr>
        <w:t>） 以及其他有关的国家及地方强制性规程、标准</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（40）其他符合国家、建设部及广东省现行有关设计标准的规定；</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（41）设计中的市政、水、电等用量及标准就符合国家、建设部及广东省有关设计标准及规定。设计深度需符合建设部《建筑工程设计文件编制深度的规定》中有关的要求及甲方的其他要求。</w:t>
      </w:r>
    </w:p>
    <w:p>
      <w:pPr>
        <w:tabs>
          <w:tab w:val="left" w:pos="1080"/>
        </w:tabs>
        <w:spacing w:line="360" w:lineRule="auto"/>
        <w:ind w:left="8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（42）施工图设计符合建设部建质[2003号]《建筑工程施工图设计审查要点》（实行）以及各种国家现行设计规范的技术要求。</w:t>
      </w:r>
    </w:p>
    <w:p>
      <w:pPr>
        <w:tabs>
          <w:tab w:val="left" w:pos="1080"/>
        </w:tabs>
        <w:spacing w:line="360" w:lineRule="auto"/>
        <w:ind w:left="210" w:leftChars="1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备注：若有相关主管部门颁发的新规范则按新规范执行。</w:t>
      </w:r>
    </w:p>
    <w:p>
      <w:pPr>
        <w:rPr>
          <w:color w:val="000000" w:themeColor="text1"/>
          <w:sz w:val="24"/>
          <w:highlight w:val="none"/>
          <w14:textFill>
            <w14:solidFill>
              <w14:schemeClr w14:val="tx1"/>
            </w14:solidFill>
          </w14:textFill>
        </w:rPr>
      </w:pPr>
    </w:p>
    <w:sectPr>
      <w:footerReference r:id="rId9" w:type="default"/>
      <w:footerReference r:id="rId10"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posOffset>2821940</wp:posOffset>
              </wp:positionH>
              <wp:positionV relativeFrom="paragraph">
                <wp:posOffset>-9525</wp:posOffset>
              </wp:positionV>
              <wp:extent cx="240030" cy="264795"/>
              <wp:effectExtent l="0" t="0" r="0" b="0"/>
              <wp:wrapNone/>
              <wp:docPr id="3" name="文本框 2"/>
              <wp:cNvGraphicFramePr/>
              <a:graphic xmlns:a="http://schemas.openxmlformats.org/drawingml/2006/main">
                <a:graphicData uri="http://schemas.microsoft.com/office/word/2010/wordprocessingShape">
                  <wps:wsp>
                    <wps:cNvSpPr txBox="1"/>
                    <wps:spPr>
                      <a:xfrm>
                        <a:off x="0" y="0"/>
                        <a:ext cx="240030" cy="264795"/>
                      </a:xfrm>
                      <a:prstGeom prst="rect">
                        <a:avLst/>
                      </a:prstGeom>
                      <a:noFill/>
                      <a:ln w="6350">
                        <a:noFill/>
                      </a:ln>
                      <a:effectLst/>
                    </wps:spPr>
                    <wps:txbx>
                      <w:txbxContent>
                        <w:p>
                          <w:pPr>
                            <w:pStyle w:val="18"/>
                          </w:pPr>
                          <w:r>
                            <w:fldChar w:fldCharType="begin"/>
                          </w:r>
                          <w:r>
                            <w:instrText xml:space="preserve"> PAGE  \* MERGEFORMAT </w:instrText>
                          </w:r>
                          <w:r>
                            <w:fldChar w:fldCharType="separate"/>
                          </w:r>
                          <w:r>
                            <w:t>47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J74nXAAAACQEAAA8AAAAAAAAAAQAgAAAAIgAAAGRycy9kb3du&#10;cmV2LnhtbFBLAQIUABQAAAAIAIdO4kByns3sxwEAAIgDAAAOAAAAAAAAAAEAIAAAACYBAABkcnMv&#10;ZTJvRG9jLnhtbFBLBQYAAAAABgAGAFkBAABfBQAAAAA=&#10;">
              <v:fill on="f" focussize="0,0"/>
              <v:stroke on="f" weight="0.5pt"/>
              <v:imagedata o:title=""/>
              <o:lock v:ext="edit" aspectratio="f"/>
              <v:textbox inset="0mm,0mm,0mm,0mm">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8"/>
                            </w:rPr>
                          </w:pPr>
                          <w:r>
                            <w:rPr>
                              <w:rStyle w:val="28"/>
                            </w:rPr>
                            <w:fldChar w:fldCharType="begin"/>
                          </w:r>
                          <w:r>
                            <w:rPr>
                              <w:rStyle w:val="28"/>
                            </w:rPr>
                            <w:instrText xml:space="preserve">PAGE  </w:instrText>
                          </w:r>
                          <w:r>
                            <w:rPr>
                              <w:rStyle w:val="28"/>
                            </w:rPr>
                            <w:fldChar w:fldCharType="separate"/>
                          </w:r>
                          <w:r>
                            <w:rPr>
                              <w:rStyle w:val="28"/>
                            </w:rPr>
                            <w:t>37</w:t>
                          </w:r>
                          <w:r>
                            <w:rPr>
                              <w:rStyle w:val="2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lfr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V+vDICAABjBAAADgAAAAAAAAABACAAAAAfAQAAZHJzL2Uyb0RvYy54bWxQSwUG&#10;AAAAAAYABgBZAQAAwwUAAAAA&#10;">
              <v:fill on="f" focussize="0,0"/>
              <v:stroke on="f" weight="0.5pt"/>
              <v:imagedata o:title=""/>
              <o:lock v:ext="edit" aspectratio="f"/>
              <v:textbox inset="0mm,0mm,0mm,0mm" style="mso-fit-shape-to-text:t;">
                <w:txbxContent>
                  <w:p>
                    <w:pPr>
                      <w:pStyle w:val="18"/>
                      <w:rPr>
                        <w:rStyle w:val="28"/>
                      </w:rPr>
                    </w:pPr>
                    <w:r>
                      <w:rPr>
                        <w:rStyle w:val="28"/>
                      </w:rPr>
                      <w:fldChar w:fldCharType="begin"/>
                    </w:r>
                    <w:r>
                      <w:rPr>
                        <w:rStyle w:val="28"/>
                      </w:rPr>
                      <w:instrText xml:space="preserve">PAGE  </w:instrText>
                    </w:r>
                    <w:r>
                      <w:rPr>
                        <w:rStyle w:val="28"/>
                      </w:rPr>
                      <w:fldChar w:fldCharType="separate"/>
                    </w:r>
                    <w:r>
                      <w:rPr>
                        <w:rStyle w:val="28"/>
                      </w:rPr>
                      <w:t>37</w:t>
                    </w:r>
                    <w:r>
                      <w:rPr>
                        <w:rStyle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8"/>
                            </w:rPr>
                          </w:pPr>
                          <w:r>
                            <w:rPr>
                              <w:rStyle w:val="28"/>
                            </w:rPr>
                            <w:fldChar w:fldCharType="begin"/>
                          </w:r>
                          <w:r>
                            <w:rPr>
                              <w:rStyle w:val="28"/>
                            </w:rPr>
                            <w:instrText xml:space="preserve">PAGE  </w:instrText>
                          </w:r>
                          <w:r>
                            <w:rPr>
                              <w:rStyle w:val="28"/>
                            </w:rPr>
                            <w:fldChar w:fldCharType="separate"/>
                          </w:r>
                          <w:r>
                            <w:rPr>
                              <w:rStyle w:val="28"/>
                            </w:rPr>
                            <w:t>40</w:t>
                          </w:r>
                          <w:r>
                            <w:rPr>
                              <w:rStyle w:val="2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KRGgx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rt6O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ykRoMQIAAGMEAAAOAAAAAAAAAAEAIAAAAB8BAABkcnMvZTJvRG9jLnhtbFBLBQYA&#10;AAAABgAGAFkBAADCBQAAAAA=&#10;">
              <v:fill on="f" focussize="0,0"/>
              <v:stroke on="f" weight="0.5pt"/>
              <v:imagedata o:title=""/>
              <o:lock v:ext="edit" aspectratio="f"/>
              <v:textbox inset="0mm,0mm,0mm,0mm" style="mso-fit-shape-to-text:t;">
                <w:txbxContent>
                  <w:p>
                    <w:pPr>
                      <w:pStyle w:val="18"/>
                      <w:rPr>
                        <w:rStyle w:val="28"/>
                      </w:rPr>
                    </w:pPr>
                    <w:r>
                      <w:rPr>
                        <w:rStyle w:val="28"/>
                      </w:rPr>
                      <w:fldChar w:fldCharType="begin"/>
                    </w:r>
                    <w:r>
                      <w:rPr>
                        <w:rStyle w:val="28"/>
                      </w:rPr>
                      <w:instrText xml:space="preserve">PAGE  </w:instrText>
                    </w:r>
                    <w:r>
                      <w:rPr>
                        <w:rStyle w:val="28"/>
                      </w:rPr>
                      <w:fldChar w:fldCharType="separate"/>
                    </w:r>
                    <w:r>
                      <w:rPr>
                        <w:rStyle w:val="28"/>
                      </w:rPr>
                      <w:t>40</w:t>
                    </w:r>
                    <w:r>
                      <w:rPr>
                        <w:rStyle w:val="28"/>
                      </w:rP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8"/>
                            </w:rPr>
                          </w:pPr>
                          <w:r>
                            <w:rPr>
                              <w:rStyle w:val="28"/>
                            </w:rPr>
                            <w:fldChar w:fldCharType="begin"/>
                          </w:r>
                          <w:r>
                            <w:rPr>
                              <w:rStyle w:val="28"/>
                            </w:rPr>
                            <w:instrText xml:space="preserve">PAGE  </w:instrText>
                          </w:r>
                          <w:r>
                            <w:rPr>
                              <w:rStyle w:val="28"/>
                            </w:rPr>
                            <w:fldChar w:fldCharType="separate"/>
                          </w:r>
                          <w:r>
                            <w:rPr>
                              <w:rStyle w:val="28"/>
                            </w:rPr>
                            <w:t>47</w:t>
                          </w:r>
                          <w:r>
                            <w:rPr>
                              <w:rStyle w:val="2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2WgyAgAAYw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UvZaDICAABjBAAADgAAAAAAAAABACAAAAAfAQAAZHJzL2Uyb0RvYy54bWxQSwUG&#10;AAAAAAYABgBZAQAAwwUAAAAA&#10;">
              <v:fill on="f" focussize="0,0"/>
              <v:stroke on="f" weight="0.5pt"/>
              <v:imagedata o:title=""/>
              <o:lock v:ext="edit" aspectratio="f"/>
              <v:textbox inset="0mm,0mm,0mm,0mm" style="mso-fit-shape-to-text:t;">
                <w:txbxContent>
                  <w:p>
                    <w:pPr>
                      <w:pStyle w:val="18"/>
                      <w:rPr>
                        <w:rStyle w:val="28"/>
                      </w:rPr>
                    </w:pPr>
                    <w:r>
                      <w:rPr>
                        <w:rStyle w:val="28"/>
                      </w:rPr>
                      <w:fldChar w:fldCharType="begin"/>
                    </w:r>
                    <w:r>
                      <w:rPr>
                        <w:rStyle w:val="28"/>
                      </w:rPr>
                      <w:instrText xml:space="preserve">PAGE  </w:instrText>
                    </w:r>
                    <w:r>
                      <w:rPr>
                        <w:rStyle w:val="28"/>
                      </w:rPr>
                      <w:fldChar w:fldCharType="separate"/>
                    </w:r>
                    <w:r>
                      <w:rPr>
                        <w:rStyle w:val="28"/>
                      </w:rPr>
                      <w:t>47</w:t>
                    </w:r>
                    <w:r>
                      <w:rPr>
                        <w:rStyle w:val="28"/>
                      </w:rP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YjVkM2YxZjI4YzczOTI0MTdiYWE5ZDExNzk1YmIifQ=="/>
  </w:docVars>
  <w:rsids>
    <w:rsidRoot w:val="00020C4A"/>
    <w:rsid w:val="0000496D"/>
    <w:rsid w:val="0001148C"/>
    <w:rsid w:val="00020C4A"/>
    <w:rsid w:val="000552D2"/>
    <w:rsid w:val="00055406"/>
    <w:rsid w:val="000557FF"/>
    <w:rsid w:val="0006544E"/>
    <w:rsid w:val="000732ED"/>
    <w:rsid w:val="000762C5"/>
    <w:rsid w:val="000C1D50"/>
    <w:rsid w:val="000E4E89"/>
    <w:rsid w:val="000E5720"/>
    <w:rsid w:val="0010540F"/>
    <w:rsid w:val="00110E7C"/>
    <w:rsid w:val="001117AD"/>
    <w:rsid w:val="0014232A"/>
    <w:rsid w:val="00143989"/>
    <w:rsid w:val="00146546"/>
    <w:rsid w:val="00171A70"/>
    <w:rsid w:val="00184B14"/>
    <w:rsid w:val="001A508E"/>
    <w:rsid w:val="001B0B86"/>
    <w:rsid w:val="001C4A34"/>
    <w:rsid w:val="001C5F6B"/>
    <w:rsid w:val="001E15B3"/>
    <w:rsid w:val="001F435D"/>
    <w:rsid w:val="001F49A5"/>
    <w:rsid w:val="001F7E0E"/>
    <w:rsid w:val="00210DA9"/>
    <w:rsid w:val="002121F2"/>
    <w:rsid w:val="0022157D"/>
    <w:rsid w:val="002316B2"/>
    <w:rsid w:val="0025606A"/>
    <w:rsid w:val="00272018"/>
    <w:rsid w:val="00275562"/>
    <w:rsid w:val="00285ED7"/>
    <w:rsid w:val="00295B83"/>
    <w:rsid w:val="002C3869"/>
    <w:rsid w:val="00304A0F"/>
    <w:rsid w:val="00316E56"/>
    <w:rsid w:val="003235C4"/>
    <w:rsid w:val="00332127"/>
    <w:rsid w:val="00332F01"/>
    <w:rsid w:val="00336E20"/>
    <w:rsid w:val="0033737B"/>
    <w:rsid w:val="00337496"/>
    <w:rsid w:val="0038563F"/>
    <w:rsid w:val="00385820"/>
    <w:rsid w:val="00393288"/>
    <w:rsid w:val="003C00FD"/>
    <w:rsid w:val="003C7A21"/>
    <w:rsid w:val="003D4C9A"/>
    <w:rsid w:val="003E06B0"/>
    <w:rsid w:val="003F13BC"/>
    <w:rsid w:val="00420C87"/>
    <w:rsid w:val="00451F3A"/>
    <w:rsid w:val="00477710"/>
    <w:rsid w:val="004831DF"/>
    <w:rsid w:val="004926B6"/>
    <w:rsid w:val="00494087"/>
    <w:rsid w:val="00494527"/>
    <w:rsid w:val="004963E2"/>
    <w:rsid w:val="004E40EA"/>
    <w:rsid w:val="005026FE"/>
    <w:rsid w:val="00502989"/>
    <w:rsid w:val="00515743"/>
    <w:rsid w:val="00537723"/>
    <w:rsid w:val="00551DAB"/>
    <w:rsid w:val="00571698"/>
    <w:rsid w:val="00572BAE"/>
    <w:rsid w:val="00585A36"/>
    <w:rsid w:val="005A07D9"/>
    <w:rsid w:val="005A0878"/>
    <w:rsid w:val="005A7785"/>
    <w:rsid w:val="005B19E9"/>
    <w:rsid w:val="005B5804"/>
    <w:rsid w:val="005B6A50"/>
    <w:rsid w:val="005E31BC"/>
    <w:rsid w:val="005F0D0C"/>
    <w:rsid w:val="00621C1D"/>
    <w:rsid w:val="00627CCC"/>
    <w:rsid w:val="00632CFC"/>
    <w:rsid w:val="00643307"/>
    <w:rsid w:val="0064364B"/>
    <w:rsid w:val="00662ACC"/>
    <w:rsid w:val="006720A2"/>
    <w:rsid w:val="006840C9"/>
    <w:rsid w:val="006E0063"/>
    <w:rsid w:val="006E786F"/>
    <w:rsid w:val="0071199D"/>
    <w:rsid w:val="0072454C"/>
    <w:rsid w:val="00727B83"/>
    <w:rsid w:val="00777335"/>
    <w:rsid w:val="007B392C"/>
    <w:rsid w:val="007B6C57"/>
    <w:rsid w:val="007E514E"/>
    <w:rsid w:val="00816430"/>
    <w:rsid w:val="0082495B"/>
    <w:rsid w:val="00833203"/>
    <w:rsid w:val="008443BB"/>
    <w:rsid w:val="008456C4"/>
    <w:rsid w:val="008479BB"/>
    <w:rsid w:val="0085242B"/>
    <w:rsid w:val="008536EC"/>
    <w:rsid w:val="008564C7"/>
    <w:rsid w:val="00881640"/>
    <w:rsid w:val="00891A63"/>
    <w:rsid w:val="008A1387"/>
    <w:rsid w:val="008B4757"/>
    <w:rsid w:val="008B5716"/>
    <w:rsid w:val="008F3708"/>
    <w:rsid w:val="00942FFA"/>
    <w:rsid w:val="00947C5F"/>
    <w:rsid w:val="00967DDC"/>
    <w:rsid w:val="00992D1D"/>
    <w:rsid w:val="009A09B8"/>
    <w:rsid w:val="009B4FD1"/>
    <w:rsid w:val="009C5545"/>
    <w:rsid w:val="009D10D4"/>
    <w:rsid w:val="009D16B6"/>
    <w:rsid w:val="009F7F1E"/>
    <w:rsid w:val="00A25D51"/>
    <w:rsid w:val="00A26B70"/>
    <w:rsid w:val="00A721CB"/>
    <w:rsid w:val="00A75033"/>
    <w:rsid w:val="00A86743"/>
    <w:rsid w:val="00A9464B"/>
    <w:rsid w:val="00AA5490"/>
    <w:rsid w:val="00AA7973"/>
    <w:rsid w:val="00AC5804"/>
    <w:rsid w:val="00AD6C0E"/>
    <w:rsid w:val="00AE3BF6"/>
    <w:rsid w:val="00B065B2"/>
    <w:rsid w:val="00B15D63"/>
    <w:rsid w:val="00B760C4"/>
    <w:rsid w:val="00B77A11"/>
    <w:rsid w:val="00B90DF3"/>
    <w:rsid w:val="00BA5009"/>
    <w:rsid w:val="00C076CC"/>
    <w:rsid w:val="00C1029D"/>
    <w:rsid w:val="00C21375"/>
    <w:rsid w:val="00C57763"/>
    <w:rsid w:val="00C703F9"/>
    <w:rsid w:val="00C8347A"/>
    <w:rsid w:val="00CB656B"/>
    <w:rsid w:val="00CD04A1"/>
    <w:rsid w:val="00D02A28"/>
    <w:rsid w:val="00D10A1C"/>
    <w:rsid w:val="00D16C48"/>
    <w:rsid w:val="00D242B3"/>
    <w:rsid w:val="00D325CF"/>
    <w:rsid w:val="00D75018"/>
    <w:rsid w:val="00D94271"/>
    <w:rsid w:val="00D96E0A"/>
    <w:rsid w:val="00D97829"/>
    <w:rsid w:val="00DA60BA"/>
    <w:rsid w:val="00DA6FFA"/>
    <w:rsid w:val="00DB0935"/>
    <w:rsid w:val="00DC7191"/>
    <w:rsid w:val="00DD216D"/>
    <w:rsid w:val="00DD7177"/>
    <w:rsid w:val="00DF11FA"/>
    <w:rsid w:val="00E032D1"/>
    <w:rsid w:val="00E137DB"/>
    <w:rsid w:val="00E16902"/>
    <w:rsid w:val="00E20F0B"/>
    <w:rsid w:val="00E31B89"/>
    <w:rsid w:val="00E71A1B"/>
    <w:rsid w:val="00E72C45"/>
    <w:rsid w:val="00E80AD1"/>
    <w:rsid w:val="00EB395C"/>
    <w:rsid w:val="00EC1B60"/>
    <w:rsid w:val="00EC6B13"/>
    <w:rsid w:val="00EE4559"/>
    <w:rsid w:val="00EE7E6A"/>
    <w:rsid w:val="00EF3425"/>
    <w:rsid w:val="00F1089A"/>
    <w:rsid w:val="00F270FE"/>
    <w:rsid w:val="00F45FF6"/>
    <w:rsid w:val="00F5419E"/>
    <w:rsid w:val="00F67CCA"/>
    <w:rsid w:val="00F72120"/>
    <w:rsid w:val="00F85F8B"/>
    <w:rsid w:val="00F95697"/>
    <w:rsid w:val="00FB5BAD"/>
    <w:rsid w:val="00FC28A0"/>
    <w:rsid w:val="00FF49CF"/>
    <w:rsid w:val="019C146B"/>
    <w:rsid w:val="01C5428D"/>
    <w:rsid w:val="02BF3D58"/>
    <w:rsid w:val="04167226"/>
    <w:rsid w:val="04757A59"/>
    <w:rsid w:val="04F16AE3"/>
    <w:rsid w:val="055661F0"/>
    <w:rsid w:val="055C7445"/>
    <w:rsid w:val="05666251"/>
    <w:rsid w:val="05D1125D"/>
    <w:rsid w:val="06554DE5"/>
    <w:rsid w:val="069A384B"/>
    <w:rsid w:val="06E15DF7"/>
    <w:rsid w:val="06F614BF"/>
    <w:rsid w:val="078A5361"/>
    <w:rsid w:val="087D263E"/>
    <w:rsid w:val="0981405F"/>
    <w:rsid w:val="098232DA"/>
    <w:rsid w:val="09BA7E24"/>
    <w:rsid w:val="0BC11EE1"/>
    <w:rsid w:val="0CC6580B"/>
    <w:rsid w:val="0D73363D"/>
    <w:rsid w:val="0D822807"/>
    <w:rsid w:val="0D912587"/>
    <w:rsid w:val="0DAD3E22"/>
    <w:rsid w:val="116C307D"/>
    <w:rsid w:val="11CF513F"/>
    <w:rsid w:val="128E014E"/>
    <w:rsid w:val="132565C9"/>
    <w:rsid w:val="14425A01"/>
    <w:rsid w:val="146821C0"/>
    <w:rsid w:val="14A5507A"/>
    <w:rsid w:val="15382F2D"/>
    <w:rsid w:val="157D5C76"/>
    <w:rsid w:val="15F87753"/>
    <w:rsid w:val="162641DF"/>
    <w:rsid w:val="164809E5"/>
    <w:rsid w:val="164C64AC"/>
    <w:rsid w:val="17141A70"/>
    <w:rsid w:val="181C70C0"/>
    <w:rsid w:val="18BF3681"/>
    <w:rsid w:val="18C55045"/>
    <w:rsid w:val="196F11D7"/>
    <w:rsid w:val="1B02359E"/>
    <w:rsid w:val="1BE85270"/>
    <w:rsid w:val="1BF439E2"/>
    <w:rsid w:val="1C7B124F"/>
    <w:rsid w:val="1CA7488E"/>
    <w:rsid w:val="1CB76084"/>
    <w:rsid w:val="1CBA1DC8"/>
    <w:rsid w:val="1D7C5331"/>
    <w:rsid w:val="1E6741BB"/>
    <w:rsid w:val="1EDA1B4B"/>
    <w:rsid w:val="1F341C78"/>
    <w:rsid w:val="20001606"/>
    <w:rsid w:val="20715A75"/>
    <w:rsid w:val="20A24C20"/>
    <w:rsid w:val="210B2262"/>
    <w:rsid w:val="210D1C98"/>
    <w:rsid w:val="212916F7"/>
    <w:rsid w:val="21442B42"/>
    <w:rsid w:val="21EE07BA"/>
    <w:rsid w:val="222C26C2"/>
    <w:rsid w:val="22E5665F"/>
    <w:rsid w:val="22F109D7"/>
    <w:rsid w:val="23240398"/>
    <w:rsid w:val="23407DB1"/>
    <w:rsid w:val="23A64E72"/>
    <w:rsid w:val="24116544"/>
    <w:rsid w:val="243423E6"/>
    <w:rsid w:val="248A412D"/>
    <w:rsid w:val="24D93430"/>
    <w:rsid w:val="25360C0D"/>
    <w:rsid w:val="25825046"/>
    <w:rsid w:val="25B05FB0"/>
    <w:rsid w:val="26E01966"/>
    <w:rsid w:val="26EE318D"/>
    <w:rsid w:val="27B60C21"/>
    <w:rsid w:val="29870ACC"/>
    <w:rsid w:val="299E4ED6"/>
    <w:rsid w:val="2A1B14A7"/>
    <w:rsid w:val="2A2506D2"/>
    <w:rsid w:val="2A4C1117"/>
    <w:rsid w:val="2AAD6003"/>
    <w:rsid w:val="2AF10207"/>
    <w:rsid w:val="2B8D5A73"/>
    <w:rsid w:val="2BF205BB"/>
    <w:rsid w:val="2D60110A"/>
    <w:rsid w:val="2D9F121C"/>
    <w:rsid w:val="2DE2142E"/>
    <w:rsid w:val="2E016A0F"/>
    <w:rsid w:val="2E4B6EB6"/>
    <w:rsid w:val="2E504F26"/>
    <w:rsid w:val="2E7E2B3D"/>
    <w:rsid w:val="2F1A71FF"/>
    <w:rsid w:val="300F1584"/>
    <w:rsid w:val="30B434EC"/>
    <w:rsid w:val="323B1304"/>
    <w:rsid w:val="326C0F6C"/>
    <w:rsid w:val="335A743D"/>
    <w:rsid w:val="33C277DB"/>
    <w:rsid w:val="33DA5DAF"/>
    <w:rsid w:val="33F70AA8"/>
    <w:rsid w:val="340C3FD9"/>
    <w:rsid w:val="353F3C66"/>
    <w:rsid w:val="368D1C4D"/>
    <w:rsid w:val="370809F0"/>
    <w:rsid w:val="391657C3"/>
    <w:rsid w:val="395954C0"/>
    <w:rsid w:val="39F635F6"/>
    <w:rsid w:val="3A6D044D"/>
    <w:rsid w:val="3A900F49"/>
    <w:rsid w:val="3AAF1FC5"/>
    <w:rsid w:val="3AD7016A"/>
    <w:rsid w:val="3B05727D"/>
    <w:rsid w:val="3B601740"/>
    <w:rsid w:val="3B9A7024"/>
    <w:rsid w:val="3BF710C3"/>
    <w:rsid w:val="3C1B6D0D"/>
    <w:rsid w:val="3C5747B6"/>
    <w:rsid w:val="3C91263C"/>
    <w:rsid w:val="3D3F4B62"/>
    <w:rsid w:val="3D750B7E"/>
    <w:rsid w:val="3D8F7403"/>
    <w:rsid w:val="3DCB308E"/>
    <w:rsid w:val="3E41473A"/>
    <w:rsid w:val="3F3E681D"/>
    <w:rsid w:val="3F402F1A"/>
    <w:rsid w:val="3F710742"/>
    <w:rsid w:val="3F9C5367"/>
    <w:rsid w:val="3FDE48BE"/>
    <w:rsid w:val="417A44B7"/>
    <w:rsid w:val="42104450"/>
    <w:rsid w:val="429351C2"/>
    <w:rsid w:val="432E6BB3"/>
    <w:rsid w:val="44376875"/>
    <w:rsid w:val="45644AEA"/>
    <w:rsid w:val="45827B97"/>
    <w:rsid w:val="461940F5"/>
    <w:rsid w:val="46A01AF1"/>
    <w:rsid w:val="46AE787C"/>
    <w:rsid w:val="4A45358B"/>
    <w:rsid w:val="4B174746"/>
    <w:rsid w:val="4B5272B0"/>
    <w:rsid w:val="4B7C53CB"/>
    <w:rsid w:val="4BF9132F"/>
    <w:rsid w:val="4C274DCA"/>
    <w:rsid w:val="4D5C5122"/>
    <w:rsid w:val="4D7F140F"/>
    <w:rsid w:val="4E3E7BC0"/>
    <w:rsid w:val="4EB268B6"/>
    <w:rsid w:val="4FCE41A2"/>
    <w:rsid w:val="510179A2"/>
    <w:rsid w:val="512579AE"/>
    <w:rsid w:val="51B64914"/>
    <w:rsid w:val="51F5455F"/>
    <w:rsid w:val="520E4D2A"/>
    <w:rsid w:val="522D4184"/>
    <w:rsid w:val="52927709"/>
    <w:rsid w:val="53226CDE"/>
    <w:rsid w:val="535915FA"/>
    <w:rsid w:val="53F14283"/>
    <w:rsid w:val="5483555B"/>
    <w:rsid w:val="54942C33"/>
    <w:rsid w:val="54B73F4D"/>
    <w:rsid w:val="5568630F"/>
    <w:rsid w:val="574E75BE"/>
    <w:rsid w:val="575D23A0"/>
    <w:rsid w:val="58766827"/>
    <w:rsid w:val="58984900"/>
    <w:rsid w:val="58F74365"/>
    <w:rsid w:val="59BB1A82"/>
    <w:rsid w:val="5AAD1584"/>
    <w:rsid w:val="5C4D41B6"/>
    <w:rsid w:val="5CB643D1"/>
    <w:rsid w:val="5D215199"/>
    <w:rsid w:val="5DA36519"/>
    <w:rsid w:val="5E3E5D43"/>
    <w:rsid w:val="5E3F58C9"/>
    <w:rsid w:val="5E8F4270"/>
    <w:rsid w:val="5F406DC4"/>
    <w:rsid w:val="60103816"/>
    <w:rsid w:val="60EC6ACC"/>
    <w:rsid w:val="61655B8D"/>
    <w:rsid w:val="62834F12"/>
    <w:rsid w:val="63305264"/>
    <w:rsid w:val="63395513"/>
    <w:rsid w:val="63E50F2E"/>
    <w:rsid w:val="641B1A28"/>
    <w:rsid w:val="643847A7"/>
    <w:rsid w:val="646850D1"/>
    <w:rsid w:val="647155AF"/>
    <w:rsid w:val="656B1AFE"/>
    <w:rsid w:val="65B9075D"/>
    <w:rsid w:val="65CD18E1"/>
    <w:rsid w:val="65F04B2B"/>
    <w:rsid w:val="67AC21C4"/>
    <w:rsid w:val="67AC4D96"/>
    <w:rsid w:val="6A3E2DD0"/>
    <w:rsid w:val="6C49746F"/>
    <w:rsid w:val="6CAB169B"/>
    <w:rsid w:val="6CEE5341"/>
    <w:rsid w:val="6E60137A"/>
    <w:rsid w:val="6F951527"/>
    <w:rsid w:val="702502A7"/>
    <w:rsid w:val="70405E25"/>
    <w:rsid w:val="705067E1"/>
    <w:rsid w:val="706B361B"/>
    <w:rsid w:val="707B34B7"/>
    <w:rsid w:val="70FC1342"/>
    <w:rsid w:val="71B65C45"/>
    <w:rsid w:val="7272487F"/>
    <w:rsid w:val="729A5AB1"/>
    <w:rsid w:val="73B953C9"/>
    <w:rsid w:val="74047C0A"/>
    <w:rsid w:val="741527AA"/>
    <w:rsid w:val="74960A38"/>
    <w:rsid w:val="7496373A"/>
    <w:rsid w:val="74C40D97"/>
    <w:rsid w:val="74E40723"/>
    <w:rsid w:val="75417E42"/>
    <w:rsid w:val="754B1461"/>
    <w:rsid w:val="7673393E"/>
    <w:rsid w:val="76841A28"/>
    <w:rsid w:val="771534DA"/>
    <w:rsid w:val="778E659F"/>
    <w:rsid w:val="78420591"/>
    <w:rsid w:val="78B665A5"/>
    <w:rsid w:val="78BA6032"/>
    <w:rsid w:val="794A7BF0"/>
    <w:rsid w:val="7A5F10F5"/>
    <w:rsid w:val="7ABC432D"/>
    <w:rsid w:val="7B665E87"/>
    <w:rsid w:val="7B8A2158"/>
    <w:rsid w:val="7BC136AD"/>
    <w:rsid w:val="7C2526C0"/>
    <w:rsid w:val="7CA11787"/>
    <w:rsid w:val="7CB65982"/>
    <w:rsid w:val="7CFC339A"/>
    <w:rsid w:val="7E7219C6"/>
    <w:rsid w:val="7E745105"/>
    <w:rsid w:val="7FBE2972"/>
    <w:rsid w:val="7FF87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32"/>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33"/>
    <w:qFormat/>
    <w:uiPriority w:val="0"/>
    <w:pPr>
      <w:keepNext/>
      <w:keepLines/>
      <w:spacing w:before="260" w:after="260" w:line="416" w:lineRule="auto"/>
      <w:outlineLvl w:val="2"/>
    </w:pPr>
    <w:rPr>
      <w:b/>
      <w:bCs/>
      <w:kern w:val="0"/>
      <w:sz w:val="32"/>
      <w:szCs w:val="32"/>
    </w:rPr>
  </w:style>
  <w:style w:type="paragraph" w:styleId="6">
    <w:name w:val="heading 4"/>
    <w:basedOn w:val="5"/>
    <w:next w:val="4"/>
    <w:link w:val="34"/>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6"/>
    <w:next w:val="4"/>
    <w:link w:val="35"/>
    <w:qFormat/>
    <w:uiPriority w:val="0"/>
    <w:pPr>
      <w:numPr>
        <w:ilvl w:val="4"/>
      </w:numPr>
      <w:spacing w:line="240" w:lineRule="exact"/>
      <w:outlineLvl w:val="4"/>
    </w:pPr>
  </w:style>
  <w:style w:type="paragraph" w:styleId="8">
    <w:name w:val="heading 7"/>
    <w:basedOn w:val="1"/>
    <w:next w:val="4"/>
    <w:link w:val="36"/>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4"/>
    <w:link w:val="37"/>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4"/>
    <w:link w:val="38"/>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Normal Indent"/>
    <w:basedOn w:val="1"/>
    <w:qFormat/>
    <w:uiPriority w:val="0"/>
    <w:pPr>
      <w:ind w:firstLine="420" w:firstLineChars="200"/>
    </w:pPr>
  </w:style>
  <w:style w:type="paragraph" w:styleId="11">
    <w:name w:val="Document Map"/>
    <w:basedOn w:val="1"/>
    <w:link w:val="50"/>
    <w:semiHidden/>
    <w:qFormat/>
    <w:uiPriority w:val="0"/>
    <w:pPr>
      <w:shd w:val="clear" w:color="auto" w:fill="000080"/>
    </w:pPr>
    <w:rPr>
      <w:kern w:val="0"/>
      <w:sz w:val="20"/>
    </w:rPr>
  </w:style>
  <w:style w:type="paragraph" w:styleId="12">
    <w:name w:val="annotation text"/>
    <w:basedOn w:val="1"/>
    <w:link w:val="44"/>
    <w:semiHidden/>
    <w:qFormat/>
    <w:uiPriority w:val="0"/>
    <w:pPr>
      <w:jc w:val="left"/>
    </w:pPr>
    <w:rPr>
      <w:kern w:val="0"/>
      <w:sz w:val="20"/>
    </w:rPr>
  </w:style>
  <w:style w:type="paragraph" w:styleId="13">
    <w:name w:val="Body Text"/>
    <w:basedOn w:val="1"/>
    <w:link w:val="42"/>
    <w:qFormat/>
    <w:uiPriority w:val="0"/>
    <w:pPr>
      <w:pBdr>
        <w:top w:val="single" w:color="auto" w:sz="4" w:space="1"/>
      </w:pBdr>
    </w:pPr>
    <w:rPr>
      <w:b/>
      <w:bCs/>
      <w:kern w:val="0"/>
      <w:sz w:val="20"/>
    </w:rPr>
  </w:style>
  <w:style w:type="paragraph" w:styleId="14">
    <w:name w:val="Body Text Indent"/>
    <w:basedOn w:val="1"/>
    <w:link w:val="43"/>
    <w:qFormat/>
    <w:uiPriority w:val="0"/>
    <w:pPr>
      <w:ind w:firstLine="600" w:firstLineChars="200"/>
    </w:pPr>
    <w:rPr>
      <w:rFonts w:ascii="宋体"/>
      <w:kern w:val="0"/>
      <w:sz w:val="30"/>
      <w:szCs w:val="20"/>
    </w:rPr>
  </w:style>
  <w:style w:type="paragraph" w:styleId="15">
    <w:name w:val="Plain Text"/>
    <w:basedOn w:val="1"/>
    <w:link w:val="39"/>
    <w:qFormat/>
    <w:uiPriority w:val="0"/>
    <w:rPr>
      <w:rFonts w:ascii="宋体" w:hAnsi="Courier New"/>
      <w:kern w:val="0"/>
      <w:sz w:val="20"/>
      <w:szCs w:val="20"/>
    </w:rPr>
  </w:style>
  <w:style w:type="paragraph" w:styleId="16">
    <w:name w:val="Date"/>
    <w:basedOn w:val="1"/>
    <w:next w:val="1"/>
    <w:link w:val="45"/>
    <w:qFormat/>
    <w:uiPriority w:val="0"/>
    <w:pPr>
      <w:ind w:left="100" w:leftChars="2500"/>
    </w:pPr>
    <w:rPr>
      <w:kern w:val="0"/>
      <w:sz w:val="20"/>
    </w:rPr>
  </w:style>
  <w:style w:type="paragraph" w:styleId="17">
    <w:name w:val="Balloon Text"/>
    <w:basedOn w:val="1"/>
    <w:link w:val="46"/>
    <w:semiHidden/>
    <w:qFormat/>
    <w:uiPriority w:val="0"/>
    <w:rPr>
      <w:kern w:val="0"/>
      <w:sz w:val="18"/>
      <w:szCs w:val="18"/>
    </w:rPr>
  </w:style>
  <w:style w:type="paragraph" w:styleId="18">
    <w:name w:val="footer"/>
    <w:basedOn w:val="1"/>
    <w:link w:val="40"/>
    <w:qFormat/>
    <w:uiPriority w:val="0"/>
    <w:pPr>
      <w:tabs>
        <w:tab w:val="center" w:pos="4153"/>
        <w:tab w:val="right" w:pos="8306"/>
      </w:tabs>
      <w:snapToGrid w:val="0"/>
      <w:jc w:val="left"/>
    </w:pPr>
    <w:rPr>
      <w:kern w:val="0"/>
      <w:sz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kern w:val="0"/>
      <w:sz w:val="18"/>
    </w:rPr>
  </w:style>
  <w:style w:type="paragraph" w:styleId="20">
    <w:name w:val="Normal (Web)"/>
    <w:basedOn w:val="1"/>
    <w:qFormat/>
    <w:uiPriority w:val="0"/>
    <w:rPr>
      <w:sz w:val="24"/>
    </w:rPr>
  </w:style>
  <w:style w:type="paragraph" w:styleId="21">
    <w:name w:val="Title"/>
    <w:basedOn w:val="1"/>
    <w:link w:val="49"/>
    <w:qFormat/>
    <w:uiPriority w:val="0"/>
    <w:pPr>
      <w:spacing w:before="240" w:after="60"/>
      <w:jc w:val="center"/>
      <w:outlineLvl w:val="0"/>
    </w:pPr>
    <w:rPr>
      <w:rFonts w:ascii="Arial" w:hAnsi="Arial"/>
      <w:b/>
      <w:bCs/>
      <w:kern w:val="0"/>
      <w:sz w:val="32"/>
      <w:szCs w:val="32"/>
    </w:rPr>
  </w:style>
  <w:style w:type="paragraph" w:styleId="22">
    <w:name w:val="annotation subject"/>
    <w:basedOn w:val="12"/>
    <w:next w:val="12"/>
    <w:link w:val="48"/>
    <w:semiHidden/>
    <w:qFormat/>
    <w:uiPriority w:val="0"/>
    <w:rPr>
      <w:b/>
      <w:bCs/>
    </w:rPr>
  </w:style>
  <w:style w:type="paragraph" w:styleId="23">
    <w:name w:val="Body Text First Indent"/>
    <w:basedOn w:val="13"/>
    <w:qFormat/>
    <w:uiPriority w:val="99"/>
    <w:pPr>
      <w:ind w:firstLine="420" w:firstLineChars="100"/>
    </w:pPr>
  </w:style>
  <w:style w:type="paragraph" w:styleId="24">
    <w:name w:val="Body Text First Indent 2"/>
    <w:basedOn w:val="14"/>
    <w:semiHidden/>
    <w:unhideWhenUsed/>
    <w:qFormat/>
    <w:uiPriority w:val="99"/>
    <w:pPr>
      <w:spacing w:after="120"/>
      <w:ind w:left="420" w:leftChars="200" w:firstLine="420"/>
    </w:pPr>
    <w:rPr>
      <w:rFonts w:ascii="Times New Roman"/>
      <w:kern w:val="2"/>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0"/>
    <w:rPr>
      <w:color w:val="0000FF"/>
      <w:u w:val="single"/>
    </w:rPr>
  </w:style>
  <w:style w:type="character" w:styleId="30">
    <w:name w:val="annotation reference"/>
    <w:unhideWhenUsed/>
    <w:qFormat/>
    <w:uiPriority w:val="0"/>
    <w:rPr>
      <w:sz w:val="21"/>
      <w:szCs w:val="21"/>
    </w:rPr>
  </w:style>
  <w:style w:type="paragraph" w:customStyle="1" w:styleId="3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标题 2 Char"/>
    <w:link w:val="3"/>
    <w:qFormat/>
    <w:uiPriority w:val="0"/>
    <w:rPr>
      <w:rFonts w:ascii="Arial" w:hAnsi="Arial" w:eastAsia="宋体" w:cs="Times New Roman"/>
      <w:b/>
      <w:color w:val="000000"/>
      <w:sz w:val="24"/>
      <w:szCs w:val="24"/>
    </w:rPr>
  </w:style>
  <w:style w:type="character" w:customStyle="1" w:styleId="33">
    <w:name w:val="标题 3 Char"/>
    <w:link w:val="5"/>
    <w:qFormat/>
    <w:uiPriority w:val="0"/>
    <w:rPr>
      <w:rFonts w:ascii="Times New Roman" w:hAnsi="Times New Roman" w:eastAsia="宋体" w:cs="Times New Roman"/>
      <w:b/>
      <w:bCs/>
      <w:sz w:val="32"/>
      <w:szCs w:val="32"/>
    </w:rPr>
  </w:style>
  <w:style w:type="character" w:customStyle="1" w:styleId="34">
    <w:name w:val="标题 4 Char"/>
    <w:link w:val="6"/>
    <w:qFormat/>
    <w:uiPriority w:val="0"/>
    <w:rPr>
      <w:rFonts w:ascii="Arial" w:hAnsi="Arial" w:eastAsia="宋体" w:cs="Times New Roman"/>
      <w:color w:val="000000"/>
      <w:sz w:val="24"/>
      <w:szCs w:val="24"/>
    </w:rPr>
  </w:style>
  <w:style w:type="character" w:customStyle="1" w:styleId="35">
    <w:name w:val="标题 5 Char"/>
    <w:link w:val="7"/>
    <w:qFormat/>
    <w:uiPriority w:val="0"/>
    <w:rPr>
      <w:rFonts w:ascii="Arial" w:hAnsi="Arial" w:eastAsia="宋体" w:cs="Times New Roman"/>
      <w:color w:val="000000"/>
      <w:sz w:val="24"/>
      <w:szCs w:val="24"/>
    </w:rPr>
  </w:style>
  <w:style w:type="character" w:customStyle="1" w:styleId="36">
    <w:name w:val="标题 7 Char"/>
    <w:link w:val="8"/>
    <w:qFormat/>
    <w:uiPriority w:val="0"/>
    <w:rPr>
      <w:rFonts w:ascii="Times New Roman" w:hAnsi="Times New Roman" w:eastAsia="宋体" w:cs="Times New Roman"/>
      <w:b/>
      <w:sz w:val="24"/>
      <w:szCs w:val="20"/>
    </w:rPr>
  </w:style>
  <w:style w:type="character" w:customStyle="1" w:styleId="37">
    <w:name w:val="标题 8 Char"/>
    <w:link w:val="9"/>
    <w:qFormat/>
    <w:uiPriority w:val="0"/>
    <w:rPr>
      <w:rFonts w:ascii="Arial" w:hAnsi="Arial" w:eastAsia="黑体" w:cs="Times New Roman"/>
      <w:sz w:val="24"/>
      <w:szCs w:val="20"/>
    </w:rPr>
  </w:style>
  <w:style w:type="character" w:customStyle="1" w:styleId="38">
    <w:name w:val="标题 9 Char"/>
    <w:link w:val="10"/>
    <w:qFormat/>
    <w:uiPriority w:val="0"/>
    <w:rPr>
      <w:rFonts w:ascii="Arial" w:hAnsi="Arial" w:eastAsia="黑体" w:cs="Times New Roman"/>
      <w:szCs w:val="20"/>
    </w:rPr>
  </w:style>
  <w:style w:type="character" w:customStyle="1" w:styleId="39">
    <w:name w:val="纯文本 Char"/>
    <w:link w:val="15"/>
    <w:qFormat/>
    <w:uiPriority w:val="0"/>
    <w:rPr>
      <w:rFonts w:ascii="宋体" w:hAnsi="Courier New" w:eastAsia="宋体" w:cs="Times New Roman"/>
      <w:szCs w:val="20"/>
    </w:rPr>
  </w:style>
  <w:style w:type="character" w:customStyle="1" w:styleId="40">
    <w:name w:val="页脚 Char"/>
    <w:link w:val="18"/>
    <w:qFormat/>
    <w:uiPriority w:val="0"/>
    <w:rPr>
      <w:rFonts w:ascii="Times New Roman" w:hAnsi="Times New Roman" w:eastAsia="宋体" w:cs="Times New Roman"/>
      <w:sz w:val="18"/>
      <w:szCs w:val="24"/>
    </w:rPr>
  </w:style>
  <w:style w:type="character" w:customStyle="1" w:styleId="41">
    <w:name w:val="页眉 Char"/>
    <w:link w:val="19"/>
    <w:qFormat/>
    <w:uiPriority w:val="0"/>
    <w:rPr>
      <w:rFonts w:ascii="Times New Roman" w:hAnsi="Times New Roman" w:eastAsia="宋体" w:cs="Times New Roman"/>
      <w:sz w:val="18"/>
      <w:szCs w:val="24"/>
    </w:rPr>
  </w:style>
  <w:style w:type="character" w:customStyle="1" w:styleId="42">
    <w:name w:val="正文文本 Char"/>
    <w:link w:val="13"/>
    <w:qFormat/>
    <w:uiPriority w:val="0"/>
    <w:rPr>
      <w:rFonts w:ascii="Times New Roman" w:hAnsi="Times New Roman" w:eastAsia="宋体" w:cs="Times New Roman"/>
      <w:b/>
      <w:bCs/>
      <w:szCs w:val="24"/>
    </w:rPr>
  </w:style>
  <w:style w:type="character" w:customStyle="1" w:styleId="43">
    <w:name w:val="正文文本缩进 Char"/>
    <w:link w:val="14"/>
    <w:qFormat/>
    <w:uiPriority w:val="0"/>
    <w:rPr>
      <w:rFonts w:ascii="宋体" w:hAnsi="Times New Roman" w:eastAsia="宋体" w:cs="Times New Roman"/>
      <w:sz w:val="30"/>
      <w:szCs w:val="20"/>
    </w:rPr>
  </w:style>
  <w:style w:type="character" w:customStyle="1" w:styleId="44">
    <w:name w:val="批注文字 Char"/>
    <w:link w:val="12"/>
    <w:semiHidden/>
    <w:qFormat/>
    <w:uiPriority w:val="0"/>
    <w:rPr>
      <w:rFonts w:ascii="Times New Roman" w:hAnsi="Times New Roman" w:eastAsia="宋体" w:cs="Times New Roman"/>
      <w:szCs w:val="24"/>
    </w:rPr>
  </w:style>
  <w:style w:type="character" w:customStyle="1" w:styleId="45">
    <w:name w:val="日期 Char"/>
    <w:link w:val="16"/>
    <w:qFormat/>
    <w:uiPriority w:val="0"/>
    <w:rPr>
      <w:rFonts w:ascii="Times New Roman" w:hAnsi="Times New Roman" w:eastAsia="宋体" w:cs="Times New Roman"/>
      <w:szCs w:val="24"/>
    </w:rPr>
  </w:style>
  <w:style w:type="character" w:customStyle="1" w:styleId="46">
    <w:name w:val="批注框文本 Char"/>
    <w:link w:val="17"/>
    <w:semiHidden/>
    <w:qFormat/>
    <w:uiPriority w:val="0"/>
    <w:rPr>
      <w:rFonts w:ascii="Times New Roman" w:hAnsi="Times New Roman" w:eastAsia="宋体" w:cs="Times New Roman"/>
      <w:sz w:val="18"/>
      <w:szCs w:val="18"/>
    </w:rPr>
  </w:style>
  <w:style w:type="paragraph" w:customStyle="1" w:styleId="47">
    <w:name w:val="样式 标题 3 + 首行缩进:  1.06 厘米"/>
    <w:basedOn w:val="5"/>
    <w:qFormat/>
    <w:uiPriority w:val="0"/>
    <w:pPr>
      <w:spacing w:before="120" w:after="0" w:line="240" w:lineRule="auto"/>
      <w:jc w:val="center"/>
    </w:pPr>
    <w:rPr>
      <w:rFonts w:ascii="宋体" w:hAnsi="宋体" w:cs="宋体"/>
      <w:bCs w:val="0"/>
      <w:color w:val="000000"/>
    </w:rPr>
  </w:style>
  <w:style w:type="character" w:customStyle="1" w:styleId="48">
    <w:name w:val="批注主题 Char"/>
    <w:link w:val="22"/>
    <w:semiHidden/>
    <w:qFormat/>
    <w:uiPriority w:val="0"/>
    <w:rPr>
      <w:rFonts w:ascii="Times New Roman" w:hAnsi="Times New Roman" w:eastAsia="宋体" w:cs="Times New Roman"/>
      <w:b/>
      <w:bCs/>
      <w:szCs w:val="24"/>
    </w:rPr>
  </w:style>
  <w:style w:type="character" w:customStyle="1" w:styleId="49">
    <w:name w:val="标题 Char"/>
    <w:link w:val="21"/>
    <w:qFormat/>
    <w:uiPriority w:val="0"/>
    <w:rPr>
      <w:rFonts w:ascii="Arial" w:hAnsi="Arial" w:eastAsia="宋体" w:cs="Arial"/>
      <w:b/>
      <w:bCs/>
      <w:sz w:val="32"/>
      <w:szCs w:val="32"/>
    </w:rPr>
  </w:style>
  <w:style w:type="character" w:customStyle="1" w:styleId="50">
    <w:name w:val="文档结构图 Char"/>
    <w:link w:val="11"/>
    <w:semiHidden/>
    <w:qFormat/>
    <w:uiPriority w:val="0"/>
    <w:rPr>
      <w:rFonts w:ascii="Times New Roman" w:hAnsi="Times New Roman" w:eastAsia="宋体" w:cs="Times New Roman"/>
      <w:szCs w:val="24"/>
      <w:shd w:val="clear" w:color="auto" w:fill="000080"/>
    </w:rPr>
  </w:style>
  <w:style w:type="paragraph" w:customStyle="1" w:styleId="51">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2">
    <w:name w:val="font21"/>
    <w:basedOn w:val="27"/>
    <w:qFormat/>
    <w:uiPriority w:val="0"/>
    <w:rPr>
      <w:rFonts w:hint="eastAsia" w:ascii="宋体" w:hAnsi="宋体" w:eastAsia="宋体" w:cs="宋体"/>
      <w:color w:val="0066CC"/>
      <w:sz w:val="20"/>
      <w:szCs w:val="20"/>
      <w:u w:val="none"/>
    </w:rPr>
  </w:style>
  <w:style w:type="paragraph" w:customStyle="1" w:styleId="53">
    <w:name w:val="文二"/>
    <w:basedOn w:val="1"/>
    <w:qFormat/>
    <w:uiPriority w:val="0"/>
    <w:rPr>
      <w:rFonts w:ascii="宋体" w:hAnsi="宋体"/>
      <w:szCs w:val="21"/>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5">
    <w:name w:val="Plain Text1"/>
    <w:basedOn w:val="1"/>
    <w:qFormat/>
    <w:uiPriority w:val="99"/>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55C5D-58F7-4560-9A10-AFB48FEE01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26928</Words>
  <Characters>29160</Characters>
  <Lines>189</Lines>
  <Paragraphs>53</Paragraphs>
  <TotalTime>138</TotalTime>
  <ScaleCrop>false</ScaleCrop>
  <LinksUpToDate>false</LinksUpToDate>
  <CharactersWithSpaces>31128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2020-11-27T04:38:00Z</dcterms:created>
  <dc:creator>微软用户</dc:creator>
  <cp:lastModifiedBy>迪迪</cp:lastModifiedBy>
  <cp:lastPrinted>2023-04-26T03:23:00Z</cp:lastPrinted>
  <dcterms:modified xsi:type="dcterms:W3CDTF">2023-04-26T06:57:38Z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0429B5568111463D84D4EC3D99BF64A3</vt:lpwstr>
  </property>
</Properties>
</file>