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center"/>
        <w:rPr>
          <w:rFonts w:ascii="宋体" w:hAnsi="宋体" w:cs="宋体"/>
          <w:b/>
          <w:color w:val="auto"/>
          <w:sz w:val="48"/>
          <w:szCs w:val="52"/>
          <w:highlight w:val="none"/>
          <w:u w:val="single"/>
        </w:rPr>
      </w:pPr>
    </w:p>
    <w:p>
      <w:pPr>
        <w:pStyle w:val="2"/>
        <w:rPr>
          <w:color w:val="auto"/>
          <w:highlight w:val="none"/>
        </w:rPr>
      </w:pPr>
    </w:p>
    <w:p>
      <w:pPr>
        <w:spacing w:line="360" w:lineRule="auto"/>
        <w:jc w:val="center"/>
        <w:rPr>
          <w:rFonts w:hint="eastAsia" w:eastAsia="宋体"/>
          <w:color w:val="auto"/>
          <w:sz w:val="36"/>
          <w:highlight w:val="none"/>
          <w:u w:val="single"/>
          <w:lang w:eastAsia="zh-CN"/>
        </w:rPr>
      </w:pPr>
      <w:r>
        <w:rPr>
          <w:rFonts w:hint="eastAsia"/>
          <w:color w:val="auto"/>
          <w:sz w:val="36"/>
          <w:highlight w:val="none"/>
          <w:u w:val="single"/>
          <w:lang w:eastAsia="zh-CN"/>
        </w:rPr>
        <w:t>市教育局广东广雅中学用电增容维护维修经费</w:t>
      </w:r>
    </w:p>
    <w:p>
      <w:pPr>
        <w:spacing w:line="360" w:lineRule="auto"/>
        <w:jc w:val="center"/>
        <w:rPr>
          <w:rFonts w:eastAsia="楷体_GB2312"/>
          <w:b/>
          <w:bCs/>
          <w:color w:val="auto"/>
          <w:spacing w:val="26"/>
          <w:sz w:val="110"/>
          <w:szCs w:val="110"/>
          <w:highlight w:val="none"/>
        </w:rPr>
      </w:pPr>
    </w:p>
    <w:p>
      <w:pPr>
        <w:spacing w:line="360" w:lineRule="auto"/>
        <w:jc w:val="center"/>
        <w:rPr>
          <w:rFonts w:eastAsia="楷体_GB2312"/>
          <w:b/>
          <w:bCs/>
          <w:color w:val="auto"/>
          <w:spacing w:val="26"/>
          <w:sz w:val="110"/>
          <w:szCs w:val="110"/>
          <w:highlight w:val="non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ind w:firstLine="900" w:firstLineChars="300"/>
        <w:rPr>
          <w:rFonts w:hint="eastAsia" w:eastAsia="宋体"/>
          <w:color w:val="auto"/>
          <w:sz w:val="30"/>
          <w:szCs w:val="30"/>
          <w:highlight w:val="none"/>
          <w:u w:val="single"/>
          <w:lang w:eastAsia="zh-CN"/>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lang w:eastAsia="zh-CN"/>
        </w:rPr>
        <w:t>广州市教育基建和装备中心</w:t>
      </w:r>
    </w:p>
    <w:p>
      <w:pPr>
        <w:spacing w:line="360" w:lineRule="auto"/>
        <w:ind w:firstLine="945"/>
        <w:rPr>
          <w:color w:val="auto"/>
          <w:sz w:val="30"/>
          <w:szCs w:val="30"/>
          <w:highlight w:val="none"/>
          <w:u w:val="single"/>
        </w:rPr>
      </w:pPr>
      <w:r>
        <w:rPr>
          <w:rFonts w:hint="eastAsia"/>
          <w:color w:val="auto"/>
          <w:sz w:val="30"/>
          <w:szCs w:val="30"/>
          <w:highlight w:val="none"/>
        </w:rPr>
        <w:t>招标代理单位：</w:t>
      </w:r>
      <w:r>
        <w:rPr>
          <w:rFonts w:hint="eastAsia"/>
          <w:color w:val="auto"/>
          <w:sz w:val="30"/>
          <w:szCs w:val="30"/>
          <w:highlight w:val="none"/>
          <w:u w:val="single"/>
        </w:rPr>
        <w:t>建成工程咨询股份有限公司</w:t>
      </w:r>
    </w:p>
    <w:p>
      <w:pPr>
        <w:spacing w:line="360" w:lineRule="auto"/>
        <w:ind w:firstLine="945"/>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rPr>
        <w:t>202</w:t>
      </w:r>
      <w:r>
        <w:rPr>
          <w:rFonts w:hint="eastAsia"/>
          <w:color w:val="auto"/>
          <w:sz w:val="32"/>
          <w:highlight w:val="none"/>
          <w:u w:val="single"/>
          <w:lang w:val="en-US" w:eastAsia="zh-CN"/>
        </w:rPr>
        <w:t>3</w:t>
      </w:r>
      <w:r>
        <w:rPr>
          <w:rFonts w:hint="eastAsia"/>
          <w:color w:val="auto"/>
          <w:sz w:val="32"/>
          <w:highlight w:val="none"/>
          <w:u w:val="single"/>
        </w:rPr>
        <w:t xml:space="preserve">年     月      日 </w:t>
      </w:r>
    </w:p>
    <w:p>
      <w:pPr>
        <w:jc w:val="center"/>
        <w:rPr>
          <w:rFonts w:ascii="宋体" w:hAnsi="宋体"/>
          <w:b/>
          <w:caps/>
          <w:color w:val="auto"/>
          <w:kern w:val="0"/>
          <w:highlight w:val="none"/>
        </w:rPr>
      </w:pPr>
      <w:r>
        <w:rPr>
          <w:rStyle w:val="43"/>
          <w:b/>
          <w:bCs/>
          <w:color w:val="auto"/>
          <w:highlight w:val="none"/>
        </w:rPr>
        <w:br w:type="page"/>
      </w:r>
      <w:r>
        <w:rPr>
          <w:rStyle w:val="43"/>
          <w:rFonts w:hint="eastAsia"/>
          <w:b/>
          <w:bCs/>
          <w:color w:val="auto"/>
          <w:sz w:val="28"/>
          <w:szCs w:val="28"/>
          <w:highlight w:val="none"/>
        </w:rPr>
        <w:t>目录</w:t>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"_Toc9322" </w:instrText>
      </w:r>
      <w:r>
        <w:rPr>
          <w:color w:val="auto"/>
          <w:highlight w:val="none"/>
        </w:rPr>
        <w:fldChar w:fldCharType="separate"/>
      </w:r>
      <w:r>
        <w:rPr>
          <w:rFonts w:hint="eastAsia"/>
          <w:color w:val="auto"/>
          <w:highlight w:val="none"/>
        </w:rPr>
        <w:t>第一章</w:t>
      </w:r>
      <w:r>
        <w:rPr>
          <w:color w:val="auto"/>
          <w:highlight w:val="none"/>
        </w:rPr>
        <w:t xml:space="preserve">  </w:t>
      </w:r>
      <w:r>
        <w:rPr>
          <w:rFonts w:hint="eastAsia"/>
          <w:color w:val="auto"/>
          <w:highlight w:val="none"/>
        </w:rPr>
        <w:t>投标须知</w:t>
      </w:r>
      <w:r>
        <w:rPr>
          <w:color w:val="auto"/>
          <w:highlight w:val="none"/>
        </w:rPr>
        <w:tab/>
      </w:r>
      <w:r>
        <w:rPr>
          <w:color w:val="auto"/>
          <w:highlight w:val="none"/>
        </w:rPr>
        <w:fldChar w:fldCharType="begin"/>
      </w:r>
      <w:r>
        <w:rPr>
          <w:color w:val="auto"/>
          <w:highlight w:val="none"/>
        </w:rPr>
        <w:instrText xml:space="preserve"> PAGEREF _Toc9322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"_Toc8788" </w:instrText>
      </w:r>
      <w:r>
        <w:rPr>
          <w:color w:val="auto"/>
          <w:highlight w:val="none"/>
        </w:rPr>
        <w:fldChar w:fldCharType="separate"/>
      </w:r>
      <w:r>
        <w:rPr>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_Toc8788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"_Toc675" </w:instrText>
      </w:r>
      <w:r>
        <w:rPr>
          <w:color w:val="auto"/>
          <w:highlight w:val="none"/>
        </w:rPr>
        <w:fldChar w:fldCharType="separate"/>
      </w:r>
      <w:r>
        <w:rPr>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_Toc675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"_Toc6272" </w:instrText>
      </w:r>
      <w:r>
        <w:rPr>
          <w:color w:val="auto"/>
          <w:highlight w:val="none"/>
        </w:rPr>
        <w:fldChar w:fldCharType="separate"/>
      </w:r>
      <w:r>
        <w:rPr>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_Toc6272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"_Toc9146" </w:instrText>
      </w:r>
      <w:r>
        <w:rPr>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_Toc9146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"_Toc2060" </w:instrText>
      </w:r>
      <w:r>
        <w:rPr>
          <w:color w:val="auto"/>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_Toc2060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"_Toc17354" </w:instrText>
      </w:r>
      <w:r>
        <w:rPr>
          <w:color w:val="auto"/>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_Toc17354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"_Toc9830" </w:instrText>
      </w:r>
      <w:r>
        <w:rPr>
          <w:color w:val="auto"/>
          <w:highlight w:val="none"/>
        </w:rPr>
        <w:fldChar w:fldCharType="separate"/>
      </w:r>
      <w:r>
        <w:rPr>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_Toc9830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"_Toc3390" </w:instrText>
      </w:r>
      <w:r>
        <w:rPr>
          <w:color w:val="auto"/>
          <w:highlight w:val="none"/>
        </w:rPr>
        <w:fldChar w:fldCharType="separate"/>
      </w:r>
      <w:r>
        <w:rPr>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_Toc3390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"_Toc31773" </w:instrText>
      </w:r>
      <w:r>
        <w:rPr>
          <w:color w:val="auto"/>
          <w:highlight w:val="none"/>
        </w:rPr>
        <w:fldChar w:fldCharType="separate"/>
      </w:r>
      <w:r>
        <w:rPr>
          <w:rFonts w:hint="eastAsia"/>
          <w:color w:val="auto"/>
          <w:highlight w:val="none"/>
        </w:rPr>
        <w:t>第二章</w:t>
      </w:r>
      <w:r>
        <w:rPr>
          <w:color w:val="auto"/>
          <w:highlight w:val="none"/>
        </w:rPr>
        <w:t xml:space="preserve">  </w:t>
      </w:r>
      <w:r>
        <w:rPr>
          <w:rFonts w:hint="eastAsia"/>
          <w:color w:val="auto"/>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_Toc31773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"_Toc5878" </w:instrText>
      </w:r>
      <w:r>
        <w:rPr>
          <w:color w:val="auto"/>
          <w:highlight w:val="none"/>
        </w:rPr>
        <w:fldChar w:fldCharType="separate"/>
      </w:r>
      <w:r>
        <w:rPr>
          <w:rFonts w:hint="eastAsia"/>
          <w:color w:val="auto"/>
          <w:szCs w:val="28"/>
          <w:highlight w:val="none"/>
        </w:rPr>
        <w:t>一、</w:t>
      </w:r>
      <w:r>
        <w:rPr>
          <w:rFonts w:hint="eastAsia"/>
          <w:color w:val="auto"/>
          <w:highlight w:val="none"/>
        </w:rPr>
        <w:t>开标、评标及定标办法修改表</w:t>
      </w:r>
      <w:r>
        <w:rPr>
          <w:color w:val="auto"/>
          <w:highlight w:val="none"/>
        </w:rPr>
        <w:tab/>
      </w:r>
      <w:r>
        <w:rPr>
          <w:color w:val="auto"/>
          <w:highlight w:val="none"/>
        </w:rPr>
        <w:fldChar w:fldCharType="begin"/>
      </w:r>
      <w:r>
        <w:rPr>
          <w:color w:val="auto"/>
          <w:highlight w:val="none"/>
        </w:rPr>
        <w:instrText xml:space="preserve"> PAGEREF _Toc5878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"_Toc23290" </w:instrText>
      </w:r>
      <w:r>
        <w:rPr>
          <w:color w:val="auto"/>
          <w:highlight w:val="none"/>
        </w:rPr>
        <w:fldChar w:fldCharType="separate"/>
      </w:r>
      <w:r>
        <w:rPr>
          <w:rFonts w:hint="eastAsia"/>
          <w:color w:val="auto"/>
          <w:highlight w:val="none"/>
        </w:rPr>
        <w:t>二、开标、评标及定标办法</w:t>
      </w:r>
      <w:r>
        <w:rPr>
          <w:rFonts w:hint="eastAsia"/>
          <w:color w:val="auto"/>
          <w:szCs w:val="30"/>
          <w:highlight w:val="none"/>
        </w:rPr>
        <w:t>通用条款</w:t>
      </w:r>
      <w:r>
        <w:rPr>
          <w:color w:val="auto"/>
          <w:highlight w:val="none"/>
        </w:rPr>
        <w:tab/>
      </w:r>
      <w:r>
        <w:rPr>
          <w:color w:val="auto"/>
          <w:highlight w:val="none"/>
        </w:rPr>
        <w:fldChar w:fldCharType="begin"/>
      </w:r>
      <w:r>
        <w:rPr>
          <w:color w:val="auto"/>
          <w:highlight w:val="none"/>
        </w:rPr>
        <w:instrText xml:space="preserve"> PAGEREF _Toc23290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"_Toc12405" </w:instrText>
      </w:r>
      <w:r>
        <w:rPr>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_Toc12405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"_Toc28130" </w:instrText>
      </w:r>
      <w:r>
        <w:rPr>
          <w:color w:val="auto"/>
          <w:highlight w:val="none"/>
        </w:rPr>
        <w:fldChar w:fldCharType="separate"/>
      </w:r>
      <w:r>
        <w:rPr>
          <w:rFonts w:hint="eastAsia"/>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_Toc28130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"_Toc21680" </w:instrText>
      </w:r>
      <w:r>
        <w:rPr>
          <w:color w:val="auto"/>
          <w:highlight w:val="none"/>
        </w:rPr>
        <w:fldChar w:fldCharType="separate"/>
      </w:r>
      <w:r>
        <w:rPr>
          <w:rFonts w:hint="eastAsia"/>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_Toc21680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"_Toc30968" </w:instrText>
      </w:r>
      <w:r>
        <w:rPr>
          <w:color w:val="auto"/>
          <w:highlight w:val="none"/>
        </w:rPr>
        <w:fldChar w:fldCharType="separate"/>
      </w:r>
      <w:r>
        <w:rPr>
          <w:rFonts w:hint="eastAsia"/>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_Toc30968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"_Toc8251" </w:instrText>
      </w:r>
      <w:r>
        <w:rPr>
          <w:color w:val="auto"/>
          <w:highlight w:val="none"/>
        </w:rPr>
        <w:fldChar w:fldCharType="separate"/>
      </w:r>
      <w:r>
        <w:rPr>
          <w:rFonts w:hint="eastAsia"/>
          <w:color w:val="auto"/>
          <w:highlight w:val="none"/>
        </w:rPr>
        <w:t>第三章</w:t>
      </w:r>
      <w:r>
        <w:rPr>
          <w:color w:val="auto"/>
          <w:highlight w:val="none"/>
        </w:rPr>
        <w:t xml:space="preserve">  </w:t>
      </w:r>
      <w:r>
        <w:rPr>
          <w:rFonts w:hint="eastAsia"/>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_Toc8251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27"/>
        <w:rPr>
          <w:color w:val="auto"/>
          <w:highlight w:val="none"/>
        </w:rPr>
      </w:pPr>
      <w:r>
        <w:rPr>
          <w:color w:val="auto"/>
          <w:highlight w:val="none"/>
        </w:rPr>
        <w:fldChar w:fldCharType="begin"/>
      </w:r>
      <w:r>
        <w:rPr>
          <w:color w:val="auto"/>
          <w:highlight w:val="none"/>
        </w:rPr>
        <w:instrText xml:space="preserve"> HYPERLINK \l "_Toc21393" </w:instrText>
      </w:r>
      <w:r>
        <w:rPr>
          <w:color w:val="auto"/>
          <w:highlight w:val="none"/>
        </w:rPr>
        <w:fldChar w:fldCharType="separate"/>
      </w:r>
      <w:r>
        <w:rPr>
          <w:rFonts w:hint="eastAsia"/>
          <w:color w:val="auto"/>
          <w:highlight w:val="none"/>
        </w:rPr>
        <w:t>第四章</w:t>
      </w:r>
      <w:r>
        <w:rPr>
          <w:color w:val="auto"/>
          <w:highlight w:val="none"/>
        </w:rPr>
        <w:t xml:space="preserve">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_Toc21393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30"/>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"_Toc28464" </w:instrText>
      </w:r>
      <w:r>
        <w:rPr>
          <w:color w:val="auto"/>
          <w:highlight w:val="none"/>
        </w:rPr>
        <w:fldChar w:fldCharType="separate"/>
      </w:r>
      <w:r>
        <w:rPr>
          <w:rFonts w:hint="eastAsia" w:ascii="宋体" w:hAnsi="宋体"/>
          <w:color w:val="auto"/>
          <w:highlight w:val="none"/>
        </w:rPr>
        <w:t>二、经济标投标文件格式</w:t>
      </w:r>
      <w:r>
        <w:rPr>
          <w:color w:val="auto"/>
          <w:highlight w:val="none"/>
        </w:rPr>
        <w:tab/>
      </w:r>
      <w:r>
        <w:rPr>
          <w:color w:val="auto"/>
          <w:highlight w:val="none"/>
        </w:rPr>
        <w:fldChar w:fldCharType="begin"/>
      </w:r>
      <w:r>
        <w:rPr>
          <w:color w:val="auto"/>
          <w:highlight w:val="none"/>
        </w:rPr>
        <w:instrText xml:space="preserve"> PAGEREF _Toc28464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"_Toc7061" </w:instrText>
      </w:r>
      <w:r>
        <w:rPr>
          <w:color w:val="auto"/>
          <w:highlight w:val="none"/>
        </w:rPr>
        <w:fldChar w:fldCharType="separate"/>
      </w:r>
      <w:r>
        <w:rPr>
          <w:rFonts w:hint="eastAsia" w:ascii="宋体" w:hAnsi="宋体"/>
          <w:color w:val="auto"/>
          <w:spacing w:val="4"/>
          <w:kern w:val="0"/>
          <w:szCs w:val="24"/>
          <w:highlight w:val="none"/>
        </w:rPr>
        <w:t>格式一：经济标封面</w:t>
      </w:r>
      <w:r>
        <w:rPr>
          <w:color w:val="auto"/>
          <w:highlight w:val="none"/>
        </w:rPr>
        <w:tab/>
      </w:r>
      <w:r>
        <w:rPr>
          <w:color w:val="auto"/>
          <w:highlight w:val="none"/>
        </w:rPr>
        <w:fldChar w:fldCharType="begin"/>
      </w:r>
      <w:r>
        <w:rPr>
          <w:color w:val="auto"/>
          <w:highlight w:val="none"/>
        </w:rPr>
        <w:instrText xml:space="preserve"> PAGEREF _Toc7061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"_Toc19679" </w:instrText>
      </w:r>
      <w:r>
        <w:rPr>
          <w:color w:val="auto"/>
          <w:highlight w:val="none"/>
        </w:rPr>
        <w:fldChar w:fldCharType="separate"/>
      </w:r>
      <w:r>
        <w:rPr>
          <w:rFonts w:hint="eastAsia" w:ascii="宋体" w:hAnsi="宋体"/>
          <w:color w:val="auto"/>
          <w:spacing w:val="4"/>
          <w:kern w:val="0"/>
          <w:szCs w:val="24"/>
          <w:highlight w:val="none"/>
        </w:rPr>
        <w:t>格式二：工程量清单计价表</w:t>
      </w:r>
      <w:r>
        <w:rPr>
          <w:color w:val="auto"/>
          <w:highlight w:val="none"/>
        </w:rPr>
        <w:tab/>
      </w:r>
      <w:r>
        <w:rPr>
          <w:color w:val="auto"/>
          <w:highlight w:val="none"/>
        </w:rPr>
        <w:fldChar w:fldCharType="begin"/>
      </w:r>
      <w:r>
        <w:rPr>
          <w:color w:val="auto"/>
          <w:highlight w:val="none"/>
        </w:rPr>
        <w:instrText xml:space="preserve"> PAGEREF _Toc19679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"_Toc4037" </w:instrText>
      </w:r>
      <w:r>
        <w:rPr>
          <w:color w:val="auto"/>
          <w:highlight w:val="none"/>
        </w:rPr>
        <w:fldChar w:fldCharType="separate"/>
      </w:r>
      <w:r>
        <w:rPr>
          <w:rFonts w:hint="eastAsia" w:ascii="宋体" w:hAnsi="宋体"/>
          <w:snapToGrid w:val="0"/>
          <w:color w:val="auto"/>
          <w:spacing w:val="4"/>
          <w:kern w:val="0"/>
          <w:szCs w:val="24"/>
          <w:highlight w:val="none"/>
        </w:rPr>
        <w:t>格式三：</w:t>
      </w:r>
      <w:r>
        <w:rPr>
          <w:rFonts w:hint="eastAsia"/>
          <w:color w:val="auto"/>
          <w:szCs w:val="24"/>
          <w:highlight w:val="none"/>
        </w:rPr>
        <w:t>参与编制经济标投标文件人员名单</w:t>
      </w:r>
      <w:r>
        <w:rPr>
          <w:color w:val="auto"/>
          <w:highlight w:val="none"/>
        </w:rPr>
        <w:tab/>
      </w:r>
      <w:r>
        <w:rPr>
          <w:color w:val="auto"/>
          <w:highlight w:val="none"/>
        </w:rPr>
        <w:fldChar w:fldCharType="begin"/>
      </w:r>
      <w:r>
        <w:rPr>
          <w:color w:val="auto"/>
          <w:highlight w:val="none"/>
        </w:rPr>
        <w:instrText xml:space="preserve"> PAGEREF _Toc4037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pPr>
        <w:pStyle w:val="20"/>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"_Toc5169" </w:instrText>
      </w:r>
      <w:r>
        <w:rPr>
          <w:color w:val="auto"/>
          <w:highlight w:val="none"/>
        </w:rPr>
        <w:fldChar w:fldCharType="separate"/>
      </w:r>
      <w:r>
        <w:rPr>
          <w:rFonts w:hint="eastAsia" w:ascii="宋体" w:hAnsi="宋体"/>
          <w:snapToGrid w:val="0"/>
          <w:color w:val="auto"/>
          <w:spacing w:val="4"/>
          <w:kern w:val="0"/>
          <w:szCs w:val="24"/>
          <w:highlight w:val="none"/>
        </w:rPr>
        <w:t>格式四：对投标文件编制的承诺</w:t>
      </w:r>
      <w:r>
        <w:rPr>
          <w:color w:val="auto"/>
          <w:highlight w:val="none"/>
        </w:rPr>
        <w:tab/>
      </w:r>
      <w:r>
        <w:rPr>
          <w:color w:val="auto"/>
          <w:highlight w:val="none"/>
        </w:rPr>
        <w:fldChar w:fldCharType="begin"/>
      </w:r>
      <w:r>
        <w:rPr>
          <w:color w:val="auto"/>
          <w:highlight w:val="none"/>
        </w:rPr>
        <w:instrText xml:space="preserve"> PAGEREF _Toc5169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"_Toc27457" </w:instrText>
      </w:r>
      <w:r>
        <w:rPr>
          <w:color w:val="auto"/>
          <w:highlight w:val="none"/>
        </w:rPr>
        <w:fldChar w:fldCharType="separate"/>
      </w:r>
      <w:r>
        <w:rPr>
          <w:rFonts w:hint="eastAsia"/>
          <w:color w:val="auto"/>
          <w:highlight w:val="none"/>
        </w:rPr>
        <w:t>第五章</w:t>
      </w:r>
      <w:r>
        <w:rPr>
          <w:color w:val="auto"/>
          <w:highlight w:val="none"/>
        </w:rPr>
        <w:t xml:space="preserve">  </w:t>
      </w:r>
      <w:r>
        <w:rPr>
          <w:rFonts w:hint="eastAsia"/>
          <w:color w:val="auto"/>
          <w:highlight w:val="none"/>
        </w:rPr>
        <w:t>技术条件（工程建设标准）</w:t>
      </w:r>
      <w:r>
        <w:rPr>
          <w:color w:val="auto"/>
          <w:highlight w:val="none"/>
        </w:rPr>
        <w:tab/>
      </w:r>
      <w:r>
        <w:rPr>
          <w:color w:val="auto"/>
          <w:highlight w:val="none"/>
        </w:rPr>
        <w:fldChar w:fldCharType="begin"/>
      </w:r>
      <w:r>
        <w:rPr>
          <w:color w:val="auto"/>
          <w:highlight w:val="none"/>
        </w:rPr>
        <w:instrText xml:space="preserve"> PAGEREF _Toc27457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"_Toc23764" </w:instrText>
      </w:r>
      <w:r>
        <w:rPr>
          <w:color w:val="auto"/>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图纸及勘察资料</w:t>
      </w:r>
      <w:r>
        <w:rPr>
          <w:color w:val="auto"/>
          <w:highlight w:val="none"/>
        </w:rPr>
        <w:tab/>
      </w:r>
      <w:r>
        <w:rPr>
          <w:color w:val="auto"/>
          <w:highlight w:val="none"/>
        </w:rPr>
        <w:fldChar w:fldCharType="begin"/>
      </w:r>
      <w:r>
        <w:rPr>
          <w:color w:val="auto"/>
          <w:highlight w:val="none"/>
        </w:rPr>
        <w:instrText xml:space="preserve"> PAGEREF _Toc23764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"_Toc23566" </w:instrText>
      </w:r>
      <w:r>
        <w:rPr>
          <w:color w:val="auto"/>
          <w:highlight w:val="none"/>
        </w:rPr>
        <w:fldChar w:fldCharType="separate"/>
      </w:r>
      <w:r>
        <w:rPr>
          <w:rFonts w:hint="eastAsia"/>
          <w:color w:val="auto"/>
          <w:highlight w:val="none"/>
        </w:rPr>
        <w:t>第七章</w:t>
      </w:r>
      <w:r>
        <w:rPr>
          <w:color w:val="auto"/>
          <w:highlight w:val="none"/>
        </w:rPr>
        <w:t xml:space="preserve">  </w:t>
      </w:r>
      <w:r>
        <w:rPr>
          <w:rFonts w:hint="eastAsia"/>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_Toc23566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pPr>
        <w:pStyle w:val="27"/>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"_Toc11203" </w:instrText>
      </w:r>
      <w:r>
        <w:rPr>
          <w:color w:val="auto"/>
          <w:highlight w:val="none"/>
        </w:rPr>
        <w:fldChar w:fldCharType="separate"/>
      </w:r>
      <w:r>
        <w:rPr>
          <w:rFonts w:hint="eastAsia"/>
          <w:color w:val="auto"/>
          <w:highlight w:val="none"/>
        </w:rPr>
        <w:t>第八章</w:t>
      </w:r>
      <w:r>
        <w:rPr>
          <w:color w:val="auto"/>
          <w:highlight w:val="none"/>
        </w:rPr>
        <w:t xml:space="preserve">  </w:t>
      </w:r>
      <w:r>
        <w:rPr>
          <w:rFonts w:hint="eastAsia"/>
          <w:color w:val="auto"/>
          <w:highlight w:val="none"/>
        </w:rPr>
        <w:t>最高投标限价</w:t>
      </w:r>
      <w:r>
        <w:rPr>
          <w:color w:val="auto"/>
          <w:highlight w:val="none"/>
        </w:rPr>
        <w:tab/>
      </w:r>
      <w:r>
        <w:rPr>
          <w:color w:val="auto"/>
          <w:highlight w:val="none"/>
        </w:rPr>
        <w:fldChar w:fldCharType="begin"/>
      </w:r>
      <w:r>
        <w:rPr>
          <w:color w:val="auto"/>
          <w:highlight w:val="none"/>
        </w:rPr>
        <w:instrText xml:space="preserve"> PAGEREF _Toc11203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pPr>
        <w:pStyle w:val="3"/>
        <w:rPr>
          <w:color w:val="auto"/>
          <w:highlight w:val="none"/>
        </w:rPr>
      </w:pPr>
      <w:r>
        <w:rPr>
          <w:color w:val="auto"/>
          <w:highlight w:val="none"/>
        </w:rPr>
        <w:fldChar w:fldCharType="end"/>
      </w:r>
      <w:bookmarkStart w:id="0" w:name="_Toc21525489"/>
      <w:bookmarkStart w:id="1" w:name="_Toc2272545"/>
    </w:p>
    <w:p>
      <w:pPr>
        <w:pStyle w:val="2"/>
        <w:rPr>
          <w:rFonts w:ascii="Arial" w:hAnsi="Arial"/>
          <w:color w:val="auto"/>
          <w:kern w:val="44"/>
          <w:sz w:val="28"/>
          <w:szCs w:val="28"/>
          <w:highlight w:val="none"/>
        </w:rPr>
      </w:pPr>
      <w:r>
        <w:rPr>
          <w:color w:val="auto"/>
          <w:highlight w:val="none"/>
        </w:rPr>
        <w:br w:type="page"/>
      </w:r>
    </w:p>
    <w:p>
      <w:pPr>
        <w:pStyle w:val="3"/>
        <w:rPr>
          <w:color w:val="auto"/>
          <w:highlight w:val="none"/>
        </w:rPr>
      </w:pPr>
      <w:bookmarkStart w:id="2" w:name="_Toc9322"/>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bookmarkEnd w:id="2"/>
    </w:p>
    <w:p>
      <w:pPr>
        <w:pStyle w:val="7"/>
        <w:rPr>
          <w:color w:val="auto"/>
          <w:highlight w:val="none"/>
        </w:rPr>
      </w:pPr>
      <w:bookmarkStart w:id="3" w:name="_Toc2272546"/>
      <w:bookmarkStart w:id="4" w:name="_Toc21525490"/>
      <w:bookmarkStart w:id="5" w:name="_Toc8788"/>
      <w:r>
        <w:rPr>
          <w:rFonts w:hint="eastAsia"/>
          <w:color w:val="auto"/>
          <w:highlight w:val="none"/>
        </w:rPr>
        <w:t>一、投标须知前附表</w:t>
      </w:r>
      <w:bookmarkEnd w:id="3"/>
      <w:bookmarkEnd w:id="4"/>
      <w:bookmarkEnd w:id="5"/>
    </w:p>
    <w:p>
      <w:pPr>
        <w:pStyle w:val="10"/>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rPr>
                <w:rFonts w:hint="default"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1"/>
              <w:keepNext w:val="0"/>
              <w:keepLines w:val="0"/>
              <w:suppressLineNumbers w:val="0"/>
              <w:spacing w:before="0" w:beforeAutospacing="0" w:after="0" w:afterAutospacing="0"/>
              <w:ind w:left="0" w:right="0" w:firstLine="458"/>
              <w:jc w:val="center"/>
              <w:rPr>
                <w:rFonts w:hint="default"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rPr>
              <w:t>招标人（即发包人）：</w:t>
            </w:r>
            <w:r>
              <w:rPr>
                <w:rFonts w:hint="default" w:ascii="宋体" w:hAnsi="宋体"/>
                <w:color w:val="auto"/>
                <w:szCs w:val="21"/>
                <w:highlight w:val="none"/>
                <w:u w:val="single"/>
              </w:rPr>
              <w:t xml:space="preserve">  </w:t>
            </w:r>
            <w:r>
              <w:rPr>
                <w:rFonts w:hint="eastAsia" w:ascii="宋体" w:hAnsi="宋体"/>
                <w:color w:val="auto"/>
                <w:szCs w:val="21"/>
                <w:highlight w:val="none"/>
                <w:u w:val="single"/>
                <w:lang w:eastAsia="zh-CN"/>
              </w:rPr>
              <w:t>广州市教育基建和装备中心</w:t>
            </w:r>
            <w:r>
              <w:rPr>
                <w:rFonts w:hint="default" w:ascii="宋体" w:hAnsi="宋体"/>
                <w:color w:val="auto"/>
                <w:szCs w:val="21"/>
                <w:highlight w:val="none"/>
                <w:u w:val="single"/>
              </w:rPr>
              <w:t xml:space="preserve">   </w:t>
            </w:r>
          </w:p>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招标代理：</w:t>
            </w:r>
            <w:r>
              <w:rPr>
                <w:rFonts w:hint="default" w:ascii="宋体" w:hAnsi="宋体"/>
                <w:color w:val="auto"/>
                <w:szCs w:val="21"/>
                <w:highlight w:val="none"/>
                <w:u w:val="single"/>
              </w:rPr>
              <w:t xml:space="preserve">  </w:t>
            </w:r>
            <w:r>
              <w:rPr>
                <w:rFonts w:hint="eastAsia" w:ascii="宋体" w:hAnsi="宋体"/>
                <w:color w:val="auto"/>
                <w:szCs w:val="21"/>
                <w:highlight w:val="none"/>
                <w:u w:val="single"/>
              </w:rPr>
              <w:t>建成工程咨询股份有限公司</w:t>
            </w:r>
            <w:r>
              <w:rPr>
                <w:rFonts w:hint="default" w:ascii="宋体" w:hAnsi="宋体"/>
                <w:color w:val="auto"/>
                <w:szCs w:val="21"/>
                <w:highlight w:val="none"/>
                <w:u w:val="single"/>
              </w:rPr>
              <w:t xml:space="preserve">  </w:t>
            </w:r>
          </w:p>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设计单位：</w:t>
            </w:r>
            <w:r>
              <w:rPr>
                <w:rFonts w:hint="eastAsia" w:ascii="宋体" w:hAnsi="宋体"/>
                <w:color w:val="auto"/>
                <w:szCs w:val="21"/>
                <w:highlight w:val="none"/>
                <w:u w:val="single"/>
              </w:rPr>
              <w:t>深圳市达能电力技术有限公司</w:t>
            </w:r>
          </w:p>
          <w:p>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rPr>
              <w:t>监理单位：</w:t>
            </w:r>
            <w:r>
              <w:rPr>
                <w:rFonts w:hint="eastAsia" w:ascii="宋体" w:hAnsi="宋体"/>
                <w:color w:val="auto"/>
                <w:szCs w:val="21"/>
                <w:highlight w:val="none"/>
                <w:u w:val="single"/>
              </w:rPr>
              <w:t>广州穗峰建设工程监理有限公司</w:t>
            </w:r>
          </w:p>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检测机构：</w:t>
            </w:r>
            <w:r>
              <w:rPr>
                <w:rFonts w:hint="default"/>
                <w:color w:val="auto"/>
                <w:highlight w:val="none"/>
                <w:u w:val="single"/>
              </w:rPr>
              <w:t>广东雄炜建筑工程检测有限公司</w:t>
            </w:r>
            <w:r>
              <w:rPr>
                <w:rFonts w:hint="default"/>
                <w:color w:val="auto"/>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市教育局广东广雅中学用电增容维护维修经费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广州市荔湾区广雅路1号广雅中学内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u w:val="single"/>
              </w:rPr>
            </w:pPr>
            <w:bookmarkStart w:id="6" w:name="EB164675f0013548cdaca884c6987a1710"/>
            <w:r>
              <w:rPr>
                <w:rFonts w:hint="eastAsia" w:ascii="宋体" w:hAnsi="宋体"/>
                <w:color w:val="auto"/>
                <w:szCs w:val="21"/>
                <w:highlight w:val="none"/>
              </w:rPr>
              <w:t>工程质量均严格按照施工图的设计要求及国家、广东省、工程所在地及有关施工及验收规范、规程、标准进行施工和验收，工程质量须达到合格工程质量标准。工程达不到合格标准的，由</w:t>
            </w:r>
            <w:r>
              <w:rPr>
                <w:rFonts w:hint="eastAsia" w:ascii="宋体" w:hAnsi="宋体"/>
                <w:color w:val="auto"/>
                <w:szCs w:val="21"/>
                <w:highlight w:val="none"/>
                <w:lang w:val="en-US" w:eastAsia="zh-CN"/>
              </w:rPr>
              <w:t>中标</w:t>
            </w:r>
            <w:r>
              <w:rPr>
                <w:rFonts w:hint="eastAsia" w:ascii="宋体" w:hAnsi="宋体"/>
                <w:color w:val="auto"/>
                <w:szCs w:val="21"/>
                <w:highlight w:val="none"/>
              </w:rPr>
              <w:t>人无偿返修并承担由此造成的损失和责任，工期不予顺延。工程质量按有关部门验收认定为准</w:t>
            </w:r>
            <w:r>
              <w:rPr>
                <w:rFonts w:hint="eastAsia" w:ascii="Times New Roman" w:hAnsi="Times New Roman"/>
                <w:b/>
                <w:color w:val="auto"/>
                <w:szCs w:val="21"/>
                <w:highlight w:val="none"/>
                <w:u w:val="single"/>
              </w:rPr>
              <w:t>。</w:t>
            </w:r>
            <w:bookmarkEnd w:id="6"/>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工程合同工期总日历天数：81天，暂定实施时间从2023年6月12日至 2023年8月31日。发包人有权根据现场情况，调整各期具体进场开工时间。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lang w:val="en-US" w:eastAsia="zh-CN"/>
              </w:rPr>
              <w:t>财政</w:t>
            </w:r>
            <w:r>
              <w:rPr>
                <w:rFonts w:hint="eastAsia" w:ascii="宋体" w:hAnsi="宋体"/>
                <w:color w:val="auto"/>
                <w:szCs w:val="21"/>
                <w:highlight w:val="none"/>
                <w:u w:val="single"/>
              </w:rPr>
              <w:t>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rPr>
                <w:rFonts w:hint="default"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default" w:ascii="宋体" w:hAnsi="宋体"/>
                <w:color w:val="auto"/>
                <w:szCs w:val="21"/>
                <w:highlight w:val="none"/>
                <w:u w:val="single"/>
              </w:rPr>
              <w:t xml:space="preserve"> 1</w:t>
            </w:r>
            <w:r>
              <w:rPr>
                <w:rFonts w:hint="eastAsia" w:ascii="宋体" w:hAnsi="宋体"/>
                <w:color w:val="auto"/>
                <w:szCs w:val="21"/>
                <w:highlight w:val="none"/>
                <w:u w:val="single"/>
              </w:rPr>
              <w:t>8</w:t>
            </w:r>
            <w:r>
              <w:rPr>
                <w:rFonts w:hint="default" w:ascii="宋体" w:hAnsi="宋体"/>
                <w:color w:val="auto"/>
                <w:szCs w:val="21"/>
                <w:highlight w:val="none"/>
                <w:u w:val="single"/>
              </w:rPr>
              <w:t xml:space="preserve">0 </w:t>
            </w:r>
            <w:r>
              <w:rPr>
                <w:rFonts w:hint="eastAsia" w:ascii="宋体" w:hAnsi="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b/>
                <w:bCs/>
                <w:color w:val="auto"/>
                <w:highlight w:val="none"/>
                <w:u w:val="single"/>
                <w:lang w:val="en-US" w:eastAsia="zh-CN"/>
              </w:rPr>
              <w:t>本项目不收取投标保证金。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1"/>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szCs w:val="21"/>
                <w:highlight w:val="none"/>
              </w:rPr>
              <w:t>招标人不集中组织，由投标人自行踏勘。</w:t>
            </w:r>
            <w:r>
              <w:rPr>
                <w:rFonts w:hint="default"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疑问提交时间：</w:t>
            </w:r>
            <w:r>
              <w:rPr>
                <w:rFonts w:hint="eastAsia" w:ascii="宋体" w:hAnsi="宋体" w:cs="宋体"/>
                <w:color w:val="auto"/>
                <w:szCs w:val="21"/>
                <w:highlight w:val="none"/>
                <w:u w:val="single"/>
              </w:rPr>
              <w:t>投标人在递交投标文件截止时间18天</w:t>
            </w:r>
            <w:r>
              <w:rPr>
                <w:rFonts w:hint="eastAsia" w:ascii="宋体" w:hAnsi="宋体"/>
                <w:color w:val="auto"/>
                <w:szCs w:val="21"/>
                <w:highlight w:val="none"/>
              </w:rPr>
              <w:t>前；</w:t>
            </w:r>
          </w:p>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交易平台提交。</w:t>
            </w:r>
          </w:p>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具体要求：按照交易平台关于全流程电子化项目的相关指南进行操作，</w:t>
            </w:r>
            <w:r>
              <w:rPr>
                <w:rFonts w:hint="eastAsia" w:ascii="宋体" w:hAnsi="宋体"/>
                <w:color w:val="auto"/>
                <w:szCs w:val="21"/>
                <w:highlight w:val="none"/>
                <w:u w:val="single"/>
              </w:rPr>
              <w:t>招标答疑采用网上答疑方式进行。投标人若对招标文件有疑问的，可在规定的时间内通过广州公共资源交易中心网站进入“招标答疑提问”页面将问题提交给招标人或招标代理人</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20</w:t>
            </w:r>
            <w:r>
              <w:rPr>
                <w:rFonts w:hint="default"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u w:val="single"/>
              </w:rPr>
              <w:t xml:space="preserve"> 202</w:t>
            </w:r>
            <w:r>
              <w:rPr>
                <w:rFonts w:hint="eastAsia" w:ascii="宋体" w:hAnsi="宋体"/>
                <w:color w:val="auto"/>
                <w:szCs w:val="21"/>
                <w:highlight w:val="none"/>
                <w:u w:val="single"/>
                <w:lang w:val="en-US" w:eastAsia="zh-CN"/>
              </w:rPr>
              <w:t>3</w:t>
            </w:r>
            <w:r>
              <w:rPr>
                <w:rFonts w:hint="default" w:ascii="宋体" w:hAnsi="宋体"/>
                <w:color w:val="auto"/>
                <w:szCs w:val="21"/>
                <w:highlight w:val="none"/>
                <w:u w:val="single"/>
              </w:rPr>
              <w:t xml:space="preserve"> </w:t>
            </w:r>
            <w:r>
              <w:rPr>
                <w:rFonts w:hint="eastAsia" w:ascii="宋体" w:hAnsi="宋体"/>
                <w:color w:val="auto"/>
                <w:szCs w:val="21"/>
                <w:highlight w:val="none"/>
              </w:rPr>
              <w:t>年</w:t>
            </w:r>
            <w:r>
              <w:rPr>
                <w:rFonts w:hint="default" w:ascii="宋体" w:hAnsi="宋体"/>
                <w:color w:val="auto"/>
                <w:szCs w:val="21"/>
                <w:highlight w:val="none"/>
                <w:u w:val="single"/>
              </w:rPr>
              <w:t xml:space="preserve">   </w:t>
            </w:r>
            <w:r>
              <w:rPr>
                <w:rFonts w:hint="eastAsia" w:ascii="宋体" w:hAnsi="宋体"/>
                <w:color w:val="auto"/>
                <w:szCs w:val="21"/>
                <w:highlight w:val="none"/>
              </w:rPr>
              <w:t>月</w:t>
            </w:r>
            <w:r>
              <w:rPr>
                <w:rFonts w:hint="default" w:ascii="宋体" w:hAnsi="宋体"/>
                <w:color w:val="auto"/>
                <w:szCs w:val="21"/>
                <w:highlight w:val="none"/>
                <w:u w:val="single"/>
              </w:rPr>
              <w:t xml:space="preserve">    </w:t>
            </w:r>
            <w:r>
              <w:rPr>
                <w:rFonts w:hint="eastAsia" w:ascii="宋体" w:hAnsi="宋体"/>
                <w:color w:val="auto"/>
                <w:szCs w:val="21"/>
                <w:highlight w:val="none"/>
              </w:rPr>
              <w:t>日</w:t>
            </w:r>
            <w:r>
              <w:rPr>
                <w:rFonts w:hint="default" w:ascii="宋体" w:hAnsi="宋体"/>
                <w:color w:val="auto"/>
                <w:szCs w:val="21"/>
                <w:highlight w:val="none"/>
                <w:u w:val="single"/>
              </w:rPr>
              <w:t xml:space="preserve">   </w:t>
            </w:r>
            <w:r>
              <w:rPr>
                <w:rFonts w:hint="eastAsia" w:ascii="宋体" w:hAnsi="宋体"/>
                <w:color w:val="auto"/>
                <w:szCs w:val="21"/>
                <w:highlight w:val="none"/>
              </w:rPr>
              <w:t>时（北京时间）。</w:t>
            </w:r>
          </w:p>
          <w:p>
            <w:pPr>
              <w:pStyle w:val="2"/>
              <w:keepNext w:val="0"/>
              <w:keepLines w:val="0"/>
              <w:suppressLineNumbers w:val="0"/>
              <w:spacing w:before="0" w:beforeAutospacing="0" w:after="0" w:afterAutospacing="0"/>
              <w:ind w:left="0" w:right="0"/>
              <w:rPr>
                <w:rFonts w:hint="default"/>
                <w:color w:val="auto"/>
                <w:highlight w:val="none"/>
              </w:rPr>
            </w:pPr>
            <w:r>
              <w:rPr>
                <w:rFonts w:hint="eastAsia" w:hAnsi="宋体"/>
                <w:color w:val="auto"/>
                <w:szCs w:val="21"/>
                <w:highlight w:val="none"/>
                <w:u w:val="single"/>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（技术标和经济标同时开标）</w:t>
            </w:r>
          </w:p>
          <w:p>
            <w:pPr>
              <w:keepNext w:val="0"/>
              <w:keepLines w:val="0"/>
              <w:widowControl/>
              <w:suppressLineNumbers w:val="0"/>
              <w:spacing w:before="0" w:beforeAutospacing="0" w:after="0" w:afterAutospacing="0"/>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1、开标开始时间：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时</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分（与投标截止时间为同一时间），地点：</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b/>
                <w:bCs/>
                <w:color w:val="auto"/>
                <w:kern w:val="0"/>
                <w:sz w:val="21"/>
                <w:szCs w:val="21"/>
                <w:highlight w:val="none"/>
              </w:rPr>
              <w:t>投标人也可选择参加在线开标，具体按照交易平台相关指南进行操作。详见：</w:t>
            </w:r>
            <w:r>
              <w:rPr>
                <w:rFonts w:hint="eastAsia" w:ascii="宋体" w:hAnsi="宋体" w:eastAsia="宋体" w:cs="宋体"/>
                <w:b/>
                <w:bCs/>
                <w:color w:val="auto"/>
                <w:kern w:val="0"/>
                <w:sz w:val="21"/>
                <w:szCs w:val="21"/>
                <w:highlight w:val="none"/>
                <w:u w:val="single"/>
                <w:lang w:val="en-US" w:eastAsia="zh-CN"/>
              </w:rPr>
              <w:t>广州公共资源交易中心-服务指南-操作手册</w:t>
            </w:r>
            <w:r>
              <w:rPr>
                <w:rFonts w:hint="eastAsia" w:ascii="宋体" w:hAnsi="宋体" w:eastAsia="宋体" w:cs="宋体"/>
                <w:b/>
                <w:bCs/>
                <w:color w:val="auto"/>
                <w:kern w:val="0"/>
                <w:sz w:val="21"/>
                <w:szCs w:val="21"/>
                <w:highlight w:val="none"/>
              </w:rPr>
              <w:t>。</w:t>
            </w:r>
          </w:p>
          <w:p>
            <w:pPr>
              <w:keepNext w:val="0"/>
              <w:keepLines w:val="0"/>
              <w:widowControl/>
              <w:suppressLineNumbers w:val="0"/>
              <w:spacing w:before="0" w:beforeAutospacing="0" w:after="0" w:afterAutospacing="0"/>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2、递交投标文件备用光盘时间：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时</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分至</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日   时</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分；递交地点：</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。(建议安排在投标文件截止时间前15分钟至投标文件截止时间）</w:t>
            </w:r>
          </w:p>
          <w:p>
            <w:pPr>
              <w:keepNext w:val="0"/>
              <w:keepLines w:val="0"/>
              <w:widowControl/>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eastAsia="宋体" w:cs="宋体"/>
                <w:bCs/>
                <w:color w:val="auto"/>
                <w:kern w:val="0"/>
                <w:sz w:val="21"/>
                <w:szCs w:val="21"/>
                <w:highlight w:val="none"/>
              </w:rPr>
              <w:t>上述时间及地点是否有改变，请密切留意</w:t>
            </w:r>
            <w:r>
              <w:rPr>
                <w:rFonts w:hint="eastAsia" w:ascii="宋体" w:hAnsi="宋体" w:eastAsia="宋体" w:cs="宋体"/>
                <w:b/>
                <w:color w:val="auto"/>
                <w:kern w:val="0"/>
                <w:sz w:val="21"/>
                <w:szCs w:val="21"/>
                <w:highlight w:val="none"/>
              </w:rPr>
              <w:t>补充公告和</w:t>
            </w:r>
            <w:r>
              <w:rPr>
                <w:rFonts w:hint="eastAsia" w:ascii="宋体" w:hAnsi="宋体" w:eastAsia="宋体" w:cs="宋体"/>
                <w:bCs/>
                <w:color w:val="auto"/>
                <w:kern w:val="0"/>
                <w:sz w:val="21"/>
                <w:szCs w:val="21"/>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keepNext w:val="0"/>
              <w:keepLines w:val="0"/>
              <w:suppressLineNumbers w:val="0"/>
              <w:spacing w:before="0" w:beforeAutospacing="0" w:afterAutospacing="0"/>
              <w:ind w:left="0" w:right="0" w:firstLine="0"/>
              <w:rPr>
                <w:rFonts w:hint="default" w:ascii="宋体" w:hAnsi="宋体"/>
                <w:color w:val="auto"/>
                <w:szCs w:val="21"/>
                <w:highlight w:val="none"/>
                <w:u w:val="single"/>
              </w:rPr>
            </w:pPr>
            <w:r>
              <w:rPr>
                <w:rFonts w:hint="eastAsia" w:ascii="宋体" w:hAnsi="宋体"/>
                <w:color w:val="auto"/>
                <w:szCs w:val="21"/>
                <w:highlight w:val="none"/>
              </w:rPr>
              <w:t>方式一：选取方法</w:t>
            </w:r>
            <w:r>
              <w:rPr>
                <w:rFonts w:hint="eastAsia" w:ascii="宋体" w:hAnsi="宋体"/>
                <w:color w:val="auto"/>
                <w:szCs w:val="21"/>
                <w:highlight w:val="none"/>
                <w:u w:val="single"/>
              </w:rPr>
              <w:t>七（适合综合评分法四，技术标与经济标同时开启） ；</w:t>
            </w:r>
            <w:r>
              <w:rPr>
                <w:rFonts w:hint="eastAsia" w:ascii="宋体" w:hAnsi="宋体"/>
                <w:color w:val="auto"/>
                <w:szCs w:val="21"/>
                <w:highlight w:val="none"/>
              </w:rPr>
              <w:t>投标人总得分=</w:t>
            </w:r>
            <w:r>
              <w:rPr>
                <w:rFonts w:hint="eastAsia" w:ascii="宋体" w:hAnsi="宋体" w:cs="宋体"/>
                <w:color w:val="auto"/>
                <w:szCs w:val="21"/>
                <w:highlight w:val="none"/>
                <w:u w:val="single"/>
              </w:rPr>
              <w:t>技术得分×技术得分权重（20%）＋经济得分×经济得分权重（80%）</w:t>
            </w:r>
          </w:p>
          <w:p>
            <w:pPr>
              <w:pStyle w:val="5"/>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总得分相同情况下的排序方法：总得分相同的投标文件，</w:t>
            </w:r>
            <w:r>
              <w:rPr>
                <w:rFonts w:hint="eastAsia" w:cs="宋体"/>
                <w:color w:val="auto"/>
                <w:szCs w:val="21"/>
                <w:highlight w:val="none"/>
              </w:rPr>
              <w:t>以投标报价较低的排前；投标报价均相同的投标文件，以技术分高的排前；报价与技术得分均相同，以诚信综合评价分数高的排前如仍存在相</w:t>
            </w:r>
            <w:r>
              <w:rPr>
                <w:rFonts w:hint="eastAsia" w:ascii="宋体" w:hAnsi="宋体"/>
                <w:color w:val="auto"/>
                <w:szCs w:val="21"/>
                <w:highlight w:val="none"/>
              </w:rPr>
              <w:t>同情况，则对具有相同情况的投标人，由评标委员会采用记名投票方式，确定投标人的排序。</w:t>
            </w:r>
          </w:p>
          <w:p>
            <w:pPr>
              <w:pStyle w:val="5"/>
              <w:keepNext w:val="0"/>
              <w:keepLines w:val="0"/>
              <w:suppressLineNumbers w:val="0"/>
              <w:spacing w:before="0" w:beforeAutospacing="0" w:afterAutospacing="0"/>
              <w:ind w:left="0" w:right="0" w:firstLine="0"/>
              <w:rPr>
                <w:rFonts w:hint="default" w:ascii="宋体" w:hAnsi="宋体"/>
                <w:color w:val="auto"/>
                <w:szCs w:val="21"/>
                <w:highlight w:val="none"/>
                <w:u w:val="single"/>
              </w:rPr>
            </w:pPr>
            <w:r>
              <w:rPr>
                <w:rFonts w:hint="eastAsia" w:ascii="宋体" w:hAnsi="宋体"/>
                <w:color w:val="auto"/>
                <w:szCs w:val="21"/>
                <w:highlight w:val="none"/>
              </w:rPr>
              <w:t>注：投票方式确定排序的具体操作步骤为：由评标委员会对出现该情况的投标人进行编号，然后通过记名投票方式依次确定投标人的排序。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keepNext w:val="0"/>
              <w:keepLines w:val="0"/>
              <w:suppressLineNumbers w:val="0"/>
              <w:spacing w:before="0" w:beforeAutospacing="0" w:after="0" w:afterAutospacing="0"/>
              <w:ind w:left="0" w:right="0" w:firstLine="0"/>
              <w:rPr>
                <w:rFonts w:hint="default" w:ascii="宋体" w:hAnsi="宋体"/>
                <w:color w:val="auto"/>
                <w:highlight w:val="none"/>
              </w:rPr>
            </w:pPr>
            <w:r>
              <w:rPr>
                <w:rFonts w:hint="eastAsia" w:ascii="宋体" w:hAnsi="宋体"/>
                <w:color w:val="auto"/>
                <w:szCs w:val="22"/>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本项目最高投标限价为人民币6327097.05元</w:t>
            </w:r>
            <w:r>
              <w:rPr>
                <w:rFonts w:hint="eastAsia"/>
                <w:b/>
                <w:bCs/>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line="360" w:lineRule="auto"/>
              <w:ind w:left="210" w:right="0" w:hanging="210" w:hangingChars="100"/>
              <w:rPr>
                <w:rFonts w:hint="default"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lang w:val="en-US" w:eastAsia="zh-CN"/>
              </w:rPr>
              <w:t>149995.44</w:t>
            </w:r>
            <w:r>
              <w:rPr>
                <w:rFonts w:hint="eastAsia" w:ascii="宋体" w:hAnsi="宋体"/>
                <w:color w:val="auto"/>
                <w:szCs w:val="21"/>
                <w:highlight w:val="none"/>
              </w:rPr>
              <w:t>元，暂列金额为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434644.57</w:t>
            </w:r>
            <w:r>
              <w:rPr>
                <w:rFonts w:hint="eastAsia" w:ascii="宋体" w:hAnsi="宋体"/>
                <w:color w:val="auto"/>
                <w:szCs w:val="21"/>
                <w:highlight w:val="none"/>
              </w:rPr>
              <w:t>元，暂估价为</w:t>
            </w:r>
            <w:r>
              <w:rPr>
                <w:rFonts w:hint="eastAsia" w:ascii="宋体" w:hAnsi="宋体"/>
                <w:color w:val="auto"/>
                <w:szCs w:val="21"/>
                <w:highlight w:val="none"/>
                <w:u w:val="single"/>
                <w:lang w:val="en-US" w:eastAsia="zh-CN"/>
              </w:rPr>
              <w:t>/</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suppressLineNumbers w:val="0"/>
              <w:spacing w:before="0" w:beforeAutospacing="0" w:afterAutospacing="0"/>
              <w:ind w:left="0" w:right="0" w:firstLine="0"/>
              <w:rPr>
                <w:rFonts w:hint="default"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按照《建设工程质量管理条例》及合同相关条款规定。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计算评标参考价的等分点值</w:t>
            </w:r>
            <w:r>
              <w:rPr>
                <w:rFonts w:hint="default" w:ascii="宋体" w:hAnsi="宋体"/>
                <w:strike/>
                <w:color w:val="auto"/>
                <w:szCs w:val="21"/>
                <w:highlight w:val="none"/>
              </w:rPr>
              <w:t>X</w:t>
            </w:r>
            <w:r>
              <w:rPr>
                <w:rFonts w:hint="eastAsia" w:ascii="宋体" w:hAnsi="宋体"/>
                <w:strike/>
                <w:color w:val="auto"/>
                <w:szCs w:val="21"/>
                <w:highlight w:val="none"/>
              </w:rPr>
              <w:t>在开标前从[0,100]</w:t>
            </w:r>
            <w:r>
              <w:rPr>
                <w:rFonts w:hint="eastAsia" w:ascii="宋体" w:hAnsi="宋体"/>
                <w:strike/>
                <w:color w:val="auto"/>
                <w:highlight w:val="none"/>
              </w:rPr>
              <w:t xml:space="preserve"> </w:t>
            </w:r>
            <w:r>
              <w:rPr>
                <w:rFonts w:hint="eastAsia" w:ascii="宋体" w:hAnsi="宋体"/>
                <w:strike/>
                <w:color w:val="auto"/>
                <w:szCs w:val="21"/>
                <w:highlight w:val="none"/>
              </w:rPr>
              <w:t>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rPr>
                <w:rFonts w:hint="default"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default" w:ascii="宋体" w:hAnsi="宋体"/>
                <w:strike/>
                <w:color w:val="auto"/>
                <w:szCs w:val="21"/>
                <w:highlight w:val="none"/>
              </w:rPr>
              <w:fldChar w:fldCharType="begin"/>
            </w:r>
            <w:r>
              <w:rPr>
                <w:rFonts w:hint="default" w:ascii="宋体" w:hAnsi="宋体"/>
                <w:strike/>
                <w:color w:val="auto"/>
                <w:szCs w:val="21"/>
                <w:highlight w:val="none"/>
              </w:rPr>
              <w:instrText xml:space="preserve"> </w:instrText>
            </w:r>
            <w:r>
              <w:rPr>
                <w:rFonts w:hint="eastAsia" w:ascii="宋体" w:hAnsi="宋体"/>
                <w:strike/>
                <w:color w:val="auto"/>
                <w:szCs w:val="21"/>
                <w:highlight w:val="none"/>
              </w:rPr>
              <w:instrText xml:space="preserve">= 1 \* GB3</w:instrText>
            </w:r>
            <w:r>
              <w:rPr>
                <w:rFonts w:hint="default" w:ascii="宋体" w:hAnsi="宋体"/>
                <w:strike/>
                <w:color w:val="auto"/>
                <w:szCs w:val="21"/>
                <w:highlight w:val="none"/>
              </w:rPr>
              <w:instrText xml:space="preserve"> </w:instrText>
            </w:r>
            <w:r>
              <w:rPr>
                <w:rFonts w:hint="default" w:ascii="宋体" w:hAnsi="宋体"/>
                <w:strike/>
                <w:color w:val="auto"/>
                <w:szCs w:val="21"/>
                <w:highlight w:val="none"/>
              </w:rPr>
              <w:fldChar w:fldCharType="separate"/>
            </w:r>
            <w:r>
              <w:rPr>
                <w:rFonts w:hint="eastAsia" w:ascii="宋体" w:hAnsi="宋体"/>
                <w:strike/>
                <w:color w:val="auto"/>
                <w:szCs w:val="21"/>
                <w:highlight w:val="none"/>
              </w:rPr>
              <w:t>①</w:t>
            </w:r>
            <w:r>
              <w:rPr>
                <w:rFonts w:hint="default" w:ascii="宋体" w:hAnsi="宋体"/>
                <w:strike/>
                <w:color w:val="auto"/>
                <w:szCs w:val="21"/>
                <w:highlight w:val="none"/>
              </w:rPr>
              <w:fldChar w:fldCharType="end"/>
            </w:r>
            <w:r>
              <w:rPr>
                <w:rFonts w:hint="eastAsia" w:ascii="宋体" w:hAnsi="宋体"/>
                <w:strike/>
                <w:color w:val="auto"/>
                <w:szCs w:val="21"/>
                <w:highlight w:val="none"/>
              </w:rPr>
              <w:t>通过技术有效性审查的投标人均进入第二阶段（适用于通过技术有效性审查家数在[3,</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]中的）。</w:t>
            </w:r>
          </w:p>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default" w:ascii="宋体" w:hAnsi="宋体"/>
                <w:strike/>
                <w:color w:val="auto"/>
                <w:szCs w:val="21"/>
                <w:highlight w:val="none"/>
              </w:rPr>
              <w:fldChar w:fldCharType="begin"/>
            </w:r>
            <w:r>
              <w:rPr>
                <w:rFonts w:hint="default" w:ascii="宋体" w:hAnsi="宋体"/>
                <w:strike/>
                <w:color w:val="auto"/>
                <w:szCs w:val="21"/>
                <w:highlight w:val="none"/>
              </w:rPr>
              <w:instrText xml:space="preserve"> </w:instrText>
            </w:r>
            <w:r>
              <w:rPr>
                <w:rFonts w:hint="eastAsia" w:ascii="宋体" w:hAnsi="宋体"/>
                <w:strike/>
                <w:color w:val="auto"/>
                <w:szCs w:val="21"/>
                <w:highlight w:val="none"/>
              </w:rPr>
              <w:instrText xml:space="preserve">= 2 \* GB3</w:instrText>
            </w:r>
            <w:r>
              <w:rPr>
                <w:rFonts w:hint="default" w:ascii="宋体" w:hAnsi="宋体"/>
                <w:strike/>
                <w:color w:val="auto"/>
                <w:szCs w:val="21"/>
                <w:highlight w:val="none"/>
              </w:rPr>
              <w:instrText xml:space="preserve"> </w:instrText>
            </w:r>
            <w:r>
              <w:rPr>
                <w:rFonts w:hint="default" w:ascii="宋体" w:hAnsi="宋体"/>
                <w:strike/>
                <w:color w:val="auto"/>
                <w:szCs w:val="21"/>
                <w:highlight w:val="none"/>
              </w:rPr>
              <w:fldChar w:fldCharType="separate"/>
            </w:r>
            <w:r>
              <w:rPr>
                <w:rFonts w:hint="eastAsia" w:ascii="宋体" w:hAnsi="宋体"/>
                <w:strike/>
                <w:color w:val="auto"/>
                <w:szCs w:val="21"/>
                <w:highlight w:val="none"/>
              </w:rPr>
              <w:t>②</w:t>
            </w:r>
            <w:r>
              <w:rPr>
                <w:rFonts w:hint="default" w:ascii="宋体" w:hAnsi="宋体"/>
                <w:strike/>
                <w:color w:val="auto"/>
                <w:szCs w:val="21"/>
                <w:highlight w:val="none"/>
              </w:rPr>
              <w:fldChar w:fldCharType="end"/>
            </w:r>
            <w:r>
              <w:rPr>
                <w:rFonts w:hint="eastAsia" w:ascii="宋体" w:hAnsi="宋体"/>
                <w:strike/>
                <w:color w:val="auto"/>
                <w:szCs w:val="21"/>
                <w:highlight w:val="none"/>
              </w:rPr>
              <w:t>将第一阶段得分由高至低排序，前</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名投标人进入第二阶段评审（适用于通过技术有效性审查家数大于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家的，招标人可根据工程具体情况，确定不少于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家进入第二阶段）。</w:t>
            </w:r>
          </w:p>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注：本款适用于选择评标办法一至评标办法六。进入第二阶段的投标人家数应符合</w:t>
            </w:r>
            <w:r>
              <w:rPr>
                <w:rFonts w:hint="eastAsia" w:ascii="宋体" w:hAnsi="宋体" w:cs="仿宋_GB2312"/>
                <w:strike/>
                <w:color w:val="auto"/>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lang w:val="en-US" w:eastAsia="zh-CN"/>
              </w:rPr>
              <w:t>5820929.70</w:t>
            </w:r>
            <w:r>
              <w:rPr>
                <w:rFonts w:hint="eastAsia" w:ascii="宋体" w:hAnsi="宋体"/>
                <w:color w:val="auto"/>
                <w:szCs w:val="21"/>
                <w:highlight w:val="none"/>
                <w:u w:val="single"/>
              </w:rPr>
              <w:t xml:space="preserve">元 </w:t>
            </w:r>
            <w:r>
              <w:rPr>
                <w:rFonts w:hint="eastAsia" w:ascii="宋体" w:hAnsi="宋体" w:cs="宋体"/>
                <w:color w:val="auto"/>
                <w:szCs w:val="21"/>
                <w:highlight w:val="none"/>
              </w:rPr>
              <w:t>（按最高投标限价的9</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技术分权重为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%，综合诚信评价分数权重为</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w:t>
            </w:r>
          </w:p>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lang w:bidi="ar"/>
              </w:rPr>
              <w:t>招标人依法组建评标委员会</w:t>
            </w:r>
            <w:r>
              <w:rPr>
                <w:rFonts w:hint="eastAsia" w:ascii="宋体" w:hAnsi="宋体"/>
                <w:color w:val="auto"/>
                <w:szCs w:val="21"/>
                <w:highlight w:val="none"/>
                <w:lang w:eastAsia="zh-CN" w:bidi="ar"/>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strike/>
                <w:color w:val="auto"/>
                <w:szCs w:val="21"/>
                <w:highlight w:val="none"/>
              </w:rPr>
              <w:t>本项目的企业综合诚信评价分数，以        排名为准。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rPr>
                <w:rFonts w:hint="default"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rPr>
                <w:rFonts w:hint="default" w:ascii="宋体" w:hAnsi="宋体"/>
                <w:strike/>
                <w:color w:val="auto"/>
                <w:szCs w:val="21"/>
                <w:highlight w:val="none"/>
              </w:rPr>
            </w:pPr>
            <w:r>
              <w:rPr>
                <w:rFonts w:hint="eastAsia" w:ascii="宋体" w:hAnsi="宋体"/>
                <w:strike/>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Pr>
                <w:rFonts w:hint="default" w:ascii="宋体" w:hAnsi="宋体"/>
                <w:strike/>
                <w:color w:val="auto"/>
                <w:szCs w:val="21"/>
                <w:highlight w:val="none"/>
              </w:rPr>
              <w:t xml:space="preserve"> </w:t>
            </w:r>
          </w:p>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rPr>
                <w:rFonts w:hint="default"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方法二：经济分相同的投标文件，由评标委员会采用随机方式，确定投标人的排序。</w:t>
            </w:r>
          </w:p>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58"/>
              <w:rPr>
                <w:rFonts w:hint="default"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方法一：评标委员会按照“总分=</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的公式，计算各有效投标文件的总分，并按照总分从高到低排序。总得分相同的投标文件，以报价较低的排前；总得分与报价均相同的投标文件，以</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较高的排前；总得分、报价与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均相同的投标文件，以诚信综合评价分数高的排前；如仍存在相同情况，则对具有相同情况的投标人，由评标委员会采用随机方式，确定投标人的排序。</w:t>
            </w:r>
          </w:p>
          <w:p>
            <w:pPr>
              <w:keepNext w:val="0"/>
              <w:keepLines w:val="0"/>
              <w:suppressLineNumbers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13.4</w:t>
            </w:r>
            <w:r>
              <w:rPr>
                <w:rFonts w:hint="eastAsia" w:ascii="宋体" w:hAnsi="宋体"/>
                <w:color w:val="auto"/>
                <w:szCs w:val="21"/>
                <w:highlight w:val="none"/>
              </w:rPr>
              <w:t>、</w:t>
            </w:r>
            <w:r>
              <w:rPr>
                <w:rFonts w:hint="default"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u w:val="single"/>
              </w:rPr>
            </w:pPr>
            <w:r>
              <w:rPr>
                <w:rFonts w:hint="eastAsia" w:ascii="宋体" w:hAnsi="宋体"/>
                <w:color w:val="auto"/>
                <w:szCs w:val="21"/>
                <w:highlight w:val="none"/>
                <w:u w:val="single"/>
              </w:rPr>
              <w:t>详见招标文件相关合同条款。</w:t>
            </w:r>
            <w:r>
              <w:rPr>
                <w:rFonts w:hint="default"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lang w:val="zh-CN"/>
              </w:rPr>
            </w:pPr>
            <w:r>
              <w:rPr>
                <w:rFonts w:hint="eastAsia" w:ascii="宋体" w:hAnsi="宋体"/>
                <w:color w:val="auto"/>
                <w:kern w:val="0"/>
                <w:szCs w:val="21"/>
                <w:highlight w:val="none"/>
                <w:lang w:val="zh-CN"/>
              </w:rPr>
              <w:t>根据《建设工程质量检测管理办法》（建设部令第</w:t>
            </w:r>
            <w:r>
              <w:rPr>
                <w:rFonts w:hint="default" w:ascii="宋体" w:hAnsi="宋体"/>
                <w:color w:val="auto"/>
                <w:kern w:val="0"/>
                <w:szCs w:val="21"/>
                <w:highlight w:val="none"/>
                <w:lang w:val="zh-CN"/>
              </w:rPr>
              <w:t>141</w:t>
            </w:r>
            <w:r>
              <w:rPr>
                <w:rFonts w:hint="eastAsia" w:ascii="宋体" w:hAnsi="宋体"/>
                <w:color w:val="auto"/>
                <w:kern w:val="0"/>
                <w:szCs w:val="21"/>
                <w:highlight w:val="none"/>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lang w:val="zh-CN"/>
              </w:rPr>
            </w:pPr>
            <w:r>
              <w:rPr>
                <w:rFonts w:hint="eastAsia" w:ascii="宋体" w:hAnsi="宋体"/>
                <w:color w:val="auto"/>
                <w:kern w:val="0"/>
                <w:szCs w:val="21"/>
                <w:highlight w:val="none"/>
                <w:lang w:val="zh-CN"/>
              </w:rPr>
              <w:t>□不允许；</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■允许：分包内容要要求：</w:t>
            </w:r>
            <w:r>
              <w:rPr>
                <w:rFonts w:hint="eastAsia" w:ascii="宋体" w:hAnsi="宋体" w:cs="宋体"/>
                <w:color w:val="auto"/>
                <w:kern w:val="0"/>
                <w:szCs w:val="21"/>
                <w:highlight w:val="none"/>
                <w:u w:val="single"/>
                <w:lang w:val="zh-CN"/>
              </w:rPr>
              <w:t>中标人按照合同约定或者经招标人同意，可以将中标项目的部分非主体、非关键性工作分包给具有相应资质的单位完成。</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分包金额要求：</w:t>
            </w:r>
            <w:r>
              <w:rPr>
                <w:rFonts w:hint="eastAsia" w:ascii="宋体" w:hAnsi="宋体" w:cs="宋体"/>
                <w:color w:val="auto"/>
                <w:kern w:val="0"/>
                <w:szCs w:val="21"/>
                <w:highlight w:val="none"/>
                <w:u w:val="single"/>
                <w:lang w:val="zh-CN"/>
              </w:rPr>
              <w:t>根据实际情况确定。</w:t>
            </w:r>
          </w:p>
          <w:p>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rPr>
              <w:t>接受分包的单位应当具备相应的资质条件，并不得再次分包。</w:t>
            </w:r>
          </w:p>
          <w:p>
            <w:pPr>
              <w:keepNext w:val="0"/>
              <w:keepLines w:val="0"/>
              <w:suppressLineNumbers w:val="0"/>
              <w:spacing w:before="0" w:beforeAutospacing="0" w:after="0" w:afterAutospacing="0"/>
              <w:ind w:left="0" w:right="0"/>
              <w:rPr>
                <w:rFonts w:hint="default" w:ascii="宋体" w:hAnsi="宋体"/>
                <w:color w:val="auto"/>
                <w:kern w:val="0"/>
                <w:szCs w:val="21"/>
                <w:highlight w:val="none"/>
                <w:lang w:val="zh-CN"/>
              </w:rPr>
            </w:pPr>
            <w:r>
              <w:rPr>
                <w:rFonts w:hint="eastAsia" w:ascii="宋体" w:hAnsi="宋体" w:cs="宋体"/>
                <w:color w:val="auto"/>
                <w:kern w:val="0"/>
                <w:szCs w:val="21"/>
                <w:highlight w:val="none"/>
                <w:lang w:val="zh-CN"/>
              </w:rPr>
              <w:t xml:space="preserve">        对分包人的其他要求：</w:t>
            </w:r>
            <w:r>
              <w:rPr>
                <w:rFonts w:hint="eastAsia" w:ascii="宋体" w:hAnsi="宋体" w:cs="宋体"/>
                <w:color w:val="auto"/>
                <w:kern w:val="0"/>
                <w:highlight w:val="none"/>
                <w:u w:val="single"/>
                <w:lang w:val="zh-CN"/>
              </w:rPr>
              <w:t>未在以往工程中因不诚信行为或不充分履约行为被本项目招标人书面拒绝投标的，或未被纳入联合惩戒范围的。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szCs w:val="21"/>
                <w:highlight w:val="none"/>
              </w:rPr>
              <w:t>：</w:t>
            </w:r>
            <w:r>
              <w:rPr>
                <w:rFonts w:hint="eastAsia" w:ascii="宋体" w:hAnsi="宋体" w:cs="宋体"/>
                <w:color w:val="auto"/>
                <w:szCs w:val="21"/>
                <w:highlight w:val="none"/>
                <w:u w:val="single"/>
              </w:rPr>
              <w:t>广州公共资源交易中心网站(http:/ www.gzggzy.cn)服务指南栏目</w:t>
            </w:r>
            <w:r>
              <w:rPr>
                <w:rFonts w:hint="eastAsia" w:ascii="宋体" w:hAnsi="宋体" w:cs="Courier New"/>
                <w:color w:val="auto"/>
                <w:szCs w:val="21"/>
                <w:highlight w:val="none"/>
              </w:rPr>
              <w:t xml:space="preserve">。  </w:t>
            </w:r>
          </w:p>
          <w:p>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2、提交投标文件光盘备用</w:t>
            </w:r>
          </w:p>
          <w:p>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 xml:space="preserve"> 3、补救方案</w:t>
            </w:r>
          </w:p>
          <w:p>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keepNext w:val="0"/>
              <w:keepLines w:val="0"/>
              <w:suppressLineNumbers w:val="0"/>
              <w:spacing w:before="0" w:beforeAutospacing="0" w:after="0" w:afterAutospacing="0"/>
              <w:ind w:left="0" w:right="0"/>
              <w:rPr>
                <w:rFonts w:hint="default"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szCs w:val="21"/>
                <w:highlight w:val="none"/>
              </w:rPr>
              <w:t>投标文件份数</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投标文件为含电子签章的加密电子投标文件1套。</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highlight w:val="none"/>
              </w:rPr>
              <w:t>项目中标后，在发出中标通知书前，中标单位必须提供投标文件纸质版4套，电子版（造价部分需提供软件版本及导出清单）1套。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38</w:t>
            </w:r>
          </w:p>
        </w:tc>
        <w:tc>
          <w:tcPr>
            <w:tcW w:w="981" w:type="dxa"/>
            <w:tcBorders>
              <w:top w:val="single" w:color="auto" w:sz="4" w:space="0"/>
              <w:left w:val="single" w:color="auto" w:sz="4" w:space="0"/>
              <w:bottom w:val="doub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31</w:t>
            </w:r>
          </w:p>
        </w:tc>
        <w:tc>
          <w:tcPr>
            <w:tcW w:w="1810" w:type="dxa"/>
            <w:tcBorders>
              <w:top w:val="single" w:color="auto" w:sz="4" w:space="0"/>
              <w:left w:val="single" w:color="auto" w:sz="4" w:space="0"/>
              <w:bottom w:val="doub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其它</w:t>
            </w:r>
          </w:p>
        </w:tc>
        <w:tc>
          <w:tcPr>
            <w:tcW w:w="5857" w:type="dxa"/>
            <w:tcBorders>
              <w:top w:val="single" w:color="auto" w:sz="4" w:space="0"/>
              <w:left w:val="single" w:color="auto" w:sz="4" w:space="0"/>
              <w:bottom w:val="double" w:color="auto" w:sz="4" w:space="0"/>
              <w:right w:val="doub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default" w:ascii="宋体" w:hAnsi="宋体" w:cs="宋体"/>
                <w:color w:val="auto"/>
                <w:highlight w:val="none"/>
              </w:rPr>
              <w:t>中标人按《广州市发展改革委转发省发展改革委关于规范公共资源交易服务收费及有关问题的通知》（穗发改〔2017〕811号）文件的规定，向广州公共资源交易中心代缴交易服务费，其费用包含在中标人投标报价中，招标人不另行支付。</w:t>
            </w:r>
          </w:p>
        </w:tc>
      </w:tr>
    </w:tbl>
    <w:p>
      <w:pPr>
        <w:spacing w:line="480" w:lineRule="auto"/>
        <w:rPr>
          <w:rFonts w:ascii="宋体"/>
          <w:color w:val="auto"/>
          <w:sz w:val="24"/>
          <w:highlight w:val="none"/>
        </w:rPr>
      </w:pPr>
    </w:p>
    <w:p>
      <w:pPr>
        <w:pStyle w:val="7"/>
        <w:rPr>
          <w:color w:val="auto"/>
          <w:highlight w:val="none"/>
        </w:rPr>
      </w:pPr>
      <w:r>
        <w:rPr>
          <w:color w:val="auto"/>
          <w:highlight w:val="none"/>
        </w:rPr>
        <w:br w:type="page"/>
      </w:r>
      <w:bookmarkStart w:id="7" w:name="_Toc2272547"/>
      <w:bookmarkStart w:id="8" w:name="_Toc21525491"/>
      <w:bookmarkStart w:id="9" w:name="_Toc675"/>
      <w:r>
        <w:rPr>
          <w:rFonts w:hint="eastAsia"/>
          <w:color w:val="auto"/>
          <w:highlight w:val="none"/>
        </w:rPr>
        <w:t>二、投标须知修改表</w:t>
      </w:r>
      <w:bookmarkEnd w:id="7"/>
      <w:bookmarkEnd w:id="8"/>
      <w:bookmarkEnd w:id="9"/>
    </w:p>
    <w:p>
      <w:pPr>
        <w:ind w:firstLine="422" w:firstLineChars="200"/>
        <w:rPr>
          <w:rFonts w:hint="eastAsia" w:eastAsia="宋体"/>
          <w:color w:val="auto"/>
          <w:highlight w:val="none"/>
          <w:lang w:eastAsia="zh-CN"/>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r>
        <w:rPr>
          <w:rFonts w:hint="eastAsia"/>
          <w:b/>
          <w:color w:val="auto"/>
          <w:szCs w:val="21"/>
          <w:highlight w:val="none"/>
          <w:lang w:eastAsia="zh-CN"/>
        </w:rPr>
        <w:t>。</w:t>
      </w:r>
    </w:p>
    <w:p>
      <w:pPr>
        <w:pStyle w:val="10"/>
        <w:rPr>
          <w:color w:val="auto"/>
          <w:highlight w:val="none"/>
        </w:rPr>
      </w:pPr>
    </w:p>
    <w:p>
      <w:pPr>
        <w:spacing w:line="360" w:lineRule="auto"/>
        <w:ind w:firstLine="527" w:firstLineChars="250"/>
        <w:rPr>
          <w:rFonts w:ascii="宋体" w:hAnsi="宋体"/>
          <w:b/>
          <w:color w:val="auto"/>
          <w:szCs w:val="21"/>
          <w:highlight w:val="none"/>
        </w:rPr>
      </w:pPr>
      <w:bookmarkStart w:id="10" w:name="_Hlk99752082"/>
      <w:r>
        <w:rPr>
          <w:rFonts w:hint="eastAsia" w:ascii="宋体" w:hAnsi="宋体"/>
          <w:b/>
          <w:color w:val="auto"/>
          <w:szCs w:val="21"/>
          <w:highlight w:val="none"/>
        </w:rPr>
        <w:t>条款号：5.1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Cs w:val="21"/>
          <w:highlight w:val="none"/>
          <w:u w:val="single"/>
        </w:rPr>
        <w:t>投标人不进行踏勘的，视为已熟知现场条件，自行承担相关风险。投标人需根据现场踏勘情况以及图纸及工程量清单，如有疑问的应在招标答疑时提出，招标答疑后经招标单位修正确认的工程量清单作为综合单价包干的结算依据，投标单位必须按此清单统一报价。</w:t>
      </w:r>
      <w:r>
        <w:rPr>
          <w:rFonts w:hint="eastAsia" w:ascii="宋体" w:hAnsi="宋体"/>
          <w:color w:val="auto"/>
          <w:szCs w:val="21"/>
          <w:highlight w:val="none"/>
        </w:rPr>
        <w:t>一旦中标，这种考察即被认为其结果已在中标文件中得到充分反映。考察现场的费用由投标人自己承担。</w:t>
      </w:r>
    </w:p>
    <w:p>
      <w:pPr>
        <w:pStyle w:val="6"/>
        <w:rPr>
          <w:color w:val="auto"/>
          <w:highlight w:val="none"/>
          <w:u w:val="single"/>
        </w:rPr>
      </w:pPr>
      <w:r>
        <w:rPr>
          <w:rFonts w:hint="eastAsia"/>
          <w:color w:val="auto"/>
          <w:highlight w:val="none"/>
          <w:u w:val="single"/>
        </w:rPr>
        <w:t xml:space="preserve">                                                                                         </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条款号：8.1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8.1 投标人若对招标文件（包括招标图纸）中有疑问，可以书面形式通过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交易平台提交给招标人或招标代理人，提交形式见本须知前附表第16项。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8.1 投标人若对招标文件（包括招标图纸）中有疑问，可以书面形式通过</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交易平台提交给招标人或招标代理人，提交形式见本须知前附表第16项。</w:t>
      </w:r>
    </w:p>
    <w:p>
      <w:pPr>
        <w:pBdr>
          <w:bottom w:val="single" w:color="auto" w:sz="6" w:space="1"/>
        </w:pBdr>
        <w:spacing w:line="360" w:lineRule="auto"/>
        <w:ind w:firstLine="525" w:firstLineChars="250"/>
        <w:rPr>
          <w:rFonts w:ascii="宋体" w:hAnsi="宋体"/>
          <w:color w:val="auto"/>
          <w:highlight w:val="none"/>
          <w:u w:val="single"/>
        </w:rPr>
      </w:pPr>
      <w:r>
        <w:rPr>
          <w:rFonts w:hint="eastAsia" w:ascii="宋体" w:hAnsi="宋体"/>
          <w:color w:val="auto"/>
          <w:highlight w:val="none"/>
          <w:u w:val="single"/>
        </w:rPr>
        <w:t>具体要求：按照交易平台关于全流程电子化项目的相关指南进行操作，详见：广州公共资源交易中心网站发布的最新版操作指引。提问一律不得署名。</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条款号：8.2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8.2 招标答疑会会议纪要将在提交投标文件截止时间15日前在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交易平台“项目答疑纪要”专区公开发布。答疑纪要一经在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交易平台发布，视作已发放给所有投标人。</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8.2 招标答疑会会议纪要将在提交投标文件截止时间15日前在</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交易平台“项目答疑纪要”专区公开发布。答疑纪要一经在</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交易平台发布，视作已发放给所有投标人。</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条款号：9.2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9.2 招标文件的澄清或修改将在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交易平台“项目答疑纪要”专区公开发布。答疑纪要一经在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交易平台发布，视作已发放给所有投标人，以</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交易平台上网发布时间作为送达时间。</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9.2 招标文件的澄清或修改将在</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交易平台“项目答疑纪要”专区公开发布。答疑纪要一经在</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交易平台发布，视作已发放给所有投标人，以</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交易平台上网发布时间作为送达时间。</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条款号：9.4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9.4 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9.4 招标文件的澄清或修改均以</w:t>
      </w:r>
      <w:r>
        <w:rPr>
          <w:rFonts w:hint="eastAsia" w:ascii="宋体" w:hAnsi="宋体"/>
          <w:color w:val="auto"/>
          <w:szCs w:val="21"/>
          <w:highlight w:val="none"/>
          <w:u w:val="single"/>
        </w:rPr>
        <w:t>在广州公共资源交易中心交易平台“项目答疑纪要”专区公开发布</w:t>
      </w:r>
      <w:r>
        <w:rPr>
          <w:rFonts w:hint="eastAsia" w:ascii="宋体" w:hAnsi="宋体"/>
          <w:color w:val="auto"/>
          <w:szCs w:val="21"/>
          <w:highlight w:val="none"/>
        </w:rPr>
        <w:t>的内容为准。当招标文件的澄清、修改、补充等在同一内容的表述不一致时，以最后发出的文件为准。</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条款号：11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原文：11．投标文件的组成</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11.1 投标文件由技术部分（含资格审查文件）和经济部分两部分投标文件组成。</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11.2投标文件技术标部分主要包括下列内容:</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11.2.1 技术投标文件(按招标文件的要求填写)；</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11.2.2 资格审查文件：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（1）投标人声明； </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（2）法定代表人证明书、法定代表人签字或盖章的本投标文件授权委托证明书；</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（3）企业营业执照（取自平台内上传件）；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（4）企业资质证书（取自平台内上传件）；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（5）建筑施工企业安全生产许可证（取自平台内上传件）；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（6）项目负责人（按网上投标登记时选择拟投标的项目负责人）</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（7）专职安全员（按网上投标登记时选择拟投标的专职安全员）</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（8）拟委托技术负责人的相关证书、资料（具体要求由招标人明确）</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 xml:space="preserve">（9）拟委派项目负责人的建造师注册证书（取自平台内上传件）； </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（10）项目负责人安全生产考核合格证明或在有效期内的安全考核合格证书（B类）或建筑施工企业项目负责人安全生产考核合格证书（取自平台内上传件）（取自平台内上传件）；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（12）用于资格审查的业绩（设置业绩要求时选择此项，投标人须提供类似工程业绩的项目名称及项目编号，具体格式由招标人自定）；</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11.2.3项目管理机构配备。</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（1）投标人应列出该项目工程的施工组织机构构成和画出机构框架图及其负责人；</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（3）其他辅助说明资料。</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11.2.5施工组织设计或施工方案。</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11.2.6按照招标文件要求填写的《参与编制技术标投标文件人员名单》。</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 经济部分投标文件主要包括下列内容：</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11.3.1 经济投标文件(按招标文件的要求填写)。</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（1）投标总价封面、扉页；</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（2）总说明</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（3）工程项目投标报价汇总表；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（4）单项工程投标报价汇总表；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（5）单位工程投标报价汇总表；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（6）分部分项工程清单与计价表；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（7）单价措施项目清单与计价表；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（8）总价措施项目清单与计价表；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（9）综合单价分析表；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（10）其他项目清单与计价汇总表；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（11）暂列金额明细表；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（12）材料（工程设备）暂估价明细表；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（13）专业工程暂估价明细表；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（14）计日工表；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（15）总承包服务计价表；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（16）规费和税金项目计价表；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 xml:space="preserve"> （17）人工、主要材料和设备一览表</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11.3.3按照招标文件要求填写的《参与编制经济标投标文件人员名单》。</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22" w:firstLineChars="200"/>
        <w:rPr>
          <w:rFonts w:ascii="宋体"/>
          <w:b/>
          <w:bCs/>
          <w:color w:val="auto"/>
          <w:szCs w:val="21"/>
          <w:highlight w:val="none"/>
        </w:rPr>
      </w:pPr>
      <w:r>
        <w:rPr>
          <w:rFonts w:hint="eastAsia" w:ascii="宋体" w:hAnsi="宋体"/>
          <w:b/>
          <w:color w:val="auto"/>
          <w:szCs w:val="21"/>
          <w:highlight w:val="none"/>
        </w:rPr>
        <w:t>现文：</w:t>
      </w:r>
      <w:r>
        <w:rPr>
          <w:rFonts w:hint="eastAsia" w:ascii="宋体" w:hAnsi="宋体"/>
          <w:b/>
          <w:bCs/>
          <w:color w:val="auto"/>
          <w:szCs w:val="21"/>
          <w:highlight w:val="none"/>
        </w:rPr>
        <w:t>11．投标文件的组成</w:t>
      </w:r>
    </w:p>
    <w:p>
      <w:pPr>
        <w:pStyle w:val="5"/>
        <w:spacing w:after="0" w:line="360" w:lineRule="auto"/>
        <w:ind w:firstLineChars="200"/>
        <w:rPr>
          <w:rFonts w:ascii="宋体"/>
          <w:b/>
          <w:color w:val="auto"/>
          <w:szCs w:val="21"/>
          <w:highlight w:val="none"/>
        </w:rPr>
      </w:pPr>
      <w:r>
        <w:rPr>
          <w:rFonts w:hint="eastAsia" w:ascii="宋体" w:hAnsi="宋体"/>
          <w:color w:val="auto"/>
          <w:szCs w:val="21"/>
          <w:highlight w:val="none"/>
        </w:rPr>
        <w:t>11.1</w:t>
      </w:r>
      <w:r>
        <w:rPr>
          <w:rFonts w:hint="eastAsia" w:ascii="宋体" w:hAnsi="宋体"/>
          <w:bCs/>
          <w:color w:val="auto"/>
          <w:szCs w:val="21"/>
          <w:highlight w:val="none"/>
          <w:u w:val="single"/>
        </w:rPr>
        <w:t>投标文件由技术部分（含资格审查文件）和经济部分组成</w:t>
      </w:r>
      <w:r>
        <w:rPr>
          <w:rFonts w:hint="eastAsia" w:ascii="宋体" w:hAnsi="宋体" w:cs="宋体"/>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w:t>
      </w:r>
      <w:r>
        <w:rPr>
          <w:rFonts w:hint="eastAsia" w:ascii="宋体" w:hAnsi="宋体"/>
          <w:bCs/>
          <w:color w:val="auto"/>
          <w:szCs w:val="21"/>
          <w:highlight w:val="none"/>
          <w:u w:val="single"/>
        </w:rPr>
        <w:t>投标文件</w:t>
      </w:r>
      <w:r>
        <w:rPr>
          <w:rFonts w:hint="eastAsia" w:ascii="宋体" w:hAnsi="宋体"/>
          <w:bCs/>
          <w:color w:val="auto"/>
          <w:szCs w:val="21"/>
          <w:highlight w:val="none"/>
        </w:rPr>
        <w:t>主要包括下列内容:</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11.2.1 </w:t>
      </w:r>
      <w:r>
        <w:rPr>
          <w:rFonts w:hint="eastAsia" w:ascii="宋体"/>
          <w:bCs/>
          <w:color w:val="auto"/>
          <w:szCs w:val="21"/>
          <w:highlight w:val="none"/>
          <w:u w:val="single"/>
        </w:rPr>
        <w:t>广州建设工程施工招标投标书</w:t>
      </w:r>
      <w:r>
        <w:rPr>
          <w:rFonts w:hint="eastAsia" w:ascii="宋体" w:hAnsi="宋体"/>
          <w:color w:val="auto"/>
          <w:szCs w:val="21"/>
          <w:highlight w:val="none"/>
        </w:rPr>
        <w:t>(按招标文件的要求填写)</w:t>
      </w:r>
      <w:r>
        <w:rPr>
          <w:rFonts w:hint="eastAsia" w:ascii="宋体"/>
          <w:bCs/>
          <w:color w:val="auto"/>
          <w:szCs w:val="21"/>
          <w:highlight w:val="none"/>
        </w:rPr>
        <w:t>；</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11.2.2 资格审查文件：</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 xml:space="preserve">（1）投标人声明（按招标公告的要求填写）； </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（2）法定代表人证明书、法定代表人签字或盖章的本投标文件授权委托证明书；</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（3）企业营业执照</w:t>
      </w:r>
      <w:r>
        <w:rPr>
          <w:rFonts w:hint="eastAsia" w:ascii="宋体"/>
          <w:bCs/>
          <w:color w:val="auto"/>
          <w:szCs w:val="21"/>
          <w:highlight w:val="none"/>
          <w:u w:val="single"/>
        </w:rPr>
        <w:t>（取自平台内上传件）</w:t>
      </w:r>
      <w:r>
        <w:rPr>
          <w:rFonts w:hint="eastAsia" w:ascii="宋体" w:hAnsi="宋体" w:cs="Calibri"/>
          <w:bCs/>
          <w:color w:val="auto"/>
          <w:szCs w:val="21"/>
          <w:highlight w:val="none"/>
          <w:u w:val="single"/>
        </w:rPr>
        <w:t>；</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（4）企业资质证书</w:t>
      </w:r>
      <w:r>
        <w:rPr>
          <w:rFonts w:hint="eastAsia" w:ascii="宋体"/>
          <w:bCs/>
          <w:color w:val="auto"/>
          <w:szCs w:val="21"/>
          <w:highlight w:val="none"/>
          <w:u w:val="single"/>
        </w:rPr>
        <w:t>（取自平台内上传件）</w:t>
      </w:r>
      <w:r>
        <w:rPr>
          <w:rFonts w:hint="eastAsia" w:ascii="宋体" w:hAnsi="宋体" w:cs="Calibri"/>
          <w:bCs/>
          <w:color w:val="auto"/>
          <w:szCs w:val="21"/>
          <w:highlight w:val="none"/>
          <w:u w:val="single"/>
        </w:rPr>
        <w:t>；</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（5）建筑施工企业安全生产许可证</w:t>
      </w:r>
      <w:r>
        <w:rPr>
          <w:rFonts w:hint="eastAsia" w:ascii="宋体"/>
          <w:bCs/>
          <w:color w:val="auto"/>
          <w:szCs w:val="21"/>
          <w:highlight w:val="none"/>
          <w:u w:val="single"/>
        </w:rPr>
        <w:t>（取自平台内上传件）</w:t>
      </w:r>
      <w:r>
        <w:rPr>
          <w:rFonts w:hint="eastAsia" w:ascii="宋体" w:hAnsi="宋体" w:cs="Calibri"/>
          <w:bCs/>
          <w:color w:val="auto"/>
          <w:szCs w:val="21"/>
          <w:highlight w:val="none"/>
          <w:u w:val="single"/>
        </w:rPr>
        <w:t>；</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（6）项目负责人（按网上投标登记时选择拟投标的项目负责人）；</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（7）专职安全员（按网上投标登记时选择拟投标的专职安全员）；</w:t>
      </w:r>
    </w:p>
    <w:p>
      <w:pPr>
        <w:spacing w:line="360" w:lineRule="auto"/>
        <w:ind w:firstLine="420" w:firstLineChars="200"/>
        <w:rPr>
          <w:rFonts w:ascii="宋体" w:hAnsi="宋体" w:cs="Calibri"/>
          <w:bCs/>
          <w:strike/>
          <w:color w:val="auto"/>
          <w:szCs w:val="21"/>
          <w:highlight w:val="none"/>
          <w:u w:val="single"/>
        </w:rPr>
      </w:pPr>
      <w:r>
        <w:rPr>
          <w:rFonts w:hint="eastAsia" w:ascii="宋体" w:hAnsi="宋体" w:cs="Calibri"/>
          <w:bCs/>
          <w:color w:val="auto"/>
          <w:szCs w:val="21"/>
          <w:highlight w:val="none"/>
          <w:u w:val="single"/>
        </w:rPr>
        <w:t>（8）拟委托技术负责人的相关证书、资料（须提交清晰扫描件）。</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（9）拟委派项目负责人的建造师注册证书（须提交清晰扫描件）；</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（10）项目负责人安全生产考核合格证明或在有效期内的安全考核合格证书（B类）或建筑施工企业项目负责人安全生产考核合格证书（</w:t>
      </w:r>
      <w:r>
        <w:rPr>
          <w:rFonts w:hint="eastAsia" w:ascii="宋体"/>
          <w:bCs/>
          <w:color w:val="auto"/>
          <w:szCs w:val="21"/>
          <w:highlight w:val="none"/>
          <w:u w:val="single"/>
        </w:rPr>
        <w:t>取自平台内上传件）</w:t>
      </w:r>
      <w:r>
        <w:rPr>
          <w:rFonts w:hint="eastAsia" w:ascii="宋体" w:hAnsi="宋体" w:cs="Calibri"/>
          <w:bCs/>
          <w:color w:val="auto"/>
          <w:szCs w:val="21"/>
          <w:highlight w:val="none"/>
          <w:u w:val="single"/>
        </w:rPr>
        <w:t>；</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（11）</w:t>
      </w:r>
      <w:r>
        <w:rPr>
          <w:rFonts w:hint="eastAsia" w:ascii="宋体" w:hAnsi="宋体" w:cs="宋体"/>
          <w:color w:val="auto"/>
          <w:szCs w:val="21"/>
          <w:highlight w:val="none"/>
          <w:u w:val="single"/>
          <w:shd w:val="clear" w:color="auto" w:fill="FFFFFF"/>
        </w:rPr>
        <w:t>专职安全员须具有在有效期内的安全生产考核合格证（C类）或建筑施工企业专职安全生产管理人员安全生产考核合格证（C3）</w:t>
      </w:r>
      <w:r>
        <w:rPr>
          <w:rFonts w:hint="eastAsia" w:ascii="宋体"/>
          <w:bCs/>
          <w:color w:val="auto"/>
          <w:szCs w:val="21"/>
          <w:highlight w:val="none"/>
          <w:u w:val="single"/>
        </w:rPr>
        <w:t>（取自平台内上传件）</w:t>
      </w:r>
    </w:p>
    <w:p>
      <w:pPr>
        <w:spacing w:line="360" w:lineRule="auto"/>
        <w:ind w:firstLine="420" w:firstLineChars="200"/>
        <w:rPr>
          <w:rFonts w:ascii="宋体" w:hAnsi="宋体" w:cs="Calibri"/>
          <w:bCs/>
          <w:color w:val="auto"/>
          <w:szCs w:val="21"/>
          <w:highlight w:val="none"/>
          <w:u w:val="single"/>
        </w:rPr>
      </w:pPr>
      <w:r>
        <w:rPr>
          <w:rFonts w:hint="eastAsia" w:ascii="宋体" w:hAnsi="宋体" w:cs="Calibri"/>
          <w:bCs/>
          <w:color w:val="auto"/>
          <w:szCs w:val="21"/>
          <w:highlight w:val="none"/>
          <w:u w:val="single"/>
        </w:rPr>
        <w:t>（1</w:t>
      </w:r>
      <w:r>
        <w:rPr>
          <w:rFonts w:ascii="宋体" w:hAnsi="宋体" w:cs="Calibri"/>
          <w:bCs/>
          <w:color w:val="auto"/>
          <w:szCs w:val="21"/>
          <w:highlight w:val="none"/>
          <w:u w:val="single"/>
        </w:rPr>
        <w:t>2</w:t>
      </w:r>
      <w:r>
        <w:rPr>
          <w:rFonts w:hint="eastAsia" w:ascii="宋体" w:hAnsi="宋体" w:cs="Calibri"/>
          <w:bCs/>
          <w:color w:val="auto"/>
          <w:szCs w:val="21"/>
          <w:highlight w:val="none"/>
          <w:u w:val="single"/>
        </w:rPr>
        <w:t>）资格审查前，投标人须在广州市住房和城乡建设局建立企业诚信档案及拟担任本工程项目负责人、专职安全员须是本企业诚信档案中的在册人员。企业诚信档案取自投标截止时间投标人在企业库内的信息，投标人无需提交相关资料，若招标人延长递交投标文件截止时间的，诚信档案信息的评审时点也相应延长。</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11.2.3技术标相关证明文件。</w:t>
      </w:r>
    </w:p>
    <w:p>
      <w:pPr>
        <w:pStyle w:val="35"/>
        <w:ind w:left="0" w:leftChars="0"/>
        <w:rPr>
          <w:rFonts w:ascii="宋体" w:hAnsi="宋体"/>
          <w:color w:val="auto"/>
          <w:szCs w:val="21"/>
          <w:highlight w:val="none"/>
          <w:u w:val="single"/>
        </w:rPr>
      </w:pPr>
      <w:r>
        <w:rPr>
          <w:rFonts w:hint="eastAsia" w:ascii="宋体" w:hAnsi="宋体"/>
          <w:color w:val="auto"/>
          <w:szCs w:val="21"/>
          <w:highlight w:val="none"/>
          <w:u w:val="single"/>
        </w:rPr>
        <w:t>11.2.4拟派项目人员配备情况表</w:t>
      </w:r>
      <w:r>
        <w:rPr>
          <w:rFonts w:hint="eastAsia" w:ascii="宋体" w:hAnsi="宋体"/>
          <w:color w:val="auto"/>
          <w:szCs w:val="21"/>
          <w:highlight w:val="none"/>
          <w:u w:val="single"/>
        </w:rPr>
        <w:t>。</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11.2</w:t>
      </w:r>
      <w:r>
        <w:rPr>
          <w:rFonts w:hint="eastAsia" w:ascii="宋体" w:hAnsi="宋体"/>
          <w:color w:val="auto"/>
          <w:szCs w:val="21"/>
          <w:highlight w:val="none"/>
        </w:rPr>
        <w:t>.</w:t>
      </w:r>
      <w:r>
        <w:rPr>
          <w:rFonts w:hint="eastAsia" w:ascii="宋体" w:hAnsi="宋体"/>
          <w:color w:val="auto"/>
          <w:szCs w:val="21"/>
          <w:highlight w:val="none"/>
          <w:u w:val="single"/>
        </w:rPr>
        <w:t>5 按照招标文件要求填写的《参与编制技术标投标文件人员名单》。</w:t>
      </w:r>
    </w:p>
    <w:p>
      <w:pPr>
        <w:pStyle w:val="6"/>
        <w:rPr>
          <w:rFonts w:ascii="宋体" w:hAnsi="宋体"/>
          <w:color w:val="auto"/>
          <w:sz w:val="24"/>
          <w:szCs w:val="22"/>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11.2.6投标人认为应该提供其他的资料。</w:t>
      </w:r>
    </w:p>
    <w:p>
      <w:pPr>
        <w:spacing w:line="360" w:lineRule="auto"/>
        <w:ind w:firstLine="420" w:firstLineChars="200"/>
        <w:rPr>
          <w:rFonts w:ascii="宋体"/>
          <w:bCs/>
          <w:color w:val="auto"/>
          <w:szCs w:val="21"/>
          <w:highlight w:val="none"/>
        </w:rPr>
      </w:pPr>
      <w:r>
        <w:rPr>
          <w:rFonts w:hint="eastAsia" w:ascii="宋体" w:hAnsi="宋体"/>
          <w:bCs/>
          <w:color w:val="auto"/>
          <w:szCs w:val="21"/>
          <w:highlight w:val="none"/>
        </w:rPr>
        <w:t>11.3 经济部分投标文件主要包括下列内容：</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11.3.1 经济投标文件(按招标文件的要求填写)。</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Cs w:val="21"/>
          <w:highlight w:val="none"/>
          <w:u w:val="single"/>
        </w:rPr>
        <w:t>（投标报价的工程量清单的组成、格式等按广州公共资源交易中心的投标文件管理软件自动生成）</w:t>
      </w:r>
      <w:r>
        <w:rPr>
          <w:rFonts w:hint="eastAsia" w:ascii="宋体" w:hAnsi="宋体"/>
          <w:color w:val="auto"/>
          <w:szCs w:val="21"/>
          <w:highlight w:val="none"/>
        </w:rPr>
        <w:t>。</w:t>
      </w:r>
    </w:p>
    <w:p>
      <w:pPr>
        <w:tabs>
          <w:tab w:val="left" w:pos="1125"/>
        </w:tabs>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11.3.3按照</w:t>
      </w:r>
      <w:r>
        <w:rPr>
          <w:rFonts w:hint="eastAsia" w:ascii="宋体" w:hAnsi="宋体"/>
          <w:bCs/>
          <w:color w:val="auto"/>
          <w:szCs w:val="21"/>
          <w:highlight w:val="none"/>
          <w:u w:val="single"/>
        </w:rPr>
        <w:t>招标文件要求</w:t>
      </w:r>
      <w:r>
        <w:rPr>
          <w:rFonts w:hint="eastAsia" w:ascii="宋体" w:hAnsi="宋体"/>
          <w:color w:val="auto"/>
          <w:szCs w:val="21"/>
          <w:highlight w:val="none"/>
          <w:u w:val="single"/>
        </w:rPr>
        <w:t>填写的《参与编制经济标投标文件人员名单》。</w:t>
      </w:r>
    </w:p>
    <w:p>
      <w:pPr>
        <w:tabs>
          <w:tab w:val="left" w:pos="1125"/>
        </w:tabs>
        <w:spacing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11.3.4 《对投标文件编制的承诺》。</w:t>
      </w:r>
    </w:p>
    <w:p>
      <w:pPr>
        <w:tabs>
          <w:tab w:val="left" w:pos="1125"/>
        </w:tabs>
        <w:spacing w:line="360" w:lineRule="auto"/>
        <w:ind w:firstLine="420" w:firstLineChars="200"/>
        <w:rPr>
          <w:color w:val="auto"/>
          <w:highlight w:val="none"/>
        </w:rPr>
      </w:pPr>
      <w:r>
        <w:rPr>
          <w:rFonts w:hint="eastAsia" w:ascii="宋体" w:hAnsi="宋体"/>
          <w:bCs/>
          <w:color w:val="auto"/>
          <w:szCs w:val="21"/>
          <w:highlight w:val="none"/>
          <w:u w:val="single"/>
        </w:rPr>
        <w:t>11.3.5</w:t>
      </w:r>
      <w:r>
        <w:rPr>
          <w:rFonts w:hint="eastAsia" w:ascii="宋体" w:hAnsi="宋体"/>
          <w:bCs/>
          <w:color w:val="auto"/>
          <w:szCs w:val="21"/>
          <w:highlight w:val="none"/>
        </w:rPr>
        <w:t xml:space="preserve"> </w:t>
      </w:r>
      <w:r>
        <w:rPr>
          <w:rFonts w:hint="eastAsia" w:ascii="宋体" w:hAnsi="宋体"/>
          <w:bCs/>
          <w:color w:val="auto"/>
          <w:szCs w:val="21"/>
          <w:highlight w:val="none"/>
          <w:u w:val="single"/>
        </w:rPr>
        <w:t>若投标人的投标报价低于工程成本警戒价的，投标人还须提供详细的施工组织设计、单价、措施性费用、单价分析表、主要材料价格表、投标人成本分析供评标委员会评审。</w:t>
      </w:r>
    </w:p>
    <w:p>
      <w:pPr>
        <w:pStyle w:val="6"/>
        <w:rPr>
          <w:color w:val="auto"/>
          <w:highlight w:val="none"/>
          <w:u w:val="single"/>
        </w:rPr>
      </w:pPr>
      <w:r>
        <w:rPr>
          <w:rFonts w:hint="eastAsia"/>
          <w:color w:val="auto"/>
          <w:highlight w:val="none"/>
          <w:u w:val="single"/>
        </w:rPr>
        <w:t xml:space="preserve">                                                                                            </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条款号：12.2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Bdr>
          <w:bottom w:val="single" w:color="auto" w:sz="6" w:space="1"/>
        </w:pBdr>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12.2</w:t>
      </w:r>
      <w:r>
        <w:rPr>
          <w:rFonts w:hint="eastAsia" w:ascii="宋体" w:hAnsi="宋体"/>
          <w:color w:val="auto"/>
          <w:szCs w:val="21"/>
          <w:highlight w:val="none"/>
        </w:rPr>
        <w:t>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color w:val="auto"/>
          <w:szCs w:val="21"/>
          <w:highlight w:val="none"/>
          <w:u w:val="single"/>
        </w:rPr>
        <w:t>详见广州公共资源交易中心网站</w:t>
      </w:r>
      <w:r>
        <w:rPr>
          <w:rFonts w:hint="eastAsia" w:ascii="宋体" w:hAnsi="宋体"/>
          <w:color w:val="auto"/>
          <w:szCs w:val="21"/>
          <w:highlight w:val="none"/>
        </w:rPr>
        <w:t>。</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条款号：12.3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12.3 投标文件应按照交易平台关于全流程电子化项目的相关指南进行编制，详见：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Bdr>
          <w:bottom w:val="single" w:color="auto" w:sz="6" w:space="1"/>
        </w:pBdr>
        <w:spacing w:line="360" w:lineRule="auto"/>
        <w:ind w:firstLine="527" w:firstLineChars="250"/>
        <w:rPr>
          <w:color w:val="auto"/>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12.3 投标文件应按照交易平台关于全流程电子化项目的相关指南进行编制，详见：</w:t>
      </w:r>
      <w:r>
        <w:rPr>
          <w:rFonts w:hint="eastAsia"/>
          <w:color w:val="auto"/>
          <w:szCs w:val="21"/>
          <w:highlight w:val="none"/>
          <w:u w:val="single"/>
        </w:rPr>
        <w:t>详见广州公共资源交易中心网站</w:t>
      </w:r>
      <w:r>
        <w:rPr>
          <w:rFonts w:hint="eastAsia" w:ascii="宋体" w:hAnsi="宋体"/>
          <w:color w:val="auto"/>
          <w:szCs w:val="21"/>
          <w:highlight w:val="none"/>
        </w:rPr>
        <w:t>。</w:t>
      </w:r>
    </w:p>
    <w:p>
      <w:pPr>
        <w:spacing w:line="360" w:lineRule="auto"/>
        <w:ind w:firstLine="527" w:firstLineChars="250"/>
        <w:jc w:val="left"/>
        <w:rPr>
          <w:rFonts w:ascii="宋体" w:hAnsi="宋体"/>
          <w:b/>
          <w:color w:val="auto"/>
          <w:szCs w:val="21"/>
          <w:highlight w:val="none"/>
        </w:rPr>
      </w:pPr>
      <w:r>
        <w:rPr>
          <w:rFonts w:hint="eastAsia" w:ascii="宋体" w:hAnsi="宋体"/>
          <w:b/>
          <w:color w:val="auto"/>
          <w:szCs w:val="21"/>
          <w:highlight w:val="none"/>
        </w:rPr>
        <w:t>条款号：13.5  13.5.1    13.5.2    13.5.3   13.5.4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13.5工程项目实施期间和结算时……，中标后双方协商约定：</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13.5</w:t>
      </w:r>
      <w:r>
        <w:rPr>
          <w:rFonts w:hint="eastAsia" w:ascii="宋体" w:hAnsi="宋体"/>
          <w:color w:val="auto"/>
          <w:szCs w:val="21"/>
          <w:highlight w:val="none"/>
          <w:u w:val="single"/>
        </w:rPr>
        <w:t xml:space="preserve"> 变更方式详见施工合同</w:t>
      </w:r>
      <w:r>
        <w:rPr>
          <w:rFonts w:hint="eastAsia" w:ascii="宋体" w:hAnsi="宋体"/>
          <w:color w:val="auto"/>
          <w:szCs w:val="21"/>
          <w:highlight w:val="none"/>
        </w:rPr>
        <w:t>。</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条款号：13.10                         修改类型：增加</w:t>
      </w:r>
    </w:p>
    <w:p>
      <w:pPr>
        <w:spacing w:line="360" w:lineRule="auto"/>
        <w:ind w:firstLine="472" w:firstLineChars="224"/>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13.10投标人一旦中标，中标价即为合同价，合同价款在合同条款签订后，任何一方不得擅自改变。投标人在报价时要充分考虑本工程的一切风险因素（如场地因素、地质资料和地下障碍物因素、材料设备价格因素、工程费用调整因素、外部环境影响因素等），在投标报价时作出最优和最合适、最有竞争力的报价。</w:t>
      </w:r>
    </w:p>
    <w:p>
      <w:pPr>
        <w:pStyle w:val="6"/>
        <w:rPr>
          <w:color w:val="auto"/>
          <w:highlight w:val="none"/>
          <w:u w:val="single"/>
        </w:rPr>
      </w:pPr>
      <w:r>
        <w:rPr>
          <w:rFonts w:hint="eastAsia"/>
          <w:color w:val="auto"/>
          <w:highlight w:val="none"/>
          <w:u w:val="single"/>
        </w:rPr>
        <w:t xml:space="preserve">                                                                                          </w:t>
      </w:r>
    </w:p>
    <w:p>
      <w:pPr>
        <w:pBdr>
          <w:bottom w:val="single" w:color="auto" w:sz="6" w:space="1"/>
        </w:pBd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条款号：16.1                             修改类型：修改</w:t>
      </w:r>
    </w:p>
    <w:p>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16.1投标人应按投标须知前附表第14项所述金额和时间递交投标保证金。招标人不得限定投标保证金只能以现金形式提交。投标保证金以现金或者支票形式提交的，必须由投标人的银行基本账户转出。</w:t>
      </w:r>
    </w:p>
    <w:p>
      <w:pPr>
        <w:pBdr>
          <w:bottom w:val="single" w:color="auto" w:sz="6" w:space="1"/>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16.1投标人应按投标须知前附表第14项所述金额和时间递交投标保证金。投标人自主选择现金、银行保函、保证保险、专业工程担保公司担保等方式缴纳投标保证金。</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条款号：16.5          修改类型：修改</w:t>
      </w:r>
    </w:p>
    <w:p>
      <w:pP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16.5投标人如存在下列情况之一的，将被拒绝在一年内参与招标人后续工程投标：</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条款号：17.1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17.1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Bdr>
          <w:bottom w:val="single" w:color="auto" w:sz="6" w:space="1"/>
        </w:pBdr>
        <w:spacing w:line="360" w:lineRule="auto"/>
        <w:ind w:firstLine="527" w:firstLineChars="25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17.1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color w:val="auto"/>
          <w:szCs w:val="24"/>
          <w:highlight w:val="none"/>
        </w:rPr>
        <w:t>：</w:t>
      </w:r>
      <w:r>
        <w:rPr>
          <w:rFonts w:hint="eastAsia"/>
          <w:color w:val="auto"/>
          <w:szCs w:val="24"/>
          <w:highlight w:val="none"/>
          <w:u w:val="single"/>
        </w:rPr>
        <w:t>《房屋建筑和市政基础设施工程全流程电子化项目专章》</w:t>
      </w:r>
      <w:r>
        <w:rPr>
          <w:rFonts w:hint="eastAsia" w:ascii="宋体" w:hAnsi="宋体"/>
          <w:color w:val="auto"/>
          <w:szCs w:val="21"/>
          <w:highlight w:val="none"/>
          <w:u w:val="single"/>
        </w:rPr>
        <w:t>。</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条款号：18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原文：18．投标文件的密封和标记</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18.1递交的电子投标文件（不含备用光盘）必须进行加密。按照交易平台关于全流程电子化项目的相关指南进行操作。详见：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18.2 未按要求加密的投标文件，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现文：18．投标文件的密封和标记</w:t>
      </w:r>
    </w:p>
    <w:p>
      <w:pPr>
        <w:spacing w:line="360" w:lineRule="auto"/>
        <w:ind w:firstLine="525" w:firstLineChars="250"/>
        <w:rPr>
          <w:rFonts w:ascii="宋体" w:hAnsi="宋体"/>
          <w:color w:val="auto"/>
          <w:szCs w:val="21"/>
          <w:highlight w:val="none"/>
        </w:rPr>
      </w:pPr>
      <w:r>
        <w:rPr>
          <w:rStyle w:val="123"/>
          <w:rFonts w:hint="eastAsia" w:ascii="宋体" w:hAnsi="宋体" w:cs="宋体"/>
          <w:color w:val="auto"/>
          <w:szCs w:val="21"/>
          <w:highlight w:val="none"/>
        </w:rPr>
        <w:t>18.1</w:t>
      </w:r>
      <w:r>
        <w:rPr>
          <w:rFonts w:hint="eastAsia" w:ascii="宋体" w:hAnsi="宋体"/>
          <w:color w:val="auto"/>
          <w:szCs w:val="21"/>
          <w:highlight w:val="none"/>
        </w:rPr>
        <w:t>递交的电子投标文件（不含备用光盘）必须进行加密。按照交易平台关于全流程电子化项目的相关指南进行操作。详见：</w:t>
      </w:r>
      <w:r>
        <w:rPr>
          <w:rFonts w:hint="eastAsia"/>
          <w:color w:val="auto"/>
          <w:szCs w:val="24"/>
          <w:highlight w:val="none"/>
          <w:u w:val="single"/>
        </w:rPr>
        <w:t>《房屋建筑和市政基础设施工程全流程电子化项目专章》</w:t>
      </w:r>
      <w:r>
        <w:rPr>
          <w:rStyle w:val="123"/>
          <w:rFonts w:hint="eastAsia" w:ascii="宋体" w:hAnsi="宋体" w:cs="宋体"/>
          <w:color w:val="auto"/>
          <w:szCs w:val="21"/>
          <w:highlight w:val="none"/>
        </w:rPr>
        <w:t>。</w:t>
      </w:r>
    </w:p>
    <w:p>
      <w:pPr>
        <w:pBdr>
          <w:bottom w:val="single" w:color="auto" w:sz="6" w:space="1"/>
        </w:pBdr>
        <w:spacing w:line="360" w:lineRule="auto"/>
        <w:ind w:firstLine="420" w:firstLineChars="200"/>
        <w:rPr>
          <w:rFonts w:ascii="宋体" w:hAnsi="宋体"/>
          <w:b/>
          <w:color w:val="auto"/>
          <w:szCs w:val="21"/>
          <w:highlight w:val="none"/>
        </w:rPr>
      </w:pPr>
      <w:r>
        <w:rPr>
          <w:rStyle w:val="123"/>
          <w:rFonts w:hint="eastAsia" w:ascii="宋体" w:hAnsi="宋体" w:cs="宋体"/>
          <w:color w:val="auto"/>
          <w:szCs w:val="21"/>
          <w:highlight w:val="none"/>
        </w:rPr>
        <w:t>18.2</w:t>
      </w:r>
      <w:r>
        <w:rPr>
          <w:rStyle w:val="123"/>
          <w:rFonts w:hint="eastAsia" w:ascii="宋体" w:hAnsi="宋体" w:cs="宋体"/>
          <w:bCs/>
          <w:color w:val="auto"/>
          <w:szCs w:val="21"/>
          <w:highlight w:val="none"/>
        </w:rPr>
        <w:t>未按要求加密的投标文件，</w:t>
      </w:r>
      <w:r>
        <w:rPr>
          <w:rStyle w:val="123"/>
          <w:rFonts w:hint="eastAsia" w:ascii="宋体" w:hAnsi="宋体" w:cs="宋体"/>
          <w:color w:val="auto"/>
          <w:szCs w:val="21"/>
          <w:highlight w:val="none"/>
          <w:u w:val="single"/>
        </w:rPr>
        <w:t>广州公共资源交易中心</w:t>
      </w:r>
      <w:r>
        <w:rPr>
          <w:rStyle w:val="123"/>
          <w:rFonts w:hint="eastAsia" w:ascii="宋体" w:hAnsi="宋体" w:cs="宋体"/>
          <w:color w:val="auto"/>
          <w:szCs w:val="21"/>
          <w:highlight w:val="none"/>
        </w:rPr>
        <w:t>交易平台</w:t>
      </w:r>
      <w:r>
        <w:rPr>
          <w:rStyle w:val="123"/>
          <w:rFonts w:hint="eastAsia" w:ascii="宋体" w:hAnsi="宋体" w:cs="宋体"/>
          <w:bCs/>
          <w:color w:val="auto"/>
          <w:szCs w:val="21"/>
          <w:highlight w:val="none"/>
        </w:rPr>
        <w:t>将予以拒收</w:t>
      </w:r>
      <w:r>
        <w:rPr>
          <w:rFonts w:hint="eastAsia" w:ascii="宋体" w:hAnsi="宋体"/>
          <w:color w:val="auto"/>
          <w:szCs w:val="21"/>
          <w:highlight w:val="none"/>
        </w:rPr>
        <w:t>。</w:t>
      </w:r>
    </w:p>
    <w:p>
      <w:pPr>
        <w:pStyle w:val="6"/>
        <w:ind w:firstLine="422" w:firstLineChars="200"/>
        <w:rPr>
          <w:rFonts w:ascii="宋体" w:hAnsi="宋体"/>
          <w:b/>
          <w:color w:val="auto"/>
          <w:szCs w:val="21"/>
          <w:highlight w:val="none"/>
        </w:rPr>
      </w:pPr>
      <w:r>
        <w:rPr>
          <w:rFonts w:hint="eastAsia" w:ascii="宋体" w:hAnsi="宋体"/>
          <w:b/>
          <w:color w:val="auto"/>
          <w:szCs w:val="21"/>
          <w:highlight w:val="none"/>
        </w:rPr>
        <w:t>条款号：19.1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19.1投标人通过</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交易平台递交电子投标文件。</w:t>
      </w:r>
    </w:p>
    <w:p>
      <w:pPr>
        <w:pBdr>
          <w:bottom w:val="single" w:color="auto" w:sz="6" w:space="1"/>
        </w:pBd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19.1投标人通过</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交易平台递交电子投标文件。</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条款号：19.2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19.2投标人完成电子投标文件上传后，</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交易平台即时向投标人发出递交回执通知。递交时间以递交回执通知载明的传输完成时间为准。</w:t>
      </w:r>
    </w:p>
    <w:p>
      <w:pPr>
        <w:pBdr>
          <w:bottom w:val="single" w:color="auto" w:sz="6" w:space="1"/>
        </w:pBd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19.2投标人完成电子投标文件上传后，</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交易平台即时向投标人发出递交回执通知。递交时间以递交回执通知载明的传输完成时间为准。</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条款号：19.3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19.3逾期送达的电子投标文件，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pPr>
        <w:pBdr>
          <w:bottom w:val="single" w:color="auto" w:sz="6" w:space="1"/>
        </w:pBd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19.3逾期送达的电子投标文件，</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交易平台将予以拒收。</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条款号：19.5                               修改类型：修改</w:t>
      </w:r>
    </w:p>
    <w:p>
      <w:pP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19.5如技术标和经济标先后分别开启，</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交易平台将按招标文件规定的时间分别开启技术标和经济标。</w:t>
      </w:r>
    </w:p>
    <w:p>
      <w:pPr>
        <w:spacing w:line="360" w:lineRule="auto"/>
        <w:ind w:firstLine="422" w:firstLineChars="200"/>
        <w:rPr>
          <w:rFonts w:ascii="宋体"/>
          <w:color w:val="auto"/>
          <w:szCs w:val="21"/>
          <w:highlight w:val="none"/>
          <w:u w:val="single"/>
        </w:rPr>
      </w:pPr>
      <w:r>
        <w:rPr>
          <w:rFonts w:hint="eastAsia" w:ascii="宋体" w:hAnsi="宋体"/>
          <w:b/>
          <w:color w:val="auto"/>
          <w:szCs w:val="21"/>
          <w:highlight w:val="none"/>
        </w:rPr>
        <w:t>现文：</w:t>
      </w:r>
      <w:r>
        <w:rPr>
          <w:rFonts w:ascii="宋体" w:hAnsi="宋体"/>
          <w:color w:val="auto"/>
          <w:szCs w:val="21"/>
          <w:highlight w:val="none"/>
          <w:u w:val="single"/>
        </w:rPr>
        <w:t>19.5</w:t>
      </w:r>
      <w:r>
        <w:rPr>
          <w:rFonts w:hint="eastAsia" w:ascii="宋体" w:hAnsi="宋体"/>
          <w:color w:val="auto"/>
          <w:szCs w:val="21"/>
          <w:highlight w:val="none"/>
          <w:u w:val="single"/>
        </w:rPr>
        <w:t>投标人代表应按投标须知前附表第</w:t>
      </w:r>
      <w:r>
        <w:rPr>
          <w:rFonts w:ascii="宋体" w:hAnsi="宋体"/>
          <w:color w:val="auto"/>
          <w:szCs w:val="21"/>
          <w:highlight w:val="none"/>
          <w:u w:val="single"/>
        </w:rPr>
        <w:t>18</w:t>
      </w:r>
      <w:r>
        <w:rPr>
          <w:rFonts w:hint="eastAsia" w:ascii="宋体" w:hAnsi="宋体"/>
          <w:color w:val="auto"/>
          <w:szCs w:val="21"/>
          <w:highlight w:val="none"/>
          <w:u w:val="single"/>
        </w:rPr>
        <w:t>项所规定的时间和地点向招标人提交投标文件，投标人代表应由投标人法定代表人或法定代表人书面授权的委托代理人担任，若出现以下情况之一的，招标人将拒绝接收投标文件：</w:t>
      </w:r>
    </w:p>
    <w:p>
      <w:pPr>
        <w:spacing w:line="360" w:lineRule="auto"/>
        <w:ind w:firstLine="420" w:firstLineChars="200"/>
        <w:rPr>
          <w:rFonts w:ascii="宋体"/>
          <w:color w:val="auto"/>
          <w:szCs w:val="21"/>
          <w:highlight w:val="none"/>
          <w:u w:val="single"/>
        </w:rPr>
      </w:pPr>
      <w:r>
        <w:rPr>
          <w:rFonts w:ascii="宋体" w:hAnsi="宋体"/>
          <w:color w:val="auto"/>
          <w:szCs w:val="21"/>
          <w:highlight w:val="none"/>
          <w:u w:val="single"/>
        </w:rPr>
        <w:t>19.5.1</w:t>
      </w:r>
      <w:r>
        <w:rPr>
          <w:rFonts w:hint="eastAsia" w:ascii="宋体" w:hAnsi="宋体"/>
          <w:color w:val="auto"/>
          <w:szCs w:val="21"/>
          <w:highlight w:val="none"/>
          <w:u w:val="single"/>
        </w:rPr>
        <w:t>逾期或未在指定地点递交投标文件的；</w:t>
      </w:r>
    </w:p>
    <w:p>
      <w:pPr>
        <w:pBdr>
          <w:bottom w:val="single" w:color="auto" w:sz="6" w:space="1"/>
        </w:pBdr>
        <w:spacing w:line="360" w:lineRule="auto"/>
        <w:ind w:firstLine="420" w:firstLineChars="200"/>
        <w:rPr>
          <w:rFonts w:ascii="宋体" w:hAnsi="宋体"/>
          <w:b/>
          <w:color w:val="auto"/>
          <w:szCs w:val="21"/>
          <w:highlight w:val="none"/>
        </w:rPr>
      </w:pPr>
      <w:r>
        <w:rPr>
          <w:rFonts w:ascii="宋体" w:hAnsi="宋体"/>
          <w:color w:val="auto"/>
          <w:szCs w:val="21"/>
          <w:highlight w:val="none"/>
          <w:u w:val="single"/>
        </w:rPr>
        <w:t>19.5.2</w:t>
      </w:r>
      <w:r>
        <w:rPr>
          <w:rFonts w:hint="eastAsia" w:ascii="宋体" w:hAnsi="宋体"/>
          <w:color w:val="auto"/>
          <w:szCs w:val="21"/>
          <w:highlight w:val="none"/>
          <w:u w:val="single"/>
        </w:rPr>
        <w:t>未按招标文件要求密封和标志的。</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条款号：19.6                               修改类型：删除</w:t>
      </w:r>
    </w:p>
    <w:p>
      <w:pPr>
        <w:pBdr>
          <w:bottom w:val="single" w:color="auto" w:sz="6" w:space="1"/>
        </w:pBd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条款号：21.1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21.1本须知前附表第17项规定的投标截止时间后送达的电子投标文件，</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交易平台将予以拒收。</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21.1本须知前附表第18项规定的投标截止时间后送达的电子投标文件，</w:t>
      </w:r>
      <w:r>
        <w:rPr>
          <w:rFonts w:hint="eastAsia" w:ascii="宋体" w:hAnsi="宋体"/>
          <w:color w:val="auto"/>
          <w:szCs w:val="21"/>
          <w:highlight w:val="none"/>
          <w:u w:val="single"/>
        </w:rPr>
        <w:t xml:space="preserve"> 广州公共资源交易中心 </w:t>
      </w:r>
      <w:r>
        <w:rPr>
          <w:rFonts w:hint="eastAsia" w:ascii="宋体" w:hAnsi="宋体"/>
          <w:color w:val="auto"/>
          <w:szCs w:val="21"/>
          <w:highlight w:val="none"/>
        </w:rPr>
        <w:t>交易平台将予以拒收。</w:t>
      </w:r>
      <w:r>
        <w:rPr>
          <w:rFonts w:hint="eastAsia" w:ascii="宋体" w:hAnsi="宋体"/>
          <w:color w:val="auto"/>
          <w:szCs w:val="21"/>
          <w:highlight w:val="none"/>
          <w:u w:val="single"/>
        </w:rPr>
        <w:t>逾期或未在指定地点递交投标文件的，招标人将拒绝接收投标文件。</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条款号：24.1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24.1开标后，直至中标公示为止，凡属于对投标文件的审查、澄清、评价和比较有关的资料以及中标候选人的推荐情况，与评标有关的其他任何情况均严格保密。</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24.1开标后，直至中标公示为止，凡属于对投标文件的审查、澄清、评价和比较有关的资料以及中标候选人的推荐情况，与评标有关的其他任何情况均严格保密。</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条款号：24.2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24.2在投标文件的评审和比较、中标候选人推荐以及授予合同的过程中，投标人向招标人和评标委员会施加不公正影响的任何行为，都将会导致其投标被拒绝。</w:t>
      </w:r>
    </w:p>
    <w:p>
      <w:pPr>
        <w:pBdr>
          <w:bottom w:val="single" w:color="auto" w:sz="6" w:space="1"/>
        </w:pBdr>
        <w:spacing w:line="360" w:lineRule="auto"/>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24.2在投标文件的评审和比较、中标候选人推荐以及授予合同的过程中，投标人向招标人、评标委员会施加不公正影响的任何行为，都将会导致其投标被拒绝。</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条款号：27.1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27.1招标人将在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Fonts w:hint="eastAsia" w:ascii="宋体" w:hAnsi="宋体"/>
          <w:color w:val="auto"/>
          <w:szCs w:val="21"/>
          <w:highlight w:val="none"/>
        </w:rPr>
        <w:t>27.1</w:t>
      </w:r>
      <w:r>
        <w:rPr>
          <w:rFonts w:hint="eastAsia" w:ascii="宋体" w:hAnsi="宋体"/>
          <w:color w:val="auto"/>
          <w:szCs w:val="21"/>
          <w:highlight w:val="none"/>
          <w:u w:val="single"/>
        </w:rPr>
        <w:t>招标人将在</w:t>
      </w:r>
      <w:r>
        <w:rPr>
          <w:rFonts w:hint="eastAsia"/>
          <w:color w:val="auto"/>
          <w:szCs w:val="21"/>
          <w:highlight w:val="none"/>
          <w:u w:val="single"/>
        </w:rPr>
        <w:t>广州公共资源交易中心</w:t>
      </w:r>
      <w:r>
        <w:rPr>
          <w:rFonts w:hint="eastAsia" w:ascii="宋体" w:hAnsi="宋体"/>
          <w:color w:val="auto"/>
          <w:szCs w:val="21"/>
          <w:highlight w:val="none"/>
          <w:u w:val="singl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条款号：27.4                               修改类型：修改</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27.4在产生中标候选人后，招标人将中标候选人的投标文件商务部分文件的所有内容（包括人员、业绩、奖项等资料）在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交易平台和广东省招标投标监管网公开。</w:t>
      </w:r>
    </w:p>
    <w:p>
      <w:pPr>
        <w:spacing w:line="360" w:lineRule="auto"/>
        <w:ind w:firstLine="527" w:firstLineChars="250"/>
        <w:rPr>
          <w:rFonts w:ascii="宋体" w:hAnsi="宋体"/>
          <w:color w:val="auto"/>
          <w:highlight w:val="none"/>
        </w:rPr>
      </w:pPr>
      <w:r>
        <w:rPr>
          <w:rFonts w:hint="eastAsia" w:ascii="宋体" w:hAnsi="宋体"/>
          <w:b/>
          <w:color w:val="auto"/>
          <w:szCs w:val="21"/>
          <w:highlight w:val="none"/>
        </w:rPr>
        <w:t>现文：</w:t>
      </w:r>
      <w:r>
        <w:rPr>
          <w:rStyle w:val="123"/>
          <w:rFonts w:hint="eastAsia" w:ascii="宋体" w:hAnsi="宋体" w:cs="宋体"/>
          <w:color w:val="auto"/>
          <w:szCs w:val="21"/>
          <w:highlight w:val="none"/>
        </w:rPr>
        <w:t>27.4在产生中标候选人后，招标人将中标候选人的投标文件商务部分文件的</w:t>
      </w:r>
      <w:r>
        <w:rPr>
          <w:rStyle w:val="123"/>
          <w:rFonts w:hint="eastAsia" w:ascii="宋体" w:hAnsi="宋体" w:cs="宋体"/>
          <w:color w:val="auto"/>
          <w:szCs w:val="21"/>
          <w:highlight w:val="none"/>
          <w:u w:val="single"/>
        </w:rPr>
        <w:t>人员、业绩、奖项等资料</w:t>
      </w:r>
      <w:r>
        <w:rPr>
          <w:rStyle w:val="123"/>
          <w:rFonts w:hint="eastAsia" w:ascii="宋体" w:hAnsi="宋体" w:cs="宋体"/>
          <w:color w:val="auto"/>
          <w:szCs w:val="21"/>
          <w:highlight w:val="none"/>
        </w:rPr>
        <w:t>在</w:t>
      </w:r>
      <w:r>
        <w:rPr>
          <w:rStyle w:val="123"/>
          <w:rFonts w:hint="eastAsia" w:ascii="宋体" w:hAnsi="宋体" w:cs="宋体"/>
          <w:color w:val="auto"/>
          <w:szCs w:val="21"/>
          <w:highlight w:val="none"/>
          <w:u w:val="single"/>
        </w:rPr>
        <w:t>广州公共资源交易中心</w:t>
      </w:r>
      <w:r>
        <w:rPr>
          <w:rStyle w:val="123"/>
          <w:rFonts w:hint="eastAsia" w:ascii="宋体" w:hAnsi="宋体" w:cs="宋体"/>
          <w:color w:val="auto"/>
          <w:szCs w:val="21"/>
          <w:highlight w:val="none"/>
        </w:rPr>
        <w:t>交易平台和广东省招标投标监管网公开。</w:t>
      </w:r>
    </w:p>
    <w:p>
      <w:pPr>
        <w:pStyle w:val="6"/>
        <w:rPr>
          <w:color w:val="auto"/>
          <w:highlight w:val="none"/>
          <w:u w:val="single"/>
        </w:rPr>
      </w:pPr>
      <w:r>
        <w:rPr>
          <w:rFonts w:hint="eastAsia"/>
          <w:color w:val="auto"/>
          <w:highlight w:val="none"/>
          <w:u w:val="single"/>
        </w:rPr>
        <w:t xml:space="preserve">                                                                                            </w:t>
      </w:r>
    </w:p>
    <w:p>
      <w:pPr>
        <w:pBdr>
          <w:bottom w:val="single" w:color="auto" w:sz="4"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bCs/>
          <w:color w:val="auto"/>
          <w:szCs w:val="21"/>
          <w:highlight w:val="none"/>
        </w:rPr>
        <w:t>28.2</w:t>
      </w:r>
      <w:r>
        <w:rPr>
          <w:rFonts w:hint="eastAsia" w:ascii="宋体" w:hAnsi="宋体"/>
          <w:b/>
          <w:color w:val="auto"/>
          <w:szCs w:val="21"/>
          <w:highlight w:val="none"/>
        </w:rPr>
        <w:t xml:space="preserve">                                  修改类型：修改</w:t>
      </w:r>
    </w:p>
    <w:p>
      <w:pPr>
        <w:pBdr>
          <w:bottom w:val="single" w:color="auto" w:sz="4" w:space="1"/>
        </w:pBdr>
        <w:spacing w:line="360" w:lineRule="auto"/>
        <w:ind w:firstLine="422" w:firstLineChars="200"/>
        <w:rPr>
          <w:rFonts w:ascii="宋体" w:hAnsi="宋体"/>
          <w:b/>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4"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28.2中标通知书发出之日起</w:t>
      </w:r>
      <w:r>
        <w:rPr>
          <w:rFonts w:ascii="宋体" w:hAnsi="宋体"/>
          <w:color w:val="auto"/>
          <w:szCs w:val="21"/>
          <w:highlight w:val="none"/>
        </w:rPr>
        <w:t>30</w:t>
      </w:r>
      <w:r>
        <w:rPr>
          <w:rFonts w:hint="eastAsia" w:ascii="宋体" w:hAnsi="宋体"/>
          <w:color w:val="auto"/>
          <w:szCs w:val="21"/>
          <w:highlight w:val="none"/>
        </w:rPr>
        <w:t>日后，中标人未按上款的规定与招标人订立合同，招标人</w:t>
      </w:r>
      <w:r>
        <w:rPr>
          <w:rFonts w:hint="eastAsia" w:ascii="宋体" w:hAnsi="宋体"/>
          <w:color w:val="auto"/>
          <w:szCs w:val="21"/>
          <w:highlight w:val="none"/>
          <w:u w:val="single"/>
        </w:rPr>
        <w:t>有权</w:t>
      </w:r>
      <w:r>
        <w:rPr>
          <w:rFonts w:hint="eastAsia" w:ascii="宋体" w:hAnsi="宋体"/>
          <w:color w:val="auto"/>
          <w:szCs w:val="21"/>
          <w:highlight w:val="none"/>
        </w:rPr>
        <w:t>解除中标通知书</w:t>
      </w:r>
      <w:r>
        <w:rPr>
          <w:rFonts w:hint="eastAsia" w:ascii="宋体" w:hAnsi="宋体"/>
          <w:color w:val="auto"/>
          <w:szCs w:val="21"/>
          <w:highlight w:val="none"/>
          <w:lang w:eastAsia="zh-CN"/>
        </w:rPr>
        <w:t>，</w:t>
      </w:r>
      <w:r>
        <w:rPr>
          <w:rFonts w:hint="eastAsia" w:ascii="宋体" w:hAnsi="宋体"/>
          <w:color w:val="auto"/>
          <w:szCs w:val="21"/>
          <w:highlight w:val="none"/>
        </w:rPr>
        <w:t>依法承担相应法律责任。原中标人有异议的，可以向人民法院起诉。排名第一的中标候选人放弃中标、无故不签订合同或因不可抗力不能履行合同、不按照招标文件要求提交履约保证金，或者被查实存在影响中标结果的违法行为等情形，不符合中标条件的，招标人可以按照中标候选人名单排序依次确定其他中标候选人为中标人，也可以重新招标。</w:t>
      </w:r>
    </w:p>
    <w:p>
      <w:pPr>
        <w:wordWrap w:val="0"/>
        <w:spacing w:line="360" w:lineRule="auto"/>
        <w:ind w:firstLine="472" w:firstLineChars="224"/>
        <w:rPr>
          <w:rStyle w:val="123"/>
          <w:rFonts w:ascii="宋体" w:hAnsi="宋体" w:cs="宋体"/>
          <w:b/>
          <w:color w:val="auto"/>
          <w:szCs w:val="21"/>
          <w:highlight w:val="none"/>
        </w:rPr>
      </w:pPr>
      <w:r>
        <w:rPr>
          <w:rStyle w:val="123"/>
          <w:rFonts w:hint="eastAsia" w:ascii="宋体" w:hAnsi="宋体" w:cs="宋体"/>
          <w:b/>
          <w:color w:val="auto"/>
          <w:szCs w:val="21"/>
          <w:highlight w:val="none"/>
        </w:rPr>
        <w:t>条款号：29.1             修改类型：修改</w:t>
      </w:r>
    </w:p>
    <w:p>
      <w:pPr>
        <w:wordWrap w:val="0"/>
        <w:spacing w:line="360" w:lineRule="auto"/>
        <w:ind w:firstLine="472" w:firstLineChars="224"/>
        <w:rPr>
          <w:rStyle w:val="123"/>
          <w:rFonts w:ascii="宋体" w:hAnsi="宋体" w:cs="宋体"/>
          <w:b/>
          <w:color w:val="auto"/>
          <w:szCs w:val="21"/>
          <w:highlight w:val="none"/>
        </w:rPr>
      </w:pPr>
      <w:r>
        <w:rPr>
          <w:rStyle w:val="123"/>
          <w:rFonts w:hint="eastAsia" w:ascii="宋体" w:hAnsi="宋体" w:cs="宋体"/>
          <w:b/>
          <w:color w:val="auto"/>
          <w:szCs w:val="21"/>
          <w:highlight w:val="none"/>
        </w:rPr>
        <w:t>原文：</w:t>
      </w:r>
      <w:r>
        <w:rPr>
          <w:rStyle w:val="123"/>
          <w:rFonts w:hint="eastAsia" w:ascii="宋体" w:hAnsi="宋体" w:cs="宋体"/>
          <w:color w:val="auto"/>
          <w:szCs w:val="21"/>
          <w:highlight w:val="none"/>
        </w:rPr>
        <w:t>29.1在收到中标通知书后的</w:t>
      </w:r>
      <w:r>
        <w:rPr>
          <w:rStyle w:val="123"/>
          <w:rFonts w:hint="eastAsia" w:ascii="宋体" w:hAnsi="宋体" w:cs="宋体"/>
          <w:b/>
          <w:color w:val="auto"/>
          <w:szCs w:val="21"/>
          <w:highlight w:val="none"/>
        </w:rPr>
        <w:t>15日</w:t>
      </w:r>
      <w:r>
        <w:rPr>
          <w:rStyle w:val="123"/>
          <w:rFonts w:hint="eastAsia" w:ascii="宋体" w:hAnsi="宋体" w:cs="宋体"/>
          <w:color w:val="auto"/>
          <w:szCs w:val="21"/>
          <w:highlight w:val="none"/>
        </w:rPr>
        <w:t>内，中标人应按本须知前附表第20项的规定向招标人提交履约担保；如果中标人的履约担保是以银行保函的形式提供，则该银行保函应由在中国注册且营业地点在广州行政辖区内的银行开具。</w:t>
      </w:r>
    </w:p>
    <w:p>
      <w:pPr>
        <w:spacing w:line="360" w:lineRule="auto"/>
        <w:ind w:firstLine="472" w:firstLineChars="224"/>
        <w:rPr>
          <w:rStyle w:val="123"/>
          <w:rFonts w:ascii="宋体" w:hAnsi="宋体" w:cs="宋体"/>
          <w:color w:val="auto"/>
          <w:szCs w:val="21"/>
          <w:highlight w:val="none"/>
        </w:rPr>
      </w:pPr>
      <w:r>
        <w:rPr>
          <w:rStyle w:val="123"/>
          <w:rFonts w:hint="eastAsia" w:ascii="宋体" w:hAnsi="宋体" w:cs="宋体"/>
          <w:b/>
          <w:color w:val="auto"/>
          <w:szCs w:val="21"/>
          <w:highlight w:val="none"/>
        </w:rPr>
        <w:t>现文：</w:t>
      </w:r>
      <w:r>
        <w:rPr>
          <w:rStyle w:val="123"/>
          <w:rFonts w:hint="eastAsia" w:ascii="宋体" w:hAnsi="宋体" w:cs="宋体"/>
          <w:color w:val="auto"/>
          <w:szCs w:val="21"/>
          <w:highlight w:val="none"/>
        </w:rPr>
        <w:t>29.1</w:t>
      </w:r>
      <w:r>
        <w:rPr>
          <w:rStyle w:val="123"/>
          <w:rFonts w:hint="eastAsia" w:ascii="宋体" w:hAnsi="宋体" w:cs="宋体"/>
          <w:color w:val="auto"/>
          <w:szCs w:val="21"/>
          <w:highlight w:val="none"/>
          <w:u w:val="single"/>
        </w:rPr>
        <w:t>在签订合同后的30日内</w:t>
      </w:r>
      <w:r>
        <w:rPr>
          <w:rStyle w:val="123"/>
          <w:rFonts w:hint="eastAsia" w:ascii="宋体" w:hAnsi="宋体" w:cs="宋体"/>
          <w:color w:val="auto"/>
          <w:szCs w:val="21"/>
          <w:highlight w:val="none"/>
        </w:rPr>
        <w:t>，中标人应按本须知前附表第20项的规定向招标人提交履约担保。</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bCs/>
          <w:color w:val="auto"/>
          <w:szCs w:val="21"/>
          <w:highlight w:val="none"/>
        </w:rPr>
        <w:t>29.2</w:t>
      </w:r>
      <w:r>
        <w:rPr>
          <w:rFonts w:hint="eastAsia" w:ascii="宋体" w:hAnsi="宋体"/>
          <w:b/>
          <w:color w:val="auto"/>
          <w:szCs w:val="21"/>
          <w:highlight w:val="none"/>
        </w:rPr>
        <w:t xml:space="preserve">           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在签订合同后的</w:t>
      </w:r>
      <w:r>
        <w:rPr>
          <w:rFonts w:hint="eastAsia" w:ascii="宋体" w:hAnsi="宋体" w:cs="宋体"/>
          <w:b/>
          <w:color w:val="auto"/>
          <w:szCs w:val="21"/>
          <w:highlight w:val="none"/>
          <w:u w:val="single"/>
        </w:rPr>
        <w:t>30日</w:t>
      </w:r>
      <w:r>
        <w:rPr>
          <w:rFonts w:hint="eastAsia" w:ascii="宋体" w:hAnsi="宋体" w:cs="宋体"/>
          <w:color w:val="auto"/>
          <w:szCs w:val="21"/>
          <w:highlight w:val="none"/>
        </w:rPr>
        <w:t>后，中标人未按上款的规定提交履约担保，招标人将解除中标通知书，依法承担相应法律责任。原中标人有异议的，可以向人民法院起诉。</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条款号：30.1             修改类型：修改</w:t>
      </w:r>
    </w:p>
    <w:p>
      <w:pPr>
        <w:spacing w:line="360" w:lineRule="auto"/>
        <w:ind w:firstLine="481" w:firstLineChars="228"/>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22" w:firstLineChars="200"/>
        <w:jc w:val="left"/>
        <w:rPr>
          <w:rFonts w:ascii="宋体" w:hAnsi="宋体"/>
          <w:color w:val="auto"/>
          <w:szCs w:val="21"/>
          <w:highlight w:val="none"/>
          <w:lang w:bidi="ar"/>
        </w:rPr>
      </w:pPr>
      <w:r>
        <w:rPr>
          <w:rFonts w:hint="eastAsia" w:ascii="宋体" w:hAnsi="宋体"/>
          <w:b/>
          <w:color w:val="auto"/>
          <w:szCs w:val="21"/>
          <w:highlight w:val="none"/>
        </w:rPr>
        <w:t>现文：</w:t>
      </w:r>
      <w:r>
        <w:rPr>
          <w:rFonts w:hint="eastAsia" w:ascii="宋体" w:hAnsi="宋体"/>
          <w:color w:val="auto"/>
          <w:szCs w:val="21"/>
          <w:highlight w:val="none"/>
        </w:rPr>
        <w:t>30.1在合同双方全权代表在合同协议书上签字，并分别加盖双方单位的公章</w:t>
      </w:r>
      <w:r>
        <w:rPr>
          <w:rFonts w:hint="eastAsia" w:ascii="宋体" w:hAnsi="宋体"/>
          <w:color w:val="auto"/>
          <w:szCs w:val="21"/>
          <w:highlight w:val="none"/>
          <w:u w:val="single"/>
        </w:rPr>
        <w:t>或合同专用章</w:t>
      </w:r>
      <w:r>
        <w:rPr>
          <w:rFonts w:hint="eastAsia" w:ascii="宋体" w:hAnsi="宋体"/>
          <w:color w:val="auto"/>
          <w:szCs w:val="21"/>
          <w:highlight w:val="none"/>
        </w:rPr>
        <w:t>后，合同正式生效。</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条款号：31             修改类型：增加</w:t>
      </w:r>
    </w:p>
    <w:p>
      <w:pPr>
        <w:spacing w:line="360" w:lineRule="auto"/>
        <w:ind w:left="482"/>
        <w:rPr>
          <w:rFonts w:ascii="宋体" w:hAnsi="宋体"/>
          <w:b/>
          <w:bCs/>
          <w:color w:val="auto"/>
          <w:szCs w:val="21"/>
          <w:highlight w:val="none"/>
        </w:rPr>
      </w:pPr>
      <w:r>
        <w:rPr>
          <w:rFonts w:hint="eastAsia" w:ascii="宋体" w:hAnsi="宋体"/>
          <w:b/>
          <w:color w:val="auto"/>
          <w:szCs w:val="21"/>
          <w:highlight w:val="none"/>
        </w:rPr>
        <w:t>现文：</w:t>
      </w:r>
      <w:r>
        <w:rPr>
          <w:rFonts w:hint="eastAsia" w:ascii="宋体" w:hAnsi="宋体"/>
          <w:b/>
          <w:bCs/>
          <w:color w:val="auto"/>
          <w:szCs w:val="21"/>
          <w:highlight w:val="none"/>
        </w:rPr>
        <w:t>31．其它费用</w:t>
      </w:r>
    </w:p>
    <w:p>
      <w:pPr>
        <w:pBdr>
          <w:bottom w:val="single" w:color="auto" w:sz="6" w:space="1"/>
        </w:pBdr>
        <w:spacing w:line="360" w:lineRule="auto"/>
        <w:ind w:firstLine="420" w:firstLineChars="200"/>
        <w:jc w:val="left"/>
        <w:rPr>
          <w:rFonts w:ascii="宋体" w:hAnsi="宋体"/>
          <w:color w:val="auto"/>
          <w:szCs w:val="21"/>
          <w:highlight w:val="none"/>
          <w:lang w:bidi="ar"/>
        </w:rPr>
      </w:pPr>
      <w:r>
        <w:rPr>
          <w:rFonts w:hint="eastAsia"/>
          <w:color w:val="auto"/>
          <w:highlight w:val="none"/>
        </w:rPr>
        <w:t>中标人按《广州市发展改革委转发省发展改革委关于规范公共资源交易服务收费及有关问题的通知》（穗发改〔2017〕8</w:t>
      </w:r>
      <w:r>
        <w:rPr>
          <w:rFonts w:hint="eastAsia" w:ascii="宋体" w:hAnsi="宋体"/>
          <w:bCs/>
          <w:color w:val="auto"/>
          <w:kern w:val="0"/>
          <w:szCs w:val="21"/>
          <w:highlight w:val="none"/>
        </w:rPr>
        <w:t>11号）文件的规定，向广州公共资源交易中心代缴交易服务费，其费用包含在中标人投标报价中，招标人不另行支付</w:t>
      </w:r>
      <w:r>
        <w:rPr>
          <w:rFonts w:hint="eastAsia" w:ascii="宋体" w:hAnsi="宋体"/>
          <w:color w:val="auto"/>
          <w:szCs w:val="21"/>
          <w:highlight w:val="none"/>
          <w:lang w:bidi="ar"/>
        </w:rPr>
        <w:t>。</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条款号：33                 修改类型：修改</w:t>
      </w:r>
    </w:p>
    <w:p>
      <w:pPr>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33. 投标人信誉的要求</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存在下列情形之一的，招标人可以限制其投标（需在招标文件中明确评定方法）</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pBdr>
          <w:bottom w:val="single" w:color="auto" w:sz="6" w:space="1"/>
        </w:pBd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现文：</w:t>
      </w:r>
      <w:r>
        <w:rPr>
          <w:rFonts w:hint="eastAsia" w:ascii="宋体" w:hAnsi="宋体" w:cs="宋体"/>
          <w:color w:val="auto"/>
          <w:highlight w:val="none"/>
        </w:rPr>
        <w:t>33. 投标人信誉的要求</w:t>
      </w:r>
    </w:p>
    <w:p>
      <w:pPr>
        <w:pBdr>
          <w:bottom w:val="single" w:color="auto" w:sz="6" w:space="1"/>
        </w:pBdr>
        <w:spacing w:line="360" w:lineRule="auto"/>
        <w:rPr>
          <w:rFonts w:ascii="宋体" w:hAnsi="宋体" w:cs="宋体"/>
          <w:color w:val="auto"/>
          <w:highlight w:val="none"/>
        </w:rPr>
      </w:pPr>
      <w:r>
        <w:rPr>
          <w:rFonts w:hint="eastAsia" w:ascii="宋体" w:hAnsi="宋体" w:cs="宋体"/>
          <w:color w:val="auto"/>
          <w:highlight w:val="none"/>
        </w:rPr>
        <w:t xml:space="preserve">    存在下列情形之一的，招标人可以限制其投标（</w:t>
      </w:r>
      <w:r>
        <w:rPr>
          <w:rFonts w:hint="eastAsia" w:ascii="宋体" w:hAnsi="宋体" w:cs="宋体"/>
          <w:color w:val="auto"/>
          <w:highlight w:val="none"/>
          <w:u w:val="single"/>
        </w:rPr>
        <w:t>根据投标人声明评审</w:t>
      </w:r>
      <w:r>
        <w:rPr>
          <w:rFonts w:hint="eastAsia" w:ascii="宋体" w:hAnsi="宋体" w:cs="宋体"/>
          <w:color w:val="auto"/>
          <w:highlight w:val="none"/>
        </w:rPr>
        <w:t>）</w:t>
      </w:r>
    </w:p>
    <w:p>
      <w:pPr>
        <w:pBdr>
          <w:bottom w:val="single" w:color="auto" w:sz="6" w:space="1"/>
        </w:pBdr>
        <w:spacing w:line="360" w:lineRule="auto"/>
        <w:ind w:firstLine="567" w:firstLineChars="270"/>
        <w:rPr>
          <w:rFonts w:ascii="宋体" w:hAnsi="宋体" w:cs="宋体"/>
          <w:color w:val="auto"/>
          <w:highlight w:val="none"/>
        </w:rPr>
      </w:pPr>
      <w:r>
        <w:rPr>
          <w:rFonts w:hint="eastAsia" w:ascii="宋体" w:hAnsi="宋体" w:cs="宋体"/>
          <w:color w:val="auto"/>
          <w:highlight w:val="none"/>
        </w:rPr>
        <w:t>（1）被住房城乡建设行政主管部门在全国建筑市场监管一体化工作平台列入建筑市场主体“黑名单”；</w:t>
      </w:r>
    </w:p>
    <w:p>
      <w:pPr>
        <w:pBdr>
          <w:bottom w:val="single" w:color="auto" w:sz="6" w:space="1"/>
        </w:pBdr>
        <w:spacing w:line="360" w:lineRule="auto"/>
        <w:ind w:firstLine="567" w:firstLineChars="270"/>
        <w:rPr>
          <w:rFonts w:ascii="宋体" w:hAnsi="宋体" w:cs="宋体"/>
          <w:color w:val="auto"/>
          <w:highlight w:val="none"/>
        </w:rPr>
      </w:pPr>
      <w:r>
        <w:rPr>
          <w:rFonts w:hint="eastAsia" w:ascii="宋体" w:hAnsi="宋体" w:cs="宋体"/>
          <w:color w:val="auto"/>
          <w:highlight w:val="none"/>
        </w:rPr>
        <w:t>（2）被发改委、人力资源社会保障、质检总局等有关部门、单位在“信用中国”网站中列入联合惩戒失信黑名单。</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条款号：34           修改类型：增加</w:t>
      </w:r>
    </w:p>
    <w:p>
      <w:pPr>
        <w:pBdr>
          <w:bottom w:val="single" w:color="auto" w:sz="6" w:space="1"/>
        </w:pBdr>
        <w:spacing w:line="360" w:lineRule="auto"/>
        <w:ind w:firstLine="527" w:firstLineChars="25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34.招标人（招标代理机构）填报中标候选人公示信息、与中标人签订合同及办理施工许可前，如发现第一中标候选人或中标人委派的项目负责人已在其他在建项目中任职，招标人有权取消其投标或中标资格，且依法追究相应法律责任。招标人可以确定第二中标候选人为中标人，如第二中标候选人出现前款所列的情形的，招标人可以确定第三中标候选人为中标人。</w:t>
      </w:r>
    </w:p>
    <w:p>
      <w:pPr>
        <w:spacing w:line="440" w:lineRule="atLeast"/>
        <w:ind w:firstLine="411" w:firstLineChars="196"/>
        <w:rPr>
          <w:color w:val="auto"/>
          <w:szCs w:val="21"/>
          <w:highlight w:val="none"/>
          <w:u w:val="single"/>
        </w:rPr>
      </w:pPr>
    </w:p>
    <w:p>
      <w:pPr>
        <w:spacing w:line="360" w:lineRule="auto"/>
        <w:ind w:firstLine="211" w:firstLineChars="100"/>
        <w:rPr>
          <w:b/>
          <w:color w:val="auto"/>
          <w:szCs w:val="21"/>
          <w:highlight w:val="none"/>
        </w:rPr>
      </w:pP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bookmarkEnd w:id="10"/>
    <w:p>
      <w:pPr>
        <w:spacing w:line="360" w:lineRule="auto"/>
        <w:rPr>
          <w:color w:val="auto"/>
          <w:highlight w:val="none"/>
        </w:rPr>
      </w:pPr>
      <w:r>
        <w:rPr>
          <w:rFonts w:hint="eastAsia"/>
          <w:b/>
          <w:color w:val="auto"/>
          <w:szCs w:val="21"/>
          <w:highlight w:val="none"/>
        </w:rPr>
        <w:t>（以下无正文）</w:t>
      </w:r>
    </w:p>
    <w:p>
      <w:pPr>
        <w:pStyle w:val="7"/>
        <w:rPr>
          <w:color w:val="auto"/>
          <w:highlight w:val="none"/>
        </w:rPr>
      </w:pPr>
      <w:r>
        <w:rPr>
          <w:color w:val="auto"/>
          <w:highlight w:val="none"/>
        </w:rPr>
        <w:br w:type="page"/>
      </w:r>
      <w:bookmarkStart w:id="11" w:name="_Toc29539"/>
      <w:bookmarkStart w:id="12" w:name="_Toc6272"/>
      <w:bookmarkStart w:id="13" w:name="_Toc2272548"/>
      <w:bookmarkStart w:id="14" w:name="_Toc21525492"/>
      <w:r>
        <w:rPr>
          <w:rFonts w:hint="eastAsia"/>
          <w:color w:val="auto"/>
          <w:highlight w:val="none"/>
        </w:rPr>
        <w:t>三、投标须知通用条款</w:t>
      </w:r>
      <w:bookmarkEnd w:id="11"/>
      <w:bookmarkEnd w:id="12"/>
    </w:p>
    <w:p>
      <w:pPr>
        <w:pStyle w:val="8"/>
        <w:spacing w:before="156" w:after="156"/>
        <w:jc w:val="center"/>
        <w:rPr>
          <w:color w:val="auto"/>
          <w:highlight w:val="none"/>
        </w:rPr>
      </w:pPr>
      <w:bookmarkStart w:id="15" w:name="_Toc9146"/>
      <w:bookmarkStart w:id="16" w:name="_Toc30203"/>
      <w:r>
        <w:rPr>
          <w:rFonts w:hint="eastAsia"/>
          <w:color w:val="auto"/>
          <w:highlight w:val="none"/>
        </w:rPr>
        <w:t>（一）总则</w:t>
      </w:r>
      <w:bookmarkEnd w:id="15"/>
      <w:bookmarkEnd w:id="16"/>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8"/>
        <w:spacing w:before="156" w:after="156"/>
        <w:rPr>
          <w:color w:val="auto"/>
          <w:highlight w:val="none"/>
        </w:rPr>
      </w:pPr>
      <w:bookmarkStart w:id="17" w:name="_Toc22955"/>
      <w:bookmarkStart w:id="18" w:name="_Toc2060"/>
      <w:r>
        <w:rPr>
          <w:rFonts w:hint="eastAsia"/>
          <w:color w:val="auto"/>
          <w:highlight w:val="none"/>
        </w:rPr>
        <w:t>（二）招标文件</w:t>
      </w:r>
      <w:bookmarkEnd w:id="17"/>
      <w:bookmarkEnd w:id="18"/>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第一章</w:t>
      </w:r>
      <w:r>
        <w:rPr>
          <w:rFonts w:ascii="宋体" w:hAnsi="宋体"/>
          <w:bCs/>
          <w:color w:val="auto"/>
          <w:sz w:val="24"/>
          <w:highlight w:val="none"/>
        </w:rPr>
        <w:t xml:space="preserve">  </w:t>
      </w:r>
      <w:r>
        <w:rPr>
          <w:rFonts w:hint="eastAsia" w:ascii="宋体" w:hAnsi="宋体"/>
          <w:color w:val="auto"/>
          <w:sz w:val="24"/>
          <w:highlight w:val="none"/>
        </w:rPr>
        <w:t>投标须知</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color w:val="auto"/>
          <w:sz w:val="24"/>
          <w:highlight w:val="none"/>
        </w:rPr>
        <w:t>开标、评标及定标办法</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第三章</w:t>
      </w:r>
      <w:r>
        <w:rPr>
          <w:rFonts w:ascii="宋体" w:hAnsi="宋体"/>
          <w:color w:val="auto"/>
          <w:sz w:val="24"/>
          <w:highlight w:val="none"/>
        </w:rPr>
        <w:t xml:space="preserve">  </w:t>
      </w:r>
      <w:r>
        <w:rPr>
          <w:rFonts w:hint="eastAsia" w:ascii="宋体" w:hAnsi="宋体"/>
          <w:color w:val="auto"/>
          <w:sz w:val="24"/>
          <w:highlight w:val="none"/>
        </w:rPr>
        <w:t>合同条款</w:t>
      </w:r>
    </w:p>
    <w:p>
      <w:pPr>
        <w:pStyle w:val="5"/>
        <w:spacing w:after="0" w:line="360" w:lineRule="auto"/>
        <w:ind w:firstLine="480" w:firstLineChars="200"/>
        <w:rPr>
          <w:rFonts w:ascii="宋体"/>
          <w:color w:val="auto"/>
          <w:sz w:val="24"/>
          <w:highlight w:val="none"/>
        </w:rPr>
      </w:pPr>
      <w:r>
        <w:rPr>
          <w:rFonts w:hint="eastAsia" w:ascii="宋体" w:hAnsi="宋体"/>
          <w:bCs/>
          <w:color w:val="auto"/>
          <w:sz w:val="24"/>
          <w:highlight w:val="none"/>
        </w:rPr>
        <w:t>第四章</w:t>
      </w:r>
      <w:r>
        <w:rPr>
          <w:rFonts w:ascii="宋体" w:hAnsi="宋体"/>
          <w:bCs/>
          <w:color w:val="auto"/>
          <w:sz w:val="24"/>
          <w:highlight w:val="none"/>
        </w:rPr>
        <w:t xml:space="preserve">  </w:t>
      </w:r>
      <w:r>
        <w:rPr>
          <w:rFonts w:hint="eastAsia" w:ascii="宋体" w:hAnsi="宋体"/>
          <w:color w:val="auto"/>
          <w:sz w:val="24"/>
          <w:highlight w:val="none"/>
        </w:rPr>
        <w:t>投标文件格式</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第五章</w:t>
      </w:r>
      <w:r>
        <w:rPr>
          <w:rFonts w:ascii="宋体" w:hAnsi="宋体"/>
          <w:bCs/>
          <w:color w:val="auto"/>
          <w:sz w:val="24"/>
          <w:highlight w:val="none"/>
        </w:rPr>
        <w:t xml:space="preserve">  </w:t>
      </w:r>
      <w:r>
        <w:rPr>
          <w:rFonts w:hint="eastAsia" w:ascii="宋体" w:hAnsi="宋体"/>
          <w:color w:val="auto"/>
          <w:sz w:val="24"/>
          <w:highlight w:val="none"/>
        </w:rPr>
        <w:t>技术条件（工程建设标准）（另册）</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第六章</w:t>
      </w:r>
      <w:r>
        <w:rPr>
          <w:rFonts w:ascii="宋体" w:hAnsi="宋体"/>
          <w:bCs/>
          <w:color w:val="auto"/>
          <w:sz w:val="24"/>
          <w:highlight w:val="none"/>
        </w:rPr>
        <w:t xml:space="preserve">  </w:t>
      </w:r>
      <w:r>
        <w:rPr>
          <w:rFonts w:hint="eastAsia" w:ascii="宋体" w:hAnsi="宋体"/>
          <w:color w:val="auto"/>
          <w:sz w:val="24"/>
          <w:highlight w:val="none"/>
        </w:rPr>
        <w:t>图纸及勘察资料（另册）</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第七章</w:t>
      </w:r>
      <w:r>
        <w:rPr>
          <w:rFonts w:ascii="宋体" w:hAnsi="宋体"/>
          <w:bCs/>
          <w:color w:val="auto"/>
          <w:sz w:val="24"/>
          <w:highlight w:val="none"/>
        </w:rPr>
        <w:t xml:space="preserve">  </w:t>
      </w:r>
      <w:r>
        <w:rPr>
          <w:rFonts w:hint="eastAsia" w:ascii="宋体" w:hAnsi="宋体"/>
          <w:bCs/>
          <w:color w:val="auto"/>
          <w:sz w:val="24"/>
          <w:highlight w:val="none"/>
        </w:rPr>
        <w:t>招标</w:t>
      </w:r>
      <w:r>
        <w:rPr>
          <w:rFonts w:hint="eastAsia" w:ascii="宋体" w:hAnsi="宋体"/>
          <w:color w:val="auto"/>
          <w:sz w:val="24"/>
          <w:highlight w:val="none"/>
        </w:rPr>
        <w:t>工程量清单（另册）</w:t>
      </w:r>
    </w:p>
    <w:p>
      <w:pPr>
        <w:pStyle w:val="5"/>
        <w:spacing w:after="0" w:line="360" w:lineRule="auto"/>
        <w:ind w:left="-2" w:firstLine="480" w:firstLineChars="200"/>
        <w:rPr>
          <w:rFonts w:ascii="宋体"/>
          <w:color w:val="auto"/>
          <w:sz w:val="24"/>
          <w:highlight w:val="none"/>
        </w:rPr>
      </w:pPr>
      <w:r>
        <w:rPr>
          <w:rFonts w:hint="eastAsia" w:ascii="宋体" w:hAnsi="宋体"/>
          <w:color w:val="auto"/>
          <w:sz w:val="24"/>
          <w:highlight w:val="none"/>
        </w:rPr>
        <w:t>第八章</w:t>
      </w:r>
      <w:r>
        <w:rPr>
          <w:rFonts w:ascii="宋体" w:hAnsi="宋体"/>
          <w:color w:val="auto"/>
          <w:sz w:val="24"/>
          <w:highlight w:val="none"/>
        </w:rPr>
        <w:t xml:space="preserve">  </w:t>
      </w:r>
      <w:r>
        <w:rPr>
          <w:rFonts w:hint="eastAsia" w:ascii="宋体" w:hAnsi="宋体"/>
          <w:color w:val="auto"/>
          <w:sz w:val="24"/>
          <w:highlight w:val="none"/>
        </w:rPr>
        <w:t>最高投标限价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color w:val="auto"/>
          <w:highlight w:val="none"/>
        </w:rPr>
      </w:pPr>
      <w:bookmarkStart w:id="19" w:name="_Toc17354"/>
      <w:bookmarkStart w:id="20" w:name="_Toc8804"/>
      <w:r>
        <w:rPr>
          <w:rFonts w:hint="eastAsia"/>
          <w:color w:val="auto"/>
          <w:highlight w:val="none"/>
        </w:rPr>
        <w:t>（三）投标文件的编制</w:t>
      </w:r>
      <w:bookmarkEnd w:id="19"/>
      <w:bookmarkEnd w:id="20"/>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投标文件由技术部分（含资格审查文件）和经济部分两部分投标文件组成</w:t>
      </w:r>
      <w:r>
        <w:rPr>
          <w:rFonts w:hint="eastAsia" w:ascii="宋体" w:hAnsi="宋体"/>
          <w:b/>
          <w:color w:val="auto"/>
          <w:sz w:val="24"/>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（1）投标人声明； </w:t>
      </w:r>
    </w:p>
    <w:p>
      <w:pPr>
        <w:spacing w:line="360" w:lineRule="auto"/>
        <w:ind w:firstLine="480" w:firstLineChars="200"/>
        <w:rPr>
          <w:rFonts w:ascii="宋体"/>
          <w:bCs/>
          <w:color w:val="auto"/>
          <w:sz w:val="24"/>
          <w:highlight w:val="none"/>
        </w:rPr>
      </w:pPr>
      <w:r>
        <w:rPr>
          <w:rFonts w:hint="eastAsia" w:ascii="宋体"/>
          <w:bCs/>
          <w:color w:val="auto"/>
          <w:sz w:val="24"/>
          <w:highlight w:val="none"/>
        </w:rPr>
        <w:t>（2）法定代表人证明书、法定代表人签字或盖章的本投标文件授权委托证明书；</w:t>
      </w:r>
    </w:p>
    <w:p>
      <w:pPr>
        <w:spacing w:line="360" w:lineRule="auto"/>
        <w:ind w:firstLine="480" w:firstLineChars="200"/>
        <w:rPr>
          <w:rFonts w:ascii="宋体"/>
          <w:bCs/>
          <w:color w:val="auto"/>
          <w:sz w:val="24"/>
          <w:highlight w:val="none"/>
        </w:rPr>
      </w:pPr>
      <w:r>
        <w:rPr>
          <w:rFonts w:hint="eastAsia" w:ascii="宋体"/>
          <w:bCs/>
          <w:color w:val="auto"/>
          <w:sz w:val="24"/>
          <w:highlight w:val="none"/>
        </w:rPr>
        <w:t>（3）企业营业执照（取自平台内上传件）；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（4）企业资质证书（取自平台内上传件）；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（5）建筑施工企业安全生产许可证（取自平台内上传件）；</w:t>
      </w:r>
    </w:p>
    <w:p>
      <w:pPr>
        <w:spacing w:line="360" w:lineRule="auto"/>
        <w:ind w:firstLine="480" w:firstLineChars="200"/>
        <w:rPr>
          <w:rFonts w:ascii="宋体" w:hAnsi="宋体"/>
          <w:bCs/>
          <w:color w:val="auto"/>
          <w:sz w:val="24"/>
          <w:szCs w:val="24"/>
          <w:highlight w:val="none"/>
        </w:rPr>
      </w:pPr>
      <w:r>
        <w:rPr>
          <w:rFonts w:hint="eastAsia" w:ascii="宋体"/>
          <w:bCs/>
          <w:color w:val="auto"/>
          <w:sz w:val="24"/>
          <w:highlight w:val="none"/>
        </w:rPr>
        <w:t>（6）</w:t>
      </w:r>
      <w:r>
        <w:rPr>
          <w:rFonts w:hint="eastAsia" w:ascii="宋体" w:hAnsi="宋体"/>
          <w:bCs/>
          <w:color w:val="auto"/>
          <w:sz w:val="24"/>
          <w:szCs w:val="24"/>
          <w:highlight w:val="none"/>
        </w:rPr>
        <w:t>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bCs/>
          <w:color w:val="auto"/>
          <w:sz w:val="24"/>
          <w:highlight w:val="none"/>
        </w:rPr>
      </w:pPr>
      <w:r>
        <w:rPr>
          <w:rFonts w:hint="eastAsia" w:ascii="宋体"/>
          <w:bCs/>
          <w:color w:val="auto"/>
          <w:sz w:val="24"/>
          <w:highlight w:val="none"/>
        </w:rPr>
        <w:t>（8）拟委托技术负责人的相关证书、资料（具体要求由招标人明确）</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（9）拟委派项目负责人的建造师注册证书（取自平台内上传件）； </w:t>
      </w:r>
    </w:p>
    <w:p>
      <w:pPr>
        <w:spacing w:line="360" w:lineRule="auto"/>
        <w:ind w:firstLine="480" w:firstLineChars="200"/>
        <w:rPr>
          <w:rFonts w:ascii="宋体"/>
          <w:bCs/>
          <w:color w:val="auto"/>
          <w:sz w:val="24"/>
          <w:highlight w:val="none"/>
        </w:rPr>
      </w:pPr>
      <w:r>
        <w:rPr>
          <w:rFonts w:hint="eastAsia" w:ascii="宋体"/>
          <w:bCs/>
          <w:color w:val="auto"/>
          <w:sz w:val="24"/>
          <w:highlight w:val="none"/>
        </w:rPr>
        <w:t>（10）项目负责人安全生产考核合格证明或在有效期内的安全考核合格证书（B类）或建筑施工企业项目负责人安全生产考核合格证书（取自平台内上传件）（取自平台内上传件）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highlight w:val="none"/>
        </w:rPr>
        <w:t>（11）专职安全员须具有在有效期内的安全考核合格证书（C类）或建筑施工企业专职安全生产管理人员安全生产考核合格证书</w:t>
      </w:r>
      <w:r>
        <w:rPr>
          <w:rFonts w:hint="eastAsia" w:ascii="宋体"/>
          <w:bCs/>
          <w:color w:val="auto"/>
          <w:sz w:val="24"/>
          <w:szCs w:val="24"/>
          <w:highlight w:val="none"/>
        </w:rPr>
        <w:t>（取自平台内上传件）；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pPr>
        <w:spacing w:line="360" w:lineRule="auto"/>
        <w:ind w:firstLine="480" w:firstLineChars="200"/>
        <w:rPr>
          <w:rFonts w:ascii="宋体"/>
          <w:bCs/>
          <w:color w:val="auto"/>
          <w:sz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w:t>
      </w:r>
      <w:r>
        <w:rPr>
          <w:rFonts w:hint="eastAsia" w:ascii="宋体" w:hAnsi="宋体"/>
          <w:color w:val="auto"/>
          <w:sz w:val="24"/>
          <w:highlight w:val="none"/>
        </w:rPr>
        <w:t>提供沥青摊铺机自有发票或权属证明及设备现场全貌彩照（彩照须能反映其规格型号）</w:t>
      </w:r>
      <w:r>
        <w:rPr>
          <w:rFonts w:hint="eastAsia" w:ascii="宋体" w:hAnsi="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 xml:space="preserve">。               </w:t>
      </w:r>
    </w:p>
    <w:p>
      <w:pPr>
        <w:pStyle w:val="5"/>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pStyle w:val="5"/>
        <w:spacing w:after="0" w:line="360" w:lineRule="auto"/>
        <w:ind w:firstLine="482" w:firstLineChars="200"/>
        <w:rPr>
          <w:rFonts w:hint="eastAsia" w:ascii="宋体" w:eastAsia="宋体"/>
          <w:b/>
          <w:bCs/>
          <w:color w:val="auto"/>
          <w:sz w:val="24"/>
          <w:highlight w:val="none"/>
          <w:lang w:eastAsia="zh-CN"/>
        </w:rPr>
      </w:pPr>
      <w:r>
        <w:rPr>
          <w:rFonts w:ascii="宋体" w:hAnsi="宋体"/>
          <w:b/>
          <w:bCs/>
          <w:color w:val="auto"/>
          <w:sz w:val="24"/>
          <w:highlight w:val="none"/>
        </w:rPr>
        <w:t>16</w:t>
      </w:r>
      <w:r>
        <w:rPr>
          <w:rFonts w:hint="eastAsia" w:ascii="宋体" w:hAnsi="宋体"/>
          <w:b/>
          <w:bCs/>
          <w:color w:val="auto"/>
          <w:sz w:val="24"/>
          <w:highlight w:val="none"/>
        </w:rPr>
        <w:t>．投标保证金</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本项目不收取投标保证金</w:t>
      </w:r>
      <w:r>
        <w:rPr>
          <w:rFonts w:hint="eastAsia" w:ascii="宋体" w:hAnsi="宋体"/>
          <w:b/>
          <w:bCs/>
          <w:color w:val="auto"/>
          <w:sz w:val="24"/>
          <w:highlight w:val="none"/>
          <w:lang w:eastAsia="zh-CN"/>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注：16.5.3款由招标人二选一，需在招标文件中明确。</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pStyle w:val="8"/>
        <w:spacing w:before="156" w:after="156"/>
        <w:rPr>
          <w:color w:val="auto"/>
          <w:highlight w:val="none"/>
        </w:rPr>
      </w:pPr>
      <w:bookmarkStart w:id="21" w:name="_Toc9830"/>
      <w:bookmarkStart w:id="22" w:name="_Toc2638"/>
      <w:r>
        <w:rPr>
          <w:rFonts w:hint="eastAsia"/>
          <w:color w:val="auto"/>
          <w:highlight w:val="none"/>
        </w:rPr>
        <w:t>（四）投标文件的提交</w:t>
      </w:r>
      <w:bookmarkEnd w:id="21"/>
      <w:bookmarkEnd w:id="22"/>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8"/>
        <w:spacing w:before="156" w:after="156"/>
        <w:rPr>
          <w:color w:val="auto"/>
          <w:highlight w:val="none"/>
        </w:rPr>
      </w:pPr>
      <w:bookmarkStart w:id="23" w:name="_Toc29693"/>
      <w:bookmarkStart w:id="24" w:name="_Toc3390"/>
      <w:r>
        <w:rPr>
          <w:rFonts w:hint="eastAsia"/>
          <w:color w:val="auto"/>
          <w:highlight w:val="none"/>
        </w:rPr>
        <w:t>（五）开标、评标、定标及合同签定</w:t>
      </w:r>
      <w:bookmarkEnd w:id="23"/>
      <w:bookmarkEnd w:id="24"/>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w:t>
      </w:r>
      <w:r>
        <w:rPr>
          <w:rFonts w:hint="eastAsia" w:ascii="宋体" w:hAnsi="宋体"/>
          <w:b w:val="0"/>
          <w:bCs w:val="0"/>
          <w:color w:val="auto"/>
          <w:sz w:val="24"/>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color w:val="auto"/>
          <w:sz w:val="24"/>
          <w:szCs w:val="24"/>
          <w:highlight w:val="none"/>
          <w:u w:val="single"/>
        </w:rPr>
        <w:t xml:space="preserve">        </w:t>
      </w:r>
      <w:r>
        <w:rPr>
          <w:rFonts w:hint="eastAsia" w:ascii="宋体" w:hAnsi="宋体"/>
          <w:color w:val="auto"/>
          <w:sz w:val="24"/>
          <w:szCs w:val="24"/>
          <w:highlight w:val="none"/>
        </w:rPr>
        <w:t>交易平台和广东省招标投标监管网</w:t>
      </w:r>
      <w:r>
        <w:rPr>
          <w:rFonts w:hint="eastAsia" w:ascii="宋体" w:hAnsi="宋体"/>
          <w:color w:val="auto"/>
          <w:sz w:val="24"/>
          <w:highlight w:val="none"/>
        </w:rPr>
        <w:t>公开。</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bookmarkEnd w:id="13"/>
    <w:bookmarkEnd w:id="14"/>
    <w:p>
      <w:pPr>
        <w:pStyle w:val="3"/>
        <w:rPr>
          <w:color w:val="auto"/>
          <w:highlight w:val="none"/>
        </w:rPr>
      </w:pPr>
      <w:r>
        <w:rPr>
          <w:rFonts w:ascii="宋体"/>
          <w:color w:val="auto"/>
          <w:sz w:val="24"/>
          <w:highlight w:val="none"/>
        </w:rPr>
        <w:br w:type="page"/>
      </w:r>
      <w:bookmarkStart w:id="25" w:name="_Toc2272554"/>
      <w:bookmarkStart w:id="26" w:name="_Toc31773"/>
      <w:bookmarkStart w:id="27" w:name="_Toc21525498"/>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25"/>
      <w:bookmarkEnd w:id="26"/>
      <w:bookmarkEnd w:id="27"/>
    </w:p>
    <w:p>
      <w:pPr>
        <w:pStyle w:val="7"/>
        <w:rPr>
          <w:color w:val="auto"/>
          <w:highlight w:val="none"/>
        </w:rPr>
      </w:pPr>
      <w:bookmarkStart w:id="28" w:name="_Toc2272555"/>
      <w:bookmarkStart w:id="29" w:name="_Toc5878"/>
      <w:bookmarkStart w:id="30" w:name="_Toc21525499"/>
      <w:r>
        <w:rPr>
          <w:rFonts w:hint="eastAsia"/>
          <w:color w:val="auto"/>
          <w:sz w:val="28"/>
          <w:szCs w:val="28"/>
          <w:highlight w:val="none"/>
        </w:rPr>
        <w:t>一、</w:t>
      </w:r>
      <w:r>
        <w:rPr>
          <w:rFonts w:hint="eastAsia"/>
          <w:color w:val="auto"/>
          <w:highlight w:val="none"/>
        </w:rPr>
        <w:t>开标、评标及定标办法修改表</w:t>
      </w:r>
      <w:bookmarkEnd w:id="28"/>
      <w:bookmarkEnd w:id="29"/>
      <w:bookmarkEnd w:id="30"/>
    </w:p>
    <w:p>
      <w:pPr>
        <w:pStyle w:val="5"/>
        <w:spacing w:after="0" w:line="360" w:lineRule="auto"/>
        <w:rPr>
          <w:b/>
          <w:color w:val="auto"/>
          <w:szCs w:val="21"/>
          <w:highlight w:val="none"/>
        </w:rPr>
      </w:pPr>
      <w:r>
        <w:rPr>
          <w:rFonts w:hint="eastAsia"/>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360" w:lineRule="auto"/>
        <w:ind w:firstLine="422" w:firstLineChars="200"/>
        <w:rPr>
          <w:b/>
          <w:color w:val="auto"/>
          <w:szCs w:val="21"/>
          <w:highlight w:val="none"/>
        </w:rPr>
      </w:pPr>
      <w:r>
        <w:rPr>
          <w:rFonts w:hint="eastAsia"/>
          <w:b/>
          <w:color w:val="auto"/>
          <w:szCs w:val="21"/>
          <w:highlight w:val="none"/>
        </w:rPr>
        <w:t>条款号：36.1</w:t>
      </w:r>
      <w:r>
        <w:rPr>
          <w:rFonts w:hint="eastAsia"/>
          <w:b/>
          <w:color w:val="auto"/>
          <w:szCs w:val="21"/>
          <w:highlight w:val="none"/>
        </w:rPr>
        <w:tab/>
      </w:r>
      <w:r>
        <w:rPr>
          <w:rFonts w:hint="eastAsia"/>
          <w:b/>
          <w:color w:val="auto"/>
          <w:szCs w:val="21"/>
          <w:highlight w:val="none"/>
        </w:rPr>
        <w:tab/>
      </w:r>
      <w:r>
        <w:rPr>
          <w:rFonts w:hint="eastAsia"/>
          <w:b/>
          <w:color w:val="auto"/>
          <w:szCs w:val="21"/>
          <w:highlight w:val="none"/>
        </w:rPr>
        <w:tab/>
      </w:r>
      <w:r>
        <w:rPr>
          <w:rFonts w:hint="eastAsia"/>
          <w:b/>
          <w:color w:val="auto"/>
          <w:szCs w:val="21"/>
          <w:highlight w:val="none"/>
        </w:rPr>
        <w:t>修改类型：修改</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 xml:space="preserve">36.3             </w:t>
      </w:r>
      <w:r>
        <w:rPr>
          <w:rFonts w:hint="eastAsia"/>
          <w:b/>
          <w:color w:val="auto"/>
          <w:szCs w:val="21"/>
          <w:highlight w:val="none"/>
        </w:rPr>
        <w:t>修改类型：删除</w:t>
      </w:r>
    </w:p>
    <w:p>
      <w:pPr>
        <w:pBdr>
          <w:bottom w:val="single" w:color="auto" w:sz="6" w:space="1"/>
        </w:pBdr>
        <w:spacing w:line="480" w:lineRule="auto"/>
        <w:ind w:firstLine="472" w:firstLineChars="224"/>
        <w:rPr>
          <w:bCs/>
          <w:color w:val="auto"/>
          <w:szCs w:val="21"/>
          <w:highlight w:val="none"/>
        </w:rPr>
      </w:pPr>
      <w:r>
        <w:rPr>
          <w:rFonts w:hint="eastAsia"/>
          <w:b/>
          <w:color w:val="auto"/>
          <w:szCs w:val="21"/>
          <w:highlight w:val="none"/>
        </w:rPr>
        <w:t>原文：</w:t>
      </w:r>
      <w:r>
        <w:rPr>
          <w:rFonts w:hint="eastAsia"/>
          <w:bCs/>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2" w:firstLineChars="200"/>
        <w:rPr>
          <w:b/>
          <w:color w:val="auto"/>
          <w:szCs w:val="21"/>
          <w:highlight w:val="none"/>
        </w:rPr>
      </w:pPr>
      <w:r>
        <w:rPr>
          <w:rFonts w:hint="eastAsia"/>
          <w:b/>
          <w:color w:val="auto"/>
          <w:szCs w:val="21"/>
          <w:highlight w:val="none"/>
        </w:rPr>
        <w:t>条款号：</w:t>
      </w:r>
      <w:r>
        <w:rPr>
          <w:b/>
          <w:color w:val="auto"/>
          <w:szCs w:val="21"/>
          <w:highlight w:val="none"/>
        </w:rPr>
        <w:t>36.4</w:t>
      </w:r>
      <w:r>
        <w:rPr>
          <w:rFonts w:hint="eastAsia"/>
          <w:b/>
          <w:color w:val="auto"/>
          <w:szCs w:val="21"/>
          <w:highlight w:val="none"/>
        </w:rPr>
        <w:tab/>
      </w:r>
      <w:r>
        <w:rPr>
          <w:rFonts w:hint="eastAsia"/>
          <w:b/>
          <w:color w:val="auto"/>
          <w:szCs w:val="21"/>
          <w:highlight w:val="none"/>
        </w:rPr>
        <w:tab/>
      </w:r>
      <w:r>
        <w:rPr>
          <w:rFonts w:hint="eastAsia"/>
          <w:b/>
          <w:color w:val="auto"/>
          <w:szCs w:val="21"/>
          <w:highlight w:val="none"/>
        </w:rPr>
        <w:t>修改类型：修改</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36.4若递交投标文件的投标人不足3家，则重新组织招标。（当N个标段同时招标且不允许兼中时，若有效投标人不足N+2家，则重新组织招标</w:t>
      </w:r>
      <w:r>
        <w:rPr>
          <w:rFonts w:hint="eastAsia" w:ascii="宋体" w:hAnsi="宋体"/>
          <w:color w:val="auto"/>
          <w:sz w:val="24"/>
          <w:szCs w:val="24"/>
          <w:highlight w:val="none"/>
        </w:rPr>
        <w:t>）</w:t>
      </w:r>
    </w:p>
    <w:p>
      <w:pPr>
        <w:pBdr>
          <w:bottom w:val="single" w:color="auto" w:sz="6" w:space="1"/>
        </w:pBdr>
        <w:spacing w:line="360" w:lineRule="auto"/>
        <w:ind w:firstLine="422" w:firstLineChars="20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36.4若递交投标文件的投标人不足3家，则重新组织招标。</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条款号：36.5.1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r>
        <w:rPr>
          <w:rFonts w:hint="eastAsia" w:ascii="宋体" w:hAnsi="宋体" w:cs="宋体"/>
          <w:color w:val="auto"/>
          <w:szCs w:val="21"/>
          <w:highlight w:val="none"/>
        </w:rPr>
        <w:t>；</w:t>
      </w:r>
    </w:p>
    <w:p>
      <w:pPr>
        <w:pBdr>
          <w:bottom w:val="single" w:color="auto" w:sz="6" w:space="1"/>
        </w:pBdr>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b w:val="0"/>
          <w:bCs/>
          <w:color w:val="auto"/>
          <w:szCs w:val="21"/>
          <w:highlight w:val="none"/>
        </w:rPr>
        <w:t>在投标截止时间后半小时内，投标人通过</w:t>
      </w:r>
      <w:r>
        <w:rPr>
          <w:rFonts w:hint="eastAsia" w:ascii="宋体" w:hAnsi="宋体" w:cs="宋体"/>
          <w:b w:val="0"/>
          <w:bCs/>
          <w:color w:val="auto"/>
          <w:szCs w:val="21"/>
          <w:highlight w:val="none"/>
          <w:u w:val="single"/>
          <w:lang w:val="en-US" w:eastAsia="zh-CN"/>
        </w:rPr>
        <w:t>广州公共资源交易中心</w:t>
      </w:r>
      <w:r>
        <w:rPr>
          <w:rFonts w:hint="eastAsia" w:ascii="宋体" w:hAnsi="宋体" w:cs="宋体"/>
          <w:b w:val="0"/>
          <w:bCs/>
          <w:color w:val="auto"/>
          <w:szCs w:val="21"/>
          <w:highlight w:val="none"/>
        </w:rPr>
        <w:t>交易平台对已递交的电子投标文件进行解密。投标人完成解密后，再由</w:t>
      </w:r>
      <w:r>
        <w:rPr>
          <w:rFonts w:hint="eastAsia" w:ascii="宋体" w:hAnsi="宋体" w:cs="宋体"/>
          <w:b w:val="0"/>
          <w:bCs/>
          <w:color w:val="auto"/>
          <w:szCs w:val="21"/>
          <w:highlight w:val="none"/>
          <w:u w:val="single"/>
        </w:rPr>
        <w:t>招</w:t>
      </w:r>
      <w:r>
        <w:rPr>
          <w:rFonts w:hint="eastAsia" w:ascii="宋体" w:hAnsi="宋体" w:cs="宋体"/>
          <w:b w:val="0"/>
          <w:bCs/>
          <w:strike w:val="0"/>
          <w:dstrike w:val="0"/>
          <w:color w:val="auto"/>
          <w:szCs w:val="21"/>
          <w:highlight w:val="none"/>
          <w:u w:val="single"/>
        </w:rPr>
        <w:t>标人</w:t>
      </w:r>
      <w:r>
        <w:rPr>
          <w:rFonts w:hint="eastAsia" w:ascii="宋体" w:hAnsi="宋体" w:cs="宋体"/>
          <w:b w:val="0"/>
          <w:bCs/>
          <w:strike w:val="0"/>
          <w:dstrike w:val="0"/>
          <w:color w:val="auto"/>
          <w:szCs w:val="21"/>
          <w:highlight w:val="none"/>
          <w:u w:val="single"/>
          <w:lang w:val="en-US" w:eastAsia="zh-CN"/>
        </w:rPr>
        <w:t>或招标代理</w:t>
      </w:r>
      <w:r>
        <w:rPr>
          <w:rFonts w:hint="eastAsia" w:ascii="宋体" w:hAnsi="宋体" w:cs="宋体"/>
          <w:b w:val="0"/>
          <w:bCs/>
          <w:color w:val="auto"/>
          <w:szCs w:val="21"/>
          <w:highlight w:val="none"/>
        </w:rPr>
        <w:t>进行解密。解密完成后，公布招标项目名称、投标人名称、投标报价、工期及其他内容</w:t>
      </w:r>
      <w:r>
        <w:rPr>
          <w:rFonts w:hint="eastAsia" w:ascii="宋体" w:hAnsi="宋体" w:cs="宋体"/>
          <w:color w:val="auto"/>
          <w:szCs w:val="21"/>
          <w:highlight w:val="none"/>
        </w:rPr>
        <w:t>；</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条款号：38.1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cs="宋体"/>
          <w:color w:val="auto"/>
          <w:szCs w:val="21"/>
          <w:highlight w:val="none"/>
          <w:u w:val="single"/>
        </w:rPr>
        <w:t>对投标文件含义不明确、对同类问题表述不一致、有明显文字和计算错误的内容以及细微偏差的</w:t>
      </w:r>
      <w:r>
        <w:rPr>
          <w:rFonts w:hint="eastAsia" w:ascii="宋体" w:hAnsi="宋体" w:cs="宋体"/>
          <w:color w:val="auto"/>
          <w:szCs w:val="21"/>
          <w:highlight w:val="none"/>
        </w:rPr>
        <w:t>内容作出澄清。</w:t>
      </w:r>
    </w:p>
    <w:p>
      <w:pPr>
        <w:pStyle w:val="32"/>
        <w:widowControl/>
        <w:spacing w:line="360" w:lineRule="auto"/>
        <w:ind w:firstLine="422" w:firstLineChars="200"/>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条款号：39.3</w:t>
      </w:r>
      <w:r>
        <w:rPr>
          <w:rFonts w:ascii="宋体" w:hAnsi="宋体" w:eastAsia="宋体" w:cs="宋体"/>
          <w:b/>
          <w:bCs/>
          <w:color w:val="auto"/>
          <w:sz w:val="21"/>
          <w:szCs w:val="21"/>
          <w:highlight w:val="none"/>
          <w:shd w:val="clear" w:color="auto" w:fill="FFFFFF"/>
        </w:rPr>
        <w:t xml:space="preserve">        </w:t>
      </w:r>
      <w:r>
        <w:rPr>
          <w:rFonts w:hint="eastAsia" w:ascii="宋体" w:hAnsi="宋体" w:eastAsia="宋体" w:cs="宋体"/>
          <w:b/>
          <w:bCs/>
          <w:color w:val="auto"/>
          <w:sz w:val="21"/>
          <w:szCs w:val="21"/>
          <w:highlight w:val="none"/>
          <w:shd w:val="clear" w:color="auto" w:fill="FFFFFF"/>
        </w:rPr>
        <w:t xml:space="preserve"> 修改类型：修改</w:t>
      </w:r>
    </w:p>
    <w:p>
      <w:pPr>
        <w:widowControl/>
        <w:spacing w:line="360" w:lineRule="auto"/>
        <w:ind w:firstLine="413" w:firstLineChars="196"/>
        <w:jc w:val="left"/>
        <w:rPr>
          <w:rFonts w:ascii="宋体" w:hAnsi="宋体" w:cs="宋体"/>
          <w:color w:val="auto"/>
          <w:szCs w:val="21"/>
          <w:highlight w:val="none"/>
          <w:shd w:val="clear" w:color="auto" w:fill="FFFFFF"/>
        </w:rPr>
      </w:pPr>
      <w:r>
        <w:rPr>
          <w:rFonts w:hint="eastAsia" w:ascii="宋体" w:hAnsi="宋体" w:cs="宋体"/>
          <w:b/>
          <w:color w:val="auto"/>
          <w:kern w:val="0"/>
          <w:szCs w:val="21"/>
          <w:highlight w:val="none"/>
          <w:shd w:val="clear" w:color="auto" w:fill="FFFFFF"/>
        </w:rPr>
        <w:t>原文：</w:t>
      </w:r>
      <w:r>
        <w:rPr>
          <w:rFonts w:hint="eastAsia" w:ascii="宋体" w:hAnsi="宋体" w:cs="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shd w:val="clear" w:color="auto" w:fill="FFFFFF"/>
        </w:rPr>
        <w:t>现文：</w:t>
      </w:r>
      <w:r>
        <w:rPr>
          <w:rFonts w:hint="eastAsia" w:ascii="宋体" w:hAnsi="宋体" w:cs="宋体"/>
          <w:color w:val="auto"/>
          <w:szCs w:val="21"/>
          <w:highlight w:val="none"/>
        </w:rPr>
        <w:t>排名第一的中标候选人放弃中标、或因不可抗力提出不能履行合同，或者招标文件规定应当提交履约担保而在规定的期限内未能提交的，</w:t>
      </w:r>
      <w:r>
        <w:rPr>
          <w:rFonts w:hint="eastAsia" w:cs="宋体"/>
          <w:bCs/>
          <w:color w:val="auto"/>
          <w:szCs w:val="21"/>
          <w:highlight w:val="none"/>
          <w:u w:val="single"/>
        </w:rPr>
        <w:t>或经核查发现委派的项目负责人已在</w:t>
      </w:r>
      <w:r>
        <w:rPr>
          <w:rFonts w:hint="eastAsia" w:ascii="宋体" w:hAnsi="宋体"/>
          <w:color w:val="auto"/>
          <w:kern w:val="0"/>
          <w:szCs w:val="21"/>
          <w:highlight w:val="none"/>
        </w:rPr>
        <w:t>其他在建项目中任施工单位项目负责人</w:t>
      </w:r>
      <w:r>
        <w:rPr>
          <w:rFonts w:hint="eastAsia" w:cs="宋体"/>
          <w:bCs/>
          <w:color w:val="auto"/>
          <w:szCs w:val="21"/>
          <w:highlight w:val="none"/>
          <w:u w:val="single"/>
        </w:rPr>
        <w:t>的，或因中标候选人原因在招标文件规定时间内未与招标人完成合同签署的，招标人可以重新招标，也可以确定排名第二的中标候选人为中标人，如第二中标候选人出现前款所列的情形的，招标人也可以确定排名第三的中标候选人为中标人，如所有中标候选人均出现前款所列的情形，为招标失败，招标人依法重新招标</w:t>
      </w:r>
      <w:r>
        <w:rPr>
          <w:rFonts w:hint="eastAsia"/>
          <w:bCs/>
          <w:color w:val="auto"/>
          <w:szCs w:val="21"/>
          <w:highlight w:val="none"/>
          <w:u w:val="single"/>
        </w:rPr>
        <w:t>。</w:t>
      </w:r>
    </w:p>
    <w:p>
      <w:pPr>
        <w:pStyle w:val="5"/>
        <w:spacing w:after="0" w:line="460" w:lineRule="exact"/>
        <w:ind w:firstLine="422" w:firstLineChars="200"/>
        <w:rPr>
          <w:rFonts w:ascii="宋体" w:hAnsi="宋体"/>
          <w:color w:val="auto"/>
          <w:szCs w:val="21"/>
          <w:highlight w:val="none"/>
        </w:rPr>
      </w:pPr>
      <w:r>
        <w:rPr>
          <w:rFonts w:hint="eastAsia" w:ascii="宋体" w:hAnsi="宋体"/>
          <w:b/>
          <w:color w:val="auto"/>
          <w:szCs w:val="21"/>
          <w:highlight w:val="none"/>
        </w:rPr>
        <w:t>条款号：（二）开标评标办法程序和细则          修改类型：删除</w:t>
      </w:r>
    </w:p>
    <w:p>
      <w:pPr>
        <w:pBdr>
          <w:bottom w:val="single" w:color="auto" w:sz="4" w:space="0"/>
        </w:pBdr>
        <w:spacing w:line="460" w:lineRule="exact"/>
        <w:ind w:firstLine="413" w:firstLineChars="196"/>
        <w:rPr>
          <w:rFonts w:ascii="宋体" w:hAnsi="宋体"/>
          <w:color w:val="auto"/>
          <w:szCs w:val="21"/>
          <w:highlight w:val="none"/>
          <w:u w:val="single"/>
        </w:rPr>
      </w:pPr>
      <w:r>
        <w:rPr>
          <w:rFonts w:hint="eastAsia" w:ascii="宋体" w:hAnsi="宋体"/>
          <w:b/>
          <w:color w:val="auto"/>
          <w:szCs w:val="21"/>
          <w:highlight w:val="none"/>
        </w:rPr>
        <w:t>原文：</w:t>
      </w:r>
      <w:r>
        <w:rPr>
          <w:rFonts w:hint="eastAsia" w:ascii="宋体" w:hAnsi="宋体"/>
          <w:bCs/>
          <w:color w:val="auto"/>
          <w:szCs w:val="21"/>
          <w:highlight w:val="none"/>
        </w:rPr>
        <w:t>注：以下七种评标办法所述企业综合诚信评价分数即投标截止当日广州市工程招标代理行业协会网站上公布的企业综合诚信评价60日诚信分。</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条款号：（二）开标评标办法程序和细则          修改类型：删除</w:t>
      </w:r>
    </w:p>
    <w:p>
      <w:pPr>
        <w:pBdr>
          <w:bottom w:val="single" w:color="auto" w:sz="4"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highlight w:val="none"/>
        </w:rPr>
        <w:t>可选办法一（适合综合评分法一，技术标与经济标先后分别开启）</w:t>
      </w:r>
    </w:p>
    <w:p>
      <w:pPr>
        <w:pBdr>
          <w:bottom w:val="single" w:color="auto" w:sz="4"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highlight w:val="none"/>
        </w:rPr>
        <w:t>可选办法二（适合综合评分法一，技术标与经济标同时开启）</w:t>
      </w:r>
    </w:p>
    <w:p>
      <w:pPr>
        <w:pBdr>
          <w:bottom w:val="single" w:color="auto" w:sz="4"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highlight w:val="none"/>
        </w:rPr>
        <w:t>可选办法三（适合综合评分法二，技术标与经济标先后分别开启）</w:t>
      </w:r>
    </w:p>
    <w:p>
      <w:pPr>
        <w:pBdr>
          <w:bottom w:val="single" w:color="auto" w:sz="4"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highlight w:val="none"/>
        </w:rPr>
        <w:t>可选办法四（适合综合评分法二，技术标与经济标同时开启）</w:t>
      </w:r>
    </w:p>
    <w:p>
      <w:pPr>
        <w:pBdr>
          <w:bottom w:val="single" w:color="auto" w:sz="4"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highlight w:val="none"/>
        </w:rPr>
        <w:t>可选办法五（适合综合评分法三，技术标与经济标先后分别开启）</w:t>
      </w:r>
    </w:p>
    <w:p>
      <w:pPr>
        <w:pBdr>
          <w:bottom w:val="single" w:color="auto" w:sz="4" w:space="1"/>
        </w:pBdr>
        <w:spacing w:line="360" w:lineRule="auto"/>
        <w:ind w:firstLine="472" w:firstLineChars="224"/>
        <w:rPr>
          <w:rFonts w:ascii="宋体" w:hAnsi="宋体"/>
          <w:color w:val="auto"/>
          <w:highlight w:val="none"/>
        </w:rPr>
      </w:pPr>
      <w:r>
        <w:rPr>
          <w:rFonts w:hint="eastAsia" w:ascii="宋体" w:hAnsi="宋体"/>
          <w:b/>
          <w:color w:val="auto"/>
          <w:szCs w:val="21"/>
          <w:highlight w:val="none"/>
        </w:rPr>
        <w:t>原文：</w:t>
      </w:r>
      <w:r>
        <w:rPr>
          <w:rFonts w:hint="eastAsia" w:ascii="宋体" w:hAnsi="宋体"/>
          <w:color w:val="auto"/>
          <w:highlight w:val="none"/>
        </w:rPr>
        <w:t>可选办法六（适合综合评分法三，技术标与经济标同时开启）</w:t>
      </w:r>
    </w:p>
    <w:p>
      <w:pPr>
        <w:pBdr>
          <w:bottom w:val="single" w:color="auto" w:sz="4"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highlight w:val="none"/>
        </w:rPr>
        <w:t>可选办法八（适合经评审的最低投标价法，技术标与经济标同时开启）</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 开标由招标人主持；</w:t>
      </w:r>
    </w:p>
    <w:p>
      <w:pPr>
        <w:pBdr>
          <w:bottom w:val="single" w:color="auto" w:sz="6" w:space="1"/>
        </w:pBdr>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41.1 </w:t>
      </w:r>
      <w:r>
        <w:rPr>
          <w:rFonts w:hint="eastAsia" w:ascii="宋体" w:hAnsi="宋体" w:cs="宋体"/>
          <w:color w:val="auto"/>
          <w:szCs w:val="21"/>
          <w:highlight w:val="none"/>
          <w:u w:val="single"/>
        </w:rPr>
        <w:t>开标由招标人或招标代理主持；</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w:t>
      </w:r>
      <w:r>
        <w:rPr>
          <w:rFonts w:hint="eastAsia" w:ascii="宋体"/>
          <w:color w:val="auto"/>
          <w:szCs w:val="21"/>
          <w:highlight w:val="none"/>
        </w:rPr>
        <w:t>投标截止期前，各投标人递交投标文件（包括技术标投标文件、经济标投标文件）至</w:t>
      </w:r>
      <w:r>
        <w:rPr>
          <w:rFonts w:hint="eastAsia" w:ascii="宋体"/>
          <w:color w:val="auto"/>
          <w:szCs w:val="21"/>
          <w:highlight w:val="none"/>
          <w:u w:val="single"/>
        </w:rPr>
        <w:t xml:space="preserve">        </w:t>
      </w:r>
      <w:r>
        <w:rPr>
          <w:rFonts w:hint="eastAsia" w:ascii="宋体"/>
          <w:color w:val="auto"/>
          <w:szCs w:val="21"/>
          <w:highlight w:val="none"/>
        </w:rPr>
        <w:t>交易平台。有关投标文件提交的事项详见第一章投标须知。</w:t>
      </w:r>
    </w:p>
    <w:p>
      <w:pPr>
        <w:pBdr>
          <w:bottom w:val="single" w:color="auto" w:sz="6" w:space="1"/>
        </w:pBdr>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41.2.1投标截止期前，各投标人递交投标文件（包括技术标投标文件（含资格审查文件）、经济标投标文件）至</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交易平台。有关投标文件提交的事项详见第一章投标须知。</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条款号：41.2.2            修改类型：删除</w:t>
      </w:r>
    </w:p>
    <w:p>
      <w:pPr>
        <w:pBdr>
          <w:bottom w:val="single" w:color="auto" w:sz="6" w:space="1"/>
        </w:pBdr>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条款号：42.2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一</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pBdr>
          <w:bottom w:val="single" w:color="auto" w:sz="6" w:space="1"/>
        </w:pBd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Style w:val="5"/>
        <w:spacing w:after="0" w:line="460" w:lineRule="exact"/>
        <w:ind w:firstLine="422" w:firstLineChars="200"/>
        <w:rPr>
          <w:rFonts w:ascii="宋体" w:hAnsi="宋体"/>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4</w:t>
      </w:r>
      <w:r>
        <w:rPr>
          <w:rFonts w:hint="eastAsia" w:ascii="宋体" w:hAnsi="宋体"/>
          <w:b/>
          <w:color w:val="auto"/>
          <w:szCs w:val="21"/>
          <w:highlight w:val="none"/>
        </w:rPr>
        <w:t>3.6</w:t>
      </w:r>
      <w:r>
        <w:rPr>
          <w:rFonts w:hint="eastAsia" w:ascii="宋体" w:hAnsi="宋体"/>
          <w:color w:val="auto"/>
          <w:szCs w:val="21"/>
          <w:highlight w:val="none"/>
        </w:rPr>
        <w:t xml:space="preserve">           </w:t>
      </w:r>
      <w:r>
        <w:rPr>
          <w:rFonts w:hint="eastAsia" w:ascii="宋体" w:hAnsi="宋体"/>
          <w:b/>
          <w:color w:val="auto"/>
          <w:szCs w:val="21"/>
          <w:highlight w:val="none"/>
        </w:rPr>
        <w:t>修改类型：修改</w:t>
      </w:r>
    </w:p>
    <w:p>
      <w:pPr>
        <w:spacing w:line="460" w:lineRule="exact"/>
        <w:ind w:firstLine="413" w:firstLineChars="196"/>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43.6</w:t>
      </w:r>
      <w:r>
        <w:rPr>
          <w:rFonts w:hint="eastAsia" w:ascii="宋体" w:hAnsi="宋体"/>
          <w:bCs/>
          <w:color w:val="auto"/>
          <w:szCs w:val="21"/>
          <w:highlight w:val="none"/>
        </w:rPr>
        <w:t>资格审查合格的投标人少于3名的（当N个标段同时招标且不允许兼中时，资格审查合格的投标人少于N+2名），则本项目招标失败。</w:t>
      </w:r>
    </w:p>
    <w:p>
      <w:pPr>
        <w:pBdr>
          <w:bottom w:val="single" w:color="auto" w:sz="6" w:space="1"/>
        </w:pBdr>
        <w:spacing w:line="460" w:lineRule="exact"/>
        <w:ind w:firstLine="413" w:firstLineChars="196"/>
        <w:rPr>
          <w:rFonts w:ascii="宋体" w:hAnsi="宋体"/>
          <w:color w:val="auto"/>
          <w:szCs w:val="21"/>
          <w:highlight w:val="none"/>
          <w:u w:val="single"/>
        </w:rPr>
      </w:pPr>
      <w:r>
        <w:rPr>
          <w:rFonts w:hint="eastAsia" w:ascii="宋体" w:hAnsi="宋体"/>
          <w:b/>
          <w:color w:val="auto"/>
          <w:szCs w:val="21"/>
          <w:highlight w:val="none"/>
        </w:rPr>
        <w:t>现文：</w:t>
      </w:r>
      <w:r>
        <w:rPr>
          <w:rFonts w:ascii="宋体" w:hAnsi="宋体"/>
          <w:color w:val="auto"/>
          <w:szCs w:val="21"/>
          <w:highlight w:val="none"/>
        </w:rPr>
        <w:t>43.6</w:t>
      </w:r>
      <w:r>
        <w:rPr>
          <w:rFonts w:hint="eastAsia" w:ascii="宋体" w:hAnsi="宋体"/>
          <w:bCs/>
          <w:color w:val="auto"/>
          <w:szCs w:val="21"/>
          <w:highlight w:val="none"/>
          <w:u w:val="single"/>
        </w:rPr>
        <w:t>资格审查合格的投标人少于3名的，则本项目招标失败。</w:t>
      </w:r>
    </w:p>
    <w:p>
      <w:pPr>
        <w:pStyle w:val="5"/>
        <w:spacing w:after="0" w:line="460" w:lineRule="exact"/>
        <w:ind w:firstLine="422" w:firstLineChars="200"/>
        <w:rPr>
          <w:rFonts w:ascii="宋体" w:hAnsi="宋体"/>
          <w:color w:val="auto"/>
          <w:szCs w:val="21"/>
          <w:highlight w:val="none"/>
        </w:rPr>
      </w:pPr>
      <w:r>
        <w:rPr>
          <w:rFonts w:hint="eastAsia" w:ascii="宋体" w:hAnsi="宋体"/>
          <w:b/>
          <w:color w:val="auto"/>
          <w:szCs w:val="21"/>
          <w:highlight w:val="none"/>
        </w:rPr>
        <w:t xml:space="preserve">条款号：44.1 </w:t>
      </w:r>
      <w:r>
        <w:rPr>
          <w:rFonts w:hint="eastAsia" w:ascii="宋体" w:hAnsi="宋体"/>
          <w:color w:val="auto"/>
          <w:szCs w:val="21"/>
          <w:highlight w:val="none"/>
        </w:rPr>
        <w:t xml:space="preserve">          </w:t>
      </w:r>
      <w:r>
        <w:rPr>
          <w:rFonts w:hint="eastAsia" w:ascii="宋体" w:hAnsi="宋体"/>
          <w:b/>
          <w:color w:val="auto"/>
          <w:szCs w:val="21"/>
          <w:highlight w:val="none"/>
        </w:rPr>
        <w:t>修改类型：修改</w:t>
      </w:r>
    </w:p>
    <w:p>
      <w:pPr>
        <w:spacing w:line="460" w:lineRule="exact"/>
        <w:ind w:firstLine="413" w:firstLineChars="196"/>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460" w:lineRule="exact"/>
        <w:ind w:firstLine="413" w:firstLineChars="196"/>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Pr>
          <w:rFonts w:hint="eastAsia" w:ascii="宋体" w:hAnsi="宋体"/>
          <w:bCs/>
          <w:color w:val="auto"/>
          <w:szCs w:val="21"/>
          <w:highlight w:val="none"/>
          <w:u w:val="single"/>
        </w:rPr>
        <w:t>若通过技术标有效性审查的投标人不足3名，则本项目招标失败</w:t>
      </w:r>
      <w:r>
        <w:rPr>
          <w:rFonts w:hint="eastAsia" w:ascii="宋体" w:hAnsi="宋体"/>
          <w:bCs/>
          <w:color w:val="auto"/>
          <w:szCs w:val="21"/>
          <w:highlight w:val="none"/>
        </w:rPr>
        <w:t>。</w:t>
      </w:r>
    </w:p>
    <w:p>
      <w:pPr>
        <w:pStyle w:val="32"/>
        <w:widowControl/>
        <w:spacing w:line="360" w:lineRule="auto"/>
        <w:ind w:firstLine="422" w:firstLineChars="200"/>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条款号：</w:t>
      </w:r>
      <w:r>
        <w:rPr>
          <w:rFonts w:ascii="宋体" w:hAnsi="宋体" w:eastAsia="宋体" w:cs="宋体"/>
          <w:b/>
          <w:bCs/>
          <w:color w:val="auto"/>
          <w:sz w:val="21"/>
          <w:szCs w:val="21"/>
          <w:highlight w:val="none"/>
          <w:shd w:val="clear" w:color="auto" w:fill="FFFFFF"/>
        </w:rPr>
        <w:t xml:space="preserve">45        </w:t>
      </w:r>
      <w:r>
        <w:rPr>
          <w:rFonts w:hint="eastAsia" w:ascii="宋体" w:hAnsi="宋体" w:eastAsia="宋体" w:cs="宋体"/>
          <w:b/>
          <w:bCs/>
          <w:color w:val="auto"/>
          <w:sz w:val="21"/>
          <w:szCs w:val="21"/>
          <w:highlight w:val="none"/>
          <w:shd w:val="clear" w:color="auto" w:fill="FFFFFF"/>
        </w:rPr>
        <w:t xml:space="preserve"> 修改类型：修改</w:t>
      </w:r>
    </w:p>
    <w:p>
      <w:pPr>
        <w:widowControl/>
        <w:spacing w:line="360" w:lineRule="auto"/>
        <w:ind w:firstLine="413" w:firstLineChars="196"/>
        <w:jc w:val="left"/>
        <w:rPr>
          <w:rFonts w:ascii="宋体" w:hAnsi="宋体" w:cs="宋体"/>
          <w:color w:val="auto"/>
          <w:szCs w:val="21"/>
          <w:highlight w:val="none"/>
        </w:rPr>
      </w:pPr>
      <w:r>
        <w:rPr>
          <w:rFonts w:hint="eastAsia" w:ascii="宋体" w:hAnsi="宋体" w:cs="宋体"/>
          <w:b/>
          <w:color w:val="auto"/>
          <w:kern w:val="0"/>
          <w:szCs w:val="21"/>
          <w:highlight w:val="none"/>
          <w:shd w:val="clear" w:color="auto" w:fill="FFFFFF"/>
        </w:rPr>
        <w:t>原文：</w:t>
      </w:r>
      <w:r>
        <w:rPr>
          <w:rFonts w:hint="eastAsia" w:ascii="宋体" w:hAnsi="宋体" w:cs="宋体"/>
          <w:color w:val="auto"/>
          <w:szCs w:val="21"/>
          <w:highlight w:val="none"/>
        </w:rPr>
        <w:t>45．经济标评审和得分汇总</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 xml:space="preserve"> 45.2按方法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计算评标参考价：</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方法一：加权平均法</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 ），第二名投标人的权重为（ ），以此类推，最后一名投标人的权重为（ ）。</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方法二：区间抽取法</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评标参考价=（Q高-Q低）/100*Ｘ+Q低</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Q低：为达到或超过技术标及格分数线的投标人最低报价与工程成本警示价两者中的较高值；</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Q高：为（最高投标限价*D%）（D的取值范围为[94,100],由招标人自定）</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45.3当标价等于评标参考价时得100分，标价每高于评标参考价1%，扣1.5分，每低于评标参考价1%，扣1分，扣至0分为止，得出经济分，精确到小数点后两位。</w:t>
      </w:r>
    </w:p>
    <w:p>
      <w:pPr>
        <w:widowControl/>
        <w:spacing w:line="360" w:lineRule="auto"/>
        <w:ind w:firstLine="411" w:firstLineChars="196"/>
        <w:jc w:val="left"/>
        <w:rPr>
          <w:rFonts w:ascii="宋体" w:hAnsi="宋体" w:cs="宋体"/>
          <w:color w:val="auto"/>
          <w:szCs w:val="21"/>
          <w:highlight w:val="none"/>
          <w:shd w:val="clear" w:color="auto" w:fill="FFFFFF"/>
        </w:rPr>
      </w:pPr>
      <w:r>
        <w:rPr>
          <w:rFonts w:hint="eastAsia" w:ascii="宋体" w:hAnsi="宋体" w:cs="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widowControl/>
        <w:spacing w:line="360" w:lineRule="auto"/>
        <w:ind w:firstLine="413" w:firstLineChars="196"/>
        <w:jc w:val="left"/>
        <w:rPr>
          <w:rFonts w:ascii="宋体" w:hAnsi="宋体" w:cs="宋体"/>
          <w:color w:val="auto"/>
          <w:szCs w:val="21"/>
          <w:highlight w:val="none"/>
        </w:rPr>
      </w:pPr>
      <w:r>
        <w:rPr>
          <w:rFonts w:hint="eastAsia" w:ascii="宋体" w:hAnsi="宋体" w:cs="宋体"/>
          <w:b/>
          <w:color w:val="auto"/>
          <w:szCs w:val="21"/>
          <w:highlight w:val="none"/>
          <w:shd w:val="clear" w:color="auto" w:fill="FFFFFF"/>
        </w:rPr>
        <w:t>现文：</w:t>
      </w:r>
      <w:r>
        <w:rPr>
          <w:rFonts w:hint="eastAsia" w:ascii="宋体" w:hAnsi="宋体" w:cs="宋体"/>
          <w:color w:val="auto"/>
          <w:szCs w:val="21"/>
          <w:highlight w:val="none"/>
        </w:rPr>
        <w:t>45．经济标评审和得分汇总</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45.1若通过技术标有效性审查的投标人中所有投标报价均大于等于最高投标限价*</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w:t>
      </w:r>
      <w:r>
        <w:rPr>
          <w:rFonts w:hint="eastAsia" w:ascii="宋体" w:hAnsi="宋体" w:cs="宋体"/>
          <w:color w:val="auto"/>
          <w:szCs w:val="21"/>
          <w:highlight w:val="none"/>
        </w:rPr>
        <w:t>的（具</w:t>
      </w:r>
      <w:r>
        <w:rPr>
          <w:rFonts w:hint="eastAsia" w:ascii="宋体" w:hAnsi="宋体" w:cs="宋体"/>
          <w:color w:val="auto"/>
          <w:szCs w:val="21"/>
          <w:highlight w:val="none"/>
        </w:rPr>
        <w:t>体金额为：</w:t>
      </w:r>
      <w:r>
        <w:rPr>
          <w:rFonts w:hint="eastAsia" w:ascii="宋体" w:hAnsi="宋体" w:cs="宋体"/>
          <w:color w:val="auto"/>
          <w:szCs w:val="21"/>
          <w:highlight w:val="none"/>
          <w:u w:val="single"/>
        </w:rPr>
        <w:t>6327097.05</w:t>
      </w:r>
      <w:r>
        <w:rPr>
          <w:rFonts w:hint="eastAsia" w:ascii="宋体" w:hAnsi="宋体" w:cs="宋体"/>
          <w:color w:val="auto"/>
          <w:szCs w:val="21"/>
          <w:highlight w:val="none"/>
          <w:u w:val="single"/>
        </w:rPr>
        <w:t>元</w:t>
      </w:r>
      <w:r>
        <w:rPr>
          <w:rFonts w:hint="eastAsia" w:ascii="宋体" w:hAnsi="宋体" w:cs="宋体"/>
          <w:color w:val="auto"/>
          <w:szCs w:val="21"/>
          <w:highlight w:val="none"/>
        </w:rPr>
        <w:t>），</w:t>
      </w:r>
      <w:r>
        <w:rPr>
          <w:rFonts w:hint="eastAsia" w:ascii="宋体" w:hAnsi="宋体" w:cs="宋体"/>
          <w:color w:val="auto"/>
          <w:szCs w:val="21"/>
          <w:highlight w:val="none"/>
        </w:rPr>
        <w:t>则本项目招标失败，由招标人依法重新招标。</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 xml:space="preserve"> 45.2按方法</w:t>
      </w:r>
      <w:r>
        <w:rPr>
          <w:rFonts w:hint="eastAsia" w:ascii="宋体" w:hAnsi="宋体" w:cs="宋体"/>
          <w:color w:val="auto"/>
          <w:szCs w:val="21"/>
          <w:highlight w:val="none"/>
          <w:u w:val="single"/>
        </w:rPr>
        <w:t>一</w:t>
      </w:r>
      <w:r>
        <w:rPr>
          <w:rFonts w:hint="eastAsia" w:ascii="宋体" w:hAnsi="宋体" w:cs="宋体"/>
          <w:color w:val="auto"/>
          <w:szCs w:val="21"/>
          <w:highlight w:val="none"/>
        </w:rPr>
        <w:t>计算评标参考价：</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方法一：加权平均法</w:t>
      </w:r>
    </w:p>
    <w:p>
      <w:pPr>
        <w:spacing w:line="360" w:lineRule="auto"/>
        <w:ind w:left="210" w:leftChars="100" w:firstLine="420" w:firstLineChars="200"/>
        <w:rPr>
          <w:rFonts w:ascii="宋体" w:hAnsi="宋体" w:cs="宋体"/>
          <w:color w:val="auto"/>
          <w:szCs w:val="21"/>
          <w:highlight w:val="none"/>
        </w:rPr>
      </w:pPr>
      <w:r>
        <w:rPr>
          <w:rFonts w:hint="eastAsia" w:ascii="宋体" w:hAnsi="宋体" w:cs="宋体"/>
          <w:color w:val="auto"/>
          <w:szCs w:val="21"/>
          <w:highlight w:val="none"/>
          <w:u w:val="single"/>
        </w:rPr>
        <w:t>通过技术标有效性审查且经济报价在[工程成本警戒价, 招标控制价*</w:t>
      </w:r>
      <w:r>
        <w:rPr>
          <w:rFonts w:hint="eastAsia" w:ascii="宋体" w:hAnsi="宋体" w:cs="宋体"/>
          <w:color w:val="auto"/>
          <w:szCs w:val="21"/>
          <w:highlight w:val="none"/>
          <w:u w:val="single"/>
          <w:lang w:val="en-US" w:eastAsia="zh-CN"/>
        </w:rPr>
        <w:t>100</w:t>
      </w:r>
      <w:r>
        <w:rPr>
          <w:rFonts w:hint="eastAsia" w:ascii="宋体" w:hAnsi="宋体" w:cs="宋体"/>
          <w:color w:val="auto"/>
          <w:szCs w:val="21"/>
          <w:highlight w:val="none"/>
          <w:u w:val="single"/>
        </w:rPr>
        <w:t>%]区间的投标人的技术标得分前5名（若满足前述条件的投标人大于等于5家时,N=5；若满足前述条件的投标人小于5家时,N=满足前述条件的投标人个数）</w:t>
      </w:r>
      <w:r>
        <w:rPr>
          <w:rFonts w:hint="eastAsia" w:ascii="宋体" w:hAnsi="宋体" w:cs="宋体"/>
          <w:color w:val="auto"/>
          <w:szCs w:val="21"/>
          <w:highlight w:val="none"/>
        </w:rPr>
        <w:t>的投标人经济报价加权平均，计算评标参考价。公式如下：</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380" w:firstLineChars="181"/>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2905" cy="44640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2905" cy="44640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18770" cy="403860"/>
            <wp:effectExtent l="0" t="0" r="508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18770" cy="403860"/>
            <wp:effectExtent l="0" t="0" r="508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18770" cy="403860"/>
            <wp:effectExtent l="0" t="0" r="508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18770" cy="403860"/>
            <wp:effectExtent l="0" t="0" r="508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Style w:val="5"/>
        <w:spacing w:after="0" w:line="460" w:lineRule="exact"/>
        <w:ind w:firstLineChars="200"/>
        <w:rPr>
          <w:rFonts w:ascii="宋体" w:hAnsi="宋体" w:cs="宋体"/>
          <w:b/>
          <w:color w:val="auto"/>
          <w:szCs w:val="21"/>
          <w:highlight w:val="none"/>
        </w:rPr>
      </w:pPr>
      <w:r>
        <w:rPr>
          <w:rFonts w:hint="eastAsia" w:ascii="宋体" w:hAnsi="宋体" w:cs="宋体"/>
          <w:bCs/>
          <w:color w:val="auto"/>
          <w:szCs w:val="21"/>
          <w:highlight w:val="none"/>
          <w:u w:val="single"/>
        </w:rPr>
        <w:t>技术标得分相同的投标文件，以投标报价较低的排前；如仍存在相同情况，则对具有相同情况的投标人，由评标委员会采用记名投票方式，确定投标人的排序。随机方式确定排序的具体操作步骤为：由评标会对出现该情况的投标人进行编号，然后通过记名投票方式，以得票多的排前确定排序。</w:t>
      </w:r>
    </w:p>
    <w:p>
      <w:pPr>
        <w:widowControl/>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45.3当标价等于评标参考价时得100分，标价每高于评标参考价1%，</w:t>
      </w:r>
      <w:r>
        <w:rPr>
          <w:rFonts w:hint="eastAsia" w:ascii="宋体" w:hAnsi="宋体" w:cs="宋体"/>
          <w:bCs/>
          <w:color w:val="auto"/>
          <w:szCs w:val="21"/>
          <w:highlight w:val="none"/>
        </w:rPr>
        <w:t>扣</w:t>
      </w:r>
      <w:r>
        <w:rPr>
          <w:rFonts w:hint="eastAsia" w:ascii="宋体" w:hAnsi="宋体" w:cs="宋体"/>
          <w:bCs/>
          <w:color w:val="auto"/>
          <w:szCs w:val="21"/>
          <w:highlight w:val="none"/>
          <w:u w:val="single"/>
          <w:lang w:val="en-US" w:eastAsia="zh-CN"/>
        </w:rPr>
        <w:t>0.5</w:t>
      </w:r>
      <w:r>
        <w:rPr>
          <w:rFonts w:hint="eastAsia" w:ascii="宋体" w:hAnsi="宋体" w:cs="宋体"/>
          <w:bCs/>
          <w:color w:val="auto"/>
          <w:szCs w:val="21"/>
          <w:highlight w:val="none"/>
        </w:rPr>
        <w:t>分，每低于评标参考价1%，扣</w:t>
      </w:r>
      <w:r>
        <w:rPr>
          <w:rFonts w:hint="eastAsia" w:ascii="宋体" w:hAnsi="宋体" w:cs="宋体"/>
          <w:bCs/>
          <w:color w:val="auto"/>
          <w:szCs w:val="21"/>
          <w:highlight w:val="none"/>
          <w:u w:val="single"/>
        </w:rPr>
        <w:t>0.</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rPr>
        <w:t>分</w:t>
      </w:r>
      <w:r>
        <w:rPr>
          <w:rFonts w:hint="eastAsia" w:ascii="宋体" w:hAnsi="宋体" w:cs="宋体"/>
          <w:color w:val="auto"/>
          <w:szCs w:val="21"/>
          <w:highlight w:val="none"/>
        </w:rPr>
        <w:t>，扣至0分为止，得出经济分，精确到小数点后两位。</w:t>
      </w:r>
    </w:p>
    <w:p>
      <w:pPr>
        <w:pStyle w:val="10"/>
        <w:pBdr>
          <w:bottom w:val="single" w:color="auto" w:sz="4" w:space="0"/>
        </w:pBdr>
        <w:ind w:firstLine="1050" w:firstLineChars="500"/>
        <w:rPr>
          <w:rFonts w:ascii="宋体" w:hAnsi="宋体" w:cs="宋体"/>
          <w:color w:val="auto"/>
          <w:szCs w:val="21"/>
          <w:highlight w:val="none"/>
        </w:rPr>
      </w:pPr>
      <w:r>
        <w:rPr>
          <w:rFonts w:hint="eastAsia" w:ascii="宋体" w:hAnsi="宋体" w:cs="宋体"/>
          <w:color w:val="auto"/>
          <w:szCs w:val="21"/>
          <w:highlight w:val="none"/>
        </w:rPr>
        <w:t>45.4计算通过技术标有效性审查的投标人总得分。投标人总得分=</w:t>
      </w:r>
      <w:r>
        <w:rPr>
          <w:rFonts w:hint="eastAsia" w:ascii="宋体" w:hAnsi="宋体" w:cs="宋体"/>
          <w:color w:val="auto"/>
          <w:szCs w:val="21"/>
          <w:highlight w:val="none"/>
          <w:u w:val="single"/>
        </w:rPr>
        <w:t>技术得分×技术得分权重（20%）＋经济得分×经济得分权重（80%）。</w:t>
      </w:r>
      <w:r>
        <w:rPr>
          <w:rFonts w:hint="eastAsia" w:ascii="宋体" w:hAnsi="宋体" w:cs="宋体"/>
          <w:color w:val="auto"/>
          <w:szCs w:val="21"/>
          <w:highlight w:val="none"/>
        </w:rPr>
        <w:t>技术、经济得分权重按投标须知前附表的规定执行。总得分四舍五入保留两位小数。</w:t>
      </w:r>
    </w:p>
    <w:p>
      <w:pPr>
        <w:pStyle w:val="5"/>
        <w:spacing w:after="0" w:line="460" w:lineRule="exact"/>
        <w:ind w:firstLine="422" w:firstLineChars="200"/>
        <w:rPr>
          <w:rFonts w:ascii="宋体" w:hAnsi="宋体"/>
          <w:color w:val="auto"/>
          <w:szCs w:val="21"/>
          <w:highlight w:val="none"/>
        </w:rPr>
      </w:pPr>
      <w:r>
        <w:rPr>
          <w:rFonts w:hint="eastAsia" w:ascii="宋体" w:hAnsi="宋体"/>
          <w:b/>
          <w:color w:val="auto"/>
          <w:szCs w:val="21"/>
          <w:highlight w:val="none"/>
        </w:rPr>
        <w:t>条款号：</w:t>
      </w:r>
      <w:r>
        <w:rPr>
          <w:rFonts w:ascii="宋体" w:hAnsi="宋体"/>
          <w:bCs/>
          <w:color w:val="auto"/>
          <w:szCs w:val="21"/>
          <w:highlight w:val="none"/>
        </w:rPr>
        <w:t>45.</w:t>
      </w:r>
      <w:r>
        <w:rPr>
          <w:rFonts w:hint="eastAsia" w:ascii="宋体" w:hAnsi="宋体"/>
          <w:bCs/>
          <w:color w:val="auto"/>
          <w:szCs w:val="21"/>
          <w:highlight w:val="none"/>
        </w:rPr>
        <w:t>5</w:t>
      </w:r>
      <w:r>
        <w:rPr>
          <w:rFonts w:hint="eastAsia" w:ascii="宋体" w:hAnsi="宋体"/>
          <w:color w:val="auto"/>
          <w:szCs w:val="21"/>
          <w:highlight w:val="none"/>
        </w:rPr>
        <w:t xml:space="preserve">           </w:t>
      </w:r>
      <w:r>
        <w:rPr>
          <w:rFonts w:hint="eastAsia" w:ascii="宋体" w:hAnsi="宋体"/>
          <w:b/>
          <w:color w:val="auto"/>
          <w:szCs w:val="21"/>
          <w:highlight w:val="none"/>
        </w:rPr>
        <w:t>修改类型：增加</w:t>
      </w:r>
    </w:p>
    <w:p>
      <w:pPr>
        <w:pBdr>
          <w:bottom w:val="single" w:color="auto" w:sz="6" w:space="1"/>
        </w:pBdr>
        <w:spacing w:line="360" w:lineRule="auto"/>
        <w:ind w:firstLine="422" w:firstLineChars="200"/>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45.5</w:t>
      </w:r>
      <w:bookmarkStart w:id="31" w:name="_Hlk72102247"/>
      <w:r>
        <w:rPr>
          <w:rFonts w:hint="eastAsia" w:ascii="宋体" w:hAnsi="宋体"/>
          <w:color w:val="auto"/>
          <w:szCs w:val="21"/>
          <w:highlight w:val="none"/>
          <w:u w:val="single"/>
        </w:rPr>
        <w:t>总得分相同的投标文件，以报价较低的排前；报价均相同的投标文件，以技术分较高的排前；报价与技术得分均相同，以诚信综合评价分数高的排前；如仍存在相同情况，则对具有相同情况的投标人，由评标委员会采用投票方式，确定投标人的排序。</w:t>
      </w:r>
    </w:p>
    <w:p>
      <w:pPr>
        <w:pBdr>
          <w:bottom w:val="single" w:color="auto" w:sz="6" w:space="1"/>
        </w:pBdr>
        <w:spacing w:line="360" w:lineRule="auto"/>
        <w:ind w:firstLine="420" w:firstLineChars="200"/>
        <w:rPr>
          <w:rFonts w:ascii="宋体" w:hAnsi="宋体"/>
          <w:color w:val="auto"/>
          <w:szCs w:val="21"/>
          <w:highlight w:val="none"/>
          <w:u w:val="single"/>
        </w:rPr>
      </w:pPr>
      <w:r>
        <w:rPr>
          <w:rFonts w:hint="eastAsia" w:cs="宋体"/>
          <w:color w:val="auto"/>
          <w:szCs w:val="21"/>
          <w:highlight w:val="none"/>
        </w:rPr>
        <w:t>注：投票方式确定排序的具体操作步骤为：由评标委员会对出现该情况的投标人进行编号，然后通过投票方式依次确定投标人的排序。</w:t>
      </w:r>
      <w:bookmarkEnd w:id="31"/>
    </w:p>
    <w:p>
      <w:pPr>
        <w:pStyle w:val="5"/>
        <w:spacing w:after="0" w:line="46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条款号：49             修改类型：修改</w:t>
      </w:r>
    </w:p>
    <w:p>
      <w:pPr>
        <w:pStyle w:val="5"/>
        <w:spacing w:after="0" w:line="460" w:lineRule="exact"/>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49.若通过经济标有效性审查的投标人不足三家，应当依法重新招标。（当N个标段同时招标且不允许兼中时，若有效投标人不足N+2家，应当依法重新招标）</w:t>
      </w:r>
    </w:p>
    <w:p>
      <w:pPr>
        <w:pBdr>
          <w:bottom w:val="single" w:color="auto" w:sz="6" w:space="1"/>
        </w:pBdr>
        <w:spacing w:line="460" w:lineRule="exact"/>
        <w:ind w:firstLine="413" w:firstLineChars="196"/>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bCs/>
          <w:color w:val="auto"/>
          <w:szCs w:val="21"/>
          <w:highlight w:val="none"/>
          <w:u w:val="single"/>
        </w:rPr>
        <w:t>49.若通过经济标有效性审查的投标人不足三家，应当依法重新招标。</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条款号：附表一 《资格审查表》                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见范本</w:t>
      </w:r>
    </w:p>
    <w:p>
      <w:pPr>
        <w:pBdr>
          <w:bottom w:val="single" w:color="auto" w:sz="6" w:space="1"/>
        </w:pBd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见后附：附表一 《资格审查表》</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条款号：附表二 《技术标有效性审查表》        修改类型：修改</w:t>
      </w:r>
    </w:p>
    <w:p>
      <w:pP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见范本</w:t>
      </w:r>
    </w:p>
    <w:p>
      <w:pPr>
        <w:pBdr>
          <w:bottom w:val="single" w:color="auto" w:sz="6" w:space="1"/>
        </w:pBdr>
        <w:spacing w:line="360" w:lineRule="auto"/>
        <w:ind w:firstLine="472" w:firstLineChars="224"/>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见后附：附表二《技术标有效性审查表》</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条款号：附表三 《经济标有效性审查表》        修改类型：修改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见范本</w:t>
      </w:r>
    </w:p>
    <w:p>
      <w:pPr>
        <w:pBdr>
          <w:bottom w:val="single" w:color="auto" w:sz="6"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见后附：附表三《经济标有效性审查表》</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条款号：附表四《技术标详细审查评分表》       修改类型：</w:t>
      </w:r>
      <w:r>
        <w:rPr>
          <w:rFonts w:hint="eastAsia"/>
          <w:b/>
          <w:color w:val="auto"/>
          <w:szCs w:val="21"/>
          <w:highlight w:val="none"/>
        </w:rPr>
        <w:t>修改</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见范本</w:t>
      </w:r>
    </w:p>
    <w:p>
      <w:pPr>
        <w:pBdr>
          <w:bottom w:val="single" w:color="auto" w:sz="6"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见后附：附表四《技术标详细审查评分表》</w:t>
      </w:r>
    </w:p>
    <w:p>
      <w:pPr>
        <w:pStyle w:val="2"/>
        <w:rPr>
          <w:color w:val="auto"/>
          <w:highlight w:val="none"/>
        </w:rPr>
      </w:pP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10"/>
        <w:spacing w:line="360" w:lineRule="auto"/>
        <w:rPr>
          <w:color w:val="auto"/>
          <w:highlight w:val="none"/>
        </w:rPr>
      </w:pPr>
      <w:r>
        <w:rPr>
          <w:color w:val="auto"/>
          <w:highlight w:val="none"/>
        </w:rPr>
        <w:br w:type="page"/>
      </w:r>
    </w:p>
    <w:p>
      <w:pPr>
        <w:pStyle w:val="7"/>
        <w:ind w:firstLine="525"/>
        <w:rPr>
          <w:color w:val="auto"/>
          <w:highlight w:val="none"/>
        </w:rPr>
      </w:pPr>
      <w:bookmarkStart w:id="32" w:name="_Toc23290"/>
      <w:bookmarkStart w:id="33" w:name="_Toc21525500"/>
      <w:bookmarkStart w:id="34" w:name="_Toc2272556"/>
      <w:r>
        <w:rPr>
          <w:rFonts w:hint="eastAsia"/>
          <w:color w:val="auto"/>
          <w:highlight w:val="none"/>
        </w:rPr>
        <w:t>二、开标、评标及定标办法</w:t>
      </w:r>
      <w:r>
        <w:rPr>
          <w:rFonts w:hint="eastAsia"/>
          <w:color w:val="auto"/>
          <w:szCs w:val="30"/>
          <w:highlight w:val="none"/>
        </w:rPr>
        <w:t>通用条款</w:t>
      </w:r>
      <w:bookmarkEnd w:id="32"/>
      <w:bookmarkEnd w:id="33"/>
      <w:bookmarkEnd w:id="34"/>
    </w:p>
    <w:p>
      <w:pPr>
        <w:pStyle w:val="8"/>
        <w:spacing w:before="156" w:after="156"/>
        <w:ind w:firstLine="540" w:firstLineChars="200"/>
        <w:rPr>
          <w:color w:val="auto"/>
          <w:highlight w:val="none"/>
        </w:rPr>
      </w:pPr>
      <w:bookmarkStart w:id="35" w:name="_Toc12405"/>
      <w:bookmarkStart w:id="36" w:name="_Toc22363"/>
      <w:bookmarkStart w:id="37" w:name="_Toc21525501"/>
      <w:bookmarkStart w:id="38" w:name="_Toc2272557"/>
      <w:r>
        <w:rPr>
          <w:rFonts w:hint="eastAsia"/>
          <w:color w:val="auto"/>
          <w:highlight w:val="none"/>
        </w:rPr>
        <w:t>（一）总则</w:t>
      </w:r>
      <w:bookmarkEnd w:id="35"/>
      <w:bookmarkEnd w:id="36"/>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color w:val="auto"/>
          <w:highlight w:val="none"/>
        </w:rPr>
      </w:pPr>
      <w:bookmarkStart w:id="39" w:name="_Toc28130"/>
      <w:bookmarkStart w:id="40" w:name="_Toc19107"/>
      <w:r>
        <w:rPr>
          <w:rFonts w:hint="eastAsia"/>
          <w:color w:val="auto"/>
          <w:highlight w:val="none"/>
        </w:rPr>
        <w:t>（二）开标评标办法程序和细则</w:t>
      </w:r>
      <w:bookmarkEnd w:id="39"/>
      <w:bookmarkEnd w:id="40"/>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注：以下八种评标办法所述企业综合诚信评价分数即投标截止当日广州市工程招标代理行业协会网站上公布的企业综合诚信评价</w:t>
      </w:r>
      <w:r>
        <w:rPr>
          <w:rFonts w:ascii="宋体" w:hAnsi="宋体"/>
          <w:color w:val="auto"/>
          <w:sz w:val="24"/>
          <w:szCs w:val="24"/>
          <w:highlight w:val="none"/>
        </w:rPr>
        <w:t>60</w:t>
      </w:r>
      <w:r>
        <w:rPr>
          <w:rFonts w:hint="eastAsia" w:ascii="宋体" w:hAnsi="宋体"/>
          <w:color w:val="auto"/>
          <w:sz w:val="24"/>
          <w:szCs w:val="24"/>
          <w:highlight w:val="none"/>
        </w:rPr>
        <w:t>日诚信分。</w:t>
      </w:r>
    </w:p>
    <w:p>
      <w:pPr>
        <w:spacing w:line="360" w:lineRule="auto"/>
        <w:ind w:firstLine="420" w:firstLineChars="200"/>
        <w:rPr>
          <w:color w:val="auto"/>
          <w:highlight w:val="none"/>
        </w:rPr>
      </w:pPr>
    </w:p>
    <w:p>
      <w:pPr>
        <w:pStyle w:val="8"/>
        <w:spacing w:before="156" w:after="156"/>
        <w:ind w:firstLine="540" w:firstLineChars="200"/>
        <w:jc w:val="center"/>
        <w:rPr>
          <w:color w:val="auto"/>
          <w:highlight w:val="none"/>
        </w:rPr>
      </w:pPr>
      <w:bookmarkStart w:id="41" w:name="_Toc31410"/>
      <w:bookmarkStart w:id="42" w:name="_Toc21680"/>
      <w:r>
        <w:rPr>
          <w:rFonts w:hint="eastAsia"/>
          <w:color w:val="auto"/>
          <w:highlight w:val="none"/>
        </w:rPr>
        <w:t>（二）开标评标办法程序和细则</w:t>
      </w:r>
      <w:bookmarkEnd w:id="41"/>
      <w:bookmarkEnd w:id="42"/>
    </w:p>
    <w:p>
      <w:pPr>
        <w:pStyle w:val="8"/>
        <w:spacing w:before="156" w:after="156"/>
        <w:ind w:firstLine="540" w:firstLineChars="200"/>
        <w:jc w:val="center"/>
        <w:rPr>
          <w:color w:val="auto"/>
          <w:highlight w:val="none"/>
        </w:rPr>
      </w:pPr>
      <w:bookmarkStart w:id="43" w:name="_Toc30968"/>
      <w:bookmarkStart w:id="44" w:name="_Toc16450"/>
      <w:r>
        <w:rPr>
          <w:rFonts w:hint="eastAsia"/>
          <w:color w:val="auto"/>
          <w:highlight w:val="none"/>
        </w:rPr>
        <w:t>可选办法七（适合综合评分法四，技术标与经济标同时开启）</w:t>
      </w:r>
      <w:bookmarkEnd w:id="43"/>
      <w:bookmarkEnd w:id="44"/>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114300" distR="114300">
            <wp:extent cx="381000" cy="447675"/>
            <wp:effectExtent l="0" t="0" r="0" b="889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114300" distR="114300">
            <wp:extent cx="381000" cy="447675"/>
            <wp:effectExtent l="0" t="0" r="0" b="889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bookmarkEnd w:id="37"/>
      <w:bookmarkEnd w:id="38"/>
      <w:r>
        <w:rPr>
          <w:rFonts w:hint="eastAsia" w:ascii="宋体" w:hAnsi="宋体"/>
          <w:bCs/>
          <w:color w:val="auto"/>
          <w:sz w:val="24"/>
          <w:szCs w:val="24"/>
          <w:highlight w:val="none"/>
          <w:u w:val="single"/>
        </w:rPr>
        <w:t>）。</w:t>
      </w:r>
    </w:p>
    <w:p>
      <w:pPr>
        <w:widowControl/>
        <w:jc w:val="left"/>
        <w:rPr>
          <w:rFonts w:ascii="宋体" w:hAnsi="宋体"/>
          <w:color w:val="auto"/>
          <w:szCs w:val="21"/>
          <w:highlight w:val="none"/>
        </w:rPr>
      </w:pPr>
      <w:r>
        <w:rPr>
          <w:rFonts w:ascii="宋体" w:hAnsi="宋体"/>
          <w:color w:val="auto"/>
          <w:szCs w:val="21"/>
          <w:highlight w:val="none"/>
        </w:rPr>
        <w:br w:type="page"/>
      </w: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default"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default"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default"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numPr>
                <w:ilvl w:val="255"/>
                <w:numId w:val="0"/>
              </w:numPr>
              <w:suppressLineNumbers w:val="0"/>
              <w:spacing w:before="120" w:beforeAutospacing="0" w:after="60" w:afterAutospacing="0"/>
              <w:ind w:left="0" w:right="0"/>
              <w:rPr>
                <w:rFonts w:hint="default" w:ascii="宋体" w:hAnsi="宋体"/>
                <w:color w:val="auto"/>
                <w:szCs w:val="21"/>
                <w:highlight w:val="none"/>
              </w:rPr>
            </w:pPr>
            <w:r>
              <w:rPr>
                <w:rFonts w:hint="eastAsia" w:ascii="宋体" w:hAnsi="宋体"/>
                <w:color w:val="auto"/>
                <w:szCs w:val="21"/>
                <w:highlight w:val="none"/>
              </w:rPr>
              <w:t>资质证书及安全生产许可证在广州市住建行业信用管理平台内上传件；</w:t>
            </w:r>
          </w:p>
          <w:p>
            <w:pPr>
              <w:keepNext w:val="0"/>
              <w:keepLines w:val="0"/>
              <w:numPr>
                <w:ilvl w:val="255"/>
                <w:numId w:val="0"/>
              </w:numPr>
              <w:suppressLineNumbers w:val="0"/>
              <w:spacing w:before="120" w:beforeAutospacing="0" w:after="60" w:afterAutospacing="0"/>
              <w:ind w:left="0" w:right="0"/>
              <w:rPr>
                <w:rFonts w:hint="default" w:ascii="宋体" w:hAnsi="宋体"/>
                <w:color w:val="auto"/>
                <w:szCs w:val="21"/>
                <w:highlight w:val="none"/>
              </w:rPr>
            </w:pPr>
            <w:r>
              <w:rPr>
                <w:rFonts w:hint="eastAsia" w:ascii="宋体" w:hAnsi="宋体" w:cs="宋体"/>
                <w:color w:val="auto"/>
                <w:szCs w:val="21"/>
                <w:highlight w:val="none"/>
              </w:rPr>
              <w:t>《承装(修、试)电力设施许可证》在</w:t>
            </w:r>
            <w:r>
              <w:rPr>
                <w:rFonts w:hint="eastAsia" w:ascii="宋体" w:hAnsi="宋体"/>
                <w:color w:val="auto"/>
                <w:szCs w:val="21"/>
                <w:highlight w:val="none"/>
              </w:rPr>
              <w:t>广州市住建行业信用管理平台内上传件</w:t>
            </w:r>
            <w:r>
              <w:rPr>
                <w:rFonts w:hint="eastAsia" w:ascii="宋体" w:hAnsi="宋体" w:cs="宋体"/>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default" w:ascii="宋体" w:hAnsi="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使用有效期内的注册建造师注册证书在广州市住建行业信用平台内上传件。</w:t>
            </w:r>
          </w:p>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default" w:ascii="宋体" w:hAnsi="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拟委托技术负责人的相关证书、资料（</w:t>
            </w:r>
            <w:r>
              <w:rPr>
                <w:rFonts w:hint="eastAsia" w:ascii="宋体" w:hAnsi="宋体"/>
                <w:color w:val="auto"/>
                <w:szCs w:val="21"/>
                <w:highlight w:val="none"/>
                <w:u w:val="single"/>
              </w:rPr>
              <w:t>原件扫描件</w:t>
            </w:r>
            <w:r>
              <w:rPr>
                <w:rFonts w:hint="eastAsia" w:ascii="宋体" w:hAnsi="宋体"/>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s="宋体"/>
                <w:color w:val="auto"/>
                <w:szCs w:val="21"/>
                <w:highlight w:val="none"/>
                <w:shd w:val="clear" w:color="auto" w:fill="FFFFFF"/>
              </w:rPr>
              <w:t>专职安全员须具有在有效期内的安全生产考核合格证</w:t>
            </w:r>
            <w:r>
              <w:rPr>
                <w:rFonts w:hint="eastAsia" w:ascii="宋体" w:hAnsi="宋体" w:cs="宋体"/>
                <w:color w:val="auto"/>
                <w:szCs w:val="21"/>
                <w:highlight w:val="none"/>
                <w:u w:val="single"/>
                <w:shd w:val="clear" w:color="auto" w:fill="FFFFFF"/>
              </w:rPr>
              <w:t>（C类）</w:t>
            </w:r>
            <w:r>
              <w:rPr>
                <w:rFonts w:hint="eastAsia" w:ascii="宋体" w:hAnsi="宋体" w:cs="宋体"/>
                <w:color w:val="auto"/>
                <w:szCs w:val="21"/>
                <w:highlight w:val="none"/>
                <w:shd w:val="clear" w:color="auto" w:fill="FFFFFF"/>
              </w:rPr>
              <w:t>或建筑施工企业专职安全生产管理人员安全生产考核合格证</w:t>
            </w:r>
            <w:r>
              <w:rPr>
                <w:rFonts w:hint="eastAsia" w:ascii="宋体" w:hAnsi="宋体" w:cs="宋体"/>
                <w:color w:val="auto"/>
                <w:szCs w:val="21"/>
                <w:highlight w:val="none"/>
                <w:u w:val="single"/>
                <w:shd w:val="clear" w:color="auto" w:fill="FFFFFF"/>
              </w:rPr>
              <w:t>（C3）</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专职安全员的安全生产考核合格证（</w:t>
            </w:r>
            <w:r>
              <w:rPr>
                <w:rFonts w:hint="default" w:ascii="宋体" w:hAnsi="宋体"/>
                <w:color w:val="auto"/>
                <w:szCs w:val="21"/>
                <w:highlight w:val="none"/>
              </w:rPr>
              <w:t>C</w:t>
            </w:r>
            <w:r>
              <w:rPr>
                <w:rFonts w:hint="eastAsia" w:ascii="宋体" w:hAnsi="宋体"/>
                <w:color w:val="auto"/>
                <w:szCs w:val="21"/>
                <w:highlight w:val="none"/>
              </w:rPr>
              <w:t>类或C3类）或建筑施工企业专职安全生产管理人员安全生产考核合格证在广州市住建行业信用管理平台内上传件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u w:val="single"/>
              </w:rPr>
            </w:pPr>
            <w:r>
              <w:rPr>
                <w:rFonts w:hint="eastAsia" w:ascii="宋体" w:hAnsi="宋体" w:cs="宋体"/>
                <w:color w:val="auto"/>
                <w:szCs w:val="21"/>
                <w:highlight w:val="none"/>
                <w:u w:val="single"/>
              </w:rPr>
              <w:t>关于联合体投标：本项目不接受联合体投标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u w:val="single"/>
              </w:rPr>
            </w:pPr>
            <w:r>
              <w:rPr>
                <w:rFonts w:hint="eastAsia" w:ascii="宋体" w:hAnsi="宋体" w:cs="宋体"/>
                <w:color w:val="auto"/>
                <w:szCs w:val="21"/>
                <w:highlight w:val="none"/>
                <w:u w:val="single"/>
              </w:rPr>
              <w:t>未以联合体进行投标</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11</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资格审查前，投标人须</w:t>
            </w:r>
            <w:r>
              <w:rPr>
                <w:rFonts w:hint="default" w:ascii="宋体" w:hAnsi="宋体"/>
                <w:color w:val="auto"/>
                <w:szCs w:val="21"/>
                <w:highlight w:val="none"/>
              </w:rPr>
              <w:t>在</w:t>
            </w:r>
            <w:r>
              <w:rPr>
                <w:rFonts w:hint="eastAsia" w:ascii="宋体" w:hAnsi="宋体"/>
                <w:color w:val="auto"/>
                <w:szCs w:val="21"/>
                <w:highlight w:val="none"/>
              </w:rPr>
              <w:t>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default" w:ascii="宋体" w:hAnsi="宋体"/>
                <w:color w:val="auto"/>
                <w:szCs w:val="21"/>
                <w:highlight w:val="none"/>
              </w:rPr>
              <w:t>1</w:t>
            </w:r>
            <w:r>
              <w:rPr>
                <w:rFonts w:hint="eastAsia"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r>
              <w:rPr>
                <w:rFonts w:hint="default" w:ascii="宋体" w:hAnsi="宋体"/>
                <w:color w:val="auto"/>
                <w:szCs w:val="21"/>
                <w:highlight w:val="none"/>
              </w:rPr>
              <w:t>1</w:t>
            </w:r>
            <w:r>
              <w:rPr>
                <w:rFonts w:hint="eastAsia"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u w:val="single"/>
              </w:rPr>
            </w:pPr>
            <w:r>
              <w:rPr>
                <w:rFonts w:hint="eastAsia" w:ascii="宋体" w:hAnsi="宋体" w:cs="宋体"/>
                <w:color w:val="auto"/>
                <w:szCs w:val="21"/>
                <w:highlight w:val="none"/>
                <w:u w:val="single"/>
              </w:rPr>
              <w:t>未被纳入失信联合惩戒名单且被限制参加财政投资工程或政府投资工程或建设工程投标的（具体名单以递交投标文件截止时间“信用广州”https://credit1.gz.gov.cn/sgs/sgsXkNew 公布的“失信黑名单”为准）</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cs="宋体"/>
                <w:color w:val="auto"/>
                <w:szCs w:val="21"/>
                <w:highlight w:val="non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120" w:beforeAutospacing="0" w:after="60" w:afterAutospacing="0"/>
              <w:ind w:left="0" w:right="0"/>
              <w:jc w:val="center"/>
              <w:rPr>
                <w:rFonts w:hint="default" w:ascii="宋体" w:hAnsi="宋体"/>
                <w:color w:val="auto"/>
                <w:szCs w:val="21"/>
                <w:highlight w:val="none"/>
              </w:rPr>
            </w:pPr>
          </w:p>
        </w:tc>
      </w:tr>
    </w:tbl>
    <w:p>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spacing w:line="480" w:lineRule="auto"/>
        <w:ind w:firstLine="470" w:firstLineChars="224"/>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pStyle w:val="2"/>
        <w:spacing w:line="48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pStyle w:val="2"/>
        <w:rPr>
          <w:color w:val="auto"/>
          <w:highlight w:val="none"/>
        </w:rPr>
      </w:pPr>
    </w:p>
    <w:p>
      <w:pPr>
        <w:pStyle w:val="2"/>
        <w:rPr>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rPr>
          <w:color w:val="auto"/>
          <w:szCs w:val="21"/>
          <w:highlight w:val="none"/>
        </w:rPr>
      </w:pPr>
      <w:r>
        <w:rPr>
          <w:rFonts w:hint="eastAsia"/>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投标人</w:t>
            </w:r>
          </w:p>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评审内容</w:t>
            </w:r>
          </w:p>
        </w:tc>
        <w:tc>
          <w:tcPr>
            <w:tcW w:w="160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w:t>
            </w:r>
          </w:p>
        </w:tc>
        <w:tc>
          <w:tcPr>
            <w:tcW w:w="4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highlight w:val="none"/>
                <w:u w:val="single"/>
              </w:rPr>
              <w:t>《广州建设工程施工招标投标书》中的总工期不符合招标文件要求的；</w:t>
            </w:r>
          </w:p>
        </w:tc>
        <w:tc>
          <w:tcPr>
            <w:tcW w:w="160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2</w:t>
            </w:r>
          </w:p>
        </w:tc>
        <w:tc>
          <w:tcPr>
            <w:tcW w:w="4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highlight w:val="none"/>
                <w:u w:val="single"/>
              </w:rPr>
              <w:t>《广州建设工程施工招标投标书》中的工程质量标准不符合招标文件要求的；</w:t>
            </w:r>
          </w:p>
        </w:tc>
        <w:tc>
          <w:tcPr>
            <w:tcW w:w="160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w:t>
            </w:r>
          </w:p>
        </w:tc>
        <w:tc>
          <w:tcPr>
            <w:tcW w:w="4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4</w:t>
            </w:r>
          </w:p>
        </w:tc>
        <w:tc>
          <w:tcPr>
            <w:tcW w:w="4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olor w:val="auto"/>
                <w:szCs w:val="21"/>
                <w:highlight w:val="none"/>
              </w:rPr>
              <w:t>投标文件未</w:t>
            </w:r>
            <w:r>
              <w:rPr>
                <w:rFonts w:hint="eastAsia" w:ascii="宋体" w:hAnsi="宋体"/>
                <w:color w:val="auto"/>
                <w:szCs w:val="21"/>
                <w:highlight w:val="none"/>
                <w:u w:val="single"/>
              </w:rPr>
              <w:t>招标</w:t>
            </w:r>
            <w:r>
              <w:rPr>
                <w:rFonts w:hint="default" w:ascii="宋体" w:hAnsi="宋体"/>
                <w:color w:val="auto"/>
                <w:szCs w:val="21"/>
                <w:highlight w:val="none"/>
                <w:u w:val="single"/>
              </w:rPr>
              <w:t>文件第四章</w:t>
            </w:r>
            <w:r>
              <w:rPr>
                <w:rFonts w:hint="eastAsia" w:ascii="宋体" w:hAnsi="宋体"/>
                <w:color w:val="auto"/>
                <w:szCs w:val="21"/>
                <w:highlight w:val="none"/>
              </w:rPr>
              <w:t>按规定的格式填写，或主要内容不全，或关键字迹模糊、无法辨认的；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5</w:t>
            </w:r>
          </w:p>
        </w:tc>
        <w:tc>
          <w:tcPr>
            <w:tcW w:w="4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6</w:t>
            </w:r>
          </w:p>
        </w:tc>
        <w:tc>
          <w:tcPr>
            <w:tcW w:w="4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7</w:t>
            </w:r>
          </w:p>
        </w:tc>
        <w:tc>
          <w:tcPr>
            <w:tcW w:w="4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cs="宋体"/>
                <w:color w:val="auto"/>
                <w:szCs w:val="21"/>
                <w:highlight w:val="none"/>
                <w:u w:val="single"/>
              </w:rPr>
              <w:t>无《危险性较大的分部分项工程安全管理措施》的</w:t>
            </w:r>
          </w:p>
        </w:tc>
        <w:tc>
          <w:tcPr>
            <w:tcW w:w="160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8</w:t>
            </w:r>
          </w:p>
        </w:tc>
        <w:tc>
          <w:tcPr>
            <w:tcW w:w="4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strike/>
                <w:color w:val="auto"/>
                <w:szCs w:val="21"/>
                <w:highlight w:val="none"/>
              </w:rPr>
            </w:pPr>
            <w:r>
              <w:rPr>
                <w:rFonts w:hint="eastAsia" w:ascii="宋体" w:hAnsi="宋体"/>
                <w:strike/>
                <w:color w:val="auto"/>
                <w:szCs w:val="21"/>
                <w:highlight w:val="none"/>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strike/>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strike/>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strike/>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strike/>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strike/>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9</w:t>
            </w:r>
          </w:p>
        </w:tc>
        <w:tc>
          <w:tcPr>
            <w:tcW w:w="429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c>
          <w:tcPr>
            <w:tcW w:w="1603"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pacing w:before="0" w:beforeAutospacing="0" w:after="0" w:afterAutospacing="0"/>
              <w:ind w:left="0" w:right="0"/>
              <w:rPr>
                <w:rFonts w:hint="default" w:ascii="宋体" w:hAnsi="宋体"/>
                <w:color w:val="auto"/>
                <w:szCs w:val="21"/>
                <w:highlight w:val="none"/>
              </w:rPr>
            </w:pPr>
          </w:p>
        </w:tc>
      </w:tr>
    </w:tbl>
    <w:p>
      <w:pPr>
        <w:rPr>
          <w:rFonts w:hint="eastAsia"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hint="eastAsia"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pPr>
        <w:rPr>
          <w:rFonts w:hint="eastAsia" w:ascii="宋体" w:hAnsi="宋体"/>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6"/>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 xml:space="preserve">               </w:t>
            </w:r>
            <w:r>
              <w:rPr>
                <w:rFonts w:hint="eastAsia" w:ascii="宋体" w:hAnsi="宋体"/>
                <w:color w:val="auto"/>
                <w:szCs w:val="21"/>
                <w:highlight w:val="none"/>
              </w:rPr>
              <w:t>投标人</w:t>
            </w:r>
          </w:p>
          <w:p>
            <w:pPr>
              <w:keepNext w:val="0"/>
              <w:keepLines w:val="0"/>
              <w:suppressLineNumbers w:val="0"/>
              <w:spacing w:before="0" w:beforeAutospacing="0" w:after="0" w:afterAutospacing="0"/>
              <w:ind w:left="0" w:right="0"/>
              <w:rPr>
                <w:rFonts w:hint="default" w:ascii="宋体" w:hAnsi="宋体"/>
                <w:color w:val="auto"/>
                <w:szCs w:val="21"/>
                <w:highlight w:val="none"/>
              </w:rPr>
            </w:pPr>
          </w:p>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default" w:ascii="宋体" w:hAnsi="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s="宋体"/>
                <w:color w:val="auto"/>
                <w:highlight w:val="none"/>
              </w:rPr>
              <w:t>投标报价高于最高投标限价</w:t>
            </w:r>
            <w:r>
              <w:rPr>
                <w:rFonts w:hint="eastAsia" w:ascii="宋体" w:hAnsi="宋体"/>
                <w:color w:val="auto"/>
                <w:szCs w:val="21"/>
                <w:highlight w:val="none"/>
              </w:rPr>
              <w:t>的</w:t>
            </w:r>
            <w:r>
              <w:rPr>
                <w:rFonts w:hint="eastAsia" w:ascii="宋体" w:hAnsi="宋体" w:cs="宋体"/>
                <w:color w:val="auto"/>
                <w:highlight w:val="none"/>
              </w:rPr>
              <w:t>；</w:t>
            </w: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投标综合单价高于综合单价限价的；</w:t>
            </w: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2" w:leftChars="-1" w:right="0"/>
              <w:jc w:val="left"/>
              <w:rPr>
                <w:rFonts w:hint="default" w:ascii="宋体" w:hAnsi="宋体"/>
                <w:color w:val="auto"/>
                <w:szCs w:val="21"/>
                <w:highlight w:val="none"/>
              </w:rPr>
            </w:pPr>
            <w:r>
              <w:rPr>
                <w:rFonts w:hint="eastAsia" w:ascii="宋体" w:hAnsi="宋体" w:cs="宋体"/>
                <w:color w:val="auto"/>
                <w:highlight w:val="none"/>
                <w:u w:val="single"/>
              </w:rPr>
              <w:t>投标报价低于成本警戒价的（投标人的报价明显低于其他投标报价或者在设有标底时明显低于标底，使得其投标报价可能低于其个别成本，又不能合理说明或者不能提供相关证明材料的，由评标委员会认定该投标人以低于成本报价竞标的）；</w:t>
            </w: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olor w:val="auto"/>
                <w:szCs w:val="21"/>
                <w:highlight w:val="none"/>
              </w:rPr>
              <w:t>投标文件未按</w:t>
            </w:r>
            <w:r>
              <w:rPr>
                <w:rFonts w:hint="eastAsia" w:ascii="宋体" w:hAnsi="宋体"/>
                <w:color w:val="auto"/>
                <w:szCs w:val="21"/>
                <w:highlight w:val="none"/>
                <w:u w:val="single"/>
              </w:rPr>
              <w:t>招标</w:t>
            </w:r>
            <w:r>
              <w:rPr>
                <w:rFonts w:hint="default" w:ascii="宋体" w:hAnsi="宋体"/>
                <w:color w:val="auto"/>
                <w:szCs w:val="21"/>
                <w:highlight w:val="none"/>
                <w:u w:val="single"/>
              </w:rPr>
              <w:t>文件第四章</w:t>
            </w:r>
            <w:r>
              <w:rPr>
                <w:rFonts w:hint="eastAsia" w:ascii="宋体" w:hAnsi="宋体"/>
                <w:color w:val="auto"/>
                <w:szCs w:val="21"/>
                <w:highlight w:val="none"/>
              </w:rPr>
              <w:t>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10</w:t>
            </w:r>
          </w:p>
        </w:tc>
        <w:tc>
          <w:tcPr>
            <w:tcW w:w="6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11</w:t>
            </w:r>
          </w:p>
        </w:tc>
        <w:tc>
          <w:tcPr>
            <w:tcW w:w="61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09" w:beforeLines="35" w:beforeAutospacing="0" w:after="109" w:afterLines="35" w:afterAutospacing="0"/>
              <w:ind w:left="0" w:right="0"/>
              <w:rPr>
                <w:rFonts w:hint="default"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pStyle w:val="2"/>
        <w:ind w:firstLine="420" w:firstLineChars="200"/>
        <w:rPr>
          <w:color w:val="auto"/>
          <w:highlight w:val="none"/>
        </w:rPr>
      </w:pPr>
      <w:r>
        <w:rPr>
          <w:rFonts w:hint="eastAsia"/>
          <w:color w:val="auto"/>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color w:val="auto"/>
          <w:szCs w:val="21"/>
          <w:highlight w:val="none"/>
        </w:rPr>
        <w:t>评委签名：</w:t>
      </w:r>
    </w:p>
    <w:p>
      <w:pPr>
        <w:rPr>
          <w:color w:val="auto"/>
          <w:szCs w:val="21"/>
          <w:highlight w:val="none"/>
        </w:rPr>
      </w:pPr>
      <w:r>
        <w:rPr>
          <w:rFonts w:hint="eastAsia"/>
          <w:color w:val="auto"/>
          <w:szCs w:val="21"/>
          <w:highlight w:val="none"/>
        </w:rPr>
        <w:t>附表四</w:t>
      </w:r>
    </w:p>
    <w:p>
      <w:pPr>
        <w:jc w:val="center"/>
        <w:rPr>
          <w:b/>
          <w:color w:val="auto"/>
          <w:sz w:val="36"/>
          <w:szCs w:val="36"/>
          <w:highlight w:val="none"/>
        </w:rPr>
      </w:pPr>
      <w:r>
        <w:rPr>
          <w:rFonts w:hint="eastAsia"/>
          <w:b/>
          <w:color w:val="auto"/>
          <w:sz w:val="36"/>
          <w:szCs w:val="36"/>
          <w:highlight w:val="none"/>
        </w:rPr>
        <w:t>技术标详细审查评分表(权重20%)</w:t>
      </w:r>
    </w:p>
    <w:tbl>
      <w:tblPr>
        <w:tblStyle w:val="36"/>
        <w:tblW w:w="15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1251"/>
        <w:gridCol w:w="1906"/>
        <w:gridCol w:w="671"/>
        <w:gridCol w:w="1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84"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76" w:lineRule="auto"/>
              <w:ind w:left="0" w:right="0"/>
              <w:jc w:val="center"/>
              <w:rPr>
                <w:rFonts w:hint="default" w:ascii="宋体" w:hAnsi="宋体" w:eastAsia="宋体" w:cs="宋体"/>
                <w:color w:val="auto"/>
                <w:kern w:val="0"/>
                <w:szCs w:val="21"/>
                <w:highlight w:val="none"/>
                <w:shd w:val="clear" w:fill="FFFFFF"/>
                <w:lang w:val="zh-TW" w:eastAsia="zh-TW"/>
              </w:rPr>
            </w:pPr>
            <w:r>
              <w:rPr>
                <w:rFonts w:hint="eastAsia" w:ascii="宋体" w:hAnsi="宋体" w:eastAsia="宋体" w:cs="宋体"/>
                <w:bCs/>
                <w:color w:val="auto"/>
                <w:kern w:val="0"/>
                <w:sz w:val="21"/>
                <w:szCs w:val="21"/>
                <w:highlight w:val="none"/>
                <w:lang w:val="en-US" w:eastAsia="zh-CN" w:bidi="ar"/>
              </w:rPr>
              <w:t>评分项目</w:t>
            </w:r>
          </w:p>
        </w:tc>
        <w:tc>
          <w:tcPr>
            <w:tcW w:w="19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76" w:lineRule="auto"/>
              <w:ind w:left="0" w:right="0"/>
              <w:jc w:val="center"/>
              <w:rPr>
                <w:rFonts w:hint="default" w:ascii="宋体" w:hAnsi="宋体" w:eastAsia="宋体" w:cs="宋体"/>
                <w:b/>
                <w:bCs/>
                <w:color w:val="auto"/>
                <w:szCs w:val="21"/>
                <w:highlight w:val="none"/>
                <w:lang w:val="en-US"/>
              </w:rPr>
            </w:pPr>
            <w:r>
              <w:rPr>
                <w:rFonts w:hint="eastAsia" w:ascii="宋体" w:hAnsi="宋体" w:eastAsia="宋体" w:cs="宋体"/>
                <w:bCs/>
                <w:color w:val="auto"/>
                <w:kern w:val="0"/>
                <w:sz w:val="21"/>
                <w:szCs w:val="21"/>
                <w:highlight w:val="none"/>
                <w:lang w:val="en-US" w:eastAsia="zh-CN" w:bidi="ar"/>
              </w:rPr>
              <w:t>评分内容</w:t>
            </w: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76" w:lineRule="auto"/>
              <w:ind w:left="0" w:right="0"/>
              <w:jc w:val="center"/>
              <w:rPr>
                <w:rFonts w:hint="default" w:ascii="宋体" w:hAnsi="宋体" w:eastAsia="宋体" w:cs="宋体"/>
                <w:color w:val="auto"/>
                <w:kern w:val="0"/>
                <w:szCs w:val="21"/>
                <w:highlight w:val="none"/>
                <w:lang w:val="en-US"/>
              </w:rPr>
            </w:pPr>
            <w:r>
              <w:rPr>
                <w:rFonts w:hint="eastAsia" w:ascii="宋体" w:hAnsi="宋体" w:eastAsia="宋体" w:cs="宋体"/>
                <w:bCs/>
                <w:color w:val="auto"/>
                <w:kern w:val="0"/>
                <w:sz w:val="21"/>
                <w:szCs w:val="21"/>
                <w:highlight w:val="none"/>
                <w:lang w:val="en-US" w:eastAsia="zh-CN" w:bidi="ar"/>
              </w:rPr>
              <w:t>分值</w:t>
            </w:r>
          </w:p>
        </w:tc>
        <w:tc>
          <w:tcPr>
            <w:tcW w:w="115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76" w:lineRule="auto"/>
              <w:ind w:left="0" w:right="0"/>
              <w:jc w:val="center"/>
              <w:rPr>
                <w:rFonts w:hint="default" w:ascii="宋体" w:hAnsi="宋体" w:eastAsia="宋体" w:cs="宋体"/>
                <w:color w:val="auto"/>
                <w:szCs w:val="21"/>
                <w:highlight w:val="none"/>
                <w:lang w:val="en-US"/>
              </w:rPr>
            </w:pPr>
            <w:r>
              <w:rPr>
                <w:rFonts w:hint="eastAsia" w:ascii="宋体" w:hAnsi="宋体" w:eastAsia="宋体" w:cs="宋体"/>
                <w:bCs/>
                <w:color w:val="auto"/>
                <w:kern w:val="0"/>
                <w:sz w:val="21"/>
                <w:szCs w:val="21"/>
                <w:highlight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279" w:hRule="atLeast"/>
          <w:jc w:val="center"/>
        </w:trPr>
        <w:tc>
          <w:tcPr>
            <w:tcW w:w="125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shd w:val="clear" w:fill="FFFFFF"/>
                <w:lang w:val="zh-TW" w:eastAsia="zh-CN" w:bidi="ar"/>
              </w:rPr>
              <w:t>项目管理机构能力</w:t>
            </w:r>
            <w:r>
              <w:rPr>
                <w:rFonts w:hint="eastAsia" w:ascii="宋体" w:hAnsi="宋体" w:eastAsia="宋体" w:cs="Century Schoolbook"/>
                <w:bCs/>
                <w:color w:val="auto"/>
                <w:spacing w:val="10"/>
                <w:kern w:val="0"/>
                <w:sz w:val="21"/>
                <w:szCs w:val="21"/>
                <w:highlight w:val="none"/>
                <w:shd w:val="clear" w:fill="FFFFFF"/>
                <w:lang w:val="en-US" w:eastAsia="zh-CN" w:bidi="ar"/>
              </w:rPr>
              <w:t>(70</w:t>
            </w:r>
            <w:r>
              <w:rPr>
                <w:rFonts w:hint="eastAsia" w:ascii="宋体" w:hAnsi="宋体" w:eastAsia="宋体" w:cs="宋体"/>
                <w:color w:val="auto"/>
                <w:kern w:val="0"/>
                <w:sz w:val="21"/>
                <w:szCs w:val="21"/>
                <w:highlight w:val="none"/>
                <w:shd w:val="clear" w:fill="FFFFFF"/>
                <w:lang w:val="zh-TW" w:eastAsia="zh-CN" w:bidi="ar"/>
              </w:rPr>
              <w:t>分</w:t>
            </w:r>
            <w:r>
              <w:rPr>
                <w:rFonts w:hint="eastAsia" w:ascii="宋体" w:hAnsi="宋体" w:eastAsia="宋体" w:cs="宋体"/>
                <w:color w:val="auto"/>
                <w:kern w:val="0"/>
                <w:sz w:val="21"/>
                <w:szCs w:val="21"/>
                <w:highlight w:val="none"/>
                <w:shd w:val="clear" w:fill="FFFFFF"/>
                <w:lang w:val="zh-TW" w:eastAsia="zh-TW" w:bidi="ar"/>
              </w:rPr>
              <w:t>)</w:t>
            </w:r>
          </w:p>
        </w:tc>
        <w:tc>
          <w:tcPr>
            <w:tcW w:w="19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1" w:after="0" w:afterAutospacing="1" w:line="408" w:lineRule="auto"/>
              <w:ind w:left="0" w:right="0"/>
              <w:jc w:val="center"/>
              <w:rPr>
                <w:rFonts w:hint="default" w:ascii="宋体" w:hAnsi="宋体" w:eastAsia="宋体" w:cs="宋体"/>
                <w:b/>
                <w:bCs/>
                <w:color w:val="auto"/>
                <w:szCs w:val="21"/>
                <w:highlight w:val="none"/>
                <w:lang w:val="en-US"/>
              </w:rPr>
            </w:pPr>
            <w:r>
              <w:rPr>
                <w:rStyle w:val="127"/>
                <w:rFonts w:hint="eastAsia" w:ascii="宋体" w:hAnsi="宋体" w:eastAsia="宋体" w:cs="宋体"/>
                <w:b/>
                <w:bCs/>
                <w:color w:val="auto"/>
                <w:kern w:val="2"/>
                <w:sz w:val="21"/>
                <w:szCs w:val="21"/>
                <w:highlight w:val="none"/>
                <w:lang w:val="en-US" w:eastAsia="zh-CN" w:bidi="ar"/>
              </w:rPr>
              <w:t>技术负责人</w:t>
            </w: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1" w:after="0" w:afterAutospacing="1" w:line="408" w:lineRule="auto"/>
              <w:ind w:left="0" w:right="0"/>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15</w:t>
            </w:r>
          </w:p>
        </w:tc>
        <w:tc>
          <w:tcPr>
            <w:tcW w:w="115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（1）拟委派的技术负责人取得机电类或电气类相关专业高级工程师（或以上）职称10年（含10年）以上的，得15分；</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（2）拟委派的技术负责人取得机电类或电气类相关专业高级工程师（或以上）职称5年至9年的，得10分；</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（3）拟委派的技术负责人取得机电类或电气类相关专业高级工程师（或以上）职称5年以下（不含5年）的，得5分；</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不满足前述条件的本小项不得分。本小项最高得15分。</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注：须提供职称证书扫描件，时间以发证时间为准，否则不得分。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279"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9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line="408" w:lineRule="auto"/>
              <w:ind w:left="0" w:right="0"/>
              <w:jc w:val="center"/>
              <w:rPr>
                <w:rFonts w:hint="default" w:ascii="宋体" w:hAnsi="宋体" w:eastAsia="宋体" w:cs="宋体"/>
                <w:b/>
                <w:bCs/>
                <w:color w:val="auto"/>
                <w:szCs w:val="21"/>
                <w:highlight w:val="none"/>
                <w:lang w:val="en-US"/>
              </w:rPr>
            </w:pPr>
            <w:r>
              <w:rPr>
                <w:rStyle w:val="127"/>
                <w:rFonts w:hint="eastAsia" w:ascii="宋体" w:hAnsi="宋体" w:eastAsia="宋体" w:cs="宋体"/>
                <w:b/>
                <w:bCs/>
                <w:color w:val="auto"/>
                <w:kern w:val="2"/>
                <w:sz w:val="21"/>
                <w:szCs w:val="21"/>
                <w:highlight w:val="none"/>
                <w:lang w:val="en-US" w:eastAsia="zh-CN" w:bidi="ar"/>
              </w:rPr>
              <w:t>质量负责人</w:t>
            </w: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1" w:after="0" w:afterAutospacing="1" w:line="408" w:lineRule="auto"/>
              <w:ind w:left="0" w:right="0"/>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15</w:t>
            </w:r>
          </w:p>
        </w:tc>
        <w:tc>
          <w:tcPr>
            <w:tcW w:w="115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（1）拟委派的质量负责人具有机电类或电气类相关专业高级工程师（或以上）职称的，得10分；具有机电类或电气类相关专业工程师职称的，得5分；不满足前述条件的本小项不得分。本小项最高得10分。</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（2）拟委派的质量负责人工作年限10年（或以上）的，得5分；5年至9年的，得3分；5年以下（不含5年）的，得1分；不满足前述条件的本小项不得分。本小项最高得5分。</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注：①须提供职称证书扫描件，否则不得分。</w:t>
            </w:r>
          </w:p>
          <w:p>
            <w:pPr>
              <w:keepNext w:val="0"/>
              <w:keepLines w:val="0"/>
              <w:widowControl/>
              <w:suppressLineNumbers w:val="0"/>
              <w:spacing w:before="0" w:beforeAutospacing="0" w:after="0" w:afterAutospacing="0"/>
              <w:ind w:left="0" w:right="0" w:firstLine="420" w:firstLineChars="20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②工作年限以</w:t>
            </w:r>
            <w:r>
              <w:rPr>
                <w:rFonts w:hint="eastAsia" w:ascii="宋体" w:hAnsi="宋体" w:cs="宋体"/>
                <w:color w:val="auto"/>
                <w:kern w:val="2"/>
                <w:sz w:val="21"/>
                <w:szCs w:val="22"/>
                <w:highlight w:val="none"/>
                <w:lang w:val="en-US" w:eastAsia="zh-CN" w:bidi="ar"/>
              </w:rPr>
              <w:t>毕业</w:t>
            </w:r>
            <w:r>
              <w:rPr>
                <w:rFonts w:hint="eastAsia" w:ascii="宋体" w:hAnsi="宋体" w:cs="宋体"/>
                <w:color w:val="auto"/>
                <w:kern w:val="2"/>
                <w:sz w:val="21"/>
                <w:szCs w:val="22"/>
                <w:highlight w:val="none"/>
                <w:lang w:val="en-US" w:eastAsia="zh-CN" w:bidi="ar"/>
              </w:rPr>
              <w:t>证书颁发</w:t>
            </w:r>
            <w:r>
              <w:rPr>
                <w:rFonts w:hint="eastAsia" w:ascii="宋体" w:hAnsi="宋体" w:eastAsia="宋体" w:cs="宋体"/>
                <w:color w:val="auto"/>
                <w:kern w:val="2"/>
                <w:sz w:val="21"/>
                <w:szCs w:val="22"/>
                <w:highlight w:val="none"/>
                <w:lang w:val="en-US" w:eastAsia="zh-CN" w:bidi="ar"/>
              </w:rPr>
              <w:t>时间为准，须提供毕业证书扫描件，否则不得分。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279"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9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line="408" w:lineRule="auto"/>
              <w:ind w:left="0" w:right="0"/>
              <w:jc w:val="center"/>
              <w:rPr>
                <w:rFonts w:hint="default" w:ascii="宋体" w:hAnsi="宋体" w:eastAsia="宋体" w:cs="宋体"/>
                <w:b/>
                <w:bCs/>
                <w:color w:val="auto"/>
                <w:szCs w:val="21"/>
                <w:highlight w:val="none"/>
                <w:lang w:val="en-US"/>
              </w:rPr>
            </w:pPr>
            <w:r>
              <w:rPr>
                <w:rStyle w:val="127"/>
                <w:rFonts w:hint="eastAsia" w:ascii="宋体" w:hAnsi="宋体" w:eastAsia="宋体" w:cs="宋体"/>
                <w:b/>
                <w:bCs/>
                <w:color w:val="auto"/>
                <w:kern w:val="2"/>
                <w:sz w:val="21"/>
                <w:szCs w:val="21"/>
                <w:highlight w:val="none"/>
                <w:lang w:val="en-US" w:eastAsia="zh-CN" w:bidi="ar"/>
              </w:rPr>
              <w:t>安全负责人</w:t>
            </w: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1" w:after="0" w:afterAutospacing="1" w:line="408" w:lineRule="auto"/>
              <w:ind w:left="0" w:right="0"/>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15</w:t>
            </w:r>
          </w:p>
        </w:tc>
        <w:tc>
          <w:tcPr>
            <w:tcW w:w="115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（1）拟委派的安全负责人具有注册安全工程师资格且在有效期内，得5分。</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（2）拟委派的安全负责人具有机电类或电气类专业高级工程师（或以上）职称的得5分；具有机电类或电气类专业工程师职称的得3分；不满足前述条件的本小项不得分。本小项最高得5分。</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（3）拟委派的安全负责人工作年限10年（或以上）的，得5分；5年至9年的，得3分；5年以下（不含5年）的，得1分；不满足前述条件的本小项不得分。本小项最高得5分。</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注：①须提供注册安全工程师的注册证、职称证书扫描件，注册安全工程师信息查询网站（http://rmocse.chinasafety.ac.cn/Query.aspx）查询结果网上截图否则不得分。安全负责人与专职安全员不能为同一人。</w:t>
            </w:r>
          </w:p>
          <w:p>
            <w:pPr>
              <w:keepNext w:val="0"/>
              <w:keepLines w:val="0"/>
              <w:widowControl/>
              <w:suppressLineNumbers w:val="0"/>
              <w:spacing w:before="0" w:beforeAutospacing="0" w:after="0" w:afterAutospacing="0"/>
              <w:ind w:left="0" w:right="0" w:firstLine="420" w:firstLineChars="20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②工作年限以</w:t>
            </w:r>
            <w:r>
              <w:rPr>
                <w:rFonts w:hint="eastAsia" w:ascii="宋体" w:hAnsi="宋体" w:cs="宋体"/>
                <w:color w:val="auto"/>
                <w:kern w:val="2"/>
                <w:sz w:val="21"/>
                <w:szCs w:val="22"/>
                <w:highlight w:val="none"/>
                <w:lang w:val="en-US" w:eastAsia="zh-CN" w:bidi="ar"/>
              </w:rPr>
              <w:t>毕业</w:t>
            </w:r>
            <w:r>
              <w:rPr>
                <w:rFonts w:hint="eastAsia" w:ascii="宋体" w:hAnsi="宋体" w:cs="宋体"/>
                <w:color w:val="auto"/>
                <w:kern w:val="2"/>
                <w:sz w:val="21"/>
                <w:szCs w:val="22"/>
                <w:highlight w:val="none"/>
                <w:lang w:val="en-US" w:eastAsia="zh-CN" w:bidi="ar"/>
              </w:rPr>
              <w:t>证书颁发</w:t>
            </w:r>
            <w:r>
              <w:rPr>
                <w:rFonts w:hint="eastAsia" w:ascii="宋体" w:hAnsi="宋体" w:eastAsia="宋体" w:cs="宋体"/>
                <w:color w:val="auto"/>
                <w:kern w:val="2"/>
                <w:sz w:val="21"/>
                <w:szCs w:val="22"/>
                <w:highlight w:val="none"/>
                <w:lang w:val="en-US" w:eastAsia="zh-CN" w:bidi="ar"/>
              </w:rPr>
              <w:t>时间为准，须提供毕业证书扫描件，否则不得分。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914"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9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line="408" w:lineRule="auto"/>
              <w:ind w:left="0" w:right="0"/>
              <w:jc w:val="center"/>
              <w:rPr>
                <w:rFonts w:hint="default" w:ascii="宋体" w:hAnsi="宋体" w:eastAsia="宋体" w:cs="宋体"/>
                <w:b/>
                <w:bCs/>
                <w:color w:val="auto"/>
                <w:szCs w:val="21"/>
                <w:highlight w:val="none"/>
                <w:lang w:val="en-US"/>
              </w:rPr>
            </w:pPr>
            <w:r>
              <w:rPr>
                <w:rStyle w:val="127"/>
                <w:rFonts w:hint="eastAsia" w:ascii="宋体" w:hAnsi="宋体" w:eastAsia="宋体" w:cs="宋体"/>
                <w:b/>
                <w:bCs/>
                <w:color w:val="auto"/>
                <w:kern w:val="2"/>
                <w:sz w:val="21"/>
                <w:szCs w:val="21"/>
                <w:highlight w:val="none"/>
                <w:lang w:val="en-US" w:eastAsia="zh-CN" w:bidi="ar"/>
              </w:rPr>
              <w:t>造价负责人</w:t>
            </w: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1" w:after="0" w:afterAutospacing="1" w:line="408" w:lineRule="auto"/>
              <w:ind w:left="0" w:right="0"/>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15</w:t>
            </w:r>
          </w:p>
        </w:tc>
        <w:tc>
          <w:tcPr>
            <w:tcW w:w="115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（1）拟委派的造价负责人具有安装专业一级注册造价工程师资格且在有效期内的，得5分；不满足前述条件的本小项不得分。本小项最高得5分。</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（2）拟委派的造价负责人具有预结算或造价相关专业工程师（或以上）职称的，得5分；不满足前述条件的本小项不得分。本小项最高得3分。</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（3）拟委派的造价负责人工作年限10年（或以上）的，得5分；5年至9年的，得3分；5年以下（不含5年）的，得1分；不满足前述条件的本小项不得分。本小项最高得5分。</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注：①按照《造价工程师职业资格制度规定》的规定，根据原人事部、原建设部发布的《造价工程师执业资格制度暂行规定》（人发〔1996〕77号）取得的造价工程师执业资格，并经注册且在有限期内的，等同于一级注册造价工程师。</w:t>
            </w:r>
          </w:p>
          <w:p>
            <w:pPr>
              <w:keepNext w:val="0"/>
              <w:keepLines w:val="0"/>
              <w:widowControl/>
              <w:suppressLineNumbers w:val="0"/>
              <w:spacing w:before="0" w:beforeAutospacing="0" w:after="0" w:afterAutospacing="0"/>
              <w:ind w:left="0" w:right="0" w:firstLine="420" w:firstLineChars="20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②投标人须提供注册造价工程师的注册证书、职称证书扫描件、注册造价工程师注册信息查询网站（http://zaojiasys.jianshe99.com/cecaopsys/queryAndSearch/view.do?op=queryUserInfoInit）查询结果网上截图，且执业状态栏显示“正常”的才计分，不提供不得分。</w:t>
            </w:r>
          </w:p>
          <w:p>
            <w:pPr>
              <w:keepNext w:val="0"/>
              <w:keepLines w:val="0"/>
              <w:widowControl/>
              <w:suppressLineNumbers w:val="0"/>
              <w:spacing w:before="0" w:beforeAutospacing="0" w:after="0" w:afterAutospacing="0"/>
              <w:ind w:left="0" w:right="0" w:firstLine="420" w:firstLineChars="200"/>
              <w:jc w:val="left"/>
              <w:rPr>
                <w:rFonts w:hint="default"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③工作年限以</w:t>
            </w:r>
            <w:r>
              <w:rPr>
                <w:rFonts w:hint="eastAsia" w:ascii="宋体" w:hAnsi="宋体" w:cs="宋体"/>
                <w:color w:val="auto"/>
                <w:kern w:val="2"/>
                <w:sz w:val="21"/>
                <w:szCs w:val="22"/>
                <w:highlight w:val="none"/>
                <w:lang w:val="en-US" w:eastAsia="zh-CN" w:bidi="ar"/>
              </w:rPr>
              <w:t>毕业</w:t>
            </w:r>
            <w:r>
              <w:rPr>
                <w:rFonts w:hint="eastAsia" w:ascii="宋体" w:hAnsi="宋体" w:cs="宋体"/>
                <w:color w:val="auto"/>
                <w:kern w:val="2"/>
                <w:sz w:val="21"/>
                <w:szCs w:val="22"/>
                <w:highlight w:val="none"/>
                <w:lang w:val="en-US" w:eastAsia="zh-CN" w:bidi="ar"/>
              </w:rPr>
              <w:t>证书颁发</w:t>
            </w:r>
            <w:r>
              <w:rPr>
                <w:rFonts w:hint="eastAsia" w:ascii="宋体" w:hAnsi="宋体" w:eastAsia="宋体" w:cs="宋体"/>
                <w:color w:val="auto"/>
                <w:kern w:val="2"/>
                <w:sz w:val="21"/>
                <w:szCs w:val="22"/>
                <w:highlight w:val="none"/>
                <w:lang w:val="en-US" w:eastAsia="zh-CN" w:bidi="ar"/>
              </w:rPr>
              <w:t>时间为准，须提供毕业证书扫描件，否则不得分。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094"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9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1" w:after="0" w:afterAutospacing="1" w:line="408" w:lineRule="auto"/>
              <w:ind w:left="0" w:right="0"/>
              <w:jc w:val="center"/>
              <w:rPr>
                <w:rFonts w:hint="default" w:ascii="宋体" w:hAnsi="宋体" w:eastAsia="宋体" w:cs="宋体"/>
                <w:b/>
                <w:bCs/>
                <w:color w:val="auto"/>
                <w:szCs w:val="21"/>
                <w:highlight w:val="none"/>
                <w:lang w:val="zh-TW" w:eastAsia="zh-TW"/>
              </w:rPr>
            </w:pPr>
            <w:r>
              <w:rPr>
                <w:rStyle w:val="127"/>
                <w:rFonts w:hint="eastAsia" w:ascii="宋体" w:hAnsi="宋体" w:eastAsia="宋体" w:cs="宋体"/>
                <w:b/>
                <w:bCs/>
                <w:color w:val="auto"/>
                <w:kern w:val="2"/>
                <w:sz w:val="21"/>
                <w:szCs w:val="21"/>
                <w:highlight w:val="none"/>
                <w:lang w:val="en-US" w:eastAsia="zh-CN" w:bidi="ar"/>
              </w:rPr>
              <w:t>其他人员</w:t>
            </w: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1" w:after="0" w:afterAutospacing="1" w:line="408" w:lineRule="auto"/>
              <w:ind w:left="0" w:right="0"/>
              <w:jc w:val="center"/>
              <w:rPr>
                <w:rFonts w:hint="default" w:ascii="宋体" w:hAnsi="宋体" w:eastAsia="宋体" w:cs="宋体"/>
                <w:color w:val="auto"/>
                <w:kern w:val="0"/>
                <w:szCs w:val="21"/>
                <w:highlight w:val="none"/>
                <w:shd w:val="clear" w:fill="FFFFFF"/>
                <w:lang w:val="en-US"/>
              </w:rPr>
            </w:pPr>
            <w:r>
              <w:rPr>
                <w:rFonts w:hint="eastAsia" w:ascii="宋体" w:hAnsi="宋体" w:eastAsia="宋体" w:cs="宋体"/>
                <w:color w:val="auto"/>
                <w:kern w:val="0"/>
                <w:sz w:val="21"/>
                <w:szCs w:val="21"/>
                <w:highlight w:val="none"/>
                <w:shd w:val="clear" w:fill="FFFFFF"/>
                <w:lang w:val="en-US" w:eastAsia="zh-CN" w:bidi="ar"/>
              </w:rPr>
              <w:t>10</w:t>
            </w:r>
          </w:p>
        </w:tc>
        <w:tc>
          <w:tcPr>
            <w:tcW w:w="115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lang w:val="en-US" w:bidi="ar"/>
              </w:rPr>
            </w:pPr>
            <w:r>
              <w:rPr>
                <w:rFonts w:hint="eastAsia" w:ascii="宋体" w:hAnsi="宋体" w:eastAsia="宋体" w:cs="宋体"/>
                <w:color w:val="auto"/>
                <w:kern w:val="2"/>
                <w:sz w:val="21"/>
                <w:szCs w:val="21"/>
                <w:highlight w:val="none"/>
                <w:lang w:val="en-US" w:eastAsia="zh-CN" w:bidi="ar"/>
              </w:rPr>
              <w:t>投标人拟投入的其他人员（除项目负责人、技术负责人、质量负责人、安全负责人、造价负责人外）中：</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lang w:val="en-US" w:bidi="ar"/>
              </w:rPr>
            </w:pPr>
            <w:r>
              <w:rPr>
                <w:rFonts w:hint="eastAsia" w:ascii="宋体" w:hAnsi="宋体" w:eastAsia="宋体" w:cs="宋体"/>
                <w:color w:val="auto"/>
                <w:kern w:val="2"/>
                <w:sz w:val="21"/>
                <w:szCs w:val="21"/>
                <w:highlight w:val="none"/>
                <w:lang w:val="en-US" w:eastAsia="zh-CN" w:bidi="ar"/>
              </w:rPr>
              <w:t>具有</w:t>
            </w:r>
            <w:r>
              <w:rPr>
                <w:rFonts w:hint="eastAsia" w:ascii="宋体" w:hAnsi="宋体" w:eastAsia="宋体" w:cs="宋体"/>
                <w:color w:val="auto"/>
                <w:kern w:val="2"/>
                <w:sz w:val="21"/>
                <w:szCs w:val="22"/>
                <w:highlight w:val="none"/>
                <w:lang w:val="en-US" w:eastAsia="zh-CN" w:bidi="ar"/>
              </w:rPr>
              <w:t>机电类或电气类专业高级工程师（或以上）职称的，每人加2分，具有机电类或电气类专业工程师职称的，每人加1分，</w:t>
            </w:r>
            <w:r>
              <w:rPr>
                <w:rFonts w:hint="eastAsia" w:ascii="宋体" w:hAnsi="宋体" w:eastAsia="宋体" w:cs="宋体"/>
                <w:color w:val="auto"/>
                <w:kern w:val="2"/>
                <w:sz w:val="21"/>
                <w:szCs w:val="21"/>
                <w:highlight w:val="none"/>
                <w:lang w:val="en-US" w:eastAsia="zh-CN" w:bidi="ar"/>
              </w:rPr>
              <w:t>。</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shd w:val="clear" w:fill="FFFFFF"/>
                <w:lang w:val="zh-TW" w:eastAsia="zh-TW"/>
              </w:rPr>
            </w:pPr>
            <w:r>
              <w:rPr>
                <w:rFonts w:hint="eastAsia" w:ascii="宋体" w:hAnsi="宋体" w:eastAsia="宋体" w:cs="宋体"/>
                <w:color w:val="auto"/>
                <w:kern w:val="2"/>
                <w:sz w:val="21"/>
                <w:szCs w:val="21"/>
                <w:highlight w:val="none"/>
                <w:lang w:val="en-US" w:eastAsia="zh-CN" w:bidi="ar"/>
              </w:rPr>
              <w:t>注：以上人员不得兼任，本项最高得10分。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685" w:hRule="atLeast"/>
          <w:jc w:val="center"/>
        </w:trPr>
        <w:tc>
          <w:tcPr>
            <w:tcW w:w="125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shd w:val="clear" w:fill="FFFFFF"/>
                <w:lang w:val="zh-TW" w:eastAsia="zh-CN" w:bidi="ar"/>
              </w:rPr>
              <w:t>企业资信</w:t>
            </w:r>
            <w:r>
              <w:rPr>
                <w:rFonts w:hint="eastAsia" w:ascii="宋体" w:hAnsi="宋体" w:eastAsia="宋体" w:cs="Century Schoolbook"/>
                <w:bCs/>
                <w:color w:val="auto"/>
                <w:spacing w:val="10"/>
                <w:kern w:val="0"/>
                <w:sz w:val="21"/>
                <w:szCs w:val="21"/>
                <w:highlight w:val="none"/>
                <w:shd w:val="clear" w:fill="FFFFFF"/>
                <w:lang w:val="en-US" w:eastAsia="zh-CN" w:bidi="ar"/>
              </w:rPr>
              <w:t>(30</w:t>
            </w:r>
            <w:r>
              <w:rPr>
                <w:rFonts w:hint="eastAsia" w:ascii="宋体" w:hAnsi="宋体" w:eastAsia="宋体" w:cs="宋体"/>
                <w:color w:val="auto"/>
                <w:kern w:val="0"/>
                <w:sz w:val="21"/>
                <w:szCs w:val="21"/>
                <w:highlight w:val="none"/>
                <w:shd w:val="clear" w:fill="FFFFFF"/>
                <w:lang w:val="zh-TW" w:eastAsia="zh-CN" w:bidi="ar"/>
              </w:rPr>
              <w:t>分</w:t>
            </w:r>
            <w:r>
              <w:rPr>
                <w:rFonts w:hint="eastAsia" w:ascii="宋体" w:hAnsi="宋体" w:eastAsia="宋体" w:cs="Century Schoolbook"/>
                <w:bCs/>
                <w:color w:val="auto"/>
                <w:spacing w:val="10"/>
                <w:kern w:val="0"/>
                <w:sz w:val="21"/>
                <w:szCs w:val="21"/>
                <w:highlight w:val="none"/>
                <w:shd w:val="clear" w:fill="FFFFFF"/>
                <w:lang w:val="en-US" w:eastAsia="zh-CN" w:bidi="ar"/>
              </w:rPr>
              <w:t>)</w:t>
            </w:r>
          </w:p>
        </w:tc>
        <w:tc>
          <w:tcPr>
            <w:tcW w:w="19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企业业绩</w:t>
            </w: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w:t>
            </w:r>
          </w:p>
        </w:tc>
        <w:tc>
          <w:tcPr>
            <w:tcW w:w="115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tabs>
                <w:tab w:val="left" w:pos="1526"/>
              </w:tabs>
              <w:adjustRightInd w:val="0"/>
              <w:snapToGrid w:val="0"/>
              <w:spacing w:before="0" w:beforeAutospacing="0" w:after="0" w:afterAutospacing="0" w:line="360" w:lineRule="exact"/>
              <w:ind w:left="0" w:right="-50" w:rightChars="-24"/>
              <w:jc w:val="both"/>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2"/>
                <w:highlight w:val="none"/>
                <w:lang w:val="en-US" w:eastAsia="zh-CN" w:bidi="ar"/>
              </w:rPr>
              <w:t>投标人2019年1月1日至今完成过质量合格的类似工程业绩，每项得1分，最</w:t>
            </w:r>
            <w:r>
              <w:rPr>
                <w:rFonts w:hint="eastAsia" w:ascii="宋体" w:hAnsi="宋体" w:eastAsia="宋体" w:cs="宋体"/>
                <w:color w:val="auto"/>
                <w:kern w:val="2"/>
                <w:sz w:val="21"/>
                <w:szCs w:val="21"/>
                <w:highlight w:val="none"/>
                <w:lang w:val="en-US" w:eastAsia="zh-CN" w:bidi="ar"/>
              </w:rPr>
              <w:t>高</w:t>
            </w:r>
            <w:r>
              <w:rPr>
                <w:rFonts w:hint="eastAsia" w:ascii="宋体" w:hAnsi="宋体" w:eastAsia="宋体" w:cs="宋体"/>
                <w:color w:val="auto"/>
                <w:kern w:val="2"/>
                <w:sz w:val="21"/>
                <w:szCs w:val="22"/>
                <w:highlight w:val="none"/>
                <w:lang w:val="en-US" w:eastAsia="zh-CN" w:bidi="ar"/>
              </w:rPr>
              <w:t>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84"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9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企业获奖</w:t>
            </w: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w:t>
            </w:r>
          </w:p>
        </w:tc>
        <w:tc>
          <w:tcPr>
            <w:tcW w:w="115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adjustRightInd w:val="0"/>
              <w:spacing w:before="0" w:beforeAutospacing="0" w:after="0" w:afterAutospacing="0"/>
              <w:ind w:left="0" w:right="134" w:rightChars="64"/>
              <w:jc w:val="left"/>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2"/>
                <w:highlight w:val="none"/>
                <w:lang w:val="en-US" w:eastAsia="zh-CN" w:bidi="ar"/>
              </w:rPr>
              <w:t>投标人2019年1月1日至今获得过工程质量方面奖项证书，国家级每项得1.5分，省级每项得1分，市级每项得0.5分，最</w:t>
            </w:r>
            <w:r>
              <w:rPr>
                <w:rFonts w:hint="eastAsia" w:ascii="宋体" w:hAnsi="宋体" w:eastAsia="宋体" w:cs="宋体"/>
                <w:color w:val="auto"/>
                <w:kern w:val="2"/>
                <w:sz w:val="21"/>
                <w:szCs w:val="21"/>
                <w:highlight w:val="none"/>
                <w:lang w:val="en-US" w:eastAsia="zh-CN" w:bidi="ar"/>
              </w:rPr>
              <w:t>高</w:t>
            </w:r>
            <w:r>
              <w:rPr>
                <w:rFonts w:hint="eastAsia" w:ascii="宋体" w:hAnsi="宋体" w:eastAsia="宋体" w:cs="宋体"/>
                <w:color w:val="auto"/>
                <w:kern w:val="2"/>
                <w:sz w:val="21"/>
                <w:szCs w:val="22"/>
                <w:highlight w:val="none"/>
                <w:lang w:val="en-US" w:eastAsia="zh-CN" w:bidi="ar"/>
              </w:rPr>
              <w:t>得7分。</w:t>
            </w:r>
            <w:bookmarkStart w:id="222" w:name="_GoBack"/>
            <w:bookmarkEnd w:id="2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698"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9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b/>
                <w:bCs/>
                <w:color w:val="auto"/>
                <w:kern w:val="0"/>
                <w:szCs w:val="21"/>
                <w:highlight w:val="none"/>
                <w:lang w:val="en-US"/>
              </w:rPr>
            </w:pPr>
            <w:r>
              <w:rPr>
                <w:rFonts w:hint="eastAsia" w:ascii="宋体" w:hAnsi="宋体" w:eastAsia="宋体" w:cs="宋体"/>
                <w:b/>
                <w:bCs/>
                <w:color w:val="auto"/>
                <w:kern w:val="2"/>
                <w:sz w:val="21"/>
                <w:szCs w:val="21"/>
                <w:highlight w:val="none"/>
                <w:lang w:val="en-US" w:eastAsia="zh-CN" w:bidi="ar"/>
              </w:rPr>
              <w:t>工程研发能力</w:t>
            </w: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bCs/>
                <w:color w:val="auto"/>
                <w:kern w:val="0"/>
                <w:szCs w:val="21"/>
                <w:highlight w:val="none"/>
                <w:lang w:val="en-US"/>
              </w:rPr>
            </w:pPr>
            <w:r>
              <w:rPr>
                <w:rFonts w:hint="eastAsia" w:ascii="宋体" w:hAnsi="宋体" w:eastAsia="宋体" w:cs="宋体"/>
                <w:bCs/>
                <w:color w:val="auto"/>
                <w:kern w:val="0"/>
                <w:sz w:val="21"/>
                <w:szCs w:val="21"/>
                <w:highlight w:val="none"/>
                <w:lang w:val="en-US" w:eastAsia="zh-CN" w:bidi="ar"/>
              </w:rPr>
              <w:t>4</w:t>
            </w:r>
          </w:p>
        </w:tc>
        <w:tc>
          <w:tcPr>
            <w:tcW w:w="115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2019年1月1日至今，投标人作为完成单位获得过省级或以上工法证书奖项，每项得0.5分，最高得4分。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2124"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9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lang w:val="en-US"/>
              </w:rPr>
            </w:pPr>
            <w:r>
              <w:rPr>
                <w:rFonts w:hint="eastAsia" w:ascii="宋体" w:hAnsi="宋体" w:eastAsia="宋体" w:cs="宋体"/>
                <w:b/>
                <w:bCs/>
                <w:color w:val="auto"/>
                <w:kern w:val="2"/>
                <w:sz w:val="21"/>
                <w:szCs w:val="21"/>
                <w:highlight w:val="none"/>
                <w:lang w:val="zh-CN" w:eastAsia="zh-CN" w:bidi="ar"/>
              </w:rPr>
              <w:t>财务状况</w:t>
            </w: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lang w:val="en-US"/>
              </w:rPr>
            </w:pPr>
            <w:r>
              <w:rPr>
                <w:rFonts w:hint="eastAsia" w:ascii="宋体" w:hAnsi="宋体" w:eastAsia="宋体" w:cs="宋体"/>
                <w:bCs/>
                <w:color w:val="auto"/>
                <w:kern w:val="0"/>
                <w:sz w:val="21"/>
                <w:szCs w:val="21"/>
                <w:highlight w:val="none"/>
                <w:lang w:val="en-US" w:eastAsia="zh-CN" w:bidi="ar"/>
              </w:rPr>
              <w:t>6</w:t>
            </w:r>
          </w:p>
        </w:tc>
        <w:tc>
          <w:tcPr>
            <w:tcW w:w="115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auto"/>
                <w:szCs w:val="21"/>
                <w:highlight w:val="none"/>
                <w:lang w:val="zh-TW" w:eastAsia="zh-TW" w:bidi="ar"/>
              </w:rPr>
            </w:pPr>
            <w:r>
              <w:rPr>
                <w:rFonts w:hint="eastAsia" w:ascii="宋体" w:hAnsi="宋体" w:eastAsia="宋体" w:cs="宋体"/>
                <w:color w:val="auto"/>
                <w:kern w:val="2"/>
                <w:sz w:val="21"/>
                <w:szCs w:val="21"/>
                <w:highlight w:val="none"/>
                <w:lang w:val="zh-TW" w:eastAsia="zh-CN" w:bidi="ar"/>
              </w:rPr>
              <w:t>投标人近三年（</w:t>
            </w:r>
            <w:r>
              <w:rPr>
                <w:rFonts w:hint="eastAsia" w:ascii="宋体" w:hAnsi="宋体" w:eastAsia="宋体" w:cs="宋体"/>
                <w:color w:val="auto"/>
                <w:kern w:val="2"/>
                <w:sz w:val="21"/>
                <w:szCs w:val="21"/>
                <w:highlight w:val="none"/>
                <w:lang w:val="zh-TW" w:eastAsia="zh-TW" w:bidi="ar"/>
              </w:rPr>
              <w:t>2019</w:t>
            </w:r>
            <w:r>
              <w:rPr>
                <w:rFonts w:hint="eastAsia" w:ascii="宋体" w:hAnsi="宋体" w:eastAsia="宋体" w:cs="宋体"/>
                <w:color w:val="auto"/>
                <w:kern w:val="2"/>
                <w:sz w:val="21"/>
                <w:szCs w:val="21"/>
                <w:highlight w:val="none"/>
                <w:lang w:val="zh-TW" w:eastAsia="zh-CN" w:bidi="ar"/>
              </w:rPr>
              <w:t>年度至</w:t>
            </w:r>
            <w:r>
              <w:rPr>
                <w:rFonts w:hint="eastAsia" w:ascii="宋体" w:hAnsi="宋体" w:eastAsia="宋体" w:cs="宋体"/>
                <w:color w:val="auto"/>
                <w:kern w:val="2"/>
                <w:sz w:val="21"/>
                <w:szCs w:val="21"/>
                <w:highlight w:val="none"/>
                <w:lang w:val="zh-TW" w:eastAsia="zh-TW" w:bidi="ar"/>
              </w:rPr>
              <w:t>2021</w:t>
            </w:r>
            <w:r>
              <w:rPr>
                <w:rFonts w:hint="eastAsia" w:ascii="宋体" w:hAnsi="宋体" w:eastAsia="宋体" w:cs="宋体"/>
                <w:color w:val="auto"/>
                <w:kern w:val="2"/>
                <w:sz w:val="21"/>
                <w:szCs w:val="21"/>
                <w:highlight w:val="none"/>
                <w:lang w:val="zh-TW" w:eastAsia="zh-CN" w:bidi="ar"/>
              </w:rPr>
              <w:t>年度）的平均资产负债率：</w:t>
            </w:r>
          </w:p>
          <w:p>
            <w:pPr>
              <w:keepNext w:val="0"/>
              <w:keepLines w:val="0"/>
              <w:widowControl/>
              <w:suppressLineNumbers w:val="0"/>
              <w:spacing w:before="0" w:beforeAutospacing="0" w:after="0" w:afterAutospacing="0"/>
              <w:ind w:left="0" w:right="0"/>
              <w:jc w:val="both"/>
              <w:rPr>
                <w:rFonts w:hint="default" w:ascii="宋体" w:hAnsi="宋体" w:eastAsia="宋体" w:cs="宋体"/>
                <w:color w:val="auto"/>
                <w:szCs w:val="21"/>
                <w:highlight w:val="none"/>
                <w:lang w:val="zh-TW" w:eastAsia="zh-TW" w:bidi="ar"/>
              </w:rPr>
            </w:pPr>
            <w:r>
              <w:rPr>
                <w:rFonts w:hint="eastAsia" w:ascii="宋体" w:hAnsi="宋体" w:eastAsia="宋体" w:cs="宋体"/>
                <w:color w:val="auto"/>
                <w:kern w:val="2"/>
                <w:sz w:val="21"/>
                <w:szCs w:val="21"/>
                <w:highlight w:val="none"/>
                <w:lang w:val="zh-TW" w:eastAsia="zh-CN" w:bidi="ar"/>
              </w:rPr>
              <w:t>（</w:t>
            </w: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zh-TW" w:eastAsia="zh-CN" w:bidi="ar"/>
              </w:rPr>
              <w:t>）平均资产负债率≤</w:t>
            </w:r>
            <w:r>
              <w:rPr>
                <w:rFonts w:hint="eastAsia" w:ascii="宋体" w:hAnsi="宋体" w:eastAsia="宋体" w:cs="宋体"/>
                <w:color w:val="auto"/>
                <w:kern w:val="2"/>
                <w:sz w:val="21"/>
                <w:szCs w:val="21"/>
                <w:highlight w:val="none"/>
                <w:lang w:val="zh-TW" w:eastAsia="zh-TW" w:bidi="ar"/>
              </w:rPr>
              <w:t>40%</w:t>
            </w:r>
            <w:r>
              <w:rPr>
                <w:rFonts w:hint="eastAsia" w:ascii="宋体" w:hAnsi="宋体" w:eastAsia="宋体" w:cs="宋体"/>
                <w:color w:val="auto"/>
                <w:kern w:val="2"/>
                <w:sz w:val="21"/>
                <w:szCs w:val="21"/>
                <w:highlight w:val="none"/>
                <w:lang w:val="zh-TW" w:eastAsia="zh-CN" w:bidi="ar"/>
              </w:rPr>
              <w:t>的，得</w:t>
            </w:r>
            <w:r>
              <w:rPr>
                <w:rFonts w:hint="eastAsia" w:ascii="宋体" w:hAnsi="宋体" w:eastAsia="宋体" w:cs="宋体"/>
                <w:color w:val="auto"/>
                <w:kern w:val="2"/>
                <w:sz w:val="21"/>
                <w:szCs w:val="21"/>
                <w:highlight w:val="none"/>
                <w:lang w:val="zh-TW" w:eastAsia="zh-TW" w:bidi="ar"/>
              </w:rPr>
              <w:t>6</w:t>
            </w:r>
            <w:r>
              <w:rPr>
                <w:rFonts w:hint="eastAsia" w:ascii="宋体" w:hAnsi="宋体" w:eastAsia="宋体" w:cs="宋体"/>
                <w:color w:val="auto"/>
                <w:kern w:val="2"/>
                <w:sz w:val="21"/>
                <w:szCs w:val="21"/>
                <w:highlight w:val="none"/>
                <w:lang w:val="zh-TW" w:eastAsia="zh-CN" w:bidi="ar"/>
              </w:rPr>
              <w:t>分；</w:t>
            </w:r>
            <w:r>
              <w:rPr>
                <w:rFonts w:hint="eastAsia" w:ascii="宋体" w:hAnsi="宋体" w:eastAsia="宋体" w:cs="宋体"/>
                <w:color w:val="auto"/>
                <w:kern w:val="2"/>
                <w:sz w:val="21"/>
                <w:szCs w:val="21"/>
                <w:highlight w:val="none"/>
                <w:lang w:val="zh-TW" w:eastAsia="zh-TW" w:bidi="ar"/>
              </w:rPr>
              <w:t xml:space="preserve">  </w:t>
            </w:r>
          </w:p>
          <w:p>
            <w:pPr>
              <w:keepNext w:val="0"/>
              <w:keepLines w:val="0"/>
              <w:widowControl/>
              <w:suppressLineNumbers w:val="0"/>
              <w:spacing w:before="0" w:beforeAutospacing="0" w:after="0" w:afterAutospacing="0"/>
              <w:ind w:left="0" w:right="0"/>
              <w:jc w:val="both"/>
              <w:rPr>
                <w:rFonts w:hint="default" w:ascii="宋体" w:hAnsi="宋体" w:eastAsia="宋体" w:cs="宋体"/>
                <w:color w:val="auto"/>
                <w:szCs w:val="21"/>
                <w:highlight w:val="none"/>
                <w:lang w:val="zh-TW" w:eastAsia="zh-TW" w:bidi="ar"/>
              </w:rPr>
            </w:pPr>
            <w:r>
              <w:rPr>
                <w:rFonts w:hint="eastAsia" w:ascii="宋体" w:hAnsi="宋体" w:eastAsia="宋体" w:cs="宋体"/>
                <w:color w:val="auto"/>
                <w:kern w:val="2"/>
                <w:sz w:val="21"/>
                <w:szCs w:val="21"/>
                <w:highlight w:val="none"/>
                <w:lang w:val="zh-TW" w:eastAsia="zh-CN" w:bidi="ar"/>
              </w:rPr>
              <w:t>（</w:t>
            </w: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zh-TW" w:eastAsia="zh-CN" w:bidi="ar"/>
              </w:rPr>
              <w:t>）</w:t>
            </w:r>
            <w:r>
              <w:rPr>
                <w:rFonts w:hint="eastAsia" w:ascii="宋体" w:hAnsi="宋体" w:eastAsia="宋体" w:cs="宋体"/>
                <w:color w:val="auto"/>
                <w:kern w:val="2"/>
                <w:sz w:val="21"/>
                <w:szCs w:val="21"/>
                <w:highlight w:val="none"/>
                <w:lang w:val="zh-TW" w:eastAsia="zh-TW" w:bidi="ar"/>
              </w:rPr>
              <w:t>40%</w:t>
            </w:r>
            <w:r>
              <w:rPr>
                <w:rFonts w:hint="eastAsia" w:ascii="宋体" w:hAnsi="宋体" w:eastAsia="宋体" w:cs="宋体"/>
                <w:color w:val="auto"/>
                <w:kern w:val="2"/>
                <w:sz w:val="21"/>
                <w:szCs w:val="21"/>
                <w:highlight w:val="none"/>
                <w:lang w:val="zh-TW" w:eastAsia="zh-CN" w:bidi="ar"/>
              </w:rPr>
              <w:t>＜平均资产负债率≤</w:t>
            </w:r>
            <w:r>
              <w:rPr>
                <w:rFonts w:hint="eastAsia" w:ascii="宋体" w:hAnsi="宋体" w:eastAsia="宋体" w:cs="宋体"/>
                <w:color w:val="auto"/>
                <w:kern w:val="2"/>
                <w:sz w:val="21"/>
                <w:szCs w:val="21"/>
                <w:highlight w:val="none"/>
                <w:lang w:val="zh-TW" w:eastAsia="zh-TW" w:bidi="ar"/>
              </w:rPr>
              <w:t>50%</w:t>
            </w:r>
            <w:r>
              <w:rPr>
                <w:rFonts w:hint="eastAsia" w:ascii="宋体" w:hAnsi="宋体" w:eastAsia="宋体" w:cs="宋体"/>
                <w:color w:val="auto"/>
                <w:kern w:val="2"/>
                <w:sz w:val="21"/>
                <w:szCs w:val="21"/>
                <w:highlight w:val="none"/>
                <w:lang w:val="zh-TW" w:eastAsia="zh-CN" w:bidi="ar"/>
              </w:rPr>
              <w:t>的，得</w:t>
            </w:r>
            <w:r>
              <w:rPr>
                <w:rFonts w:hint="eastAsia" w:ascii="宋体" w:hAnsi="宋体" w:eastAsia="宋体" w:cs="宋体"/>
                <w:color w:val="auto"/>
                <w:kern w:val="2"/>
                <w:sz w:val="21"/>
                <w:szCs w:val="21"/>
                <w:highlight w:val="none"/>
                <w:lang w:val="zh-TW" w:eastAsia="zh-TW" w:bidi="ar"/>
              </w:rPr>
              <w:t>3</w:t>
            </w:r>
            <w:r>
              <w:rPr>
                <w:rFonts w:hint="eastAsia" w:ascii="宋体" w:hAnsi="宋体" w:eastAsia="宋体" w:cs="宋体"/>
                <w:color w:val="auto"/>
                <w:kern w:val="2"/>
                <w:sz w:val="21"/>
                <w:szCs w:val="21"/>
                <w:highlight w:val="none"/>
                <w:lang w:val="zh-TW" w:eastAsia="zh-CN" w:bidi="ar"/>
              </w:rPr>
              <w:t>分；</w:t>
            </w:r>
            <w:r>
              <w:rPr>
                <w:rFonts w:hint="eastAsia" w:ascii="宋体" w:hAnsi="宋体" w:eastAsia="宋体" w:cs="宋体"/>
                <w:color w:val="auto"/>
                <w:kern w:val="2"/>
                <w:sz w:val="21"/>
                <w:szCs w:val="21"/>
                <w:highlight w:val="none"/>
                <w:lang w:val="zh-TW" w:eastAsia="zh-TW" w:bidi="ar"/>
              </w:rPr>
              <w:t xml:space="preserve">  </w:t>
            </w:r>
          </w:p>
          <w:p>
            <w:pPr>
              <w:keepNext w:val="0"/>
              <w:keepLines w:val="0"/>
              <w:widowControl/>
              <w:suppressLineNumbers w:val="0"/>
              <w:spacing w:before="0" w:beforeAutospacing="0" w:after="0" w:afterAutospacing="0"/>
              <w:ind w:left="0" w:right="0"/>
              <w:jc w:val="both"/>
              <w:rPr>
                <w:rFonts w:hint="default" w:ascii="宋体" w:hAnsi="宋体" w:eastAsia="宋体" w:cs="宋体"/>
                <w:color w:val="auto"/>
                <w:szCs w:val="21"/>
                <w:highlight w:val="none"/>
                <w:lang w:val="zh-TW" w:eastAsia="zh-TW" w:bidi="ar"/>
              </w:rPr>
            </w:pPr>
            <w:r>
              <w:rPr>
                <w:rFonts w:hint="eastAsia" w:ascii="宋体" w:hAnsi="宋体" w:eastAsia="宋体" w:cs="宋体"/>
                <w:color w:val="auto"/>
                <w:kern w:val="2"/>
                <w:sz w:val="21"/>
                <w:szCs w:val="21"/>
                <w:highlight w:val="none"/>
                <w:lang w:val="zh-TW" w:eastAsia="zh-CN" w:bidi="ar"/>
              </w:rPr>
              <w:t>（</w:t>
            </w: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zh-TW" w:eastAsia="zh-CN" w:bidi="ar"/>
              </w:rPr>
              <w:t>）</w:t>
            </w:r>
            <w:r>
              <w:rPr>
                <w:rFonts w:hint="eastAsia" w:ascii="宋体" w:hAnsi="宋体" w:eastAsia="宋体" w:cs="宋体"/>
                <w:color w:val="auto"/>
                <w:kern w:val="2"/>
                <w:sz w:val="21"/>
                <w:szCs w:val="21"/>
                <w:highlight w:val="none"/>
                <w:lang w:val="zh-TW" w:eastAsia="zh-TW" w:bidi="ar"/>
              </w:rPr>
              <w:t>50%</w:t>
            </w:r>
            <w:r>
              <w:rPr>
                <w:rFonts w:hint="eastAsia" w:ascii="宋体" w:hAnsi="宋体" w:eastAsia="宋体" w:cs="宋体"/>
                <w:color w:val="auto"/>
                <w:kern w:val="2"/>
                <w:sz w:val="21"/>
                <w:szCs w:val="21"/>
                <w:highlight w:val="none"/>
                <w:lang w:val="zh-TW" w:eastAsia="zh-CN" w:bidi="ar"/>
              </w:rPr>
              <w:t>＜平均资产负债率≤</w:t>
            </w:r>
            <w:r>
              <w:rPr>
                <w:rFonts w:hint="eastAsia" w:ascii="宋体" w:hAnsi="宋体" w:eastAsia="宋体" w:cs="宋体"/>
                <w:color w:val="auto"/>
                <w:kern w:val="2"/>
                <w:sz w:val="21"/>
                <w:szCs w:val="21"/>
                <w:highlight w:val="none"/>
                <w:lang w:val="zh-TW" w:eastAsia="zh-TW" w:bidi="ar"/>
              </w:rPr>
              <w:t>60%</w:t>
            </w:r>
            <w:r>
              <w:rPr>
                <w:rFonts w:hint="eastAsia" w:ascii="宋体" w:hAnsi="宋体" w:eastAsia="宋体" w:cs="宋体"/>
                <w:color w:val="auto"/>
                <w:kern w:val="2"/>
                <w:sz w:val="21"/>
                <w:szCs w:val="21"/>
                <w:highlight w:val="none"/>
                <w:lang w:val="zh-TW" w:eastAsia="zh-CN" w:bidi="ar"/>
              </w:rPr>
              <w:t>的，得</w:t>
            </w:r>
            <w:r>
              <w:rPr>
                <w:rFonts w:hint="eastAsia" w:ascii="宋体" w:hAnsi="宋体" w:eastAsia="宋体" w:cs="宋体"/>
                <w:color w:val="auto"/>
                <w:kern w:val="2"/>
                <w:sz w:val="21"/>
                <w:szCs w:val="21"/>
                <w:highlight w:val="none"/>
                <w:lang w:val="zh-TW" w:eastAsia="zh-TW" w:bidi="ar"/>
              </w:rPr>
              <w:t>1</w:t>
            </w:r>
            <w:r>
              <w:rPr>
                <w:rFonts w:hint="eastAsia" w:ascii="宋体" w:hAnsi="宋体" w:eastAsia="宋体" w:cs="宋体"/>
                <w:color w:val="auto"/>
                <w:kern w:val="2"/>
                <w:sz w:val="21"/>
                <w:szCs w:val="21"/>
                <w:highlight w:val="none"/>
                <w:lang w:val="zh-TW" w:eastAsia="zh-CN" w:bidi="ar"/>
              </w:rPr>
              <w:t>分；</w:t>
            </w:r>
          </w:p>
          <w:p>
            <w:pPr>
              <w:pStyle w:val="32"/>
              <w:keepNext w:val="0"/>
              <w:keepLines w:val="0"/>
              <w:widowControl w:val="0"/>
              <w:suppressLineNumbers w:val="0"/>
              <w:spacing w:before="0" w:beforeAutospacing="0" w:after="0" w:afterAutospacing="0"/>
              <w:ind w:left="0" w:right="0"/>
              <w:jc w:val="both"/>
              <w:rPr>
                <w:rFonts w:hint="default"/>
                <w:color w:val="auto"/>
                <w:highlight w:val="none"/>
                <w:lang w:val="zh-TW" w:eastAsia="zh-TW" w:bidi="ar"/>
              </w:rPr>
            </w:pPr>
            <w:r>
              <w:rPr>
                <w:rFonts w:hint="eastAsia" w:ascii="宋体" w:hAnsi="Courier New" w:eastAsia="宋体" w:cs="Courier New"/>
                <w:color w:val="auto"/>
                <w:kern w:val="2"/>
                <w:sz w:val="21"/>
                <w:szCs w:val="22"/>
                <w:highlight w:val="none"/>
                <w:lang w:val="zh-TW" w:eastAsia="zh-CN" w:bidi="ar"/>
              </w:rPr>
              <w:t>（</w:t>
            </w:r>
            <w:r>
              <w:rPr>
                <w:rFonts w:hint="eastAsia" w:ascii="宋体" w:hAnsi="Courier New" w:eastAsia="宋体" w:cs="Courier New"/>
                <w:color w:val="auto"/>
                <w:kern w:val="2"/>
                <w:sz w:val="21"/>
                <w:szCs w:val="22"/>
                <w:highlight w:val="none"/>
                <w:lang w:val="zh-TW" w:eastAsia="zh-TW" w:bidi="ar"/>
              </w:rPr>
              <w:t>4</w:t>
            </w:r>
            <w:r>
              <w:rPr>
                <w:rFonts w:hint="eastAsia" w:ascii="宋体" w:hAnsi="Courier New" w:eastAsia="宋体" w:cs="Courier New"/>
                <w:color w:val="auto"/>
                <w:kern w:val="2"/>
                <w:sz w:val="21"/>
                <w:szCs w:val="22"/>
                <w:highlight w:val="none"/>
                <w:lang w:val="zh-TW" w:eastAsia="zh-CN" w:bidi="ar"/>
              </w:rPr>
              <w:t>）</w:t>
            </w:r>
            <w:r>
              <w:rPr>
                <w:rFonts w:hint="eastAsia" w:ascii="宋体" w:hAnsi="宋体" w:eastAsia="宋体" w:cs="宋体"/>
                <w:color w:val="auto"/>
                <w:kern w:val="2"/>
                <w:sz w:val="21"/>
                <w:szCs w:val="21"/>
                <w:highlight w:val="none"/>
                <w:lang w:val="zh-TW" w:eastAsia="zh-CN" w:bidi="ar"/>
              </w:rPr>
              <w:t>平均资产负债率＞</w:t>
            </w:r>
            <w:r>
              <w:rPr>
                <w:rFonts w:hint="eastAsia" w:ascii="宋体" w:hAnsi="宋体" w:eastAsia="宋体" w:cs="宋体"/>
                <w:color w:val="auto"/>
                <w:kern w:val="2"/>
                <w:sz w:val="21"/>
                <w:szCs w:val="21"/>
                <w:highlight w:val="none"/>
                <w:lang w:val="zh-TW" w:eastAsia="zh-TW" w:bidi="ar"/>
              </w:rPr>
              <w:t>60%</w:t>
            </w:r>
            <w:r>
              <w:rPr>
                <w:rFonts w:hint="eastAsia" w:ascii="宋体" w:hAnsi="宋体" w:eastAsia="宋体" w:cs="宋体"/>
                <w:color w:val="auto"/>
                <w:kern w:val="2"/>
                <w:sz w:val="21"/>
                <w:szCs w:val="21"/>
                <w:highlight w:val="none"/>
                <w:lang w:val="zh-TW" w:eastAsia="zh-CN" w:bidi="ar"/>
              </w:rPr>
              <w:t>的，得</w:t>
            </w:r>
            <w:r>
              <w:rPr>
                <w:rFonts w:hint="eastAsia" w:ascii="宋体" w:hAnsi="宋体" w:eastAsia="宋体" w:cs="宋体"/>
                <w:color w:val="auto"/>
                <w:kern w:val="2"/>
                <w:sz w:val="21"/>
                <w:szCs w:val="21"/>
                <w:highlight w:val="none"/>
                <w:lang w:val="zh-TW" w:eastAsia="zh-TW" w:bidi="ar"/>
              </w:rPr>
              <w:t>0.5</w:t>
            </w:r>
            <w:r>
              <w:rPr>
                <w:rFonts w:hint="eastAsia" w:ascii="宋体" w:hAnsi="宋体" w:eastAsia="宋体" w:cs="宋体"/>
                <w:color w:val="auto"/>
                <w:kern w:val="2"/>
                <w:sz w:val="21"/>
                <w:szCs w:val="21"/>
                <w:highlight w:val="none"/>
                <w:lang w:val="zh-TW" w:eastAsia="zh-CN" w:bidi="ar"/>
              </w:rPr>
              <w:t>分；</w:t>
            </w:r>
          </w:p>
          <w:p>
            <w:pPr>
              <w:keepNext w:val="0"/>
              <w:keepLines w:val="0"/>
              <w:widowControl w:val="0"/>
              <w:suppressLineNumbers w:val="0"/>
              <w:adjustRightInd w:val="0"/>
              <w:spacing w:before="0" w:beforeAutospacing="0" w:after="0" w:afterAutospacing="0"/>
              <w:ind w:left="0" w:right="134" w:rightChars="64"/>
              <w:jc w:val="left"/>
              <w:rPr>
                <w:rFonts w:hint="default"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其余不得分；本项最高得6分。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262"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9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第三方评价</w:t>
            </w: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lang w:val="en-US"/>
              </w:rPr>
            </w:pPr>
            <w:r>
              <w:rPr>
                <w:rFonts w:hint="eastAsia" w:ascii="宋体" w:hAnsi="宋体" w:eastAsia="宋体" w:cs="宋体"/>
                <w:bCs/>
                <w:color w:val="auto"/>
                <w:kern w:val="0"/>
                <w:sz w:val="21"/>
                <w:szCs w:val="21"/>
                <w:highlight w:val="none"/>
                <w:lang w:val="en-US" w:eastAsia="zh-CN" w:bidi="ar"/>
              </w:rPr>
              <w:t>6</w:t>
            </w:r>
          </w:p>
        </w:tc>
        <w:tc>
          <w:tcPr>
            <w:tcW w:w="115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auto"/>
                <w:szCs w:val="21"/>
                <w:highlight w:val="none"/>
                <w:lang w:val="zh-TW" w:eastAsia="zh-TW" w:bidi="ar"/>
              </w:rPr>
            </w:pPr>
            <w:r>
              <w:rPr>
                <w:rFonts w:hint="eastAsia" w:ascii="宋体" w:hAnsi="宋体" w:eastAsia="宋体" w:cs="宋体"/>
                <w:color w:val="auto"/>
                <w:kern w:val="2"/>
                <w:sz w:val="21"/>
                <w:szCs w:val="21"/>
                <w:highlight w:val="none"/>
                <w:lang w:val="zh-TW" w:eastAsia="zh-CN" w:bidi="ar"/>
              </w:rPr>
              <w:t>投标人同时具有质量管理体系认证、职业健康安全管理体系认证、环境管理体系认证、知识产权管理体系认证且在有效期内的</w:t>
            </w:r>
            <w:r>
              <w:rPr>
                <w:rFonts w:hint="eastAsia" w:ascii="宋体" w:hAnsi="宋体" w:eastAsia="宋体" w:cs="宋体"/>
                <w:color w:val="auto"/>
                <w:kern w:val="2"/>
                <w:sz w:val="21"/>
                <w:szCs w:val="21"/>
                <w:highlight w:val="none"/>
                <w:lang w:val="en-US" w:eastAsia="zh-CN" w:bidi="ar"/>
              </w:rPr>
              <w:t>得6</w:t>
            </w:r>
            <w:r>
              <w:rPr>
                <w:rFonts w:hint="eastAsia" w:ascii="宋体" w:hAnsi="宋体" w:eastAsia="宋体" w:cs="宋体"/>
                <w:color w:val="auto"/>
                <w:kern w:val="2"/>
                <w:sz w:val="21"/>
                <w:szCs w:val="21"/>
                <w:highlight w:val="none"/>
                <w:lang w:val="zh-TW" w:eastAsia="zh-CN" w:bidi="ar"/>
              </w:rPr>
              <w:t>分；每缺少一个扣</w:t>
            </w:r>
            <w:r>
              <w:rPr>
                <w:rFonts w:hint="eastAsia" w:ascii="宋体" w:hAnsi="宋体" w:eastAsia="宋体" w:cs="宋体"/>
                <w:color w:val="auto"/>
                <w:kern w:val="2"/>
                <w:sz w:val="21"/>
                <w:szCs w:val="21"/>
                <w:highlight w:val="none"/>
                <w:lang w:val="zh-TW" w:eastAsia="zh-TW" w:bidi="ar"/>
              </w:rPr>
              <w:t>1.5</w:t>
            </w:r>
            <w:r>
              <w:rPr>
                <w:rFonts w:hint="eastAsia" w:ascii="宋体" w:hAnsi="宋体" w:eastAsia="宋体" w:cs="宋体"/>
                <w:color w:val="auto"/>
                <w:kern w:val="2"/>
                <w:sz w:val="21"/>
                <w:szCs w:val="21"/>
                <w:highlight w:val="none"/>
                <w:lang w:val="zh-TW" w:eastAsia="zh-CN" w:bidi="ar"/>
              </w:rPr>
              <w:t>分，本项扣至</w:t>
            </w:r>
            <w:r>
              <w:rPr>
                <w:rFonts w:hint="eastAsia" w:ascii="宋体" w:hAnsi="宋体" w:eastAsia="宋体" w:cs="宋体"/>
                <w:color w:val="auto"/>
                <w:kern w:val="2"/>
                <w:sz w:val="21"/>
                <w:szCs w:val="21"/>
                <w:highlight w:val="none"/>
                <w:lang w:val="zh-TW" w:eastAsia="zh-TW" w:bidi="ar"/>
              </w:rPr>
              <w:t>0</w:t>
            </w:r>
            <w:r>
              <w:rPr>
                <w:rFonts w:hint="eastAsia" w:ascii="宋体" w:hAnsi="宋体" w:eastAsia="宋体" w:cs="宋体"/>
                <w:color w:val="auto"/>
                <w:kern w:val="2"/>
                <w:sz w:val="21"/>
                <w:szCs w:val="21"/>
                <w:highlight w:val="none"/>
                <w:lang w:val="zh-TW" w:eastAsia="zh-CN" w:bidi="ar"/>
              </w:rPr>
              <w:t>分为止。</w:t>
            </w:r>
          </w:p>
          <w:p>
            <w:pPr>
              <w:keepNext w:val="0"/>
              <w:keepLines w:val="0"/>
              <w:widowControl/>
              <w:suppressLineNumbers w:val="0"/>
              <w:spacing w:before="0" w:beforeAutospacing="0" w:after="0" w:afterAutospacing="0"/>
              <w:ind w:left="0" w:right="0"/>
              <w:jc w:val="both"/>
              <w:rPr>
                <w:rFonts w:hint="default" w:ascii="宋体" w:hAnsi="宋体" w:eastAsia="宋体" w:cs="宋体"/>
                <w:color w:val="auto"/>
                <w:szCs w:val="21"/>
                <w:highlight w:val="none"/>
                <w:lang w:val="en-US" w:bidi="ar"/>
              </w:rPr>
            </w:pPr>
            <w:r>
              <w:rPr>
                <w:rFonts w:hint="eastAsia" w:ascii="宋体" w:hAnsi="宋体" w:eastAsia="宋体" w:cs="宋体"/>
                <w:color w:val="auto"/>
                <w:kern w:val="2"/>
                <w:sz w:val="21"/>
                <w:szCs w:val="21"/>
                <w:highlight w:val="none"/>
                <w:lang w:val="en-US" w:eastAsia="zh-CN" w:bidi="ar"/>
              </w:rPr>
              <w:t>其余不得分；本项最高得6分。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315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kern w:val="0"/>
                <w:szCs w:val="21"/>
                <w:highlight w:val="none"/>
                <w:shd w:val="clear" w:fill="FFFFFF"/>
                <w:lang w:val="zh-TW" w:eastAsia="zh-TW"/>
              </w:rPr>
            </w:pPr>
            <w:r>
              <w:rPr>
                <w:rFonts w:hint="eastAsia" w:ascii="宋体" w:hAnsi="宋体" w:eastAsia="宋体" w:cs="宋体"/>
                <w:color w:val="auto"/>
                <w:kern w:val="0"/>
                <w:sz w:val="21"/>
                <w:szCs w:val="21"/>
                <w:highlight w:val="none"/>
                <w:shd w:val="clear" w:fill="FFFFFF"/>
                <w:lang w:val="zh-TW" w:eastAsia="zh-CN" w:bidi="ar"/>
              </w:rPr>
              <w:t>合计</w:t>
            </w: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Century Schoolbook"/>
                <w:color w:val="auto"/>
                <w:spacing w:val="10"/>
                <w:kern w:val="0"/>
                <w:szCs w:val="21"/>
                <w:highlight w:val="none"/>
                <w:shd w:val="clear" w:fill="FFFFFF"/>
                <w:lang w:val="en-US"/>
              </w:rPr>
            </w:pPr>
            <w:r>
              <w:rPr>
                <w:rFonts w:hint="eastAsia" w:ascii="宋体" w:hAnsi="宋体" w:eastAsia="宋体" w:cs="Century Schoolbook"/>
                <w:bCs/>
                <w:color w:val="auto"/>
                <w:spacing w:val="10"/>
                <w:kern w:val="0"/>
                <w:sz w:val="21"/>
                <w:szCs w:val="21"/>
                <w:highlight w:val="none"/>
                <w:shd w:val="clear" w:fill="FFFFFF"/>
                <w:lang w:val="en-US" w:eastAsia="zh-CN" w:bidi="ar"/>
              </w:rPr>
              <w:t>100</w:t>
            </w:r>
          </w:p>
        </w:tc>
        <w:tc>
          <w:tcPr>
            <w:tcW w:w="1154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uppressLineNumbers w:val="0"/>
              <w:snapToGrid w:val="0"/>
              <w:spacing w:before="0" w:beforeAutospacing="0" w:after="0" w:afterAutospacing="0"/>
              <w:ind w:left="0" w:right="0"/>
              <w:jc w:val="left"/>
              <w:rPr>
                <w:rFonts w:hint="default" w:ascii="宋体" w:hAnsi="宋体" w:eastAsia="宋体" w:cs="宋体"/>
                <w:color w:val="auto"/>
                <w:kern w:val="0"/>
                <w:szCs w:val="21"/>
                <w:highlight w:val="none"/>
                <w:shd w:val="clear" w:fill="FFFFFF"/>
                <w:lang w:val="zh-TW" w:eastAsia="zh-TW"/>
              </w:rPr>
            </w:pPr>
          </w:p>
        </w:tc>
      </w:tr>
    </w:tbl>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注：</w:t>
      </w:r>
    </w:p>
    <w:p>
      <w:pPr>
        <w:keepNext w:val="0"/>
        <w:keepLines w:val="0"/>
        <w:widowControl w:val="0"/>
        <w:suppressLineNumbers w:val="0"/>
        <w:snapToGrid w:val="0"/>
        <w:spacing w:before="0" w:beforeAutospacing="0" w:after="0" w:afterAutospacing="0" w:line="360" w:lineRule="auto"/>
        <w:ind w:left="0" w:right="512" w:rightChars="244"/>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b/>
          <w:bCs w:val="0"/>
          <w:color w:val="auto"/>
          <w:kern w:val="2"/>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项目管理机构能力</w:t>
      </w:r>
      <w:r>
        <w:rPr>
          <w:rFonts w:hint="eastAsia" w:ascii="宋体" w:hAnsi="宋体" w:eastAsia="宋体" w:cs="宋体"/>
          <w:b/>
          <w:bCs w:val="0"/>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管理机构组成人员必须为公司正式员工，人员岗位不能相互兼任。须提供（2023年3月）在投标单位（不含投标人企业的子公司，但包括投标人企业非独立法人的分支机构）缴纳的有效社保证明文件扫描件，若当地政府部门允许企业在疫情期间缓缴社会保险费且投标人未缴纳的，投标人可提供当地政府部门允许缓缴社保的相关文件作为缴纳社保的证明。确定中标人后，招标人将核实后续中标人项目经理部组成人员的社保补缴情况。未提供或提供资料不全的不得分。</w:t>
      </w:r>
    </w:p>
    <w:p>
      <w:pPr>
        <w:keepNext w:val="0"/>
        <w:keepLines w:val="0"/>
        <w:widowControl w:val="0"/>
        <w:suppressLineNumbers w:val="0"/>
        <w:snapToGrid w:val="0"/>
        <w:spacing w:before="0" w:beforeAutospacing="0" w:after="0" w:afterAutospacing="0" w:line="360" w:lineRule="auto"/>
        <w:ind w:left="0" w:right="512" w:rightChars="244"/>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“机电类”技术职称是指包括但不限于暖通、给排水、电气、机械设备、焊接、自动化控制等专业的技术职称。</w:t>
      </w:r>
    </w:p>
    <w:p>
      <w:pPr>
        <w:keepNext w:val="0"/>
        <w:keepLines w:val="0"/>
        <w:widowControl w:val="0"/>
        <w:suppressLineNumbers w:val="0"/>
        <w:snapToGrid w:val="0"/>
        <w:spacing w:before="0" w:beforeAutospacing="0" w:after="0" w:afterAutospacing="0" w:line="360" w:lineRule="auto"/>
        <w:ind w:left="0" w:right="512" w:rightChars="244"/>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w:t>
      </w:r>
      <w:r>
        <w:rPr>
          <w:rFonts w:hint="eastAsia" w:ascii="Calibri" w:hAnsi="Calibri" w:eastAsia="宋体" w:cs="宋体"/>
          <w:color w:val="auto"/>
          <w:kern w:val="2"/>
          <w:sz w:val="21"/>
          <w:szCs w:val="22"/>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类似工程业绩</w:t>
      </w:r>
      <w:r>
        <w:rPr>
          <w:rFonts w:hint="eastAsia" w:ascii="宋体" w:hAnsi="宋体" w:eastAsia="宋体" w:cs="宋体"/>
          <w:b/>
          <w:bCs w:val="0"/>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指2019年1月1日至今完成的质量合格且电压等级为10kV(或以上)的单项合同金额450万元(或以上)电力施工工程业绩。</w:t>
      </w:r>
    </w:p>
    <w:p>
      <w:pPr>
        <w:keepNext w:val="0"/>
        <w:keepLines w:val="0"/>
        <w:widowControl w:val="0"/>
        <w:suppressLineNumbers w:val="0"/>
        <w:snapToGrid w:val="0"/>
        <w:spacing w:before="0" w:beforeAutospacing="0" w:after="0" w:afterAutospacing="0" w:line="360" w:lineRule="auto"/>
        <w:ind w:left="0" w:right="512" w:rightChars="244"/>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单独发包的电力工程业绩，需同时提供中标通知书或免招标的相关证明、施工合同、竣工验收报告或竣工验收证明（至少具有建设单位、设计、施工和监理单位盖章）扫描件。由总承包单位依法分包的专业工程业绩，需同时提供经业主和总承包单位确认的分包合同、竣工验收报告或竣工验收证明（至少具有建设单位、设计、施工和监理单位盖章）扫描件。如以上资料不能证明业绩规模的技术指标（指电压等级、金额等）的，须另提供可证明业绩技术指标的其他资料；完成时间以竣工验收时间为准；业绩金额按以下方式认定：单独发包的电力工程的业绩金额以中标通知书为准，中标通知书上没有金额或免招标的，以施工合同（不含补充合同）为准。如中标通知书未能体现对应的电力工程金额，则以施工合同载明的对应的电力工程金额为准，如中标通知书与施工合同均不能单独体现对应的电力工程金额，则以建设单位提供的证明资料中载明的对应专业金额为准。由总承包单位依法分包的专业工程业绩其金额以分包合同中约定的合同金额为准。投标单位提供的施工合同（分包合同）扫描件证明材料。（可提供合同关键页，但应至少包括合同封面、合同指标金额规模页、合同盖章页）。</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b/>
          <w:bCs w:val="0"/>
          <w:color w:val="auto"/>
          <w:kern w:val="2"/>
          <w:sz w:val="21"/>
          <w:szCs w:val="21"/>
          <w:highlight w:val="none"/>
          <w:lang w:val="en-US" w:eastAsia="zh-CN" w:bidi="ar"/>
        </w:rPr>
        <w:t>【工程获奖】：</w:t>
      </w:r>
      <w:r>
        <w:rPr>
          <w:rFonts w:hint="eastAsia" w:ascii="宋体" w:hAnsi="宋体" w:eastAsia="宋体" w:cs="宋体"/>
          <w:color w:val="auto"/>
          <w:kern w:val="2"/>
          <w:sz w:val="21"/>
          <w:szCs w:val="22"/>
          <w:highlight w:val="none"/>
          <w:lang w:val="en-US" w:eastAsia="zh-CN" w:bidi="ar"/>
        </w:rPr>
        <w:t>获奖由建设行政主管部门或行业协会颁发的工程质量方面奖项为准（行业协会须在民政管理部门登记备案）。国家级奖项指中国建设工程鲁班奖、国家优质工程（金质奖）、国家优质工程奖、中国土木工程詹天佑奖、中国电力优质工程奖。省或市级工程质量奖项指：由省、市级建设行政主管部门或行业协会颁发的工程质量类奖项。不包含装饰装修、钢结构、技术创新、QC成果、科技进步及技术应用类等奖项。同一项目只按最高奖项计算一次得分，不得重复计算；获奖时间以获奖证书为准，投标人须提交证书扫描件，不符合上述条件或未提供上述资料的不得分。</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4、【工程研发能力】：</w:t>
      </w:r>
      <w:r>
        <w:rPr>
          <w:rFonts w:hint="eastAsia" w:ascii="宋体" w:hAnsi="宋体" w:eastAsia="宋体" w:cs="宋体"/>
          <w:color w:val="auto"/>
          <w:kern w:val="2"/>
          <w:sz w:val="21"/>
          <w:szCs w:val="21"/>
          <w:highlight w:val="none"/>
          <w:lang w:val="en-US" w:eastAsia="zh-CN" w:bidi="ar"/>
        </w:rPr>
        <w:t>投标人须提供由建设行政主管部门或行业协会（行业协会须在民政管理部门登记备案）或其他工法主管部门颁发的获奖证书扫描件并加盖投标单位电子印章，时间以发证时间为准；不符合上述条件或未提供上述资料的不得分。</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5、【财务状况】：</w:t>
      </w:r>
      <w:r>
        <w:rPr>
          <w:rFonts w:hint="eastAsia" w:ascii="Times New Roman" w:hAnsi="Times New Roman" w:eastAsia="宋体" w:cs="宋体"/>
          <w:color w:val="auto"/>
          <w:kern w:val="2"/>
          <w:sz w:val="21"/>
          <w:szCs w:val="22"/>
          <w:highlight w:val="none"/>
          <w:lang w:val="en-US" w:eastAsia="zh-CN" w:bidi="ar"/>
        </w:rPr>
        <w:t>资产负债率</w:t>
      </w:r>
      <w:r>
        <w:rPr>
          <w:rFonts w:hint="default" w:ascii="Times New Roman" w:hAnsi="Times New Roman" w:eastAsia="宋体" w:cs="Times New Roman"/>
          <w:color w:val="auto"/>
          <w:kern w:val="2"/>
          <w:sz w:val="21"/>
          <w:szCs w:val="22"/>
          <w:highlight w:val="none"/>
          <w:lang w:val="en-US" w:eastAsia="zh-CN" w:bidi="ar"/>
        </w:rPr>
        <w:t>=</w:t>
      </w:r>
      <w:r>
        <w:rPr>
          <w:rFonts w:hint="eastAsia" w:ascii="Times New Roman" w:hAnsi="Times New Roman" w:eastAsia="宋体" w:cs="宋体"/>
          <w:color w:val="auto"/>
          <w:kern w:val="2"/>
          <w:sz w:val="21"/>
          <w:szCs w:val="22"/>
          <w:highlight w:val="none"/>
          <w:lang w:val="en-US" w:eastAsia="zh-CN" w:bidi="ar"/>
        </w:rPr>
        <w:t>期（年）末负债总额</w:t>
      </w:r>
      <w:r>
        <w:rPr>
          <w:rFonts w:hint="default" w:ascii="Times New Roman" w:hAnsi="Times New Roman" w:eastAsia="宋体" w:cs="Times New Roman"/>
          <w:color w:val="auto"/>
          <w:kern w:val="2"/>
          <w:sz w:val="21"/>
          <w:szCs w:val="22"/>
          <w:highlight w:val="none"/>
          <w:lang w:val="en-US" w:eastAsia="zh-CN" w:bidi="ar"/>
        </w:rPr>
        <w:t>/</w:t>
      </w:r>
      <w:r>
        <w:rPr>
          <w:rFonts w:hint="eastAsia" w:ascii="Times New Roman" w:hAnsi="Times New Roman" w:eastAsia="宋体" w:cs="宋体"/>
          <w:color w:val="auto"/>
          <w:kern w:val="2"/>
          <w:sz w:val="21"/>
          <w:szCs w:val="22"/>
          <w:highlight w:val="none"/>
          <w:lang w:val="en-US" w:eastAsia="zh-CN" w:bidi="ar"/>
        </w:rPr>
        <w:t>期（年）末资产总额</w:t>
      </w:r>
      <w:r>
        <w:rPr>
          <w:rFonts w:hint="default" w:ascii="Times New Roman" w:hAnsi="Times New Roman" w:eastAsia="宋体" w:cs="Times New Roman"/>
          <w:color w:val="auto"/>
          <w:kern w:val="2"/>
          <w:sz w:val="21"/>
          <w:szCs w:val="22"/>
          <w:highlight w:val="none"/>
          <w:lang w:val="en-US" w:eastAsia="zh-CN" w:bidi="ar"/>
        </w:rPr>
        <w:t>*100%</w:t>
      </w:r>
      <w:r>
        <w:rPr>
          <w:rFonts w:hint="eastAsia" w:ascii="Times New Roman" w:hAnsi="Times New Roman" w:eastAsia="宋体" w:cs="宋体"/>
          <w:color w:val="auto"/>
          <w:kern w:val="2"/>
          <w:sz w:val="21"/>
          <w:szCs w:val="22"/>
          <w:highlight w:val="none"/>
          <w:lang w:val="en-US" w:eastAsia="zh-CN" w:bidi="ar"/>
        </w:rPr>
        <w:t>，期（年）末负债总额、期（年）末资产总额均以经会计师事务所审计的财务报表的数据为准，须提供</w:t>
      </w:r>
      <w:r>
        <w:rPr>
          <w:rFonts w:hint="default" w:ascii="Times New Roman" w:hAnsi="Times New Roman" w:eastAsia="宋体" w:cs="Times New Roman"/>
          <w:color w:val="auto"/>
          <w:kern w:val="2"/>
          <w:sz w:val="21"/>
          <w:szCs w:val="22"/>
          <w:highlight w:val="none"/>
          <w:lang w:val="en-US" w:eastAsia="zh-CN" w:bidi="ar"/>
        </w:rPr>
        <w:t>2019</w:t>
      </w:r>
      <w:r>
        <w:rPr>
          <w:rFonts w:hint="eastAsia" w:ascii="Times New Roman" w:hAnsi="Times New Roman" w:eastAsia="宋体" w:cs="宋体"/>
          <w:color w:val="auto"/>
          <w:kern w:val="2"/>
          <w:sz w:val="21"/>
          <w:szCs w:val="22"/>
          <w:highlight w:val="none"/>
          <w:lang w:val="en-US" w:eastAsia="zh-CN" w:bidi="ar"/>
        </w:rPr>
        <w:t>、</w:t>
      </w:r>
      <w:r>
        <w:rPr>
          <w:rFonts w:hint="default" w:ascii="Times New Roman" w:hAnsi="Times New Roman" w:eastAsia="宋体" w:cs="Times New Roman"/>
          <w:color w:val="auto"/>
          <w:kern w:val="2"/>
          <w:sz w:val="21"/>
          <w:szCs w:val="22"/>
          <w:highlight w:val="none"/>
          <w:lang w:val="en-US" w:eastAsia="zh-CN" w:bidi="ar"/>
        </w:rPr>
        <w:t>2020</w:t>
      </w:r>
      <w:r>
        <w:rPr>
          <w:rFonts w:hint="eastAsia" w:ascii="Times New Roman" w:hAnsi="Times New Roman" w:eastAsia="宋体" w:cs="宋体"/>
          <w:color w:val="auto"/>
          <w:kern w:val="2"/>
          <w:sz w:val="21"/>
          <w:szCs w:val="22"/>
          <w:highlight w:val="none"/>
          <w:lang w:val="en-US" w:eastAsia="zh-CN" w:bidi="ar"/>
        </w:rPr>
        <w:t>、</w:t>
      </w:r>
      <w:r>
        <w:rPr>
          <w:rFonts w:hint="default" w:ascii="Times New Roman" w:hAnsi="Times New Roman" w:eastAsia="宋体" w:cs="Times New Roman"/>
          <w:color w:val="auto"/>
          <w:kern w:val="2"/>
          <w:sz w:val="21"/>
          <w:szCs w:val="22"/>
          <w:highlight w:val="none"/>
          <w:lang w:val="en-US" w:eastAsia="zh-CN" w:bidi="ar"/>
        </w:rPr>
        <w:t>2021</w:t>
      </w:r>
      <w:r>
        <w:rPr>
          <w:rFonts w:hint="eastAsia" w:ascii="Times New Roman" w:hAnsi="Times New Roman" w:eastAsia="宋体" w:cs="宋体"/>
          <w:color w:val="auto"/>
          <w:kern w:val="2"/>
          <w:sz w:val="21"/>
          <w:szCs w:val="22"/>
          <w:highlight w:val="none"/>
          <w:lang w:val="en-US" w:eastAsia="zh-CN" w:bidi="ar"/>
        </w:rPr>
        <w:t>年度经会计师事务所审计的财务报表原件扫描件（提供资产负债表、利润表、现金流量表和相关审计单位营业执照等关键信息页即可）。企业成立时间不足</w:t>
      </w:r>
      <w:r>
        <w:rPr>
          <w:rFonts w:hint="default" w:ascii="Times New Roman" w:hAnsi="Times New Roman" w:eastAsia="宋体" w:cs="Times New Roman"/>
          <w:color w:val="auto"/>
          <w:kern w:val="2"/>
          <w:sz w:val="21"/>
          <w:szCs w:val="22"/>
          <w:highlight w:val="none"/>
          <w:lang w:val="en-US" w:eastAsia="zh-CN" w:bidi="ar"/>
        </w:rPr>
        <w:t>3</w:t>
      </w:r>
      <w:r>
        <w:rPr>
          <w:rFonts w:hint="eastAsia" w:ascii="Times New Roman" w:hAnsi="Times New Roman" w:eastAsia="宋体" w:cs="宋体"/>
          <w:color w:val="auto"/>
          <w:kern w:val="2"/>
          <w:sz w:val="21"/>
          <w:szCs w:val="22"/>
          <w:highlight w:val="none"/>
          <w:lang w:val="en-US" w:eastAsia="zh-CN" w:bidi="ar"/>
        </w:rPr>
        <w:t>年的，以</w:t>
      </w:r>
      <w:r>
        <w:rPr>
          <w:rFonts w:hint="default" w:ascii="Times New Roman" w:hAnsi="Times New Roman" w:eastAsia="宋体" w:cs="Times New Roman"/>
          <w:color w:val="auto"/>
          <w:kern w:val="2"/>
          <w:sz w:val="21"/>
          <w:szCs w:val="22"/>
          <w:highlight w:val="none"/>
          <w:lang w:val="en-US" w:eastAsia="zh-CN" w:bidi="ar"/>
        </w:rPr>
        <w:t>2021</w:t>
      </w:r>
      <w:r>
        <w:rPr>
          <w:rFonts w:hint="eastAsia" w:ascii="Times New Roman" w:hAnsi="Times New Roman" w:eastAsia="宋体" w:cs="宋体"/>
          <w:color w:val="auto"/>
          <w:kern w:val="2"/>
          <w:sz w:val="21"/>
          <w:szCs w:val="22"/>
          <w:highlight w:val="none"/>
          <w:lang w:val="en-US" w:eastAsia="zh-CN" w:bidi="ar"/>
        </w:rPr>
        <w:t>年度经会计师事务所审计的财务报表的数据计算的资产负债率作为近</w:t>
      </w:r>
      <w:r>
        <w:rPr>
          <w:rFonts w:hint="default" w:ascii="Times New Roman" w:hAnsi="Times New Roman" w:eastAsia="宋体" w:cs="Times New Roman"/>
          <w:color w:val="auto"/>
          <w:kern w:val="2"/>
          <w:sz w:val="21"/>
          <w:szCs w:val="22"/>
          <w:highlight w:val="none"/>
          <w:lang w:val="en-US" w:eastAsia="zh-CN" w:bidi="ar"/>
        </w:rPr>
        <w:t>3</w:t>
      </w:r>
      <w:r>
        <w:rPr>
          <w:rFonts w:hint="eastAsia" w:ascii="Times New Roman" w:hAnsi="Times New Roman" w:eastAsia="宋体" w:cs="宋体"/>
          <w:color w:val="auto"/>
          <w:kern w:val="2"/>
          <w:sz w:val="21"/>
          <w:szCs w:val="22"/>
          <w:highlight w:val="none"/>
          <w:lang w:val="en-US" w:eastAsia="zh-CN" w:bidi="ar"/>
        </w:rPr>
        <w:t>年平均资产负债率。不符合上述条件或未提供上述资料的不得分。</w:t>
      </w:r>
    </w:p>
    <w:p>
      <w:pPr>
        <w:pStyle w:val="32"/>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6、评标委员会成员评分的算术平均值，即为该投标人的评审得分（若分数出现小数点时，保留到小数点后两位，第三位小数四舍五入）。</w:t>
      </w:r>
    </w:p>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auto"/>
          <w:szCs w:val="21"/>
          <w:highlight w:val="none"/>
          <w:lang w:val="en-US"/>
        </w:rPr>
      </w:pPr>
    </w:p>
    <w:p>
      <w:pPr>
        <w:keepNext w:val="0"/>
        <w:keepLines w:val="0"/>
        <w:widowControl w:val="0"/>
        <w:suppressLineNumbers w:val="0"/>
        <w:snapToGrid w:val="0"/>
        <w:spacing w:before="0" w:beforeAutospacing="0" w:after="0" w:afterAutospacing="0" w:line="276" w:lineRule="auto"/>
        <w:ind w:left="0" w:right="512" w:rightChars="244"/>
        <w:jc w:val="both"/>
        <w:rPr>
          <w:rFonts w:hint="default" w:ascii="Times New Roman" w:hAnsi="Times New Roman" w:cs="Times New Roman"/>
          <w:color w:val="auto"/>
          <w:sz w:val="18"/>
          <w:szCs w:val="18"/>
          <w:highlight w:val="none"/>
          <w:lang w:val="en-US"/>
        </w:rPr>
      </w:pPr>
      <w:r>
        <w:rPr>
          <w:rFonts w:hint="eastAsia" w:ascii="宋体" w:hAnsi="宋体" w:eastAsia="宋体" w:cs="宋体"/>
          <w:color w:val="auto"/>
          <w:kern w:val="2"/>
          <w:sz w:val="21"/>
          <w:szCs w:val="21"/>
          <w:highlight w:val="none"/>
          <w:lang w:val="en-US" w:eastAsia="zh-CN" w:bidi="ar"/>
        </w:rPr>
        <w:t>评委签名：                     日期：</w:t>
      </w:r>
    </w:p>
    <w:p>
      <w:pPr>
        <w:rPr>
          <w:rFonts w:ascii="宋体" w:hAnsi="宋体" w:cs="宋体"/>
          <w:color w:val="auto"/>
          <w:sz w:val="18"/>
          <w:szCs w:val="18"/>
          <w:highlight w:val="none"/>
        </w:rPr>
      </w:pPr>
    </w:p>
    <w:p>
      <w:pPr>
        <w:rPr>
          <w:color w:val="auto"/>
          <w:szCs w:val="21"/>
          <w:highlight w:val="none"/>
        </w:rPr>
      </w:pPr>
    </w:p>
    <w:p>
      <w:pPr>
        <w:rPr>
          <w:color w:val="auto"/>
          <w:szCs w:val="21"/>
          <w:highlight w:val="none"/>
        </w:rPr>
      </w:pPr>
      <w:r>
        <w:rPr>
          <w:rFonts w:hint="eastAsia"/>
          <w:color w:val="auto"/>
          <w:szCs w:val="21"/>
          <w:highlight w:val="none"/>
        </w:rPr>
        <w:br w:type="page"/>
      </w:r>
    </w:p>
    <w:p>
      <w:pPr>
        <w:rPr>
          <w:color w:val="auto"/>
          <w:szCs w:val="21"/>
          <w:highlight w:val="none"/>
        </w:rPr>
      </w:pPr>
      <w:r>
        <w:rPr>
          <w:rFonts w:hint="eastAsia"/>
          <w:color w:val="auto"/>
          <w:szCs w:val="21"/>
          <w:highlight w:val="none"/>
        </w:rPr>
        <w:t>表五（适用于加权平均法）</w:t>
      </w:r>
    </w:p>
    <w:p>
      <w:pPr>
        <w:jc w:val="center"/>
        <w:rPr>
          <w:b/>
          <w:color w:val="auto"/>
          <w:sz w:val="36"/>
          <w:szCs w:val="36"/>
          <w:highlight w:val="none"/>
        </w:rPr>
      </w:pPr>
      <w:r>
        <w:rPr>
          <w:rFonts w:hint="eastAsia"/>
          <w:b/>
          <w:color w:val="auto"/>
          <w:sz w:val="36"/>
          <w:szCs w:val="36"/>
          <w:highlight w:val="none"/>
        </w:rPr>
        <w:t>经济标评分表（权重80%）</w:t>
      </w:r>
    </w:p>
    <w:p>
      <w:pPr>
        <w:rPr>
          <w:color w:val="auto"/>
          <w:szCs w:val="21"/>
          <w:highlight w:val="none"/>
        </w:rPr>
      </w:pPr>
      <w:r>
        <w:rPr>
          <w:rFonts w:hint="eastAsia"/>
          <w:color w:val="auto"/>
          <w:szCs w:val="21"/>
          <w:highlight w:val="none"/>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投标报价</w:t>
            </w:r>
            <w:r>
              <w:rPr>
                <w:rFonts w:hint="default"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偏差（（</w:t>
            </w:r>
            <w:r>
              <w:rPr>
                <w:rFonts w:hint="default" w:ascii="宋体" w:hAnsi="宋体"/>
                <w:color w:val="auto"/>
                <w:szCs w:val="21"/>
                <w:highlight w:val="none"/>
              </w:rPr>
              <w:t>PT-PC</w:t>
            </w:r>
            <w:r>
              <w:rPr>
                <w:rFonts w:hint="eastAsia" w:ascii="宋体" w:hAnsi="宋体"/>
                <w:color w:val="auto"/>
                <w:szCs w:val="21"/>
                <w:highlight w:val="none"/>
              </w:rPr>
              <w:t>）</w:t>
            </w:r>
            <w:r>
              <w:rPr>
                <w:rFonts w:hint="default" w:ascii="宋体" w:hAnsi="宋体"/>
                <w:color w:val="auto"/>
                <w:szCs w:val="21"/>
                <w:highlight w:val="none"/>
              </w:rPr>
              <w:t>/PC</w:t>
            </w:r>
            <w:r>
              <w:rPr>
                <w:rFonts w:hint="eastAsia" w:ascii="宋体" w:hAnsi="宋体"/>
                <w:color w:val="auto"/>
                <w:szCs w:val="21"/>
                <w:highlight w:val="none"/>
              </w:rPr>
              <w:t>）（</w:t>
            </w:r>
            <w:r>
              <w:rPr>
                <w:rFonts w:hint="default"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减分（</w:t>
            </w:r>
            <w:r>
              <w:rPr>
                <w:rFonts w:hint="default"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得分</w:t>
            </w:r>
            <w:r>
              <w:rPr>
                <w:rFonts w:hint="default"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szCs w:val="21"/>
                <w:highlight w:val="none"/>
              </w:rPr>
            </w:pPr>
          </w:p>
        </w:tc>
      </w:tr>
    </w:tbl>
    <w:p>
      <w:pPr>
        <w:rPr>
          <w:color w:val="auto"/>
          <w:szCs w:val="21"/>
          <w:highlight w:val="none"/>
        </w:rPr>
      </w:pPr>
      <w:r>
        <w:rPr>
          <w:rFonts w:hint="eastAsia"/>
          <w:color w:val="auto"/>
          <w:szCs w:val="21"/>
          <w:highlight w:val="none"/>
        </w:rPr>
        <w:t>评委签名：</w:t>
      </w:r>
      <w:r>
        <w:rPr>
          <w:b/>
          <w:color w:val="auto"/>
          <w:sz w:val="36"/>
          <w:szCs w:val="36"/>
          <w:highlight w:val="none"/>
        </w:rPr>
        <w:br w:type="page"/>
      </w:r>
      <w:r>
        <w:rPr>
          <w:color w:val="auto"/>
          <w:szCs w:val="21"/>
          <w:highlight w:val="none"/>
        </w:rPr>
        <w:t xml:space="preserve"> </w:t>
      </w: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修正前投标</w:t>
            </w:r>
          </w:p>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报价</w:t>
            </w:r>
            <w:r>
              <w:rPr>
                <w:rFonts w:hint="default"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修正后投标</w:t>
            </w:r>
          </w:p>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报价</w:t>
            </w:r>
            <w:r>
              <w:rPr>
                <w:rFonts w:hint="default"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修正率</w:t>
            </w:r>
          </w:p>
          <w:p>
            <w:pPr>
              <w:pStyle w:val="10"/>
              <w:keepNext w:val="0"/>
              <w:keepLines w:val="0"/>
              <w:suppressLineNumbers w:val="0"/>
              <w:spacing w:before="0" w:beforeAutospacing="0" w:after="0" w:afterAutospacing="0"/>
              <w:ind w:left="0" w:right="0"/>
              <w:rPr>
                <w:rFonts w:hint="default"/>
                <w:color w:val="auto"/>
                <w:highlight w:val="none"/>
              </w:rPr>
            </w:pPr>
          </w:p>
          <w:p>
            <w:pPr>
              <w:pStyle w:val="10"/>
              <w:keepNext w:val="0"/>
              <w:keepLines w:val="0"/>
              <w:suppressLineNumbers w:val="0"/>
              <w:spacing w:before="0" w:beforeAutospacing="0" w:after="0" w:afterAutospacing="0"/>
              <w:ind w:left="0" w:right="0"/>
              <w:rPr>
                <w:rFonts w:hint="default"/>
                <w:color w:val="auto"/>
                <w:highlight w:val="none"/>
              </w:rPr>
            </w:pPr>
          </w:p>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default"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当</w:t>
            </w:r>
            <w:r>
              <w:rPr>
                <w:rFonts w:hint="default"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hint="default" w:ascii="宋体" w:hAnsi="宋体"/>
                <w:color w:val="auto"/>
                <w:kern w:val="0"/>
                <w:szCs w:val="21"/>
                <w:highlight w:val="none"/>
              </w:rPr>
              <w:t>B</w:t>
            </w:r>
            <w:r>
              <w:rPr>
                <w:rFonts w:hint="eastAsia" w:ascii="宋体" w:hAnsi="宋体"/>
                <w:color w:val="auto"/>
                <w:kern w:val="0"/>
                <w:szCs w:val="21"/>
                <w:highlight w:val="none"/>
              </w:rPr>
              <w:t>≤</w:t>
            </w:r>
            <w:r>
              <w:rPr>
                <w:rFonts w:hint="default" w:ascii="宋体" w:hAnsi="宋体"/>
                <w:color w:val="auto"/>
                <w:kern w:val="0"/>
                <w:szCs w:val="21"/>
                <w:highlight w:val="none"/>
              </w:rPr>
              <w:t>A</w:t>
            </w:r>
            <w:r>
              <w:rPr>
                <w:rFonts w:hint="eastAsia" w:ascii="宋体" w:hAnsi="宋体"/>
                <w:color w:val="auto"/>
                <w:kern w:val="0"/>
                <w:szCs w:val="21"/>
                <w:highlight w:val="none"/>
              </w:rPr>
              <w:t>时</w:t>
            </w:r>
            <w:r>
              <w:rPr>
                <w:rFonts w:hint="default"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default"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default" w:ascii="宋体" w:hAnsi="宋体"/>
                <w:color w:val="auto"/>
                <w:kern w:val="0"/>
                <w:szCs w:val="21"/>
                <w:highlight w:val="none"/>
              </w:rPr>
              <w:t>[</w:t>
            </w:r>
            <w:r>
              <w:rPr>
                <w:rFonts w:hint="eastAsia" w:ascii="宋体" w:hAnsi="宋体"/>
                <w:color w:val="auto"/>
                <w:kern w:val="0"/>
                <w:szCs w:val="21"/>
                <w:highlight w:val="none"/>
              </w:rPr>
              <w:t>单位工程</w:t>
            </w:r>
            <w:r>
              <w:rPr>
                <w:rFonts w:hint="default"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default"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default" w:ascii="宋体" w:hAnsi="宋体"/>
                <w:color w:val="auto"/>
                <w:kern w:val="0"/>
                <w:szCs w:val="21"/>
                <w:highlight w:val="none"/>
              </w:rPr>
              <w:t>[</w:t>
            </w:r>
            <w:r>
              <w:rPr>
                <w:rFonts w:hint="eastAsia" w:ascii="宋体" w:hAnsi="宋体"/>
                <w:color w:val="auto"/>
                <w:kern w:val="0"/>
                <w:szCs w:val="21"/>
                <w:highlight w:val="none"/>
              </w:rPr>
              <w:t>单位工程</w:t>
            </w:r>
            <w:r>
              <w:rPr>
                <w:rFonts w:hint="default"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default"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default" w:ascii="宋体" w:hAnsi="宋体"/>
                <w:color w:val="auto"/>
                <w:kern w:val="0"/>
                <w:szCs w:val="21"/>
                <w:highlight w:val="none"/>
              </w:rPr>
              <w:t>[</w:t>
            </w:r>
            <w:r>
              <w:rPr>
                <w:rFonts w:hint="eastAsia" w:ascii="宋体" w:hAnsi="宋体"/>
                <w:color w:val="auto"/>
                <w:kern w:val="0"/>
                <w:szCs w:val="21"/>
                <w:highlight w:val="none"/>
              </w:rPr>
              <w:t>单位工程</w:t>
            </w:r>
            <w:r>
              <w:rPr>
                <w:rFonts w:hint="default"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olor w:val="auto"/>
                <w:kern w:val="0"/>
                <w:szCs w:val="21"/>
                <w:highlight w:val="none"/>
              </w:rPr>
            </w:pPr>
            <w:r>
              <w:rPr>
                <w:rFonts w:hint="eastAsia" w:ascii="宋体" w:hAnsi="宋体"/>
                <w:color w:val="auto"/>
                <w:kern w:val="0"/>
                <w:szCs w:val="21"/>
                <w:highlight w:val="none"/>
              </w:rPr>
              <w:t>∑</w:t>
            </w:r>
            <w:r>
              <w:rPr>
                <w:rFonts w:hint="default" w:ascii="宋体" w:hAnsi="宋体"/>
                <w:color w:val="auto"/>
                <w:kern w:val="0"/>
                <w:szCs w:val="21"/>
                <w:highlight w:val="none"/>
              </w:rPr>
              <w:t>A=A</w:t>
            </w:r>
            <w:r>
              <w:rPr>
                <w:rFonts w:hint="default" w:ascii="宋体" w:hAnsi="宋体"/>
                <w:color w:val="auto"/>
                <w:kern w:val="0"/>
                <w:szCs w:val="21"/>
                <w:highlight w:val="none"/>
                <w:vertAlign w:val="subscript"/>
              </w:rPr>
              <w:t>1</w:t>
            </w:r>
            <w:r>
              <w:rPr>
                <w:rFonts w:hint="default" w:ascii="宋体" w:hAnsi="宋体"/>
                <w:color w:val="auto"/>
                <w:kern w:val="0"/>
                <w:szCs w:val="21"/>
                <w:highlight w:val="none"/>
              </w:rPr>
              <w:t>+A</w:t>
            </w:r>
            <w:r>
              <w:rPr>
                <w:rFonts w:hint="default" w:ascii="宋体" w:hAnsi="宋体"/>
                <w:color w:val="auto"/>
                <w:kern w:val="0"/>
                <w:szCs w:val="21"/>
                <w:highlight w:val="none"/>
                <w:vertAlign w:val="subscript"/>
              </w:rPr>
              <w:t>2</w:t>
            </w:r>
            <w:r>
              <w:rPr>
                <w:rFonts w:hint="default" w:ascii="宋体" w:hAnsi="宋体"/>
                <w:color w:val="auto"/>
                <w:kern w:val="0"/>
                <w:szCs w:val="21"/>
                <w:highlight w:val="none"/>
              </w:rPr>
              <w:t>+</w:t>
            </w:r>
            <w:r>
              <w:rPr>
                <w:rFonts w:hint="eastAsia" w:ascii="宋体" w:hAnsi="宋体"/>
                <w:color w:val="auto"/>
                <w:kern w:val="0"/>
                <w:szCs w:val="21"/>
                <w:highlight w:val="none"/>
              </w:rPr>
              <w:t>…</w:t>
            </w:r>
            <w:r>
              <w:rPr>
                <w:rFonts w:hint="default" w:ascii="宋体" w:hAnsi="宋体"/>
                <w:color w:val="auto"/>
                <w:kern w:val="0"/>
                <w:szCs w:val="21"/>
                <w:highlight w:val="none"/>
              </w:rPr>
              <w:t>An</w:t>
            </w:r>
            <w:r>
              <w:rPr>
                <w:rFonts w:hint="eastAsia" w:ascii="宋体" w:hAnsi="宋体"/>
                <w:color w:val="auto"/>
                <w:kern w:val="0"/>
                <w:szCs w:val="21"/>
                <w:highlight w:val="none"/>
              </w:rPr>
              <w:t>；∑</w:t>
            </w:r>
            <w:r>
              <w:rPr>
                <w:rFonts w:hint="default" w:ascii="宋体" w:hAnsi="宋体"/>
                <w:color w:val="auto"/>
                <w:kern w:val="0"/>
                <w:szCs w:val="21"/>
                <w:highlight w:val="none"/>
              </w:rPr>
              <w:t>B=B</w:t>
            </w:r>
            <w:r>
              <w:rPr>
                <w:rFonts w:hint="default" w:ascii="宋体" w:hAnsi="宋体"/>
                <w:color w:val="auto"/>
                <w:kern w:val="0"/>
                <w:szCs w:val="21"/>
                <w:highlight w:val="none"/>
                <w:vertAlign w:val="subscript"/>
              </w:rPr>
              <w:t>1</w:t>
            </w:r>
            <w:r>
              <w:rPr>
                <w:rFonts w:hint="default" w:ascii="宋体" w:hAnsi="宋体"/>
                <w:color w:val="auto"/>
                <w:kern w:val="0"/>
                <w:szCs w:val="21"/>
                <w:highlight w:val="none"/>
              </w:rPr>
              <w:t>+B</w:t>
            </w:r>
            <w:r>
              <w:rPr>
                <w:rFonts w:hint="default" w:ascii="宋体" w:hAnsi="宋体"/>
                <w:color w:val="auto"/>
                <w:kern w:val="0"/>
                <w:szCs w:val="21"/>
                <w:highlight w:val="none"/>
                <w:vertAlign w:val="subscript"/>
              </w:rPr>
              <w:t>2</w:t>
            </w:r>
            <w:r>
              <w:rPr>
                <w:rFonts w:hint="default" w:ascii="宋体" w:hAnsi="宋体"/>
                <w:color w:val="auto"/>
                <w:kern w:val="0"/>
                <w:szCs w:val="21"/>
                <w:highlight w:val="none"/>
              </w:rPr>
              <w:t>+</w:t>
            </w:r>
            <w:r>
              <w:rPr>
                <w:rFonts w:hint="eastAsia" w:ascii="宋体" w:hAnsi="宋体"/>
                <w:color w:val="auto"/>
                <w:kern w:val="0"/>
                <w:szCs w:val="21"/>
                <w:highlight w:val="none"/>
              </w:rPr>
              <w:t>…</w:t>
            </w:r>
            <w:r>
              <w:rPr>
                <w:rFonts w:hint="default"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原投标报价（</w:t>
            </w:r>
            <w:r>
              <w:rPr>
                <w:rFonts w:hint="default"/>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算数复核后投标报价（</w:t>
            </w:r>
            <w:r>
              <w:rPr>
                <w:rFonts w:hint="default"/>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误差率（</w:t>
            </w:r>
            <w:r>
              <w:rPr>
                <w:rFonts w:hint="default"/>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276" w:right="1247" w:bottom="1418" w:left="1134" w:header="851" w:footer="907" w:gutter="0"/>
          <w:cols w:space="425" w:num="1"/>
          <w:titlePg/>
          <w:docGrid w:type="lines" w:linePitch="312" w:charSpace="0"/>
        </w:sectPr>
      </w:pPr>
    </w:p>
    <w:p>
      <w:pPr>
        <w:pStyle w:val="3"/>
        <w:rPr>
          <w:color w:val="auto"/>
          <w:highlight w:val="none"/>
        </w:rPr>
      </w:pPr>
      <w:bookmarkStart w:id="45" w:name="_Toc21525511"/>
      <w:bookmarkStart w:id="46" w:name="_Toc8251"/>
      <w:bookmarkStart w:id="47" w:name="_Toc2272566"/>
      <w:r>
        <w:rPr>
          <w:rFonts w:hint="eastAsia"/>
          <w:color w:val="auto"/>
          <w:highlight w:val="none"/>
        </w:rPr>
        <w:t>第三章</w:t>
      </w:r>
      <w:r>
        <w:rPr>
          <w:color w:val="auto"/>
          <w:highlight w:val="none"/>
        </w:rPr>
        <w:t xml:space="preserve">  </w:t>
      </w:r>
      <w:r>
        <w:rPr>
          <w:rFonts w:hint="eastAsia"/>
          <w:color w:val="auto"/>
          <w:highlight w:val="none"/>
        </w:rPr>
        <w:t>合同条款</w:t>
      </w:r>
      <w:bookmarkEnd w:id="45"/>
      <w:bookmarkEnd w:id="46"/>
      <w:bookmarkEnd w:id="47"/>
    </w:p>
    <w:p>
      <w:pPr>
        <w:rPr>
          <w:color w:val="auto"/>
          <w:sz w:val="24"/>
          <w:szCs w:val="24"/>
          <w:highlight w:val="none"/>
        </w:rPr>
      </w:pPr>
    </w:p>
    <w:p>
      <w:pPr>
        <w:pStyle w:val="5"/>
        <w:spacing w:line="360" w:lineRule="auto"/>
        <w:rPr>
          <w:color w:val="auto"/>
          <w:sz w:val="24"/>
          <w:szCs w:val="24"/>
          <w:highlight w:val="none"/>
        </w:rPr>
      </w:pPr>
      <w:r>
        <w:rPr>
          <w:rFonts w:hint="eastAsia"/>
          <w:color w:val="auto"/>
          <w:sz w:val="24"/>
          <w:szCs w:val="24"/>
          <w:highlight w:val="none"/>
        </w:rPr>
        <w:t>另册。</w:t>
      </w: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2"/>
        <w:spacing w:line="360" w:lineRule="auto"/>
        <w:rPr>
          <w:color w:val="auto"/>
          <w:sz w:val="24"/>
          <w:szCs w:val="24"/>
          <w:highlight w:val="none"/>
        </w:rPr>
      </w:pPr>
    </w:p>
    <w:p>
      <w:pPr>
        <w:pStyle w:val="2"/>
        <w:spacing w:line="360" w:lineRule="auto"/>
        <w:rPr>
          <w:color w:val="auto"/>
          <w:sz w:val="24"/>
          <w:szCs w:val="24"/>
          <w:highlight w:val="none"/>
        </w:rPr>
      </w:pPr>
      <w:r>
        <w:rPr>
          <w:color w:val="auto"/>
          <w:sz w:val="24"/>
          <w:szCs w:val="24"/>
          <w:highlight w:val="none"/>
        </w:rPr>
        <w:br w:type="page"/>
      </w:r>
    </w:p>
    <w:p>
      <w:pPr>
        <w:pStyle w:val="3"/>
        <w:rPr>
          <w:color w:val="auto"/>
          <w:highlight w:val="none"/>
        </w:rPr>
      </w:pPr>
      <w:bookmarkStart w:id="48" w:name="_Toc2272567"/>
      <w:bookmarkStart w:id="49" w:name="_Toc21525512"/>
      <w:bookmarkStart w:id="50" w:name="_Toc21393"/>
      <w:r>
        <w:rPr>
          <w:rFonts w:hint="eastAsia"/>
          <w:color w:val="auto"/>
          <w:highlight w:val="none"/>
        </w:rPr>
        <w:t>第四章</w:t>
      </w:r>
      <w:r>
        <w:rPr>
          <w:color w:val="auto"/>
          <w:highlight w:val="none"/>
        </w:rPr>
        <w:t xml:space="preserve">  </w:t>
      </w:r>
      <w:r>
        <w:rPr>
          <w:rFonts w:hint="eastAsia"/>
          <w:color w:val="auto"/>
          <w:highlight w:val="none"/>
        </w:rPr>
        <w:t>投标文件格式</w:t>
      </w:r>
      <w:bookmarkEnd w:id="48"/>
      <w:bookmarkEnd w:id="49"/>
      <w:bookmarkEnd w:id="50"/>
    </w:p>
    <w:p>
      <w:pPr>
        <w:pStyle w:val="5"/>
        <w:rPr>
          <w:color w:val="auto"/>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rPr>
          <w:rFonts w:ascii="宋体" w:hAnsi="宋体" w:cs="宋体"/>
          <w:color w:val="auto"/>
          <w:sz w:val="24"/>
          <w:szCs w:val="24"/>
          <w:highlight w:val="none"/>
        </w:rPr>
      </w:pPr>
    </w:p>
    <w:p>
      <w:pPr>
        <w:autoSpaceDE w:val="0"/>
        <w:autoSpaceDN w:val="0"/>
        <w:adjustRightInd w:val="0"/>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第一部分  投标文件技术标部分（部分格式）</w:t>
      </w:r>
    </w:p>
    <w:p>
      <w:pPr>
        <w:autoSpaceDE w:val="0"/>
        <w:autoSpaceDN w:val="0"/>
        <w:adjustRightInd w:val="0"/>
        <w:rPr>
          <w:rFonts w:ascii="宋体" w:hAnsi="宋体" w:cs="宋体"/>
          <w:color w:val="auto"/>
          <w:sz w:val="24"/>
          <w:szCs w:val="24"/>
          <w:highlight w:val="none"/>
        </w:rPr>
      </w:pPr>
    </w:p>
    <w:p>
      <w:pPr>
        <w:pStyle w:val="2"/>
        <w:rPr>
          <w:color w:val="auto"/>
          <w:highlight w:val="none"/>
        </w:rPr>
      </w:pPr>
    </w:p>
    <w:p>
      <w:pPr>
        <w:pStyle w:val="5"/>
        <w:rPr>
          <w:color w:val="auto"/>
          <w:highlight w:val="none"/>
        </w:rPr>
      </w:pPr>
    </w:p>
    <w:p>
      <w:pPr>
        <w:widowControl/>
        <w:topLinePunct/>
        <w:adjustRightInd w:val="0"/>
        <w:snapToGrid w:val="0"/>
        <w:spacing w:after="200"/>
        <w:jc w:val="left"/>
        <w:outlineLvl w:val="2"/>
        <w:rPr>
          <w:rFonts w:ascii="宋体" w:hAnsi="宋体"/>
          <w:color w:val="auto"/>
          <w:spacing w:val="4"/>
          <w:kern w:val="0"/>
          <w:sz w:val="24"/>
          <w:szCs w:val="24"/>
          <w:highlight w:val="none"/>
        </w:rPr>
      </w:pPr>
      <w:r>
        <w:rPr>
          <w:color w:val="auto"/>
          <w:highlight w:val="none"/>
        </w:rPr>
        <w:br w:type="page"/>
      </w:r>
      <w:bookmarkStart w:id="51" w:name="_Toc4489935"/>
      <w:bookmarkStart w:id="52" w:name="_Toc29476911"/>
      <w:bookmarkStart w:id="53" w:name="_Toc19936"/>
      <w:bookmarkStart w:id="54" w:name="_Toc62056032"/>
      <w:bookmarkStart w:id="55" w:name="_Toc24194"/>
      <w:bookmarkStart w:id="56" w:name="_Toc504722503"/>
      <w:r>
        <w:rPr>
          <w:rFonts w:hint="eastAsia" w:ascii="宋体" w:hAnsi="宋体"/>
          <w:color w:val="auto"/>
          <w:spacing w:val="4"/>
          <w:kern w:val="0"/>
          <w:sz w:val="24"/>
          <w:szCs w:val="24"/>
          <w:highlight w:val="none"/>
        </w:rPr>
        <w:t>格式一：技术标封面</w:t>
      </w:r>
      <w:bookmarkEnd w:id="51"/>
      <w:bookmarkEnd w:id="52"/>
      <w:bookmarkEnd w:id="53"/>
      <w:bookmarkEnd w:id="54"/>
      <w:bookmarkEnd w:id="55"/>
      <w:bookmarkEnd w:id="56"/>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jc w:val="center"/>
        <w:rPr>
          <w:rFonts w:ascii="宋体" w:hAnsi="宋体"/>
          <w:color w:val="auto"/>
          <w:spacing w:val="4"/>
          <w:kern w:val="0"/>
          <w:sz w:val="36"/>
          <w:szCs w:val="36"/>
          <w:highlight w:val="none"/>
          <w:u w:val="single"/>
        </w:rPr>
      </w:pPr>
      <w:r>
        <w:rPr>
          <w:rFonts w:hint="eastAsia" w:ascii="宋体" w:hAnsi="宋体"/>
          <w:color w:val="auto"/>
          <w:spacing w:val="4"/>
          <w:kern w:val="0"/>
          <w:sz w:val="36"/>
          <w:szCs w:val="36"/>
          <w:highlight w:val="none"/>
          <w:u w:val="single"/>
        </w:rPr>
        <w:t xml:space="preserve">[工程名称] </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jc w:val="center"/>
        <w:rPr>
          <w:rFonts w:ascii="宋体" w:hAnsi="宋体"/>
          <w:color w:val="auto"/>
          <w:spacing w:val="4"/>
          <w:kern w:val="0"/>
          <w:sz w:val="84"/>
          <w:szCs w:val="84"/>
          <w:highlight w:val="none"/>
        </w:rPr>
      </w:pPr>
      <w:r>
        <w:rPr>
          <w:rFonts w:hint="eastAsia" w:ascii="宋体" w:hAnsi="宋体"/>
          <w:color w:val="auto"/>
          <w:spacing w:val="4"/>
          <w:kern w:val="0"/>
          <w:sz w:val="84"/>
          <w:szCs w:val="84"/>
          <w:highlight w:val="none"/>
        </w:rPr>
        <w:t>投标文件</w:t>
      </w:r>
    </w:p>
    <w:p>
      <w:pPr>
        <w:widowControl/>
        <w:topLinePunct/>
        <w:adjustRightInd w:val="0"/>
        <w:snapToGrid w:val="0"/>
        <w:spacing w:after="200" w:line="360" w:lineRule="auto"/>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第一册  【技术投标书（含资格审查文件）】</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投标人：</w:t>
      </w:r>
      <w:r>
        <w:rPr>
          <w:rFonts w:hint="eastAsia" w:ascii="宋体" w:hAnsi="宋体"/>
          <w:color w:val="auto"/>
          <w:spacing w:val="4"/>
          <w:kern w:val="0"/>
          <w:sz w:val="30"/>
          <w:szCs w:val="30"/>
          <w:highlight w:val="none"/>
          <w:u w:val="single"/>
        </w:rPr>
        <w:t xml:space="preserve">    </w:t>
      </w:r>
      <w:bookmarkStart w:id="57" w:name="_Toc239216030"/>
      <w:bookmarkStart w:id="58" w:name="_Toc163337619"/>
      <w:bookmarkStart w:id="59" w:name="_Toc226209002"/>
      <w:bookmarkStart w:id="60" w:name="_Toc318924494"/>
      <w:bookmarkStart w:id="61" w:name="_Toc239311745"/>
      <w:bookmarkStart w:id="62" w:name="_Toc337720090"/>
      <w:bookmarkStart w:id="63" w:name="_Toc484958691"/>
      <w:bookmarkStart w:id="64" w:name="_Toc449308419"/>
      <w:bookmarkStart w:id="65" w:name="_Toc395261098"/>
      <w:bookmarkStart w:id="66" w:name="_Toc369536769"/>
      <w:bookmarkStart w:id="67" w:name="_Toc352240522"/>
      <w:bookmarkStart w:id="68" w:name="_Toc352623420"/>
      <w:bookmarkStart w:id="69" w:name="_Toc358370577"/>
      <w:bookmarkStart w:id="70" w:name="_Toc464131223"/>
      <w:r>
        <w:rPr>
          <w:rFonts w:hint="eastAsia" w:ascii="宋体" w:hAnsi="宋体"/>
          <w:color w:val="auto"/>
          <w:spacing w:val="4"/>
          <w:kern w:val="0"/>
          <w:sz w:val="30"/>
          <w:szCs w:val="30"/>
          <w:highlight w:val="none"/>
          <w:u w:val="single"/>
        </w:rPr>
        <w:t xml:space="preserve">    （填写投标人单位名称）</w:t>
      </w:r>
      <w:bookmarkEnd w:id="57"/>
      <w:bookmarkEnd w:id="58"/>
      <w:bookmarkEnd w:id="59"/>
      <w:bookmarkEnd w:id="60"/>
      <w:bookmarkEnd w:id="61"/>
      <w:bookmarkEnd w:id="62"/>
      <w:r>
        <w:rPr>
          <w:rFonts w:hint="eastAsia" w:ascii="宋体" w:hAnsi="宋体"/>
          <w:color w:val="auto"/>
          <w:spacing w:val="4"/>
          <w:kern w:val="0"/>
          <w:sz w:val="30"/>
          <w:szCs w:val="30"/>
          <w:highlight w:val="none"/>
          <w:u w:val="single"/>
        </w:rPr>
        <w:t xml:space="preserve">  （</w:t>
      </w:r>
      <w:bookmarkEnd w:id="63"/>
      <w:bookmarkEnd w:id="64"/>
      <w:bookmarkEnd w:id="65"/>
      <w:bookmarkEnd w:id="66"/>
      <w:bookmarkEnd w:id="67"/>
      <w:bookmarkEnd w:id="68"/>
      <w:bookmarkEnd w:id="69"/>
      <w:bookmarkEnd w:id="70"/>
      <w:r>
        <w:rPr>
          <w:rFonts w:hint="eastAsia" w:ascii="宋体" w:hAnsi="宋体"/>
          <w:color w:val="auto"/>
          <w:spacing w:val="4"/>
          <w:kern w:val="0"/>
          <w:sz w:val="30"/>
          <w:szCs w:val="30"/>
          <w:highlight w:val="none"/>
          <w:u w:val="single"/>
        </w:rPr>
        <w:t>盖章）</w:t>
      </w: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法定代表人或其委托代理人：</w:t>
      </w:r>
      <w:r>
        <w:rPr>
          <w:rFonts w:hint="eastAsia" w:ascii="宋体" w:hAnsi="宋体"/>
          <w:color w:val="auto"/>
          <w:spacing w:val="4"/>
          <w:kern w:val="0"/>
          <w:sz w:val="30"/>
          <w:szCs w:val="30"/>
          <w:highlight w:val="none"/>
          <w:u w:val="single"/>
        </w:rPr>
        <w:t xml:space="preserve">                   （签名或盖章）</w:t>
      </w:r>
    </w:p>
    <w:p>
      <w:pPr>
        <w:ind w:firstLine="924" w:firstLineChars="300"/>
        <w:rPr>
          <w:rFonts w:ascii="宋体" w:hAnsi="宋体"/>
          <w:color w:val="auto"/>
          <w:sz w:val="24"/>
          <w:szCs w:val="24"/>
          <w:highlight w:val="none"/>
        </w:rPr>
      </w:pPr>
      <w:r>
        <w:rPr>
          <w:rFonts w:hint="eastAsia" w:ascii="宋体" w:hAnsi="宋体"/>
          <w:snapToGrid w:val="0"/>
          <w:color w:val="auto"/>
          <w:spacing w:val="4"/>
          <w:kern w:val="0"/>
          <w:sz w:val="30"/>
          <w:szCs w:val="30"/>
          <w:highlight w:val="none"/>
        </w:rPr>
        <w:t>日  期：</w:t>
      </w:r>
      <w:r>
        <w:rPr>
          <w:rFonts w:hint="eastAsia" w:ascii="宋体" w:hAnsi="宋体"/>
          <w:color w:val="auto"/>
          <w:highlight w:val="none"/>
          <w:u w:val="single"/>
        </w:rPr>
        <w:t xml:space="preserve">                                            </w:t>
      </w:r>
    </w:p>
    <w:p>
      <w:pPr>
        <w:widowControl/>
        <w:topLinePunct/>
        <w:adjustRightInd w:val="0"/>
        <w:snapToGrid w:val="0"/>
        <w:spacing w:after="200"/>
        <w:jc w:val="left"/>
        <w:outlineLvl w:val="2"/>
        <w:rPr>
          <w:rFonts w:ascii="宋体" w:hAnsi="宋体"/>
          <w:color w:val="auto"/>
          <w:spacing w:val="4"/>
          <w:kern w:val="0"/>
          <w:sz w:val="24"/>
          <w:szCs w:val="24"/>
          <w:highlight w:val="none"/>
        </w:rPr>
      </w:pPr>
      <w:r>
        <w:rPr>
          <w:b/>
          <w:color w:val="auto"/>
          <w:highlight w:val="none"/>
        </w:rPr>
        <w:br w:type="page"/>
      </w:r>
      <w:bookmarkStart w:id="71" w:name="_Toc29476912"/>
      <w:bookmarkStart w:id="72" w:name="_Toc4489936"/>
      <w:bookmarkStart w:id="73" w:name="_Toc62056033"/>
      <w:bookmarkStart w:id="74" w:name="_Toc13044"/>
      <w:r>
        <w:rPr>
          <w:rFonts w:hint="eastAsia" w:ascii="宋体" w:hAnsi="宋体"/>
          <w:color w:val="auto"/>
          <w:spacing w:val="4"/>
          <w:kern w:val="0"/>
          <w:sz w:val="24"/>
          <w:szCs w:val="24"/>
          <w:highlight w:val="none"/>
        </w:rPr>
        <w:t>格式二：广州建设工程施工招标投标书</w:t>
      </w:r>
      <w:bookmarkEnd w:id="71"/>
      <w:bookmarkEnd w:id="72"/>
      <w:bookmarkEnd w:id="73"/>
      <w:bookmarkEnd w:id="74"/>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6"/>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hint="default"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hint="default"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hint="default"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Times New Roman"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Times New Roman" w:cs="宋体"/>
                <w:b/>
                <w:color w:val="auto"/>
                <w:sz w:val="24"/>
                <w:szCs w:val="24"/>
                <w:highlight w:val="none"/>
                <w:lang w:val="zh-CN"/>
              </w:rPr>
            </w:pPr>
            <w:r>
              <w:rPr>
                <w:rFonts w:hint="eastAsia" w:ascii="宋体" w:hAnsi="宋体" w:cs="宋体"/>
                <w:b/>
                <w:color w:val="auto"/>
                <w:sz w:val="24"/>
                <w:szCs w:val="24"/>
                <w:highlight w:val="none"/>
                <w:lang w:val="zh-CN"/>
              </w:rPr>
              <w:t>投</w:t>
            </w:r>
            <w:r>
              <w:rPr>
                <w:rFonts w:hint="default"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hint="default"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总工</w:t>
            </w:r>
            <w:r>
              <w:rPr>
                <w:rFonts w:hint="default"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Times New Roman"/>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cs="宋体"/>
                <w:b/>
                <w:bCs/>
                <w:color w:val="auto"/>
                <w:sz w:val="24"/>
                <w:szCs w:val="24"/>
                <w:highlight w:val="none"/>
                <w:lang w:val="zh-CN"/>
              </w:rPr>
            </w:pPr>
            <w:r>
              <w:rPr>
                <w:rFonts w:hint="default" w:ascii="宋体" w:hAnsi="Times New Roman" w:cs="宋体"/>
                <w:b/>
                <w:bCs/>
                <w:color w:val="auto"/>
                <w:sz w:val="24"/>
                <w:szCs w:val="24"/>
                <w:highlight w:val="none"/>
                <w:lang w:val="zh-CN"/>
              </w:rPr>
              <w:t>按现行工程质量验收标准达到一次性竣工验收合格，并符合施工图纸要求和国家、行业有关标准</w:t>
            </w:r>
            <w:r>
              <w:rPr>
                <w:rFonts w:hint="eastAsia" w:ascii="宋体" w:hAnsi="Times New Roman" w:cs="宋体"/>
                <w:b/>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firstLine="2038" w:firstLineChars="846"/>
              <w:rPr>
                <w:rFonts w:hint="default" w:ascii="宋体" w:hAnsi="Times New Roman"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hint="default"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hint="default"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hint="default"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p>
      <w:pPr>
        <w:rPr>
          <w:rFonts w:ascii="宋体" w:hAnsi="宋体"/>
          <w:b/>
          <w:snapToGrid w:val="0"/>
          <w:color w:val="auto"/>
          <w:spacing w:val="4"/>
          <w:sz w:val="24"/>
          <w:szCs w:val="24"/>
          <w:highlight w:val="none"/>
        </w:rPr>
      </w:pPr>
      <w:r>
        <w:rPr>
          <w:color w:val="auto"/>
          <w:sz w:val="24"/>
          <w:szCs w:val="24"/>
          <w:highlight w:val="none"/>
        </w:rPr>
        <w:br w:type="page"/>
      </w:r>
    </w:p>
    <w:p>
      <w:pPr>
        <w:widowControl/>
        <w:topLinePunct/>
        <w:adjustRightInd w:val="0"/>
        <w:snapToGrid w:val="0"/>
        <w:spacing w:after="200"/>
        <w:jc w:val="left"/>
        <w:outlineLvl w:val="2"/>
        <w:rPr>
          <w:rFonts w:ascii="宋体" w:hAnsi="宋体"/>
          <w:color w:val="auto"/>
          <w:spacing w:val="4"/>
          <w:kern w:val="0"/>
          <w:sz w:val="24"/>
          <w:szCs w:val="24"/>
          <w:highlight w:val="none"/>
        </w:rPr>
      </w:pPr>
      <w:bookmarkStart w:id="75" w:name="_Toc29476913"/>
      <w:bookmarkStart w:id="76" w:name="_Toc4489937"/>
      <w:bookmarkStart w:id="77" w:name="_Toc504722505"/>
      <w:bookmarkStart w:id="78" w:name="_Toc62056034"/>
      <w:bookmarkStart w:id="79" w:name="_Toc22278"/>
      <w:bookmarkStart w:id="80" w:name="_Toc5347"/>
      <w:r>
        <w:rPr>
          <w:rFonts w:hint="eastAsia" w:ascii="宋体" w:hAnsi="宋体"/>
          <w:color w:val="auto"/>
          <w:spacing w:val="4"/>
          <w:kern w:val="0"/>
          <w:sz w:val="24"/>
          <w:szCs w:val="24"/>
          <w:highlight w:val="none"/>
        </w:rPr>
        <w:t>格式三：投标函</w:t>
      </w:r>
      <w:bookmarkEnd w:id="75"/>
      <w:bookmarkEnd w:id="76"/>
      <w:bookmarkEnd w:id="77"/>
      <w:bookmarkEnd w:id="78"/>
      <w:bookmarkEnd w:id="79"/>
      <w:bookmarkEnd w:id="80"/>
    </w:p>
    <w:p>
      <w:pPr>
        <w:widowControl/>
        <w:topLinePunct/>
        <w:adjustRightInd w:val="0"/>
        <w:snapToGrid w:val="0"/>
        <w:spacing w:after="200" w:line="360" w:lineRule="auto"/>
        <w:jc w:val="center"/>
        <w:rPr>
          <w:rFonts w:ascii="宋体" w:hAnsi="宋体"/>
          <w:b/>
          <w:color w:val="auto"/>
          <w:spacing w:val="4"/>
          <w:kern w:val="0"/>
          <w:sz w:val="36"/>
          <w:szCs w:val="36"/>
          <w:highlight w:val="none"/>
        </w:rPr>
      </w:pPr>
      <w:r>
        <w:rPr>
          <w:rFonts w:hint="eastAsia" w:ascii="宋体" w:hAnsi="宋体"/>
          <w:b/>
          <w:color w:val="auto"/>
          <w:spacing w:val="4"/>
          <w:kern w:val="0"/>
          <w:sz w:val="36"/>
          <w:szCs w:val="36"/>
          <w:highlight w:val="none"/>
        </w:rPr>
        <w:t>投 标 函</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致：</w:t>
      </w:r>
      <w:r>
        <w:rPr>
          <w:rFonts w:hint="eastAsia" w:ascii="宋体" w:hAnsi="宋体"/>
          <w:color w:val="auto"/>
          <w:spacing w:val="4"/>
          <w:kern w:val="0"/>
          <w:sz w:val="24"/>
          <w:szCs w:val="24"/>
          <w:highlight w:val="none"/>
          <w:u w:val="single"/>
        </w:rPr>
        <w:t xml:space="preserve"> （招标人名称） </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1.根据招标人</w:t>
      </w:r>
      <w:r>
        <w:rPr>
          <w:rFonts w:hint="eastAsia" w:ascii="宋体" w:hAnsi="宋体"/>
          <w:color w:val="auto"/>
          <w:spacing w:val="4"/>
          <w:kern w:val="0"/>
          <w:sz w:val="24"/>
          <w:szCs w:val="24"/>
          <w:highlight w:val="none"/>
          <w:u w:val="single"/>
        </w:rPr>
        <w:t xml:space="preserve"> （工程项目名称） </w:t>
      </w:r>
      <w:r>
        <w:rPr>
          <w:rFonts w:hint="eastAsia" w:ascii="宋体" w:hAnsi="宋体"/>
          <w:color w:val="auto"/>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2.我方已详细审核全部招标文件，包括修改文件（如有时）及有关附件。</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3.如果我方中标，我方保证按照合同文件中规定的开工日期开始施工，并按规定的预计竣工日期完成和交付全部工程。</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u w:val="single"/>
        </w:rPr>
      </w:pPr>
      <w:r>
        <w:rPr>
          <w:rFonts w:hint="eastAsia" w:ascii="宋体" w:hAnsi="宋体"/>
          <w:color w:val="auto"/>
          <w:spacing w:val="4"/>
          <w:kern w:val="0"/>
          <w:sz w:val="24"/>
          <w:szCs w:val="24"/>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6.如果我方中标，我方将按照招标文件的规定，按时提交履约担保，以保障本项目优质、优价、按期、顺利完成。</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7.我方同意所提交的投标文件在招标文件投标须知中第13条规定的投标有效期内有效，在此期限届满之前，本投标书始终将对我方具有约束力，并随时接受中标。</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8.在合同协议书正式签署生效之前，本投标书连同你单位的中标通知书将构成我们双方之间共同遵守的文件，对双方具有约束力。</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9.随同本投标文件，我方已提交人民币</w:t>
      </w:r>
      <w:r>
        <w:rPr>
          <w:rFonts w:hint="eastAsia" w:ascii="宋体" w:hAnsi="宋体"/>
          <w:color w:val="auto"/>
          <w:spacing w:val="4"/>
          <w:kern w:val="0"/>
          <w:sz w:val="24"/>
          <w:szCs w:val="24"/>
          <w:highlight w:val="none"/>
          <w:u w:val="single"/>
        </w:rPr>
        <w:t xml:space="preserve">            </w:t>
      </w:r>
      <w:r>
        <w:rPr>
          <w:rFonts w:hint="eastAsia" w:ascii="宋体" w:hAnsi="宋体"/>
          <w:color w:val="auto"/>
          <w:spacing w:val="4"/>
          <w:kern w:val="0"/>
          <w:sz w:val="24"/>
          <w:szCs w:val="24"/>
          <w:highlight w:val="none"/>
        </w:rPr>
        <w:t>元的投标担保。如果我方在投标文件有效期内撤回投标文件；或在接到中标通知书后28天内未能或拒绝签订合同协议书；或未能按招标文件要求提交履约担保，你单位有权另选中</w:t>
      </w:r>
      <w:bookmarkStart w:id="81" w:name="_Toc484958693"/>
      <w:bookmarkStart w:id="82" w:name="_Toc358370579"/>
      <w:bookmarkStart w:id="83" w:name="_Toc395261100"/>
      <w:bookmarkStart w:id="84" w:name="_Toc226209004"/>
      <w:bookmarkStart w:id="85" w:name="_Toc254961556"/>
      <w:bookmarkStart w:id="86" w:name="_Toc352623422"/>
      <w:bookmarkStart w:id="87" w:name="_Toc449308421"/>
      <w:bookmarkStart w:id="88" w:name="_Toc369536771"/>
      <w:bookmarkStart w:id="89" w:name="_Toc352240524"/>
      <w:bookmarkStart w:id="90" w:name="_Toc464131225"/>
      <w:bookmarkStart w:id="91" w:name="_Toc248650371"/>
      <w:bookmarkStart w:id="92" w:name="_Toc337720092"/>
      <w:bookmarkStart w:id="93" w:name="_Toc291101119"/>
      <w:r>
        <w:rPr>
          <w:rFonts w:hint="eastAsia" w:ascii="宋体" w:hAnsi="宋体"/>
          <w:color w:val="auto"/>
          <w:spacing w:val="4"/>
          <w:kern w:val="0"/>
          <w:sz w:val="24"/>
          <w:szCs w:val="24"/>
          <w:highlight w:val="none"/>
        </w:rPr>
        <w:t>标单位。</w:t>
      </w:r>
    </w:p>
    <w:p>
      <w:pPr>
        <w:widowControl/>
        <w:topLinePunct/>
        <w:adjustRightInd w:val="0"/>
        <w:snapToGrid w:val="0"/>
        <w:spacing w:after="1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10.我方</w:t>
      </w:r>
      <w:bookmarkEnd w:id="81"/>
      <w:r>
        <w:rPr>
          <w:rFonts w:hint="eastAsia" w:ascii="宋体" w:hAnsi="宋体"/>
          <w:color w:val="auto"/>
          <w:spacing w:val="4"/>
          <w:kern w:val="0"/>
          <w:sz w:val="24"/>
          <w:szCs w:val="24"/>
          <w:highlight w:val="none"/>
        </w:rPr>
        <w:t>理解</w:t>
      </w:r>
      <w:bookmarkStart w:id="94" w:name="_Toc484958694"/>
      <w:r>
        <w:rPr>
          <w:rFonts w:hint="eastAsia" w:ascii="宋体" w:hAnsi="宋体"/>
          <w:color w:val="auto"/>
          <w:spacing w:val="4"/>
          <w:kern w:val="0"/>
          <w:sz w:val="24"/>
          <w:szCs w:val="24"/>
          <w:highlight w:val="none"/>
        </w:rPr>
        <w:t>，你单位不一</w:t>
      </w:r>
      <w:bookmarkEnd w:id="94"/>
      <w:r>
        <w:rPr>
          <w:rFonts w:hint="eastAsia" w:ascii="宋体" w:hAnsi="宋体"/>
          <w:color w:val="auto"/>
          <w:spacing w:val="4"/>
          <w:kern w:val="0"/>
          <w:sz w:val="24"/>
          <w:szCs w:val="24"/>
          <w:highlight w:val="none"/>
        </w:rPr>
        <w:t>定</w:t>
      </w:r>
      <w:bookmarkStart w:id="95" w:name="_Toc484958695"/>
      <w:r>
        <w:rPr>
          <w:rFonts w:hint="eastAsia" w:ascii="宋体" w:hAnsi="宋体"/>
          <w:color w:val="auto"/>
          <w:spacing w:val="4"/>
          <w:kern w:val="0"/>
          <w:sz w:val="24"/>
          <w:szCs w:val="24"/>
          <w:highlight w:val="none"/>
        </w:rPr>
        <w:t>接受最低</w:t>
      </w:r>
      <w:bookmarkEnd w:id="95"/>
      <w:r>
        <w:rPr>
          <w:rFonts w:hint="eastAsia" w:ascii="宋体" w:hAnsi="宋体"/>
          <w:color w:val="auto"/>
          <w:spacing w:val="4"/>
          <w:kern w:val="0"/>
          <w:sz w:val="24"/>
          <w:szCs w:val="24"/>
          <w:highlight w:val="none"/>
        </w:rPr>
        <w:t>标</w:t>
      </w:r>
      <w:bookmarkStart w:id="96" w:name="_Toc484958696"/>
      <w:r>
        <w:rPr>
          <w:rFonts w:hint="eastAsia" w:ascii="宋体" w:hAnsi="宋体"/>
          <w:color w:val="auto"/>
          <w:spacing w:val="4"/>
          <w:kern w:val="0"/>
          <w:sz w:val="24"/>
          <w:szCs w:val="24"/>
          <w:highlight w:val="none"/>
        </w:rPr>
        <w:t>价的</w:t>
      </w:r>
      <w:bookmarkEnd w:id="96"/>
      <w:r>
        <w:rPr>
          <w:rFonts w:hint="eastAsia" w:ascii="宋体" w:hAnsi="宋体"/>
          <w:color w:val="auto"/>
          <w:spacing w:val="4"/>
          <w:kern w:val="0"/>
          <w:sz w:val="24"/>
          <w:szCs w:val="24"/>
          <w:highlight w:val="none"/>
        </w:rPr>
        <w:t>投</w:t>
      </w:r>
      <w:bookmarkStart w:id="97" w:name="_Toc484958697"/>
      <w:r>
        <w:rPr>
          <w:rFonts w:hint="eastAsia" w:ascii="宋体" w:hAnsi="宋体"/>
          <w:color w:val="auto"/>
          <w:spacing w:val="4"/>
          <w:kern w:val="0"/>
          <w:sz w:val="24"/>
          <w:szCs w:val="24"/>
          <w:highlight w:val="none"/>
        </w:rPr>
        <w:t>标或你单位接到的其它任何投标。同</w:t>
      </w:r>
      <w:bookmarkEnd w:id="97"/>
      <w:r>
        <w:rPr>
          <w:rFonts w:hint="eastAsia" w:ascii="宋体" w:hAnsi="宋体"/>
          <w:color w:val="auto"/>
          <w:spacing w:val="4"/>
          <w:kern w:val="0"/>
          <w:sz w:val="24"/>
          <w:szCs w:val="24"/>
          <w:highlight w:val="none"/>
        </w:rPr>
        <w:t>时</w:t>
      </w:r>
      <w:bookmarkStart w:id="98" w:name="_Toc484958698"/>
      <w:r>
        <w:rPr>
          <w:rFonts w:hint="eastAsia" w:ascii="宋体" w:hAnsi="宋体"/>
          <w:color w:val="auto"/>
          <w:spacing w:val="4"/>
          <w:kern w:val="0"/>
          <w:sz w:val="24"/>
          <w:szCs w:val="24"/>
          <w:highlight w:val="none"/>
        </w:rPr>
        <w:t>也理解，你单位不负担我方的任何投</w:t>
      </w:r>
      <w:bookmarkEnd w:id="98"/>
      <w:r>
        <w:rPr>
          <w:rFonts w:hint="eastAsia" w:ascii="宋体" w:hAnsi="宋体"/>
          <w:color w:val="auto"/>
          <w:spacing w:val="4"/>
          <w:kern w:val="0"/>
          <w:sz w:val="24"/>
          <w:szCs w:val="24"/>
          <w:highlight w:val="none"/>
        </w:rPr>
        <w:t>标</w:t>
      </w:r>
      <w:bookmarkStart w:id="99" w:name="_Toc484958699"/>
      <w:r>
        <w:rPr>
          <w:rFonts w:hint="eastAsia" w:ascii="宋体" w:hAnsi="宋体"/>
          <w:color w:val="auto"/>
          <w:spacing w:val="4"/>
          <w:kern w:val="0"/>
          <w:sz w:val="24"/>
          <w:szCs w:val="24"/>
          <w:highlight w:val="none"/>
        </w:rPr>
        <w:t>费用</w:t>
      </w:r>
      <w:bookmarkEnd w:id="99"/>
      <w:bookmarkStart w:id="100" w:name="_Toc484958700"/>
      <w:r>
        <w:rPr>
          <w:rFonts w:hint="eastAsia" w:ascii="宋体" w:hAnsi="宋体"/>
          <w:color w:val="auto"/>
          <w:spacing w:val="4"/>
          <w:kern w:val="0"/>
          <w:sz w:val="24"/>
          <w:szCs w:val="24"/>
          <w:highlight w:val="none"/>
        </w:rPr>
        <w:t>。</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691" w:firstLineChars="279"/>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 标 人：（盖章</w:t>
      </w:r>
      <w:bookmarkEnd w:id="100"/>
      <w:r>
        <w:rPr>
          <w:rFonts w:hint="eastAsia" w:ascii="宋体" w:hAnsi="宋体"/>
          <w:color w:val="auto"/>
          <w:spacing w:val="4"/>
          <w:kern w:val="0"/>
          <w:sz w:val="24"/>
          <w:szCs w:val="24"/>
          <w:highlight w:val="none"/>
        </w:rPr>
        <w:t>）</w:t>
      </w:r>
    </w:p>
    <w:p>
      <w:pPr>
        <w:widowControl/>
        <w:topLinePunct/>
        <w:adjustRightInd w:val="0"/>
        <w:snapToGrid w:val="0"/>
        <w:spacing w:after="200" w:line="360" w:lineRule="auto"/>
        <w:ind w:firstLine="691" w:firstLineChars="279"/>
        <w:jc w:val="left"/>
        <w:rPr>
          <w:rFonts w:ascii="宋体" w:hAnsi="宋体"/>
          <w:color w:val="auto"/>
          <w:spacing w:val="4"/>
          <w:kern w:val="0"/>
          <w:sz w:val="24"/>
          <w:szCs w:val="24"/>
          <w:highlight w:val="none"/>
        </w:rPr>
      </w:pPr>
      <w:bookmarkStart w:id="101" w:name="_Toc484958701"/>
      <w:r>
        <w:rPr>
          <w:rFonts w:hint="eastAsia" w:ascii="宋体" w:hAnsi="宋体"/>
          <w:color w:val="auto"/>
          <w:spacing w:val="4"/>
          <w:kern w:val="0"/>
          <w:sz w:val="24"/>
          <w:szCs w:val="24"/>
          <w:highlight w:val="none"/>
        </w:rPr>
        <w:t>法定代表人或授权代理人（签字或盖章）</w:t>
      </w:r>
      <w:bookmarkEnd w:id="101"/>
      <w:r>
        <w:rPr>
          <w:rFonts w:hint="eastAsia" w:ascii="宋体" w:hAnsi="宋体"/>
          <w:color w:val="auto"/>
          <w:spacing w:val="4"/>
          <w:kern w:val="0"/>
          <w:sz w:val="24"/>
          <w:szCs w:val="24"/>
          <w:highlight w:val="none"/>
        </w:rPr>
        <w:t>：</w:t>
      </w:r>
    </w:p>
    <w:p>
      <w:pPr>
        <w:widowControl/>
        <w:topLinePunct/>
        <w:adjustRightInd w:val="0"/>
        <w:snapToGrid w:val="0"/>
        <w:spacing w:after="200" w:line="360" w:lineRule="auto"/>
        <w:ind w:firstLine="691" w:firstLineChars="279"/>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xml:space="preserve">日    期：   年    月    日 </w:t>
      </w:r>
    </w:p>
    <w:p>
      <w:pPr>
        <w:widowControl/>
        <w:topLinePunct/>
        <w:adjustRightInd w:val="0"/>
        <w:snapToGrid w:val="0"/>
        <w:spacing w:after="200"/>
        <w:jc w:val="left"/>
        <w:outlineLvl w:val="2"/>
        <w:rPr>
          <w:rFonts w:ascii="宋体" w:hAnsi="宋体"/>
          <w:color w:val="auto"/>
          <w:spacing w:val="4"/>
          <w:kern w:val="0"/>
          <w:sz w:val="24"/>
          <w:szCs w:val="24"/>
          <w:highlight w:val="none"/>
        </w:rPr>
      </w:pPr>
      <w:r>
        <w:rPr>
          <w:rFonts w:ascii="宋体" w:hAnsi="宋体" w:eastAsia="黑体"/>
          <w:b/>
          <w:color w:val="auto"/>
          <w:spacing w:val="4"/>
          <w:kern w:val="0"/>
          <w:sz w:val="24"/>
          <w:szCs w:val="24"/>
          <w:highlight w:val="none"/>
        </w:rPr>
        <w:br w:type="page"/>
      </w:r>
      <w:bookmarkStart w:id="102" w:name="_Toc21509"/>
      <w:bookmarkStart w:id="103" w:name="_Toc4489938"/>
      <w:bookmarkStart w:id="104" w:name="_Toc504722506"/>
      <w:bookmarkStart w:id="105" w:name="_Toc62056035"/>
      <w:bookmarkStart w:id="106" w:name="_Toc29476914"/>
      <w:bookmarkStart w:id="107" w:name="_Toc20655"/>
      <w:r>
        <w:rPr>
          <w:rFonts w:hint="eastAsia" w:ascii="宋体" w:hAnsi="宋体"/>
          <w:color w:val="auto"/>
          <w:spacing w:val="4"/>
          <w:kern w:val="0"/>
          <w:sz w:val="24"/>
          <w:szCs w:val="24"/>
          <w:highlight w:val="none"/>
        </w:rPr>
        <w:t>格式四：企业相关资料</w:t>
      </w:r>
      <w:bookmarkEnd w:id="102"/>
      <w:bookmarkEnd w:id="103"/>
      <w:bookmarkEnd w:id="104"/>
      <w:bookmarkEnd w:id="105"/>
      <w:bookmarkEnd w:id="106"/>
      <w:bookmarkEnd w:id="107"/>
    </w:p>
    <w:p>
      <w:pPr>
        <w:jc w:val="center"/>
        <w:rPr>
          <w:rFonts w:ascii="宋体" w:hAnsi="宋体"/>
          <w:b/>
          <w:color w:val="auto"/>
          <w:spacing w:val="4"/>
          <w:kern w:val="0"/>
          <w:sz w:val="36"/>
          <w:szCs w:val="32"/>
          <w:highlight w:val="none"/>
        </w:rPr>
      </w:pPr>
      <w:bookmarkStart w:id="108" w:name="_Toc4489940"/>
      <w:bookmarkStart w:id="109" w:name="_Toc4486072"/>
      <w:bookmarkStart w:id="110" w:name="_Toc504722508"/>
      <w:bookmarkStart w:id="111" w:name="_Toc4340129"/>
      <w:bookmarkStart w:id="112" w:name="_Toc913"/>
      <w:bookmarkStart w:id="113" w:name="_Toc4339791"/>
    </w:p>
    <w:p>
      <w:pPr>
        <w:jc w:val="center"/>
        <w:rPr>
          <w:rFonts w:eastAsia="黑体"/>
          <w:snapToGrid w:val="0"/>
          <w:color w:val="auto"/>
          <w:spacing w:val="4"/>
          <w:kern w:val="0"/>
          <w:sz w:val="28"/>
          <w:szCs w:val="28"/>
          <w:highlight w:val="none"/>
        </w:rPr>
      </w:pPr>
      <w:r>
        <w:rPr>
          <w:rFonts w:hint="eastAsia" w:eastAsia="黑体"/>
          <w:snapToGrid w:val="0"/>
          <w:color w:val="auto"/>
          <w:spacing w:val="4"/>
          <w:kern w:val="0"/>
          <w:sz w:val="28"/>
          <w:szCs w:val="28"/>
          <w:highlight w:val="none"/>
        </w:rPr>
        <w:t>1.类似工程业绩表</w:t>
      </w:r>
    </w:p>
    <w:tbl>
      <w:tblPr>
        <w:tblStyle w:val="36"/>
        <w:tblW w:w="991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2"/>
        <w:gridCol w:w="2205"/>
        <w:gridCol w:w="2100"/>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keepNext w:val="0"/>
              <w:keepLines w:val="0"/>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工程名称</w:t>
            </w:r>
          </w:p>
        </w:tc>
        <w:tc>
          <w:tcPr>
            <w:tcW w:w="2205"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2100"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1995" w:type="dxa"/>
          </w:tcPr>
          <w:p>
            <w:pPr>
              <w:keepNext w:val="0"/>
              <w:keepLines w:val="0"/>
              <w:suppressLineNumbers w:val="0"/>
              <w:spacing w:before="0" w:beforeAutospacing="0" w:after="0" w:afterAutospacing="0"/>
              <w:ind w:left="0" w:right="0"/>
              <w:jc w:val="left"/>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keepNext w:val="0"/>
              <w:keepLines w:val="0"/>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项目地点</w:t>
            </w:r>
          </w:p>
        </w:tc>
        <w:tc>
          <w:tcPr>
            <w:tcW w:w="2205"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2100"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1995" w:type="dxa"/>
          </w:tcPr>
          <w:p>
            <w:pPr>
              <w:keepNext w:val="0"/>
              <w:keepLines w:val="0"/>
              <w:suppressLineNumbers w:val="0"/>
              <w:spacing w:before="0" w:beforeAutospacing="0" w:after="0" w:afterAutospacing="0"/>
              <w:ind w:left="0" w:right="0"/>
              <w:jc w:val="left"/>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keepNext w:val="0"/>
              <w:keepLines w:val="0"/>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所包含的子项内容</w:t>
            </w:r>
          </w:p>
        </w:tc>
        <w:tc>
          <w:tcPr>
            <w:tcW w:w="2205"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2100"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1995" w:type="dxa"/>
          </w:tcPr>
          <w:p>
            <w:pPr>
              <w:keepNext w:val="0"/>
              <w:keepLines w:val="0"/>
              <w:suppressLineNumbers w:val="0"/>
              <w:spacing w:before="0" w:beforeAutospacing="0" w:after="0" w:afterAutospacing="0"/>
              <w:ind w:left="0" w:right="0"/>
              <w:jc w:val="left"/>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2" w:type="dxa"/>
          </w:tcPr>
          <w:p>
            <w:pPr>
              <w:keepNext w:val="0"/>
              <w:keepLines w:val="0"/>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lang w:val="en-US" w:eastAsia="zh-CN"/>
              </w:rPr>
              <w:t>中标价</w:t>
            </w:r>
            <w:r>
              <w:rPr>
                <w:rFonts w:hint="eastAsia"/>
                <w:color w:val="auto"/>
                <w:szCs w:val="21"/>
                <w:highlight w:val="none"/>
              </w:rPr>
              <w:t>(人民币：万元)</w:t>
            </w:r>
          </w:p>
        </w:tc>
        <w:tc>
          <w:tcPr>
            <w:tcW w:w="2205"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2100"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1995" w:type="dxa"/>
          </w:tcPr>
          <w:p>
            <w:pPr>
              <w:keepNext w:val="0"/>
              <w:keepLines w:val="0"/>
              <w:suppressLineNumbers w:val="0"/>
              <w:spacing w:before="0" w:beforeAutospacing="0" w:after="0" w:afterAutospacing="0"/>
              <w:ind w:left="0" w:right="0"/>
              <w:jc w:val="left"/>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keepNext w:val="0"/>
              <w:keepLines w:val="0"/>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竣工日期</w:t>
            </w:r>
          </w:p>
        </w:tc>
        <w:tc>
          <w:tcPr>
            <w:tcW w:w="2205"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2100"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1995" w:type="dxa"/>
          </w:tcPr>
          <w:p>
            <w:pPr>
              <w:keepNext w:val="0"/>
              <w:keepLines w:val="0"/>
              <w:suppressLineNumbers w:val="0"/>
              <w:spacing w:before="0" w:beforeAutospacing="0" w:after="0" w:afterAutospacing="0"/>
              <w:ind w:left="0" w:right="0"/>
              <w:jc w:val="left"/>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keepNext w:val="0"/>
              <w:keepLines w:val="0"/>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项目经理姓名</w:t>
            </w:r>
          </w:p>
        </w:tc>
        <w:tc>
          <w:tcPr>
            <w:tcW w:w="2205"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2100"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1995" w:type="dxa"/>
          </w:tcPr>
          <w:p>
            <w:pPr>
              <w:keepNext w:val="0"/>
              <w:keepLines w:val="0"/>
              <w:suppressLineNumbers w:val="0"/>
              <w:spacing w:before="0" w:beforeAutospacing="0" w:after="0" w:afterAutospacing="0"/>
              <w:ind w:left="0" w:right="0"/>
              <w:jc w:val="left"/>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keepNext w:val="0"/>
              <w:keepLines w:val="0"/>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项目监理名称</w:t>
            </w:r>
          </w:p>
        </w:tc>
        <w:tc>
          <w:tcPr>
            <w:tcW w:w="2205"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2100"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1995" w:type="dxa"/>
          </w:tcPr>
          <w:p>
            <w:pPr>
              <w:keepNext w:val="0"/>
              <w:keepLines w:val="0"/>
              <w:suppressLineNumbers w:val="0"/>
              <w:spacing w:before="0" w:beforeAutospacing="0" w:after="0" w:afterAutospacing="0"/>
              <w:ind w:left="0" w:right="0"/>
              <w:jc w:val="left"/>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612" w:type="dxa"/>
          </w:tcPr>
          <w:p>
            <w:pPr>
              <w:keepNext w:val="0"/>
              <w:keepLines w:val="0"/>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项目业主联系地址</w:t>
            </w:r>
          </w:p>
        </w:tc>
        <w:tc>
          <w:tcPr>
            <w:tcW w:w="2205"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2100"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1995" w:type="dxa"/>
          </w:tcPr>
          <w:p>
            <w:pPr>
              <w:keepNext w:val="0"/>
              <w:keepLines w:val="0"/>
              <w:suppressLineNumbers w:val="0"/>
              <w:spacing w:before="0" w:beforeAutospacing="0" w:after="0" w:afterAutospacing="0"/>
              <w:ind w:left="0" w:right="0"/>
              <w:jc w:val="left"/>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2" w:type="dxa"/>
          </w:tcPr>
          <w:p>
            <w:pPr>
              <w:keepNext w:val="0"/>
              <w:keepLines w:val="0"/>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项目业主联系人姓名</w:t>
            </w:r>
          </w:p>
        </w:tc>
        <w:tc>
          <w:tcPr>
            <w:tcW w:w="2205"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2100"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1995" w:type="dxa"/>
          </w:tcPr>
          <w:p>
            <w:pPr>
              <w:keepNext w:val="0"/>
              <w:keepLines w:val="0"/>
              <w:suppressLineNumbers w:val="0"/>
              <w:spacing w:before="0" w:beforeAutospacing="0" w:after="0" w:afterAutospacing="0"/>
              <w:ind w:left="0" w:right="0"/>
              <w:jc w:val="left"/>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12" w:type="dxa"/>
          </w:tcPr>
          <w:p>
            <w:pPr>
              <w:keepNext w:val="0"/>
              <w:keepLines w:val="0"/>
              <w:suppressLineNumbers w:val="0"/>
              <w:spacing w:before="0" w:beforeAutospacing="0" w:after="0" w:afterAutospacing="0"/>
              <w:ind w:left="0" w:right="0"/>
              <w:jc w:val="left"/>
              <w:rPr>
                <w:rFonts w:hint="default"/>
                <w:color w:val="auto"/>
                <w:szCs w:val="21"/>
                <w:highlight w:val="none"/>
              </w:rPr>
            </w:pPr>
            <w:r>
              <w:rPr>
                <w:rFonts w:hint="eastAsia"/>
                <w:color w:val="auto"/>
                <w:szCs w:val="21"/>
                <w:highlight w:val="none"/>
              </w:rPr>
              <w:t>项目业主联系电话</w:t>
            </w:r>
          </w:p>
        </w:tc>
        <w:tc>
          <w:tcPr>
            <w:tcW w:w="2205"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2100" w:type="dxa"/>
          </w:tcPr>
          <w:p>
            <w:pPr>
              <w:keepNext w:val="0"/>
              <w:keepLines w:val="0"/>
              <w:suppressLineNumbers w:val="0"/>
              <w:spacing w:before="0" w:beforeAutospacing="0" w:after="0" w:afterAutospacing="0"/>
              <w:ind w:left="0" w:right="0"/>
              <w:jc w:val="left"/>
              <w:rPr>
                <w:rFonts w:hint="default"/>
                <w:color w:val="auto"/>
                <w:szCs w:val="21"/>
                <w:highlight w:val="none"/>
              </w:rPr>
            </w:pPr>
          </w:p>
        </w:tc>
        <w:tc>
          <w:tcPr>
            <w:tcW w:w="1995" w:type="dxa"/>
          </w:tcPr>
          <w:p>
            <w:pPr>
              <w:keepNext w:val="0"/>
              <w:keepLines w:val="0"/>
              <w:suppressLineNumbers w:val="0"/>
              <w:spacing w:before="0" w:beforeAutospacing="0" w:after="0" w:afterAutospacing="0"/>
              <w:ind w:left="0" w:right="0"/>
              <w:jc w:val="left"/>
              <w:rPr>
                <w:rFonts w:hint="default"/>
                <w:color w:val="auto"/>
                <w:szCs w:val="21"/>
                <w:highlight w:val="none"/>
              </w:rPr>
            </w:pPr>
          </w:p>
        </w:tc>
      </w:tr>
      <w:bookmarkEnd w:id="108"/>
      <w:bookmarkEnd w:id="109"/>
      <w:bookmarkEnd w:id="110"/>
      <w:bookmarkEnd w:id="111"/>
      <w:bookmarkEnd w:id="112"/>
      <w:bookmarkEnd w:id="113"/>
    </w:tbl>
    <w:p>
      <w:pPr>
        <w:keepNext w:val="0"/>
        <w:keepLines w:val="0"/>
        <w:widowControl w:val="0"/>
        <w:suppressLineNumbers w:val="0"/>
        <w:snapToGrid w:val="0"/>
        <w:spacing w:before="0" w:beforeAutospacing="0" w:after="0" w:afterAutospacing="0" w:line="360" w:lineRule="auto"/>
        <w:ind w:left="0" w:right="512" w:rightChars="244"/>
        <w:jc w:val="both"/>
        <w:rPr>
          <w:rFonts w:hint="eastAsia" w:ascii="宋体" w:hAnsi="宋体" w:eastAsia="宋体" w:cs="宋体"/>
          <w:color w:val="auto"/>
          <w:szCs w:val="21"/>
          <w:highlight w:val="none"/>
          <w:lang w:val="en-US"/>
        </w:rPr>
      </w:pPr>
      <w:bookmarkStart w:id="114" w:name="_Toc4339792"/>
      <w:bookmarkStart w:id="115" w:name="_Toc504722509"/>
      <w:bookmarkStart w:id="116" w:name="_Toc4340130"/>
      <w:bookmarkStart w:id="117" w:name="_Toc4489941"/>
      <w:bookmarkStart w:id="118" w:name="_Toc4486073"/>
      <w:bookmarkStart w:id="119" w:name="_Toc27564"/>
      <w:r>
        <w:rPr>
          <w:rFonts w:hint="eastAsia"/>
          <w:color w:val="auto"/>
          <w:sz w:val="24"/>
          <w:highlight w:val="none"/>
        </w:rPr>
        <w:t>注：</w:t>
      </w:r>
      <w:bookmarkEnd w:id="114"/>
      <w:bookmarkEnd w:id="115"/>
      <w:bookmarkEnd w:id="116"/>
      <w:bookmarkEnd w:id="117"/>
      <w:bookmarkEnd w:id="118"/>
      <w:bookmarkEnd w:id="119"/>
      <w:r>
        <w:rPr>
          <w:rFonts w:hint="eastAsia" w:ascii="宋体" w:hAnsi="宋体" w:eastAsia="宋体" w:cs="宋体"/>
          <w:color w:val="auto"/>
          <w:kern w:val="2"/>
          <w:sz w:val="21"/>
          <w:szCs w:val="21"/>
          <w:highlight w:val="none"/>
          <w:lang w:val="en-US" w:eastAsia="zh-CN" w:bidi="ar"/>
        </w:rPr>
        <w:t>指2019年1月1日至今完成的质量合格且电压等级为10kV(或以上)的单项合同金额450万元(或以上)电力施工工程业绩。单独发包的电力工程业绩，需同时提供中标通知书或免招标的相关证明、施工合同、竣工验收报告或竣工验收证明（至少具有建设单位、设计、施工和监理单位盖章）扫描件。由总承包单位依法分包的专业工程业绩，需同时提供经业主和总承包单位确认的分包合同、竣工验收报告或竣工验收证明（至少具有建设单位、设计、施工和监理单位盖章）扫描件。如以上资料不能证明业绩规模的技术指标（指电压等级、金额等）的，须另提供可证明业绩技术指标的其他资料；完成时间以竣工验收时间为准；业绩金额按以下方式认定：单独发包的电力工程的业绩金额以中标通知书为准，中标通知书上没有金额或免招标的，以施工合同（不含补充合同）为准。如中标通知书未能体现对应的电力工程金额，则以施工合同载明的对应的电力工程金额为准，如中标通知书与施工合同均不能单独体现对应的电力工程金额，则以建设单位提供的证明资料中载明的对应专业金额为准。由总承包单位依法分包的专业工程业绩其金额以分包合同中约定的合同金额为准。投标单位提供的施工合同（分包合同）扫描件证明材料。（可提供合同关键页，但应至少包括合同封面、合同指标金额规模页、合同盖章页）。</w:t>
      </w:r>
    </w:p>
    <w:p>
      <w:pPr>
        <w:snapToGrid w:val="0"/>
        <w:spacing w:line="360" w:lineRule="auto"/>
        <w:ind w:right="512" w:rightChars="244"/>
        <w:rPr>
          <w:rFonts w:ascii="宋体" w:hAnsi="宋体"/>
          <w:color w:val="auto"/>
          <w:sz w:val="18"/>
          <w:szCs w:val="18"/>
          <w:highlight w:val="none"/>
        </w:rPr>
      </w:pPr>
    </w:p>
    <w:p>
      <w:pPr>
        <w:snapToGrid w:val="0"/>
        <w:spacing w:line="360" w:lineRule="auto"/>
        <w:ind w:right="512" w:rightChars="244"/>
        <w:jc w:val="right"/>
        <w:rPr>
          <w:rFonts w:ascii="宋体" w:hAnsi="宋体"/>
          <w:color w:val="auto"/>
          <w:sz w:val="18"/>
          <w:szCs w:val="18"/>
          <w:highlight w:val="none"/>
        </w:rPr>
      </w:pPr>
      <w:r>
        <w:rPr>
          <w:rFonts w:hint="eastAsia" w:ascii="宋体" w:hAnsi="宋体"/>
          <w:color w:val="auto"/>
          <w:sz w:val="18"/>
          <w:szCs w:val="18"/>
          <w:highlight w:val="none"/>
        </w:rPr>
        <w:t>投标人：　　（盖章）</w:t>
      </w:r>
    </w:p>
    <w:p>
      <w:pPr>
        <w:snapToGrid w:val="0"/>
        <w:spacing w:line="360" w:lineRule="auto"/>
        <w:ind w:right="512" w:rightChars="244"/>
        <w:jc w:val="right"/>
        <w:rPr>
          <w:rFonts w:ascii="宋体" w:hAnsi="宋体"/>
          <w:color w:val="auto"/>
          <w:sz w:val="18"/>
          <w:szCs w:val="18"/>
          <w:highlight w:val="none"/>
        </w:rPr>
      </w:pPr>
      <w:r>
        <w:rPr>
          <w:rFonts w:hint="eastAsia" w:ascii="宋体" w:hAnsi="宋体"/>
          <w:color w:val="auto"/>
          <w:sz w:val="18"/>
          <w:szCs w:val="18"/>
          <w:highlight w:val="none"/>
        </w:rPr>
        <w:t>法定代表人或授权代理人(签字或盖章)：</w:t>
      </w:r>
    </w:p>
    <w:p>
      <w:pPr>
        <w:snapToGrid w:val="0"/>
        <w:spacing w:line="360" w:lineRule="auto"/>
        <w:ind w:right="512" w:rightChars="244"/>
        <w:jc w:val="right"/>
        <w:rPr>
          <w:rFonts w:ascii="宋体" w:hAnsi="宋体"/>
          <w:color w:val="auto"/>
          <w:sz w:val="18"/>
          <w:szCs w:val="18"/>
          <w:highlight w:val="none"/>
        </w:rPr>
      </w:pPr>
      <w:r>
        <w:rPr>
          <w:rFonts w:hint="eastAsia" w:ascii="宋体" w:hAnsi="宋体"/>
          <w:color w:val="auto"/>
          <w:sz w:val="18"/>
          <w:szCs w:val="18"/>
          <w:highlight w:val="none"/>
        </w:rPr>
        <w:t>日   期：    年    月    日</w:t>
      </w:r>
    </w:p>
    <w:p>
      <w:pPr>
        <w:pStyle w:val="10"/>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10"/>
        <w:ind w:firstLine="0"/>
        <w:rPr>
          <w:rFonts w:ascii="Calibri" w:hAnsi="Calibri"/>
          <w:color w:val="auto"/>
          <w:sz w:val="24"/>
          <w:szCs w:val="22"/>
          <w:highlight w:val="none"/>
        </w:rPr>
      </w:pPr>
      <w:bookmarkStart w:id="120" w:name="_Toc4339797"/>
      <w:bookmarkStart w:id="121" w:name="_Toc8019"/>
      <w:bookmarkStart w:id="122" w:name="_Toc4340135"/>
      <w:bookmarkStart w:id="123" w:name="_Toc4489946"/>
      <w:r>
        <w:rPr>
          <w:rFonts w:hint="eastAsia"/>
          <w:color w:val="auto"/>
          <w:sz w:val="24"/>
          <w:highlight w:val="none"/>
        </w:rPr>
        <w:t>2.按《技术标详细审查评分表》提供相关证明材料</w:t>
      </w:r>
      <w:r>
        <w:rPr>
          <w:rFonts w:hint="eastAsia" w:ascii="Calibri" w:hAnsi="Calibri"/>
          <w:color w:val="auto"/>
          <w:sz w:val="24"/>
          <w:szCs w:val="22"/>
          <w:highlight w:val="none"/>
        </w:rPr>
        <w:t>；</w:t>
      </w:r>
    </w:p>
    <w:p>
      <w:pPr>
        <w:spacing w:line="360" w:lineRule="auto"/>
        <w:rPr>
          <w:color w:val="auto"/>
          <w:sz w:val="24"/>
          <w:highlight w:val="none"/>
        </w:rPr>
      </w:pPr>
      <w:r>
        <w:rPr>
          <w:rFonts w:hint="eastAsia"/>
          <w:color w:val="auto"/>
          <w:sz w:val="24"/>
          <w:highlight w:val="none"/>
        </w:rPr>
        <w:t>3.其他投标人认为须提交的资料。</w:t>
      </w:r>
    </w:p>
    <w:p>
      <w:pPr>
        <w:outlineLvl w:val="2"/>
        <w:rPr>
          <w:color w:val="auto"/>
          <w:highlight w:val="none"/>
        </w:rPr>
      </w:pPr>
      <w:r>
        <w:rPr>
          <w:color w:val="auto"/>
          <w:highlight w:val="none"/>
        </w:rPr>
        <w:br w:type="page"/>
      </w:r>
      <w:bookmarkStart w:id="124" w:name="_Toc24197"/>
      <w:bookmarkStart w:id="125" w:name="_Toc504722513"/>
      <w:bookmarkStart w:id="126" w:name="_Toc62056036"/>
      <w:bookmarkStart w:id="127" w:name="_Toc29476915"/>
      <w:r>
        <w:rPr>
          <w:rFonts w:hint="eastAsia" w:ascii="宋体" w:hAnsi="宋体"/>
          <w:color w:val="auto"/>
          <w:spacing w:val="4"/>
          <w:kern w:val="0"/>
          <w:sz w:val="24"/>
          <w:szCs w:val="24"/>
          <w:highlight w:val="none"/>
        </w:rPr>
        <w:t>格式五：法定代表人证明书、授权委托书</w:t>
      </w:r>
      <w:bookmarkEnd w:id="120"/>
      <w:bookmarkEnd w:id="121"/>
      <w:bookmarkEnd w:id="122"/>
      <w:bookmarkEnd w:id="123"/>
      <w:bookmarkEnd w:id="124"/>
      <w:bookmarkEnd w:id="125"/>
      <w:bookmarkEnd w:id="126"/>
      <w:bookmarkEnd w:id="127"/>
    </w:p>
    <w:p>
      <w:pPr>
        <w:widowControl/>
        <w:topLinePunct/>
        <w:adjustRightInd w:val="0"/>
        <w:snapToGrid w:val="0"/>
        <w:spacing w:after="200"/>
        <w:jc w:val="center"/>
        <w:rPr>
          <w:rFonts w:ascii="宋体" w:hAnsi="宋体"/>
          <w:color w:val="auto"/>
          <w:spacing w:val="4"/>
          <w:kern w:val="0"/>
          <w:sz w:val="32"/>
          <w:szCs w:val="32"/>
          <w:highlight w:val="none"/>
        </w:rPr>
      </w:pPr>
    </w:p>
    <w:p>
      <w:pPr>
        <w:widowControl/>
        <w:topLinePunct/>
        <w:adjustRightInd w:val="0"/>
        <w:snapToGrid w:val="0"/>
        <w:spacing w:after="200"/>
        <w:jc w:val="center"/>
        <w:rPr>
          <w:rFonts w:ascii="宋体" w:hAnsi="宋体"/>
          <w:b/>
          <w:color w:val="auto"/>
          <w:spacing w:val="4"/>
          <w:kern w:val="0"/>
          <w:sz w:val="32"/>
          <w:szCs w:val="32"/>
          <w:highlight w:val="none"/>
        </w:rPr>
      </w:pPr>
      <w:r>
        <w:rPr>
          <w:rFonts w:hint="eastAsia" w:ascii="宋体" w:hAnsi="宋体"/>
          <w:b/>
          <w:color w:val="auto"/>
          <w:spacing w:val="4"/>
          <w:kern w:val="0"/>
          <w:sz w:val="32"/>
          <w:szCs w:val="32"/>
          <w:highlight w:val="none"/>
        </w:rPr>
        <w:t>法定代表人证明书、授权委托书</w:t>
      </w:r>
    </w:p>
    <w:bookmarkEnd w:id="82"/>
    <w:bookmarkEnd w:id="83"/>
    <w:bookmarkEnd w:id="84"/>
    <w:bookmarkEnd w:id="85"/>
    <w:bookmarkEnd w:id="86"/>
    <w:bookmarkEnd w:id="87"/>
    <w:bookmarkEnd w:id="88"/>
    <w:bookmarkEnd w:id="89"/>
    <w:bookmarkEnd w:id="90"/>
    <w:bookmarkEnd w:id="91"/>
    <w:bookmarkEnd w:id="92"/>
    <w:bookmarkEnd w:id="93"/>
    <w:p>
      <w:pPr>
        <w:topLinePunct/>
        <w:adjustRightInd w:val="0"/>
        <w:snapToGrid w:val="0"/>
        <w:rPr>
          <w:snapToGrid w:val="0"/>
          <w:color w:val="auto"/>
          <w:spacing w:val="4"/>
          <w:sz w:val="24"/>
          <w:szCs w:val="24"/>
          <w:highlight w:val="none"/>
        </w:rPr>
      </w:pPr>
      <w:r>
        <w:rPr>
          <w:rFonts w:hint="eastAsia"/>
          <w:snapToGrid w:val="0"/>
          <w:color w:val="auto"/>
          <w:spacing w:val="4"/>
          <w:sz w:val="24"/>
          <w:szCs w:val="24"/>
          <w:highlight w:val="none"/>
        </w:rPr>
        <w:t>（1）法定代表人证明书</w:t>
      </w:r>
    </w:p>
    <w:p>
      <w:pPr>
        <w:topLinePunct/>
        <w:adjustRightInd w:val="0"/>
        <w:snapToGrid w:val="0"/>
        <w:ind w:right="668"/>
        <w:jc w:val="right"/>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0">
                <wp:simplePos x="0" y="0"/>
                <wp:positionH relativeFrom="column">
                  <wp:align>center</wp:align>
                </wp:positionH>
                <wp:positionV relativeFrom="paragraph">
                  <wp:posOffset>270510</wp:posOffset>
                </wp:positionV>
                <wp:extent cx="5550535" cy="2762885"/>
                <wp:effectExtent l="4445" t="4445" r="7620" b="13970"/>
                <wp:wrapSquare wrapText="bothSides"/>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5791200" cy="2809875"/>
                        </a:xfrm>
                        <a:prstGeom prst="rect">
                          <a:avLst/>
                        </a:prstGeom>
                        <a:solidFill>
                          <a:srgbClr val="FFFFFF"/>
                        </a:solidFill>
                        <a:ln w="9525">
                          <a:solidFill>
                            <a:srgbClr val="000000"/>
                          </a:solidFill>
                          <a:miter lim="800000"/>
                        </a:ln>
                        <a:effectLst/>
                      </wps:spPr>
                      <wps:txbx>
                        <w:txbxContent>
                          <w:p>
                            <w:pPr>
                              <w:pStyle w:val="115"/>
                              <w:spacing w:before="240"/>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115"/>
                              <w:ind w:firstLine="0" w:firstLineChars="0"/>
                              <w:rPr>
                                <w:rFonts w:ascii="宋体" w:hAnsi="宋体"/>
                                <w:szCs w:val="28"/>
                              </w:rPr>
                            </w:pPr>
                            <w:r>
                              <w:rPr>
                                <w:rFonts w:hint="eastAsia" w:ascii="宋体" w:hAnsi="宋体"/>
                                <w:szCs w:val="28"/>
                              </w:rPr>
                              <w:t>特此证明。</w:t>
                            </w:r>
                          </w:p>
                          <w:p>
                            <w:pPr>
                              <w:pStyle w:val="115"/>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115"/>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115"/>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115"/>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115"/>
                              <w:ind w:firstLine="0" w:firstLineChars="0"/>
                              <w:rPr>
                                <w:rFonts w:ascii="宋体" w:hAnsi="宋体"/>
                                <w:szCs w:val="28"/>
                              </w:rPr>
                            </w:pPr>
                            <w:r>
                              <w:rPr>
                                <w:rFonts w:hint="eastAsia" w:ascii="宋体" w:hAnsi="宋体"/>
                                <w:szCs w:val="28"/>
                              </w:rPr>
                              <w:t>　　　　　　　　　　单位：　　　　　　　　　　　（盖章）</w:t>
                            </w:r>
                          </w:p>
                          <w:p>
                            <w:pPr>
                              <w:pStyle w:val="115"/>
                              <w:ind w:firstLine="0" w:firstLineChars="0"/>
                              <w:rPr>
                                <w:rFonts w:ascii="宋体" w:hAnsi="宋体"/>
                                <w:szCs w:val="28"/>
                              </w:rPr>
                            </w:pPr>
                            <w:r>
                              <w:rPr>
                                <w:rFonts w:hint="eastAsia" w:ascii="宋体" w:hAnsi="宋体"/>
                                <w:szCs w:val="28"/>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21.3pt;height:217.55pt;width:437.05pt;mso-position-horizontal:center;mso-wrap-distance-bottom:0pt;mso-wrap-distance-left:9pt;mso-wrap-distance-right:9pt;mso-wrap-distance-top:0pt;z-index:251660288;mso-width-relative:page;mso-height-relative:page;" fillcolor="#FFFFFF" filled="t" stroked="t" coordsize="21600,21600" o:allowoverlap="f" o:gfxdata="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ungE1wAAAAcBAAAPAAAAAAAAAAEA&#10;IAAAACIAAABkcnMvZG93bnJldi54bWxQSwECFAAUAAAACACHTuJAkyDkI0kCAACYBAAADgAAAAAA&#10;AAABACAAAAAmAQAAZHJzL2Uyb0RvYy54bWxQSwUGAAAAAAYABgBZAQAA4QUAAAAA&#10;">
                <v:fill on="t" focussize="0,0"/>
                <v:stroke color="#000000" miterlimit="8" joinstyle="miter"/>
                <v:imagedata o:title=""/>
                <o:lock v:ext="edit" aspectratio="f"/>
                <v:textbox>
                  <w:txbxContent>
                    <w:p>
                      <w:pPr>
                        <w:pStyle w:val="115"/>
                        <w:spacing w:before="240"/>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115"/>
                        <w:ind w:firstLine="0" w:firstLineChars="0"/>
                        <w:rPr>
                          <w:rFonts w:ascii="宋体" w:hAnsi="宋体"/>
                          <w:szCs w:val="28"/>
                        </w:rPr>
                      </w:pPr>
                      <w:r>
                        <w:rPr>
                          <w:rFonts w:hint="eastAsia" w:ascii="宋体" w:hAnsi="宋体"/>
                          <w:szCs w:val="28"/>
                        </w:rPr>
                        <w:t>特此证明。</w:t>
                      </w:r>
                    </w:p>
                    <w:p>
                      <w:pPr>
                        <w:pStyle w:val="115"/>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115"/>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115"/>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115"/>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115"/>
                        <w:ind w:firstLine="0" w:firstLineChars="0"/>
                        <w:rPr>
                          <w:rFonts w:ascii="宋体" w:hAnsi="宋体"/>
                          <w:szCs w:val="28"/>
                        </w:rPr>
                      </w:pPr>
                      <w:r>
                        <w:rPr>
                          <w:rFonts w:hint="eastAsia" w:ascii="宋体" w:hAnsi="宋体"/>
                          <w:szCs w:val="28"/>
                        </w:rPr>
                        <w:t>　　　　　　　　　　单位：　　　　　　　　　　　（盖章）</w:t>
                      </w:r>
                    </w:p>
                    <w:p>
                      <w:pPr>
                        <w:pStyle w:val="115"/>
                        <w:ind w:firstLine="0" w:firstLineChars="0"/>
                        <w:rPr>
                          <w:rFonts w:ascii="宋体" w:hAnsi="宋体"/>
                          <w:szCs w:val="28"/>
                        </w:rPr>
                      </w:pPr>
                      <w:r>
                        <w:rPr>
                          <w:rFonts w:hint="eastAsia" w:ascii="宋体" w:hAnsi="宋体"/>
                          <w:szCs w:val="28"/>
                        </w:rPr>
                        <w:t>　　　　　　　　　　　　　　　　　　　　      　    年　  月　　日</w:t>
                      </w:r>
                    </w:p>
                  </w:txbxContent>
                </v:textbox>
                <w10:wrap type="square"/>
              </v:shape>
            </w:pict>
          </mc:Fallback>
        </mc:AlternateContent>
      </w:r>
      <w:r>
        <w:rPr>
          <w:rFonts w:hint="eastAsia"/>
          <w:snapToGrid w:val="0"/>
          <w:color w:val="auto"/>
          <w:spacing w:val="4"/>
          <w:sz w:val="24"/>
          <w:szCs w:val="24"/>
          <w:highlight w:val="none"/>
        </w:rPr>
        <w:t>（　 ）第　号</w:t>
      </w:r>
    </w:p>
    <w:p>
      <w:pPr>
        <w:topLinePunct/>
        <w:adjustRightInd w:val="0"/>
        <w:snapToGrid w:val="0"/>
        <w:spacing w:line="360" w:lineRule="auto"/>
        <w:rPr>
          <w:snapToGrid w:val="0"/>
          <w:color w:val="auto"/>
          <w:spacing w:val="4"/>
          <w:sz w:val="24"/>
          <w:szCs w:val="24"/>
          <w:highlight w:val="none"/>
        </w:rPr>
      </w:pPr>
    </w:p>
    <w:p>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（2）法定代表人授权委托书</w:t>
      </w:r>
    </w:p>
    <w:p>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 xml:space="preserve">                                                 （   ）第  号</w:t>
      </w:r>
    </w:p>
    <w:p>
      <w:pPr>
        <w:topLinePunct/>
        <w:adjustRightInd w:val="0"/>
        <w:snapToGrid w:val="0"/>
        <w:spacing w:line="360" w:lineRule="auto"/>
        <w:ind w:firstLine="420" w:firstLineChars="200"/>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80645</wp:posOffset>
                </wp:positionV>
                <wp:extent cx="5550535" cy="2748915"/>
                <wp:effectExtent l="4445" t="4445" r="7620" b="8890"/>
                <wp:wrapSquare wrapText="bothSides"/>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791200" cy="2748915"/>
                        </a:xfrm>
                        <a:prstGeom prst="rect">
                          <a:avLst/>
                        </a:prstGeom>
                        <a:solidFill>
                          <a:srgbClr val="FFFFFF"/>
                        </a:solidFill>
                        <a:ln w="9525">
                          <a:solidFill>
                            <a:srgbClr val="000000"/>
                          </a:solidFill>
                          <a:miter lim="800000"/>
                        </a:ln>
                        <a:effectLst/>
                      </wps:spPr>
                      <wps:txbx>
                        <w:txbxContent>
                          <w:p>
                            <w:pPr>
                              <w:pStyle w:val="115"/>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5"/>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115"/>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5"/>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5"/>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5"/>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pPr>
                              <w:pStyle w:val="115"/>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115"/>
                              <w:ind w:firstLine="496"/>
                              <w:rPr>
                                <w:rFonts w:ascii="宋体" w:hAnsi="宋体"/>
                              </w:rPr>
                            </w:pPr>
                            <w:r>
                              <w:rPr>
                                <w:rFonts w:hint="eastAsia" w:ascii="宋体" w:hAnsi="宋体"/>
                              </w:rPr>
                              <w:t>年</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6.35pt;height:216.45pt;width:437.05pt;mso-position-horizontal:center;mso-wrap-distance-bottom:0pt;mso-wrap-distance-left:9pt;mso-wrap-distance-right:9pt;mso-wrap-distance-top:0pt;z-index:251659264;mso-width-relative:page;mso-height-relative:page;" fillcolor="#FFFFFF" filled="t" stroked="t" coordsize="21600,21600" o:gfxdata="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S+mZN1wAAAAcBAAAPAAAAAAAAAAEA&#10;IAAAACIAAABkcnMvZG93bnJldi54bWxQSwECFAAUAAAACACHTuJA/mYxMUkCAACYBAAADgAAAAAA&#10;AAABACAAAAAmAQAAZHJzL2Uyb0RvYy54bWxQSwUGAAAAAAYABgBZAQAA4QUAAAAA&#10;">
                <v:fill on="t" focussize="0,0"/>
                <v:stroke color="#000000" miterlimit="8" joinstyle="miter"/>
                <v:imagedata o:title=""/>
                <o:lock v:ext="edit" aspectratio="f"/>
                <v:textbox>
                  <w:txbxContent>
                    <w:p>
                      <w:pPr>
                        <w:pStyle w:val="115"/>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5"/>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115"/>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5"/>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5"/>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15"/>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pPr>
                        <w:pStyle w:val="115"/>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115"/>
                        <w:ind w:firstLine="496"/>
                        <w:rPr>
                          <w:rFonts w:ascii="宋体" w:hAnsi="宋体"/>
                        </w:rPr>
                      </w:pPr>
                      <w:r>
                        <w:rPr>
                          <w:rFonts w:hint="eastAsia" w:ascii="宋体" w:hAnsi="宋体"/>
                        </w:rPr>
                        <w:t>年</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w10:wrap type="square"/>
              </v:shape>
            </w:pict>
          </mc:Fallback>
        </mc:AlternateContent>
      </w:r>
    </w:p>
    <w:p>
      <w:pPr>
        <w:rPr>
          <w:color w:val="auto"/>
          <w:highlight w:val="none"/>
        </w:rPr>
      </w:pPr>
      <w:bookmarkStart w:id="128" w:name="_Toc4486079"/>
      <w:bookmarkStart w:id="129" w:name="_Toc3736"/>
      <w:bookmarkStart w:id="130" w:name="_Toc4489947"/>
      <w:bookmarkStart w:id="131" w:name="_Toc4339798"/>
      <w:bookmarkStart w:id="132" w:name="_Toc4340136"/>
      <w:r>
        <w:rPr>
          <w:rFonts w:hint="eastAsia"/>
          <w:color w:val="auto"/>
          <w:highlight w:val="none"/>
        </w:rPr>
        <w:t>注：按提供的格式或使用从工商管理部门购买的格式填写。</w:t>
      </w:r>
      <w:bookmarkEnd w:id="128"/>
      <w:bookmarkEnd w:id="129"/>
      <w:bookmarkEnd w:id="130"/>
      <w:bookmarkEnd w:id="131"/>
      <w:bookmarkEnd w:id="132"/>
    </w:p>
    <w:p>
      <w:pPr>
        <w:widowControl/>
        <w:topLinePunct/>
        <w:adjustRightInd w:val="0"/>
        <w:snapToGrid w:val="0"/>
        <w:spacing w:before="156" w:beforeLines="50" w:after="156" w:afterLines="50"/>
        <w:jc w:val="left"/>
        <w:outlineLvl w:val="2"/>
        <w:rPr>
          <w:rFonts w:ascii="宋体" w:hAnsi="宋体"/>
          <w:color w:val="auto"/>
          <w:spacing w:val="4"/>
          <w:kern w:val="0"/>
          <w:sz w:val="24"/>
          <w:szCs w:val="24"/>
          <w:highlight w:val="none"/>
        </w:rPr>
      </w:pPr>
      <w:bookmarkStart w:id="133" w:name="_Toc504722514"/>
      <w:bookmarkStart w:id="134" w:name="_Toc29321"/>
      <w:r>
        <w:rPr>
          <w:rFonts w:ascii="宋体" w:hAnsi="宋体"/>
          <w:color w:val="auto"/>
          <w:spacing w:val="4"/>
          <w:kern w:val="0"/>
          <w:sz w:val="24"/>
          <w:szCs w:val="24"/>
          <w:highlight w:val="none"/>
        </w:rPr>
        <w:br w:type="page"/>
      </w:r>
      <w:bookmarkStart w:id="135" w:name="_Toc17217"/>
      <w:bookmarkStart w:id="136" w:name="_Toc4489948"/>
      <w:bookmarkStart w:id="137" w:name="_Toc29476916"/>
      <w:bookmarkStart w:id="138" w:name="_Toc62056037"/>
      <w:r>
        <w:rPr>
          <w:rFonts w:hint="eastAsia" w:ascii="宋体" w:hAnsi="宋体"/>
          <w:color w:val="auto"/>
          <w:spacing w:val="4"/>
          <w:kern w:val="0"/>
          <w:sz w:val="24"/>
          <w:szCs w:val="24"/>
          <w:highlight w:val="none"/>
        </w:rPr>
        <w:t>格式六：施工组织架构图</w:t>
      </w:r>
      <w:bookmarkEnd w:id="133"/>
      <w:bookmarkEnd w:id="134"/>
      <w:bookmarkEnd w:id="135"/>
      <w:bookmarkEnd w:id="136"/>
      <w:bookmarkEnd w:id="137"/>
      <w:bookmarkEnd w:id="138"/>
    </w:p>
    <w:p>
      <w:pPr>
        <w:widowControl/>
        <w:topLinePunct/>
        <w:adjustRightInd w:val="0"/>
        <w:snapToGrid w:val="0"/>
        <w:spacing w:after="200" w:line="360" w:lineRule="auto"/>
        <w:jc w:val="center"/>
        <w:rPr>
          <w:rFonts w:ascii="宋体" w:hAnsi="宋体"/>
          <w:b/>
          <w:color w:val="auto"/>
          <w:spacing w:val="4"/>
          <w:kern w:val="0"/>
          <w:sz w:val="36"/>
          <w:szCs w:val="36"/>
          <w:highlight w:val="none"/>
        </w:rPr>
      </w:pPr>
      <w:r>
        <w:rPr>
          <w:rFonts w:hint="eastAsia" w:ascii="宋体" w:hAnsi="宋体"/>
          <w:b/>
          <w:color w:val="auto"/>
          <w:spacing w:val="4"/>
          <w:kern w:val="0"/>
          <w:sz w:val="36"/>
          <w:szCs w:val="36"/>
          <w:highlight w:val="none"/>
        </w:rPr>
        <w:t>施工组织架构图</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注：</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1、投标人应结合本工程的类型和特点，科学、合理地设置本项目的施工组织架构；</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bookmarkStart w:id="139" w:name="_Toc449308425"/>
      <w:bookmarkStart w:id="140" w:name="_Toc484958704"/>
      <w:bookmarkStart w:id="141" w:name="_Toc464131229"/>
      <w:r>
        <w:rPr>
          <w:rFonts w:hint="eastAsia" w:ascii="宋体" w:hAnsi="宋体"/>
          <w:color w:val="auto"/>
          <w:spacing w:val="4"/>
          <w:kern w:val="0"/>
          <w:sz w:val="24"/>
          <w:szCs w:val="24"/>
          <w:highlight w:val="none"/>
        </w:rPr>
        <w:t>2、施工组织架构图由投标人</w:t>
      </w:r>
      <w:bookmarkEnd w:id="139"/>
      <w:bookmarkEnd w:id="140"/>
      <w:bookmarkEnd w:id="141"/>
      <w:r>
        <w:rPr>
          <w:rFonts w:hint="eastAsia" w:ascii="宋体" w:hAnsi="宋体"/>
          <w:color w:val="auto"/>
          <w:spacing w:val="4"/>
          <w:kern w:val="0"/>
          <w:sz w:val="24"/>
          <w:szCs w:val="24"/>
          <w:highlight w:val="none"/>
        </w:rPr>
        <w:t>结合招标人对本工程的具体要求自行设定；</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3、可结合自身情况附相关</w:t>
      </w:r>
      <w:r>
        <w:rPr>
          <w:rFonts w:ascii="宋体" w:hAnsi="宋体"/>
          <w:color w:val="auto"/>
          <w:spacing w:val="4"/>
          <w:kern w:val="0"/>
          <w:sz w:val="24"/>
          <w:szCs w:val="24"/>
          <w:highlight w:val="none"/>
        </w:rPr>
        <w:t>辅助说明资料。</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（盖章）</w:t>
      </w: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法定代表人或授权代理人(签字或盖章)：</w:t>
      </w: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xml:space="preserve">日   期：    年    月    日 </w:t>
      </w:r>
    </w:p>
    <w:p>
      <w:pPr>
        <w:widowControl/>
        <w:topLinePunct/>
        <w:adjustRightInd w:val="0"/>
        <w:snapToGrid w:val="0"/>
        <w:spacing w:after="200"/>
        <w:jc w:val="left"/>
        <w:outlineLvl w:val="2"/>
        <w:rPr>
          <w:rFonts w:ascii="宋体" w:hAnsi="宋体"/>
          <w:color w:val="auto"/>
          <w:spacing w:val="4"/>
          <w:kern w:val="0"/>
          <w:sz w:val="24"/>
          <w:szCs w:val="24"/>
          <w:highlight w:val="none"/>
        </w:rPr>
        <w:sectPr>
          <w:pgSz w:w="11907" w:h="16840"/>
          <w:pgMar w:top="1418" w:right="1418" w:bottom="1418" w:left="1418" w:header="851" w:footer="851" w:gutter="0"/>
          <w:cols w:space="720" w:num="1"/>
          <w:docGrid w:type="lines" w:linePitch="312" w:charSpace="0"/>
        </w:sectPr>
      </w:pPr>
    </w:p>
    <w:p>
      <w:pPr>
        <w:widowControl/>
        <w:topLinePunct/>
        <w:adjustRightInd w:val="0"/>
        <w:snapToGrid w:val="0"/>
        <w:spacing w:after="200"/>
        <w:jc w:val="left"/>
        <w:outlineLvl w:val="2"/>
        <w:rPr>
          <w:rFonts w:ascii="宋体" w:hAnsi="宋体"/>
          <w:color w:val="auto"/>
          <w:spacing w:val="4"/>
          <w:kern w:val="0"/>
          <w:sz w:val="24"/>
          <w:szCs w:val="24"/>
          <w:highlight w:val="none"/>
        </w:rPr>
      </w:pPr>
      <w:bookmarkStart w:id="142" w:name="_Toc29476917"/>
      <w:bookmarkStart w:id="143" w:name="_Toc1959"/>
      <w:bookmarkStart w:id="144" w:name="_Toc504722515"/>
      <w:bookmarkStart w:id="145" w:name="_Toc4489949"/>
      <w:bookmarkStart w:id="146" w:name="_Toc13445"/>
      <w:bookmarkStart w:id="147" w:name="_Toc62056038"/>
      <w:r>
        <w:rPr>
          <w:rFonts w:hint="eastAsia" w:ascii="宋体" w:hAnsi="宋体"/>
          <w:color w:val="auto"/>
          <w:spacing w:val="4"/>
          <w:kern w:val="0"/>
          <w:sz w:val="24"/>
          <w:szCs w:val="24"/>
          <w:highlight w:val="none"/>
        </w:rPr>
        <w:t>格式七：</w:t>
      </w:r>
      <w:bookmarkEnd w:id="142"/>
      <w:bookmarkEnd w:id="143"/>
      <w:bookmarkEnd w:id="144"/>
      <w:bookmarkEnd w:id="145"/>
      <w:r>
        <w:rPr>
          <w:rFonts w:hint="eastAsia" w:ascii="宋体" w:hAnsi="宋体"/>
          <w:color w:val="auto"/>
          <w:spacing w:val="4"/>
          <w:kern w:val="0"/>
          <w:sz w:val="24"/>
          <w:szCs w:val="24"/>
          <w:highlight w:val="none"/>
        </w:rPr>
        <w:t>项目经理部组成人员配备表</w:t>
      </w:r>
      <w:bookmarkEnd w:id="146"/>
      <w:bookmarkEnd w:id="147"/>
    </w:p>
    <w:p>
      <w:pPr>
        <w:topLinePunct/>
        <w:adjustRightInd w:val="0"/>
        <w:snapToGrid w:val="0"/>
        <w:spacing w:line="360" w:lineRule="auto"/>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项目经理部组成人员配备表</w:t>
      </w:r>
    </w:p>
    <w:tbl>
      <w:tblPr>
        <w:tblStyle w:val="36"/>
        <w:tblW w:w="13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170"/>
        <w:gridCol w:w="920"/>
        <w:gridCol w:w="990"/>
        <w:gridCol w:w="670"/>
        <w:gridCol w:w="1580"/>
        <w:gridCol w:w="2283"/>
        <w:gridCol w:w="685"/>
        <w:gridCol w:w="2712"/>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trPr>
        <w:tc>
          <w:tcPr>
            <w:tcW w:w="10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序号</w:t>
            </w:r>
          </w:p>
        </w:tc>
        <w:tc>
          <w:tcPr>
            <w:tcW w:w="11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姓名</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年龄</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职称</w:t>
            </w:r>
          </w:p>
        </w:tc>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原任职务</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在本项目任职</w:t>
            </w:r>
          </w:p>
        </w:tc>
        <w:tc>
          <w:tcPr>
            <w:tcW w:w="2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身份证</w:t>
            </w:r>
          </w:p>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号码</w:t>
            </w: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数量</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资质情况</w:t>
            </w:r>
          </w:p>
        </w:tc>
        <w:tc>
          <w:tcPr>
            <w:tcW w:w="15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2"/>
                <w:szCs w:val="21"/>
                <w:highlight w:val="none"/>
                <w:lang w:eastAsia="en-US" w:bidi="en-US"/>
              </w:rPr>
            </w:pPr>
            <w:r>
              <w:rPr>
                <w:rFonts w:hint="eastAsia" w:ascii="宋体" w:hAnsi="宋体"/>
                <w:b/>
                <w:color w:val="auto"/>
                <w:kern w:val="0"/>
                <w:sz w:val="22"/>
                <w:szCs w:val="21"/>
                <w:highlight w:val="none"/>
                <w:lang w:eastAsia="en-US" w:bidi="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10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1</w:t>
            </w:r>
          </w:p>
        </w:tc>
        <w:tc>
          <w:tcPr>
            <w:tcW w:w="11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kern w:val="0"/>
                <w:highlight w:val="none"/>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olor w:val="auto"/>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kern w:val="0"/>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olor w:val="auto"/>
                <w:kern w:val="0"/>
                <w:sz w:val="22"/>
                <w:szCs w:val="21"/>
                <w:highlight w:val="none"/>
                <w:lang w:eastAsia="en-US" w:bidi="en-US"/>
              </w:rPr>
            </w:pP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520"/>
              </w:tabs>
              <w:adjustRightInd w:val="0"/>
              <w:snapToGrid w:val="0"/>
              <w:spacing w:before="0" w:beforeAutospacing="0" w:after="0" w:afterAutospacing="0" w:line="240" w:lineRule="exact"/>
              <w:ind w:left="0" w:right="0"/>
              <w:jc w:val="center"/>
              <w:rPr>
                <w:rFonts w:hint="default" w:ascii="宋体" w:hAnsi="宋体"/>
                <w:color w:val="auto"/>
                <w:sz w:val="20"/>
                <w:szCs w:val="20"/>
                <w:highlight w:val="none"/>
              </w:rPr>
            </w:pPr>
            <w:r>
              <w:rPr>
                <w:rFonts w:hint="eastAsia" w:ascii="宋体" w:hAnsi="宋体" w:cs="宋体"/>
                <w:bCs/>
                <w:color w:val="auto"/>
                <w:kern w:val="44"/>
                <w:sz w:val="20"/>
                <w:szCs w:val="20"/>
                <w:highlight w:val="none"/>
              </w:rPr>
              <w:t>项目负责人</w:t>
            </w:r>
          </w:p>
        </w:tc>
        <w:tc>
          <w:tcPr>
            <w:tcW w:w="2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kern w:val="0"/>
                <w:sz w:val="20"/>
                <w:szCs w:val="20"/>
                <w:highlight w:val="none"/>
              </w:rPr>
            </w:pP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suppressLineNumbers w:val="0"/>
              <w:spacing w:before="0" w:beforeAutospacing="0" w:after="0" w:afterAutospacing="0" w:line="240" w:lineRule="exact"/>
              <w:ind w:left="0" w:right="0" w:firstLine="0"/>
              <w:jc w:val="left"/>
              <w:rPr>
                <w:rFonts w:hint="default"/>
                <w:color w:val="auto"/>
                <w:highlight w:val="none"/>
              </w:rPr>
            </w:pPr>
            <w:r>
              <w:rPr>
                <w:rFonts w:hint="eastAsia" w:ascii="宋体" w:hAnsi="宋体"/>
                <w:color w:val="auto"/>
                <w:highlight w:val="none"/>
              </w:rPr>
              <w:t>按招标公告要求。</w:t>
            </w:r>
          </w:p>
        </w:tc>
        <w:tc>
          <w:tcPr>
            <w:tcW w:w="15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40" w:lineRule="exact"/>
              <w:ind w:left="0" w:right="0"/>
              <w:jc w:val="left"/>
              <w:rPr>
                <w:rFonts w:hint="default"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10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2</w:t>
            </w:r>
          </w:p>
        </w:tc>
        <w:tc>
          <w:tcPr>
            <w:tcW w:w="11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kern w:val="0"/>
                <w:highlight w:val="none"/>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olor w:val="auto"/>
                <w:kern w:val="0"/>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kern w:val="0"/>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olor w:val="auto"/>
                <w:kern w:val="0"/>
                <w:sz w:val="22"/>
                <w:szCs w:val="21"/>
                <w:highlight w:val="none"/>
                <w:lang w:eastAsia="en-US" w:bidi="en-US"/>
              </w:rPr>
            </w:pP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宋体" w:hAnsi="宋体" w:cs="宋体"/>
                <w:color w:val="auto"/>
                <w:kern w:val="0"/>
                <w:sz w:val="20"/>
                <w:szCs w:val="20"/>
                <w:highlight w:val="none"/>
              </w:rPr>
            </w:pPr>
            <w:r>
              <w:rPr>
                <w:rFonts w:hint="eastAsia" w:ascii="宋体" w:hAnsi="宋体" w:cs="宋体"/>
                <w:bCs/>
                <w:color w:val="auto"/>
                <w:kern w:val="44"/>
                <w:sz w:val="20"/>
                <w:szCs w:val="20"/>
                <w:highlight w:val="none"/>
              </w:rPr>
              <w:t>技术负责人</w:t>
            </w:r>
          </w:p>
        </w:tc>
        <w:tc>
          <w:tcPr>
            <w:tcW w:w="2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kern w:val="0"/>
                <w:sz w:val="20"/>
                <w:szCs w:val="20"/>
                <w:highlight w:val="none"/>
              </w:rPr>
            </w:pP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2520"/>
              </w:tabs>
              <w:spacing w:before="0" w:beforeAutospacing="0" w:after="0" w:afterAutospacing="0" w:line="240" w:lineRule="exact"/>
              <w:ind w:left="0" w:right="0"/>
              <w:jc w:val="left"/>
              <w:rPr>
                <w:rFonts w:hint="default" w:ascii="宋体" w:hAnsi="宋体" w:cs="宋体"/>
                <w:color w:val="auto"/>
                <w:kern w:val="0"/>
                <w:sz w:val="20"/>
                <w:szCs w:val="20"/>
                <w:highlight w:val="none"/>
              </w:rPr>
            </w:pPr>
            <w:r>
              <w:rPr>
                <w:rFonts w:hint="eastAsia" w:ascii="宋体" w:hAnsi="宋体"/>
                <w:color w:val="auto"/>
                <w:sz w:val="20"/>
                <w:szCs w:val="20"/>
                <w:highlight w:val="none"/>
              </w:rPr>
              <w:t>按招标公告要求。</w:t>
            </w:r>
          </w:p>
        </w:tc>
        <w:tc>
          <w:tcPr>
            <w:tcW w:w="15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40" w:lineRule="exact"/>
              <w:ind w:left="0" w:right="0"/>
              <w:jc w:val="left"/>
              <w:rPr>
                <w:rFonts w:hint="default"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trPr>
        <w:tc>
          <w:tcPr>
            <w:tcW w:w="10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3</w:t>
            </w:r>
          </w:p>
        </w:tc>
        <w:tc>
          <w:tcPr>
            <w:tcW w:w="11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kern w:val="0"/>
                <w:highlight w:val="none"/>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olor w:val="auto"/>
                <w:kern w:val="0"/>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kern w:val="0"/>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olor w:val="auto"/>
                <w:kern w:val="0"/>
                <w:sz w:val="22"/>
                <w:szCs w:val="21"/>
                <w:highlight w:val="none"/>
                <w:lang w:eastAsia="en-US" w:bidi="en-US"/>
              </w:rPr>
            </w:pP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宋体" w:hAnsi="宋体" w:cs="宋体"/>
                <w:color w:val="auto"/>
                <w:kern w:val="0"/>
                <w:sz w:val="20"/>
                <w:szCs w:val="20"/>
                <w:highlight w:val="none"/>
              </w:rPr>
            </w:pPr>
            <w:r>
              <w:rPr>
                <w:rFonts w:hint="eastAsia" w:ascii="宋体" w:hAnsi="宋体" w:cs="宋体"/>
                <w:bCs/>
                <w:color w:val="auto"/>
                <w:kern w:val="44"/>
                <w:sz w:val="20"/>
                <w:szCs w:val="20"/>
                <w:highlight w:val="none"/>
              </w:rPr>
              <w:t>专职安全员</w:t>
            </w:r>
          </w:p>
        </w:tc>
        <w:tc>
          <w:tcPr>
            <w:tcW w:w="2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kern w:val="0"/>
                <w:sz w:val="20"/>
                <w:szCs w:val="20"/>
                <w:highlight w:val="none"/>
              </w:rPr>
            </w:pP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color w:val="auto"/>
                <w:kern w:val="0"/>
                <w:sz w:val="20"/>
                <w:szCs w:val="20"/>
                <w:highlight w:val="none"/>
              </w:rPr>
            </w:pPr>
            <w:r>
              <w:rPr>
                <w:rFonts w:hint="eastAsia" w:ascii="宋体" w:hAnsi="宋体"/>
                <w:color w:val="auto"/>
                <w:sz w:val="20"/>
                <w:szCs w:val="20"/>
                <w:highlight w:val="none"/>
              </w:rPr>
              <w:t>按招标公告要求。</w:t>
            </w:r>
          </w:p>
        </w:tc>
        <w:tc>
          <w:tcPr>
            <w:tcW w:w="15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40" w:lineRule="exact"/>
              <w:ind w:left="0" w:right="0"/>
              <w:jc w:val="left"/>
              <w:rPr>
                <w:rFonts w:hint="default"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0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4</w:t>
            </w:r>
          </w:p>
        </w:tc>
        <w:tc>
          <w:tcPr>
            <w:tcW w:w="11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kern w:val="0"/>
                <w:highlight w:val="none"/>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olor w:val="auto"/>
                <w:kern w:val="0"/>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kern w:val="0"/>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olor w:val="auto"/>
                <w:kern w:val="0"/>
                <w:sz w:val="22"/>
                <w:szCs w:val="21"/>
                <w:highlight w:val="none"/>
                <w:lang w:eastAsia="en-US" w:bidi="en-US"/>
              </w:rPr>
            </w:pP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olor w:val="auto"/>
                <w:sz w:val="18"/>
                <w:szCs w:val="18"/>
                <w:highlight w:val="none"/>
              </w:rPr>
              <w:t>质量负责人</w:t>
            </w:r>
          </w:p>
        </w:tc>
        <w:tc>
          <w:tcPr>
            <w:tcW w:w="2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40" w:lineRule="exact"/>
              <w:ind w:left="-361" w:leftChars="-172" w:right="0" w:firstLine="400" w:firstLineChars="200"/>
              <w:jc w:val="center"/>
              <w:rPr>
                <w:rFonts w:hint="default" w:ascii="宋体" w:hAnsi="宋体" w:cs="宋体"/>
                <w:bCs/>
                <w:color w:val="auto"/>
                <w:kern w:val="44"/>
                <w:sz w:val="20"/>
                <w:szCs w:val="20"/>
                <w:highlight w:val="none"/>
              </w:rPr>
            </w:pP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40" w:lineRule="exact"/>
              <w:ind w:left="-361" w:leftChars="-172" w:right="0" w:firstLine="400" w:firstLineChars="200"/>
              <w:jc w:val="center"/>
              <w:rPr>
                <w:rFonts w:hint="default" w:ascii="宋体" w:hAnsi="宋体" w:cs="宋体"/>
                <w:bCs/>
                <w:color w:val="auto"/>
                <w:kern w:val="44"/>
                <w:sz w:val="20"/>
                <w:szCs w:val="20"/>
                <w:highlight w:val="none"/>
              </w:rPr>
            </w:pP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宋体" w:hAnsi="宋体" w:cs="宋体"/>
                <w:color w:val="auto"/>
                <w:kern w:val="0"/>
                <w:sz w:val="20"/>
                <w:szCs w:val="20"/>
                <w:highlight w:val="none"/>
              </w:rPr>
            </w:pPr>
          </w:p>
        </w:tc>
        <w:tc>
          <w:tcPr>
            <w:tcW w:w="157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240" w:lineRule="exact"/>
              <w:ind w:left="0" w:right="0"/>
              <w:jc w:val="left"/>
              <w:rPr>
                <w:rFonts w:hint="default"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10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5</w:t>
            </w:r>
          </w:p>
        </w:tc>
        <w:tc>
          <w:tcPr>
            <w:tcW w:w="11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kern w:val="0"/>
                <w:highlight w:val="none"/>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olor w:val="auto"/>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kern w:val="0"/>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olor w:val="auto"/>
                <w:kern w:val="0"/>
                <w:sz w:val="22"/>
                <w:szCs w:val="21"/>
                <w:highlight w:val="none"/>
                <w:lang w:eastAsia="en-US" w:bidi="en-US"/>
              </w:rPr>
            </w:pP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olor w:val="auto"/>
                <w:sz w:val="18"/>
                <w:szCs w:val="18"/>
                <w:highlight w:val="none"/>
              </w:rPr>
              <w:t>安全负责人</w:t>
            </w:r>
          </w:p>
        </w:tc>
        <w:tc>
          <w:tcPr>
            <w:tcW w:w="22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color w:val="auto"/>
                <w:kern w:val="0"/>
                <w:sz w:val="20"/>
                <w:szCs w:val="20"/>
                <w:highlight w:val="none"/>
              </w:rPr>
            </w:pP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40" w:lineRule="exact"/>
              <w:ind w:left="-361" w:leftChars="-172" w:right="0" w:firstLine="400" w:firstLineChars="200"/>
              <w:jc w:val="center"/>
              <w:rPr>
                <w:rFonts w:hint="default" w:ascii="宋体" w:hAnsi="宋体" w:cs="宋体"/>
                <w:bCs/>
                <w:color w:val="auto"/>
                <w:kern w:val="44"/>
                <w:sz w:val="20"/>
                <w:szCs w:val="20"/>
                <w:highlight w:val="none"/>
              </w:rPr>
            </w:pP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cs="宋体"/>
                <w:color w:val="auto"/>
                <w:kern w:val="0"/>
                <w:sz w:val="20"/>
                <w:szCs w:val="20"/>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40" w:lineRule="exact"/>
              <w:ind w:left="0" w:right="0"/>
              <w:jc w:val="left"/>
              <w:rPr>
                <w:rFonts w:hint="default"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10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color w:val="auto"/>
                <w:kern w:val="0"/>
                <w:highlight w:val="none"/>
              </w:rPr>
            </w:pPr>
            <w:r>
              <w:rPr>
                <w:rFonts w:hint="eastAsia" w:ascii="Times New Roman" w:hAnsi="Times New Roman"/>
                <w:color w:val="auto"/>
                <w:kern w:val="0"/>
                <w:highlight w:val="none"/>
              </w:rPr>
              <w:t>6</w:t>
            </w:r>
          </w:p>
        </w:tc>
        <w:tc>
          <w:tcPr>
            <w:tcW w:w="11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kern w:val="0"/>
                <w:highlight w:val="none"/>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color w:val="auto"/>
                <w:highlight w:val="none"/>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s="宋体"/>
                <w:color w:val="auto"/>
                <w:kern w:val="0"/>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color w:val="auto"/>
                <w:kern w:val="0"/>
                <w:sz w:val="22"/>
                <w:szCs w:val="21"/>
                <w:highlight w:val="none"/>
                <w:lang w:eastAsia="en-US" w:bidi="en-US"/>
              </w:rPr>
            </w:pP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firstLine="210" w:firstLineChars="100"/>
              <w:jc w:val="center"/>
              <w:rPr>
                <w:rFonts w:hint="default" w:ascii="宋体" w:hAnsi="宋体" w:cs="宋体"/>
                <w:bCs/>
                <w:color w:val="auto"/>
                <w:kern w:val="44"/>
                <w:sz w:val="20"/>
                <w:szCs w:val="20"/>
                <w:highlight w:val="none"/>
              </w:rPr>
            </w:pPr>
            <w:r>
              <w:rPr>
                <w:rFonts w:hint="eastAsia" w:ascii="宋体" w:hAnsi="宋体" w:cs="宋体"/>
                <w:color w:val="auto"/>
                <w:szCs w:val="21"/>
                <w:highlight w:val="none"/>
              </w:rPr>
              <w:t>造价负责人</w:t>
            </w:r>
          </w:p>
        </w:tc>
        <w:tc>
          <w:tcPr>
            <w:tcW w:w="22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s="宋体"/>
                <w:color w:val="auto"/>
                <w:kern w:val="0"/>
                <w:sz w:val="20"/>
                <w:szCs w:val="20"/>
                <w:highlight w:val="none"/>
              </w:rPr>
            </w:pPr>
          </w:p>
        </w:tc>
        <w:tc>
          <w:tcPr>
            <w:tcW w:w="6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40" w:lineRule="exact"/>
              <w:ind w:left="-361" w:leftChars="-172" w:right="0" w:firstLine="400" w:firstLineChars="200"/>
              <w:jc w:val="center"/>
              <w:rPr>
                <w:rFonts w:hint="default" w:ascii="宋体" w:hAnsi="宋体" w:cs="宋体"/>
                <w:bCs/>
                <w:color w:val="auto"/>
                <w:kern w:val="44"/>
                <w:sz w:val="20"/>
                <w:szCs w:val="20"/>
                <w:highlight w:val="none"/>
              </w:rPr>
            </w:pPr>
          </w:p>
        </w:tc>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color w:val="auto"/>
                <w:sz w:val="20"/>
                <w:szCs w:val="20"/>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240" w:lineRule="exact"/>
              <w:ind w:left="0" w:right="0"/>
              <w:jc w:val="left"/>
              <w:rPr>
                <w:rFonts w:hint="default" w:ascii="宋体" w:hAnsi="宋体"/>
                <w:color w:val="auto"/>
                <w:sz w:val="20"/>
                <w:szCs w:val="20"/>
                <w:highlight w:val="none"/>
              </w:rPr>
            </w:pPr>
          </w:p>
        </w:tc>
      </w:tr>
    </w:tbl>
    <w:p>
      <w:pPr>
        <w:widowControl/>
        <w:topLinePunct/>
        <w:adjustRightInd w:val="0"/>
        <w:snapToGrid w:val="0"/>
        <w:jc w:val="left"/>
        <w:rPr>
          <w:rFonts w:ascii="宋体" w:hAnsi="宋体" w:cs="宋体"/>
          <w:bCs/>
          <w:color w:val="auto"/>
          <w:highlight w:val="none"/>
        </w:rPr>
      </w:pPr>
      <w:r>
        <w:rPr>
          <w:rFonts w:hint="eastAsia"/>
          <w:snapToGrid w:val="0"/>
          <w:color w:val="auto"/>
          <w:szCs w:val="21"/>
          <w:highlight w:val="none"/>
        </w:rPr>
        <w:t>注：</w:t>
      </w:r>
      <w:r>
        <w:rPr>
          <w:snapToGrid w:val="0"/>
          <w:color w:val="auto"/>
          <w:szCs w:val="21"/>
          <w:highlight w:val="none"/>
        </w:rPr>
        <w:t xml:space="preserve"> </w:t>
      </w:r>
      <w:r>
        <w:rPr>
          <w:rFonts w:ascii="宋体" w:hAnsi="宋体" w:cs="宋体"/>
          <w:bCs/>
          <w:color w:val="auto"/>
          <w:highlight w:val="none"/>
        </w:rPr>
        <w:t>1</w:t>
      </w:r>
      <w:r>
        <w:rPr>
          <w:rFonts w:hint="eastAsia" w:ascii="宋体" w:hAnsi="宋体" w:cs="宋体"/>
          <w:bCs/>
          <w:color w:val="auto"/>
          <w:highlight w:val="none"/>
        </w:rPr>
        <w:t>、本表“投入主要人员”应根据招标文件第四章中“项目经理部组成人员配备表”的要求进行配备。</w:t>
      </w:r>
    </w:p>
    <w:p>
      <w:pPr>
        <w:topLinePunct/>
        <w:adjustRightInd w:val="0"/>
        <w:snapToGrid w:val="0"/>
        <w:ind w:firstLine="525" w:firstLineChars="250"/>
        <w:rPr>
          <w:rFonts w:ascii="宋体" w:hAnsi="宋体" w:cs="宋体"/>
          <w:bCs/>
          <w:color w:val="auto"/>
          <w:highlight w:val="none"/>
        </w:rPr>
      </w:pPr>
      <w:r>
        <w:rPr>
          <w:rFonts w:hint="eastAsia" w:ascii="宋体" w:hAnsi="宋体" w:cs="宋体"/>
          <w:bCs/>
          <w:color w:val="auto"/>
          <w:highlight w:val="none"/>
        </w:rPr>
        <w:t>2、本表“投入主要人员”须提供的证明文件复印件详见上表备注要求，并按格式八附简历表以及近一个月（202</w:t>
      </w:r>
      <w:r>
        <w:rPr>
          <w:rFonts w:hint="eastAsia" w:ascii="宋体" w:hAnsi="宋体" w:cs="宋体"/>
          <w:bCs/>
          <w:color w:val="auto"/>
          <w:highlight w:val="none"/>
          <w:lang w:val="en-US" w:eastAsia="zh-CN"/>
        </w:rPr>
        <w:t>3</w:t>
      </w:r>
      <w:r>
        <w:rPr>
          <w:rFonts w:hint="eastAsia" w:ascii="宋体" w:hAnsi="宋体" w:cs="宋体"/>
          <w:bCs/>
          <w:color w:val="auto"/>
          <w:highlight w:val="none"/>
        </w:rPr>
        <w:t>年</w:t>
      </w:r>
      <w:r>
        <w:rPr>
          <w:rFonts w:hint="eastAsia" w:ascii="宋体" w:hAnsi="宋体" w:cs="宋体"/>
          <w:bCs/>
          <w:color w:val="auto"/>
          <w:highlight w:val="none"/>
          <w:lang w:val="en-US" w:eastAsia="zh-CN"/>
        </w:rPr>
        <w:t>2</w:t>
      </w:r>
      <w:r>
        <w:rPr>
          <w:rFonts w:hint="eastAsia" w:ascii="宋体" w:hAnsi="宋体" w:cs="宋体"/>
          <w:bCs/>
          <w:color w:val="auto"/>
          <w:highlight w:val="none"/>
        </w:rPr>
        <w:t>月）社保证明文件复印件，</w:t>
      </w:r>
      <w:r>
        <w:rPr>
          <w:color w:val="auto"/>
          <w:highlight w:val="none"/>
        </w:rPr>
        <w:t>若当地政府部门允许企业在疫情期间缓缴社会保险费且投标人未缴纳的，投标人可提供当地政府部门允许缓缴社保的相关文件作为缴纳社保的证明。确定中标人后，招标人将核实后续中标人项目经理部组成人员的社保补缴情况。</w:t>
      </w:r>
      <w:r>
        <w:rPr>
          <w:rFonts w:hint="eastAsia" w:ascii="宋体" w:hAnsi="宋体" w:cs="宋体"/>
          <w:bCs/>
          <w:color w:val="auto"/>
          <w:highlight w:val="none"/>
        </w:rPr>
        <w:t>投入人员工作经验以毕业证毕业时间为准。</w:t>
      </w:r>
    </w:p>
    <w:p>
      <w:pPr>
        <w:topLinePunct/>
        <w:adjustRightInd w:val="0"/>
        <w:snapToGrid w:val="0"/>
        <w:ind w:firstLine="525" w:firstLineChars="250"/>
        <w:rPr>
          <w:rFonts w:ascii="宋体" w:hAnsi="宋体" w:cs="宋体"/>
          <w:bCs/>
          <w:color w:val="auto"/>
          <w:highlight w:val="none"/>
        </w:rPr>
      </w:pPr>
      <w:r>
        <w:rPr>
          <w:rFonts w:hint="eastAsia" w:ascii="宋体" w:hAnsi="宋体" w:cs="宋体"/>
          <w:bCs/>
          <w:color w:val="auto"/>
          <w:highlight w:val="none"/>
        </w:rPr>
        <w:t>3、本表投标人可根据企业自身及项目实际情况自行增加人员配置。</w:t>
      </w:r>
    </w:p>
    <w:p>
      <w:pPr>
        <w:shd w:val="clear" w:color="auto" w:fill="FFFFFF"/>
        <w:adjustRightInd w:val="0"/>
        <w:ind w:firstLine="525" w:firstLineChars="250"/>
        <w:rPr>
          <w:rFonts w:ascii="宋体" w:hAnsi="宋体" w:cs="宋体"/>
          <w:bCs/>
          <w:color w:val="auto"/>
          <w:highlight w:val="none"/>
        </w:rPr>
      </w:pPr>
      <w:r>
        <w:rPr>
          <w:rFonts w:hint="eastAsia" w:ascii="宋体" w:hAnsi="宋体" w:cs="宋体"/>
          <w:bCs/>
          <w:color w:val="auto"/>
          <w:highlight w:val="none"/>
        </w:rPr>
        <w:t>4、拟投入的项目部人员，未经招标人同意，中标后不得更换，否则按合同约定承担违约责任。</w:t>
      </w: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8362" w:firstLineChars="3372"/>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（盖章）</w:t>
      </w:r>
    </w:p>
    <w:p>
      <w:pPr>
        <w:widowControl/>
        <w:topLinePunct/>
        <w:adjustRightInd w:val="0"/>
        <w:snapToGrid w:val="0"/>
        <w:spacing w:after="200" w:line="360" w:lineRule="auto"/>
        <w:ind w:firstLine="8362" w:firstLineChars="3372"/>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法定代表人或授权代理人(签字或盖章)：</w:t>
      </w:r>
    </w:p>
    <w:p>
      <w:pPr>
        <w:ind w:firstLine="8364" w:firstLineChars="3485"/>
        <w:jc w:val="left"/>
        <w:rPr>
          <w:rFonts w:ascii="宋体" w:hAnsi="宋体"/>
          <w:color w:val="auto"/>
          <w:sz w:val="24"/>
          <w:szCs w:val="24"/>
          <w:highlight w:val="none"/>
        </w:rPr>
      </w:pPr>
      <w:r>
        <w:rPr>
          <w:rFonts w:hint="eastAsia" w:ascii="宋体" w:hAnsi="宋体"/>
          <w:color w:val="auto"/>
          <w:sz w:val="24"/>
          <w:szCs w:val="24"/>
          <w:highlight w:val="none"/>
        </w:rPr>
        <w:t>日   期：    年    月    日</w:t>
      </w:r>
    </w:p>
    <w:p>
      <w:pPr>
        <w:spacing w:line="360" w:lineRule="auto"/>
        <w:jc w:val="center"/>
        <w:rPr>
          <w:rFonts w:ascii="宋体" w:hAnsi="宋体" w:eastAsia="黑体"/>
          <w:color w:val="auto"/>
          <w:spacing w:val="4"/>
          <w:kern w:val="0"/>
          <w:sz w:val="24"/>
          <w:szCs w:val="24"/>
          <w:highlight w:val="none"/>
        </w:rPr>
      </w:pPr>
    </w:p>
    <w:p>
      <w:pPr>
        <w:spacing w:line="360" w:lineRule="auto"/>
        <w:jc w:val="center"/>
        <w:rPr>
          <w:rFonts w:ascii="宋体" w:hAnsi="宋体" w:eastAsia="黑体"/>
          <w:color w:val="auto"/>
          <w:spacing w:val="4"/>
          <w:kern w:val="0"/>
          <w:sz w:val="24"/>
          <w:szCs w:val="24"/>
          <w:highlight w:val="none"/>
        </w:rPr>
        <w:sectPr>
          <w:pgSz w:w="16840" w:h="11907" w:orient="landscape"/>
          <w:pgMar w:top="1418" w:right="1418" w:bottom="1418" w:left="1418" w:header="851" w:footer="851" w:gutter="0"/>
          <w:cols w:space="720" w:num="1"/>
          <w:docGrid w:type="lines" w:linePitch="312" w:charSpace="0"/>
        </w:sectPr>
      </w:pPr>
    </w:p>
    <w:p>
      <w:pPr>
        <w:widowControl/>
        <w:topLinePunct/>
        <w:adjustRightInd w:val="0"/>
        <w:snapToGrid w:val="0"/>
        <w:spacing w:after="200"/>
        <w:jc w:val="left"/>
        <w:outlineLvl w:val="2"/>
        <w:rPr>
          <w:rFonts w:ascii="宋体" w:hAnsi="宋体"/>
          <w:color w:val="auto"/>
          <w:spacing w:val="4"/>
          <w:kern w:val="0"/>
          <w:sz w:val="24"/>
          <w:szCs w:val="24"/>
          <w:highlight w:val="none"/>
        </w:rPr>
      </w:pPr>
      <w:bookmarkStart w:id="148" w:name="_Toc4489950"/>
      <w:bookmarkStart w:id="149" w:name="_Toc62056040"/>
      <w:bookmarkStart w:id="150" w:name="_Toc15808"/>
      <w:bookmarkStart w:id="151" w:name="_Toc29476918"/>
      <w:r>
        <w:rPr>
          <w:rFonts w:hint="eastAsia" w:ascii="宋体" w:hAnsi="宋体"/>
          <w:color w:val="auto"/>
          <w:spacing w:val="4"/>
          <w:kern w:val="0"/>
          <w:sz w:val="24"/>
          <w:szCs w:val="24"/>
          <w:highlight w:val="none"/>
        </w:rPr>
        <w:t>格式八：</w:t>
      </w:r>
      <w:bookmarkEnd w:id="148"/>
      <w:r>
        <w:rPr>
          <w:rFonts w:hint="eastAsia" w:ascii="宋体" w:hAnsi="宋体"/>
          <w:color w:val="auto"/>
          <w:spacing w:val="4"/>
          <w:kern w:val="0"/>
          <w:sz w:val="24"/>
          <w:szCs w:val="24"/>
          <w:highlight w:val="none"/>
        </w:rPr>
        <w:t>主要人员简历表</w:t>
      </w:r>
      <w:bookmarkEnd w:id="149"/>
      <w:bookmarkEnd w:id="150"/>
      <w:bookmarkEnd w:id="151"/>
    </w:p>
    <w:p>
      <w:pPr>
        <w:rPr>
          <w:rFonts w:ascii="宋体" w:hAnsi="宋体"/>
          <w:b/>
          <w:color w:val="auto"/>
          <w:spacing w:val="4"/>
          <w:kern w:val="0"/>
          <w:sz w:val="36"/>
          <w:szCs w:val="36"/>
          <w:highlight w:val="none"/>
        </w:rPr>
      </w:pPr>
    </w:p>
    <w:p>
      <w:pPr>
        <w:rPr>
          <w:rFonts w:ascii="宋体" w:hAnsi="宋体"/>
          <w:b/>
          <w:color w:val="auto"/>
          <w:spacing w:val="4"/>
          <w:kern w:val="0"/>
          <w:sz w:val="36"/>
          <w:szCs w:val="36"/>
          <w:highlight w:val="none"/>
        </w:rPr>
      </w:pPr>
    </w:p>
    <w:p>
      <w:pPr>
        <w:widowControl/>
        <w:topLinePunct/>
        <w:adjustRightInd w:val="0"/>
        <w:snapToGrid w:val="0"/>
        <w:spacing w:after="200" w:line="360" w:lineRule="auto"/>
        <w:jc w:val="center"/>
        <w:rPr>
          <w:rFonts w:ascii="宋体" w:hAnsi="宋体"/>
          <w:b/>
          <w:color w:val="auto"/>
          <w:spacing w:val="4"/>
          <w:kern w:val="0"/>
          <w:sz w:val="36"/>
          <w:szCs w:val="36"/>
          <w:highlight w:val="none"/>
        </w:rPr>
      </w:pPr>
      <w:r>
        <w:rPr>
          <w:rFonts w:hint="eastAsia" w:ascii="宋体" w:hAnsi="宋体"/>
          <w:b/>
          <w:color w:val="auto"/>
          <w:spacing w:val="4"/>
          <w:kern w:val="0"/>
          <w:sz w:val="36"/>
          <w:szCs w:val="36"/>
          <w:highlight w:val="none"/>
        </w:rPr>
        <w:t>主要人员简历表</w:t>
      </w:r>
    </w:p>
    <w:tbl>
      <w:tblPr>
        <w:tblStyle w:val="36"/>
        <w:tblpPr w:leftFromText="180" w:rightFromText="180" w:vertAnchor="text" w:tblpX="-206" w:tblpY="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6"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姓名</w:t>
            </w:r>
          </w:p>
        </w:tc>
        <w:tc>
          <w:tcPr>
            <w:tcW w:w="2126" w:type="dxa"/>
            <w:gridSpan w:val="3"/>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color w:val="auto"/>
                <w:spacing w:val="4"/>
                <w:sz w:val="24"/>
                <w:szCs w:val="24"/>
                <w:highlight w:val="none"/>
                <w:lang w:bidi="en-US"/>
              </w:rPr>
            </w:pPr>
          </w:p>
        </w:tc>
        <w:tc>
          <w:tcPr>
            <w:tcW w:w="1370" w:type="dxa"/>
            <w:gridSpan w:val="2"/>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性别</w:t>
            </w:r>
          </w:p>
        </w:tc>
        <w:tc>
          <w:tcPr>
            <w:tcW w:w="1701" w:type="dxa"/>
            <w:gridSpan w:val="2"/>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color w:val="auto"/>
                <w:spacing w:val="4"/>
                <w:sz w:val="24"/>
                <w:szCs w:val="24"/>
                <w:highlight w:val="none"/>
                <w:lang w:bidi="en-US"/>
              </w:rPr>
            </w:pPr>
          </w:p>
        </w:tc>
        <w:tc>
          <w:tcPr>
            <w:tcW w:w="1182"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年龄</w:t>
            </w:r>
          </w:p>
        </w:tc>
        <w:tc>
          <w:tcPr>
            <w:tcW w:w="1620" w:type="dxa"/>
            <w:gridSpan w:val="2"/>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default" w:ascii="宋体" w:hAnsi="宋体"/>
                <w:b/>
                <w:bCs/>
                <w:color w:val="auto"/>
                <w:kern w:val="0"/>
                <w:sz w:val="22"/>
                <w:szCs w:val="21"/>
                <w:highlight w:val="none"/>
                <w:lang w:eastAsia="en-US" w:bidi="en-US"/>
              </w:rPr>
              <w:t>身份证号码</w:t>
            </w:r>
          </w:p>
        </w:tc>
        <w:tc>
          <w:tcPr>
            <w:tcW w:w="7999" w:type="dxa"/>
            <w:gridSpan w:val="1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26"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职务</w:t>
            </w:r>
          </w:p>
        </w:tc>
        <w:tc>
          <w:tcPr>
            <w:tcW w:w="2126" w:type="dxa"/>
            <w:gridSpan w:val="3"/>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color w:val="auto"/>
                <w:spacing w:val="4"/>
                <w:sz w:val="24"/>
                <w:szCs w:val="24"/>
                <w:highlight w:val="none"/>
                <w:lang w:bidi="en-US"/>
              </w:rPr>
            </w:pPr>
          </w:p>
        </w:tc>
        <w:tc>
          <w:tcPr>
            <w:tcW w:w="1370" w:type="dxa"/>
            <w:gridSpan w:val="2"/>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职称</w:t>
            </w:r>
          </w:p>
        </w:tc>
        <w:tc>
          <w:tcPr>
            <w:tcW w:w="1701" w:type="dxa"/>
            <w:gridSpan w:val="2"/>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color w:val="auto"/>
                <w:spacing w:val="4"/>
                <w:sz w:val="24"/>
                <w:szCs w:val="24"/>
                <w:highlight w:val="none"/>
                <w:lang w:bidi="en-US"/>
              </w:rPr>
            </w:pPr>
          </w:p>
        </w:tc>
        <w:tc>
          <w:tcPr>
            <w:tcW w:w="1182"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学历</w:t>
            </w:r>
          </w:p>
        </w:tc>
        <w:tc>
          <w:tcPr>
            <w:tcW w:w="1620" w:type="dxa"/>
            <w:gridSpan w:val="2"/>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526"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参加工作</w:t>
            </w:r>
          </w:p>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时间</w:t>
            </w:r>
          </w:p>
        </w:tc>
        <w:tc>
          <w:tcPr>
            <w:tcW w:w="2126" w:type="dxa"/>
            <w:gridSpan w:val="3"/>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color w:val="auto"/>
                <w:spacing w:val="4"/>
                <w:sz w:val="24"/>
                <w:szCs w:val="24"/>
                <w:highlight w:val="none"/>
                <w:lang w:bidi="en-US"/>
              </w:rPr>
            </w:pPr>
          </w:p>
        </w:tc>
        <w:tc>
          <w:tcPr>
            <w:tcW w:w="1370" w:type="dxa"/>
            <w:gridSpan w:val="2"/>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担任相应职务年限</w:t>
            </w:r>
          </w:p>
        </w:tc>
        <w:tc>
          <w:tcPr>
            <w:tcW w:w="4503" w:type="dxa"/>
            <w:gridSpan w:val="5"/>
            <w:vAlign w:val="center"/>
          </w:tcPr>
          <w:p>
            <w:pPr>
              <w:keepNext/>
              <w:keepLines/>
              <w:widowControl/>
              <w:suppressLineNumbers w:val="0"/>
              <w:spacing w:before="120" w:beforeAutospacing="0" w:after="120" w:afterAutospacing="0" w:line="276" w:lineRule="auto"/>
              <w:ind w:left="0" w:right="0"/>
              <w:jc w:val="center"/>
              <w:outlineLvl w:val="0"/>
              <w:rPr>
                <w:rFonts w:hint="default" w:ascii="宋体" w:hAnsi="宋体"/>
                <w:b/>
                <w:color w:val="auto"/>
                <w:kern w:val="0"/>
                <w:sz w:val="24"/>
                <w:szCs w:val="24"/>
                <w:highlight w:val="none"/>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526"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资</w:t>
            </w:r>
            <w:bookmarkStart w:id="152" w:name="_Toc395261106"/>
            <w:bookmarkStart w:id="153" w:name="_Toc163337627"/>
            <w:bookmarkStart w:id="154" w:name="_Toc358370585"/>
            <w:bookmarkStart w:id="155" w:name="_Toc318924502"/>
            <w:bookmarkStart w:id="156" w:name="_Toc239311753"/>
            <w:bookmarkStart w:id="157" w:name="_Toc226209010"/>
            <w:bookmarkStart w:id="158" w:name="_Toc337720098"/>
            <w:bookmarkStart w:id="159" w:name="_Toc449308427"/>
            <w:bookmarkStart w:id="160" w:name="_Toc352623428"/>
            <w:bookmarkStart w:id="161" w:name="_Toc239216038"/>
            <w:bookmarkStart w:id="162" w:name="_Toc352240530"/>
            <w:bookmarkStart w:id="163" w:name="_Toc369536777"/>
            <w:r>
              <w:rPr>
                <w:rFonts w:hint="eastAsia" w:ascii="宋体" w:hAnsi="宋体"/>
                <w:b/>
                <w:color w:val="auto"/>
                <w:kern w:val="0"/>
                <w:sz w:val="24"/>
                <w:szCs w:val="24"/>
                <w:highlight w:val="none"/>
                <w:lang w:eastAsia="en-US" w:bidi="en-US"/>
              </w:rPr>
              <w:t>格证书号</w:t>
            </w:r>
          </w:p>
        </w:tc>
        <w:tc>
          <w:tcPr>
            <w:tcW w:w="7999" w:type="dxa"/>
            <w:gridSpan w:val="10"/>
            <w:vAlign w:val="center"/>
          </w:tcPr>
          <w:p>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25" w:type="dxa"/>
            <w:gridSpan w:val="11"/>
            <w:vAlign w:val="center"/>
          </w:tcPr>
          <w:p>
            <w:pPr>
              <w:keepNext w:val="0"/>
              <w:keepLines w:val="0"/>
              <w:widowControl/>
              <w:suppressLineNumbers w:val="0"/>
              <w:topLinePunct/>
              <w:adjustRightInd w:val="0"/>
              <w:snapToGrid w:val="0"/>
              <w:spacing w:before="240" w:beforeAutospacing="0" w:after="200" w:afterAutospacing="0"/>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建设单位</w:t>
            </w:r>
            <w:bookmarkEnd w:id="152"/>
            <w:bookmarkEnd w:id="153"/>
            <w:bookmarkEnd w:id="154"/>
            <w:bookmarkEnd w:id="155"/>
            <w:bookmarkEnd w:id="156"/>
            <w:bookmarkEnd w:id="157"/>
            <w:bookmarkEnd w:id="158"/>
            <w:bookmarkEnd w:id="159"/>
            <w:bookmarkEnd w:id="160"/>
            <w:bookmarkEnd w:id="161"/>
            <w:bookmarkEnd w:id="162"/>
            <w:bookmarkEnd w:id="163"/>
          </w:p>
        </w:tc>
        <w:tc>
          <w:tcPr>
            <w:tcW w:w="1547"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项目名称</w:t>
            </w:r>
          </w:p>
        </w:tc>
        <w:tc>
          <w:tcPr>
            <w:tcW w:w="1549" w:type="dxa"/>
            <w:gridSpan w:val="2"/>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建设规模</w:t>
            </w:r>
          </w:p>
        </w:tc>
        <w:tc>
          <w:tcPr>
            <w:tcW w:w="1783" w:type="dxa"/>
            <w:gridSpan w:val="2"/>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开、竣工日期</w:t>
            </w:r>
          </w:p>
        </w:tc>
        <w:tc>
          <w:tcPr>
            <w:tcW w:w="1547" w:type="dxa"/>
            <w:gridSpan w:val="3"/>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在建或已完</w:t>
            </w:r>
          </w:p>
        </w:tc>
        <w:tc>
          <w:tcPr>
            <w:tcW w:w="1551" w:type="dxa"/>
            <w:vAlign w:val="center"/>
          </w:tcPr>
          <w:p>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48" w:type="dxa"/>
            <w:gridSpan w:val="2"/>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color w:val="auto"/>
                <w:spacing w:val="4"/>
                <w:sz w:val="24"/>
                <w:szCs w:val="24"/>
                <w:highlight w:val="none"/>
                <w:lang w:bidi="en-US"/>
              </w:rPr>
            </w:pPr>
          </w:p>
        </w:tc>
        <w:tc>
          <w:tcPr>
            <w:tcW w:w="1547" w:type="dxa"/>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color w:val="auto"/>
                <w:spacing w:val="4"/>
                <w:sz w:val="24"/>
                <w:szCs w:val="24"/>
                <w:highlight w:val="none"/>
                <w:lang w:bidi="en-US"/>
              </w:rPr>
            </w:pPr>
          </w:p>
        </w:tc>
        <w:tc>
          <w:tcPr>
            <w:tcW w:w="1549" w:type="dxa"/>
            <w:gridSpan w:val="2"/>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color w:val="auto"/>
                <w:spacing w:val="4"/>
                <w:sz w:val="24"/>
                <w:szCs w:val="24"/>
                <w:highlight w:val="none"/>
                <w:lang w:bidi="en-US"/>
              </w:rPr>
            </w:pPr>
          </w:p>
        </w:tc>
        <w:tc>
          <w:tcPr>
            <w:tcW w:w="1783" w:type="dxa"/>
            <w:gridSpan w:val="2"/>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color w:val="auto"/>
                <w:spacing w:val="4"/>
                <w:sz w:val="24"/>
                <w:szCs w:val="24"/>
                <w:highlight w:val="none"/>
                <w:lang w:bidi="en-US"/>
              </w:rPr>
            </w:pPr>
          </w:p>
        </w:tc>
        <w:tc>
          <w:tcPr>
            <w:tcW w:w="1547" w:type="dxa"/>
            <w:gridSpan w:val="3"/>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color w:val="auto"/>
                <w:spacing w:val="4"/>
                <w:sz w:val="24"/>
                <w:szCs w:val="24"/>
                <w:highlight w:val="none"/>
                <w:lang w:bidi="en-US"/>
              </w:rPr>
            </w:pPr>
          </w:p>
        </w:tc>
        <w:tc>
          <w:tcPr>
            <w:tcW w:w="1551" w:type="dxa"/>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48" w:type="dxa"/>
            <w:gridSpan w:val="2"/>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color w:val="auto"/>
                <w:spacing w:val="4"/>
                <w:sz w:val="24"/>
                <w:szCs w:val="24"/>
                <w:highlight w:val="none"/>
                <w:lang w:bidi="en-US"/>
              </w:rPr>
            </w:pPr>
          </w:p>
        </w:tc>
        <w:tc>
          <w:tcPr>
            <w:tcW w:w="1547" w:type="dxa"/>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color w:val="auto"/>
                <w:spacing w:val="4"/>
                <w:sz w:val="24"/>
                <w:szCs w:val="24"/>
                <w:highlight w:val="none"/>
                <w:lang w:bidi="en-US"/>
              </w:rPr>
            </w:pPr>
          </w:p>
        </w:tc>
        <w:tc>
          <w:tcPr>
            <w:tcW w:w="1549" w:type="dxa"/>
            <w:gridSpan w:val="2"/>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color w:val="auto"/>
                <w:spacing w:val="4"/>
                <w:sz w:val="24"/>
                <w:szCs w:val="24"/>
                <w:highlight w:val="none"/>
                <w:lang w:bidi="en-US"/>
              </w:rPr>
            </w:pPr>
          </w:p>
        </w:tc>
        <w:tc>
          <w:tcPr>
            <w:tcW w:w="1783" w:type="dxa"/>
            <w:gridSpan w:val="2"/>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color w:val="auto"/>
                <w:spacing w:val="4"/>
                <w:sz w:val="24"/>
                <w:szCs w:val="24"/>
                <w:highlight w:val="none"/>
                <w:lang w:bidi="en-US"/>
              </w:rPr>
            </w:pPr>
          </w:p>
        </w:tc>
        <w:tc>
          <w:tcPr>
            <w:tcW w:w="1547" w:type="dxa"/>
            <w:gridSpan w:val="3"/>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color w:val="auto"/>
                <w:spacing w:val="4"/>
                <w:sz w:val="24"/>
                <w:szCs w:val="24"/>
                <w:highlight w:val="none"/>
                <w:lang w:bidi="en-US"/>
              </w:rPr>
            </w:pPr>
          </w:p>
        </w:tc>
        <w:tc>
          <w:tcPr>
            <w:tcW w:w="1551" w:type="dxa"/>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color w:val="auto"/>
                <w:spacing w:val="4"/>
                <w:sz w:val="24"/>
                <w:szCs w:val="24"/>
                <w:highlight w:val="none"/>
                <w:lang w:bidi="en-US"/>
              </w:rPr>
            </w:pPr>
          </w:p>
        </w:tc>
      </w:tr>
    </w:tbl>
    <w:p>
      <w:pPr>
        <w:ind w:firstLine="551" w:firstLineChars="196"/>
        <w:rPr>
          <w:rFonts w:ascii="仿宋" w:hAnsi="仿宋" w:eastAsia="仿宋"/>
          <w:b/>
          <w:bCs/>
          <w:color w:val="auto"/>
          <w:sz w:val="28"/>
          <w:szCs w:val="28"/>
          <w:highlight w:val="none"/>
        </w:rPr>
      </w:pPr>
    </w:p>
    <w:p>
      <w:pPr>
        <w:widowControl/>
        <w:topLinePunct/>
        <w:adjustRightInd w:val="0"/>
        <w:snapToGrid w:val="0"/>
        <w:spacing w:after="200" w:line="360" w:lineRule="auto"/>
        <w:ind w:firstLine="198" w:firstLineChars="8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（盖章）</w:t>
      </w:r>
    </w:p>
    <w:p>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法定代表人或授权代理人(签字或盖章)：</w:t>
      </w:r>
    </w:p>
    <w:p>
      <w:pPr>
        <w:ind w:right="420" w:firstLine="3596" w:firstLineChars="1450"/>
        <w:rPr>
          <w:color w:val="auto"/>
          <w:highlight w:val="none"/>
        </w:rPr>
      </w:pPr>
      <w:r>
        <w:rPr>
          <w:rFonts w:hint="eastAsia" w:ascii="宋体" w:hAnsi="宋体"/>
          <w:color w:val="auto"/>
          <w:spacing w:val="4"/>
          <w:kern w:val="0"/>
          <w:sz w:val="24"/>
          <w:szCs w:val="24"/>
          <w:highlight w:val="none"/>
        </w:rPr>
        <w:t xml:space="preserve">日   期：    年    月    日 </w:t>
      </w:r>
      <w:bookmarkStart w:id="164" w:name="_Toc4489951"/>
      <w:bookmarkStart w:id="165" w:name="_Toc177015447"/>
      <w:bookmarkStart w:id="166" w:name="_Toc182301153"/>
      <w:bookmarkStart w:id="167" w:name="_Toc177015504"/>
      <w:bookmarkStart w:id="168" w:name="_Toc181984153"/>
      <w:bookmarkStart w:id="169" w:name="_Toc177015373"/>
      <w:bookmarkStart w:id="170" w:name="_Toc174439519"/>
      <w:bookmarkStart w:id="171" w:name="_Toc4486083"/>
    </w:p>
    <w:p>
      <w:pPr>
        <w:widowControl/>
        <w:topLinePunct/>
        <w:adjustRightInd w:val="0"/>
        <w:snapToGrid w:val="0"/>
        <w:spacing w:after="200"/>
        <w:jc w:val="left"/>
        <w:outlineLvl w:val="2"/>
        <w:rPr>
          <w:rFonts w:ascii="宋体" w:hAnsi="宋体" w:eastAsia="黑体"/>
          <w:color w:val="auto"/>
          <w:spacing w:val="4"/>
          <w:kern w:val="0"/>
          <w:sz w:val="24"/>
          <w:szCs w:val="24"/>
          <w:highlight w:val="none"/>
        </w:rPr>
      </w:pPr>
    </w:p>
    <w:p>
      <w:pPr>
        <w:widowControl/>
        <w:topLinePunct/>
        <w:adjustRightInd w:val="0"/>
        <w:snapToGrid w:val="0"/>
        <w:spacing w:after="200"/>
        <w:jc w:val="left"/>
        <w:outlineLvl w:val="2"/>
        <w:rPr>
          <w:rFonts w:ascii="宋体" w:hAnsi="宋体" w:eastAsia="黑体"/>
          <w:color w:val="auto"/>
          <w:spacing w:val="4"/>
          <w:kern w:val="0"/>
          <w:sz w:val="24"/>
          <w:szCs w:val="24"/>
          <w:highlight w:val="none"/>
        </w:rPr>
      </w:pPr>
    </w:p>
    <w:bookmarkEnd w:id="164"/>
    <w:bookmarkEnd w:id="165"/>
    <w:bookmarkEnd w:id="166"/>
    <w:bookmarkEnd w:id="167"/>
    <w:bookmarkEnd w:id="168"/>
    <w:bookmarkEnd w:id="169"/>
    <w:bookmarkEnd w:id="170"/>
    <w:bookmarkEnd w:id="171"/>
    <w:p>
      <w:pPr>
        <w:widowControl/>
        <w:topLinePunct/>
        <w:adjustRightInd w:val="0"/>
        <w:snapToGrid w:val="0"/>
        <w:spacing w:line="360" w:lineRule="auto"/>
        <w:ind w:firstLine="0" w:firstLineChars="0"/>
        <w:jc w:val="left"/>
        <w:rPr>
          <w:rFonts w:ascii="宋体"/>
          <w:color w:val="auto"/>
          <w:sz w:val="24"/>
          <w:szCs w:val="24"/>
          <w:highlight w:val="none"/>
        </w:rPr>
      </w:pPr>
      <w:bookmarkStart w:id="172" w:name="_Toc62056045"/>
      <w:r>
        <w:rPr>
          <w:rFonts w:hint="eastAsia" w:ascii="宋体" w:hAnsi="宋体"/>
          <w:color w:val="auto"/>
          <w:spacing w:val="4"/>
          <w:kern w:val="0"/>
          <w:sz w:val="24"/>
          <w:szCs w:val="24"/>
          <w:highlight w:val="none"/>
        </w:rPr>
        <w:t>格式</w:t>
      </w:r>
      <w:r>
        <w:rPr>
          <w:rFonts w:hint="eastAsia" w:ascii="宋体" w:hAnsi="宋体"/>
          <w:color w:val="auto"/>
          <w:spacing w:val="4"/>
          <w:kern w:val="0"/>
          <w:sz w:val="24"/>
          <w:szCs w:val="24"/>
          <w:highlight w:val="none"/>
          <w:lang w:val="en-US" w:eastAsia="zh-CN"/>
        </w:rPr>
        <w:t>九</w:t>
      </w:r>
      <w:r>
        <w:rPr>
          <w:rFonts w:hint="eastAsia" w:ascii="宋体" w:hAnsi="宋体"/>
          <w:color w:val="auto"/>
          <w:spacing w:val="4"/>
          <w:kern w:val="0"/>
          <w:sz w:val="24"/>
          <w:szCs w:val="24"/>
          <w:highlight w:val="none"/>
        </w:rPr>
        <w:t>：参与编制技术标投标文件人员名单</w:t>
      </w:r>
      <w:bookmarkEnd w:id="172"/>
    </w:p>
    <w:p>
      <w:pPr>
        <w:autoSpaceDE w:val="0"/>
        <w:autoSpaceDN w:val="0"/>
        <w:adjustRightInd w:val="0"/>
        <w:rPr>
          <w:color w:val="auto"/>
          <w:szCs w:val="21"/>
          <w:highlight w:val="none"/>
        </w:rPr>
      </w:pPr>
    </w:p>
    <w:p>
      <w:pPr>
        <w:tabs>
          <w:tab w:val="left" w:pos="720"/>
        </w:tabs>
        <w:snapToGrid w:val="0"/>
        <w:spacing w:line="360" w:lineRule="auto"/>
        <w:jc w:val="center"/>
        <w:rPr>
          <w:b/>
          <w:color w:val="auto"/>
          <w:szCs w:val="21"/>
          <w:highlight w:val="none"/>
        </w:rPr>
      </w:pPr>
      <w:r>
        <w:rPr>
          <w:rFonts w:hint="eastAsia"/>
          <w:b/>
          <w:color w:val="auto"/>
          <w:szCs w:val="21"/>
          <w:highlight w:val="none"/>
        </w:rPr>
        <w:t>参与编制技术标投标文件人员名单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bl>
    <w:p>
      <w:pPr>
        <w:spacing w:line="360" w:lineRule="auto"/>
        <w:ind w:left="-2" w:leftChars="-1" w:firstLine="350" w:firstLineChars="175"/>
        <w:jc w:val="left"/>
        <w:rPr>
          <w:color w:val="auto"/>
          <w:kern w:val="0"/>
          <w:sz w:val="20"/>
          <w:szCs w:val="21"/>
          <w:highlight w:val="none"/>
        </w:rPr>
      </w:pPr>
      <w:r>
        <w:rPr>
          <w:rFonts w:hint="eastAsia"/>
          <w:color w:val="auto"/>
          <w:kern w:val="0"/>
          <w:sz w:val="20"/>
          <w:szCs w:val="21"/>
          <w:highlight w:val="none"/>
        </w:rPr>
        <w:t>注：参与编制技术标投标文件所有人员名单应包括如编制技术投标方案、负责清样校对、负责打印及复印等所有人员在内的人员名单。</w:t>
      </w:r>
    </w:p>
    <w:p>
      <w:pPr>
        <w:pStyle w:val="115"/>
        <w:autoSpaceDE w:val="0"/>
        <w:autoSpaceDN w:val="0"/>
        <w:ind w:right="496" w:firstLine="0" w:firstLineChars="0"/>
        <w:jc w:val="left"/>
        <w:outlineLvl w:val="2"/>
        <w:rPr>
          <w:rFonts w:ascii="宋体" w:hAnsi="宋体"/>
          <w:color w:val="auto"/>
          <w:highlight w:val="none"/>
        </w:rPr>
      </w:pPr>
      <w:bookmarkStart w:id="173" w:name="_Toc62056046"/>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rFonts w:ascii="宋体" w:hAnsi="宋体"/>
          <w:color w:val="auto"/>
          <w:highlight w:val="none"/>
        </w:rPr>
      </w:pPr>
    </w:p>
    <w:p>
      <w:pPr>
        <w:pStyle w:val="115"/>
        <w:autoSpaceDE w:val="0"/>
        <w:autoSpaceDN w:val="0"/>
        <w:ind w:right="496" w:firstLine="0" w:firstLineChars="0"/>
        <w:jc w:val="left"/>
        <w:outlineLvl w:val="2"/>
        <w:rPr>
          <w:b/>
          <w:color w:val="auto"/>
          <w:highlight w:val="none"/>
        </w:rPr>
      </w:pPr>
      <w:bookmarkStart w:id="174" w:name="_Toc15122"/>
      <w:r>
        <w:rPr>
          <w:rFonts w:hint="eastAsia" w:ascii="宋体" w:hAnsi="宋体"/>
          <w:color w:val="auto"/>
          <w:highlight w:val="none"/>
        </w:rPr>
        <w:t xml:space="preserve">格式十一 </w:t>
      </w:r>
      <w:bookmarkEnd w:id="173"/>
      <w:r>
        <w:rPr>
          <w:rFonts w:hint="eastAsia"/>
          <w:b/>
          <w:color w:val="auto"/>
          <w:highlight w:val="none"/>
        </w:rPr>
        <w:t>危险性较大的分部分项工程安全管理措施</w:t>
      </w:r>
      <w:bookmarkEnd w:id="174"/>
    </w:p>
    <w:p>
      <w:pPr>
        <w:pStyle w:val="119"/>
        <w:spacing w:before="156" w:beforeLines="50" w:after="156" w:line="24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危险性较大的分部分项工程清单及</w:t>
      </w:r>
    </w:p>
    <w:p>
      <w:pPr>
        <w:pStyle w:val="119"/>
        <w:spacing w:before="156" w:beforeLines="50" w:after="156" w:line="24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超过一定规模的危险性较大的分部分项工程清单</w:t>
      </w:r>
    </w:p>
    <w:p>
      <w:pPr>
        <w:pStyle w:val="110"/>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pPr>
        <w:pStyle w:val="110"/>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招标人根据设计文件的要求及37号文的规定列出“危险性较大的分部分项工程清单及超过一定规模的危险性较大的分部分项工程清单”中与本招标项目相关的清单项，具体详第5点“打√”标识。</w:t>
      </w:r>
    </w:p>
    <w:p>
      <w:pPr>
        <w:pStyle w:val="110"/>
        <w:numPr>
          <w:ilvl w:val="0"/>
          <w:numId w:val="4"/>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投标单位同意建设单位在清单中标识的该项请在对应项打“√”标识，并在投标文件中提供相应的安全管理措施。</w:t>
      </w:r>
    </w:p>
    <w:p>
      <w:pPr>
        <w:pStyle w:val="110"/>
        <w:numPr>
          <w:ilvl w:val="0"/>
          <w:numId w:val="4"/>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投标单位对清单中认为需要补充的该项请在对应项打“√”标识，并在投标文件中提供相应的安全管理措施。</w:t>
      </w:r>
    </w:p>
    <w:p>
      <w:pPr>
        <w:pStyle w:val="110"/>
        <w:numPr>
          <w:ilvl w:val="0"/>
          <w:numId w:val="4"/>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投标单位不同意建设单位在清单中标识的该项请在对应项打“×”标识，并在备注栏填上相关说明。</w:t>
      </w:r>
    </w:p>
    <w:p>
      <w:pPr>
        <w:pStyle w:val="110"/>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投标单位应当在投标时根据招标人提供的下述第5点清单，在投标施工组织中编制专项施工方案。</w:t>
      </w:r>
    </w:p>
    <w:p>
      <w:pPr>
        <w:pStyle w:val="110"/>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对于超过一定规模的危大工程，中标单位应当组织召开专家论证会对专项施工方案进行论证。</w:t>
      </w:r>
    </w:p>
    <w:p>
      <w:pPr>
        <w:pStyle w:val="110"/>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危险性较大的分部分项工程清单及超过一定规模的危险性较大的分部分项工程清单：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b/>
                <w:color w:val="auto"/>
                <w:szCs w:val="21"/>
                <w:highlight w:val="none"/>
              </w:rPr>
            </w:pPr>
            <w:r>
              <w:rPr>
                <w:rFonts w:hint="eastAsia" w:ascii="Times New Roman" w:hAnsi="Times New Roman"/>
                <w:b/>
                <w:color w:val="auto"/>
                <w:szCs w:val="21"/>
                <w:highlight w:val="none"/>
              </w:rPr>
              <w:t>一、危险性较大的分部分项工程清单</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建设单位</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投标单位</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一、基坑支护</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（一）开挖深度超过3m（含3m）的基坑（槽）的土方开挖、支护、降水工程。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（二）开挖深度虽未超过3m，但地质条件、周围环境和地下管线复杂，或影响毗邻建、构筑物安全的基坑（槽）的土方开挖、支护、降水工程。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二、模板工程及支撑体系</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（一）各类工具式模板工程：包括滑模、爬模、飞模、隧道模等工程。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widowControl/>
              <w:suppressLineNumbers w:val="0"/>
              <w:spacing w:before="0" w:beforeAutospacing="0" w:after="0" w:afterAutospacing="0" w:line="276" w:lineRule="auto"/>
              <w:ind w:left="0" w:right="0"/>
              <w:jc w:val="left"/>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（三）承重支撑体系：用于钢结构安装等满堂支撑体系。</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786" w:type="dxa"/>
          </w:tcPr>
          <w:p>
            <w:pPr>
              <w:keepNext w:val="0"/>
              <w:keepLines w:val="0"/>
              <w:widowControl/>
              <w:suppressLineNumbers w:val="0"/>
              <w:spacing w:before="0" w:beforeAutospacing="0" w:after="0" w:afterAutospacing="0" w:line="276" w:lineRule="auto"/>
              <w:ind w:left="0" w:right="0"/>
              <w:jc w:val="left"/>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　三、起重吊装及起重机械安装拆卸工程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6" w:type="dxa"/>
          </w:tcPr>
          <w:p>
            <w:pPr>
              <w:keepNext w:val="0"/>
              <w:keepLines w:val="0"/>
              <w:widowControl/>
              <w:suppressLineNumbers w:val="0"/>
              <w:spacing w:before="0" w:beforeAutospacing="0" w:after="0" w:afterAutospacing="0" w:line="276" w:lineRule="auto"/>
              <w:ind w:left="0" w:right="0"/>
              <w:jc w:val="left"/>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（一）采用非常规起重设备、方法，且单件起吊重量在10kN及以上的起重吊装工程。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s="宋体"/>
                <w:color w:val="auto"/>
                <w:szCs w:val="21"/>
                <w:highlight w:val="none"/>
              </w:rPr>
              <w:t>（二）采用起重机械进行安装的工程。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s="宋体"/>
                <w:color w:val="auto"/>
                <w:szCs w:val="21"/>
                <w:highlight w:val="none"/>
              </w:rPr>
            </w:pPr>
            <w:r>
              <w:rPr>
                <w:rFonts w:hint="eastAsia" w:ascii="Times New Roman" w:hAnsi="Times New Roman" w:cs="宋体"/>
                <w:color w:val="auto"/>
                <w:szCs w:val="21"/>
                <w:highlight w:val="none"/>
              </w:rPr>
              <w:t>（三）起重机械安装和拆卸工程。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四、脚手架工程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（一）搭设高度24m及以上的落地式钢管脚手架工程（包括采光井、电梯井脚手架）。</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（二）附着式升降脚手架工程。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（三）悬挑式脚手架工程。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（四）高处作业吊篮。</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（五）卸料平台、操作平台工程。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（六）异型脚手架工程。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五、拆除工程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可能影响行人、交通、电力设施、通讯设施或其它建、构筑物安全的拆除工程。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　六、暗挖工程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采用矿山法、盾构法、顶管法施工的隧道、洞室工程。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七、其它</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（一）建筑幕墙安装工程。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（二）钢结构、网架和索膜结构安装工程。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（三）人工挖孔桩工程。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（四）水下作业工程。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（五）装配式建筑混凝土预制构件安装工程。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（六）采用新技术、新工艺、新材料、新设备可能影响工程施工安全，尚无国家、行业及地方技术标准的分部分项工程。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6" w:type="dxa"/>
            <w:vAlign w:val="center"/>
          </w:tcPr>
          <w:p>
            <w:pPr>
              <w:keepNext w:val="0"/>
              <w:keepLines w:val="0"/>
              <w:widowControl/>
              <w:suppressLineNumbers w:val="0"/>
              <w:spacing w:before="0" w:beforeAutospacing="0" w:after="0" w:afterAutospacing="0" w:line="276" w:lineRule="auto"/>
              <w:ind w:left="0" w:right="0"/>
              <w:rPr>
                <w:rFonts w:hint="default" w:ascii="Times New Roman" w:hAnsi="Times New Roman" w:cs="宋体"/>
                <w:b/>
                <w:color w:val="auto"/>
                <w:szCs w:val="21"/>
                <w:highlight w:val="none"/>
              </w:rPr>
            </w:pPr>
            <w:r>
              <w:rPr>
                <w:rFonts w:hint="eastAsia" w:ascii="Times New Roman" w:hAnsi="Times New Roman" w:cs="宋体"/>
                <w:b/>
                <w:bCs/>
                <w:color w:val="auto"/>
                <w:szCs w:val="21"/>
                <w:highlight w:val="none"/>
              </w:rPr>
              <w:t>二、超过一定规模的危险性较大的分部分项工程清单</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一、深基坑工程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firstLine="480"/>
              <w:jc w:val="left"/>
              <w:rPr>
                <w:rFonts w:hint="default" w:ascii="Times New Roman" w:hAnsi="Times New Roman"/>
                <w:color w:val="auto"/>
                <w:szCs w:val="21"/>
                <w:highlight w:val="none"/>
              </w:rPr>
            </w:pPr>
            <w:r>
              <w:rPr>
                <w:rFonts w:hint="eastAsia" w:ascii="Times New Roman" w:hAnsi="Times New Roman"/>
                <w:color w:val="auto"/>
                <w:szCs w:val="21"/>
                <w:highlight w:val="none"/>
              </w:rPr>
              <w:t>开挖深度超过5m（含5m）的基坑（槽）的土方开挖、支护、降水工程。</w:t>
            </w:r>
          </w:p>
        </w:tc>
        <w:tc>
          <w:tcPr>
            <w:tcW w:w="1361" w:type="dxa"/>
            <w:vAlign w:val="center"/>
          </w:tcPr>
          <w:p>
            <w:pPr>
              <w:keepNext w:val="0"/>
              <w:keepLines w:val="0"/>
              <w:suppressLineNumbers w:val="0"/>
              <w:spacing w:before="0" w:beforeAutospacing="0" w:after="0" w:afterAutospacing="0" w:line="276" w:lineRule="auto"/>
              <w:ind w:left="0" w:right="0" w:firstLine="48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firstLine="48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firstLine="48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firstLine="480"/>
              <w:jc w:val="left"/>
              <w:rPr>
                <w:rFonts w:hint="default" w:ascii="Times New Roman" w:hAnsi="Times New Roman"/>
                <w:color w:val="auto"/>
                <w:szCs w:val="21"/>
                <w:highlight w:val="none"/>
              </w:rPr>
            </w:pPr>
            <w:r>
              <w:rPr>
                <w:rFonts w:hint="eastAsia" w:ascii="Times New Roman" w:hAnsi="Times New Roman"/>
                <w:color w:val="auto"/>
                <w:szCs w:val="21"/>
                <w:highlight w:val="none"/>
              </w:rPr>
              <w:t>二、模板工程及支撑体系</w:t>
            </w:r>
          </w:p>
        </w:tc>
        <w:tc>
          <w:tcPr>
            <w:tcW w:w="1361" w:type="dxa"/>
            <w:vAlign w:val="center"/>
          </w:tcPr>
          <w:p>
            <w:pPr>
              <w:keepNext w:val="0"/>
              <w:keepLines w:val="0"/>
              <w:suppressLineNumbers w:val="0"/>
              <w:spacing w:before="0" w:beforeAutospacing="0" w:after="0" w:afterAutospacing="0" w:line="276" w:lineRule="auto"/>
              <w:ind w:left="0" w:right="0" w:firstLine="48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firstLine="48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firstLine="48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firstLine="480"/>
              <w:jc w:val="left"/>
              <w:rPr>
                <w:rFonts w:hint="default" w:ascii="Times New Roman" w:hAnsi="Times New Roman"/>
                <w:color w:val="auto"/>
                <w:szCs w:val="21"/>
                <w:highlight w:val="none"/>
              </w:rPr>
            </w:pPr>
            <w:r>
              <w:rPr>
                <w:rFonts w:hint="eastAsia" w:ascii="Times New Roman" w:hAnsi="Times New Roman"/>
                <w:color w:val="auto"/>
                <w:szCs w:val="21"/>
                <w:highlight w:val="none"/>
              </w:rPr>
              <w:t>（一）各类工具式模板工程：包括滑模、爬模、飞模、隧道模等工程。</w:t>
            </w:r>
          </w:p>
        </w:tc>
        <w:tc>
          <w:tcPr>
            <w:tcW w:w="1361" w:type="dxa"/>
            <w:vAlign w:val="center"/>
          </w:tcPr>
          <w:p>
            <w:pPr>
              <w:keepNext w:val="0"/>
              <w:keepLines w:val="0"/>
              <w:suppressLineNumbers w:val="0"/>
              <w:spacing w:before="0" w:beforeAutospacing="0" w:after="0" w:afterAutospacing="0" w:line="276" w:lineRule="auto"/>
              <w:ind w:left="0" w:right="0" w:firstLine="48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firstLine="48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firstLine="48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firstLine="480"/>
              <w:jc w:val="left"/>
              <w:rPr>
                <w:rFonts w:hint="default" w:ascii="Times New Roman" w:hAnsi="Times New Roman"/>
                <w:color w:val="auto"/>
                <w:szCs w:val="21"/>
                <w:highlight w:val="none"/>
              </w:rPr>
            </w:pPr>
            <w:r>
              <w:rPr>
                <w:rFonts w:hint="eastAsia" w:ascii="Times New Roman" w:hAnsi="Times New Roman"/>
                <w:color w:val="auto"/>
                <w:szCs w:val="21"/>
                <w:highlight w:val="none"/>
              </w:rPr>
              <w:t>（二）混凝土模板支撑工程：搭设高度8m及以上，或搭设跨度18m及以上，或施工总荷载（设计值）15kN/m2及以上，或集中线荷载（设计值）20kN/m及以上。</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（三）承重支撑体系：用于钢结构安装等满堂支撑体系，承受单点集中荷载7kN及以上。</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　三、起重吊装及起重机械安装拆卸工程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（一）采用非常规起重设备、方法，且单件起吊重量在100kN及以上的起重吊装工程。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（二）起重量300kN及以上，或搭设总高度200m及以上，或搭设基础标高在200m及以上的起重机械安装和拆卸工程。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四、脚手架工程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（一）搭设高度50m及以上的落地式钢管脚手架工程。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（二）提升高度在150m及以上的附着式升降脚手架工程或附着式升降操作平台工程。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（三）分段架体搭设高度20m及以上的悬挑式脚手架工程。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五、拆除工程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（一）码头、桥梁、高架、烟囱、水塔或拆除中容易引起有毒有害气（液）体或粉尘扩散、易燃易爆事故发生的特殊建、构筑物的拆除工程。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（二）文物保护建筑、优秀历史建筑或历史文化风貌区影响范围内的拆除工程。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六、暗挖工程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采用矿山法、盾构法、顶管法施工的隧道、洞室工程。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七、其它</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（一）施工高度50m及以上的建筑幕墙安装工程。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（二）跨度36m及以上的钢结构安装工程，或跨度60m及以上的网架和索膜结构安装工程。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（三）开挖深度16m及以上的人工挖孔桩工程。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（四）水下作业工程。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（五）重量1000kN及以上的大型结构整体顶升、平移、转体等施工工艺。</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pPr>
              <w:keepNext w:val="0"/>
              <w:keepLines w:val="0"/>
              <w:suppressLineNumbers w:val="0"/>
              <w:spacing w:before="0" w:beforeAutospacing="0" w:after="0" w:afterAutospacing="0" w:line="276" w:lineRule="auto"/>
              <w:ind w:left="0" w:right="0"/>
              <w:jc w:val="left"/>
              <w:rPr>
                <w:rFonts w:hint="default" w:ascii="Times New Roman" w:hAnsi="Times New Roman"/>
                <w:color w:val="auto"/>
                <w:szCs w:val="21"/>
                <w:highlight w:val="none"/>
              </w:rPr>
            </w:pPr>
            <w:r>
              <w:rPr>
                <w:rFonts w:hint="eastAsia" w:ascii="Times New Roman" w:hAnsi="Times New Roman"/>
                <w:color w:val="auto"/>
                <w:szCs w:val="21"/>
                <w:highlight w:val="none"/>
              </w:rPr>
              <w:t>（六）采用新技术、新工艺、新材料、新设备可能影响工程施工安全，尚无国家、行业及地方技术标准的分部分项工程。</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vAlign w:val="center"/>
          </w:tcPr>
          <w:p>
            <w:pPr>
              <w:keepNext w:val="0"/>
              <w:keepLines w:val="0"/>
              <w:suppressLineNumbers w:val="0"/>
              <w:spacing w:before="0" w:beforeAutospacing="0" w:after="0" w:afterAutospacing="0" w:line="276" w:lineRule="auto"/>
              <w:ind w:left="0" w:right="0"/>
              <w:jc w:val="center"/>
              <w:rPr>
                <w:rFonts w:hint="default" w:ascii="Times New Roman" w:hAnsi="Times New Roman"/>
                <w:color w:val="auto"/>
                <w:szCs w:val="21"/>
                <w:highlight w:val="none"/>
              </w:rPr>
            </w:pPr>
          </w:p>
        </w:tc>
      </w:tr>
    </w:tbl>
    <w:p>
      <w:pPr>
        <w:pStyle w:val="115"/>
        <w:ind w:firstLine="496"/>
        <w:rPr>
          <w:color w:val="auto"/>
          <w:highlight w:val="none"/>
        </w:rPr>
      </w:pPr>
    </w:p>
    <w:p>
      <w:pPr>
        <w:spacing w:line="360" w:lineRule="auto"/>
        <w:ind w:firstLine="5520"/>
        <w:jc w:val="right"/>
        <w:rPr>
          <w:rFonts w:cs="宋体"/>
          <w:color w:val="auto"/>
          <w:sz w:val="24"/>
          <w:szCs w:val="20"/>
          <w:highlight w:val="none"/>
        </w:rPr>
      </w:pPr>
      <w:r>
        <w:rPr>
          <w:rFonts w:hint="eastAsia" w:cs="宋体"/>
          <w:color w:val="auto"/>
          <w:sz w:val="24"/>
          <w:szCs w:val="20"/>
          <w:highlight w:val="none"/>
        </w:rPr>
        <w:t>投标人名称（盖法人公章）：</w:t>
      </w:r>
    </w:p>
    <w:p>
      <w:pPr>
        <w:spacing w:line="360" w:lineRule="auto"/>
        <w:ind w:right="26"/>
        <w:jc w:val="right"/>
        <w:rPr>
          <w:rFonts w:cs="宋体"/>
          <w:color w:val="auto"/>
          <w:sz w:val="24"/>
          <w:szCs w:val="20"/>
          <w:highlight w:val="none"/>
        </w:rPr>
      </w:pPr>
      <w:r>
        <w:rPr>
          <w:rFonts w:hint="eastAsia" w:cs="宋体"/>
          <w:color w:val="auto"/>
          <w:sz w:val="24"/>
          <w:szCs w:val="20"/>
          <w:highlight w:val="none"/>
        </w:rPr>
        <w:t>法定代表人或被授权人（签字或盖章）：</w:t>
      </w:r>
    </w:p>
    <w:p>
      <w:pPr>
        <w:widowControl/>
        <w:topLinePunct/>
        <w:adjustRightInd w:val="0"/>
        <w:snapToGrid w:val="0"/>
        <w:spacing w:after="200"/>
        <w:jc w:val="left"/>
        <w:outlineLvl w:val="2"/>
        <w:rPr>
          <w:color w:val="auto"/>
          <w:highlight w:val="none"/>
        </w:rPr>
      </w:pPr>
      <w:bookmarkStart w:id="175" w:name="_Toc13721"/>
      <w:r>
        <w:rPr>
          <w:rFonts w:hint="eastAsia" w:cs="宋体"/>
          <w:color w:val="auto"/>
          <w:sz w:val="24"/>
          <w:szCs w:val="20"/>
          <w:highlight w:val="none"/>
        </w:rPr>
        <w:t>日期：   年  月  日</w:t>
      </w:r>
      <w:bookmarkEnd w:id="175"/>
    </w:p>
    <w:p>
      <w:pPr>
        <w:widowControl/>
        <w:topLinePunct/>
        <w:adjustRightInd w:val="0"/>
        <w:snapToGrid w:val="0"/>
        <w:spacing w:after="200"/>
        <w:jc w:val="left"/>
        <w:outlineLvl w:val="1"/>
        <w:rPr>
          <w:rFonts w:ascii="宋体" w:hAnsi="宋体"/>
          <w:b/>
          <w:color w:val="auto"/>
          <w:sz w:val="28"/>
          <w:highlight w:val="none"/>
        </w:rPr>
      </w:pPr>
      <w:bookmarkStart w:id="176" w:name="_Toc504722518"/>
      <w:bookmarkStart w:id="177" w:name="_Toc1507"/>
      <w:r>
        <w:rPr>
          <w:rFonts w:ascii="宋体" w:hAnsi="宋体"/>
          <w:b/>
          <w:color w:val="auto"/>
          <w:sz w:val="28"/>
          <w:highlight w:val="none"/>
        </w:rPr>
        <w:br w:type="page"/>
      </w:r>
      <w:bookmarkStart w:id="178" w:name="_Toc62056047"/>
      <w:bookmarkStart w:id="179" w:name="_Toc28464"/>
      <w:r>
        <w:rPr>
          <w:rFonts w:hint="eastAsia" w:ascii="宋体" w:hAnsi="宋体"/>
          <w:b/>
          <w:color w:val="auto"/>
          <w:sz w:val="28"/>
          <w:highlight w:val="none"/>
        </w:rPr>
        <w:t>二、经济标投标文件格式</w:t>
      </w:r>
      <w:bookmarkEnd w:id="176"/>
      <w:bookmarkEnd w:id="177"/>
      <w:bookmarkEnd w:id="178"/>
      <w:bookmarkEnd w:id="179"/>
    </w:p>
    <w:p>
      <w:pPr>
        <w:rPr>
          <w:color w:val="auto"/>
          <w:highlight w:val="none"/>
        </w:rPr>
      </w:pPr>
    </w:p>
    <w:p>
      <w:pPr>
        <w:widowControl/>
        <w:topLinePunct/>
        <w:adjustRightInd w:val="0"/>
        <w:snapToGrid w:val="0"/>
        <w:spacing w:after="200"/>
        <w:jc w:val="left"/>
        <w:outlineLvl w:val="2"/>
        <w:rPr>
          <w:rFonts w:ascii="宋体" w:hAnsi="宋体"/>
          <w:color w:val="auto"/>
          <w:spacing w:val="4"/>
          <w:kern w:val="0"/>
          <w:sz w:val="24"/>
          <w:szCs w:val="24"/>
          <w:highlight w:val="none"/>
        </w:rPr>
      </w:pPr>
      <w:r>
        <w:rPr>
          <w:b/>
          <w:color w:val="auto"/>
          <w:highlight w:val="none"/>
        </w:rPr>
        <w:br w:type="page"/>
      </w:r>
      <w:bookmarkStart w:id="180" w:name="_Toc29476922"/>
      <w:bookmarkStart w:id="181" w:name="_Toc504722519"/>
      <w:bookmarkStart w:id="182" w:name="_Toc22912"/>
      <w:bookmarkStart w:id="183" w:name="_Toc4489953"/>
      <w:bookmarkStart w:id="184" w:name="_Toc62056048"/>
      <w:bookmarkStart w:id="185" w:name="_Toc7061"/>
      <w:r>
        <w:rPr>
          <w:rFonts w:hint="eastAsia" w:ascii="宋体" w:hAnsi="宋体"/>
          <w:color w:val="auto"/>
          <w:spacing w:val="4"/>
          <w:kern w:val="0"/>
          <w:sz w:val="24"/>
          <w:szCs w:val="24"/>
          <w:highlight w:val="none"/>
        </w:rPr>
        <w:t>格式一：经济标封面</w:t>
      </w:r>
      <w:bookmarkEnd w:id="180"/>
      <w:bookmarkEnd w:id="181"/>
      <w:bookmarkEnd w:id="182"/>
      <w:bookmarkEnd w:id="183"/>
      <w:bookmarkEnd w:id="184"/>
      <w:bookmarkEnd w:id="185"/>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jc w:val="center"/>
        <w:rPr>
          <w:rFonts w:ascii="宋体" w:hAnsi="宋体"/>
          <w:color w:val="auto"/>
          <w:spacing w:val="4"/>
          <w:kern w:val="0"/>
          <w:sz w:val="36"/>
          <w:szCs w:val="36"/>
          <w:highlight w:val="none"/>
          <w:u w:val="single"/>
        </w:rPr>
      </w:pPr>
      <w:r>
        <w:rPr>
          <w:rFonts w:hint="eastAsia" w:ascii="宋体" w:hAnsi="宋体"/>
          <w:color w:val="auto"/>
          <w:spacing w:val="4"/>
          <w:kern w:val="0"/>
          <w:sz w:val="36"/>
          <w:szCs w:val="36"/>
          <w:highlight w:val="none"/>
          <w:u w:val="single"/>
        </w:rPr>
        <w:t xml:space="preserve">[工程名称] </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jc w:val="center"/>
        <w:rPr>
          <w:rFonts w:ascii="宋体" w:hAnsi="宋体"/>
          <w:color w:val="auto"/>
          <w:spacing w:val="4"/>
          <w:kern w:val="0"/>
          <w:sz w:val="84"/>
          <w:szCs w:val="84"/>
          <w:highlight w:val="none"/>
        </w:rPr>
      </w:pPr>
      <w:r>
        <w:rPr>
          <w:rFonts w:hint="eastAsia" w:ascii="宋体" w:hAnsi="宋体"/>
          <w:color w:val="auto"/>
          <w:spacing w:val="4"/>
          <w:kern w:val="0"/>
          <w:sz w:val="84"/>
          <w:szCs w:val="84"/>
          <w:highlight w:val="none"/>
        </w:rPr>
        <w:t>投标文件</w:t>
      </w:r>
    </w:p>
    <w:p>
      <w:pPr>
        <w:widowControl/>
        <w:topLinePunct/>
        <w:adjustRightInd w:val="0"/>
        <w:snapToGrid w:val="0"/>
        <w:spacing w:after="200" w:line="360" w:lineRule="auto"/>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第二册 （经济标书）</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 xml:space="preserve">   </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投标人：</w:t>
      </w:r>
      <w:bookmarkStart w:id="186" w:name="_Toc239311767"/>
      <w:bookmarkStart w:id="187" w:name="_Toc318924517"/>
      <w:bookmarkStart w:id="188" w:name="_Toc337720111"/>
      <w:bookmarkStart w:id="189" w:name="_Toc226209025"/>
      <w:bookmarkStart w:id="190" w:name="_Toc239216052"/>
      <w:bookmarkStart w:id="191" w:name="_Toc163337643"/>
      <w:bookmarkStart w:id="192" w:name="_Toc369536788"/>
      <w:bookmarkStart w:id="193" w:name="_Toc464131240"/>
      <w:bookmarkStart w:id="194" w:name="_Toc395261116"/>
      <w:bookmarkStart w:id="195" w:name="_Toc449308436"/>
      <w:bookmarkStart w:id="196" w:name="_Toc358370596"/>
      <w:bookmarkStart w:id="197" w:name="_Toc352240543"/>
      <w:bookmarkStart w:id="198" w:name="_Toc352623441"/>
      <w:bookmarkStart w:id="199" w:name="_Toc484958710"/>
      <w:r>
        <w:rPr>
          <w:rFonts w:hint="eastAsia" w:ascii="宋体" w:hAnsi="宋体"/>
          <w:color w:val="auto"/>
          <w:spacing w:val="4"/>
          <w:kern w:val="0"/>
          <w:sz w:val="30"/>
          <w:szCs w:val="30"/>
          <w:highlight w:val="none"/>
          <w:u w:val="single"/>
        </w:rPr>
        <w:t xml:space="preserve">       （填写投标人单位</w:t>
      </w:r>
      <w:bookmarkEnd w:id="186"/>
      <w:bookmarkEnd w:id="187"/>
      <w:bookmarkEnd w:id="188"/>
      <w:bookmarkEnd w:id="189"/>
      <w:bookmarkEnd w:id="190"/>
      <w:bookmarkEnd w:id="191"/>
      <w:r>
        <w:rPr>
          <w:rFonts w:hint="eastAsia" w:ascii="宋体" w:hAnsi="宋体"/>
          <w:color w:val="auto"/>
          <w:spacing w:val="4"/>
          <w:kern w:val="0"/>
          <w:sz w:val="30"/>
          <w:szCs w:val="30"/>
          <w:highlight w:val="none"/>
          <w:u w:val="single"/>
        </w:rPr>
        <w:t xml:space="preserve">名称）  </w:t>
      </w:r>
      <w:bookmarkEnd w:id="192"/>
      <w:bookmarkEnd w:id="193"/>
      <w:bookmarkEnd w:id="194"/>
      <w:bookmarkEnd w:id="195"/>
      <w:bookmarkEnd w:id="196"/>
      <w:bookmarkEnd w:id="197"/>
      <w:bookmarkEnd w:id="198"/>
      <w:bookmarkEnd w:id="199"/>
      <w:r>
        <w:rPr>
          <w:rFonts w:hint="eastAsia" w:ascii="宋体" w:hAnsi="宋体"/>
          <w:color w:val="auto"/>
          <w:spacing w:val="4"/>
          <w:kern w:val="0"/>
          <w:sz w:val="30"/>
          <w:szCs w:val="30"/>
          <w:highlight w:val="none"/>
          <w:u w:val="single"/>
        </w:rPr>
        <w:t xml:space="preserve">     （盖章）</w:t>
      </w: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法定代表人或</w:t>
      </w: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其委托代理人：</w:t>
      </w:r>
      <w:r>
        <w:rPr>
          <w:rFonts w:hint="eastAsia" w:ascii="宋体" w:hAnsi="宋体"/>
          <w:color w:val="auto"/>
          <w:spacing w:val="4"/>
          <w:kern w:val="0"/>
          <w:sz w:val="30"/>
          <w:szCs w:val="30"/>
          <w:highlight w:val="none"/>
          <w:u w:val="single"/>
        </w:rPr>
        <w:t xml:space="preserve">                       （签字或盖章）</w:t>
      </w:r>
    </w:p>
    <w:p>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日  期：</w:t>
      </w:r>
      <w:r>
        <w:rPr>
          <w:rFonts w:hint="eastAsia" w:ascii="宋体" w:hAnsi="宋体"/>
          <w:color w:val="auto"/>
          <w:spacing w:val="4"/>
          <w:kern w:val="0"/>
          <w:sz w:val="30"/>
          <w:szCs w:val="30"/>
          <w:highlight w:val="none"/>
          <w:u w:val="single"/>
        </w:rPr>
        <w:t xml:space="preserve">                                        </w:t>
      </w:r>
      <w:r>
        <w:rPr>
          <w:rFonts w:ascii="宋体" w:hAnsi="宋体"/>
          <w:color w:val="auto"/>
          <w:spacing w:val="4"/>
          <w:kern w:val="0"/>
          <w:sz w:val="30"/>
          <w:szCs w:val="30"/>
          <w:highlight w:val="none"/>
        </w:rPr>
        <w:t xml:space="preserve"> </w:t>
      </w:r>
    </w:p>
    <w:p>
      <w:pPr>
        <w:widowControl/>
        <w:topLinePunct/>
        <w:adjustRightInd w:val="0"/>
        <w:snapToGrid w:val="0"/>
        <w:spacing w:after="200"/>
        <w:jc w:val="left"/>
        <w:outlineLvl w:val="2"/>
        <w:rPr>
          <w:rFonts w:ascii="黑体" w:hAnsi="宋体" w:eastAsia="黑体"/>
          <w:b/>
          <w:color w:val="auto"/>
          <w:spacing w:val="4"/>
          <w:kern w:val="0"/>
          <w:sz w:val="24"/>
          <w:szCs w:val="24"/>
          <w:highlight w:val="none"/>
        </w:rPr>
      </w:pPr>
      <w:r>
        <w:rPr>
          <w:rFonts w:ascii="宋体" w:hAnsi="宋体"/>
          <w:color w:val="auto"/>
          <w:spacing w:val="4"/>
          <w:kern w:val="0"/>
          <w:sz w:val="24"/>
          <w:szCs w:val="24"/>
          <w:highlight w:val="none"/>
        </w:rPr>
        <w:br w:type="page"/>
      </w:r>
      <w:bookmarkStart w:id="200" w:name="_Toc29476923"/>
      <w:bookmarkStart w:id="201" w:name="_Toc62056049"/>
      <w:bookmarkStart w:id="202" w:name="_Toc19679"/>
      <w:bookmarkStart w:id="203" w:name="_Toc4489954"/>
      <w:r>
        <w:rPr>
          <w:rFonts w:hint="eastAsia" w:ascii="宋体" w:hAnsi="宋体"/>
          <w:color w:val="auto"/>
          <w:spacing w:val="4"/>
          <w:kern w:val="0"/>
          <w:sz w:val="24"/>
          <w:szCs w:val="24"/>
          <w:highlight w:val="none"/>
        </w:rPr>
        <w:t>格式二</w:t>
      </w:r>
      <w:bookmarkStart w:id="204" w:name="_Toc29524"/>
      <w:bookmarkStart w:id="205" w:name="_Toc504722521"/>
      <w:r>
        <w:rPr>
          <w:rFonts w:hint="eastAsia" w:ascii="宋体" w:hAnsi="宋体"/>
          <w:color w:val="auto"/>
          <w:spacing w:val="4"/>
          <w:kern w:val="0"/>
          <w:sz w:val="24"/>
          <w:szCs w:val="24"/>
          <w:highlight w:val="none"/>
        </w:rPr>
        <w:t>：工程量清单计价表</w:t>
      </w:r>
      <w:bookmarkEnd w:id="200"/>
      <w:bookmarkEnd w:id="201"/>
      <w:bookmarkEnd w:id="202"/>
      <w:bookmarkEnd w:id="203"/>
      <w:bookmarkEnd w:id="204"/>
      <w:bookmarkEnd w:id="205"/>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widowControl/>
        <w:topLinePunct/>
        <w:adjustRightInd w:val="0"/>
        <w:snapToGrid w:val="0"/>
        <w:spacing w:after="200" w:line="360" w:lineRule="auto"/>
        <w:ind w:firstLine="617"/>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工程量清单计价表</w:t>
      </w:r>
    </w:p>
    <w:p>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pPr>
        <w:tabs>
          <w:tab w:val="left" w:pos="720"/>
        </w:tabs>
        <w:snapToGrid w:val="0"/>
        <w:spacing w:line="360" w:lineRule="auto"/>
        <w:jc w:val="center"/>
        <w:rPr>
          <w:rFonts w:ascii="宋体" w:hAnsi="宋体"/>
          <w:color w:val="auto"/>
          <w:highlight w:val="none"/>
        </w:rPr>
      </w:pPr>
      <w:r>
        <w:rPr>
          <w:rFonts w:hint="eastAsia" w:ascii="宋体" w:hAnsi="宋体"/>
          <w:color w:val="auto"/>
          <w:highlight w:val="none"/>
        </w:rPr>
        <w:t>本部分内容详见招标文件第七章工程量清单。</w:t>
      </w:r>
    </w:p>
    <w:p>
      <w:pPr>
        <w:tabs>
          <w:tab w:val="left" w:pos="720"/>
        </w:tabs>
        <w:snapToGrid w:val="0"/>
        <w:spacing w:line="360" w:lineRule="auto"/>
        <w:outlineLvl w:val="2"/>
        <w:rPr>
          <w:rFonts w:ascii="宋体" w:hAnsi="宋体"/>
          <w:snapToGrid w:val="0"/>
          <w:color w:val="auto"/>
          <w:spacing w:val="4"/>
          <w:kern w:val="0"/>
          <w:sz w:val="24"/>
          <w:szCs w:val="24"/>
          <w:highlight w:val="none"/>
        </w:rPr>
      </w:pPr>
      <w:r>
        <w:rPr>
          <w:color w:val="auto"/>
          <w:highlight w:val="none"/>
        </w:rPr>
        <w:br w:type="page"/>
      </w:r>
      <w:bookmarkStart w:id="206" w:name="_Toc62056050"/>
      <w:bookmarkStart w:id="207" w:name="_Toc4037"/>
      <w:r>
        <w:rPr>
          <w:rFonts w:hint="eastAsia" w:ascii="宋体" w:hAnsi="宋体"/>
          <w:snapToGrid w:val="0"/>
          <w:color w:val="auto"/>
          <w:spacing w:val="4"/>
          <w:kern w:val="0"/>
          <w:sz w:val="24"/>
          <w:szCs w:val="24"/>
          <w:highlight w:val="none"/>
        </w:rPr>
        <w:t>格式三：</w:t>
      </w:r>
      <w:r>
        <w:rPr>
          <w:rFonts w:hint="eastAsia"/>
          <w:color w:val="auto"/>
          <w:sz w:val="24"/>
          <w:szCs w:val="24"/>
          <w:highlight w:val="none"/>
        </w:rPr>
        <w:t>参与编制经济标投标文件人员名单</w:t>
      </w:r>
      <w:bookmarkEnd w:id="206"/>
      <w:bookmarkEnd w:id="207"/>
    </w:p>
    <w:p>
      <w:pPr>
        <w:tabs>
          <w:tab w:val="left" w:pos="720"/>
        </w:tabs>
        <w:snapToGrid w:val="0"/>
        <w:spacing w:line="360" w:lineRule="auto"/>
        <w:jc w:val="center"/>
        <w:rPr>
          <w:b/>
          <w:color w:val="auto"/>
          <w:szCs w:val="21"/>
          <w:highlight w:val="none"/>
        </w:rPr>
      </w:pPr>
      <w:r>
        <w:rPr>
          <w:rFonts w:hint="eastAsia"/>
          <w:b/>
          <w:color w:val="auto"/>
          <w:szCs w:val="21"/>
          <w:highlight w:val="none"/>
        </w:rPr>
        <w:t>参与编制经济标投标文件人员名单</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spacing w:line="360" w:lineRule="auto"/>
        <w:ind w:left="-2" w:leftChars="-1" w:firstLine="350" w:firstLineChars="175"/>
        <w:jc w:val="left"/>
        <w:rPr>
          <w:color w:val="auto"/>
          <w:kern w:val="0"/>
          <w:sz w:val="20"/>
          <w:szCs w:val="21"/>
          <w:highlight w:val="none"/>
        </w:rPr>
      </w:pPr>
      <w:r>
        <w:rPr>
          <w:rFonts w:hint="eastAsia"/>
          <w:color w:val="auto"/>
          <w:kern w:val="0"/>
          <w:sz w:val="20"/>
          <w:szCs w:val="21"/>
          <w:highlight w:val="none"/>
        </w:rPr>
        <w:t>注：参与编制经济标投标文件所有人员名单应包括编制各种专业工程量清单投标报价、负责清样校对、负责打印及复印等所有人员在内的人员名单。</w:t>
      </w:r>
    </w:p>
    <w:p>
      <w:pPr>
        <w:spacing w:line="360" w:lineRule="auto"/>
        <w:ind w:left="-2" w:leftChars="-1" w:firstLine="420" w:firstLineChars="175"/>
        <w:jc w:val="center"/>
        <w:rPr>
          <w:color w:val="auto"/>
          <w:kern w:val="0"/>
          <w:sz w:val="24"/>
          <w:szCs w:val="24"/>
          <w:highlight w:val="none"/>
        </w:rPr>
      </w:pPr>
    </w:p>
    <w:p>
      <w:pPr>
        <w:autoSpaceDE w:val="0"/>
        <w:autoSpaceDN w:val="0"/>
        <w:adjustRightInd w:val="0"/>
        <w:outlineLvl w:val="2"/>
        <w:rPr>
          <w:color w:val="auto"/>
          <w:szCs w:val="21"/>
          <w:highlight w:val="none"/>
        </w:rPr>
      </w:pPr>
      <w:r>
        <w:rPr>
          <w:color w:val="auto"/>
          <w:szCs w:val="21"/>
          <w:highlight w:val="none"/>
        </w:rPr>
        <w:br w:type="page"/>
      </w:r>
      <w:bookmarkStart w:id="208" w:name="_Toc62056051"/>
      <w:bookmarkStart w:id="209" w:name="_Toc5169"/>
      <w:r>
        <w:rPr>
          <w:rFonts w:hint="eastAsia" w:ascii="宋体" w:hAnsi="宋体"/>
          <w:snapToGrid w:val="0"/>
          <w:color w:val="auto"/>
          <w:spacing w:val="4"/>
          <w:kern w:val="0"/>
          <w:sz w:val="24"/>
          <w:szCs w:val="24"/>
          <w:highlight w:val="none"/>
        </w:rPr>
        <w:t>格式四：对投标文件编制的承诺</w:t>
      </w:r>
      <w:bookmarkEnd w:id="208"/>
      <w:bookmarkEnd w:id="209"/>
    </w:p>
    <w:p>
      <w:pPr>
        <w:spacing w:line="360" w:lineRule="auto"/>
        <w:jc w:val="center"/>
        <w:rPr>
          <w:color w:val="auto"/>
          <w:kern w:val="0"/>
          <w:sz w:val="32"/>
          <w:szCs w:val="32"/>
          <w:highlight w:val="none"/>
        </w:rPr>
      </w:pPr>
      <w:r>
        <w:rPr>
          <w:rFonts w:hint="eastAsia"/>
          <w:b/>
          <w:color w:val="auto"/>
          <w:kern w:val="0"/>
          <w:sz w:val="32"/>
          <w:szCs w:val="32"/>
          <w:highlight w:val="none"/>
        </w:rPr>
        <w:t>对投标文件编制的承诺</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本公司授权</w:t>
      </w:r>
      <w:r>
        <w:rPr>
          <w:rFonts w:hint="eastAsia" w:ascii="宋体" w:hAnsi="宋体"/>
          <w:color w:val="auto"/>
          <w:kern w:val="0"/>
          <w:sz w:val="24"/>
          <w:szCs w:val="24"/>
          <w:highlight w:val="none"/>
          <w:u w:val="single"/>
        </w:rPr>
        <w:t xml:space="preserve">         （身份证号：               ）</w:t>
      </w:r>
      <w:r>
        <w:rPr>
          <w:rFonts w:hint="eastAsia" w:ascii="宋体" w:hAnsi="宋体"/>
          <w:color w:val="auto"/>
          <w:kern w:val="0"/>
          <w:sz w:val="24"/>
          <w:szCs w:val="24"/>
          <w:highlight w:val="none"/>
        </w:rPr>
        <w:t>负责对投标文件的编制及内容进行解释、说明，并承诺以下事项：</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1.被授权人清楚投标文件编制的具体情况，包括技术方案文件、工程量清单、以及投标文件的加密打包的理解；</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2.在本项目开标至评标结束前，努力确保被授权人在项目评标所在地附近；</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3.从评标委员会要求澄清起二小时内，被授权人应如实地书面澄清。</w:t>
      </w:r>
    </w:p>
    <w:p>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 xml:space="preserve">如由于未遵守上述承诺内容之一导致无法进行澄清的，我公司认可和接受评标委员会作出的评审结论。                                 </w:t>
      </w:r>
    </w:p>
    <w:p>
      <w:pPr>
        <w:spacing w:line="360" w:lineRule="auto"/>
        <w:ind w:firstLine="360" w:firstLineChars="150"/>
        <w:rPr>
          <w:rFonts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pPr>
        <w:spacing w:line="360" w:lineRule="auto"/>
        <w:rPr>
          <w:b/>
          <w:color w:val="auto"/>
          <w:kern w:val="0"/>
          <w:sz w:val="32"/>
          <w:szCs w:val="32"/>
          <w:highlight w:val="none"/>
        </w:rPr>
      </w:pPr>
    </w:p>
    <w:p>
      <w:pPr>
        <w:spacing w:line="360" w:lineRule="auto"/>
        <w:ind w:firstLine="643" w:firstLineChars="200"/>
        <w:jc w:val="center"/>
        <w:rPr>
          <w:color w:val="auto"/>
          <w:kern w:val="0"/>
          <w:sz w:val="18"/>
          <w:szCs w:val="18"/>
          <w:highlight w:val="none"/>
        </w:rPr>
      </w:pPr>
      <w:r>
        <w:rPr>
          <w:rFonts w:hint="eastAsia"/>
          <w:b/>
          <w:color w:val="auto"/>
          <w:kern w:val="0"/>
          <w:sz w:val="32"/>
          <w:szCs w:val="32"/>
          <w:highlight w:val="none"/>
        </w:rPr>
        <w:t>投标文件编制情况</w:t>
      </w:r>
    </w:p>
    <w:p>
      <w:pPr>
        <w:spacing w:line="360" w:lineRule="auto"/>
        <w:ind w:firstLine="480" w:firstLineChars="200"/>
        <w:rPr>
          <w:rFonts w:ascii="宋体" w:hAnsi="宋体"/>
          <w:color w:val="auto"/>
          <w:kern w:val="0"/>
          <w:sz w:val="24"/>
          <w:szCs w:val="24"/>
          <w:highlight w:val="none"/>
          <w:u w:val="single"/>
        </w:rPr>
      </w:pPr>
      <w:r>
        <w:rPr>
          <w:rFonts w:hint="eastAsia" w:ascii="宋体" w:hAnsi="宋体"/>
          <w:color w:val="auto"/>
          <w:kern w:val="0"/>
          <w:sz w:val="24"/>
          <w:szCs w:val="24"/>
          <w:highlight w:val="none"/>
        </w:rPr>
        <w:t>1.投标文件报价编制方式: □自行编制的，编制的负责人：</w:t>
      </w:r>
      <w:r>
        <w:rPr>
          <w:rFonts w:hint="eastAsia" w:ascii="宋体" w:hAnsi="宋体"/>
          <w:color w:val="auto"/>
          <w:kern w:val="0"/>
          <w:sz w:val="24"/>
          <w:szCs w:val="24"/>
          <w:highlight w:val="none"/>
          <w:u w:val="single"/>
        </w:rPr>
        <w:t xml:space="preserve"> （盖造价工程师执业专用章或全国建设工程造价员章，执业单位应与投标人一致） </w:t>
      </w:r>
      <w:r>
        <w:rPr>
          <w:rFonts w:hint="eastAsia" w:ascii="宋体" w:hAnsi="宋体"/>
          <w:color w:val="auto"/>
          <w:kern w:val="0"/>
          <w:sz w:val="24"/>
          <w:szCs w:val="24"/>
          <w:highlight w:val="none"/>
        </w:rPr>
        <w:t>。□委托编制的，受委托单位</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，编制的负责人：</w:t>
      </w:r>
      <w:r>
        <w:rPr>
          <w:rFonts w:hint="eastAsia" w:ascii="宋体" w:hAnsi="宋体"/>
          <w:color w:val="auto"/>
          <w:kern w:val="0"/>
          <w:sz w:val="24"/>
          <w:szCs w:val="24"/>
          <w:highlight w:val="none"/>
          <w:u w:val="single"/>
        </w:rPr>
        <w:t xml:space="preserve"> （盖造价工程师执业专用章或全国建设工程造价员章，执业单位应与受委托单位一致） </w:t>
      </w:r>
      <w:r>
        <w:rPr>
          <w:rFonts w:hint="eastAsia" w:ascii="宋体" w:hAnsi="宋体"/>
          <w:color w:val="auto"/>
          <w:kern w:val="0"/>
          <w:sz w:val="24"/>
          <w:szCs w:val="24"/>
          <w:highlight w:val="none"/>
        </w:rPr>
        <w:t>。</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2.投标文件加密打包的电脑情况</w:t>
      </w:r>
    </w:p>
    <w:tbl>
      <w:tblPr>
        <w:tblStyle w:val="36"/>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keepNext w:val="0"/>
              <w:keepLines w:val="0"/>
              <w:suppressLineNumbers w:val="0"/>
              <w:spacing w:before="0" w:beforeAutospacing="0" w:after="0" w:afterAutospacing="0" w:line="360" w:lineRule="auto"/>
              <w:ind w:left="0" w:right="0"/>
              <w:rPr>
                <w:rFonts w:hint="default"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keepNext w:val="0"/>
              <w:keepLines w:val="0"/>
              <w:suppressLineNumbers w:val="0"/>
              <w:spacing w:before="0" w:beforeAutospacing="0" w:after="0" w:afterAutospacing="0" w:line="360" w:lineRule="auto"/>
              <w:ind w:left="0" w:right="0"/>
              <w:rPr>
                <w:rFonts w:hint="default" w:ascii="宋体" w:hAnsi="宋体"/>
                <w:color w:val="auto"/>
                <w:sz w:val="24"/>
                <w:szCs w:val="24"/>
                <w:highlight w:val="none"/>
              </w:rPr>
            </w:pPr>
            <w:r>
              <w:rPr>
                <w:rFonts w:hint="eastAsia" w:ascii="宋体" w:hAnsi="宋体"/>
                <w:color w:val="auto"/>
                <w:sz w:val="24"/>
                <w:szCs w:val="24"/>
                <w:highlight w:val="none"/>
              </w:rPr>
              <w:t>电脑类型</w:t>
            </w:r>
          </w:p>
          <w:p>
            <w:pPr>
              <w:keepNext w:val="0"/>
              <w:keepLines w:val="0"/>
              <w:suppressLineNumbers w:val="0"/>
              <w:spacing w:before="0" w:beforeAutospacing="0" w:after="0" w:afterAutospacing="0" w:line="360" w:lineRule="auto"/>
              <w:ind w:left="0" w:right="0"/>
              <w:rPr>
                <w:rFonts w:hint="default" w:ascii="宋体" w:hAnsi="宋体"/>
                <w:color w:val="auto"/>
                <w:sz w:val="24"/>
                <w:szCs w:val="24"/>
                <w:highlight w:val="none"/>
              </w:rPr>
            </w:pPr>
            <w:r>
              <w:rPr>
                <w:rFonts w:hint="eastAsia" w:ascii="宋体" w:hAnsi="宋体"/>
                <w:color w:val="auto"/>
                <w:sz w:val="24"/>
                <w:szCs w:val="24"/>
                <w:highlight w:val="none"/>
              </w:rPr>
              <w:t>电脑所属单位</w:t>
            </w:r>
          </w:p>
          <w:p>
            <w:pPr>
              <w:keepNext w:val="0"/>
              <w:keepLines w:val="0"/>
              <w:suppressLineNumbers w:val="0"/>
              <w:spacing w:before="0" w:beforeAutospacing="0" w:after="0" w:afterAutospacing="0" w:line="360" w:lineRule="auto"/>
              <w:ind w:left="0" w:right="0"/>
              <w:rPr>
                <w:rFonts w:hint="default"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widowControl/>
        <w:jc w:val="left"/>
        <w:rPr>
          <w:bCs/>
          <w:color w:val="auto"/>
          <w:szCs w:val="21"/>
          <w:highlight w:val="none"/>
        </w:rPr>
      </w:pPr>
    </w:p>
    <w:p>
      <w:pPr>
        <w:tabs>
          <w:tab w:val="left" w:pos="720"/>
        </w:tabs>
        <w:snapToGrid w:val="0"/>
        <w:spacing w:line="360" w:lineRule="auto"/>
        <w:jc w:val="center"/>
        <w:rPr>
          <w:rStyle w:val="60"/>
          <w:color w:val="auto"/>
          <w:highlight w:val="none"/>
        </w:rPr>
      </w:pPr>
      <w:r>
        <w:rPr>
          <w:color w:val="auto"/>
          <w:sz w:val="24"/>
          <w:szCs w:val="24"/>
          <w:highlight w:val="none"/>
        </w:rPr>
        <w:br w:type="page"/>
      </w:r>
      <w:bookmarkStart w:id="210" w:name="_Toc2272568"/>
      <w:bookmarkStart w:id="211" w:name="_Toc21525513"/>
      <w:bookmarkStart w:id="212" w:name="_Toc27457"/>
      <w:r>
        <w:rPr>
          <w:rStyle w:val="60"/>
          <w:rFonts w:hint="eastAsia"/>
          <w:color w:val="auto"/>
          <w:highlight w:val="none"/>
        </w:rPr>
        <w:t>第五章</w:t>
      </w:r>
      <w:r>
        <w:rPr>
          <w:rStyle w:val="60"/>
          <w:color w:val="auto"/>
          <w:highlight w:val="none"/>
        </w:rPr>
        <w:t xml:space="preserve">  </w:t>
      </w:r>
      <w:r>
        <w:rPr>
          <w:rStyle w:val="60"/>
          <w:rFonts w:hint="eastAsia"/>
          <w:color w:val="auto"/>
          <w:highlight w:val="none"/>
        </w:rPr>
        <w:t>技术条件（工程建设标准）</w:t>
      </w:r>
      <w:bookmarkEnd w:id="210"/>
      <w:bookmarkEnd w:id="211"/>
    </w:p>
    <w:bookmarkEnd w:id="212"/>
    <w:p>
      <w:pPr>
        <w:pStyle w:val="3"/>
        <w:rPr>
          <w:color w:val="auto"/>
          <w:highlight w:val="none"/>
        </w:rPr>
      </w:pPr>
      <w:r>
        <w:rPr>
          <w:rFonts w:hint="eastAsia"/>
          <w:color w:val="auto"/>
          <w:highlight w:val="none"/>
          <w:lang w:eastAsia="zh-CN"/>
        </w:rPr>
        <w:t>（</w:t>
      </w:r>
      <w:r>
        <w:rPr>
          <w:rFonts w:hint="eastAsia"/>
          <w:color w:val="auto"/>
          <w:highlight w:val="none"/>
          <w:lang w:val="en-US" w:eastAsia="zh-CN"/>
        </w:rPr>
        <w:t>另册</w:t>
      </w:r>
      <w:r>
        <w:rPr>
          <w:rFonts w:hint="eastAsia"/>
          <w:color w:val="auto"/>
          <w:highlight w:val="none"/>
          <w:lang w:eastAsia="zh-CN"/>
        </w:rPr>
        <w:t>）</w:t>
      </w:r>
      <w:r>
        <w:rPr>
          <w:color w:val="auto"/>
          <w:sz w:val="24"/>
          <w:szCs w:val="24"/>
          <w:highlight w:val="none"/>
        </w:rPr>
        <w:br w:type="page"/>
      </w:r>
      <w:bookmarkStart w:id="213" w:name="_Toc21525514"/>
      <w:bookmarkStart w:id="214" w:name="_Toc23764"/>
      <w:bookmarkStart w:id="215" w:name="_Toc2272569"/>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213"/>
      <w:bookmarkEnd w:id="214"/>
      <w:bookmarkEnd w:id="215"/>
    </w:p>
    <w:p>
      <w:pPr>
        <w:jc w:val="center"/>
        <w:rPr>
          <w:rFonts w:ascii="宋体" w:hAnsi="宋体" w:cs="宋体"/>
          <w:b/>
          <w:color w:val="auto"/>
          <w:sz w:val="24"/>
          <w:szCs w:val="24"/>
          <w:highlight w:val="none"/>
        </w:rPr>
      </w:pPr>
      <w:r>
        <w:rPr>
          <w:rFonts w:hint="eastAsia" w:ascii="宋体" w:hAnsi="宋体" w:cs="宋体"/>
          <w:color w:val="auto"/>
          <w:sz w:val="24"/>
          <w:szCs w:val="24"/>
          <w:highlight w:val="none"/>
        </w:rPr>
        <w:t>（另册）</w:t>
      </w:r>
    </w:p>
    <w:p>
      <w:pPr>
        <w:pStyle w:val="3"/>
        <w:rPr>
          <w:color w:val="auto"/>
          <w:highlight w:val="none"/>
        </w:rPr>
      </w:pPr>
      <w:r>
        <w:rPr>
          <w:color w:val="auto"/>
          <w:sz w:val="24"/>
          <w:szCs w:val="24"/>
          <w:highlight w:val="none"/>
        </w:rPr>
        <w:br w:type="page"/>
      </w:r>
      <w:bookmarkStart w:id="216" w:name="_Toc23566"/>
      <w:bookmarkStart w:id="217" w:name="_Toc2272570"/>
      <w:bookmarkStart w:id="218" w:name="_Toc21525515"/>
      <w:r>
        <w:rPr>
          <w:rFonts w:hint="eastAsia"/>
          <w:color w:val="auto"/>
          <w:highlight w:val="none"/>
        </w:rPr>
        <w:t>第七章</w:t>
      </w:r>
      <w:r>
        <w:rPr>
          <w:color w:val="auto"/>
          <w:highlight w:val="none"/>
        </w:rPr>
        <w:t xml:space="preserve">  </w:t>
      </w:r>
      <w:r>
        <w:rPr>
          <w:rFonts w:hint="eastAsia"/>
          <w:color w:val="auto"/>
          <w:highlight w:val="none"/>
        </w:rPr>
        <w:t>工程量清单</w:t>
      </w:r>
      <w:bookmarkEnd w:id="216"/>
      <w:bookmarkEnd w:id="217"/>
      <w:bookmarkEnd w:id="218"/>
    </w:p>
    <w:p>
      <w:pPr>
        <w:jc w:val="center"/>
        <w:rPr>
          <w:rFonts w:ascii="宋体" w:hAnsi="宋体" w:cs="宋体"/>
          <w:b/>
          <w:color w:val="auto"/>
          <w:sz w:val="24"/>
          <w:szCs w:val="24"/>
          <w:highlight w:val="none"/>
        </w:rPr>
      </w:pPr>
      <w:r>
        <w:rPr>
          <w:rFonts w:hint="eastAsia" w:ascii="宋体" w:hAnsi="宋体" w:cs="宋体"/>
          <w:color w:val="auto"/>
          <w:sz w:val="24"/>
          <w:szCs w:val="24"/>
          <w:highlight w:val="none"/>
        </w:rPr>
        <w:t>（另册）</w:t>
      </w:r>
    </w:p>
    <w:p>
      <w:pPr>
        <w:pStyle w:val="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rPr>
          <w:rFonts w:ascii="宋体"/>
          <w:color w:val="auto"/>
          <w:highlight w:val="none"/>
        </w:rPr>
      </w:pPr>
      <w:r>
        <w:rPr>
          <w:color w:val="auto"/>
          <w:sz w:val="24"/>
          <w:szCs w:val="24"/>
          <w:highlight w:val="none"/>
        </w:rPr>
        <w:br w:type="page"/>
      </w:r>
      <w:bookmarkStart w:id="219" w:name="_Toc21525516"/>
      <w:bookmarkStart w:id="220" w:name="_Toc2272571"/>
      <w:bookmarkStart w:id="221" w:name="_Toc11203"/>
      <w:r>
        <w:rPr>
          <w:rFonts w:hint="eastAsia"/>
          <w:color w:val="auto"/>
          <w:highlight w:val="none"/>
        </w:rPr>
        <w:t>第八章</w:t>
      </w:r>
      <w:r>
        <w:rPr>
          <w:color w:val="auto"/>
          <w:highlight w:val="none"/>
        </w:rPr>
        <w:t xml:space="preserve">  </w:t>
      </w:r>
      <w:r>
        <w:rPr>
          <w:rFonts w:hint="eastAsia"/>
          <w:color w:val="auto"/>
          <w:highlight w:val="none"/>
        </w:rPr>
        <w:t>最高投标限价</w:t>
      </w:r>
      <w:bookmarkEnd w:id="219"/>
      <w:bookmarkEnd w:id="220"/>
      <w:bookmarkEnd w:id="221"/>
    </w:p>
    <w:p>
      <w:pPr>
        <w:spacing w:line="360" w:lineRule="auto"/>
        <w:ind w:firstLine="48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详见最高投标限价公布函。</w:t>
      </w:r>
    </w:p>
    <w:p>
      <w:pPr>
        <w:spacing w:line="360" w:lineRule="auto"/>
        <w:ind w:firstLine="480"/>
        <w:rPr>
          <w:color w:val="auto"/>
          <w:highlight w:val="none"/>
        </w:rPr>
      </w:pPr>
    </w:p>
    <w:sectPr>
      <w:footerReference r:id="rId1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0000000000000000000"/>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Schoolbook">
    <w:altName w:val="Century"/>
    <w:panose1 w:val="00000000000000000000"/>
    <w:charset w:val="00"/>
    <w:family w:val="auto"/>
    <w:pitch w:val="default"/>
    <w:sig w:usb0="00000000" w:usb1="00000000" w:usb2="00000000" w:usb3="00000000" w:csb0="0000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jc w:val="right"/>
      <w:rPr>
        <w:rStyle w:val="41"/>
      </w:rPr>
    </w:pPr>
    <w:r>
      <w:rPr>
        <w:rStyle w:val="41"/>
      </w:rPr>
      <w:fldChar w:fldCharType="begin"/>
    </w:r>
    <w:r>
      <w:rPr>
        <w:rStyle w:val="41"/>
      </w:rPr>
      <w:instrText xml:space="preserve">PAGE  </w:instrText>
    </w:r>
    <w:r>
      <w:rPr>
        <w:rStyle w:val="41"/>
      </w:rPr>
      <w:fldChar w:fldCharType="separate"/>
    </w:r>
    <w:r>
      <w:rPr>
        <w:rStyle w:val="41"/>
      </w:rPr>
      <w:t>53</w:t>
    </w:r>
    <w:r>
      <w:rPr>
        <w:rStyle w:val="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682207"/>
    </w:sdtPr>
    <w:sdtContent>
      <w:p>
        <w:pPr>
          <w:pStyle w:val="25"/>
          <w:jc w:val="right"/>
        </w:pPr>
        <w:r>
          <w:fldChar w:fldCharType="begin"/>
        </w:r>
        <w:r>
          <w:instrText xml:space="preserve">PAGE   \* MERGEFORMAT</w:instrText>
        </w:r>
        <w:r>
          <w:fldChar w:fldCharType="separate"/>
        </w:r>
        <w:r>
          <w:rPr>
            <w:lang w:val="zh-CN"/>
          </w:rPr>
          <w:t>50</w:t>
        </w:r>
        <w:r>
          <w:fldChar w:fldCharType="end"/>
        </w:r>
      </w:p>
    </w:sdtContent>
  </w:sdt>
  <w:p>
    <w:pPr>
      <w:pStyle w:val="25"/>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67</w:t>
    </w:r>
    <w:r>
      <w:rPr>
        <w:rStyle w:val="41"/>
      </w:rPr>
      <w:fldChar w:fldCharType="end"/>
    </w:r>
  </w:p>
  <w:p>
    <w:pPr>
      <w:pStyle w:val="25"/>
      <w:framePr w:wrap="around" w:vAnchor="text" w:hAnchor="margin" w:xAlign="outside" w:y="1"/>
      <w:ind w:left="-4410" w:leftChars="-2100" w:right="-4439" w:rightChars="-2114"/>
      <w:rPr>
        <w:rStyle w:val="41"/>
      </w:rPr>
    </w:pPr>
  </w:p>
  <w:p>
    <w:pPr>
      <w:pStyle w:val="2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5"/>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Style w:val="41"/>
      </w:rPr>
      <w:fldChar w:fldCharType="begin"/>
    </w:r>
    <w:r>
      <w:rPr>
        <w:rStyle w:val="41"/>
      </w:rPr>
      <w:instrText xml:space="preserve"> PAGE </w:instrText>
    </w:r>
    <w:r>
      <w:rPr>
        <w:rStyle w:val="41"/>
      </w:rPr>
      <w:fldChar w:fldCharType="separate"/>
    </w:r>
    <w:r>
      <w:rPr>
        <w:rStyle w:val="41"/>
      </w:rPr>
      <w:t>54</w:t>
    </w:r>
    <w:r>
      <w:rPr>
        <w:rStyle w:val="4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rStyle w:val="41"/>
      </w:rPr>
      <w:instrText xml:space="preserve"> PAGE </w:instrText>
    </w:r>
    <w:r>
      <w:fldChar w:fldCharType="separate"/>
    </w:r>
    <w:r>
      <w:rPr>
        <w:rStyle w:val="41"/>
      </w:rPr>
      <w:t>77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00000009"/>
    <w:multiLevelType w:val="multilevel"/>
    <w:tmpl w:val="00000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YzRkNzM4ZWE4ZDY4ZjdkNTJiNTRjYzNiNzdhMDkifQ=="/>
  </w:docVars>
  <w:rsids>
    <w:rsidRoot w:val="007B41BE"/>
    <w:rsid w:val="00006429"/>
    <w:rsid w:val="000200EE"/>
    <w:rsid w:val="000320AB"/>
    <w:rsid w:val="0003663D"/>
    <w:rsid w:val="000425DB"/>
    <w:rsid w:val="0004347B"/>
    <w:rsid w:val="000575F8"/>
    <w:rsid w:val="00065975"/>
    <w:rsid w:val="0006767F"/>
    <w:rsid w:val="00085E30"/>
    <w:rsid w:val="00094639"/>
    <w:rsid w:val="000C1007"/>
    <w:rsid w:val="000C11E0"/>
    <w:rsid w:val="000C2710"/>
    <w:rsid w:val="000C2C31"/>
    <w:rsid w:val="000C38C7"/>
    <w:rsid w:val="000D396E"/>
    <w:rsid w:val="000F0E92"/>
    <w:rsid w:val="000F3F80"/>
    <w:rsid w:val="00112589"/>
    <w:rsid w:val="001130A2"/>
    <w:rsid w:val="00135545"/>
    <w:rsid w:val="001674D3"/>
    <w:rsid w:val="001769A4"/>
    <w:rsid w:val="00181CAA"/>
    <w:rsid w:val="001949DF"/>
    <w:rsid w:val="001B5334"/>
    <w:rsid w:val="001B71D1"/>
    <w:rsid w:val="001C1BB1"/>
    <w:rsid w:val="001C273E"/>
    <w:rsid w:val="001D392E"/>
    <w:rsid w:val="001E0786"/>
    <w:rsid w:val="001E1A86"/>
    <w:rsid w:val="001F50C5"/>
    <w:rsid w:val="00213CF6"/>
    <w:rsid w:val="002164B5"/>
    <w:rsid w:val="0028444F"/>
    <w:rsid w:val="002A27DF"/>
    <w:rsid w:val="002A70A7"/>
    <w:rsid w:val="00300178"/>
    <w:rsid w:val="00336AA3"/>
    <w:rsid w:val="0037385D"/>
    <w:rsid w:val="003879DD"/>
    <w:rsid w:val="0039049E"/>
    <w:rsid w:val="003E43F3"/>
    <w:rsid w:val="003E61FC"/>
    <w:rsid w:val="004219A2"/>
    <w:rsid w:val="00424082"/>
    <w:rsid w:val="004370EC"/>
    <w:rsid w:val="004424B8"/>
    <w:rsid w:val="00451EA6"/>
    <w:rsid w:val="0046136A"/>
    <w:rsid w:val="00477162"/>
    <w:rsid w:val="004B295D"/>
    <w:rsid w:val="004C728D"/>
    <w:rsid w:val="0050213B"/>
    <w:rsid w:val="005041AD"/>
    <w:rsid w:val="00504FF2"/>
    <w:rsid w:val="0052726F"/>
    <w:rsid w:val="00533B4F"/>
    <w:rsid w:val="00554382"/>
    <w:rsid w:val="00575509"/>
    <w:rsid w:val="005866FB"/>
    <w:rsid w:val="005C212B"/>
    <w:rsid w:val="005C4AB6"/>
    <w:rsid w:val="005D1411"/>
    <w:rsid w:val="006036EF"/>
    <w:rsid w:val="006127D8"/>
    <w:rsid w:val="006158F4"/>
    <w:rsid w:val="0063398A"/>
    <w:rsid w:val="0065308B"/>
    <w:rsid w:val="00673B83"/>
    <w:rsid w:val="00676C82"/>
    <w:rsid w:val="00680BFD"/>
    <w:rsid w:val="006B1C0E"/>
    <w:rsid w:val="006B6B0D"/>
    <w:rsid w:val="006C345F"/>
    <w:rsid w:val="006D3A80"/>
    <w:rsid w:val="006F3576"/>
    <w:rsid w:val="0073229B"/>
    <w:rsid w:val="00746239"/>
    <w:rsid w:val="007744DF"/>
    <w:rsid w:val="00780EC8"/>
    <w:rsid w:val="0079191D"/>
    <w:rsid w:val="00793B30"/>
    <w:rsid w:val="007B41BE"/>
    <w:rsid w:val="007C0968"/>
    <w:rsid w:val="007D0CBC"/>
    <w:rsid w:val="007D6D06"/>
    <w:rsid w:val="008146A8"/>
    <w:rsid w:val="00835C9E"/>
    <w:rsid w:val="00882181"/>
    <w:rsid w:val="008A4C5B"/>
    <w:rsid w:val="008D2515"/>
    <w:rsid w:val="008E4AD1"/>
    <w:rsid w:val="00920E49"/>
    <w:rsid w:val="009477A3"/>
    <w:rsid w:val="00976975"/>
    <w:rsid w:val="00991949"/>
    <w:rsid w:val="009A704D"/>
    <w:rsid w:val="009C625D"/>
    <w:rsid w:val="009E1438"/>
    <w:rsid w:val="00A01D8D"/>
    <w:rsid w:val="00A0387A"/>
    <w:rsid w:val="00A0619D"/>
    <w:rsid w:val="00A20AF3"/>
    <w:rsid w:val="00A227AC"/>
    <w:rsid w:val="00A2579D"/>
    <w:rsid w:val="00A50D34"/>
    <w:rsid w:val="00A64E29"/>
    <w:rsid w:val="00A77EB7"/>
    <w:rsid w:val="00A83ADA"/>
    <w:rsid w:val="00A857ED"/>
    <w:rsid w:val="00A97626"/>
    <w:rsid w:val="00AB4980"/>
    <w:rsid w:val="00AB5B43"/>
    <w:rsid w:val="00AC40F7"/>
    <w:rsid w:val="00AD3DEE"/>
    <w:rsid w:val="00AD5731"/>
    <w:rsid w:val="00AD6716"/>
    <w:rsid w:val="00AE3791"/>
    <w:rsid w:val="00AE4A01"/>
    <w:rsid w:val="00B22E77"/>
    <w:rsid w:val="00B5769C"/>
    <w:rsid w:val="00B66488"/>
    <w:rsid w:val="00B849A8"/>
    <w:rsid w:val="00B874B6"/>
    <w:rsid w:val="00BA702D"/>
    <w:rsid w:val="00BC7B91"/>
    <w:rsid w:val="00BD3A23"/>
    <w:rsid w:val="00BE1732"/>
    <w:rsid w:val="00BE216D"/>
    <w:rsid w:val="00C17AD6"/>
    <w:rsid w:val="00C2307C"/>
    <w:rsid w:val="00C254EF"/>
    <w:rsid w:val="00C267C0"/>
    <w:rsid w:val="00C32C1E"/>
    <w:rsid w:val="00C33D00"/>
    <w:rsid w:val="00C3703A"/>
    <w:rsid w:val="00C408D3"/>
    <w:rsid w:val="00C75AEA"/>
    <w:rsid w:val="00C81F53"/>
    <w:rsid w:val="00C82C8A"/>
    <w:rsid w:val="00C8578D"/>
    <w:rsid w:val="00CD156B"/>
    <w:rsid w:val="00CD451C"/>
    <w:rsid w:val="00D0090D"/>
    <w:rsid w:val="00D05E2F"/>
    <w:rsid w:val="00D06AFB"/>
    <w:rsid w:val="00D50C75"/>
    <w:rsid w:val="00D60911"/>
    <w:rsid w:val="00D646F3"/>
    <w:rsid w:val="00D64AAD"/>
    <w:rsid w:val="00D75B45"/>
    <w:rsid w:val="00D84E64"/>
    <w:rsid w:val="00DB6CBE"/>
    <w:rsid w:val="00DF0249"/>
    <w:rsid w:val="00E06EEC"/>
    <w:rsid w:val="00E10990"/>
    <w:rsid w:val="00E21EBC"/>
    <w:rsid w:val="00E22EAB"/>
    <w:rsid w:val="00E3063A"/>
    <w:rsid w:val="00E423BC"/>
    <w:rsid w:val="00E457F6"/>
    <w:rsid w:val="00E60CBB"/>
    <w:rsid w:val="00E638F3"/>
    <w:rsid w:val="00E70809"/>
    <w:rsid w:val="00E91172"/>
    <w:rsid w:val="00E9344A"/>
    <w:rsid w:val="00EA534F"/>
    <w:rsid w:val="00EB6530"/>
    <w:rsid w:val="00EC014E"/>
    <w:rsid w:val="00EC259D"/>
    <w:rsid w:val="00EC2950"/>
    <w:rsid w:val="00EC709A"/>
    <w:rsid w:val="00EF56CA"/>
    <w:rsid w:val="00F40301"/>
    <w:rsid w:val="00F40C0E"/>
    <w:rsid w:val="00F42086"/>
    <w:rsid w:val="00F7129C"/>
    <w:rsid w:val="00F7467F"/>
    <w:rsid w:val="00F83252"/>
    <w:rsid w:val="00F903CD"/>
    <w:rsid w:val="00FA5926"/>
    <w:rsid w:val="00FC5596"/>
    <w:rsid w:val="012859DF"/>
    <w:rsid w:val="012862E0"/>
    <w:rsid w:val="01912822"/>
    <w:rsid w:val="020153E9"/>
    <w:rsid w:val="022C0942"/>
    <w:rsid w:val="02E92345"/>
    <w:rsid w:val="03A95216"/>
    <w:rsid w:val="04CB3E7D"/>
    <w:rsid w:val="053B310D"/>
    <w:rsid w:val="05716ECB"/>
    <w:rsid w:val="05935ABA"/>
    <w:rsid w:val="062370D4"/>
    <w:rsid w:val="069D2020"/>
    <w:rsid w:val="072F44E3"/>
    <w:rsid w:val="07A34FF1"/>
    <w:rsid w:val="09922983"/>
    <w:rsid w:val="09F33618"/>
    <w:rsid w:val="0A922DED"/>
    <w:rsid w:val="0B18224D"/>
    <w:rsid w:val="0BBC4223"/>
    <w:rsid w:val="0BFB63DB"/>
    <w:rsid w:val="0C493ED1"/>
    <w:rsid w:val="0C990D6B"/>
    <w:rsid w:val="0CBB102F"/>
    <w:rsid w:val="0CC62F7A"/>
    <w:rsid w:val="0E032C8D"/>
    <w:rsid w:val="0E39635B"/>
    <w:rsid w:val="0ED63EFE"/>
    <w:rsid w:val="0EF05B91"/>
    <w:rsid w:val="0F7E4AB5"/>
    <w:rsid w:val="0FEF45D8"/>
    <w:rsid w:val="1033671D"/>
    <w:rsid w:val="10C607D4"/>
    <w:rsid w:val="116E272C"/>
    <w:rsid w:val="11BE163A"/>
    <w:rsid w:val="11E35BA1"/>
    <w:rsid w:val="11E8746F"/>
    <w:rsid w:val="121C57F5"/>
    <w:rsid w:val="124F79E9"/>
    <w:rsid w:val="12CA0DD4"/>
    <w:rsid w:val="135E56F6"/>
    <w:rsid w:val="141D7112"/>
    <w:rsid w:val="14D34591"/>
    <w:rsid w:val="1528122B"/>
    <w:rsid w:val="163065E9"/>
    <w:rsid w:val="1687517E"/>
    <w:rsid w:val="16E865EE"/>
    <w:rsid w:val="17CF1E32"/>
    <w:rsid w:val="18151F96"/>
    <w:rsid w:val="181C07FE"/>
    <w:rsid w:val="18233D92"/>
    <w:rsid w:val="18251EC7"/>
    <w:rsid w:val="18586E57"/>
    <w:rsid w:val="19425463"/>
    <w:rsid w:val="19592823"/>
    <w:rsid w:val="1A2F4635"/>
    <w:rsid w:val="1A620C7B"/>
    <w:rsid w:val="1ACF1B46"/>
    <w:rsid w:val="1AD03189"/>
    <w:rsid w:val="1AF75BCA"/>
    <w:rsid w:val="1B425EC3"/>
    <w:rsid w:val="1B6046B1"/>
    <w:rsid w:val="1B7B1927"/>
    <w:rsid w:val="1D7F49B2"/>
    <w:rsid w:val="1DAC40AF"/>
    <w:rsid w:val="1DF60FCA"/>
    <w:rsid w:val="1E167DA9"/>
    <w:rsid w:val="1E486D96"/>
    <w:rsid w:val="1EBA5A37"/>
    <w:rsid w:val="1FA1395A"/>
    <w:rsid w:val="23E80503"/>
    <w:rsid w:val="24A972CC"/>
    <w:rsid w:val="252E0005"/>
    <w:rsid w:val="25DB577D"/>
    <w:rsid w:val="26CF74AD"/>
    <w:rsid w:val="26D67E2C"/>
    <w:rsid w:val="275477D4"/>
    <w:rsid w:val="275E4ED9"/>
    <w:rsid w:val="27714DB7"/>
    <w:rsid w:val="27A71F87"/>
    <w:rsid w:val="28303B7B"/>
    <w:rsid w:val="28790229"/>
    <w:rsid w:val="289B6BAD"/>
    <w:rsid w:val="295178D7"/>
    <w:rsid w:val="2A7A5E78"/>
    <w:rsid w:val="2A880A7B"/>
    <w:rsid w:val="2AF6062B"/>
    <w:rsid w:val="2AFA6460"/>
    <w:rsid w:val="2AFD391A"/>
    <w:rsid w:val="2AFF440D"/>
    <w:rsid w:val="2C6E6B90"/>
    <w:rsid w:val="2CAF2367"/>
    <w:rsid w:val="2DC01F23"/>
    <w:rsid w:val="2DC4660F"/>
    <w:rsid w:val="2E180CEC"/>
    <w:rsid w:val="2EA94D33"/>
    <w:rsid w:val="2FA417C3"/>
    <w:rsid w:val="2FF563EE"/>
    <w:rsid w:val="30997F39"/>
    <w:rsid w:val="315F530D"/>
    <w:rsid w:val="32BF3509"/>
    <w:rsid w:val="336062F5"/>
    <w:rsid w:val="33A16D02"/>
    <w:rsid w:val="34C65CBE"/>
    <w:rsid w:val="35516B4C"/>
    <w:rsid w:val="3579103D"/>
    <w:rsid w:val="35F92E7B"/>
    <w:rsid w:val="368D5637"/>
    <w:rsid w:val="37073AA7"/>
    <w:rsid w:val="375D203C"/>
    <w:rsid w:val="38026A6F"/>
    <w:rsid w:val="382819FC"/>
    <w:rsid w:val="39C15447"/>
    <w:rsid w:val="3A6C1087"/>
    <w:rsid w:val="3ACC4283"/>
    <w:rsid w:val="3B2225DD"/>
    <w:rsid w:val="3B484CC6"/>
    <w:rsid w:val="3B9432C7"/>
    <w:rsid w:val="3BA70C12"/>
    <w:rsid w:val="3C223913"/>
    <w:rsid w:val="3C3B2277"/>
    <w:rsid w:val="3CD80FAC"/>
    <w:rsid w:val="3D110B2C"/>
    <w:rsid w:val="3D60411F"/>
    <w:rsid w:val="3DF871B1"/>
    <w:rsid w:val="3F2C2198"/>
    <w:rsid w:val="3FA40F96"/>
    <w:rsid w:val="4028527E"/>
    <w:rsid w:val="41A3115F"/>
    <w:rsid w:val="41E657FF"/>
    <w:rsid w:val="422210F1"/>
    <w:rsid w:val="42BC2818"/>
    <w:rsid w:val="43170066"/>
    <w:rsid w:val="44801246"/>
    <w:rsid w:val="454D643E"/>
    <w:rsid w:val="454F69F1"/>
    <w:rsid w:val="45A04F83"/>
    <w:rsid w:val="45A8081F"/>
    <w:rsid w:val="45B263A1"/>
    <w:rsid w:val="478D1D86"/>
    <w:rsid w:val="47A95DE3"/>
    <w:rsid w:val="48523C0A"/>
    <w:rsid w:val="49867CF3"/>
    <w:rsid w:val="49F552ED"/>
    <w:rsid w:val="49FD1212"/>
    <w:rsid w:val="4A3B6AE1"/>
    <w:rsid w:val="4A461F3D"/>
    <w:rsid w:val="4B3F6B82"/>
    <w:rsid w:val="4B6B7860"/>
    <w:rsid w:val="4C2032CB"/>
    <w:rsid w:val="4C5D2882"/>
    <w:rsid w:val="4D7417E6"/>
    <w:rsid w:val="4DFA13E7"/>
    <w:rsid w:val="4E3C4E24"/>
    <w:rsid w:val="4E6C325B"/>
    <w:rsid w:val="4EB8094F"/>
    <w:rsid w:val="4F3A25E5"/>
    <w:rsid w:val="504B1150"/>
    <w:rsid w:val="52F0763D"/>
    <w:rsid w:val="53075FED"/>
    <w:rsid w:val="532E1946"/>
    <w:rsid w:val="53541E90"/>
    <w:rsid w:val="53F92C98"/>
    <w:rsid w:val="545C4D54"/>
    <w:rsid w:val="58256929"/>
    <w:rsid w:val="582A1347"/>
    <w:rsid w:val="58BE4750"/>
    <w:rsid w:val="58C1761D"/>
    <w:rsid w:val="58C3061C"/>
    <w:rsid w:val="5943175D"/>
    <w:rsid w:val="59C87E43"/>
    <w:rsid w:val="59C9560C"/>
    <w:rsid w:val="5CDC0081"/>
    <w:rsid w:val="5CDF456F"/>
    <w:rsid w:val="5CEA51C8"/>
    <w:rsid w:val="5D0E1B62"/>
    <w:rsid w:val="5D314285"/>
    <w:rsid w:val="5D572C78"/>
    <w:rsid w:val="5D5E3674"/>
    <w:rsid w:val="5E286A9B"/>
    <w:rsid w:val="5E8A398A"/>
    <w:rsid w:val="5E905FD2"/>
    <w:rsid w:val="5F084F1A"/>
    <w:rsid w:val="5F4B72E8"/>
    <w:rsid w:val="5F562FF3"/>
    <w:rsid w:val="626C4459"/>
    <w:rsid w:val="62B86D17"/>
    <w:rsid w:val="630C52F1"/>
    <w:rsid w:val="636B3D8A"/>
    <w:rsid w:val="6490562C"/>
    <w:rsid w:val="64B5517A"/>
    <w:rsid w:val="64C26724"/>
    <w:rsid w:val="653505E7"/>
    <w:rsid w:val="65451B94"/>
    <w:rsid w:val="6545310B"/>
    <w:rsid w:val="658A5755"/>
    <w:rsid w:val="65F36023"/>
    <w:rsid w:val="66526610"/>
    <w:rsid w:val="672B23E7"/>
    <w:rsid w:val="697D1440"/>
    <w:rsid w:val="69B72349"/>
    <w:rsid w:val="6B5477F9"/>
    <w:rsid w:val="6BCF4E29"/>
    <w:rsid w:val="6C7621DF"/>
    <w:rsid w:val="6C787452"/>
    <w:rsid w:val="6CEF4F0F"/>
    <w:rsid w:val="6CF32166"/>
    <w:rsid w:val="6D341690"/>
    <w:rsid w:val="6D361005"/>
    <w:rsid w:val="6DAB59DE"/>
    <w:rsid w:val="6E7812D4"/>
    <w:rsid w:val="6F21151B"/>
    <w:rsid w:val="6F73290D"/>
    <w:rsid w:val="6FB97C34"/>
    <w:rsid w:val="70D52114"/>
    <w:rsid w:val="716C4614"/>
    <w:rsid w:val="72741777"/>
    <w:rsid w:val="72C1605D"/>
    <w:rsid w:val="736D52FD"/>
    <w:rsid w:val="73CC483B"/>
    <w:rsid w:val="749367DF"/>
    <w:rsid w:val="74DF50FB"/>
    <w:rsid w:val="75750A98"/>
    <w:rsid w:val="76515061"/>
    <w:rsid w:val="76D80BC1"/>
    <w:rsid w:val="77114627"/>
    <w:rsid w:val="77BD1CC3"/>
    <w:rsid w:val="78B76111"/>
    <w:rsid w:val="78FD72DD"/>
    <w:rsid w:val="79A5034F"/>
    <w:rsid w:val="79D57D57"/>
    <w:rsid w:val="79EB30D7"/>
    <w:rsid w:val="7A0718DE"/>
    <w:rsid w:val="7ADC31A8"/>
    <w:rsid w:val="7BD84DCC"/>
    <w:rsid w:val="7C4C3E63"/>
    <w:rsid w:val="7CBD0AA9"/>
    <w:rsid w:val="7D421296"/>
    <w:rsid w:val="7D910439"/>
    <w:rsid w:val="7E4454AB"/>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7">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3"/>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Plain Text"/>
    <w:basedOn w:val="1"/>
    <w:next w:val="1"/>
    <w:link w:val="81"/>
    <w:qFormat/>
    <w:uiPriority w:val="0"/>
    <w:rPr>
      <w:rFonts w:ascii="宋体" w:hAnsi="Courier New"/>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next w:val="1"/>
    <w:link w:val="71"/>
    <w:qFormat/>
    <w:uiPriority w:val="0"/>
    <w:pPr>
      <w:spacing w:after="120"/>
    </w:pPr>
    <w:rPr>
      <w:rFonts w:ascii="Times New Roman" w:hAnsi="Times New Roman"/>
      <w:szCs w:val="20"/>
    </w:rPr>
  </w:style>
  <w:style w:type="paragraph" w:styleId="10">
    <w:name w:val="Normal Indent"/>
    <w:basedOn w:val="1"/>
    <w:next w:val="1"/>
    <w:link w:val="121"/>
    <w:qFormat/>
    <w:uiPriority w:val="0"/>
    <w:pPr>
      <w:ind w:firstLine="420"/>
    </w:pPr>
    <w:rPr>
      <w:rFonts w:ascii="Times New Roman" w:hAnsi="Times New Roman"/>
      <w:szCs w:val="20"/>
    </w:rPr>
  </w:style>
  <w:style w:type="paragraph" w:styleId="16">
    <w:name w:val="Document Map"/>
    <w:basedOn w:val="1"/>
    <w:link w:val="79"/>
    <w:qFormat/>
    <w:uiPriority w:val="0"/>
    <w:pPr>
      <w:shd w:val="clear" w:color="auto" w:fill="000080"/>
    </w:pPr>
    <w:rPr>
      <w:rFonts w:ascii="Times New Roman" w:hAnsi="Times New Roman"/>
      <w:szCs w:val="20"/>
    </w:rPr>
  </w:style>
  <w:style w:type="paragraph" w:styleId="17">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8">
    <w:name w:val="Body Text Indent"/>
    <w:basedOn w:val="1"/>
    <w:next w:val="19"/>
    <w:link w:val="77"/>
    <w:qFormat/>
    <w:uiPriority w:val="0"/>
    <w:pPr>
      <w:ind w:firstLine="570"/>
    </w:pPr>
    <w:rPr>
      <w:rFonts w:ascii="Times New Roman" w:hAnsi="Times New Roman"/>
      <w:sz w:val="28"/>
      <w:szCs w:val="20"/>
    </w:rPr>
  </w:style>
  <w:style w:type="paragraph" w:styleId="19">
    <w:name w:val="envelope return"/>
    <w:basedOn w:val="1"/>
    <w:qFormat/>
    <w:uiPriority w:val="0"/>
    <w:pPr>
      <w:snapToGrid w:val="0"/>
    </w:pPr>
    <w:rPr>
      <w:rFonts w:ascii="Arial" w:hAnsi="Arial"/>
      <w:szCs w:val="24"/>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3">
    <w:name w:val="endnote text"/>
    <w:basedOn w:val="1"/>
    <w:link w:val="92"/>
    <w:qFormat/>
    <w:uiPriority w:val="0"/>
    <w:pPr>
      <w:snapToGrid w:val="0"/>
      <w:jc w:val="left"/>
    </w:pPr>
    <w:rPr>
      <w:rFonts w:ascii="Times New Roman" w:hAnsi="Times New Roman"/>
      <w:szCs w:val="20"/>
    </w:rPr>
  </w:style>
  <w:style w:type="paragraph" w:styleId="24">
    <w:name w:val="Balloon Text"/>
    <w:basedOn w:val="1"/>
    <w:link w:val="102"/>
    <w:qFormat/>
    <w:uiPriority w:val="0"/>
    <w:rPr>
      <w:rFonts w:ascii="Times New Roman" w:hAnsi="Times New Roman"/>
      <w:sz w:val="18"/>
      <w:szCs w:val="18"/>
    </w:rPr>
  </w:style>
  <w:style w:type="paragraph" w:styleId="25">
    <w:name w:val="footer"/>
    <w:basedOn w:val="1"/>
    <w:link w:val="59"/>
    <w:unhideWhenUsed/>
    <w:qFormat/>
    <w:uiPriority w:val="99"/>
    <w:pPr>
      <w:tabs>
        <w:tab w:val="center" w:pos="4153"/>
        <w:tab w:val="right" w:pos="8306"/>
      </w:tabs>
      <w:snapToGrid w:val="0"/>
      <w:jc w:val="left"/>
    </w:pPr>
    <w:rPr>
      <w:sz w:val="18"/>
      <w:szCs w:val="18"/>
    </w:rPr>
  </w:style>
  <w:style w:type="paragraph" w:styleId="26">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89"/>
    <w:qFormat/>
    <w:uiPriority w:val="0"/>
    <w:rPr>
      <w:rFonts w:ascii="宋体" w:hAnsi="宋体"/>
      <w:szCs w:val="24"/>
      <w:u w:val="single"/>
    </w:rPr>
  </w:style>
  <w:style w:type="paragraph" w:styleId="32">
    <w:name w:val="Normal (Web)"/>
    <w:basedOn w:val="1"/>
    <w:qFormat/>
    <w:uiPriority w:val="0"/>
    <w:rPr>
      <w:rFonts w:ascii="Times New Roman" w:hAnsi="Times New Roman" w:eastAsia="等线" w:cs="等线"/>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7"/>
    <w:next w:val="17"/>
    <w:link w:val="109"/>
    <w:qFormat/>
    <w:uiPriority w:val="0"/>
    <w:rPr>
      <w:b/>
      <w:bCs/>
    </w:rPr>
  </w:style>
  <w:style w:type="paragraph" w:styleId="35">
    <w:name w:val="Body Text First Indent 2"/>
    <w:basedOn w:val="18"/>
    <w:link w:val="112"/>
    <w:unhideWhenUsed/>
    <w:qFormat/>
    <w:uiPriority w:val="99"/>
    <w:pPr>
      <w:spacing w:after="120"/>
      <w:ind w:left="420" w:leftChars="200" w:firstLine="420" w:firstLineChars="200"/>
    </w:pPr>
    <w:rPr>
      <w:rFonts w:ascii="Calibri" w:hAnsi="Calibri"/>
      <w:sz w:val="21"/>
      <w:szCs w:val="22"/>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字符1"/>
    <w:link w:val="8"/>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6"/>
    <w:qFormat/>
    <w:uiPriority w:val="99"/>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5"/>
    <w:qFormat/>
    <w:uiPriority w:val="99"/>
    <w:rPr>
      <w:rFonts w:ascii="Calibri" w:hAnsi="Calibri" w:eastAsia="宋体" w:cs="Times New Roman"/>
      <w:sz w:val="18"/>
      <w:szCs w:val="18"/>
    </w:rPr>
  </w:style>
  <w:style w:type="character" w:customStyle="1" w:styleId="60">
    <w:name w:val="标题 1 字符1"/>
    <w:link w:val="3"/>
    <w:qFormat/>
    <w:uiPriority w:val="0"/>
    <w:rPr>
      <w:rFonts w:ascii="Arial" w:hAnsi="Arial" w:eastAsia="宋体"/>
      <w:b/>
      <w:kern w:val="44"/>
      <w:sz w:val="28"/>
      <w:szCs w:val="28"/>
    </w:rPr>
  </w:style>
  <w:style w:type="character" w:customStyle="1" w:styleId="61">
    <w:name w:val="标题 2 字符1"/>
    <w:link w:val="7"/>
    <w:qFormat/>
    <w:uiPriority w:val="0"/>
    <w:rPr>
      <w:rFonts w:ascii="Arial" w:hAnsi="Arial" w:eastAsia="宋体" w:cs="Times New Roman"/>
      <w:b/>
      <w:color w:val="000000"/>
      <w:sz w:val="24"/>
      <w:szCs w:val="24"/>
    </w:rPr>
  </w:style>
  <w:style w:type="character" w:customStyle="1" w:styleId="62">
    <w:name w:val="标题 4 字符1"/>
    <w:link w:val="9"/>
    <w:qFormat/>
    <w:uiPriority w:val="0"/>
    <w:rPr>
      <w:rFonts w:ascii="Arial" w:hAnsi="Arial" w:eastAsia="宋体" w:cs="Times New Roman"/>
      <w:color w:val="000000"/>
      <w:szCs w:val="21"/>
    </w:rPr>
  </w:style>
  <w:style w:type="character" w:customStyle="1" w:styleId="63">
    <w:name w:val="标题 5 字符1"/>
    <w:link w:val="11"/>
    <w:qFormat/>
    <w:uiPriority w:val="0"/>
    <w:rPr>
      <w:rFonts w:ascii="Arial" w:hAnsi="Arial" w:eastAsia="宋体" w:cs="Times New Roman"/>
      <w:color w:val="000000"/>
      <w:szCs w:val="21"/>
    </w:rPr>
  </w:style>
  <w:style w:type="character" w:customStyle="1" w:styleId="64">
    <w:name w:val="标题 6 字符1"/>
    <w:link w:val="12"/>
    <w:qFormat/>
    <w:uiPriority w:val="0"/>
    <w:rPr>
      <w:rFonts w:ascii="Arial" w:hAnsi="Arial" w:eastAsia="黑体" w:cs="Times New Roman"/>
      <w:b/>
      <w:bCs/>
      <w:sz w:val="24"/>
      <w:szCs w:val="24"/>
    </w:rPr>
  </w:style>
  <w:style w:type="character" w:customStyle="1" w:styleId="65">
    <w:name w:val="标题 7 字符1"/>
    <w:link w:val="13"/>
    <w:qFormat/>
    <w:uiPriority w:val="0"/>
    <w:rPr>
      <w:rFonts w:ascii="Times New Roman" w:hAnsi="Times New Roman" w:eastAsia="宋体" w:cs="Times New Roman"/>
      <w:b/>
      <w:sz w:val="24"/>
      <w:szCs w:val="20"/>
    </w:rPr>
  </w:style>
  <w:style w:type="character" w:customStyle="1" w:styleId="66">
    <w:name w:val="标题 8 字符1"/>
    <w:link w:val="14"/>
    <w:qFormat/>
    <w:uiPriority w:val="0"/>
    <w:rPr>
      <w:rFonts w:ascii="Arial" w:hAnsi="Arial" w:eastAsia="黑体" w:cs="Times New Roman"/>
      <w:sz w:val="24"/>
      <w:szCs w:val="20"/>
    </w:rPr>
  </w:style>
  <w:style w:type="character" w:customStyle="1" w:styleId="67">
    <w:name w:val="标题 9 字符1"/>
    <w:link w:val="15"/>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字符1"/>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1"/>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8"/>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6"/>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2"/>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2"/>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29"/>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31"/>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3"/>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10"/>
    <w:qFormat/>
    <w:uiPriority w:val="0"/>
    <w:pPr>
      <w:ind w:firstLine="0"/>
    </w:pPr>
    <w:rPr>
      <w:rFonts w:ascii="仿宋_GB2312" w:eastAsia="仿宋_GB2312"/>
      <w:sz w:val="30"/>
      <w:szCs w:val="24"/>
    </w:rPr>
  </w:style>
  <w:style w:type="paragraph" w:customStyle="1" w:styleId="96">
    <w:name w:val="Char Char Char1 Char"/>
    <w:basedOn w:val="16"/>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4"/>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7"/>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8"/>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4"/>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character" w:customStyle="1" w:styleId="112">
    <w:name w:val="正文首行缩进 2 字符"/>
    <w:basedOn w:val="77"/>
    <w:link w:val="35"/>
    <w:qFormat/>
    <w:uiPriority w:val="99"/>
    <w:rPr>
      <w:rFonts w:ascii="Calibri" w:hAnsi="Calibri" w:eastAsia="宋体" w:cs="Times New Roman"/>
      <w:kern w:val="2"/>
      <w:sz w:val="21"/>
      <w:szCs w:val="22"/>
    </w:rPr>
  </w:style>
  <w:style w:type="paragraph" w:customStyle="1" w:styleId="113">
    <w:name w:val="正文文本3"/>
    <w:basedOn w:val="1"/>
    <w:qFormat/>
    <w:uiPriority w:val="0"/>
    <w:pPr>
      <w:shd w:val="clear" w:color="auto" w:fill="FFFFFF"/>
      <w:spacing w:line="0" w:lineRule="atLeast"/>
      <w:jc w:val="left"/>
    </w:pPr>
    <w:rPr>
      <w:rFonts w:ascii="宋体" w:hAnsi="宋体"/>
      <w:kern w:val="0"/>
      <w:sz w:val="19"/>
      <w:szCs w:val="19"/>
    </w:rPr>
  </w:style>
  <w:style w:type="character" w:customStyle="1" w:styleId="114">
    <w:name w:val="文一 Char"/>
    <w:link w:val="115"/>
    <w:qFormat/>
    <w:uiPriority w:val="0"/>
    <w:rPr>
      <w:rFonts w:ascii="Times New Roman" w:hAnsi="Times New Roman" w:eastAsia="宋体"/>
      <w:spacing w:val="4"/>
      <w:sz w:val="24"/>
      <w:szCs w:val="24"/>
    </w:rPr>
  </w:style>
  <w:style w:type="paragraph" w:customStyle="1" w:styleId="115">
    <w:name w:val="文一"/>
    <w:basedOn w:val="1"/>
    <w:link w:val="114"/>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116">
    <w:name w:val="封二"/>
    <w:basedOn w:val="115"/>
    <w:next w:val="115"/>
    <w:qFormat/>
    <w:uiPriority w:val="0"/>
    <w:pPr>
      <w:ind w:firstLine="0" w:firstLineChars="0"/>
      <w:jc w:val="center"/>
    </w:pPr>
    <w:rPr>
      <w:rFonts w:eastAsia="黑体"/>
      <w:b/>
      <w:sz w:val="36"/>
      <w:szCs w:val="36"/>
    </w:rPr>
  </w:style>
  <w:style w:type="paragraph" w:customStyle="1" w:styleId="117">
    <w:name w:val="封四"/>
    <w:basedOn w:val="115"/>
    <w:next w:val="115"/>
    <w:qFormat/>
    <w:uiPriority w:val="0"/>
    <w:pPr>
      <w:jc w:val="left"/>
    </w:pPr>
    <w:rPr>
      <w:sz w:val="30"/>
      <w:szCs w:val="30"/>
    </w:rPr>
  </w:style>
  <w:style w:type="paragraph" w:customStyle="1" w:styleId="118">
    <w:name w:val="封一"/>
    <w:basedOn w:val="115"/>
    <w:next w:val="115"/>
    <w:qFormat/>
    <w:uiPriority w:val="0"/>
    <w:pPr>
      <w:ind w:firstLine="0" w:firstLineChars="0"/>
      <w:jc w:val="center"/>
    </w:pPr>
    <w:rPr>
      <w:rFonts w:eastAsia="黑体"/>
      <w:b/>
      <w:sz w:val="84"/>
      <w:szCs w:val="84"/>
    </w:rPr>
  </w:style>
  <w:style w:type="paragraph" w:customStyle="1" w:styleId="119">
    <w:name w:val="正题"/>
    <w:basedOn w:val="1"/>
    <w:next w:val="115"/>
    <w:qFormat/>
    <w:uiPriority w:val="0"/>
    <w:pPr>
      <w:topLinePunct/>
      <w:adjustRightInd w:val="0"/>
      <w:snapToGrid w:val="0"/>
      <w:spacing w:line="360" w:lineRule="auto"/>
      <w:jc w:val="center"/>
    </w:pPr>
    <w:rPr>
      <w:rFonts w:ascii="等线" w:hAnsi="等线" w:eastAsia="黑体"/>
      <w:b/>
      <w:spacing w:val="4"/>
      <w:kern w:val="0"/>
      <w:sz w:val="36"/>
      <w:szCs w:val="36"/>
    </w:rPr>
  </w:style>
  <w:style w:type="paragraph" w:customStyle="1" w:styleId="120">
    <w:name w:val="文二"/>
    <w:basedOn w:val="1"/>
    <w:qFormat/>
    <w:uiPriority w:val="0"/>
    <w:pPr>
      <w:jc w:val="left"/>
    </w:pPr>
    <w:rPr>
      <w:rFonts w:ascii="宋体" w:hAnsi="宋体"/>
      <w:szCs w:val="21"/>
    </w:rPr>
  </w:style>
  <w:style w:type="character" w:customStyle="1" w:styleId="121">
    <w:name w:val="正文缩进 字符"/>
    <w:link w:val="10"/>
    <w:qFormat/>
    <w:uiPriority w:val="0"/>
    <w:rPr>
      <w:rFonts w:ascii="Times New Roman" w:hAnsi="Times New Roman" w:eastAsia="宋体"/>
      <w:kern w:val="2"/>
      <w:sz w:val="21"/>
    </w:rPr>
  </w:style>
  <w:style w:type="paragraph" w:customStyle="1" w:styleId="122">
    <w:name w:val="修订2"/>
    <w:hidden/>
    <w:unhideWhenUsed/>
    <w:qFormat/>
    <w:uiPriority w:val="99"/>
    <w:rPr>
      <w:rFonts w:ascii="Calibri" w:hAnsi="Calibri" w:eastAsia="宋体" w:cs="Times New Roman"/>
      <w:kern w:val="2"/>
      <w:sz w:val="21"/>
      <w:szCs w:val="22"/>
      <w:lang w:val="en-US" w:eastAsia="zh-CN" w:bidi="ar-SA"/>
    </w:rPr>
  </w:style>
  <w:style w:type="character" w:customStyle="1" w:styleId="123">
    <w:name w:val="NormalCharacter"/>
    <w:qFormat/>
    <w:uiPriority w:val="0"/>
  </w:style>
  <w:style w:type="paragraph" w:customStyle="1" w:styleId="124">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125">
    <w:name w:val="font51"/>
    <w:qFormat/>
    <w:uiPriority w:val="0"/>
    <w:rPr>
      <w:rFonts w:hint="eastAsia" w:ascii="宋体" w:hAnsi="宋体" w:eastAsia="宋体"/>
      <w:color w:val="000000"/>
      <w:sz w:val="24"/>
      <w:szCs w:val="24"/>
      <w:u w:val="none"/>
    </w:rPr>
  </w:style>
  <w:style w:type="character" w:customStyle="1" w:styleId="126">
    <w:name w:val="font21"/>
    <w:qFormat/>
    <w:uiPriority w:val="0"/>
    <w:rPr>
      <w:rFonts w:hint="eastAsia" w:ascii="宋体" w:hAnsi="宋体" w:eastAsia="宋体" w:cs="宋体"/>
      <w:color w:val="000000"/>
      <w:sz w:val="22"/>
      <w:szCs w:val="22"/>
      <w:u w:val="none"/>
    </w:rPr>
  </w:style>
  <w:style w:type="character" w:customStyle="1" w:styleId="127">
    <w:name w:val="s2"/>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99C3B4-2423-40FC-80B3-74CCFEFABD3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44869</Words>
  <Characters>47162</Characters>
  <Lines>401</Lines>
  <Paragraphs>113</Paragraphs>
  <TotalTime>8</TotalTime>
  <ScaleCrop>false</ScaleCrop>
  <LinksUpToDate>false</LinksUpToDate>
  <CharactersWithSpaces>50571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2022-04-24T02:20:00Z</dcterms:created>
  <dc:creator>Lenovo</dc:creator>
  <cp:lastModifiedBy>1</cp:lastModifiedBy>
  <cp:lastPrinted>2022-12-13T08:03:00Z</cp:lastPrinted>
  <dcterms:modified xsi:type="dcterms:W3CDTF">2023-04-19T09:35:05Z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557FAD3D255E4A57A469C16AF55DCC07_13</vt:lpwstr>
  </property>
</Properties>
</file>