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宋体"/>
          <w:b/>
          <w:bCs/>
          <w:color w:val="auto"/>
          <w:spacing w:val="40"/>
          <w:sz w:val="44"/>
          <w:szCs w:val="44"/>
          <w:highlight w:val="none"/>
        </w:rPr>
      </w:pPr>
      <w:bookmarkStart w:id="55" w:name="_GoBack"/>
    </w:p>
    <w:p>
      <w:pPr>
        <w:widowControl/>
        <w:jc w:val="left"/>
        <w:rPr>
          <w:rFonts w:ascii="宋体"/>
          <w:b/>
          <w:bCs/>
          <w:color w:val="auto"/>
          <w:spacing w:val="40"/>
          <w:sz w:val="44"/>
          <w:szCs w:val="44"/>
          <w:highlight w:val="none"/>
        </w:rPr>
      </w:pPr>
    </w:p>
    <w:p>
      <w:pPr>
        <w:spacing w:line="360" w:lineRule="auto"/>
        <w:jc w:val="center"/>
        <w:rPr>
          <w:rFonts w:hint="eastAsia" w:ascii="宋体" w:eastAsia="宋体"/>
          <w:b/>
          <w:bCs/>
          <w:color w:val="auto"/>
          <w:spacing w:val="40"/>
          <w:sz w:val="44"/>
          <w:szCs w:val="44"/>
          <w:highlight w:val="none"/>
          <w:lang w:eastAsia="zh-CN"/>
        </w:rPr>
      </w:pPr>
      <w:r>
        <w:rPr>
          <w:rFonts w:hint="eastAsia" w:ascii="宋体" w:hAnsi="宋体"/>
          <w:b/>
          <w:color w:val="auto"/>
          <w:sz w:val="44"/>
          <w:szCs w:val="44"/>
          <w:highlight w:val="none"/>
          <w:lang w:eastAsia="zh-CN"/>
        </w:rPr>
        <w:t>刘村新村周边市政道路工程施工总承包</w:t>
      </w:r>
    </w:p>
    <w:p>
      <w:pPr>
        <w:spacing w:line="360" w:lineRule="auto"/>
        <w:jc w:val="center"/>
        <w:rPr>
          <w:rFonts w:hint="eastAsia"/>
          <w:color w:val="auto"/>
          <w:sz w:val="36"/>
          <w:highlight w:val="none"/>
          <w:u w:val="single"/>
        </w:rPr>
      </w:pPr>
    </w:p>
    <w:p>
      <w:pPr>
        <w:spacing w:line="360" w:lineRule="auto"/>
        <w:jc w:val="center"/>
        <w:rPr>
          <w:rFonts w:hint="eastAsia"/>
          <w:color w:val="auto"/>
          <w:sz w:val="36"/>
          <w:highlight w:val="none"/>
          <w:u w:val="single"/>
        </w:rPr>
      </w:pPr>
    </w:p>
    <w:p>
      <w:pPr>
        <w:spacing w:line="360" w:lineRule="auto"/>
        <w:jc w:val="center"/>
        <w:rPr>
          <w:rFonts w:hint="eastAsia"/>
          <w:color w:val="auto"/>
          <w:sz w:val="36"/>
          <w:highlight w:val="none"/>
          <w:u w:val="single"/>
        </w:rPr>
      </w:pPr>
    </w:p>
    <w:p>
      <w:pPr>
        <w:spacing w:line="360" w:lineRule="auto"/>
        <w:jc w:val="center"/>
        <w:rPr>
          <w:rFonts w:hint="eastAsia"/>
          <w:color w:val="auto"/>
          <w:sz w:val="36"/>
          <w:highlight w:val="none"/>
          <w:u w:val="single"/>
        </w:rPr>
      </w:pPr>
    </w:p>
    <w:p>
      <w:pPr>
        <w:spacing w:line="360" w:lineRule="auto"/>
        <w:jc w:val="center"/>
        <w:rPr>
          <w:color w:val="auto"/>
          <w:sz w:val="36"/>
          <w:highlight w:val="none"/>
          <w:u w:val="single"/>
        </w:rPr>
      </w:pPr>
    </w:p>
    <w:p>
      <w:pPr>
        <w:spacing w:line="360" w:lineRule="auto"/>
        <w:jc w:val="center"/>
        <w:rPr>
          <w:rFonts w:eastAsia="楷体_GB2312"/>
          <w:b/>
          <w:bCs/>
          <w:color w:val="auto"/>
          <w:spacing w:val="26"/>
          <w:sz w:val="110"/>
          <w:szCs w:val="110"/>
          <w:highlight w:val="none"/>
        </w:rPr>
      </w:pPr>
      <w:r>
        <w:rPr>
          <w:rFonts w:hint="eastAsia" w:eastAsia="楷体_GB2312"/>
          <w:b/>
          <w:bCs/>
          <w:color w:val="auto"/>
          <w:spacing w:val="26"/>
          <w:sz w:val="110"/>
          <w:szCs w:val="110"/>
          <w:highlight w:val="none"/>
        </w:rPr>
        <w:t>招标文件</w:t>
      </w:r>
    </w:p>
    <w:p>
      <w:pPr>
        <w:spacing w:line="360" w:lineRule="auto"/>
        <w:ind w:firstLine="2560" w:firstLineChars="800"/>
        <w:rPr>
          <w:color w:val="auto"/>
          <w:sz w:val="32"/>
          <w:highlight w:val="none"/>
        </w:rPr>
      </w:pPr>
    </w:p>
    <w:p>
      <w:pPr>
        <w:spacing w:line="360" w:lineRule="auto"/>
        <w:rPr>
          <w:rFonts w:hint="eastAsia"/>
          <w:color w:val="auto"/>
          <w:sz w:val="52"/>
          <w:highlight w:val="none"/>
        </w:rPr>
      </w:pPr>
    </w:p>
    <w:p>
      <w:pPr>
        <w:spacing w:line="360" w:lineRule="auto"/>
        <w:rPr>
          <w:color w:val="auto"/>
          <w:sz w:val="52"/>
          <w:highlight w:val="none"/>
        </w:rPr>
      </w:pPr>
    </w:p>
    <w:p>
      <w:pPr>
        <w:spacing w:line="360" w:lineRule="auto"/>
        <w:rPr>
          <w:color w:val="auto"/>
          <w:sz w:val="52"/>
          <w:highlight w:val="none"/>
        </w:rPr>
      </w:pPr>
    </w:p>
    <w:p>
      <w:pPr>
        <w:spacing w:line="360" w:lineRule="auto"/>
        <w:ind w:firstLine="900" w:firstLineChars="300"/>
        <w:rPr>
          <w:rFonts w:hint="eastAsia"/>
          <w:color w:val="auto"/>
          <w:sz w:val="30"/>
          <w:szCs w:val="30"/>
          <w:highlight w:val="none"/>
        </w:rPr>
      </w:pPr>
    </w:p>
    <w:p>
      <w:pPr>
        <w:spacing w:line="360" w:lineRule="auto"/>
        <w:ind w:firstLine="900" w:firstLineChars="300"/>
        <w:rPr>
          <w:color w:val="auto"/>
          <w:sz w:val="30"/>
          <w:szCs w:val="30"/>
          <w:highlight w:val="none"/>
          <w:u w:val="single"/>
        </w:rPr>
      </w:pPr>
      <w:r>
        <w:rPr>
          <w:rFonts w:hint="eastAsia"/>
          <w:color w:val="auto"/>
          <w:sz w:val="30"/>
          <w:szCs w:val="30"/>
          <w:highlight w:val="none"/>
        </w:rPr>
        <w:t>招标单位：</w:t>
      </w:r>
      <w:r>
        <w:rPr>
          <w:rFonts w:hint="eastAsia" w:ascii="宋体" w:hAnsi="宋体" w:cs="宋体"/>
          <w:color w:val="auto"/>
          <w:sz w:val="30"/>
          <w:szCs w:val="30"/>
          <w:highlight w:val="none"/>
          <w:u w:val="single"/>
        </w:rPr>
        <w:t>广州开发区财政投资建设项目管理中心</w:t>
      </w:r>
    </w:p>
    <w:p>
      <w:pPr>
        <w:spacing w:line="360" w:lineRule="auto"/>
        <w:ind w:firstLine="945"/>
        <w:rPr>
          <w:rFonts w:hint="eastAsia" w:eastAsia="宋体"/>
          <w:color w:val="auto"/>
          <w:sz w:val="30"/>
          <w:szCs w:val="30"/>
          <w:highlight w:val="none"/>
          <w:u w:val="single"/>
          <w:lang w:eastAsia="zh-CN"/>
        </w:rPr>
      </w:pPr>
      <w:r>
        <w:rPr>
          <w:rFonts w:hint="eastAsia"/>
          <w:color w:val="auto"/>
          <w:sz w:val="30"/>
          <w:szCs w:val="30"/>
          <w:highlight w:val="none"/>
        </w:rPr>
        <w:t>招标代理单位：</w:t>
      </w:r>
      <w:r>
        <w:rPr>
          <w:rFonts w:hint="eastAsia" w:ascii="宋体" w:hAnsi="宋体" w:cs="宋体"/>
          <w:color w:val="auto"/>
          <w:sz w:val="30"/>
          <w:szCs w:val="30"/>
          <w:highlight w:val="none"/>
          <w:u w:val="single"/>
          <w:lang w:eastAsia="zh-CN"/>
        </w:rPr>
        <w:t>广州市见智咨询有限公司</w:t>
      </w:r>
    </w:p>
    <w:p>
      <w:pPr>
        <w:spacing w:line="360" w:lineRule="auto"/>
        <w:ind w:firstLine="945"/>
        <w:rPr>
          <w:color w:val="auto"/>
          <w:sz w:val="32"/>
          <w:highlight w:val="none"/>
        </w:rPr>
      </w:pPr>
      <w:r>
        <w:rPr>
          <w:rFonts w:hint="eastAsia"/>
          <w:color w:val="auto"/>
          <w:sz w:val="32"/>
          <w:highlight w:val="none"/>
        </w:rPr>
        <w:t>日       期：</w:t>
      </w:r>
      <w:r>
        <w:rPr>
          <w:rFonts w:hint="eastAsia" w:ascii="宋体" w:hAnsi="宋体" w:cs="宋体"/>
          <w:color w:val="auto"/>
          <w:sz w:val="30"/>
          <w:szCs w:val="30"/>
          <w:highlight w:val="none"/>
          <w:u w:val="single"/>
        </w:rPr>
        <w:t>202</w:t>
      </w:r>
      <w:r>
        <w:rPr>
          <w:rFonts w:hint="eastAsia" w:ascii="宋体" w:hAnsi="宋体" w:cs="宋体"/>
          <w:color w:val="auto"/>
          <w:sz w:val="30"/>
          <w:szCs w:val="30"/>
          <w:highlight w:val="none"/>
          <w:u w:val="single"/>
          <w:lang w:val="en-US" w:eastAsia="zh-CN"/>
        </w:rPr>
        <w:t>3</w:t>
      </w:r>
      <w:r>
        <w:rPr>
          <w:rFonts w:hint="eastAsia" w:ascii="宋体" w:hAnsi="宋体" w:cs="宋体"/>
          <w:color w:val="auto"/>
          <w:sz w:val="30"/>
          <w:szCs w:val="30"/>
          <w:highlight w:val="none"/>
        </w:rPr>
        <w:t>年</w:t>
      </w:r>
      <w:r>
        <w:rPr>
          <w:rFonts w:hint="eastAsia" w:ascii="宋体" w:hAnsi="宋体" w:cs="宋体"/>
          <w:color w:val="auto"/>
          <w:sz w:val="30"/>
          <w:szCs w:val="30"/>
          <w:highlight w:val="none"/>
          <w:u w:val="single"/>
          <w:lang w:val="en-US" w:eastAsia="zh-CN"/>
        </w:rPr>
        <w:t>3</w:t>
      </w:r>
      <w:r>
        <w:rPr>
          <w:rFonts w:hint="eastAsia" w:ascii="宋体" w:hAnsi="宋体" w:cs="宋体"/>
          <w:color w:val="auto"/>
          <w:sz w:val="30"/>
          <w:szCs w:val="30"/>
          <w:highlight w:val="none"/>
        </w:rPr>
        <w:t>月</w:t>
      </w:r>
    </w:p>
    <w:p>
      <w:pPr>
        <w:jc w:val="center"/>
        <w:rPr>
          <w:rStyle w:val="57"/>
          <w:rFonts w:hint="eastAsia"/>
          <w:b/>
          <w:bCs/>
          <w:color w:val="auto"/>
          <w:highlight w:val="none"/>
        </w:rPr>
      </w:pPr>
      <w:r>
        <w:rPr>
          <w:rStyle w:val="57"/>
          <w:b/>
          <w:bCs/>
          <w:color w:val="auto"/>
          <w:highlight w:val="none"/>
        </w:rPr>
        <w:br w:type="page"/>
      </w:r>
    </w:p>
    <w:p>
      <w:pPr>
        <w:jc w:val="center"/>
        <w:rPr>
          <w:rFonts w:ascii="宋体" w:hAnsi="宋体"/>
          <w:b/>
          <w:caps/>
          <w:color w:val="auto"/>
          <w:kern w:val="0"/>
          <w:highlight w:val="none"/>
        </w:rPr>
      </w:pPr>
      <w:r>
        <w:rPr>
          <w:rStyle w:val="57"/>
          <w:rFonts w:hint="eastAsia"/>
          <w:b/>
          <w:bCs/>
          <w:color w:val="auto"/>
          <w:sz w:val="28"/>
          <w:szCs w:val="28"/>
          <w:highlight w:val="none"/>
        </w:rPr>
        <w:t>目录</w:t>
      </w:r>
    </w:p>
    <w:p>
      <w:pPr>
        <w:pStyle w:val="34"/>
        <w:rPr>
          <w:caps w:val="0"/>
          <w:color w:val="auto"/>
          <w:kern w:val="2"/>
          <w:sz w:val="21"/>
          <w:szCs w:val="22"/>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HYPERLINK \l "_Toc21525489"</w:instrText>
      </w:r>
      <w:r>
        <w:rPr>
          <w:color w:val="auto"/>
          <w:highlight w:val="none"/>
        </w:rPr>
        <w:fldChar w:fldCharType="separate"/>
      </w:r>
      <w:r>
        <w:rPr>
          <w:rStyle w:val="57"/>
          <w:color w:val="auto"/>
          <w:highlight w:val="none"/>
        </w:rPr>
        <w:t>第一章  投标须知</w:t>
      </w:r>
      <w:r>
        <w:rPr>
          <w:color w:val="auto"/>
          <w:highlight w:val="none"/>
        </w:rPr>
        <w:tab/>
      </w:r>
      <w:r>
        <w:rPr>
          <w:color w:val="auto"/>
          <w:highlight w:val="none"/>
        </w:rPr>
        <w:fldChar w:fldCharType="begin"/>
      </w:r>
      <w:r>
        <w:rPr>
          <w:color w:val="auto"/>
          <w:highlight w:val="none"/>
        </w:rPr>
        <w:instrText xml:space="preserve"> PAGEREF _Toc21525489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42"/>
        <w:rPr>
          <w:rFonts w:ascii="宋体" w:hAnsi="宋体"/>
          <w:color w:val="auto"/>
          <w:sz w:val="21"/>
          <w:szCs w:val="22"/>
          <w:highlight w:val="none"/>
        </w:rPr>
      </w:pPr>
      <w:r>
        <w:rPr>
          <w:rFonts w:ascii="宋体" w:hAnsi="宋体"/>
          <w:color w:val="auto"/>
          <w:highlight w:val="none"/>
        </w:rPr>
        <w:fldChar w:fldCharType="begin"/>
      </w:r>
      <w:r>
        <w:rPr>
          <w:rFonts w:ascii="宋体" w:hAnsi="宋体"/>
          <w:color w:val="auto"/>
          <w:highlight w:val="none"/>
        </w:rPr>
        <w:instrText xml:space="preserve">HYPERLINK \l "_Toc21525490"</w:instrText>
      </w:r>
      <w:r>
        <w:rPr>
          <w:rFonts w:ascii="宋体" w:hAnsi="宋体"/>
          <w:color w:val="auto"/>
          <w:highlight w:val="none"/>
        </w:rPr>
        <w:fldChar w:fldCharType="separate"/>
      </w:r>
      <w:r>
        <w:rPr>
          <w:rStyle w:val="57"/>
          <w:rFonts w:ascii="宋体" w:hAnsi="宋体"/>
          <w:color w:val="auto"/>
          <w:highlight w:val="none"/>
        </w:rPr>
        <w:t>一、投标须知前附表</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_Toc21525490 \h </w:instrText>
      </w:r>
      <w:r>
        <w:rPr>
          <w:rFonts w:ascii="宋体" w:hAnsi="宋体"/>
          <w:color w:val="auto"/>
          <w:highlight w:val="none"/>
        </w:rPr>
        <w:fldChar w:fldCharType="separate"/>
      </w:r>
      <w:r>
        <w:rPr>
          <w:rFonts w:ascii="宋体" w:hAnsi="宋体"/>
          <w:color w:val="auto"/>
          <w:highlight w:val="none"/>
        </w:rPr>
        <w:t>2</w:t>
      </w:r>
      <w:r>
        <w:rPr>
          <w:rFonts w:ascii="宋体" w:hAnsi="宋体"/>
          <w:color w:val="auto"/>
          <w:highlight w:val="none"/>
        </w:rPr>
        <w:fldChar w:fldCharType="end"/>
      </w:r>
      <w:r>
        <w:rPr>
          <w:rFonts w:ascii="宋体" w:hAnsi="宋体"/>
          <w:color w:val="auto"/>
          <w:highlight w:val="none"/>
        </w:rPr>
        <w:fldChar w:fldCharType="end"/>
      </w:r>
    </w:p>
    <w:p>
      <w:pPr>
        <w:pStyle w:val="42"/>
        <w:rPr>
          <w:rFonts w:ascii="宋体" w:hAnsi="宋体"/>
          <w:color w:val="auto"/>
          <w:sz w:val="21"/>
          <w:szCs w:val="22"/>
          <w:highlight w:val="none"/>
        </w:rPr>
      </w:pPr>
      <w:r>
        <w:rPr>
          <w:rFonts w:ascii="宋体" w:hAnsi="宋体"/>
          <w:color w:val="auto"/>
          <w:highlight w:val="none"/>
        </w:rPr>
        <w:fldChar w:fldCharType="begin"/>
      </w:r>
      <w:r>
        <w:rPr>
          <w:rFonts w:ascii="宋体" w:hAnsi="宋体"/>
          <w:color w:val="auto"/>
          <w:highlight w:val="none"/>
        </w:rPr>
        <w:instrText xml:space="preserve">HYPERLINK \l "_Toc21525491"</w:instrText>
      </w:r>
      <w:r>
        <w:rPr>
          <w:rFonts w:ascii="宋体" w:hAnsi="宋体"/>
          <w:color w:val="auto"/>
          <w:highlight w:val="none"/>
        </w:rPr>
        <w:fldChar w:fldCharType="separate"/>
      </w:r>
      <w:r>
        <w:rPr>
          <w:rStyle w:val="57"/>
          <w:rFonts w:ascii="宋体" w:hAnsi="宋体"/>
          <w:color w:val="auto"/>
          <w:highlight w:val="none"/>
        </w:rPr>
        <w:t>二、投标须知修改表</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_Toc21525491 \h </w:instrText>
      </w:r>
      <w:r>
        <w:rPr>
          <w:rFonts w:ascii="宋体" w:hAnsi="宋体"/>
          <w:color w:val="auto"/>
          <w:highlight w:val="none"/>
        </w:rPr>
        <w:fldChar w:fldCharType="separate"/>
      </w:r>
      <w:r>
        <w:rPr>
          <w:rFonts w:ascii="宋体" w:hAnsi="宋体"/>
          <w:color w:val="auto"/>
          <w:highlight w:val="none"/>
        </w:rPr>
        <w:t>9</w:t>
      </w:r>
      <w:r>
        <w:rPr>
          <w:rFonts w:ascii="宋体" w:hAnsi="宋体"/>
          <w:color w:val="auto"/>
          <w:highlight w:val="none"/>
        </w:rPr>
        <w:fldChar w:fldCharType="end"/>
      </w:r>
      <w:r>
        <w:rPr>
          <w:rFonts w:ascii="宋体" w:hAnsi="宋体"/>
          <w:color w:val="auto"/>
          <w:highlight w:val="none"/>
        </w:rPr>
        <w:fldChar w:fldCharType="end"/>
      </w:r>
    </w:p>
    <w:p>
      <w:pPr>
        <w:pStyle w:val="42"/>
        <w:rPr>
          <w:rFonts w:ascii="宋体" w:hAnsi="宋体"/>
          <w:color w:val="auto"/>
          <w:sz w:val="21"/>
          <w:szCs w:val="22"/>
          <w:highlight w:val="none"/>
        </w:rPr>
      </w:pPr>
      <w:r>
        <w:rPr>
          <w:rFonts w:ascii="宋体" w:hAnsi="宋体"/>
          <w:color w:val="auto"/>
          <w:highlight w:val="none"/>
        </w:rPr>
        <w:fldChar w:fldCharType="begin"/>
      </w:r>
      <w:r>
        <w:rPr>
          <w:rFonts w:ascii="宋体" w:hAnsi="宋体"/>
          <w:color w:val="auto"/>
          <w:highlight w:val="none"/>
        </w:rPr>
        <w:instrText xml:space="preserve">HYPERLINK \l "_Toc21525492"</w:instrText>
      </w:r>
      <w:r>
        <w:rPr>
          <w:rFonts w:ascii="宋体" w:hAnsi="宋体"/>
          <w:color w:val="auto"/>
          <w:highlight w:val="none"/>
        </w:rPr>
        <w:fldChar w:fldCharType="separate"/>
      </w:r>
      <w:r>
        <w:rPr>
          <w:rStyle w:val="57"/>
          <w:rFonts w:ascii="宋体" w:hAnsi="宋体"/>
          <w:color w:val="auto"/>
          <w:highlight w:val="none"/>
        </w:rPr>
        <w:t>三、投标须知通用条款</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_Toc21525492 \h </w:instrText>
      </w:r>
      <w:r>
        <w:rPr>
          <w:rFonts w:ascii="宋体" w:hAnsi="宋体"/>
          <w:color w:val="auto"/>
          <w:highlight w:val="none"/>
        </w:rPr>
        <w:fldChar w:fldCharType="separate"/>
      </w:r>
      <w:r>
        <w:rPr>
          <w:rFonts w:ascii="宋体" w:hAnsi="宋体"/>
          <w:color w:val="auto"/>
          <w:highlight w:val="none"/>
        </w:rPr>
        <w:t>26</w:t>
      </w:r>
      <w:r>
        <w:rPr>
          <w:rFonts w:ascii="宋体" w:hAnsi="宋体"/>
          <w:color w:val="auto"/>
          <w:highlight w:val="none"/>
        </w:rPr>
        <w:fldChar w:fldCharType="end"/>
      </w:r>
      <w:r>
        <w:rPr>
          <w:rFonts w:ascii="宋体" w:hAnsi="宋体"/>
          <w:color w:val="auto"/>
          <w:highlight w:val="none"/>
        </w:rPr>
        <w:fldChar w:fldCharType="end"/>
      </w:r>
    </w:p>
    <w:p>
      <w:pPr>
        <w:pStyle w:val="25"/>
        <w:tabs>
          <w:tab w:val="right" w:leader="dot" w:pos="9060"/>
        </w:tabs>
        <w:ind w:left="840"/>
        <w:rPr>
          <w:rFonts w:ascii="宋体" w:hAnsi="宋体"/>
          <w:color w:val="auto"/>
          <w:sz w:val="21"/>
          <w:szCs w:val="22"/>
          <w:highlight w:val="none"/>
        </w:rPr>
      </w:pPr>
      <w:r>
        <w:rPr>
          <w:rFonts w:ascii="宋体" w:hAnsi="宋体"/>
          <w:color w:val="auto"/>
          <w:highlight w:val="none"/>
        </w:rPr>
        <w:fldChar w:fldCharType="begin"/>
      </w:r>
      <w:r>
        <w:rPr>
          <w:rFonts w:ascii="宋体" w:hAnsi="宋体"/>
          <w:color w:val="auto"/>
          <w:highlight w:val="none"/>
        </w:rPr>
        <w:instrText xml:space="preserve">HYPERLINK \l "_Toc21525493"</w:instrText>
      </w:r>
      <w:r>
        <w:rPr>
          <w:rFonts w:ascii="宋体" w:hAnsi="宋体"/>
          <w:color w:val="auto"/>
          <w:highlight w:val="none"/>
        </w:rPr>
        <w:fldChar w:fldCharType="separate"/>
      </w:r>
      <w:r>
        <w:rPr>
          <w:rStyle w:val="57"/>
          <w:rFonts w:ascii="宋体" w:hAnsi="宋体"/>
          <w:color w:val="auto"/>
          <w:highlight w:val="none"/>
        </w:rPr>
        <w:t>（一）总则</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_Toc21525493 \h </w:instrText>
      </w:r>
      <w:r>
        <w:rPr>
          <w:rFonts w:ascii="宋体" w:hAnsi="宋体"/>
          <w:color w:val="auto"/>
          <w:highlight w:val="none"/>
        </w:rPr>
        <w:fldChar w:fldCharType="separate"/>
      </w:r>
      <w:r>
        <w:rPr>
          <w:rFonts w:ascii="宋体" w:hAnsi="宋体"/>
          <w:color w:val="auto"/>
          <w:highlight w:val="none"/>
        </w:rPr>
        <w:t>26</w:t>
      </w:r>
      <w:r>
        <w:rPr>
          <w:rFonts w:ascii="宋体" w:hAnsi="宋体"/>
          <w:color w:val="auto"/>
          <w:highlight w:val="none"/>
        </w:rPr>
        <w:fldChar w:fldCharType="end"/>
      </w:r>
      <w:r>
        <w:rPr>
          <w:rFonts w:ascii="宋体" w:hAnsi="宋体"/>
          <w:color w:val="auto"/>
          <w:highlight w:val="none"/>
        </w:rPr>
        <w:fldChar w:fldCharType="end"/>
      </w:r>
    </w:p>
    <w:p>
      <w:pPr>
        <w:pStyle w:val="25"/>
        <w:tabs>
          <w:tab w:val="right" w:leader="dot" w:pos="9060"/>
        </w:tabs>
        <w:ind w:left="840"/>
        <w:rPr>
          <w:rFonts w:ascii="宋体" w:hAnsi="宋体"/>
          <w:color w:val="auto"/>
          <w:sz w:val="21"/>
          <w:szCs w:val="22"/>
          <w:highlight w:val="none"/>
        </w:rPr>
      </w:pPr>
      <w:r>
        <w:rPr>
          <w:rFonts w:ascii="宋体" w:hAnsi="宋体"/>
          <w:color w:val="auto"/>
          <w:highlight w:val="none"/>
        </w:rPr>
        <w:fldChar w:fldCharType="begin"/>
      </w:r>
      <w:r>
        <w:rPr>
          <w:rFonts w:ascii="宋体" w:hAnsi="宋体"/>
          <w:color w:val="auto"/>
          <w:highlight w:val="none"/>
        </w:rPr>
        <w:instrText xml:space="preserve">HYPERLINK \l "_Toc21525494"</w:instrText>
      </w:r>
      <w:r>
        <w:rPr>
          <w:rFonts w:ascii="宋体" w:hAnsi="宋体"/>
          <w:color w:val="auto"/>
          <w:highlight w:val="none"/>
        </w:rPr>
        <w:fldChar w:fldCharType="separate"/>
      </w:r>
      <w:r>
        <w:rPr>
          <w:rStyle w:val="57"/>
          <w:rFonts w:ascii="宋体" w:hAnsi="宋体"/>
          <w:color w:val="auto"/>
          <w:highlight w:val="none"/>
        </w:rPr>
        <w:t>（二）招标文件</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_Toc21525494 \h </w:instrText>
      </w:r>
      <w:r>
        <w:rPr>
          <w:rFonts w:ascii="宋体" w:hAnsi="宋体"/>
          <w:color w:val="auto"/>
          <w:highlight w:val="none"/>
        </w:rPr>
        <w:fldChar w:fldCharType="separate"/>
      </w:r>
      <w:r>
        <w:rPr>
          <w:rFonts w:ascii="宋体" w:hAnsi="宋体"/>
          <w:color w:val="auto"/>
          <w:highlight w:val="none"/>
        </w:rPr>
        <w:t>27</w:t>
      </w:r>
      <w:r>
        <w:rPr>
          <w:rFonts w:ascii="宋体" w:hAnsi="宋体"/>
          <w:color w:val="auto"/>
          <w:highlight w:val="none"/>
        </w:rPr>
        <w:fldChar w:fldCharType="end"/>
      </w:r>
      <w:r>
        <w:rPr>
          <w:rFonts w:ascii="宋体" w:hAnsi="宋体"/>
          <w:color w:val="auto"/>
          <w:highlight w:val="none"/>
        </w:rPr>
        <w:fldChar w:fldCharType="end"/>
      </w:r>
    </w:p>
    <w:p>
      <w:pPr>
        <w:pStyle w:val="25"/>
        <w:tabs>
          <w:tab w:val="right" w:leader="dot" w:pos="9060"/>
        </w:tabs>
        <w:ind w:left="840"/>
        <w:rPr>
          <w:rFonts w:ascii="宋体" w:hAnsi="宋体"/>
          <w:color w:val="auto"/>
          <w:sz w:val="21"/>
          <w:szCs w:val="22"/>
          <w:highlight w:val="none"/>
        </w:rPr>
      </w:pPr>
      <w:r>
        <w:rPr>
          <w:rFonts w:ascii="宋体" w:hAnsi="宋体"/>
          <w:color w:val="auto"/>
          <w:highlight w:val="none"/>
        </w:rPr>
        <w:fldChar w:fldCharType="begin"/>
      </w:r>
      <w:r>
        <w:rPr>
          <w:rFonts w:ascii="宋体" w:hAnsi="宋体"/>
          <w:color w:val="auto"/>
          <w:highlight w:val="none"/>
        </w:rPr>
        <w:instrText xml:space="preserve">HYPERLINK \l "_Toc21525495"</w:instrText>
      </w:r>
      <w:r>
        <w:rPr>
          <w:rFonts w:ascii="宋体" w:hAnsi="宋体"/>
          <w:color w:val="auto"/>
          <w:highlight w:val="none"/>
        </w:rPr>
        <w:fldChar w:fldCharType="separate"/>
      </w:r>
      <w:r>
        <w:rPr>
          <w:rStyle w:val="57"/>
          <w:rFonts w:ascii="宋体" w:hAnsi="宋体"/>
          <w:color w:val="auto"/>
          <w:highlight w:val="none"/>
        </w:rPr>
        <w:t>（三）投标文件的编制</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_Toc21525495 \h </w:instrText>
      </w:r>
      <w:r>
        <w:rPr>
          <w:rFonts w:ascii="宋体" w:hAnsi="宋体"/>
          <w:color w:val="auto"/>
          <w:highlight w:val="none"/>
        </w:rPr>
        <w:fldChar w:fldCharType="separate"/>
      </w:r>
      <w:r>
        <w:rPr>
          <w:rFonts w:ascii="宋体" w:hAnsi="宋体"/>
          <w:color w:val="auto"/>
          <w:highlight w:val="none"/>
        </w:rPr>
        <w:t>28</w:t>
      </w:r>
      <w:r>
        <w:rPr>
          <w:rFonts w:ascii="宋体" w:hAnsi="宋体"/>
          <w:color w:val="auto"/>
          <w:highlight w:val="none"/>
        </w:rPr>
        <w:fldChar w:fldCharType="end"/>
      </w:r>
      <w:r>
        <w:rPr>
          <w:rFonts w:ascii="宋体" w:hAnsi="宋体"/>
          <w:color w:val="auto"/>
          <w:highlight w:val="none"/>
        </w:rPr>
        <w:fldChar w:fldCharType="end"/>
      </w:r>
    </w:p>
    <w:p>
      <w:pPr>
        <w:pStyle w:val="25"/>
        <w:tabs>
          <w:tab w:val="right" w:leader="dot" w:pos="9060"/>
        </w:tabs>
        <w:ind w:left="840"/>
        <w:rPr>
          <w:rFonts w:ascii="宋体" w:hAnsi="宋体"/>
          <w:color w:val="auto"/>
          <w:sz w:val="21"/>
          <w:szCs w:val="22"/>
          <w:highlight w:val="none"/>
        </w:rPr>
      </w:pPr>
      <w:r>
        <w:rPr>
          <w:rFonts w:ascii="宋体" w:hAnsi="宋体"/>
          <w:color w:val="auto"/>
          <w:highlight w:val="none"/>
        </w:rPr>
        <w:fldChar w:fldCharType="begin"/>
      </w:r>
      <w:r>
        <w:rPr>
          <w:rFonts w:ascii="宋体" w:hAnsi="宋体"/>
          <w:color w:val="auto"/>
          <w:highlight w:val="none"/>
        </w:rPr>
        <w:instrText xml:space="preserve">HYPERLINK \l "_Toc21525496"</w:instrText>
      </w:r>
      <w:r>
        <w:rPr>
          <w:rFonts w:ascii="宋体" w:hAnsi="宋体"/>
          <w:color w:val="auto"/>
          <w:highlight w:val="none"/>
        </w:rPr>
        <w:fldChar w:fldCharType="separate"/>
      </w:r>
      <w:r>
        <w:rPr>
          <w:rStyle w:val="57"/>
          <w:rFonts w:ascii="宋体" w:hAnsi="宋体"/>
          <w:color w:val="auto"/>
          <w:highlight w:val="none"/>
        </w:rPr>
        <w:t>（四）投标文件的提交</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_Toc21525496 \h </w:instrText>
      </w:r>
      <w:r>
        <w:rPr>
          <w:rFonts w:ascii="宋体" w:hAnsi="宋体"/>
          <w:color w:val="auto"/>
          <w:highlight w:val="none"/>
        </w:rPr>
        <w:fldChar w:fldCharType="separate"/>
      </w:r>
      <w:r>
        <w:rPr>
          <w:rFonts w:ascii="宋体" w:hAnsi="宋体"/>
          <w:color w:val="auto"/>
          <w:highlight w:val="none"/>
        </w:rPr>
        <w:t>37</w:t>
      </w:r>
      <w:r>
        <w:rPr>
          <w:rFonts w:ascii="宋体" w:hAnsi="宋体"/>
          <w:color w:val="auto"/>
          <w:highlight w:val="none"/>
        </w:rPr>
        <w:fldChar w:fldCharType="end"/>
      </w:r>
      <w:r>
        <w:rPr>
          <w:rFonts w:ascii="宋体" w:hAnsi="宋体"/>
          <w:color w:val="auto"/>
          <w:highlight w:val="none"/>
        </w:rPr>
        <w:fldChar w:fldCharType="end"/>
      </w:r>
    </w:p>
    <w:p>
      <w:pPr>
        <w:pStyle w:val="25"/>
        <w:tabs>
          <w:tab w:val="right" w:leader="dot" w:pos="9060"/>
        </w:tabs>
        <w:ind w:left="840"/>
        <w:rPr>
          <w:rFonts w:ascii="宋体" w:hAnsi="宋体"/>
          <w:color w:val="auto"/>
          <w:sz w:val="21"/>
          <w:szCs w:val="22"/>
          <w:highlight w:val="none"/>
        </w:rPr>
      </w:pPr>
      <w:r>
        <w:rPr>
          <w:rFonts w:ascii="宋体" w:hAnsi="宋体"/>
          <w:color w:val="auto"/>
          <w:highlight w:val="none"/>
        </w:rPr>
        <w:fldChar w:fldCharType="begin"/>
      </w:r>
      <w:r>
        <w:rPr>
          <w:rFonts w:ascii="宋体" w:hAnsi="宋体"/>
          <w:color w:val="auto"/>
          <w:highlight w:val="none"/>
        </w:rPr>
        <w:instrText xml:space="preserve">HYPERLINK \l "_Toc21525497"</w:instrText>
      </w:r>
      <w:r>
        <w:rPr>
          <w:rFonts w:ascii="宋体" w:hAnsi="宋体"/>
          <w:color w:val="auto"/>
          <w:highlight w:val="none"/>
        </w:rPr>
        <w:fldChar w:fldCharType="separate"/>
      </w:r>
      <w:r>
        <w:rPr>
          <w:rStyle w:val="57"/>
          <w:rFonts w:ascii="宋体" w:hAnsi="宋体"/>
          <w:color w:val="auto"/>
          <w:highlight w:val="none"/>
        </w:rPr>
        <w:t>（五）开标、评标、定标及合同签定</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_Toc21525497 \h </w:instrText>
      </w:r>
      <w:r>
        <w:rPr>
          <w:rFonts w:ascii="宋体" w:hAnsi="宋体"/>
          <w:color w:val="auto"/>
          <w:highlight w:val="none"/>
        </w:rPr>
        <w:fldChar w:fldCharType="separate"/>
      </w:r>
      <w:r>
        <w:rPr>
          <w:rFonts w:ascii="宋体" w:hAnsi="宋体"/>
          <w:color w:val="auto"/>
          <w:highlight w:val="none"/>
        </w:rPr>
        <w:t>38</w:t>
      </w:r>
      <w:r>
        <w:rPr>
          <w:rFonts w:ascii="宋体" w:hAnsi="宋体"/>
          <w:color w:val="auto"/>
          <w:highlight w:val="none"/>
        </w:rPr>
        <w:fldChar w:fldCharType="end"/>
      </w:r>
      <w:r>
        <w:rPr>
          <w:rFonts w:ascii="宋体" w:hAnsi="宋体"/>
          <w:color w:val="auto"/>
          <w:highlight w:val="none"/>
        </w:rPr>
        <w:fldChar w:fldCharType="end"/>
      </w:r>
    </w:p>
    <w:p>
      <w:pPr>
        <w:pStyle w:val="34"/>
        <w:rPr>
          <w:caps w:val="0"/>
          <w:color w:val="auto"/>
          <w:kern w:val="2"/>
          <w:sz w:val="21"/>
          <w:szCs w:val="22"/>
          <w:highlight w:val="none"/>
        </w:rPr>
      </w:pPr>
      <w:r>
        <w:rPr>
          <w:color w:val="auto"/>
          <w:highlight w:val="none"/>
        </w:rPr>
        <w:fldChar w:fldCharType="begin"/>
      </w:r>
      <w:r>
        <w:rPr>
          <w:color w:val="auto"/>
          <w:highlight w:val="none"/>
        </w:rPr>
        <w:instrText xml:space="preserve">HYPERLINK \l "_Toc21525498"</w:instrText>
      </w:r>
      <w:r>
        <w:rPr>
          <w:color w:val="auto"/>
          <w:highlight w:val="none"/>
        </w:rPr>
        <w:fldChar w:fldCharType="separate"/>
      </w:r>
      <w:r>
        <w:rPr>
          <w:rStyle w:val="57"/>
          <w:color w:val="auto"/>
          <w:highlight w:val="none"/>
        </w:rPr>
        <w:t>第二章  开标、评标及定标办法</w:t>
      </w:r>
      <w:r>
        <w:rPr>
          <w:color w:val="auto"/>
          <w:highlight w:val="none"/>
        </w:rPr>
        <w:tab/>
      </w:r>
      <w:r>
        <w:rPr>
          <w:color w:val="auto"/>
          <w:highlight w:val="none"/>
        </w:rPr>
        <w:fldChar w:fldCharType="begin"/>
      </w:r>
      <w:r>
        <w:rPr>
          <w:color w:val="auto"/>
          <w:highlight w:val="none"/>
        </w:rPr>
        <w:instrText xml:space="preserve"> PAGEREF _Toc21525498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42"/>
        <w:rPr>
          <w:rFonts w:ascii="宋体" w:hAnsi="宋体"/>
          <w:color w:val="auto"/>
          <w:sz w:val="21"/>
          <w:szCs w:val="22"/>
          <w:highlight w:val="none"/>
        </w:rPr>
      </w:pPr>
      <w:r>
        <w:rPr>
          <w:rFonts w:ascii="宋体" w:hAnsi="宋体"/>
          <w:color w:val="auto"/>
          <w:highlight w:val="none"/>
        </w:rPr>
        <w:fldChar w:fldCharType="begin"/>
      </w:r>
      <w:r>
        <w:rPr>
          <w:rFonts w:ascii="宋体" w:hAnsi="宋体"/>
          <w:color w:val="auto"/>
          <w:highlight w:val="none"/>
        </w:rPr>
        <w:instrText xml:space="preserve">HYPERLINK \l "_Toc21525499"</w:instrText>
      </w:r>
      <w:r>
        <w:rPr>
          <w:rFonts w:ascii="宋体" w:hAnsi="宋体"/>
          <w:color w:val="auto"/>
          <w:highlight w:val="none"/>
        </w:rPr>
        <w:fldChar w:fldCharType="separate"/>
      </w:r>
      <w:r>
        <w:rPr>
          <w:rStyle w:val="57"/>
          <w:rFonts w:ascii="宋体" w:hAnsi="宋体"/>
          <w:color w:val="auto"/>
          <w:highlight w:val="none"/>
        </w:rPr>
        <w:t>一、开标、评标及定标办法修改表</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_Toc21525499 \h </w:instrText>
      </w:r>
      <w:r>
        <w:rPr>
          <w:rFonts w:ascii="宋体" w:hAnsi="宋体"/>
          <w:color w:val="auto"/>
          <w:highlight w:val="none"/>
        </w:rPr>
        <w:fldChar w:fldCharType="separate"/>
      </w:r>
      <w:r>
        <w:rPr>
          <w:rFonts w:ascii="宋体" w:hAnsi="宋体"/>
          <w:color w:val="auto"/>
          <w:highlight w:val="none"/>
        </w:rPr>
        <w:t>41</w:t>
      </w:r>
      <w:r>
        <w:rPr>
          <w:rFonts w:ascii="宋体" w:hAnsi="宋体"/>
          <w:color w:val="auto"/>
          <w:highlight w:val="none"/>
        </w:rPr>
        <w:fldChar w:fldCharType="end"/>
      </w:r>
      <w:r>
        <w:rPr>
          <w:rFonts w:ascii="宋体" w:hAnsi="宋体"/>
          <w:color w:val="auto"/>
          <w:highlight w:val="none"/>
        </w:rPr>
        <w:fldChar w:fldCharType="end"/>
      </w:r>
    </w:p>
    <w:p>
      <w:pPr>
        <w:pStyle w:val="42"/>
        <w:rPr>
          <w:rFonts w:ascii="宋体" w:hAnsi="宋体"/>
          <w:color w:val="auto"/>
          <w:sz w:val="21"/>
          <w:szCs w:val="22"/>
          <w:highlight w:val="none"/>
        </w:rPr>
      </w:pPr>
      <w:r>
        <w:rPr>
          <w:rFonts w:ascii="宋体" w:hAnsi="宋体"/>
          <w:color w:val="auto"/>
          <w:highlight w:val="none"/>
        </w:rPr>
        <w:fldChar w:fldCharType="begin"/>
      </w:r>
      <w:r>
        <w:rPr>
          <w:rFonts w:ascii="宋体" w:hAnsi="宋体"/>
          <w:color w:val="auto"/>
          <w:highlight w:val="none"/>
        </w:rPr>
        <w:instrText xml:space="preserve">HYPERLINK \l "_Toc21525500"</w:instrText>
      </w:r>
      <w:r>
        <w:rPr>
          <w:rFonts w:ascii="宋体" w:hAnsi="宋体"/>
          <w:color w:val="auto"/>
          <w:highlight w:val="none"/>
        </w:rPr>
        <w:fldChar w:fldCharType="separate"/>
      </w:r>
      <w:r>
        <w:rPr>
          <w:rStyle w:val="57"/>
          <w:rFonts w:ascii="宋体" w:hAnsi="宋体"/>
          <w:color w:val="auto"/>
          <w:highlight w:val="none"/>
        </w:rPr>
        <w:t>二、开标、评标及定标办法通用条款</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_Toc21525500 \h </w:instrText>
      </w:r>
      <w:r>
        <w:rPr>
          <w:rFonts w:ascii="宋体" w:hAnsi="宋体"/>
          <w:color w:val="auto"/>
          <w:highlight w:val="none"/>
        </w:rPr>
        <w:fldChar w:fldCharType="separate"/>
      </w:r>
      <w:r>
        <w:rPr>
          <w:rFonts w:ascii="宋体" w:hAnsi="宋体"/>
          <w:color w:val="auto"/>
          <w:highlight w:val="none"/>
        </w:rPr>
        <w:t>48</w:t>
      </w:r>
      <w:r>
        <w:rPr>
          <w:rFonts w:ascii="宋体" w:hAnsi="宋体"/>
          <w:color w:val="auto"/>
          <w:highlight w:val="none"/>
        </w:rPr>
        <w:fldChar w:fldCharType="end"/>
      </w:r>
      <w:r>
        <w:rPr>
          <w:rFonts w:ascii="宋体" w:hAnsi="宋体"/>
          <w:color w:val="auto"/>
          <w:highlight w:val="none"/>
        </w:rPr>
        <w:fldChar w:fldCharType="end"/>
      </w:r>
    </w:p>
    <w:p>
      <w:pPr>
        <w:pStyle w:val="25"/>
        <w:tabs>
          <w:tab w:val="right" w:leader="dot" w:pos="9060"/>
        </w:tabs>
        <w:ind w:left="840"/>
        <w:rPr>
          <w:rFonts w:ascii="宋体" w:hAnsi="宋体"/>
          <w:color w:val="auto"/>
          <w:sz w:val="21"/>
          <w:szCs w:val="22"/>
          <w:highlight w:val="none"/>
        </w:rPr>
      </w:pPr>
      <w:r>
        <w:rPr>
          <w:rFonts w:ascii="宋体" w:hAnsi="宋体"/>
          <w:color w:val="auto"/>
          <w:highlight w:val="none"/>
        </w:rPr>
        <w:fldChar w:fldCharType="begin"/>
      </w:r>
      <w:r>
        <w:rPr>
          <w:rFonts w:ascii="宋体" w:hAnsi="宋体"/>
          <w:color w:val="auto"/>
          <w:highlight w:val="none"/>
        </w:rPr>
        <w:instrText xml:space="preserve">HYPERLINK \l "_Toc21525501"</w:instrText>
      </w:r>
      <w:r>
        <w:rPr>
          <w:rFonts w:ascii="宋体" w:hAnsi="宋体"/>
          <w:color w:val="auto"/>
          <w:highlight w:val="none"/>
        </w:rPr>
        <w:fldChar w:fldCharType="separate"/>
      </w:r>
      <w:r>
        <w:rPr>
          <w:rStyle w:val="57"/>
          <w:rFonts w:ascii="宋体" w:hAnsi="宋体"/>
          <w:color w:val="auto"/>
          <w:highlight w:val="none"/>
        </w:rPr>
        <w:t>（一）总则</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_Toc21525501 \h </w:instrText>
      </w:r>
      <w:r>
        <w:rPr>
          <w:rFonts w:ascii="宋体" w:hAnsi="宋体"/>
          <w:color w:val="auto"/>
          <w:highlight w:val="none"/>
        </w:rPr>
        <w:fldChar w:fldCharType="separate"/>
      </w:r>
      <w:r>
        <w:rPr>
          <w:rFonts w:ascii="宋体" w:hAnsi="宋体"/>
          <w:color w:val="auto"/>
          <w:highlight w:val="none"/>
        </w:rPr>
        <w:t>48</w:t>
      </w:r>
      <w:r>
        <w:rPr>
          <w:rFonts w:ascii="宋体" w:hAnsi="宋体"/>
          <w:color w:val="auto"/>
          <w:highlight w:val="none"/>
        </w:rPr>
        <w:fldChar w:fldCharType="end"/>
      </w:r>
      <w:r>
        <w:rPr>
          <w:rFonts w:ascii="宋体" w:hAnsi="宋体"/>
          <w:color w:val="auto"/>
          <w:highlight w:val="none"/>
        </w:rPr>
        <w:fldChar w:fldCharType="end"/>
      </w:r>
    </w:p>
    <w:p>
      <w:pPr>
        <w:pStyle w:val="25"/>
        <w:tabs>
          <w:tab w:val="right" w:leader="dot" w:pos="9060"/>
        </w:tabs>
        <w:ind w:left="840"/>
        <w:rPr>
          <w:rFonts w:ascii="宋体" w:hAnsi="宋体"/>
          <w:color w:val="auto"/>
          <w:sz w:val="21"/>
          <w:szCs w:val="22"/>
          <w:highlight w:val="none"/>
        </w:rPr>
      </w:pPr>
      <w:r>
        <w:rPr>
          <w:rFonts w:ascii="宋体" w:hAnsi="宋体"/>
          <w:color w:val="auto"/>
          <w:highlight w:val="none"/>
        </w:rPr>
        <w:fldChar w:fldCharType="begin"/>
      </w:r>
      <w:r>
        <w:rPr>
          <w:rFonts w:ascii="宋体" w:hAnsi="宋体"/>
          <w:color w:val="auto"/>
          <w:highlight w:val="none"/>
        </w:rPr>
        <w:instrText xml:space="preserve">HYPERLINK \l "_Toc21525502"</w:instrText>
      </w:r>
      <w:r>
        <w:rPr>
          <w:rFonts w:ascii="宋体" w:hAnsi="宋体"/>
          <w:color w:val="auto"/>
          <w:highlight w:val="none"/>
        </w:rPr>
        <w:fldChar w:fldCharType="separate"/>
      </w:r>
      <w:r>
        <w:rPr>
          <w:rStyle w:val="57"/>
          <w:rFonts w:ascii="宋体" w:hAnsi="宋体"/>
          <w:color w:val="auto"/>
          <w:highlight w:val="none"/>
        </w:rPr>
        <w:t>（二）开标评标办法程序和细则</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_Toc21525502 \h </w:instrText>
      </w:r>
      <w:r>
        <w:rPr>
          <w:rFonts w:ascii="宋体" w:hAnsi="宋体"/>
          <w:color w:val="auto"/>
          <w:highlight w:val="none"/>
        </w:rPr>
        <w:fldChar w:fldCharType="separate"/>
      </w:r>
      <w:r>
        <w:rPr>
          <w:rFonts w:ascii="宋体" w:hAnsi="宋体"/>
          <w:color w:val="auto"/>
          <w:highlight w:val="none"/>
        </w:rPr>
        <w:t>50</w:t>
      </w:r>
      <w:r>
        <w:rPr>
          <w:rFonts w:ascii="宋体" w:hAnsi="宋体"/>
          <w:color w:val="auto"/>
          <w:highlight w:val="none"/>
        </w:rPr>
        <w:fldChar w:fldCharType="end"/>
      </w:r>
      <w:r>
        <w:rPr>
          <w:rFonts w:ascii="宋体" w:hAnsi="宋体"/>
          <w:color w:val="auto"/>
          <w:highlight w:val="none"/>
        </w:rPr>
        <w:fldChar w:fldCharType="end"/>
      </w:r>
    </w:p>
    <w:p>
      <w:pPr>
        <w:pStyle w:val="25"/>
        <w:tabs>
          <w:tab w:val="right" w:leader="dot" w:pos="9060"/>
        </w:tabs>
        <w:ind w:left="840"/>
        <w:rPr>
          <w:rFonts w:ascii="宋体" w:hAnsi="宋体"/>
          <w:color w:val="auto"/>
          <w:sz w:val="21"/>
          <w:szCs w:val="22"/>
          <w:highlight w:val="none"/>
        </w:rPr>
      </w:pPr>
      <w:r>
        <w:rPr>
          <w:rFonts w:hint="eastAsia" w:ascii="宋体" w:hAnsi="宋体"/>
          <w:color w:val="auto"/>
          <w:highlight w:val="none"/>
        </w:rPr>
        <w:t>可选办法七（适合</w:t>
      </w:r>
      <w:r>
        <w:rPr>
          <w:rFonts w:ascii="宋体" w:hAnsi="宋体"/>
          <w:color w:val="auto"/>
          <w:highlight w:val="none"/>
        </w:rPr>
        <w:fldChar w:fldCharType="begin"/>
      </w:r>
      <w:r>
        <w:rPr>
          <w:rFonts w:ascii="宋体" w:hAnsi="宋体"/>
          <w:color w:val="auto"/>
          <w:highlight w:val="none"/>
        </w:rPr>
        <w:instrText xml:space="preserve">HYPERLINK \l "_Toc21525508"</w:instrText>
      </w:r>
      <w:r>
        <w:rPr>
          <w:rFonts w:ascii="宋体" w:hAnsi="宋体"/>
          <w:color w:val="auto"/>
          <w:highlight w:val="none"/>
        </w:rPr>
        <w:fldChar w:fldCharType="separate"/>
      </w:r>
      <w:r>
        <w:rPr>
          <w:rFonts w:hint="eastAsia" w:ascii="宋体" w:hAnsi="宋体"/>
          <w:color w:val="auto"/>
          <w:highlight w:val="none"/>
        </w:rPr>
        <w:t>综合评分法</w:t>
      </w:r>
      <w:bookmarkStart w:id="0" w:name="_Hlt99007026"/>
      <w:bookmarkStart w:id="1" w:name="_Hlt99007141"/>
      <w:bookmarkStart w:id="2" w:name="_Hlt99007062"/>
      <w:bookmarkStart w:id="3" w:name="_Hlt99007165"/>
      <w:bookmarkStart w:id="4" w:name="_Hlt99007077"/>
      <w:bookmarkStart w:id="5" w:name="_Hlt99007047"/>
      <w:bookmarkStart w:id="6" w:name="_Hlt99007036"/>
      <w:r>
        <w:rPr>
          <w:rFonts w:hint="eastAsia" w:ascii="宋体" w:hAnsi="宋体"/>
          <w:color w:val="auto"/>
          <w:highlight w:val="none"/>
        </w:rPr>
        <w:t>四，技术标与经济标同时开启）</w:t>
      </w:r>
      <w:r>
        <w:rPr>
          <w:rFonts w:ascii="宋体" w:hAnsi="宋体"/>
          <w:color w:val="auto"/>
          <w:highlight w:val="none"/>
        </w:rPr>
        <w:tab/>
      </w:r>
      <w:bookmarkEnd w:id="0"/>
      <w:bookmarkEnd w:id="1"/>
      <w:bookmarkEnd w:id="2"/>
      <w:bookmarkEnd w:id="3"/>
      <w:bookmarkEnd w:id="4"/>
      <w:bookmarkEnd w:id="5"/>
      <w:bookmarkEnd w:id="6"/>
      <w:bookmarkStart w:id="7" w:name="_Hlt99007014"/>
      <w:r>
        <w:rPr>
          <w:rFonts w:ascii="宋体" w:hAnsi="宋体"/>
          <w:color w:val="auto"/>
          <w:highlight w:val="none"/>
        </w:rPr>
        <w:fldChar w:fldCharType="begin"/>
      </w:r>
      <w:r>
        <w:rPr>
          <w:rFonts w:ascii="宋体" w:hAnsi="宋体"/>
          <w:color w:val="auto"/>
          <w:highlight w:val="none"/>
        </w:rPr>
        <w:instrText xml:space="preserve"> PAGEREF _Toc21525508 \h </w:instrText>
      </w:r>
      <w:r>
        <w:rPr>
          <w:rFonts w:ascii="宋体" w:hAnsi="宋体"/>
          <w:color w:val="auto"/>
          <w:highlight w:val="none"/>
        </w:rPr>
        <w:fldChar w:fldCharType="separate"/>
      </w:r>
      <w:r>
        <w:rPr>
          <w:rFonts w:ascii="宋体" w:hAnsi="宋体"/>
          <w:color w:val="auto"/>
          <w:highlight w:val="none"/>
        </w:rPr>
        <w:t>51</w:t>
      </w:r>
      <w:r>
        <w:rPr>
          <w:rFonts w:ascii="宋体" w:hAnsi="宋体"/>
          <w:color w:val="auto"/>
          <w:highlight w:val="none"/>
        </w:rPr>
        <w:fldChar w:fldCharType="end"/>
      </w:r>
      <w:bookmarkEnd w:id="7"/>
      <w:r>
        <w:rPr>
          <w:rFonts w:ascii="宋体" w:hAnsi="宋体"/>
          <w:color w:val="auto"/>
          <w:highlight w:val="none"/>
        </w:rPr>
        <w:fldChar w:fldCharType="end"/>
      </w:r>
    </w:p>
    <w:p>
      <w:pPr>
        <w:pStyle w:val="34"/>
        <w:rPr>
          <w:caps w:val="0"/>
          <w:color w:val="auto"/>
          <w:kern w:val="2"/>
          <w:sz w:val="21"/>
          <w:szCs w:val="22"/>
          <w:highlight w:val="none"/>
        </w:rPr>
      </w:pPr>
      <w:r>
        <w:rPr>
          <w:color w:val="auto"/>
          <w:highlight w:val="none"/>
        </w:rPr>
        <w:fldChar w:fldCharType="begin"/>
      </w:r>
      <w:r>
        <w:rPr>
          <w:color w:val="auto"/>
          <w:highlight w:val="none"/>
        </w:rPr>
        <w:instrText xml:space="preserve">HYPERLINK \l "_Toc21525511"</w:instrText>
      </w:r>
      <w:r>
        <w:rPr>
          <w:color w:val="auto"/>
          <w:highlight w:val="none"/>
        </w:rPr>
        <w:fldChar w:fldCharType="separate"/>
      </w:r>
      <w:r>
        <w:rPr>
          <w:rStyle w:val="57"/>
          <w:color w:val="auto"/>
          <w:highlight w:val="none"/>
        </w:rPr>
        <w:t>第三章  合同条款</w:t>
      </w:r>
      <w:r>
        <w:rPr>
          <w:color w:val="auto"/>
          <w:highlight w:val="none"/>
        </w:rPr>
        <w:tab/>
      </w:r>
      <w:r>
        <w:rPr>
          <w:color w:val="auto"/>
          <w:highlight w:val="none"/>
        </w:rPr>
        <w:fldChar w:fldCharType="begin"/>
      </w:r>
      <w:r>
        <w:rPr>
          <w:color w:val="auto"/>
          <w:highlight w:val="none"/>
        </w:rPr>
        <w:instrText xml:space="preserve"> PAGEREF _Toc21525511 \h </w:instrText>
      </w:r>
      <w:r>
        <w:rPr>
          <w:color w:val="auto"/>
          <w:highlight w:val="none"/>
        </w:rPr>
        <w:fldChar w:fldCharType="separate"/>
      </w:r>
      <w:r>
        <w:rPr>
          <w:color w:val="auto"/>
          <w:highlight w:val="none"/>
        </w:rPr>
        <w:t>66</w:t>
      </w:r>
      <w:r>
        <w:rPr>
          <w:color w:val="auto"/>
          <w:highlight w:val="none"/>
        </w:rPr>
        <w:fldChar w:fldCharType="end"/>
      </w:r>
      <w:r>
        <w:rPr>
          <w:color w:val="auto"/>
          <w:highlight w:val="none"/>
        </w:rPr>
        <w:fldChar w:fldCharType="end"/>
      </w:r>
    </w:p>
    <w:p>
      <w:pPr>
        <w:pStyle w:val="34"/>
        <w:rPr>
          <w:caps w:val="0"/>
          <w:color w:val="auto"/>
          <w:kern w:val="2"/>
          <w:sz w:val="21"/>
          <w:szCs w:val="22"/>
          <w:highlight w:val="none"/>
        </w:rPr>
      </w:pPr>
      <w:r>
        <w:rPr>
          <w:color w:val="auto"/>
          <w:highlight w:val="none"/>
        </w:rPr>
        <w:fldChar w:fldCharType="begin"/>
      </w:r>
      <w:r>
        <w:rPr>
          <w:color w:val="auto"/>
          <w:highlight w:val="none"/>
        </w:rPr>
        <w:instrText xml:space="preserve">HYPERLINK \l "_Toc21525512"</w:instrText>
      </w:r>
      <w:r>
        <w:rPr>
          <w:color w:val="auto"/>
          <w:highlight w:val="none"/>
        </w:rPr>
        <w:fldChar w:fldCharType="separate"/>
      </w:r>
      <w:r>
        <w:rPr>
          <w:rStyle w:val="57"/>
          <w:color w:val="auto"/>
          <w:highlight w:val="none"/>
        </w:rPr>
        <w:t>第四章  投标文件格式</w:t>
      </w:r>
      <w:r>
        <w:rPr>
          <w:color w:val="auto"/>
          <w:highlight w:val="none"/>
        </w:rPr>
        <w:tab/>
      </w:r>
      <w:r>
        <w:rPr>
          <w:color w:val="auto"/>
          <w:highlight w:val="none"/>
        </w:rPr>
        <w:fldChar w:fldCharType="begin"/>
      </w:r>
      <w:r>
        <w:rPr>
          <w:color w:val="auto"/>
          <w:highlight w:val="none"/>
        </w:rPr>
        <w:instrText xml:space="preserve"> PAGEREF _Toc21525512 \h </w:instrText>
      </w:r>
      <w:r>
        <w:rPr>
          <w:color w:val="auto"/>
          <w:highlight w:val="none"/>
        </w:rPr>
        <w:fldChar w:fldCharType="separate"/>
      </w:r>
      <w:r>
        <w:rPr>
          <w:color w:val="auto"/>
          <w:highlight w:val="none"/>
        </w:rPr>
        <w:t>127</w:t>
      </w:r>
      <w:r>
        <w:rPr>
          <w:color w:val="auto"/>
          <w:highlight w:val="none"/>
        </w:rPr>
        <w:fldChar w:fldCharType="end"/>
      </w:r>
      <w:r>
        <w:rPr>
          <w:color w:val="auto"/>
          <w:highlight w:val="none"/>
        </w:rPr>
        <w:fldChar w:fldCharType="end"/>
      </w:r>
    </w:p>
    <w:p>
      <w:pPr>
        <w:pStyle w:val="34"/>
        <w:rPr>
          <w:rFonts w:ascii="等线" w:hAnsi="等线" w:eastAsia="等线"/>
          <w:caps w:val="0"/>
          <w:color w:val="auto"/>
          <w:kern w:val="2"/>
          <w:sz w:val="21"/>
          <w:szCs w:val="22"/>
          <w:highlight w:val="none"/>
        </w:rPr>
      </w:pPr>
      <w:r>
        <w:rPr>
          <w:color w:val="auto"/>
          <w:highlight w:val="none"/>
        </w:rPr>
        <w:fldChar w:fldCharType="begin"/>
      </w:r>
      <w:r>
        <w:rPr>
          <w:color w:val="auto"/>
          <w:highlight w:val="none"/>
        </w:rPr>
        <w:instrText xml:space="preserve">HYPERLINK \l "_Toc21525513"</w:instrText>
      </w:r>
      <w:r>
        <w:rPr>
          <w:color w:val="auto"/>
          <w:highlight w:val="none"/>
        </w:rPr>
        <w:fldChar w:fldCharType="separate"/>
      </w:r>
      <w:r>
        <w:rPr>
          <w:rStyle w:val="57"/>
          <w:color w:val="auto"/>
          <w:highlight w:val="none"/>
        </w:rPr>
        <w:t>第五章  技术条件（工程建设标准）</w:t>
      </w:r>
      <w:r>
        <w:rPr>
          <w:color w:val="auto"/>
          <w:highlight w:val="none"/>
        </w:rPr>
        <w:tab/>
      </w:r>
      <w:r>
        <w:rPr>
          <w:color w:val="auto"/>
          <w:highlight w:val="none"/>
        </w:rPr>
        <w:fldChar w:fldCharType="begin"/>
      </w:r>
      <w:r>
        <w:rPr>
          <w:color w:val="auto"/>
          <w:highlight w:val="none"/>
        </w:rPr>
        <w:instrText xml:space="preserve"> PAGEREF _Toc21525513 \h </w:instrText>
      </w:r>
      <w:r>
        <w:rPr>
          <w:color w:val="auto"/>
          <w:highlight w:val="none"/>
        </w:rPr>
        <w:fldChar w:fldCharType="separate"/>
      </w:r>
      <w:r>
        <w:rPr>
          <w:color w:val="auto"/>
          <w:highlight w:val="none"/>
        </w:rPr>
        <w:t>149</w:t>
      </w:r>
      <w:r>
        <w:rPr>
          <w:color w:val="auto"/>
          <w:highlight w:val="none"/>
        </w:rPr>
        <w:fldChar w:fldCharType="end"/>
      </w:r>
      <w:r>
        <w:rPr>
          <w:color w:val="auto"/>
          <w:highlight w:val="none"/>
        </w:rPr>
        <w:fldChar w:fldCharType="end"/>
      </w:r>
    </w:p>
    <w:p>
      <w:pPr>
        <w:pStyle w:val="34"/>
        <w:rPr>
          <w:rFonts w:ascii="等线" w:hAnsi="等线" w:eastAsia="等线"/>
          <w:caps w:val="0"/>
          <w:color w:val="auto"/>
          <w:kern w:val="2"/>
          <w:sz w:val="21"/>
          <w:szCs w:val="22"/>
          <w:highlight w:val="none"/>
        </w:rPr>
      </w:pPr>
      <w:r>
        <w:rPr>
          <w:color w:val="auto"/>
          <w:highlight w:val="none"/>
        </w:rPr>
        <w:fldChar w:fldCharType="begin"/>
      </w:r>
      <w:r>
        <w:rPr>
          <w:color w:val="auto"/>
          <w:highlight w:val="none"/>
        </w:rPr>
        <w:instrText xml:space="preserve">HYPERLINK \l "_Toc21525514"</w:instrText>
      </w:r>
      <w:r>
        <w:rPr>
          <w:color w:val="auto"/>
          <w:highlight w:val="none"/>
        </w:rPr>
        <w:fldChar w:fldCharType="separate"/>
      </w:r>
      <w:r>
        <w:rPr>
          <w:rStyle w:val="57"/>
          <w:color w:val="auto"/>
          <w:highlight w:val="none"/>
        </w:rPr>
        <w:t>第六章  图纸及勘察资料</w:t>
      </w:r>
      <w:r>
        <w:rPr>
          <w:color w:val="auto"/>
          <w:highlight w:val="none"/>
        </w:rPr>
        <w:tab/>
      </w:r>
      <w:r>
        <w:rPr>
          <w:color w:val="auto"/>
          <w:highlight w:val="none"/>
        </w:rPr>
        <w:fldChar w:fldCharType="begin"/>
      </w:r>
      <w:r>
        <w:rPr>
          <w:color w:val="auto"/>
          <w:highlight w:val="none"/>
        </w:rPr>
        <w:instrText xml:space="preserve"> PAGEREF _Toc21525514 \h </w:instrText>
      </w:r>
      <w:r>
        <w:rPr>
          <w:color w:val="auto"/>
          <w:highlight w:val="none"/>
        </w:rPr>
        <w:fldChar w:fldCharType="separate"/>
      </w:r>
      <w:r>
        <w:rPr>
          <w:color w:val="auto"/>
          <w:highlight w:val="none"/>
        </w:rPr>
        <w:t>152</w:t>
      </w:r>
      <w:r>
        <w:rPr>
          <w:color w:val="auto"/>
          <w:highlight w:val="none"/>
        </w:rPr>
        <w:fldChar w:fldCharType="end"/>
      </w:r>
      <w:r>
        <w:rPr>
          <w:color w:val="auto"/>
          <w:highlight w:val="none"/>
        </w:rPr>
        <w:fldChar w:fldCharType="end"/>
      </w:r>
    </w:p>
    <w:p>
      <w:pPr>
        <w:pStyle w:val="34"/>
        <w:rPr>
          <w:rFonts w:ascii="等线" w:hAnsi="等线" w:eastAsia="等线"/>
          <w:caps w:val="0"/>
          <w:color w:val="auto"/>
          <w:kern w:val="2"/>
          <w:sz w:val="21"/>
          <w:szCs w:val="22"/>
          <w:highlight w:val="none"/>
        </w:rPr>
      </w:pPr>
      <w:r>
        <w:rPr>
          <w:color w:val="auto"/>
          <w:highlight w:val="none"/>
        </w:rPr>
        <w:fldChar w:fldCharType="begin"/>
      </w:r>
      <w:r>
        <w:rPr>
          <w:color w:val="auto"/>
          <w:highlight w:val="none"/>
        </w:rPr>
        <w:instrText xml:space="preserve">HYPERLINK \l "_Toc21525515"</w:instrText>
      </w:r>
      <w:r>
        <w:rPr>
          <w:color w:val="auto"/>
          <w:highlight w:val="none"/>
        </w:rPr>
        <w:fldChar w:fldCharType="separate"/>
      </w:r>
      <w:r>
        <w:rPr>
          <w:rStyle w:val="57"/>
          <w:color w:val="auto"/>
          <w:highlight w:val="none"/>
        </w:rPr>
        <w:t>第七章  工程量清单</w:t>
      </w:r>
      <w:r>
        <w:rPr>
          <w:color w:val="auto"/>
          <w:highlight w:val="none"/>
        </w:rPr>
        <w:tab/>
      </w:r>
      <w:r>
        <w:rPr>
          <w:color w:val="auto"/>
          <w:highlight w:val="none"/>
        </w:rPr>
        <w:fldChar w:fldCharType="begin"/>
      </w:r>
      <w:r>
        <w:rPr>
          <w:color w:val="auto"/>
          <w:highlight w:val="none"/>
        </w:rPr>
        <w:instrText xml:space="preserve"> PAGEREF _Toc21525515 \h </w:instrText>
      </w:r>
      <w:r>
        <w:rPr>
          <w:color w:val="auto"/>
          <w:highlight w:val="none"/>
        </w:rPr>
        <w:fldChar w:fldCharType="separate"/>
      </w:r>
      <w:r>
        <w:rPr>
          <w:color w:val="auto"/>
          <w:highlight w:val="none"/>
        </w:rPr>
        <w:t>153</w:t>
      </w:r>
      <w:r>
        <w:rPr>
          <w:color w:val="auto"/>
          <w:highlight w:val="none"/>
        </w:rPr>
        <w:fldChar w:fldCharType="end"/>
      </w:r>
      <w:r>
        <w:rPr>
          <w:color w:val="auto"/>
          <w:highlight w:val="none"/>
        </w:rPr>
        <w:fldChar w:fldCharType="end"/>
      </w:r>
    </w:p>
    <w:p>
      <w:pPr>
        <w:pStyle w:val="34"/>
        <w:rPr>
          <w:color w:val="auto"/>
          <w:highlight w:val="none"/>
        </w:rPr>
      </w:pPr>
      <w:r>
        <w:rPr>
          <w:color w:val="auto"/>
          <w:highlight w:val="none"/>
        </w:rPr>
        <w:fldChar w:fldCharType="begin"/>
      </w:r>
      <w:r>
        <w:rPr>
          <w:color w:val="auto"/>
          <w:highlight w:val="none"/>
        </w:rPr>
        <w:instrText xml:space="preserve">HYPERLINK \l "_Toc21525516"</w:instrText>
      </w:r>
      <w:r>
        <w:rPr>
          <w:color w:val="auto"/>
          <w:highlight w:val="none"/>
        </w:rPr>
        <w:fldChar w:fldCharType="separate"/>
      </w:r>
      <w:r>
        <w:rPr>
          <w:rStyle w:val="57"/>
          <w:color w:val="auto"/>
          <w:highlight w:val="none"/>
        </w:rPr>
        <w:t>第八章  最高投标限价</w:t>
      </w:r>
      <w:r>
        <w:rPr>
          <w:color w:val="auto"/>
          <w:highlight w:val="none"/>
        </w:rPr>
        <w:tab/>
      </w:r>
      <w:r>
        <w:rPr>
          <w:color w:val="auto"/>
          <w:highlight w:val="none"/>
        </w:rPr>
        <w:fldChar w:fldCharType="begin"/>
      </w:r>
      <w:r>
        <w:rPr>
          <w:color w:val="auto"/>
          <w:highlight w:val="none"/>
        </w:rPr>
        <w:instrText xml:space="preserve"> PAGEREF _Toc21525516 \h </w:instrText>
      </w:r>
      <w:r>
        <w:rPr>
          <w:color w:val="auto"/>
          <w:highlight w:val="none"/>
        </w:rPr>
        <w:fldChar w:fldCharType="separate"/>
      </w:r>
      <w:r>
        <w:rPr>
          <w:color w:val="auto"/>
          <w:highlight w:val="none"/>
        </w:rPr>
        <w:t>154</w:t>
      </w:r>
      <w:r>
        <w:rPr>
          <w:color w:val="auto"/>
          <w:highlight w:val="none"/>
        </w:rPr>
        <w:fldChar w:fldCharType="end"/>
      </w:r>
      <w:r>
        <w:rPr>
          <w:color w:val="auto"/>
          <w:highlight w:val="none"/>
        </w:rPr>
        <w:fldChar w:fldCharType="end"/>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color w:val="auto"/>
          <w:highlight w:val="none"/>
        </w:rPr>
      </w:pPr>
    </w:p>
    <w:p>
      <w:pPr>
        <w:rPr>
          <w:rFonts w:ascii="等线" w:hAnsi="等线" w:eastAsia="等线"/>
          <w:color w:val="auto"/>
          <w:highlight w:val="none"/>
        </w:rPr>
      </w:pPr>
      <w:r>
        <w:rPr>
          <w:color w:val="auto"/>
          <w:highlight w:val="none"/>
        </w:rPr>
        <w:br w:type="page"/>
      </w:r>
    </w:p>
    <w:p>
      <w:pPr>
        <w:pStyle w:val="3"/>
        <w:rPr>
          <w:color w:val="auto"/>
          <w:highlight w:val="none"/>
        </w:rPr>
      </w:pPr>
      <w:r>
        <w:rPr>
          <w:color w:val="auto"/>
          <w:highlight w:val="none"/>
        </w:rPr>
        <w:fldChar w:fldCharType="end"/>
      </w:r>
      <w:bookmarkStart w:id="8" w:name="_Toc21525489"/>
      <w:bookmarkStart w:id="9" w:name="_Toc2272545"/>
      <w:r>
        <w:rPr>
          <w:rFonts w:hint="eastAsia"/>
          <w:color w:val="auto"/>
          <w:highlight w:val="none"/>
        </w:rPr>
        <w:t>第一章投标须知</w:t>
      </w:r>
      <w:bookmarkEnd w:id="8"/>
      <w:bookmarkEnd w:id="9"/>
    </w:p>
    <w:p>
      <w:pPr>
        <w:pStyle w:val="6"/>
        <w:rPr>
          <w:color w:val="auto"/>
          <w:highlight w:val="none"/>
        </w:rPr>
      </w:pPr>
      <w:bookmarkStart w:id="10" w:name="_Toc21525490"/>
      <w:bookmarkStart w:id="11" w:name="_Toc2272546"/>
      <w:r>
        <w:rPr>
          <w:rFonts w:hint="eastAsia"/>
          <w:color w:val="auto"/>
          <w:highlight w:val="none"/>
        </w:rPr>
        <w:t>一、投标须知前附表</w:t>
      </w:r>
      <w:bookmarkEnd w:id="10"/>
      <w:bookmarkEnd w:id="11"/>
    </w:p>
    <w:p>
      <w:pPr>
        <w:pStyle w:val="7"/>
        <w:spacing w:line="360" w:lineRule="auto"/>
        <w:ind w:firstLine="0"/>
        <w:rPr>
          <w:rFonts w:ascii="宋体" w:hAnsi="宋体"/>
          <w:b/>
          <w:color w:val="auto"/>
          <w:sz w:val="24"/>
          <w:szCs w:val="24"/>
          <w:highlight w:val="none"/>
        </w:rPr>
      </w:pPr>
      <w:r>
        <w:rPr>
          <w:rFonts w:hint="eastAsia" w:ascii="宋体" w:hAnsi="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48"/>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noWrap w:val="0"/>
            <w:vAlign w:val="center"/>
          </w:tcPr>
          <w:p>
            <w:pPr>
              <w:ind w:firstLine="458"/>
              <w:rPr>
                <w:rFonts w:ascii="宋体" w:hAnsi="宋体"/>
                <w:color w:val="auto"/>
                <w:szCs w:val="21"/>
                <w:highlight w:val="none"/>
              </w:rPr>
            </w:pPr>
            <w:r>
              <w:rPr>
                <w:rFonts w:hint="eastAsia" w:ascii="宋体" w:hAnsi="宋体"/>
                <w:color w:val="auto"/>
                <w:szCs w:val="21"/>
                <w:highlight w:val="none"/>
              </w:rPr>
              <w:t>内容</w:t>
            </w:r>
          </w:p>
        </w:tc>
        <w:tc>
          <w:tcPr>
            <w:tcW w:w="5857" w:type="dxa"/>
            <w:tcBorders>
              <w:top w:val="double" w:color="auto" w:sz="4" w:space="0"/>
              <w:left w:val="single" w:color="auto" w:sz="4" w:space="0"/>
              <w:bottom w:val="single" w:color="auto" w:sz="4" w:space="0"/>
              <w:right w:val="double" w:color="auto" w:sz="4" w:space="0"/>
            </w:tcBorders>
            <w:noWrap w:val="0"/>
            <w:vAlign w:val="center"/>
          </w:tcPr>
          <w:p>
            <w:pPr>
              <w:pStyle w:val="28"/>
              <w:ind w:firstLine="458"/>
              <w:jc w:val="center"/>
              <w:rPr>
                <w:rFonts w:ascii="宋体" w:hAnsi="宋体"/>
                <w:color w:val="auto"/>
                <w:kern w:val="2"/>
                <w:sz w:val="21"/>
                <w:szCs w:val="21"/>
                <w:highlight w:val="none"/>
                <w:lang w:val="en-US" w:eastAsia="zh-CN"/>
              </w:rPr>
            </w:pPr>
            <w:r>
              <w:rPr>
                <w:rFonts w:hint="eastAsia" w:ascii="宋体" w:hAnsi="宋体"/>
                <w:color w:val="auto"/>
                <w:kern w:val="2"/>
                <w:sz w:val="21"/>
                <w:szCs w:val="21"/>
                <w:highlight w:val="none"/>
                <w:lang w:val="en-US" w:eastAsia="zh-CN"/>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定义</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招标人（即发包人）：</w:t>
            </w:r>
            <w:r>
              <w:rPr>
                <w:rFonts w:hint="eastAsia" w:ascii="宋体" w:hAnsi="宋体" w:cs="宋体"/>
                <w:color w:val="auto"/>
                <w:szCs w:val="21"/>
                <w:highlight w:val="none"/>
                <w:u w:val="single"/>
              </w:rPr>
              <w:t>广州开发区财政投资建设项目管理中心</w:t>
            </w:r>
          </w:p>
          <w:p>
            <w:pPr>
              <w:rPr>
                <w:rFonts w:ascii="宋体" w:hAnsi="宋体"/>
                <w:color w:val="auto"/>
                <w:szCs w:val="21"/>
                <w:highlight w:val="none"/>
              </w:rPr>
            </w:pPr>
            <w:r>
              <w:rPr>
                <w:rFonts w:hint="eastAsia" w:ascii="宋体" w:hAnsi="宋体"/>
                <w:color w:val="auto"/>
                <w:szCs w:val="21"/>
                <w:highlight w:val="none"/>
              </w:rPr>
              <w:t>项目建设管理单位：</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p>
          <w:p>
            <w:pPr>
              <w:rPr>
                <w:rFonts w:hint="eastAsia" w:ascii="宋体" w:hAnsi="宋体" w:eastAsia="宋体"/>
                <w:color w:val="auto"/>
                <w:szCs w:val="21"/>
                <w:highlight w:val="none"/>
                <w:lang w:eastAsia="zh-CN"/>
              </w:rPr>
            </w:pPr>
            <w:r>
              <w:rPr>
                <w:rFonts w:hint="eastAsia" w:ascii="宋体" w:hAnsi="宋体"/>
                <w:color w:val="auto"/>
                <w:szCs w:val="21"/>
                <w:highlight w:val="none"/>
              </w:rPr>
              <w:t>招标代理：</w:t>
            </w:r>
            <w:r>
              <w:rPr>
                <w:rFonts w:hint="eastAsia" w:ascii="宋体" w:hAnsi="宋体" w:cs="宋体"/>
                <w:color w:val="auto"/>
                <w:szCs w:val="21"/>
                <w:highlight w:val="none"/>
                <w:u w:val="single"/>
                <w:lang w:eastAsia="zh-CN"/>
              </w:rPr>
              <w:t>广州市见智咨询有限公司</w:t>
            </w:r>
          </w:p>
          <w:p>
            <w:pPr>
              <w:rPr>
                <w:rFonts w:hint="default" w:ascii="宋体" w:hAnsi="宋体" w:eastAsia="宋体"/>
                <w:color w:val="auto"/>
                <w:szCs w:val="21"/>
                <w:highlight w:val="none"/>
                <w:lang w:val="en-US" w:eastAsia="zh-CN"/>
              </w:rPr>
            </w:pPr>
            <w:r>
              <w:rPr>
                <w:rFonts w:hint="eastAsia" w:ascii="宋体" w:hAnsi="宋体"/>
                <w:color w:val="auto"/>
                <w:szCs w:val="21"/>
                <w:highlight w:val="none"/>
              </w:rPr>
              <w:t>设计单位：</w:t>
            </w:r>
            <w:r>
              <w:rPr>
                <w:rFonts w:hint="eastAsia" w:ascii="宋体" w:hAnsi="宋体"/>
                <w:color w:val="auto"/>
                <w:szCs w:val="21"/>
                <w:highlight w:val="none"/>
                <w:u w:val="single"/>
                <w:lang w:val="en-US" w:eastAsia="zh-CN"/>
              </w:rPr>
              <w:t>天津市市政工程设计研究总院有限公司</w:t>
            </w:r>
          </w:p>
          <w:p>
            <w:pPr>
              <w:rPr>
                <w:rFonts w:ascii="宋体" w:hAnsi="宋体"/>
                <w:color w:val="auto"/>
                <w:szCs w:val="21"/>
                <w:highlight w:val="none"/>
                <w:u w:val="single"/>
              </w:rPr>
            </w:pPr>
            <w:r>
              <w:rPr>
                <w:rFonts w:hint="eastAsia" w:ascii="宋体" w:hAnsi="宋体"/>
                <w:color w:val="auto"/>
                <w:szCs w:val="21"/>
                <w:highlight w:val="none"/>
              </w:rPr>
              <w:t>监理单位：</w:t>
            </w:r>
            <w:r>
              <w:rPr>
                <w:rFonts w:hint="eastAsia" w:ascii="宋体" w:hAnsi="宋体" w:cs="宋体"/>
                <w:color w:val="auto"/>
                <w:szCs w:val="21"/>
                <w:highlight w:val="none"/>
                <w:u w:val="single"/>
              </w:rPr>
              <w:t xml:space="preserve">           /             </w:t>
            </w:r>
          </w:p>
          <w:p>
            <w:pPr>
              <w:rPr>
                <w:rFonts w:ascii="宋体" w:hAnsi="宋体"/>
                <w:color w:val="auto"/>
                <w:szCs w:val="21"/>
                <w:highlight w:val="none"/>
              </w:rPr>
            </w:pPr>
            <w:r>
              <w:rPr>
                <w:rFonts w:hint="eastAsia" w:ascii="宋体" w:hAnsi="宋体"/>
                <w:color w:val="auto"/>
                <w:szCs w:val="21"/>
                <w:highlight w:val="none"/>
              </w:rPr>
              <w:t>检测机构：</w:t>
            </w:r>
            <w:r>
              <w:rPr>
                <w:rFonts w:hint="eastAsia" w:ascii="宋体" w:hAnsi="宋体" w:cs="宋体"/>
                <w:color w:val="auto"/>
                <w:szCs w:val="21"/>
                <w:highlight w:val="none"/>
                <w:u w:val="single"/>
              </w:rPr>
              <w:t xml:space="preserve">           /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工程名称</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single"/>
                <w:lang w:eastAsia="zh-CN"/>
              </w:rPr>
              <w:t>刘村新村周边市政道路工程施工总承包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建设地点</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single"/>
                <w:lang w:eastAsia="zh-CN"/>
              </w:rPr>
              <w:t>广州市黄埔区刘村新村周边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建设规模</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autoSpaceDN w:val="0"/>
              <w:rPr>
                <w:rFonts w:ascii="宋体" w:hAnsi="宋体" w:cs="宋体"/>
                <w:color w:val="auto"/>
                <w:szCs w:val="21"/>
                <w:highlight w:val="none"/>
                <w:u w:val="single"/>
              </w:rPr>
            </w:pPr>
            <w:r>
              <w:rPr>
                <w:rFonts w:hint="eastAsia" w:ascii="宋体" w:hAnsi="宋体"/>
                <w:color w:val="auto"/>
                <w:sz w:val="22"/>
                <w:szCs w:val="21"/>
                <w:highlight w:val="none"/>
                <w:u w:val="single"/>
              </w:rPr>
              <w:t>详见本工程招标公告，具体以工程量清单及图纸为准。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承包方式</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包工、包料、包工期、包质量、包安全、包文明施工、包验收、包保修。综合单价包干；</w:t>
            </w:r>
            <w:r>
              <w:rPr>
                <w:rFonts w:hint="eastAsia" w:ascii="宋体" w:hAnsi="宋体"/>
                <w:color w:val="auto"/>
                <w:szCs w:val="21"/>
                <w:highlight w:val="none"/>
                <w:u w:val="single"/>
              </w:rPr>
              <w:t>措施项目费（除施工围蔽费用外）包干，施工围蔽清单综合单价包干，工程量按实计量</w:t>
            </w:r>
            <w:r>
              <w:rPr>
                <w:rFonts w:hint="eastAsia" w:ascii="宋体" w:hAnsi="宋体" w:cs="宋体"/>
                <w:color w:val="auto"/>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质量标准</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工程质量达到国家或行业质量检验评定的合格标准。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招标范围</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按照招标单位提供的全套施工图纸、工程量清单和有关资料及说明的范围内所有内容。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工期要求</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u w:val="single"/>
              </w:rPr>
              <w:t>202</w:t>
            </w:r>
            <w:r>
              <w:rPr>
                <w:rFonts w:ascii="宋体" w:hAnsi="宋体"/>
                <w:color w:val="auto"/>
                <w:szCs w:val="21"/>
                <w:highlight w:val="none"/>
                <w:u w:val="single"/>
              </w:rPr>
              <w:t>3</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日计划开工，施工总期：</w:t>
            </w:r>
            <w:r>
              <w:rPr>
                <w:rFonts w:hint="eastAsia" w:ascii="宋体" w:hAnsi="宋体"/>
                <w:color w:val="auto"/>
                <w:szCs w:val="21"/>
                <w:highlight w:val="none"/>
                <w:u w:val="single"/>
                <w:lang w:val="en-US" w:eastAsia="zh-CN"/>
              </w:rPr>
              <w:t>365</w:t>
            </w:r>
            <w:r>
              <w:rPr>
                <w:rFonts w:hint="eastAsia" w:ascii="宋体" w:hAnsi="宋体"/>
                <w:color w:val="auto"/>
                <w:szCs w:val="21"/>
                <w:highlight w:val="none"/>
              </w:rPr>
              <w:t>日历天</w:t>
            </w:r>
            <w:r>
              <w:rPr>
                <w:rFonts w:hint="eastAsia" w:ascii="宋体" w:hAnsi="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3.1</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资金来源</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区财政资金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4.1</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noWrap w:val="0"/>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资格审查方式</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12</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13.1</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工程量清单计价</w:t>
            </w:r>
            <w:r>
              <w:rPr>
                <w:rFonts w:hint="eastAsia" w:ascii="宋体" w:hAnsi="宋体" w:cs="宋体"/>
                <w:color w:val="auto"/>
                <w:szCs w:val="21"/>
                <w:highlight w:val="none"/>
                <w:u w:val="single"/>
              </w:rPr>
              <w:t>，按国家、省有关计价规范执行。纳入年度审计项目计划的政府投资项目，审计机关出具的审计结果应当作为该政府投资项目价款结算的依据（适用于纳入年度审计项目计划的项目）</w:t>
            </w:r>
            <w:r>
              <w:rPr>
                <w:rFonts w:hint="eastAsia" w:ascii="宋体" w:hAnsi="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13</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15.1</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投标有效期</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90</w:t>
            </w:r>
            <w:r>
              <w:rPr>
                <w:rFonts w:hint="eastAsia" w:ascii="宋体" w:hAnsi="宋体" w:cs="宋体"/>
                <w:color w:val="auto"/>
                <w:szCs w:val="21"/>
                <w:highlight w:val="none"/>
              </w:rPr>
              <w:t>日历天。（从投标截止之日计起）。</w:t>
            </w:r>
            <w:r>
              <w:rPr>
                <w:rFonts w:hint="eastAsia" w:ascii="宋体" w:hAnsi="宋体" w:cs="宋体"/>
                <w:color w:val="auto"/>
                <w:szCs w:val="21"/>
                <w:highlight w:val="none"/>
                <w:u w:val="single"/>
              </w:rPr>
              <w:t>如投标有效期内发生异议或投诉的，则投标有效期自动延长至异议或投诉处理结束后90日历天。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14</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16.1</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投标保证金</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spacing w:line="276" w:lineRule="auto"/>
              <w:rPr>
                <w:rFonts w:hint="eastAsia" w:ascii="宋体" w:hAnsi="宋体"/>
                <w:color w:val="auto"/>
                <w:highlight w:val="none"/>
                <w:u w:val="single"/>
              </w:rPr>
            </w:pPr>
            <w:r>
              <w:rPr>
                <w:rFonts w:hint="eastAsia" w:ascii="宋体" w:hAnsi="宋体"/>
                <w:color w:val="auto"/>
                <w:highlight w:val="none"/>
                <w:u w:val="single"/>
              </w:rPr>
              <w:t>是否要求投标人递交投标保证金：</w:t>
            </w:r>
          </w:p>
          <w:p>
            <w:pPr>
              <w:spacing w:line="276" w:lineRule="auto"/>
              <w:rPr>
                <w:rFonts w:hint="eastAsia" w:ascii="宋体" w:hAnsi="宋体"/>
                <w:color w:val="auto"/>
                <w:highlight w:val="none"/>
                <w:u w:val="single"/>
              </w:rPr>
            </w:pPr>
            <w:r>
              <w:rPr>
                <w:rFonts w:hint="eastAsia" w:ascii="宋体" w:hAnsi="宋体"/>
                <w:color w:val="auto"/>
                <w:highlight w:val="none"/>
                <w:u w:val="single"/>
              </w:rPr>
              <w:t>□不要求递交投标保证金。</w:t>
            </w:r>
          </w:p>
          <w:p>
            <w:pPr>
              <w:spacing w:line="276" w:lineRule="auto"/>
              <w:rPr>
                <w:rFonts w:hint="eastAsia" w:ascii="宋体" w:hAnsi="宋体"/>
                <w:color w:val="auto"/>
                <w:highlight w:val="none"/>
              </w:rPr>
            </w:pPr>
            <w:r>
              <w:rPr>
                <w:rFonts w:hint="eastAsia" w:ascii="宋体" w:hAnsi="宋体"/>
                <w:color w:val="auto"/>
                <w:highlight w:val="none"/>
                <w:u w:val="single"/>
              </w:rPr>
              <w:t>■要求递交投标保证金。投标保证金：10 万元；</w:t>
            </w:r>
          </w:p>
          <w:p>
            <w:pPr>
              <w:spacing w:line="276"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投标保证金有效期：与投标有效期一致。</w:t>
            </w:r>
          </w:p>
          <w:p>
            <w:pPr>
              <w:spacing w:line="276"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缴纳时间：递交投标文件截止时间前。</w:t>
            </w:r>
          </w:p>
          <w:p>
            <w:pPr>
              <w:spacing w:line="276" w:lineRule="auto"/>
              <w:rPr>
                <w:rFonts w:ascii="宋体" w:hAnsi="宋体"/>
                <w:color w:val="auto"/>
                <w:highlight w:val="none"/>
              </w:rPr>
            </w:pPr>
            <w:r>
              <w:rPr>
                <w:rFonts w:hint="eastAsia" w:ascii="宋体" w:hAnsi="宋体" w:cs="宋体"/>
                <w:color w:val="auto"/>
                <w:szCs w:val="21"/>
                <w:highlight w:val="none"/>
                <w:u w:val="single"/>
              </w:rPr>
              <w:t>注：投标保证金相关事宜详见招标文件16款。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15</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5</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踏勘现场</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pStyle w:val="28"/>
              <w:rPr>
                <w:rFonts w:hint="eastAsia"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u w:val="single"/>
              </w:rPr>
              <w:t>自行踏勘，投标人不进行踏勘的，视为已熟知现场条件，自行承担相关风险。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16</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8</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投标答疑</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疑问提交时间：</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分前；</w:t>
            </w:r>
            <w:r>
              <w:rPr>
                <w:rFonts w:hint="eastAsia" w:ascii="宋体" w:hAnsi="宋体" w:cs="宋体"/>
                <w:color w:val="auto"/>
                <w:szCs w:val="21"/>
                <w:highlight w:val="none"/>
                <w:u w:val="single"/>
              </w:rPr>
              <w:t>(在递交投标文件截止日期前18日)</w:t>
            </w:r>
          </w:p>
          <w:p>
            <w:pPr>
              <w:rPr>
                <w:rFonts w:hint="eastAsia" w:ascii="宋体" w:hAnsi="宋体" w:cs="宋体"/>
                <w:color w:val="auto"/>
                <w:szCs w:val="21"/>
                <w:highlight w:val="none"/>
              </w:rPr>
            </w:pPr>
            <w:r>
              <w:rPr>
                <w:rFonts w:hint="eastAsia" w:ascii="宋体" w:hAnsi="宋体" w:cs="宋体"/>
                <w:color w:val="auto"/>
                <w:szCs w:val="21"/>
                <w:highlight w:val="none"/>
              </w:rPr>
              <w:t>形式：投标人的疑问通过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交易平台提交。</w:t>
            </w:r>
          </w:p>
          <w:p>
            <w:pPr>
              <w:rPr>
                <w:rFonts w:hint="eastAsia" w:ascii="宋体" w:hAnsi="宋体" w:cs="宋体"/>
                <w:color w:val="auto"/>
                <w:szCs w:val="21"/>
                <w:highlight w:val="none"/>
              </w:rPr>
            </w:pPr>
            <w:r>
              <w:rPr>
                <w:rFonts w:hint="eastAsia" w:ascii="宋体" w:hAnsi="宋体" w:cs="宋体"/>
                <w:color w:val="auto"/>
                <w:szCs w:val="21"/>
                <w:highlight w:val="none"/>
              </w:rPr>
              <w:t>具体要求：按照</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交易平台关于全流程电子化项目的相关指南进行操作，详见：</w:t>
            </w:r>
            <w:r>
              <w:rPr>
                <w:rFonts w:hint="eastAsia" w:ascii="宋体" w:hAnsi="宋体" w:cs="宋体"/>
                <w:color w:val="auto"/>
                <w:szCs w:val="21"/>
                <w:highlight w:val="none"/>
                <w:u w:val="single"/>
              </w:rPr>
              <w:t>广州公共资源交易中心网站最新指引</w:t>
            </w:r>
            <w:r>
              <w:rPr>
                <w:rFonts w:hint="eastAsia" w:ascii="宋体" w:hAnsi="宋体" w:cs="宋体"/>
                <w:color w:val="auto"/>
                <w:szCs w:val="21"/>
                <w:highlight w:val="none"/>
              </w:rPr>
              <w:t>。 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投标截止时间</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strike/>
                <w:color w:val="auto"/>
                <w:szCs w:val="21"/>
                <w:highlight w:val="none"/>
              </w:rPr>
            </w:pP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20.1</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开标开始时间和地点</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u w:val="single"/>
              </w:rPr>
              <w:t>资格审查文件</w:t>
            </w:r>
            <w:r>
              <w:rPr>
                <w:rFonts w:hint="eastAsia" w:ascii="宋体" w:hAnsi="宋体" w:cs="宋体"/>
                <w:color w:val="auto"/>
                <w:szCs w:val="21"/>
                <w:highlight w:val="none"/>
              </w:rPr>
              <w:t>和经济标同时开标）</w:t>
            </w:r>
          </w:p>
          <w:p>
            <w:pPr>
              <w:rPr>
                <w:rFonts w:hint="eastAsia" w:ascii="宋体" w:hAnsi="宋体"/>
                <w:color w:val="auto"/>
                <w:szCs w:val="21"/>
                <w:highlight w:val="none"/>
              </w:rPr>
            </w:pPr>
            <w:r>
              <w:rPr>
                <w:rFonts w:hint="eastAsia" w:ascii="宋体" w:hAnsi="宋体" w:cs="宋体"/>
                <w:color w:val="auto"/>
                <w:szCs w:val="21"/>
                <w:highlight w:val="none"/>
              </w:rPr>
              <w:t>1、开标开始时间：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分（与投标截止时间为同一时间），地点：</w:t>
            </w:r>
            <w:r>
              <w:rPr>
                <w:rFonts w:hint="eastAsia" w:ascii="宋体" w:hAnsi="宋体" w:cs="宋体"/>
                <w:color w:val="auto"/>
                <w:szCs w:val="21"/>
                <w:highlight w:val="none"/>
                <w:u w:val="single"/>
              </w:rPr>
              <w:t>广州公共资源交易中心黄埔交易部   开标室。投标人也可选择参加在线开标，具体按照交易平台相关指南进行操作。详见：广州公共资源交易中心网站最新指引。</w:t>
            </w:r>
          </w:p>
          <w:p>
            <w:pPr>
              <w:rPr>
                <w:rFonts w:ascii="宋体" w:hAnsi="宋体"/>
                <w:color w:val="auto"/>
                <w:szCs w:val="21"/>
                <w:highlight w:val="none"/>
              </w:rPr>
            </w:pPr>
            <w:r>
              <w:rPr>
                <w:rFonts w:hint="eastAsia" w:ascii="宋体" w:hAnsi="宋体"/>
                <w:color w:val="auto"/>
                <w:szCs w:val="21"/>
                <w:highlight w:val="none"/>
              </w:rPr>
              <w:t>注：投标文件解密问题。投标人只用执行一次解密，招标人执行解密次数根据招标文件开标次数确定。</w:t>
            </w:r>
          </w:p>
          <w:p>
            <w:pPr>
              <w:rPr>
                <w:rFonts w:hint="eastAsia" w:ascii="宋体" w:hAnsi="宋体"/>
                <w:color w:val="auto"/>
                <w:szCs w:val="21"/>
                <w:highlight w:val="none"/>
              </w:rPr>
            </w:pPr>
            <w:r>
              <w:rPr>
                <w:rFonts w:hint="eastAsia" w:ascii="宋体" w:hAnsi="宋体" w:cs="宋体"/>
                <w:color w:val="auto"/>
                <w:szCs w:val="21"/>
                <w:highlight w:val="none"/>
              </w:rPr>
              <w:t>2、递交投标文件备用光盘时间：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分至</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分；递交地点：</w:t>
            </w:r>
            <w:r>
              <w:rPr>
                <w:rFonts w:hint="eastAsia" w:ascii="宋体" w:hAnsi="宋体" w:cs="宋体"/>
                <w:color w:val="auto"/>
                <w:szCs w:val="21"/>
                <w:highlight w:val="none"/>
                <w:u w:val="single"/>
              </w:rPr>
              <w:t>广州公共资源交易中心黄埔交易部   开标室</w:t>
            </w:r>
            <w:r>
              <w:rPr>
                <w:rFonts w:hint="eastAsia" w:ascii="宋体" w:hAnsi="宋体" w:cs="宋体"/>
                <w:color w:val="auto"/>
                <w:szCs w:val="21"/>
                <w:highlight w:val="none"/>
              </w:rPr>
              <w:t>。投标人也可选择参加在线开标，具体按照交易平台相关指南进行操作。详见：</w:t>
            </w:r>
            <w:r>
              <w:rPr>
                <w:rFonts w:hint="eastAsia" w:ascii="宋体" w:hAnsi="宋体" w:cs="宋体"/>
                <w:color w:val="auto"/>
                <w:szCs w:val="21"/>
                <w:highlight w:val="none"/>
                <w:u w:val="single"/>
              </w:rPr>
              <w:t>广州公共资源交易中心网站最新指引</w:t>
            </w:r>
            <w:r>
              <w:rPr>
                <w:rFonts w:hint="eastAsia" w:ascii="宋体" w:hAnsi="宋体" w:cs="宋体"/>
                <w:color w:val="auto"/>
                <w:szCs w:val="21"/>
                <w:highlight w:val="none"/>
              </w:rPr>
              <w:t>。</w:t>
            </w:r>
          </w:p>
          <w:p>
            <w:pPr>
              <w:rPr>
                <w:rFonts w:ascii="宋体" w:hAnsi="宋体"/>
                <w:color w:val="auto"/>
                <w:szCs w:val="21"/>
                <w:highlight w:val="none"/>
              </w:rPr>
            </w:pPr>
            <w:r>
              <w:rPr>
                <w:rFonts w:hint="eastAsia" w:ascii="宋体" w:hAnsi="宋体" w:cs="仿宋_GB2312"/>
                <w:color w:val="auto"/>
                <w:highlight w:val="none"/>
              </w:rPr>
              <w:t>上述时间及地点是否有改变，请密切留意补充公告和招标答疑纪要的相关信息。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26</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开标评标办法</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pStyle w:val="5"/>
              <w:ind w:firstLine="0"/>
              <w:rPr>
                <w:rFonts w:hint="eastAsia" w:ascii="宋体" w:hAnsi="宋体"/>
                <w:color w:val="auto"/>
                <w:kern w:val="2"/>
                <w:sz w:val="21"/>
                <w:szCs w:val="21"/>
                <w:highlight w:val="none"/>
                <w:lang w:val="en-US" w:eastAsia="zh-CN"/>
              </w:rPr>
            </w:pPr>
            <w:r>
              <w:rPr>
                <w:rFonts w:hint="eastAsia" w:ascii="宋体" w:hAnsi="宋体"/>
                <w:color w:val="auto"/>
                <w:kern w:val="2"/>
                <w:sz w:val="21"/>
                <w:szCs w:val="21"/>
                <w:highlight w:val="none"/>
                <w:lang w:val="en-US" w:eastAsia="zh-CN"/>
              </w:rPr>
              <w:t>方式一：</w:t>
            </w:r>
            <w:r>
              <w:rPr>
                <w:rFonts w:hint="eastAsia" w:ascii="宋体" w:hAnsi="宋体" w:cs="宋体"/>
                <w:color w:val="auto"/>
                <w:kern w:val="2"/>
                <w:sz w:val="21"/>
                <w:szCs w:val="21"/>
                <w:highlight w:val="none"/>
                <w:lang w:val="en-US" w:eastAsia="zh-CN"/>
              </w:rPr>
              <w:t>可选办法七（适合综合评分法四，技术标与经济标同时开启）</w:t>
            </w:r>
            <w:r>
              <w:rPr>
                <w:rFonts w:hint="eastAsia" w:ascii="宋体" w:hAnsi="宋体"/>
                <w:color w:val="auto"/>
                <w:kern w:val="2"/>
                <w:sz w:val="21"/>
                <w:szCs w:val="21"/>
                <w:highlight w:val="non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29.1</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履约担保</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olor w:val="auto"/>
                <w:highlight w:val="none"/>
              </w:rPr>
            </w:pPr>
            <w:r>
              <w:rPr>
                <w:rFonts w:hint="eastAsia" w:ascii="宋体" w:hAnsi="宋体"/>
                <w:color w:val="auto"/>
                <w:highlight w:val="none"/>
              </w:rPr>
              <w:t>方式一：中标人提供的履约保证金为中标价款的10%。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最高投标限价</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最高投标限价为人民币</w:t>
            </w:r>
            <w:r>
              <w:rPr>
                <w:rFonts w:hint="eastAsia" w:ascii="宋体" w:hAnsi="宋体"/>
                <w:color w:val="auto"/>
                <w:szCs w:val="21"/>
                <w:highlight w:val="none"/>
                <w:u w:val="single"/>
              </w:rPr>
              <w:t>30278103.19</w:t>
            </w:r>
            <w:r>
              <w:rPr>
                <w:rFonts w:hint="eastAsia" w:ascii="宋体" w:hAnsi="宋体"/>
                <w:color w:val="auto"/>
                <w:szCs w:val="21"/>
                <w:highlight w:val="none"/>
              </w:rPr>
              <w:t>元</w:t>
            </w:r>
            <w:r>
              <w:rPr>
                <w:rFonts w:hint="eastAsia" w:ascii="宋体" w:hAnsi="宋体"/>
                <w:color w:val="auto"/>
                <w:szCs w:val="21"/>
                <w:highlight w:val="none"/>
              </w:rPr>
              <w:t>。</w:t>
            </w:r>
            <w:r>
              <w:rPr>
                <w:rFonts w:hint="eastAsia" w:ascii="宋体" w:hAnsi="宋体"/>
                <w:color w:val="auto"/>
                <w:szCs w:val="21"/>
                <w:highlight w:val="none"/>
                <w:u w:val="single"/>
              </w:rPr>
              <w:t>详见招标人最终发出的《最高投标限价公布函》，投标总报价超过最高投标限价的投标文件将被拒绝。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非竞争费用</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本项目绿色施工安全防护措施费为</w:t>
            </w:r>
            <w:r>
              <w:rPr>
                <w:rFonts w:hint="eastAsia" w:ascii="宋体" w:hAnsi="宋体"/>
                <w:color w:val="auto"/>
                <w:szCs w:val="21"/>
                <w:highlight w:val="none"/>
                <w:u w:val="single"/>
              </w:rPr>
              <w:t>1773063.68</w:t>
            </w:r>
            <w:r>
              <w:rPr>
                <w:rFonts w:hint="eastAsia" w:ascii="宋体" w:hAnsi="宋体"/>
                <w:color w:val="auto"/>
                <w:szCs w:val="21"/>
                <w:highlight w:val="none"/>
              </w:rPr>
              <w:t>元</w:t>
            </w:r>
            <w:r>
              <w:rPr>
                <w:rFonts w:hint="eastAsia" w:ascii="宋体" w:hAnsi="宋体"/>
                <w:color w:val="auto"/>
                <w:szCs w:val="21"/>
                <w:highlight w:val="none"/>
              </w:rPr>
              <w:t>，暂列金额为</w:t>
            </w:r>
            <w:r>
              <w:rPr>
                <w:rFonts w:hint="eastAsia" w:ascii="宋体" w:hAnsi="宋体"/>
                <w:color w:val="auto"/>
                <w:szCs w:val="21"/>
                <w:highlight w:val="none"/>
                <w:u w:val="single"/>
              </w:rPr>
              <w:t>2282506.67</w:t>
            </w:r>
            <w:r>
              <w:rPr>
                <w:rFonts w:hint="eastAsia" w:ascii="宋体" w:hAnsi="宋体"/>
                <w:color w:val="auto"/>
                <w:szCs w:val="21"/>
                <w:highlight w:val="none"/>
              </w:rPr>
              <w:t>元</w:t>
            </w:r>
            <w:r>
              <w:rPr>
                <w:rFonts w:hint="eastAsia" w:ascii="宋体" w:hAnsi="宋体"/>
                <w:color w:val="auto"/>
                <w:szCs w:val="21"/>
                <w:highlight w:val="none"/>
              </w:rPr>
              <w:t>，暂估价为</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rPr>
              <w:t>。（未按招标文件规定的金额填写的，由评标委员会按照招标文件规定的金额进行修正）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23</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pStyle w:val="5"/>
              <w:ind w:firstLine="0"/>
              <w:rPr>
                <w:rFonts w:ascii="宋体" w:hAnsi="宋体"/>
                <w:color w:val="auto"/>
                <w:kern w:val="2"/>
                <w:sz w:val="21"/>
                <w:szCs w:val="21"/>
                <w:highlight w:val="none"/>
                <w:lang w:val="en-US" w:eastAsia="zh-CN"/>
              </w:rPr>
            </w:pPr>
            <w:r>
              <w:rPr>
                <w:rFonts w:hint="eastAsia" w:ascii="宋体" w:hAnsi="宋体"/>
                <w:color w:val="auto"/>
                <w:kern w:val="2"/>
                <w:sz w:val="21"/>
                <w:szCs w:val="21"/>
                <w:highlight w:val="none"/>
                <w:lang w:val="en-US" w:eastAsia="zh-CN"/>
              </w:rPr>
              <w:t>保修期</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计算评标参考价的等分点值</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计算评标参考价的等分点值</w:t>
            </w:r>
            <w:r>
              <w:rPr>
                <w:rFonts w:ascii="宋体" w:hAnsi="宋体"/>
                <w:color w:val="auto"/>
                <w:szCs w:val="21"/>
                <w:highlight w:val="none"/>
              </w:rPr>
              <w:t>X</w:t>
            </w:r>
            <w:r>
              <w:rPr>
                <w:rFonts w:hint="eastAsia" w:ascii="宋体" w:hAnsi="宋体"/>
                <w:color w:val="auto"/>
                <w:szCs w:val="21"/>
                <w:highlight w:val="none"/>
              </w:rPr>
              <w:t>从[0,100]的整数中随机抽取。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25</w:t>
            </w:r>
          </w:p>
        </w:tc>
        <w:tc>
          <w:tcPr>
            <w:tcW w:w="981" w:type="dxa"/>
            <w:tcBorders>
              <w:top w:val="single" w:color="auto" w:sz="4" w:space="0"/>
              <w:left w:val="single" w:color="auto" w:sz="4" w:space="0"/>
              <w:bottom w:val="single" w:color="auto" w:sz="4" w:space="0"/>
              <w:right w:val="single" w:color="auto" w:sz="4" w:space="0"/>
            </w:tcBorders>
            <w:noWrap w:val="0"/>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trike/>
                <w:color w:val="auto"/>
                <w:szCs w:val="21"/>
                <w:highlight w:val="none"/>
              </w:rPr>
            </w:pPr>
            <w:r>
              <w:rPr>
                <w:rFonts w:hint="eastAsia" w:ascii="宋体" w:hAnsi="宋体"/>
                <w:strike/>
                <w:color w:val="auto"/>
                <w:szCs w:val="21"/>
                <w:highlight w:val="none"/>
              </w:rPr>
              <w:t>进入第二阶段评审的家数</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trike/>
                <w:color w:val="auto"/>
                <w:szCs w:val="21"/>
                <w:highlight w:val="none"/>
              </w:rPr>
            </w:pPr>
            <w:r>
              <w:rPr>
                <w:rFonts w:ascii="宋体" w:hAnsi="宋体"/>
                <w:strike/>
                <w:color w:val="auto"/>
                <w:szCs w:val="21"/>
                <w:highlight w:val="none"/>
              </w:rPr>
              <w:fldChar w:fldCharType="begin"/>
            </w:r>
            <w:r>
              <w:rPr>
                <w:rFonts w:ascii="宋体" w:hAnsi="宋体"/>
                <w:strike/>
                <w:color w:val="auto"/>
                <w:szCs w:val="21"/>
                <w:highlight w:val="none"/>
              </w:rPr>
              <w:instrText xml:space="preserve"> </w:instrText>
            </w:r>
            <w:r>
              <w:rPr>
                <w:rFonts w:hint="eastAsia" w:ascii="宋体" w:hAnsi="宋体"/>
                <w:strike/>
                <w:color w:val="auto"/>
                <w:szCs w:val="21"/>
                <w:highlight w:val="none"/>
              </w:rPr>
              <w:instrText xml:space="preserve">= 1 \* GB3</w:instrText>
            </w:r>
            <w:r>
              <w:rPr>
                <w:rFonts w:ascii="宋体" w:hAnsi="宋体"/>
                <w:strike/>
                <w:color w:val="auto"/>
                <w:szCs w:val="21"/>
                <w:highlight w:val="none"/>
              </w:rPr>
              <w:instrText xml:space="preserve"> </w:instrText>
            </w:r>
            <w:r>
              <w:rPr>
                <w:rFonts w:ascii="宋体" w:hAnsi="宋体"/>
                <w:strike/>
                <w:color w:val="auto"/>
                <w:szCs w:val="21"/>
                <w:highlight w:val="none"/>
              </w:rPr>
              <w:fldChar w:fldCharType="separate"/>
            </w:r>
            <w:r>
              <w:rPr>
                <w:rFonts w:hint="eastAsia" w:ascii="宋体" w:hAnsi="宋体"/>
                <w:strike/>
                <w:color w:val="auto"/>
                <w:szCs w:val="21"/>
                <w:highlight w:val="none"/>
              </w:rPr>
              <w:t>①</w:t>
            </w:r>
            <w:r>
              <w:rPr>
                <w:rFonts w:ascii="宋体" w:hAnsi="宋体"/>
                <w:strike/>
                <w:color w:val="auto"/>
                <w:szCs w:val="21"/>
                <w:highlight w:val="none"/>
              </w:rPr>
              <w:fldChar w:fldCharType="end"/>
            </w:r>
            <w:r>
              <w:rPr>
                <w:rFonts w:hint="eastAsia" w:ascii="宋体" w:hAnsi="宋体"/>
                <w:strike/>
                <w:color w:val="auto"/>
                <w:szCs w:val="21"/>
                <w:highlight w:val="none"/>
              </w:rPr>
              <w:t>通过技术有效性审查的投标人均进入第二阶段（适用于通过技术有效性审查家数在[3,</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]中的）。</w:t>
            </w:r>
          </w:p>
          <w:p>
            <w:pPr>
              <w:rPr>
                <w:rFonts w:ascii="宋体" w:hAnsi="宋体"/>
                <w:strike/>
                <w:color w:val="auto"/>
                <w:szCs w:val="21"/>
                <w:highlight w:val="none"/>
              </w:rPr>
            </w:pPr>
            <w:r>
              <w:rPr>
                <w:rFonts w:ascii="宋体" w:hAnsi="宋体"/>
                <w:strike/>
                <w:color w:val="auto"/>
                <w:szCs w:val="21"/>
                <w:highlight w:val="none"/>
              </w:rPr>
              <w:fldChar w:fldCharType="begin"/>
            </w:r>
            <w:r>
              <w:rPr>
                <w:rFonts w:ascii="宋体" w:hAnsi="宋体"/>
                <w:strike/>
                <w:color w:val="auto"/>
                <w:szCs w:val="21"/>
                <w:highlight w:val="none"/>
              </w:rPr>
              <w:instrText xml:space="preserve"> </w:instrText>
            </w:r>
            <w:r>
              <w:rPr>
                <w:rFonts w:hint="eastAsia" w:ascii="宋体" w:hAnsi="宋体"/>
                <w:strike/>
                <w:color w:val="auto"/>
                <w:szCs w:val="21"/>
                <w:highlight w:val="none"/>
              </w:rPr>
              <w:instrText xml:space="preserve">= 2 \* GB3</w:instrText>
            </w:r>
            <w:r>
              <w:rPr>
                <w:rFonts w:ascii="宋体" w:hAnsi="宋体"/>
                <w:strike/>
                <w:color w:val="auto"/>
                <w:szCs w:val="21"/>
                <w:highlight w:val="none"/>
              </w:rPr>
              <w:instrText xml:space="preserve"> </w:instrText>
            </w:r>
            <w:r>
              <w:rPr>
                <w:rFonts w:ascii="宋体" w:hAnsi="宋体"/>
                <w:strike/>
                <w:color w:val="auto"/>
                <w:szCs w:val="21"/>
                <w:highlight w:val="none"/>
              </w:rPr>
              <w:fldChar w:fldCharType="separate"/>
            </w:r>
            <w:r>
              <w:rPr>
                <w:rFonts w:hint="eastAsia" w:ascii="宋体" w:hAnsi="宋体"/>
                <w:strike/>
                <w:color w:val="auto"/>
                <w:szCs w:val="21"/>
                <w:highlight w:val="none"/>
              </w:rPr>
              <w:t>②</w:t>
            </w:r>
            <w:r>
              <w:rPr>
                <w:rFonts w:ascii="宋体" w:hAnsi="宋体"/>
                <w:strike/>
                <w:color w:val="auto"/>
                <w:szCs w:val="21"/>
                <w:highlight w:val="none"/>
              </w:rPr>
              <w:fldChar w:fldCharType="end"/>
            </w:r>
            <w:r>
              <w:rPr>
                <w:rFonts w:hint="eastAsia" w:ascii="宋体" w:hAnsi="宋体"/>
                <w:strike/>
                <w:color w:val="auto"/>
                <w:szCs w:val="21"/>
                <w:highlight w:val="none"/>
              </w:rPr>
              <w:t>将第一阶段得分由高至低排序，前</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名投标人进入第二阶段评审（适用于通过技术有效性审查家数大于</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家的，招标人可根据工程具体情况，确定不少于</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家进入第二阶段）。</w:t>
            </w:r>
          </w:p>
          <w:p>
            <w:pPr>
              <w:rPr>
                <w:rFonts w:ascii="宋体" w:hAnsi="宋体"/>
                <w:strike/>
                <w:color w:val="auto"/>
                <w:szCs w:val="21"/>
                <w:highlight w:val="none"/>
              </w:rPr>
            </w:pPr>
            <w:r>
              <w:rPr>
                <w:rFonts w:hint="eastAsia" w:ascii="宋体" w:hAnsi="宋体"/>
                <w:strike/>
                <w:color w:val="auto"/>
                <w:szCs w:val="21"/>
                <w:highlight w:val="none"/>
              </w:rPr>
              <w:t>注：本款适用于选择评标办法一至评标办法六。进入第二阶段的投标人家数应符合</w:t>
            </w:r>
            <w:r>
              <w:rPr>
                <w:rFonts w:hint="eastAsia" w:ascii="宋体" w:hAnsi="宋体" w:cs="仿宋_GB2312"/>
                <w:strike/>
                <w:color w:val="auto"/>
                <w:szCs w:val="21"/>
                <w:highlight w:val="none"/>
              </w:rPr>
              <w:t>行政监管部门的要求。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26</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工程成本警戒价</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工程成本警戒价</w:t>
            </w:r>
            <w:r>
              <w:rPr>
                <w:rFonts w:hint="eastAsia" w:ascii="宋体" w:hAnsi="宋体" w:cs="宋体"/>
                <w:color w:val="auto"/>
                <w:szCs w:val="21"/>
                <w:highlight w:val="none"/>
                <w:u w:val="single"/>
              </w:rPr>
              <w:t>按最高投标限价的</w:t>
            </w:r>
            <w:r>
              <w:rPr>
                <w:rFonts w:hint="eastAsia" w:ascii="宋体" w:hAnsi="宋体" w:cs="宋体"/>
                <w:color w:val="auto"/>
                <w:szCs w:val="21"/>
                <w:highlight w:val="none"/>
                <w:u w:val="single"/>
                <w:lang w:val="en-US" w:eastAsia="zh-CN"/>
              </w:rPr>
              <w:t>80</w:t>
            </w:r>
            <w:r>
              <w:rPr>
                <w:rFonts w:hint="eastAsia" w:ascii="宋体" w:hAnsi="宋体" w:cs="宋体"/>
                <w:color w:val="auto"/>
                <w:szCs w:val="21"/>
                <w:highlight w:val="none"/>
                <w:u w:val="single"/>
              </w:rPr>
              <w:t>%设置</w:t>
            </w:r>
            <w:r>
              <w:rPr>
                <w:rFonts w:hint="eastAsia" w:ascii="宋体" w:hAnsi="宋体"/>
                <w:color w:val="auto"/>
                <w:szCs w:val="21"/>
                <w:highlight w:val="none"/>
              </w:rPr>
              <w:t>为</w:t>
            </w:r>
            <w:r>
              <w:rPr>
                <w:rFonts w:hint="eastAsia" w:ascii="宋体" w:hAnsi="宋体"/>
                <w:color w:val="auto"/>
                <w:szCs w:val="21"/>
                <w:highlight w:val="none"/>
                <w:u w:val="single"/>
              </w:rPr>
              <w:t>24222482.55</w:t>
            </w:r>
            <w:r>
              <w:rPr>
                <w:rFonts w:hint="eastAsia" w:ascii="宋体" w:hAnsi="宋体"/>
                <w:color w:val="auto"/>
                <w:szCs w:val="21"/>
                <w:highlight w:val="none"/>
              </w:rPr>
              <w:t>元</w:t>
            </w:r>
            <w:r>
              <w:rPr>
                <w:rFonts w:hint="eastAsia" w:ascii="宋体" w:hAnsi="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color w:val="auto"/>
                <w:szCs w:val="21"/>
                <w:highlight w:val="none"/>
                <w:u w:val="single"/>
              </w:rPr>
            </w:pPr>
            <w:r>
              <w:rPr>
                <w:rFonts w:hint="eastAsia" w:ascii="宋体" w:hAnsi="宋体"/>
                <w:color w:val="auto"/>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27</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u w:val="single"/>
              </w:rPr>
            </w:pPr>
            <w:r>
              <w:rPr>
                <w:rFonts w:hint="eastAsia" w:ascii="宋体" w:hAnsi="宋体"/>
                <w:color w:val="auto"/>
                <w:szCs w:val="21"/>
                <w:highlight w:val="none"/>
                <w:u w:val="single"/>
              </w:rPr>
              <w:t>各分值的权重</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olor w:val="auto"/>
                <w:szCs w:val="21"/>
                <w:highlight w:val="none"/>
                <w:u w:val="single"/>
              </w:rPr>
            </w:pPr>
            <w:r>
              <w:rPr>
                <w:rFonts w:hint="eastAsia" w:ascii="宋体" w:hAnsi="宋体"/>
                <w:color w:val="auto"/>
                <w:szCs w:val="21"/>
                <w:highlight w:val="none"/>
                <w:u w:val="single"/>
              </w:rPr>
              <w:t>技术分权重为20%，经济分权重为80%。</w:t>
            </w:r>
          </w:p>
          <w:p>
            <w:pPr>
              <w:rPr>
                <w:rFonts w:hint="eastAsia" w:ascii="宋体" w:hAnsi="宋体"/>
                <w:color w:val="auto"/>
                <w:szCs w:val="21"/>
                <w:highlight w:val="none"/>
                <w:u w:val="single"/>
              </w:rPr>
            </w:pPr>
            <w:r>
              <w:rPr>
                <w:rFonts w:hint="eastAsia" w:ascii="宋体" w:hAnsi="宋体"/>
                <w:color w:val="auto"/>
                <w:szCs w:val="21"/>
                <w:highlight w:val="none"/>
                <w:u w:val="single"/>
              </w:rPr>
              <w:t>按照“总分=技术分×技术分权重（20%）+经济分×经济分权重（80%）”的公式，计算各有效投标文件的总分，并按照总分从高到低排列先后次序。若投标人总分相同的，以技术分较高的排前；若技术分仍相同的，以投标总报价较低的排前；若投标总报价仍存在相同情况，则对具有相同情况的投标人，按中标候选人数量规定，由评标委员会采用记名投票方式，确定中标候选人的排序。</w:t>
            </w:r>
          </w:p>
          <w:p>
            <w:pPr>
              <w:rPr>
                <w:rFonts w:ascii="宋体" w:hAnsi="宋体"/>
                <w:color w:val="auto"/>
                <w:szCs w:val="21"/>
                <w:highlight w:val="none"/>
              </w:rPr>
            </w:pPr>
            <w:r>
              <w:rPr>
                <w:rFonts w:hint="eastAsia" w:ascii="宋体" w:hAnsi="宋体"/>
                <w:color w:val="auto"/>
                <w:szCs w:val="21"/>
                <w:highlight w:val="none"/>
                <w:u w:val="single"/>
              </w:rPr>
              <w:t>记名投票方式确定排序的具体操作步骤为：由评标委员会对出现该情况的投标人采取记名投票的方式确定，按得票数从高到低排列先后次序，以得票数高的排前，根据得票数高低确定中标候选人排序。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28</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评标委员会人数</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29</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企业综合诚信评价分数</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trike/>
                <w:color w:val="auto"/>
                <w:szCs w:val="21"/>
                <w:highlight w:val="none"/>
                <w:u w:val="single"/>
              </w:rPr>
            </w:pPr>
            <w:r>
              <w:rPr>
                <w:rFonts w:hint="eastAsia" w:ascii="宋体" w:hAnsi="宋体"/>
                <w:color w:val="auto"/>
                <w:szCs w:val="21"/>
                <w:highlight w:val="none"/>
                <w:u w:val="single"/>
              </w:rPr>
              <w:t>本工程不设综合诚信评价得分。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30</w:t>
            </w:r>
          </w:p>
        </w:tc>
        <w:tc>
          <w:tcPr>
            <w:tcW w:w="981" w:type="dxa"/>
            <w:tcBorders>
              <w:top w:val="single" w:color="auto" w:sz="4" w:space="0"/>
              <w:left w:val="single" w:color="auto" w:sz="4" w:space="0"/>
              <w:bottom w:val="single" w:color="auto" w:sz="4" w:space="0"/>
              <w:right w:val="single" w:color="auto" w:sz="4" w:space="0"/>
            </w:tcBorders>
            <w:noWrap w:val="0"/>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ind w:firstLine="458"/>
              <w:rPr>
                <w:rFonts w:ascii="宋体" w:hAnsi="宋体"/>
                <w:strike/>
                <w:color w:val="auto"/>
                <w:szCs w:val="21"/>
                <w:highlight w:val="none"/>
              </w:rPr>
            </w:pPr>
            <w:r>
              <w:rPr>
                <w:rFonts w:hint="eastAsia" w:ascii="宋体" w:hAnsi="宋体"/>
                <w:strike/>
                <w:color w:val="auto"/>
                <w:szCs w:val="21"/>
                <w:highlight w:val="none"/>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trike/>
                <w:color w:val="auto"/>
                <w:szCs w:val="21"/>
                <w:highlight w:val="none"/>
              </w:rPr>
            </w:pPr>
            <w:r>
              <w:rPr>
                <w:rFonts w:hint="eastAsia" w:ascii="宋体" w:hAnsi="宋体"/>
                <w:strike/>
                <w:color w:val="auto"/>
                <w:szCs w:val="21"/>
                <w:highlight w:val="none"/>
              </w:rPr>
              <w:t>选取方法</w:t>
            </w:r>
          </w:p>
          <w:p>
            <w:pPr>
              <w:rPr>
                <w:rFonts w:ascii="宋体" w:hAnsi="宋体"/>
                <w:strike/>
                <w:color w:val="auto"/>
                <w:szCs w:val="21"/>
                <w:highlight w:val="none"/>
              </w:rPr>
            </w:pPr>
            <w:r>
              <w:rPr>
                <w:rFonts w:hint="eastAsia" w:ascii="宋体" w:hAnsi="宋体"/>
                <w:strike/>
                <w:color w:val="auto"/>
                <w:szCs w:val="21"/>
                <w:highlight w:val="none"/>
              </w:rPr>
              <w:t>方法一：将进入第二阶段投标人的投标报价由低至高进行排序。报价相同的投标文件，以技术分较高的排前；报价与技术得分均相同的投标文件，以综合诚信评价分数高的排前；如仍存在相同情况，则对具有相同情况的投标人，由评标委员会采用随机方式，确定投标人的排序。</w:t>
            </w:r>
          </w:p>
          <w:p>
            <w:pPr>
              <w:rPr>
                <w:rFonts w:ascii="宋体" w:hAnsi="宋体"/>
                <w:strike/>
                <w:color w:val="auto"/>
                <w:szCs w:val="21"/>
                <w:highlight w:val="none"/>
              </w:rPr>
            </w:pPr>
            <w:r>
              <w:rPr>
                <w:rFonts w:hint="eastAsia" w:ascii="宋体" w:hAnsi="宋体"/>
                <w:strike/>
                <w:color w:val="auto"/>
                <w:szCs w:val="21"/>
                <w:highlight w:val="none"/>
              </w:rPr>
              <w:t>方法二：将进入第二阶段投标人的投标报价按大于或小于等于工程成本警戒价的标准分为2组。首先，对于小于或等于工程成本警戒价的，评标委员会从序号1开始随机确定投标人的排序，若仅有1名投标报价小于等于工程成本警戒价的，该投标人为第1名；其次，对于大于工程成本警戒价的投标报价由低至高进行排序，序号接上一组。</w:t>
            </w:r>
          </w:p>
          <w:p>
            <w:pPr>
              <w:rPr>
                <w:rFonts w:ascii="宋体" w:hAnsi="宋体"/>
                <w:strike/>
                <w:color w:val="auto"/>
                <w:szCs w:val="21"/>
                <w:highlight w:val="none"/>
              </w:rPr>
            </w:pPr>
            <w:r>
              <w:rPr>
                <w:rFonts w:hint="eastAsia" w:ascii="宋体" w:hAnsi="宋体"/>
                <w:strike/>
                <w:color w:val="auto"/>
                <w:szCs w:val="21"/>
                <w:highlight w:val="none"/>
              </w:rPr>
              <w:t xml:space="preserve">方法三：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31</w:t>
            </w:r>
          </w:p>
        </w:tc>
        <w:tc>
          <w:tcPr>
            <w:tcW w:w="981" w:type="dxa"/>
            <w:tcBorders>
              <w:top w:val="single" w:color="auto" w:sz="4" w:space="0"/>
              <w:left w:val="single" w:color="auto" w:sz="4" w:space="0"/>
              <w:bottom w:val="single" w:color="auto" w:sz="4" w:space="0"/>
              <w:right w:val="single" w:color="auto" w:sz="4" w:space="0"/>
            </w:tcBorders>
            <w:noWrap w:val="0"/>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trike/>
                <w:color w:val="auto"/>
                <w:szCs w:val="21"/>
                <w:highlight w:val="none"/>
              </w:rPr>
            </w:pPr>
            <w:r>
              <w:rPr>
                <w:rFonts w:hint="eastAsia" w:ascii="宋体" w:hAnsi="宋体"/>
                <w:strike/>
                <w:color w:val="auto"/>
                <w:szCs w:val="21"/>
                <w:highlight w:val="none"/>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trike/>
                <w:color w:val="auto"/>
                <w:szCs w:val="21"/>
                <w:highlight w:val="none"/>
              </w:rPr>
            </w:pPr>
            <w:r>
              <w:rPr>
                <w:rFonts w:hint="eastAsia" w:ascii="宋体" w:hAnsi="宋体"/>
                <w:strike/>
                <w:color w:val="auto"/>
                <w:szCs w:val="21"/>
                <w:highlight w:val="none"/>
              </w:rPr>
              <w:t>选取方法</w:t>
            </w:r>
          </w:p>
          <w:p>
            <w:pPr>
              <w:rPr>
                <w:rFonts w:ascii="宋体" w:hAnsi="宋体"/>
                <w:strike/>
                <w:color w:val="auto"/>
                <w:szCs w:val="21"/>
                <w:highlight w:val="none"/>
              </w:rPr>
            </w:pPr>
            <w:r>
              <w:rPr>
                <w:rFonts w:hint="eastAsia" w:ascii="宋体" w:hAnsi="宋体"/>
                <w:strike/>
                <w:color w:val="auto"/>
                <w:szCs w:val="21"/>
                <w:highlight w:val="none"/>
              </w:rPr>
              <w:t>方法一：经济分相同的投标文件，以报价较低的排前；经济分与报价均相同的投标文件，以技术分较高的排前；经济分、报价与技术得分均相同或经济分、报价均相同但未评技术分的投标文件，以综合诚信评价分数高的排前；如仍存在相同情况，则对具有相同情况的投标人，由评标委员会采用随机方式，确定投标人的排序。</w:t>
            </w:r>
          </w:p>
          <w:p>
            <w:pPr>
              <w:rPr>
                <w:rFonts w:ascii="宋体" w:hAnsi="宋体"/>
                <w:strike/>
                <w:color w:val="auto"/>
                <w:szCs w:val="21"/>
                <w:highlight w:val="none"/>
              </w:rPr>
            </w:pPr>
            <w:r>
              <w:rPr>
                <w:rFonts w:hint="eastAsia" w:ascii="宋体" w:hAnsi="宋体"/>
                <w:strike/>
                <w:color w:val="auto"/>
                <w:szCs w:val="21"/>
                <w:highlight w:val="none"/>
              </w:rPr>
              <w:t>方法二：经济分相同的投标文件，由评标委员会采用随机方式，确定投标人的排序。</w:t>
            </w:r>
          </w:p>
          <w:p>
            <w:pPr>
              <w:rPr>
                <w:rFonts w:ascii="宋体" w:hAnsi="宋体"/>
                <w:strike/>
                <w:color w:val="auto"/>
                <w:szCs w:val="21"/>
                <w:highlight w:val="none"/>
              </w:rPr>
            </w:pPr>
            <w:r>
              <w:rPr>
                <w:rFonts w:hint="eastAsia" w:ascii="宋体" w:hAnsi="宋体"/>
                <w:strike/>
                <w:color w:val="auto"/>
                <w:szCs w:val="21"/>
                <w:highlight w:val="none"/>
              </w:rPr>
              <w:t xml:space="preserve">方法三：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32</w:t>
            </w:r>
          </w:p>
        </w:tc>
        <w:tc>
          <w:tcPr>
            <w:tcW w:w="981" w:type="dxa"/>
            <w:tcBorders>
              <w:top w:val="single" w:color="auto" w:sz="4" w:space="0"/>
              <w:left w:val="single" w:color="auto" w:sz="4" w:space="0"/>
              <w:bottom w:val="single" w:color="auto" w:sz="4" w:space="0"/>
              <w:right w:val="single" w:color="auto" w:sz="4" w:space="0"/>
            </w:tcBorders>
            <w:noWrap w:val="0"/>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trike/>
                <w:color w:val="auto"/>
                <w:szCs w:val="21"/>
                <w:highlight w:val="none"/>
              </w:rPr>
            </w:pPr>
            <w:r>
              <w:rPr>
                <w:rFonts w:hint="eastAsia" w:ascii="宋体" w:hAnsi="宋体"/>
                <w:strike/>
                <w:color w:val="auto"/>
                <w:szCs w:val="21"/>
                <w:highlight w:val="none"/>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trike/>
                <w:color w:val="auto"/>
                <w:szCs w:val="21"/>
                <w:highlight w:val="none"/>
              </w:rPr>
            </w:pPr>
            <w:r>
              <w:rPr>
                <w:rFonts w:hint="eastAsia" w:ascii="宋体" w:hAnsi="宋体"/>
                <w:strike/>
                <w:color w:val="auto"/>
                <w:szCs w:val="21"/>
                <w:highlight w:val="none"/>
              </w:rPr>
              <w:t>选取方法</w:t>
            </w:r>
            <w:r>
              <w:rPr>
                <w:rFonts w:hint="eastAsia" w:ascii="宋体" w:hAnsi="宋体"/>
                <w:strike/>
                <w:color w:val="auto"/>
                <w:szCs w:val="21"/>
                <w:highlight w:val="none"/>
                <w:u w:val="single"/>
              </w:rPr>
              <w:t xml:space="preserve">     </w:t>
            </w:r>
          </w:p>
          <w:p>
            <w:pPr>
              <w:rPr>
                <w:rFonts w:ascii="宋体" w:hAnsi="宋体"/>
                <w:strike/>
                <w:color w:val="auto"/>
                <w:szCs w:val="21"/>
                <w:highlight w:val="none"/>
              </w:rPr>
            </w:pPr>
            <w:r>
              <w:rPr>
                <w:rFonts w:hint="eastAsia" w:ascii="宋体" w:hAnsi="宋体"/>
                <w:strike/>
                <w:color w:val="auto"/>
                <w:szCs w:val="21"/>
                <w:highlight w:val="none"/>
              </w:rPr>
              <w:t>方法一：评标委员会按照“总分=</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的公式，计算各有效投标文件的总分，并按照总分从高到低排序。总得分相同的投标文件，以报价较低的排前；总得分与报价均相同的投标文件，以</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较高的排前；总得分、报价与</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均相同的投标文件，以诚信综合评价分数高的排前；如仍存在相同情况，则对具有相同情况的投标人，由评标委员会采用随机方式，确定投标人的排序。</w:t>
            </w:r>
          </w:p>
          <w:p>
            <w:pPr>
              <w:rPr>
                <w:rFonts w:ascii="宋体" w:hAnsi="宋体"/>
                <w:strike/>
                <w:color w:val="auto"/>
                <w:szCs w:val="21"/>
                <w:highlight w:val="none"/>
              </w:rPr>
            </w:pPr>
            <w:r>
              <w:rPr>
                <w:rFonts w:hint="eastAsia" w:ascii="宋体" w:hAnsi="宋体"/>
                <w:strike/>
                <w:color w:val="auto"/>
                <w:szCs w:val="21"/>
                <w:highlight w:val="none"/>
              </w:rPr>
              <w:t xml:space="preserve">方法二：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33</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13.4</w:t>
            </w:r>
            <w:r>
              <w:rPr>
                <w:rFonts w:hint="eastAsia" w:ascii="宋体" w:hAnsi="宋体"/>
                <w:color w:val="auto"/>
                <w:szCs w:val="21"/>
                <w:highlight w:val="none"/>
              </w:rPr>
              <w:t>、</w:t>
            </w:r>
            <w:r>
              <w:rPr>
                <w:rFonts w:ascii="宋体" w:hAnsi="宋体"/>
                <w:color w:val="auto"/>
                <w:szCs w:val="21"/>
                <w:highlight w:val="none"/>
              </w:rPr>
              <w:t>13.5.2</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合同价款的调整办法</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u w:val="single"/>
              </w:rPr>
            </w:pPr>
            <w:r>
              <w:rPr>
                <w:rFonts w:hint="eastAsia" w:ascii="宋体" w:hAnsi="宋体" w:cs="宋体"/>
                <w:color w:val="auto"/>
                <w:szCs w:val="21"/>
                <w:highlight w:val="none"/>
                <w:u w:val="single"/>
              </w:rPr>
              <w:t>详见招标文件及相关合同条款。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kern w:val="0"/>
                <w:szCs w:val="21"/>
                <w:highlight w:val="none"/>
                <w:lang w:val="zh-CN"/>
              </w:rPr>
              <w:t>建设工程质量检测管理办法</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根据《建设工程质量检测管理办法》（建设部令第</w:t>
            </w:r>
            <w:r>
              <w:rPr>
                <w:rFonts w:ascii="宋体" w:hAnsi="宋体"/>
                <w:color w:val="auto"/>
                <w:kern w:val="0"/>
                <w:szCs w:val="21"/>
                <w:highlight w:val="none"/>
                <w:lang w:val="zh-CN"/>
              </w:rPr>
              <w:t>141</w:t>
            </w:r>
            <w:r>
              <w:rPr>
                <w:rFonts w:hint="eastAsia" w:ascii="宋体" w:hAnsi="宋体"/>
                <w:color w:val="auto"/>
                <w:kern w:val="0"/>
                <w:szCs w:val="21"/>
                <w:highlight w:val="none"/>
                <w:lang w:val="zh-CN"/>
              </w:rPr>
              <w:t>号）第十二条规定，建设工程质量、安全检测业务应由建设单位依法委托，不列入本次招标范围。招标文件中与此条不一致的，以此条为准。</w:t>
            </w:r>
            <w:r>
              <w:rPr>
                <w:rFonts w:hint="eastAsia" w:ascii="宋体" w:hAnsi="宋体"/>
                <w:color w:val="auto"/>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35</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分包</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□不允许；</w:t>
            </w:r>
          </w:p>
          <w:p>
            <w:pPr>
              <w:rPr>
                <w:rFonts w:hint="eastAsia" w:ascii="宋体" w:hAnsi="宋体"/>
                <w:color w:val="auto"/>
                <w:kern w:val="0"/>
                <w:szCs w:val="21"/>
                <w:highlight w:val="none"/>
              </w:rPr>
            </w:pPr>
            <w:r>
              <w:rPr>
                <w:rFonts w:hint="eastAsia" w:ascii="宋体" w:hAnsi="宋体" w:cs="宋体"/>
                <w:color w:val="auto"/>
                <w:kern w:val="0"/>
                <w:szCs w:val="21"/>
                <w:highlight w:val="none"/>
                <w:lang w:val="zh-CN"/>
              </w:rPr>
              <w:sym w:font="Wingdings 2" w:char="F052"/>
            </w:r>
            <w:r>
              <w:rPr>
                <w:rFonts w:hint="eastAsia" w:ascii="宋体" w:hAnsi="宋体"/>
                <w:color w:val="auto"/>
                <w:kern w:val="0"/>
                <w:szCs w:val="21"/>
                <w:highlight w:val="none"/>
                <w:lang w:val="zh-CN"/>
              </w:rPr>
              <w:t>允许：</w:t>
            </w:r>
            <w:r>
              <w:rPr>
                <w:rFonts w:hint="eastAsia" w:ascii="宋体" w:hAnsi="宋体"/>
                <w:color w:val="auto"/>
                <w:kern w:val="0"/>
                <w:szCs w:val="21"/>
                <w:highlight w:val="none"/>
                <w:u w:val="single"/>
              </w:rPr>
              <w:t>允许非主体、非关键性工程进行分包。</w:t>
            </w:r>
          </w:p>
          <w:p>
            <w:pPr>
              <w:rPr>
                <w:rFonts w:ascii="Times New Roman" w:hAnsi="Times New Roman"/>
                <w:color w:val="auto"/>
                <w:szCs w:val="21"/>
                <w:highlight w:val="none"/>
                <w:u w:val="single"/>
              </w:rPr>
            </w:pPr>
            <w:r>
              <w:rPr>
                <w:rFonts w:ascii="Times New Roman" w:hAnsi="Times New Roman"/>
                <w:color w:val="auto"/>
                <w:szCs w:val="21"/>
                <w:highlight w:val="none"/>
                <w:u w:val="single"/>
              </w:rPr>
              <w:t>分包内容</w:t>
            </w:r>
            <w:r>
              <w:rPr>
                <w:rFonts w:hint="eastAsia" w:ascii="Times New Roman" w:hAnsi="Times New Roman"/>
                <w:color w:val="auto"/>
                <w:szCs w:val="21"/>
                <w:highlight w:val="none"/>
                <w:u w:val="single"/>
              </w:rPr>
              <w:t>要求</w:t>
            </w:r>
            <w:r>
              <w:rPr>
                <w:rFonts w:ascii="Times New Roman" w:hAnsi="Times New Roman"/>
                <w:color w:val="auto"/>
                <w:szCs w:val="21"/>
                <w:highlight w:val="none"/>
                <w:u w:val="single"/>
              </w:rPr>
              <w:t>：</w:t>
            </w:r>
            <w:r>
              <w:rPr>
                <w:rFonts w:hint="eastAsia" w:ascii="宋体" w:hAnsi="宋体"/>
                <w:color w:val="auto"/>
                <w:szCs w:val="21"/>
                <w:highlight w:val="none"/>
                <w:u w:val="single"/>
              </w:rPr>
              <w:t>经监理工程师及发包人同意后可依法分包。</w:t>
            </w:r>
          </w:p>
          <w:p>
            <w:pPr>
              <w:rPr>
                <w:rFonts w:hint="eastAsia" w:ascii="Times New Roman" w:hAnsi="Times New Roman"/>
                <w:color w:val="auto"/>
                <w:szCs w:val="21"/>
                <w:highlight w:val="none"/>
                <w:u w:val="single"/>
              </w:rPr>
            </w:pPr>
            <w:r>
              <w:rPr>
                <w:rFonts w:ascii="Times New Roman" w:hAnsi="Times New Roman"/>
                <w:color w:val="auto"/>
                <w:szCs w:val="21"/>
                <w:highlight w:val="none"/>
                <w:u w:val="single"/>
              </w:rPr>
              <w:t>分包金额</w:t>
            </w:r>
            <w:r>
              <w:rPr>
                <w:rFonts w:hint="eastAsia" w:ascii="Times New Roman" w:hAnsi="Times New Roman"/>
                <w:color w:val="auto"/>
                <w:szCs w:val="21"/>
                <w:highlight w:val="none"/>
                <w:u w:val="single"/>
              </w:rPr>
              <w:t>要求</w:t>
            </w:r>
            <w:r>
              <w:rPr>
                <w:rFonts w:ascii="Times New Roman" w:hAnsi="Times New Roman"/>
                <w:color w:val="auto"/>
                <w:szCs w:val="21"/>
                <w:highlight w:val="none"/>
                <w:u w:val="single"/>
              </w:rPr>
              <w:t>：</w:t>
            </w:r>
            <w:r>
              <w:rPr>
                <w:rFonts w:hint="eastAsia" w:ascii="Times New Roman" w:hAnsi="Times New Roman"/>
                <w:color w:val="auto"/>
                <w:szCs w:val="21"/>
                <w:highlight w:val="none"/>
                <w:u w:val="single"/>
              </w:rPr>
              <w:t>无</w:t>
            </w:r>
          </w:p>
          <w:p>
            <w:pPr>
              <w:rPr>
                <w:rFonts w:ascii="宋体" w:hAnsi="宋体"/>
                <w:color w:val="auto"/>
                <w:kern w:val="0"/>
                <w:szCs w:val="21"/>
                <w:highlight w:val="none"/>
                <w:lang w:val="zh-CN"/>
              </w:rPr>
            </w:pPr>
            <w:r>
              <w:rPr>
                <w:rFonts w:hint="eastAsia" w:ascii="Times New Roman" w:hAnsi="Times New Roman"/>
                <w:color w:val="auto"/>
                <w:szCs w:val="21"/>
                <w:highlight w:val="none"/>
                <w:u w:val="single"/>
              </w:rPr>
              <w:t>对分包人的资质要求：</w:t>
            </w:r>
            <w:r>
              <w:rPr>
                <w:rFonts w:hint="eastAsia" w:ascii="宋体" w:hAnsi="宋体"/>
                <w:color w:val="auto"/>
                <w:szCs w:val="21"/>
                <w:highlight w:val="none"/>
                <w:u w:val="single"/>
              </w:rPr>
              <w:t>符合有关法律法规和文件规定，并不得再次分包。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36</w:t>
            </w:r>
          </w:p>
        </w:tc>
        <w:tc>
          <w:tcPr>
            <w:tcW w:w="9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highlight w:val="none"/>
              </w:rPr>
            </w:pPr>
            <w:r>
              <w:rPr>
                <w:rFonts w:hint="eastAsia" w:ascii="宋体" w:hAnsi="宋体"/>
                <w:color w:val="auto"/>
                <w:highlight w:val="none"/>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s="Courier New"/>
                <w:color w:val="auto"/>
                <w:szCs w:val="21"/>
                <w:highlight w:val="none"/>
              </w:rPr>
            </w:pPr>
            <w:r>
              <w:rPr>
                <w:rFonts w:hint="eastAsia" w:ascii="宋体" w:hAnsi="宋体" w:cs="Courier New"/>
                <w:color w:val="auto"/>
                <w:szCs w:val="21"/>
                <w:highlight w:val="none"/>
              </w:rPr>
              <w:t>1、按照</w:t>
            </w:r>
            <w:r>
              <w:rPr>
                <w:rFonts w:hint="eastAsia" w:ascii="宋体" w:hAnsi="宋体" w:cs="宋体"/>
                <w:color w:val="auto"/>
                <w:szCs w:val="21"/>
                <w:highlight w:val="none"/>
                <w:u w:val="single"/>
              </w:rPr>
              <w:t>广州公共资源交易中心</w:t>
            </w:r>
            <w:r>
              <w:rPr>
                <w:rFonts w:hint="eastAsia" w:ascii="宋体" w:hAnsi="宋体" w:cs="Courier New"/>
                <w:color w:val="auto"/>
                <w:szCs w:val="21"/>
                <w:highlight w:val="none"/>
              </w:rPr>
              <w:t>交易平台关于全流程电子化项目的相关指南进行操作。详见：</w:t>
            </w:r>
            <w:r>
              <w:rPr>
                <w:rFonts w:hint="eastAsia" w:ascii="宋体" w:hAnsi="宋体" w:cs="宋体"/>
                <w:color w:val="auto"/>
                <w:szCs w:val="21"/>
                <w:highlight w:val="none"/>
                <w:u w:val="single"/>
              </w:rPr>
              <w:t>广州公共资源交易中心网站最新指引</w:t>
            </w:r>
            <w:r>
              <w:rPr>
                <w:rFonts w:hint="eastAsia" w:ascii="宋体" w:hAnsi="宋体" w:cs="宋体"/>
                <w:color w:val="auto"/>
                <w:szCs w:val="21"/>
                <w:highlight w:val="none"/>
                <w:u w:val="none"/>
              </w:rPr>
              <w:t>。</w:t>
            </w:r>
            <w:r>
              <w:rPr>
                <w:rFonts w:hint="eastAsia" w:ascii="宋体" w:hAnsi="宋体" w:cs="Courier New"/>
                <w:color w:val="auto"/>
                <w:szCs w:val="21"/>
                <w:highlight w:val="none"/>
              </w:rPr>
              <w:t xml:space="preserve">  </w:t>
            </w:r>
          </w:p>
          <w:p>
            <w:pPr>
              <w:rPr>
                <w:rFonts w:ascii="宋体" w:hAnsi="宋体" w:cs="Courier New"/>
                <w:color w:val="auto"/>
                <w:szCs w:val="21"/>
                <w:highlight w:val="none"/>
              </w:rPr>
            </w:pPr>
            <w:r>
              <w:rPr>
                <w:rFonts w:hint="eastAsia" w:ascii="宋体" w:hAnsi="宋体" w:cs="Courier New"/>
                <w:color w:val="auto"/>
                <w:szCs w:val="21"/>
                <w:highlight w:val="none"/>
              </w:rPr>
              <w:t>2、提交投标文件光盘备用</w:t>
            </w:r>
          </w:p>
          <w:p>
            <w:pPr>
              <w:rPr>
                <w:rFonts w:ascii="宋体" w:hAnsi="宋体" w:cs="Courier New"/>
                <w:color w:val="auto"/>
                <w:szCs w:val="21"/>
                <w:highlight w:val="none"/>
              </w:rPr>
            </w:pPr>
            <w:r>
              <w:rPr>
                <w:rFonts w:hint="eastAsia" w:ascii="宋体" w:hAnsi="宋体" w:cs="Courier New"/>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color w:val="auto"/>
                <w:szCs w:val="21"/>
                <w:highlight w:val="none"/>
              </w:rPr>
            </w:pPr>
            <w:r>
              <w:rPr>
                <w:rFonts w:hint="eastAsia" w:ascii="宋体" w:hAnsi="宋体" w:cs="Courier New"/>
                <w:color w:val="auto"/>
                <w:szCs w:val="21"/>
                <w:highlight w:val="none"/>
              </w:rPr>
              <w:t>3、补救方案</w:t>
            </w:r>
          </w:p>
          <w:p>
            <w:pPr>
              <w:rPr>
                <w:rFonts w:ascii="宋体" w:hAnsi="宋体" w:cs="Courier New"/>
                <w:color w:val="auto"/>
                <w:szCs w:val="21"/>
                <w:highlight w:val="none"/>
              </w:rPr>
            </w:pPr>
            <w:r>
              <w:rPr>
                <w:rFonts w:hint="eastAsia" w:ascii="宋体" w:hAnsi="宋体" w:cs="Courier New"/>
                <w:color w:val="auto"/>
                <w:szCs w:val="21"/>
                <w:highlight w:val="none"/>
              </w:rPr>
              <w:t>（1）投标文件解密失败的补救方案：</w:t>
            </w:r>
          </w:p>
          <w:p>
            <w:pPr>
              <w:rPr>
                <w:rFonts w:ascii="宋体" w:hAnsi="宋体" w:cs="Courier New"/>
                <w:color w:val="auto"/>
                <w:szCs w:val="21"/>
                <w:highlight w:val="none"/>
              </w:rPr>
            </w:pPr>
            <w:r>
              <w:rPr>
                <w:rFonts w:hint="eastAsia" w:ascii="宋体" w:hAnsi="宋体" w:cs="Courier New"/>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color w:val="auto"/>
                <w:szCs w:val="21"/>
                <w:highlight w:val="none"/>
              </w:rPr>
            </w:pPr>
            <w:r>
              <w:rPr>
                <w:rFonts w:hint="eastAsia" w:ascii="宋体" w:hAnsi="宋体" w:cs="Courier New"/>
                <w:color w:val="auto"/>
                <w:szCs w:val="21"/>
                <w:highlight w:val="none"/>
              </w:rPr>
              <w:t>（2）评标时突发情况的补救方案</w:t>
            </w:r>
          </w:p>
          <w:p>
            <w:pPr>
              <w:rPr>
                <w:rFonts w:ascii="宋体" w:hAnsi="宋体" w:cs="Courier New"/>
                <w:color w:val="auto"/>
                <w:szCs w:val="21"/>
                <w:highlight w:val="none"/>
              </w:rPr>
            </w:pPr>
            <w:r>
              <w:rPr>
                <w:rFonts w:hint="eastAsia" w:ascii="宋体" w:hAnsi="宋体" w:cs="Courier New"/>
                <w:color w:val="auto"/>
                <w:szCs w:val="21"/>
                <w:highlight w:val="none"/>
              </w:rPr>
              <w:t>若遇不可抗力发生（指网络瘫痪、服务器损坏、交易系统故障短期无法恢复等因素），由评标委员会开启投标人递交的全部投标文件光盘，并按光盘内容进行评审。</w:t>
            </w:r>
          </w:p>
          <w:p>
            <w:pPr>
              <w:rPr>
                <w:rFonts w:ascii="宋体" w:hAnsi="宋体" w:cs="Courier New"/>
                <w:color w:val="auto"/>
                <w:szCs w:val="21"/>
                <w:highlight w:val="none"/>
              </w:rPr>
            </w:pPr>
            <w:r>
              <w:rPr>
                <w:rFonts w:hint="eastAsia" w:ascii="宋体" w:hAnsi="宋体" w:cs="Courier New"/>
                <w:color w:val="auto"/>
                <w:szCs w:val="21"/>
                <w:highlight w:val="none"/>
              </w:rPr>
              <w:t>（3）除发生上述情况外，开标评标均以投标人通过</w:t>
            </w:r>
            <w:r>
              <w:rPr>
                <w:rFonts w:hint="eastAsia" w:ascii="宋体" w:hAnsi="宋体" w:cs="宋体"/>
                <w:color w:val="auto"/>
                <w:szCs w:val="21"/>
                <w:highlight w:val="none"/>
                <w:u w:val="single"/>
              </w:rPr>
              <w:t>广州公共资源交易中心</w:t>
            </w:r>
            <w:r>
              <w:rPr>
                <w:rFonts w:hint="eastAsia" w:ascii="宋体" w:hAnsi="宋体" w:cs="Courier New"/>
                <w:color w:val="auto"/>
                <w:szCs w:val="21"/>
                <w:highlight w:val="none"/>
              </w:rPr>
              <w:t>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olor w:val="auto"/>
                <w:szCs w:val="21"/>
                <w:highlight w:val="none"/>
                <w:u w:val="single"/>
              </w:rPr>
            </w:pPr>
            <w:r>
              <w:rPr>
                <w:rFonts w:hint="eastAsia" w:ascii="宋体" w:hAnsi="宋体"/>
                <w:color w:val="auto"/>
                <w:szCs w:val="21"/>
                <w:highlight w:val="none"/>
                <w:u w:val="single"/>
              </w:rPr>
              <w:t>37</w:t>
            </w:r>
          </w:p>
        </w:tc>
        <w:tc>
          <w:tcPr>
            <w:tcW w:w="9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招标人拒绝接收投标文件备用光盘的情况</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1、在投标截止期后逾期或未在指定地点递交投标文件备用光盘的；</w:t>
            </w:r>
          </w:p>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2、投标文件备用光盘未按招标文件要求密封或未在密封处盖章的；</w:t>
            </w:r>
          </w:p>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3、投标人代表未凭法定代表人证明书（原件）、授权委托书原件（仅限于非法定代表人）、本人身份证原件递交投标文件备用光盘的。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olor w:val="auto"/>
                <w:szCs w:val="21"/>
                <w:highlight w:val="none"/>
                <w:u w:val="single"/>
              </w:rPr>
            </w:pPr>
            <w:r>
              <w:rPr>
                <w:rFonts w:hint="eastAsia" w:ascii="宋体" w:hAnsi="宋体"/>
                <w:color w:val="auto"/>
                <w:szCs w:val="21"/>
                <w:highlight w:val="none"/>
                <w:u w:val="single"/>
              </w:rPr>
              <w:t>38</w:t>
            </w:r>
          </w:p>
        </w:tc>
        <w:tc>
          <w:tcPr>
            <w:tcW w:w="9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中标公示后中标单位提交投标文件要求</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中标人在签订合同前需向招标人另行提供与投标递交的电子标书一致且加盖单位公章的纸质投标文件（含投标人须知11.3列表明细包含的所有工程量清单报价表）4份及电子文件1份（不用生成投标书；包括用Microsoft Excel 软件或广州公共资源交易中心提供的投标书制作软件制作的工程量清单报价表和单价分析表，用 Microsoft Word 软件或广州公共资源交易中心提供的投标书制作软件制作的经济投标文件其他部分。电子文件介质使用CD-R光盘，所有电子文件不能采用压缩处理）。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double" w:color="auto" w:sz="4" w:space="0"/>
              <w:right w:val="single" w:color="auto" w:sz="4" w:space="0"/>
            </w:tcBorders>
            <w:noWrap w:val="0"/>
            <w:vAlign w:val="center"/>
          </w:tcPr>
          <w:p>
            <w:pPr>
              <w:rPr>
                <w:rFonts w:hint="eastAsia" w:ascii="宋体" w:hAnsi="宋体"/>
                <w:color w:val="auto"/>
                <w:szCs w:val="21"/>
                <w:highlight w:val="none"/>
                <w:u w:val="single"/>
              </w:rPr>
            </w:pPr>
            <w:r>
              <w:rPr>
                <w:rFonts w:hint="eastAsia" w:ascii="宋体" w:hAnsi="宋体"/>
                <w:color w:val="auto"/>
                <w:szCs w:val="21"/>
                <w:highlight w:val="none"/>
                <w:u w:val="single"/>
              </w:rPr>
              <w:t>39</w:t>
            </w:r>
          </w:p>
        </w:tc>
        <w:tc>
          <w:tcPr>
            <w:tcW w:w="981" w:type="dxa"/>
            <w:tcBorders>
              <w:top w:val="single" w:color="auto" w:sz="4" w:space="0"/>
              <w:left w:val="single" w:color="auto" w:sz="4" w:space="0"/>
              <w:bottom w:val="double" w:color="auto" w:sz="4" w:space="0"/>
              <w:right w:val="single" w:color="auto" w:sz="4" w:space="0"/>
            </w:tcBorders>
            <w:noWrap w:val="0"/>
            <w:vAlign w:val="center"/>
          </w:tcPr>
          <w:p>
            <w:pPr>
              <w:jc w:val="center"/>
              <w:rPr>
                <w:rFonts w:ascii="宋体" w:hAnsi="宋体"/>
                <w:color w:val="auto"/>
                <w:highlight w:val="none"/>
              </w:rPr>
            </w:pPr>
          </w:p>
        </w:tc>
        <w:tc>
          <w:tcPr>
            <w:tcW w:w="1810" w:type="dxa"/>
            <w:tcBorders>
              <w:top w:val="single" w:color="auto" w:sz="4" w:space="0"/>
              <w:left w:val="single" w:color="auto" w:sz="4" w:space="0"/>
              <w:bottom w:val="double" w:color="auto" w:sz="4" w:space="0"/>
              <w:right w:val="single" w:color="auto" w:sz="4" w:space="0"/>
            </w:tcBorders>
            <w:noWrap w:val="0"/>
            <w:vAlign w:val="center"/>
          </w:tcPr>
          <w:p>
            <w:pPr>
              <w:rPr>
                <w:rFonts w:hint="eastAsia" w:ascii="宋体" w:hAnsi="宋体" w:cs="宋体"/>
                <w:color w:val="auto"/>
                <w:szCs w:val="21"/>
                <w:highlight w:val="none"/>
                <w:u w:val="single"/>
              </w:rPr>
            </w:pPr>
            <w:r>
              <w:rPr>
                <w:rFonts w:hint="eastAsia" w:ascii="宋体" w:hAnsi="宋体"/>
                <w:color w:val="auto"/>
                <w:szCs w:val="21"/>
                <w:highlight w:val="none"/>
                <w:u w:val="single"/>
              </w:rPr>
              <w:t>安全生产责任保险</w:t>
            </w:r>
          </w:p>
        </w:tc>
        <w:tc>
          <w:tcPr>
            <w:tcW w:w="5857" w:type="dxa"/>
            <w:tcBorders>
              <w:top w:val="single" w:color="auto" w:sz="4" w:space="0"/>
              <w:left w:val="single" w:color="auto" w:sz="4" w:space="0"/>
              <w:bottom w:val="double" w:color="auto" w:sz="4" w:space="0"/>
              <w:right w:val="double" w:color="auto" w:sz="4" w:space="0"/>
            </w:tcBorders>
            <w:noWrap w:val="0"/>
            <w:vAlign w:val="center"/>
          </w:tcPr>
          <w:p>
            <w:pPr>
              <w:rPr>
                <w:rFonts w:hint="eastAsia" w:ascii="宋体" w:hAnsi="宋体" w:cs="宋体"/>
                <w:color w:val="auto"/>
                <w:kern w:val="0"/>
                <w:szCs w:val="21"/>
                <w:highlight w:val="none"/>
                <w:u w:val="single"/>
                <w:lang w:val="zh-CN"/>
              </w:rPr>
            </w:pPr>
            <w:r>
              <w:rPr>
                <w:rFonts w:hint="eastAsia" w:ascii="宋体" w:hAnsi="宋体"/>
                <w:color w:val="auto"/>
                <w:szCs w:val="21"/>
                <w:highlight w:val="none"/>
                <w:u w:val="single"/>
              </w:rPr>
              <w:t>开工前中标人应当投保安全生产责任保险，且该保险保障场所应包含中标项目。投标人的投标报价视为包含该项费用。中标人未按规定购买安全生产责任保险，招标人可视严重程度拒绝该单位一定时期内参与后续工程投标，在招标公告和合同专用条款中予以明确，并在后续工程招标时随招标公告发布拒绝投标名单（注明拒绝理由）。</w:t>
            </w:r>
          </w:p>
        </w:tc>
      </w:tr>
    </w:tbl>
    <w:p>
      <w:pPr>
        <w:pStyle w:val="6"/>
        <w:rPr>
          <w:color w:val="auto"/>
          <w:highlight w:val="none"/>
        </w:rPr>
      </w:pPr>
      <w:r>
        <w:rPr>
          <w:color w:val="auto"/>
          <w:highlight w:val="none"/>
        </w:rPr>
        <w:br w:type="page"/>
      </w:r>
      <w:bookmarkStart w:id="12" w:name="_Toc21525491"/>
      <w:bookmarkStart w:id="13" w:name="_Toc2272547"/>
      <w:r>
        <w:rPr>
          <w:rFonts w:hint="eastAsia"/>
          <w:color w:val="auto"/>
          <w:highlight w:val="none"/>
        </w:rPr>
        <w:t>二、投标须知修改表</w:t>
      </w:r>
      <w:bookmarkEnd w:id="12"/>
      <w:bookmarkEnd w:id="13"/>
    </w:p>
    <w:p>
      <w:pPr>
        <w:pStyle w:val="5"/>
        <w:spacing w:line="360" w:lineRule="auto"/>
        <w:rPr>
          <w:rFonts w:ascii="宋体" w:hAnsi="宋体"/>
          <w:b/>
          <w:color w:val="auto"/>
          <w:sz w:val="21"/>
          <w:szCs w:val="21"/>
          <w:highlight w:val="none"/>
        </w:rPr>
      </w:pPr>
      <w:r>
        <w:rPr>
          <w:rFonts w:hint="eastAsia" w:ascii="宋体" w:hAnsi="宋体"/>
          <w:b/>
          <w:color w:val="auto"/>
          <w:sz w:val="21"/>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w:t>
      </w:r>
      <w:r>
        <w:rPr>
          <w:rFonts w:hint="eastAsia" w:ascii="宋体" w:hAnsi="宋体"/>
          <w:b/>
          <w:color w:val="auto"/>
          <w:sz w:val="21"/>
          <w:szCs w:val="21"/>
          <w:highlight w:val="none"/>
          <w:u w:val="single"/>
        </w:rPr>
        <w:t>网址：</w:t>
      </w:r>
      <w:r>
        <w:rPr>
          <w:rFonts w:ascii="宋体" w:hAnsi="宋体"/>
          <w:b/>
          <w:color w:val="auto"/>
          <w:sz w:val="21"/>
          <w:szCs w:val="21"/>
          <w:highlight w:val="none"/>
          <w:u w:val="single"/>
        </w:rPr>
        <w:t>http://zfcj.gz.gov.cn/</w:t>
      </w:r>
      <w:r>
        <w:rPr>
          <w:rFonts w:hint="eastAsia" w:ascii="宋体" w:hAnsi="宋体"/>
          <w:b/>
          <w:color w:val="auto"/>
          <w:sz w:val="21"/>
          <w:szCs w:val="21"/>
          <w:highlight w:val="none"/>
        </w:rPr>
        <w:t>）下载查阅。</w:t>
      </w:r>
    </w:p>
    <w:p>
      <w:pPr>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条款号：2.5                          修改类型：增加</w:t>
      </w:r>
    </w:p>
    <w:p>
      <w:pPr>
        <w:pStyle w:val="5"/>
        <w:pBdr>
          <w:bottom w:val="single" w:color="auto" w:sz="6" w:space="1"/>
        </w:pBdr>
        <w:spacing w:after="0"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2.5</w:t>
      </w:r>
      <w:r>
        <w:rPr>
          <w:rFonts w:hint="eastAsia" w:ascii="宋体" w:hAnsi="宋体"/>
          <w:color w:val="auto"/>
          <w:sz w:val="21"/>
          <w:szCs w:val="21"/>
          <w:highlight w:val="none"/>
          <w:lang w:val="zh-CN"/>
        </w:rPr>
        <w:t>根据《建设工程质量检测管理办法》（建设部令第</w:t>
      </w:r>
      <w:r>
        <w:rPr>
          <w:rFonts w:ascii="宋体" w:hAnsi="宋体"/>
          <w:color w:val="auto"/>
          <w:sz w:val="21"/>
          <w:szCs w:val="21"/>
          <w:highlight w:val="none"/>
          <w:lang w:val="zh-CN"/>
        </w:rPr>
        <w:t>141</w:t>
      </w:r>
      <w:r>
        <w:rPr>
          <w:rFonts w:hint="eastAsia" w:ascii="宋体" w:hAnsi="宋体"/>
          <w:color w:val="auto"/>
          <w:sz w:val="21"/>
          <w:szCs w:val="21"/>
          <w:highlight w:val="none"/>
          <w:lang w:val="zh-CN"/>
        </w:rPr>
        <w:t>号）第十二条规定，建设工程质量、安全检测业务应由建设单位依法委托，不列入本次招标范围。招标文件中与此条不一致的，以此条为准。</w:t>
      </w:r>
      <w:r>
        <w:rPr>
          <w:rFonts w:hint="eastAsia" w:ascii="宋体" w:hAnsi="宋体"/>
          <w:color w:val="auto"/>
          <w:sz w:val="21"/>
          <w:szCs w:val="21"/>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条款号：5.1                          修改类型：修改</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：5.1</w:t>
      </w:r>
      <w:r>
        <w:rPr>
          <w:rFonts w:hint="eastAsia" w:ascii="宋体" w:hAnsi="宋体"/>
          <w:bCs/>
          <w:color w:val="auto"/>
          <w:szCs w:val="21"/>
          <w:highlight w:val="none"/>
        </w:rPr>
        <w:t>投标人应按本投标须知前附表第</w:t>
      </w:r>
      <w:r>
        <w:rPr>
          <w:rFonts w:ascii="宋体" w:hAnsi="宋体"/>
          <w:bCs/>
          <w:color w:val="auto"/>
          <w:szCs w:val="21"/>
          <w:highlight w:val="none"/>
        </w:rPr>
        <w:t>15</w:t>
      </w:r>
      <w:r>
        <w:rPr>
          <w:rFonts w:hint="eastAsia" w:ascii="宋体" w:hAnsi="宋体"/>
          <w:bCs/>
          <w:color w:val="auto"/>
          <w:szCs w:val="21"/>
          <w:highlight w:val="none"/>
        </w:rPr>
        <w:t>项所述时间和要求对工程现场及周围环境进行踏勘，</w:t>
      </w:r>
      <w:r>
        <w:rPr>
          <w:rFonts w:hint="eastAsia" w:ascii="宋体" w:hAnsi="宋体"/>
          <w:color w:val="auto"/>
          <w:szCs w:val="21"/>
          <w:highlight w:val="none"/>
        </w:rPr>
        <w:t>投标人应充分重视和仔细地进行这种考察，</w:t>
      </w:r>
      <w:r>
        <w:rPr>
          <w:rFonts w:hint="eastAsia" w:ascii="宋体" w:hAnsi="宋体"/>
          <w:bCs/>
          <w:color w:val="auto"/>
          <w:szCs w:val="21"/>
          <w:highlight w:val="none"/>
        </w:rPr>
        <w:t>以便投标人获取</w:t>
      </w:r>
      <w:r>
        <w:rPr>
          <w:rFonts w:hint="eastAsia" w:ascii="宋体" w:hAnsi="宋体"/>
          <w:color w:val="auto"/>
          <w:szCs w:val="21"/>
          <w:highlight w:val="none"/>
        </w:rPr>
        <w:t>那些须投标人自己负责的</w:t>
      </w:r>
      <w:r>
        <w:rPr>
          <w:rFonts w:hint="eastAsia" w:ascii="宋体" w:hAnsi="宋体"/>
          <w:bCs/>
          <w:color w:val="auto"/>
          <w:szCs w:val="21"/>
          <w:highlight w:val="none"/>
        </w:rPr>
        <w:t>有关编制投标文件和签署合同所涉及现场所有的资料。</w:t>
      </w:r>
      <w:r>
        <w:rPr>
          <w:rFonts w:hint="eastAsia" w:ascii="宋体" w:hAnsi="宋体"/>
          <w:color w:val="auto"/>
          <w:szCs w:val="21"/>
          <w:highlight w:val="none"/>
        </w:rPr>
        <w:t>一旦中标，这种考察即被认为其结果已在中标文件中得到充分反映。考察现场的费用由投标人自己承担。</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color w:val="auto"/>
          <w:szCs w:val="21"/>
          <w:highlight w:val="none"/>
          <w:u w:val="single"/>
        </w:rPr>
        <w:t>，投标人不进行踏勘的，视为已熟知现场条件，自行承担相关风险</w:t>
      </w:r>
      <w:r>
        <w:rPr>
          <w:rFonts w:hint="eastAsia" w:ascii="宋体" w:hAnsi="宋体" w:cs="宋体"/>
          <w:color w:val="auto"/>
          <w:szCs w:val="21"/>
          <w:highlight w:val="none"/>
        </w:rPr>
        <w:t>。一旦中标，这种考察即被认为其结果已在中标文件中得到充分反映。</w:t>
      </w:r>
      <w:r>
        <w:rPr>
          <w:rFonts w:hint="eastAsia" w:ascii="宋体" w:hAnsi="宋体" w:cs="宋体"/>
          <w:color w:val="auto"/>
          <w:szCs w:val="21"/>
          <w:highlight w:val="none"/>
          <w:u w:val="single"/>
        </w:rPr>
        <w:t>招标人不受理因投标人缺乏对现场条件的了解或掌握而提出的任何索赔。</w:t>
      </w:r>
      <w:r>
        <w:rPr>
          <w:rFonts w:hint="eastAsia" w:ascii="宋体" w:hAnsi="宋体" w:cs="宋体"/>
          <w:color w:val="auto"/>
          <w:szCs w:val="21"/>
          <w:highlight w:val="none"/>
        </w:rPr>
        <w:t>考察现场的费用由投标人自己承担。</w:t>
      </w:r>
    </w:p>
    <w:p>
      <w:pPr>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条款号：8.1                          修改类型：修改</w:t>
      </w:r>
    </w:p>
    <w:p>
      <w:pPr>
        <w:pStyle w:val="5"/>
        <w:pBdr>
          <w:bottom w:val="single" w:color="auto" w:sz="6" w:space="1"/>
        </w:pBdr>
        <w:spacing w:after="0"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8.1投标人若对招标文件（包括招标图纸）中有疑问，可以书面形式通过</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交易平台提交给招标人或招标代理人，提交形式见本须知前附表第16项。</w:t>
      </w:r>
    </w:p>
    <w:p>
      <w:pPr>
        <w:pStyle w:val="5"/>
        <w:pBdr>
          <w:bottom w:val="single" w:color="auto" w:sz="6" w:space="1"/>
        </w:pBdr>
        <w:spacing w:after="0"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8.1</w:t>
      </w:r>
      <w:r>
        <w:rPr>
          <w:rFonts w:hint="eastAsia" w:ascii="宋体" w:hAnsi="宋体" w:cs="宋体"/>
          <w:bCs/>
          <w:color w:val="auto"/>
          <w:sz w:val="21"/>
          <w:szCs w:val="21"/>
          <w:highlight w:val="none"/>
          <w:u w:val="single"/>
        </w:rPr>
        <w:t>投标人若对招标文件（包括招标图纸、清单、最高投标限价）中有疑问，采用网上答疑方式进行，详见本须知前附表第16项。招标人或招标代理人将于本须知前附表第16项指定的地点（交易平台）和时间对疑问进行答复。</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条款号：8.2                         修改类型：修改</w:t>
      </w:r>
    </w:p>
    <w:p>
      <w:pPr>
        <w:pStyle w:val="5"/>
        <w:spacing w:after="0"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8.2招标答疑会会议纪要将在提交投标文件截止时间15日前在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 “项目答疑纪要”专区公开发布。答疑纪要一经在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交易平台发布，视作已发放给所有投标人。</w:t>
      </w:r>
    </w:p>
    <w:p>
      <w:pPr>
        <w:pStyle w:val="5"/>
        <w:pBdr>
          <w:bottom w:val="single" w:color="auto" w:sz="4" w:space="1"/>
        </w:pBdr>
        <w:spacing w:after="0"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8.2招标答疑会会议纪要将在提交投标文件截止时间15日前在</w:t>
      </w:r>
      <w:r>
        <w:rPr>
          <w:rFonts w:hint="eastAsia" w:ascii="宋体" w:hAnsi="宋体" w:cs="宋体"/>
          <w:color w:val="auto"/>
          <w:sz w:val="21"/>
          <w:szCs w:val="21"/>
          <w:highlight w:val="none"/>
          <w:u w:val="single"/>
        </w:rPr>
        <w:t>广州公共资源交易中心</w:t>
      </w:r>
      <w:r>
        <w:rPr>
          <w:rFonts w:hint="eastAsia" w:ascii="宋体" w:hAnsi="宋体" w:cs="宋体"/>
          <w:color w:val="auto"/>
          <w:sz w:val="21"/>
          <w:szCs w:val="21"/>
          <w:highlight w:val="none"/>
        </w:rPr>
        <w:t>交易平台“</w:t>
      </w:r>
      <w:r>
        <w:rPr>
          <w:rFonts w:ascii="宋体" w:hAnsi="宋体" w:cs="宋体"/>
          <w:color w:val="auto"/>
          <w:sz w:val="21"/>
          <w:szCs w:val="21"/>
          <w:highlight w:val="none"/>
          <w:u w:val="single"/>
        </w:rPr>
        <w:fldChar w:fldCharType="begin"/>
      </w:r>
      <w:r>
        <w:rPr>
          <w:rFonts w:ascii="宋体" w:hAnsi="宋体" w:cs="宋体"/>
          <w:color w:val="auto"/>
          <w:sz w:val="21"/>
          <w:szCs w:val="21"/>
          <w:highlight w:val="none"/>
          <w:u w:val="single"/>
        </w:rPr>
        <w:instrText xml:space="preserve">HYPERLINK "http://ggzy.gz.gov.cn/xmcxjsgc/index.jhtml"</w:instrText>
      </w:r>
      <w:r>
        <w:rPr>
          <w:rFonts w:ascii="宋体" w:hAnsi="宋体" w:cs="宋体"/>
          <w:color w:val="auto"/>
          <w:sz w:val="21"/>
          <w:szCs w:val="21"/>
          <w:highlight w:val="none"/>
          <w:u w:val="single"/>
        </w:rPr>
        <w:fldChar w:fldCharType="separate"/>
      </w:r>
      <w:r>
        <w:rPr>
          <w:rFonts w:hint="eastAsia" w:ascii="宋体" w:hAnsi="宋体" w:cs="宋体"/>
          <w:color w:val="auto"/>
          <w:sz w:val="21"/>
          <w:szCs w:val="21"/>
          <w:highlight w:val="none"/>
          <w:u w:val="single"/>
        </w:rPr>
        <w:t>项目查询(日程安排、答疑纪要)</w:t>
      </w:r>
      <w:r>
        <w:rPr>
          <w:rFonts w:ascii="宋体" w:hAnsi="宋体" w:cs="宋体"/>
          <w:color w:val="auto"/>
          <w:sz w:val="21"/>
          <w:szCs w:val="21"/>
          <w:highlight w:val="none"/>
          <w:u w:val="single"/>
        </w:rPr>
        <w:fldChar w:fldCharType="end"/>
      </w:r>
      <w:r>
        <w:rPr>
          <w:rFonts w:hint="eastAsia" w:ascii="宋体" w:hAnsi="宋体" w:cs="宋体"/>
          <w:color w:val="auto"/>
          <w:sz w:val="21"/>
          <w:szCs w:val="21"/>
          <w:highlight w:val="none"/>
        </w:rPr>
        <w:t>”专区公开发布。答疑纪要一经在</w:t>
      </w:r>
      <w:r>
        <w:rPr>
          <w:rFonts w:hint="eastAsia" w:ascii="宋体" w:hAnsi="宋体" w:cs="宋体"/>
          <w:color w:val="auto"/>
          <w:sz w:val="21"/>
          <w:szCs w:val="21"/>
          <w:highlight w:val="none"/>
          <w:u w:val="single"/>
        </w:rPr>
        <w:t>广州公共资源交易中心</w:t>
      </w:r>
      <w:r>
        <w:rPr>
          <w:rFonts w:hint="eastAsia" w:ascii="宋体" w:hAnsi="宋体" w:cs="宋体"/>
          <w:color w:val="auto"/>
          <w:sz w:val="21"/>
          <w:szCs w:val="21"/>
          <w:highlight w:val="none"/>
        </w:rPr>
        <w:t>交易平台发布，视作已发放给所有投标人。</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条款号：9.2                         修改类型：修改</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9.2招标文件的澄清或修改将在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交易平台“项目答疑纪要”专区公开发布。答疑纪要一经在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交易平台上网发布时间作为送达时间。</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9.2招标文件的澄清或修改将在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w:t>
      </w:r>
      <w:r>
        <w:rPr>
          <w:rFonts w:ascii="宋体" w:hAnsi="宋体" w:cs="宋体"/>
          <w:color w:val="auto"/>
          <w:szCs w:val="21"/>
          <w:highlight w:val="none"/>
          <w:u w:val="single"/>
        </w:rPr>
        <w:fldChar w:fldCharType="begin"/>
      </w:r>
      <w:r>
        <w:rPr>
          <w:rFonts w:ascii="宋体" w:hAnsi="宋体" w:cs="宋体"/>
          <w:color w:val="auto"/>
          <w:szCs w:val="21"/>
          <w:highlight w:val="none"/>
          <w:u w:val="single"/>
        </w:rPr>
        <w:instrText xml:space="preserve">HYPERLINK "http://ggzy.gz.gov.cn/xmcxjsgc/index.jhtml"</w:instrText>
      </w:r>
      <w:r>
        <w:rPr>
          <w:rFonts w:ascii="宋体" w:hAnsi="宋体" w:cs="宋体"/>
          <w:color w:val="auto"/>
          <w:szCs w:val="21"/>
          <w:highlight w:val="none"/>
          <w:u w:val="single"/>
        </w:rPr>
        <w:fldChar w:fldCharType="separate"/>
      </w:r>
      <w:r>
        <w:rPr>
          <w:rFonts w:hint="eastAsia" w:ascii="宋体" w:hAnsi="宋体" w:cs="宋体"/>
          <w:color w:val="auto"/>
          <w:szCs w:val="21"/>
          <w:highlight w:val="none"/>
          <w:u w:val="single"/>
        </w:rPr>
        <w:t>项目查询(日程安排、答疑纪要)</w:t>
      </w:r>
      <w:r>
        <w:rPr>
          <w:rFonts w:ascii="宋体" w:hAnsi="宋体" w:cs="宋体"/>
          <w:color w:val="auto"/>
          <w:szCs w:val="21"/>
          <w:highlight w:val="none"/>
          <w:u w:val="single"/>
        </w:rPr>
        <w:fldChar w:fldCharType="end"/>
      </w:r>
      <w:r>
        <w:rPr>
          <w:rFonts w:hint="eastAsia" w:ascii="宋体" w:hAnsi="宋体" w:cs="宋体"/>
          <w:color w:val="auto"/>
          <w:szCs w:val="21"/>
          <w:highlight w:val="none"/>
        </w:rPr>
        <w:t>”专区公开发布。答疑纪要一经在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交易平台上网发布时间作为送达时间。</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条款号：9.4                         修改类型：修改</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9.4招标文件的澄清或修改均以</w:t>
      </w:r>
      <w:r>
        <w:rPr>
          <w:rFonts w:hint="eastAsia" w:ascii="宋体" w:hAnsi="宋体" w:cs="宋体"/>
          <w:color w:val="auto"/>
          <w:szCs w:val="21"/>
          <w:highlight w:val="none"/>
          <w:u w:val="single"/>
        </w:rPr>
        <w:t>网上答疑公布</w:t>
      </w:r>
      <w:r>
        <w:rPr>
          <w:rFonts w:hint="eastAsia" w:ascii="宋体" w:hAnsi="宋体" w:cs="宋体"/>
          <w:color w:val="auto"/>
          <w:szCs w:val="21"/>
          <w:highlight w:val="none"/>
        </w:rPr>
        <w:t>的内容为准。当招标文件的澄清、修改、补充等在同一内容的表述不一致时，以最后发出的</w:t>
      </w:r>
      <w:r>
        <w:rPr>
          <w:rFonts w:hint="eastAsia" w:ascii="宋体" w:hAnsi="宋体" w:cs="宋体"/>
          <w:color w:val="auto"/>
          <w:szCs w:val="21"/>
          <w:highlight w:val="none"/>
          <w:u w:val="single"/>
        </w:rPr>
        <w:t>文件</w:t>
      </w:r>
      <w:r>
        <w:rPr>
          <w:rFonts w:hint="eastAsia" w:ascii="宋体" w:hAnsi="宋体" w:cs="宋体"/>
          <w:color w:val="auto"/>
          <w:szCs w:val="21"/>
          <w:highlight w:val="none"/>
        </w:rPr>
        <w:t>为准。</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条款号：11                        修改类型：修改</w:t>
      </w:r>
    </w:p>
    <w:p>
      <w:pPr>
        <w:spacing w:line="360" w:lineRule="auto"/>
        <w:ind w:firstLine="422" w:firstLineChars="200"/>
        <w:rPr>
          <w:rFonts w:ascii="宋体" w:hAnsi="宋体"/>
          <w:bCs/>
          <w:color w:val="auto"/>
          <w:szCs w:val="21"/>
          <w:highlight w:val="none"/>
        </w:rPr>
      </w:pPr>
      <w:r>
        <w:rPr>
          <w:rFonts w:hint="eastAsia" w:ascii="宋体" w:hAnsi="宋体" w:cs="宋体"/>
          <w:b/>
          <w:color w:val="auto"/>
          <w:szCs w:val="21"/>
          <w:highlight w:val="none"/>
        </w:rPr>
        <w:t>原文：</w:t>
      </w:r>
      <w:r>
        <w:rPr>
          <w:rFonts w:hint="eastAsia" w:ascii="宋体" w:hAnsi="宋体"/>
          <w:bCs/>
          <w:color w:val="auto"/>
          <w:szCs w:val="21"/>
          <w:highlight w:val="none"/>
        </w:rPr>
        <w:t>11．投标文件的组成</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11.1 投标文件由技术部分（含资格审查文件）和经济部分二部分投标文件组成。</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11.2投标文件技术标部分主要包括下列内容:</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11.2.1 技术投标文件(按招标文件的要求填写)；</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11.2.2 资格审查文件：</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 xml:space="preserve">（1）投标人声明； </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（2）法定代表人证明书、法定代表人签字或盖章的本投标文件授权委托证明书；</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（3）企业营业执照（取自平台内上传件）；</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（4）企业资质证书（取自平台内上传件）；</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（5）建筑施工企业安全生产许可证（取自平台内上传件）；</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（6）项目负责人（按网上投标登记时选择拟投标的项目负责人）</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（7）专职安全员（按网上投标登记时选择拟投标的专职安全员）</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（8）拟委托技术负责人的相关证书、资料（具体要求由招标人明确）</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 xml:space="preserve">（9）拟委派项目负责人的建造师注册证书（取自平台内上传件）； </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（10）项目负责人安全生产考核合格证明或在有效期内的安全考核合格证书（B类）或建筑施工企业项目负责人安全生产考核合格证书（取自平台内上传件）；</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（11）专职安全员须具有在有效期内的安全考核合格证书（C类）或建筑施工企业专职安全生产管理人员安全生产考核合格证书（取自平台内上传件）；</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（12）用于资格审查的业绩（设置业绩要求时选择此项，投标人须提供类似工程业绩的项目名称及项目编号，具体格式由招标人自定）；</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（13）资格审查前，投标人须在广州市住房和城乡建设局建立企业信用档案，拟担任本工程项目负责人、专职安全员须是本企业信用档案中的在册人员。</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 xml:space="preserve">（14）列明主办单位的联合体工作协议（采用联合体投标时需递交，投标人拟任本工程项目负责人、专职安全员应为联合体主办方信用档案中的在册人员，联合体工作协议应明确约定各方拟承担的工作和责任）； </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11.2.3项目管理机构配备。</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（1）投标人应列出该项目工程的施工组织机构构成和画出机构框架图及其负责人；</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（2）投标人应详细列出该施工组织机构中主要成员的名单、简历资料、职务职称和在本项目中拟担任的职务等资料，并附上有关证明材料扫描件；</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（3）其他辅助说明资料。</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11.2.4投标人在广州市可使用适合本工程的机械设备（附：机械设备为自有或租赁的说明；及承诺机械设备如属于租赁的，其租赁是不属于重复租赁）。</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11.2.5施工组织设计或施工方案。</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11.2.6按照招标文件要求填写的《参与编制技术标投标文件人员名单》。</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11.3 经济部分投标文件主要包括下列内容：</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11.3.1 经济投标文件(按招标文件的要求填写)。</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（1）投标总价封面、扉页；</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（2）总说明</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（3）工程项目投标报价汇总表；</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（4）单项工程投标报价汇总表；</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（5）单位工程投标报价汇总表；</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（6）分部分项工程清单与计价表；</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（7）单价措施项目清单与计价表；</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（8）总价措施项目清单与计价表；</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（9）综合单价分析表；</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（10）其他项目清单与计价汇总表；</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（11）暂列金额明细表；</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（12）材料（工程设备）暂估价明细表；</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（13）专业工程暂估价明细表；</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（14）计日工表；</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（15）总承包服务计价表；</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（16）规费和税金项目计价表；</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 xml:space="preserve"> （17）人工、主要材料和设备一览表</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11.3.3按照招标文件要求填写的《参与编制经济标投标文件人员名单》。</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bCs/>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pPr>
        <w:pBdr>
          <w:bottom w:val="single" w:color="auto" w:sz="6" w:space="1"/>
        </w:pBdr>
        <w:spacing w:line="360" w:lineRule="auto"/>
        <w:ind w:firstLine="422" w:firstLineChars="200"/>
        <w:rPr>
          <w:rFonts w:hint="eastAsia" w:ascii="宋体" w:hAnsi="宋体"/>
          <w:bCs/>
          <w:color w:val="auto"/>
          <w:szCs w:val="21"/>
          <w:highlight w:val="none"/>
        </w:rPr>
      </w:pPr>
      <w:r>
        <w:rPr>
          <w:rFonts w:hint="eastAsia" w:ascii="宋体" w:hAnsi="宋体" w:cs="宋体"/>
          <w:b/>
          <w:color w:val="auto"/>
          <w:szCs w:val="21"/>
          <w:highlight w:val="none"/>
        </w:rPr>
        <w:t>现文：</w:t>
      </w:r>
      <w:r>
        <w:rPr>
          <w:rFonts w:hint="eastAsia" w:ascii="宋体" w:hAnsi="宋体"/>
          <w:bCs/>
          <w:color w:val="auto"/>
          <w:szCs w:val="21"/>
          <w:highlight w:val="none"/>
        </w:rPr>
        <w:t>11．投标文件的组成</w:t>
      </w:r>
    </w:p>
    <w:p>
      <w:pPr>
        <w:pBdr>
          <w:bottom w:val="single" w:color="auto" w:sz="6" w:space="1"/>
        </w:pBd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11.2投标文件技术标部分（含资格审查文件）主要包括下列内容:</w:t>
      </w:r>
    </w:p>
    <w:p>
      <w:pPr>
        <w:pBdr>
          <w:bottom w:val="single" w:color="auto" w:sz="6" w:space="1"/>
        </w:pBd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11.2.1广州建设工程施工招标投标书（技术标）（格式见招标文件第四章)。</w:t>
      </w:r>
    </w:p>
    <w:p>
      <w:pPr>
        <w:pBdr>
          <w:bottom w:val="single" w:color="auto" w:sz="6" w:space="1"/>
        </w:pBd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11.2.2 资格审查文件：</w:t>
      </w:r>
    </w:p>
    <w:p>
      <w:pPr>
        <w:pBdr>
          <w:bottom w:val="single" w:color="auto" w:sz="6" w:space="1"/>
        </w:pBd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（1）投标人声明</w:t>
      </w:r>
      <w:r>
        <w:rPr>
          <w:rFonts w:hint="eastAsia" w:ascii="宋体" w:hAnsi="宋体"/>
          <w:bCs/>
          <w:color w:val="auto"/>
          <w:szCs w:val="21"/>
          <w:highlight w:val="none"/>
          <w:u w:val="single"/>
        </w:rPr>
        <w:t>扫描件（须按招标公告附件内容及格式要求编制）；</w:t>
      </w:r>
    </w:p>
    <w:p>
      <w:pPr>
        <w:pBdr>
          <w:bottom w:val="single" w:color="auto" w:sz="6" w:space="1"/>
        </w:pBd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（2）法定代表人证明书、法定代表人签字或盖章的本投标文件授权委托证明书</w:t>
      </w:r>
      <w:r>
        <w:rPr>
          <w:rFonts w:hint="eastAsia" w:ascii="宋体" w:hAnsi="宋体"/>
          <w:bCs/>
          <w:color w:val="auto"/>
          <w:szCs w:val="21"/>
          <w:highlight w:val="none"/>
          <w:u w:val="single"/>
        </w:rPr>
        <w:t>扫描件；</w:t>
      </w:r>
    </w:p>
    <w:p>
      <w:pPr>
        <w:pBdr>
          <w:bottom w:val="single" w:color="auto" w:sz="6" w:space="1"/>
        </w:pBd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（3）企业营业执照</w:t>
      </w:r>
      <w:r>
        <w:rPr>
          <w:rFonts w:hint="eastAsia" w:ascii="宋体" w:hAnsi="宋体"/>
          <w:bCs/>
          <w:color w:val="auto"/>
          <w:szCs w:val="21"/>
          <w:highlight w:val="none"/>
          <w:u w:val="single"/>
        </w:rPr>
        <w:t>扫描件；</w:t>
      </w:r>
    </w:p>
    <w:p>
      <w:pPr>
        <w:pBdr>
          <w:bottom w:val="single" w:color="auto" w:sz="6" w:space="1"/>
        </w:pBd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（4）企业资质证书</w:t>
      </w:r>
      <w:r>
        <w:rPr>
          <w:rFonts w:hint="eastAsia" w:ascii="宋体" w:hAnsi="宋体"/>
          <w:bCs/>
          <w:color w:val="auto"/>
          <w:szCs w:val="21"/>
          <w:highlight w:val="none"/>
          <w:u w:val="single"/>
        </w:rPr>
        <w:t>扫描件；</w:t>
      </w:r>
    </w:p>
    <w:p>
      <w:pPr>
        <w:pBdr>
          <w:bottom w:val="single" w:color="auto" w:sz="6" w:space="1"/>
        </w:pBd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（5）建筑施工企业安全生产许可证</w:t>
      </w:r>
      <w:r>
        <w:rPr>
          <w:rFonts w:hint="eastAsia" w:ascii="宋体" w:hAnsi="宋体"/>
          <w:bCs/>
          <w:color w:val="auto"/>
          <w:szCs w:val="21"/>
          <w:highlight w:val="none"/>
          <w:u w:val="single"/>
        </w:rPr>
        <w:t>扫描件；</w:t>
      </w:r>
    </w:p>
    <w:p>
      <w:pPr>
        <w:pBdr>
          <w:bottom w:val="single" w:color="auto" w:sz="6" w:space="1"/>
        </w:pBd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（6）项目负责人（按网上投标登记时选择拟投标的项目负责人）</w:t>
      </w:r>
    </w:p>
    <w:p>
      <w:pPr>
        <w:pBdr>
          <w:bottom w:val="single" w:color="auto" w:sz="6" w:space="1"/>
        </w:pBd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（7）专职安全员（按网上投标登记时选择拟投标的专职安全员）</w:t>
      </w:r>
    </w:p>
    <w:p>
      <w:pPr>
        <w:pBdr>
          <w:bottom w:val="single" w:color="auto" w:sz="6" w:space="1"/>
        </w:pBdr>
        <w:spacing w:line="360" w:lineRule="auto"/>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u w:val="single"/>
        </w:rPr>
        <w:t>（8）拟委托技术负责人的相关证书、资料扫描件；</w:t>
      </w:r>
    </w:p>
    <w:p>
      <w:pPr>
        <w:pBdr>
          <w:bottom w:val="single" w:color="auto" w:sz="6" w:space="1"/>
        </w:pBdr>
        <w:spacing w:line="360" w:lineRule="auto"/>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u w:val="single"/>
        </w:rPr>
        <w:t>（9）拟委派项目负责人的相关证书、资料扫描件；</w:t>
      </w:r>
    </w:p>
    <w:p>
      <w:pPr>
        <w:pBdr>
          <w:bottom w:val="single" w:color="auto" w:sz="6" w:space="1"/>
        </w:pBdr>
        <w:spacing w:line="360" w:lineRule="auto"/>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u w:val="single"/>
        </w:rPr>
        <w:t>（10）项目负责人在有效期内的安全生产考核合格证（B类）或建筑施工企业项目负责人安全生产考核合格证书扫描件；</w:t>
      </w:r>
    </w:p>
    <w:p>
      <w:pPr>
        <w:pBdr>
          <w:bottom w:val="single" w:color="auto" w:sz="6" w:space="1"/>
        </w:pBdr>
        <w:spacing w:line="360" w:lineRule="auto"/>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u w:val="single"/>
        </w:rPr>
        <w:t>（11）专职安全员须具有在有效期内的安全生产考核合格证（C类）或建筑施工企业专职安全生产管理人员安全生产考核合格证书扫描件（C3）；</w:t>
      </w:r>
    </w:p>
    <w:p>
      <w:pPr>
        <w:pBdr>
          <w:bottom w:val="single" w:color="auto" w:sz="6" w:space="1"/>
        </w:pBd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（12）用于资格审查的业绩资料原件扫描件或网页截图；</w:t>
      </w:r>
    </w:p>
    <w:p>
      <w:pPr>
        <w:pBdr>
          <w:bottom w:val="single" w:color="auto" w:sz="6" w:space="1"/>
        </w:pBdr>
        <w:wordWrap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（13）投标登记前，投标人须在广州公共资源交易中心企业库办理企业信息登记及拟担任本工程项目负责人、专职安全员须是本企业信息登记中的在册人员。</w:t>
      </w:r>
    </w:p>
    <w:p>
      <w:pPr>
        <w:pBdr>
          <w:bottom w:val="single" w:color="auto" w:sz="6" w:space="1"/>
        </w:pBd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14）本工程不接受被列入我区不良记录（处罚有效期内）的单位或个人（指项目负责人）投标，不良记录具体名单以资格审查时广州市黄埔区人民政府、广州开发区管委会网站的区住房城乡建设局（广州开发区建设和交通局）网页“建筑活动不良行为记录”栏目（网址： http://www.hp.gov.cn/gzjg/qzfgwhgzbm/qzfhcxjsj10/jzhdblxwjl/ ）公布名单为准。若资格审查时网址有变化，以最新网址为准。</w:t>
      </w:r>
    </w:p>
    <w:p>
      <w:pPr>
        <w:pBdr>
          <w:bottom w:val="single" w:color="auto" w:sz="6" w:space="1"/>
        </w:pBd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（15）投标人认为应提供的其他资料。</w:t>
      </w:r>
    </w:p>
    <w:p>
      <w:pPr>
        <w:pBdr>
          <w:bottom w:val="single" w:color="auto" w:sz="6" w:space="1"/>
        </w:pBd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注：</w:t>
      </w:r>
    </w:p>
    <w:p>
      <w:pPr>
        <w:pBdr>
          <w:bottom w:val="single" w:color="auto" w:sz="6" w:space="1"/>
        </w:pBd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cs="宋体"/>
          <w:color w:val="auto"/>
          <w:szCs w:val="21"/>
          <w:highlight w:val="none"/>
          <w:u w:val="single"/>
        </w:rPr>
        <w:t>上述第</w:t>
      </w:r>
      <w:r>
        <w:rPr>
          <w:rFonts w:hint="eastAsia" w:ascii="宋体" w:hAnsi="宋体" w:cs="宋体"/>
          <w:bCs/>
          <w:color w:val="auto"/>
          <w:szCs w:val="21"/>
          <w:highlight w:val="none"/>
          <w:u w:val="single"/>
        </w:rPr>
        <w:t>11.2.2</w:t>
      </w:r>
      <w:r>
        <w:rPr>
          <w:rFonts w:hint="eastAsia" w:ascii="宋体" w:hAnsi="宋体" w:cs="宋体"/>
          <w:color w:val="auto"/>
          <w:szCs w:val="21"/>
          <w:highlight w:val="none"/>
          <w:u w:val="single"/>
        </w:rPr>
        <w:t>（14）条的不良记录具体名单以资格审查时广州市黄埔区人民政府、广州开发区管委会网站的区住房城乡建设局（广州开发区建设和交通局）网页“建筑活动不良行为记录”栏目（网址： http://www.hp.gov.cn/gzjg/qzfgwhgzbm/qzfhcxjsj10/jzhdblxwjl/ ）公布名单为准。若资格审查时网址有变化，以最新网址为准。</w:t>
      </w:r>
    </w:p>
    <w:p>
      <w:pPr>
        <w:pBdr>
          <w:bottom w:val="single" w:color="auto" w:sz="6" w:space="1"/>
        </w:pBdr>
        <w:spacing w:line="360" w:lineRule="auto"/>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u w:val="single"/>
        </w:rPr>
        <w:t>11.2.3《投标函》《标函承诺书》《项目负责人驻场承诺书》（格式见招标文件第四章）。</w:t>
      </w:r>
    </w:p>
    <w:p>
      <w:pPr>
        <w:pBdr>
          <w:bottom w:val="single" w:color="auto" w:sz="6" w:space="1"/>
        </w:pBdr>
        <w:spacing w:line="360" w:lineRule="auto"/>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u w:val="single"/>
        </w:rPr>
        <w:t>11.2.4《投入主要人员汇总表》《主要人员简历表》（格式见招标文件第四章、投标人需按相应表格备注和招标文件第二章附表《技术标详细审查评分表》要求提供相关资料）。</w:t>
      </w:r>
    </w:p>
    <w:p>
      <w:pPr>
        <w:pBdr>
          <w:bottom w:val="single" w:color="auto" w:sz="6" w:space="1"/>
        </w:pBdr>
        <w:spacing w:line="360" w:lineRule="auto"/>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u w:val="single"/>
        </w:rPr>
        <w:t>11.2.5企业资信证明材料（按招标文件第二章附表《技术标详细审查评分表》要求提交，包括《已竣工验收的类似工程业绩表》（如有）和《企业承建工程获奖情况表》（如有）等资料。招标文件有规定格式的，需按招标文件格式提供，无格式要求的，格式自拟）。</w:t>
      </w:r>
    </w:p>
    <w:p>
      <w:pPr>
        <w:pBdr>
          <w:bottom w:val="single" w:color="auto" w:sz="6" w:space="1"/>
        </w:pBdr>
        <w:spacing w:line="360" w:lineRule="auto"/>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u w:val="single"/>
        </w:rPr>
        <w:t>11.2.6《响应招标文件所附施工组织设计要点的承诺书》《拟投入本工程施工的主要机械设备配备表》（格式见招标文件第四章）。</w:t>
      </w:r>
    </w:p>
    <w:p>
      <w:pPr>
        <w:pBdr>
          <w:bottom w:val="single" w:color="auto" w:sz="6" w:space="1"/>
        </w:pBdr>
        <w:spacing w:line="360" w:lineRule="auto"/>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u w:val="single"/>
        </w:rPr>
        <w:t>11.2.7《危险性较大的分部分项工程安全管理措施》（格式见招标文件第四章）。</w:t>
      </w:r>
    </w:p>
    <w:p>
      <w:pPr>
        <w:pBdr>
          <w:bottom w:val="single" w:color="auto" w:sz="6" w:space="1"/>
        </w:pBdr>
        <w:spacing w:line="360" w:lineRule="auto"/>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u w:val="single"/>
        </w:rPr>
        <w:t>11.2.8《参与编制技术标投标文件人员名单》（格式见招标文件第四章）。</w:t>
      </w:r>
    </w:p>
    <w:p>
      <w:pPr>
        <w:pBdr>
          <w:bottom w:val="single" w:color="auto" w:sz="6" w:space="1"/>
        </w:pBdr>
        <w:spacing w:line="360" w:lineRule="auto"/>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u w:val="single"/>
        </w:rPr>
        <w:t>11.2.9投标保证金缴纳证明资料（若由广州公共资源交易中心代收的，以开标时查询的数据为准，可不需提供证明资料）。</w:t>
      </w:r>
    </w:p>
    <w:p>
      <w:pPr>
        <w:pBdr>
          <w:bottom w:val="single" w:color="auto" w:sz="6" w:space="1"/>
        </w:pBdr>
        <w:spacing w:line="360" w:lineRule="auto"/>
        <w:ind w:firstLine="470" w:firstLineChars="224"/>
        <w:rPr>
          <w:rFonts w:hint="eastAsia" w:ascii="宋体" w:hAnsi="宋体" w:cs="宋体"/>
          <w:color w:val="auto"/>
          <w:szCs w:val="21"/>
          <w:highlight w:val="none"/>
          <w:u w:val="single"/>
        </w:rPr>
      </w:pPr>
      <w:r>
        <w:rPr>
          <w:rFonts w:hint="eastAsia" w:ascii="宋体" w:hAnsi="宋体"/>
          <w:bCs/>
          <w:color w:val="auto"/>
          <w:szCs w:val="21"/>
          <w:highlight w:val="none"/>
          <w:u w:val="single"/>
        </w:rPr>
        <w:t>11.2.10投标人认为应提供的其他资料。</w:t>
      </w:r>
    </w:p>
    <w:p>
      <w:pPr>
        <w:adjustRightInd w:val="0"/>
        <w:spacing w:line="360" w:lineRule="auto"/>
        <w:ind w:firstLine="413" w:firstLineChars="196"/>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条款号：11.3.1                      修改类型：修改</w:t>
      </w:r>
    </w:p>
    <w:p>
      <w:pPr>
        <w:adjustRightInd w:val="0"/>
        <w:spacing w:line="360" w:lineRule="auto"/>
        <w:ind w:firstLine="413" w:firstLineChars="196"/>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11.3.1经济投标文件</w:t>
      </w:r>
      <w:r>
        <w:rPr>
          <w:rFonts w:ascii="宋体" w:hAnsi="宋体" w:cs="宋体"/>
          <w:color w:val="auto"/>
          <w:szCs w:val="21"/>
          <w:highlight w:val="none"/>
        </w:rPr>
        <w:t>(</w:t>
      </w:r>
      <w:r>
        <w:rPr>
          <w:rFonts w:hint="eastAsia" w:ascii="宋体" w:hAnsi="宋体" w:cs="宋体"/>
          <w:color w:val="auto"/>
          <w:szCs w:val="21"/>
          <w:highlight w:val="none"/>
        </w:rPr>
        <w:t>按招标文件的要求填写</w:t>
      </w:r>
      <w:r>
        <w:rPr>
          <w:rFonts w:ascii="宋体" w:hAnsi="宋体" w:cs="宋体"/>
          <w:color w:val="auto"/>
          <w:szCs w:val="21"/>
          <w:highlight w:val="none"/>
        </w:rPr>
        <w:t>)</w:t>
      </w:r>
      <w:r>
        <w:rPr>
          <w:rFonts w:hint="eastAsia" w:ascii="宋体" w:hAnsi="宋体" w:cs="宋体"/>
          <w:color w:val="auto"/>
          <w:szCs w:val="21"/>
          <w:highlight w:val="none"/>
        </w:rPr>
        <w:t>。</w:t>
      </w:r>
    </w:p>
    <w:p>
      <w:pPr>
        <w:pBdr>
          <w:bottom w:val="single" w:color="auto" w:sz="6" w:space="1"/>
        </w:pBdr>
        <w:adjustRightInd w:val="0"/>
        <w:spacing w:line="360" w:lineRule="auto"/>
        <w:ind w:firstLine="413" w:firstLineChars="196"/>
        <w:textAlignment w:val="baseline"/>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11.3.1</w:t>
      </w:r>
      <w:r>
        <w:rPr>
          <w:rFonts w:hint="eastAsia" w:ascii="宋体" w:hAnsi="宋体" w:cs="宋体"/>
          <w:bCs/>
          <w:color w:val="auto"/>
          <w:szCs w:val="21"/>
          <w:highlight w:val="none"/>
          <w:u w:val="single"/>
        </w:rPr>
        <w:t>广州建设工程施工招标投标书（经济标）（格式见招标文件第四章)。</w:t>
      </w:r>
    </w:p>
    <w:p>
      <w:pPr>
        <w:adjustRightInd w:val="0"/>
        <w:spacing w:line="360" w:lineRule="auto"/>
        <w:ind w:firstLine="413" w:firstLineChars="196"/>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条款号：11.3.2                      修改类型：修改</w:t>
      </w:r>
    </w:p>
    <w:p>
      <w:pPr>
        <w:adjustRightInd w:val="0"/>
        <w:spacing w:line="360" w:lineRule="auto"/>
        <w:ind w:firstLine="413" w:firstLineChars="196"/>
        <w:textAlignment w:val="baseline"/>
        <w:rPr>
          <w:rFonts w:hint="eastAsia" w:ascii="宋体" w:hAnsi="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11.3.2</w:t>
      </w:r>
      <w:r>
        <w:rPr>
          <w:rFonts w:hint="eastAsia" w:ascii="宋体" w:hAnsi="宋体"/>
          <w:color w:val="auto"/>
          <w:szCs w:val="21"/>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adjustRightInd w:val="0"/>
        <w:spacing w:line="360" w:lineRule="auto"/>
        <w:ind w:firstLine="411" w:firstLineChars="196"/>
        <w:textAlignment w:val="baseline"/>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）投标总价封面、扉页；</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（2）总说明；</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（3）工程项目投标报价汇总表；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（4）单项工程投标报价汇总表；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（5）单位工程投标报价汇总表；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（6）分部分项工程清单与计价表；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（7）单价措施项目清单与计价表；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（8）总价措施项目清单与计价表；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（9）综合单价分析表；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（10）其他项目清单与计价汇总表；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（11）暂列金额明细表；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（12）材料（工程设备）暂估价明细表；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（13）专业工程暂估价明细表；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（14）计日工表；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（15）总承包服务计价表；</w:t>
      </w:r>
    </w:p>
    <w:p>
      <w:pPr>
        <w:adjustRightInd w:val="0"/>
        <w:spacing w:line="360" w:lineRule="auto"/>
        <w:ind w:firstLine="411" w:firstLineChars="196"/>
        <w:textAlignment w:val="baseline"/>
        <w:rPr>
          <w:rFonts w:hint="eastAsia" w:ascii="宋体" w:hAnsi="宋体" w:cs="宋体"/>
          <w:color w:val="auto"/>
          <w:szCs w:val="21"/>
          <w:highlight w:val="none"/>
        </w:rPr>
      </w:pPr>
      <w:r>
        <w:rPr>
          <w:rFonts w:hint="eastAsia" w:ascii="宋体" w:hAnsi="宋体" w:cs="宋体"/>
          <w:color w:val="auto"/>
          <w:szCs w:val="21"/>
          <w:highlight w:val="none"/>
        </w:rPr>
        <w:t>（16）规费和税金项目计价表；</w:t>
      </w:r>
    </w:p>
    <w:p>
      <w:pPr>
        <w:adjustRightInd w:val="0"/>
        <w:spacing w:line="360" w:lineRule="auto"/>
        <w:ind w:firstLine="411" w:firstLineChars="196"/>
        <w:textAlignment w:val="baseline"/>
        <w:rPr>
          <w:rFonts w:hint="eastAsia" w:ascii="宋体" w:hAnsi="宋体" w:cs="宋体"/>
          <w:b/>
          <w:color w:val="auto"/>
          <w:szCs w:val="21"/>
          <w:highlight w:val="none"/>
        </w:rPr>
      </w:pPr>
      <w:r>
        <w:rPr>
          <w:rFonts w:hint="eastAsia" w:ascii="宋体" w:hAnsi="宋体" w:cs="宋体"/>
          <w:color w:val="auto"/>
          <w:szCs w:val="21"/>
          <w:highlight w:val="none"/>
        </w:rPr>
        <w:t>（17）人工、主要材料和设备一览表</w:t>
      </w:r>
    </w:p>
    <w:p>
      <w:pPr>
        <w:pBdr>
          <w:bottom w:val="single" w:color="auto" w:sz="6" w:space="1"/>
        </w:pBdr>
        <w:adjustRightInd w:val="0"/>
        <w:spacing w:line="360" w:lineRule="auto"/>
        <w:ind w:firstLine="413" w:firstLineChars="196"/>
        <w:textAlignment w:val="baseline"/>
        <w:rPr>
          <w:rFonts w:hint="eastAsia" w:ascii="宋体" w:hAnsi="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11.3.2</w:t>
      </w:r>
      <w:r>
        <w:rPr>
          <w:rFonts w:hint="eastAsia" w:ascii="宋体" w:hAnsi="宋体"/>
          <w:color w:val="auto"/>
          <w:szCs w:val="21"/>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pBdr>
          <w:bottom w:val="single" w:color="auto" w:sz="6" w:space="1"/>
        </w:pBdr>
        <w:adjustRightInd w:val="0"/>
        <w:spacing w:line="360" w:lineRule="auto"/>
        <w:ind w:firstLine="411" w:firstLineChars="196"/>
        <w:textAlignment w:val="baseline"/>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）投标总价封面、扉页；</w:t>
      </w:r>
    </w:p>
    <w:p>
      <w:pPr>
        <w:pBdr>
          <w:bottom w:val="single" w:color="auto" w:sz="6" w:space="1"/>
        </w:pBdr>
        <w:adjustRightInd w:val="0"/>
        <w:spacing w:line="360" w:lineRule="auto"/>
        <w:ind w:firstLine="411" w:firstLineChars="196"/>
        <w:textAlignment w:val="baseline"/>
        <w:rPr>
          <w:rFonts w:hint="eastAsia" w:ascii="宋体" w:hAnsi="宋体" w:cs="宋体"/>
          <w:color w:val="auto"/>
          <w:szCs w:val="21"/>
          <w:highlight w:val="none"/>
        </w:rPr>
      </w:pPr>
      <w:r>
        <w:rPr>
          <w:rFonts w:hint="eastAsia" w:ascii="宋体" w:hAnsi="宋体" w:cs="宋体"/>
          <w:color w:val="auto"/>
          <w:szCs w:val="21"/>
          <w:highlight w:val="none"/>
        </w:rPr>
        <w:t>（2）总说明；</w:t>
      </w:r>
    </w:p>
    <w:p>
      <w:pPr>
        <w:pBdr>
          <w:bottom w:val="single" w:color="auto" w:sz="6" w:space="1"/>
        </w:pBdr>
        <w:adjustRightInd w:val="0"/>
        <w:spacing w:line="360" w:lineRule="auto"/>
        <w:ind w:firstLine="411" w:firstLineChars="196"/>
        <w:textAlignment w:val="baseline"/>
        <w:rPr>
          <w:rFonts w:hint="eastAsia" w:ascii="宋体" w:hAnsi="宋体" w:cs="宋体"/>
          <w:b/>
          <w:color w:val="auto"/>
          <w:szCs w:val="21"/>
          <w:highlight w:val="none"/>
        </w:rPr>
      </w:pPr>
      <w:r>
        <w:rPr>
          <w:rFonts w:hint="eastAsia" w:ascii="宋体" w:hAnsi="宋体" w:cs="宋体"/>
          <w:color w:val="auto"/>
          <w:szCs w:val="21"/>
          <w:highlight w:val="none"/>
          <w:u w:val="single"/>
        </w:rPr>
        <w:t>（3）工程量清单报价表及综合单价分析表（相关表格的内容及格式要求以招标人发出的最新版电子招标文件中的相应内容及格式为准）；</w:t>
      </w:r>
    </w:p>
    <w:p>
      <w:pPr>
        <w:pBdr>
          <w:bottom w:val="single" w:color="auto" w:sz="6" w:space="1"/>
        </w:pBdr>
        <w:adjustRightInd w:val="0"/>
        <w:spacing w:line="360" w:lineRule="auto"/>
        <w:ind w:firstLine="411" w:firstLineChars="196"/>
        <w:textAlignment w:val="baseline"/>
        <w:rPr>
          <w:rFonts w:hint="eastAsia" w:ascii="宋体" w:hAnsi="宋体" w:cs="宋体"/>
          <w:color w:val="auto"/>
          <w:szCs w:val="21"/>
          <w:highlight w:val="none"/>
        </w:rPr>
      </w:pPr>
      <w:r>
        <w:rPr>
          <w:rFonts w:hint="eastAsia" w:ascii="宋体" w:hAnsi="宋体" w:cs="宋体"/>
          <w:color w:val="auto"/>
          <w:szCs w:val="21"/>
          <w:highlight w:val="none"/>
          <w:u w:val="single"/>
        </w:rPr>
        <w:t>（4）其它辅助说明资料（包括但不限于招标文件要求填写的《</w:t>
      </w:r>
      <w:r>
        <w:rPr>
          <w:rFonts w:hint="eastAsia" w:ascii="宋体" w:hAnsi="宋体"/>
          <w:color w:val="auto"/>
          <w:szCs w:val="21"/>
          <w:highlight w:val="none"/>
          <w:u w:val="single"/>
        </w:rPr>
        <w:t>对投标文件编制的承诺</w:t>
      </w:r>
      <w:r>
        <w:rPr>
          <w:rFonts w:hint="eastAsia" w:ascii="宋体" w:hAnsi="宋体" w:cs="宋体"/>
          <w:color w:val="auto"/>
          <w:szCs w:val="21"/>
          <w:highlight w:val="none"/>
          <w:u w:val="single"/>
        </w:rPr>
        <w:t>》，格式见招标文件第四章）</w:t>
      </w:r>
      <w:r>
        <w:rPr>
          <w:rFonts w:hint="eastAsia" w:ascii="宋体" w:hAnsi="宋体" w:cs="宋体"/>
          <w:color w:val="auto"/>
          <w:szCs w:val="21"/>
          <w:highlight w:val="none"/>
        </w:rPr>
        <w:t>。</w:t>
      </w:r>
    </w:p>
    <w:p>
      <w:pPr>
        <w:adjustRightInd w:val="0"/>
        <w:spacing w:line="360" w:lineRule="auto"/>
        <w:ind w:firstLine="413" w:firstLineChars="196"/>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条款号：11.3.3                      修改类型：修改</w:t>
      </w:r>
    </w:p>
    <w:p>
      <w:pPr>
        <w:adjustRightInd w:val="0"/>
        <w:spacing w:line="360" w:lineRule="auto"/>
        <w:ind w:firstLine="413" w:firstLineChars="196"/>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11.3.3按照招标文件要求填写的《参与编制经济标投标文件人员名单》。</w:t>
      </w:r>
    </w:p>
    <w:p>
      <w:pPr>
        <w:pBdr>
          <w:bottom w:val="single" w:color="auto" w:sz="6" w:space="1"/>
        </w:pBdr>
        <w:adjustRightInd w:val="0"/>
        <w:spacing w:line="360" w:lineRule="auto"/>
        <w:ind w:firstLine="413" w:firstLineChars="196"/>
        <w:textAlignment w:val="baseline"/>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11.3.3按照招标文件要求填写的《参与编制经济标投标文件人员名单》</w:t>
      </w:r>
      <w:r>
        <w:rPr>
          <w:rFonts w:hint="eastAsia" w:ascii="宋体" w:hAnsi="宋体" w:cs="宋体"/>
          <w:color w:val="auto"/>
          <w:szCs w:val="21"/>
          <w:highlight w:val="none"/>
          <w:u w:val="single"/>
        </w:rPr>
        <w:t>（格式见招标文件第四章）</w:t>
      </w:r>
      <w:r>
        <w:rPr>
          <w:rFonts w:hint="eastAsia" w:ascii="宋体" w:hAnsi="宋体" w:cs="宋体"/>
          <w:color w:val="auto"/>
          <w:szCs w:val="21"/>
          <w:highlight w:val="none"/>
        </w:rPr>
        <w:t>。</w:t>
      </w:r>
    </w:p>
    <w:p>
      <w:pPr>
        <w:adjustRightInd w:val="0"/>
        <w:spacing w:line="360" w:lineRule="auto"/>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条款号：12.2                        修改类型：修改</w:t>
      </w:r>
    </w:p>
    <w:p>
      <w:pPr>
        <w:adjustRightInd w:val="0"/>
        <w:spacing w:line="360" w:lineRule="auto"/>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pBdr>
          <w:bottom w:val="single" w:color="auto" w:sz="6" w:space="1"/>
        </w:pBdr>
        <w:adjustRightInd w:val="0"/>
        <w:spacing w:line="360" w:lineRule="auto"/>
        <w:ind w:firstLine="422" w:firstLineChars="200"/>
        <w:textAlignment w:val="baseline"/>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12.2</w:t>
      </w:r>
      <w:r>
        <w:rPr>
          <w:rFonts w:hint="eastAsia" w:ascii="宋体" w:hAnsi="宋体" w:cs="宋体"/>
          <w:color w:val="auto"/>
          <w:szCs w:val="21"/>
          <w:highlight w:val="none"/>
          <w:u w:val="single"/>
        </w:rPr>
        <w:t>投标人应仔细阅读招标文件第四章投标文件格式的相关规定和要求。</w:t>
      </w:r>
      <w:r>
        <w:rPr>
          <w:rFonts w:hint="eastAsia" w:ascii="宋体" w:hAnsi="宋体" w:cs="宋体"/>
          <w:color w:val="auto"/>
          <w:szCs w:val="21"/>
          <w:highlight w:val="none"/>
        </w:rPr>
        <w:t>投标文件全部采用电子文档，投标文件所附证书证件均为原件</w:t>
      </w:r>
      <w:r>
        <w:rPr>
          <w:rFonts w:hint="eastAsia" w:ascii="宋体" w:hAnsi="宋体" w:cs="宋体"/>
          <w:color w:val="auto"/>
          <w:szCs w:val="21"/>
          <w:highlight w:val="none"/>
          <w:u w:val="single"/>
        </w:rPr>
        <w:t>清晰</w:t>
      </w:r>
      <w:r>
        <w:rPr>
          <w:rFonts w:hint="eastAsia" w:ascii="宋体" w:hAnsi="宋体" w:cs="宋体"/>
          <w:color w:val="auto"/>
          <w:szCs w:val="21"/>
          <w:highlight w:val="none"/>
        </w:rPr>
        <w:t>扫描件，并采用单位数字证书，按招标文件要求在相应位置加盖电子印章。投标文件中需个人签字或盖章的，应加盖个人电子印章或在线下完成后扫描上传。按照</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交易平台关于全流程电子化项目的相关指南进行操作。详见：</w:t>
      </w:r>
      <w:r>
        <w:rPr>
          <w:rFonts w:hint="eastAsia" w:ascii="宋体" w:hAnsi="宋体" w:cs="宋体"/>
          <w:color w:val="auto"/>
          <w:szCs w:val="21"/>
          <w:highlight w:val="none"/>
          <w:u w:val="single"/>
        </w:rPr>
        <w:t>广州公共资源交易中心网站最新指引</w:t>
      </w:r>
      <w:r>
        <w:rPr>
          <w:rFonts w:hint="eastAsia" w:ascii="宋体" w:hAnsi="宋体" w:cs="宋体"/>
          <w:color w:val="auto"/>
          <w:szCs w:val="21"/>
          <w:highlight w:val="none"/>
        </w:rPr>
        <w:t>。</w:t>
      </w:r>
    </w:p>
    <w:p>
      <w:pPr>
        <w:spacing w:line="360" w:lineRule="auto"/>
        <w:ind w:firstLine="413" w:firstLineChars="196"/>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条款号：12.3                        修改类型：修改</w:t>
      </w:r>
    </w:p>
    <w:p>
      <w:pPr>
        <w:spacing w:line="360" w:lineRule="auto"/>
        <w:ind w:firstLine="413" w:firstLineChars="196"/>
        <w:textAlignment w:val="baseline"/>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12.3投标文件应按照交易平台关于全流程电子化项目的相关指南进行编制，详见：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70" w:firstLineChars="224"/>
        <w:textAlignment w:val="baseline"/>
        <w:rPr>
          <w:rFonts w:hint="eastAsia" w:ascii="宋体" w:hAnsi="宋体" w:cs="宋体"/>
          <w:b/>
          <w:color w:val="auto"/>
          <w:szCs w:val="21"/>
          <w:highlight w:val="none"/>
        </w:rPr>
      </w:pPr>
      <w:r>
        <w:rPr>
          <w:rFonts w:hint="eastAsia" w:ascii="宋体" w:hAnsi="宋体" w:cs="宋体"/>
          <w:bCs/>
          <w:color w:val="auto"/>
          <w:szCs w:val="21"/>
          <w:highlight w:val="none"/>
        </w:rPr>
        <w:t>如不按上述要求编制引起系统无法检索、读取相关信息的，其后果由投标人承担。</w:t>
      </w:r>
    </w:p>
    <w:p>
      <w:pPr>
        <w:pBdr>
          <w:bottom w:val="single" w:color="auto" w:sz="6" w:space="1"/>
        </w:pBdr>
        <w:spacing w:line="360" w:lineRule="auto"/>
        <w:ind w:firstLine="422" w:firstLineChars="200"/>
        <w:textAlignment w:val="baseline"/>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12.3</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交易平台关于全流程电子化项目的相关指南进行编制，详见：</w:t>
      </w:r>
      <w:r>
        <w:rPr>
          <w:rFonts w:hint="eastAsia" w:ascii="宋体" w:hAnsi="宋体" w:cs="宋体"/>
          <w:color w:val="auto"/>
          <w:szCs w:val="21"/>
          <w:highlight w:val="none"/>
          <w:u w:val="single"/>
        </w:rPr>
        <w:t>广州公共资源交易中心网站最新指引</w:t>
      </w:r>
      <w:r>
        <w:rPr>
          <w:rFonts w:hint="eastAsia" w:ascii="宋体" w:hAnsi="宋体" w:cs="宋体"/>
          <w:color w:val="auto"/>
          <w:szCs w:val="21"/>
          <w:highlight w:val="none"/>
        </w:rPr>
        <w:t>。</w:t>
      </w:r>
    </w:p>
    <w:p>
      <w:pPr>
        <w:pBdr>
          <w:bottom w:val="single" w:color="auto" w:sz="6" w:space="1"/>
        </w:pBdr>
        <w:spacing w:line="360" w:lineRule="auto"/>
        <w:ind w:firstLine="420" w:firstLineChars="200"/>
        <w:textAlignment w:val="baseline"/>
        <w:rPr>
          <w:rFonts w:hint="eastAsia" w:ascii="宋体" w:hAnsi="宋体" w:cs="宋体"/>
          <w:b/>
          <w:color w:val="auto"/>
          <w:szCs w:val="21"/>
          <w:highlight w:val="none"/>
        </w:rPr>
      </w:pPr>
      <w:r>
        <w:rPr>
          <w:rFonts w:hint="eastAsia" w:ascii="宋体" w:hAnsi="宋体" w:cs="宋体"/>
          <w:bCs/>
          <w:color w:val="auto"/>
          <w:szCs w:val="21"/>
          <w:highlight w:val="none"/>
        </w:rPr>
        <w:t>如不按上述要求编制引起系统无法检索、读取相关信息的，其后果由投标人承担。</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条款号：13.1                        修改类型：修改</w:t>
      </w:r>
    </w:p>
    <w:p>
      <w:pPr>
        <w:pBdr>
          <w:bottom w:val="single" w:color="auto" w:sz="6" w:space="1"/>
        </w:pBdr>
        <w:spacing w:line="360" w:lineRule="auto"/>
        <w:ind w:firstLine="472" w:firstLineChars="224"/>
        <w:rPr>
          <w:rFonts w:hint="eastAsia" w:ascii="宋体" w:hAnsi="宋体" w:cs="宋体"/>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13.1本工程的投标报价采用投标须知前附表第12项所规定的方式。投标报价（含单价及总价）精确到“分”。</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13.1本工程的投标报价采用投标须知前附表第12项所规定的方式。</w:t>
      </w:r>
      <w:r>
        <w:rPr>
          <w:rFonts w:hint="eastAsia" w:ascii="宋体" w:hAnsi="宋体" w:cs="宋体"/>
          <w:color w:val="auto"/>
          <w:szCs w:val="21"/>
          <w:highlight w:val="none"/>
          <w:u w:val="single"/>
        </w:rPr>
        <w:t>投标文件中的大写金额和小写金额不一致的，以大写金额为准。</w:t>
      </w:r>
      <w:r>
        <w:rPr>
          <w:rFonts w:hint="eastAsia" w:ascii="宋体" w:hAnsi="宋体" w:cs="宋体"/>
          <w:color w:val="auto"/>
          <w:szCs w:val="21"/>
          <w:highlight w:val="none"/>
        </w:rPr>
        <w:t>投标报价（含单价及总价）精确到“分”。</w:t>
      </w:r>
    </w:p>
    <w:p>
      <w:pPr>
        <w:spacing w:line="36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b/>
          <w:color w:val="auto"/>
          <w:szCs w:val="21"/>
          <w:highlight w:val="none"/>
        </w:rPr>
        <w:t>13.3</w:t>
      </w:r>
      <w:r>
        <w:rPr>
          <w:rFonts w:hint="eastAsia"/>
          <w:b/>
          <w:color w:val="auto"/>
          <w:szCs w:val="21"/>
          <w:highlight w:val="none"/>
        </w:rPr>
        <w:t xml:space="preserve">                        修改类型：修改</w:t>
      </w:r>
    </w:p>
    <w:p>
      <w:pPr>
        <w:spacing w:line="36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13.3</w:t>
      </w:r>
      <w:r>
        <w:rPr>
          <w:rFonts w:hint="eastAsia" w:ascii="宋体" w:hAnsi="宋体"/>
          <w:color w:val="auto"/>
          <w:szCs w:val="21"/>
          <w:highlight w:val="none"/>
        </w:rPr>
        <w:t>投标人的投标报价，应是按照投标须知前附表第</w:t>
      </w:r>
      <w:r>
        <w:rPr>
          <w:rFonts w:ascii="宋体" w:hAnsi="宋体"/>
          <w:color w:val="auto"/>
          <w:szCs w:val="21"/>
          <w:highlight w:val="none"/>
        </w:rPr>
        <w:t>8</w:t>
      </w:r>
      <w:r>
        <w:rPr>
          <w:rFonts w:hint="eastAsia" w:ascii="宋体" w:hAnsi="宋体"/>
          <w:color w:val="auto"/>
          <w:szCs w:val="21"/>
          <w:highlight w:val="none"/>
        </w:rPr>
        <w:t>项的工期要求，在投标须知前附表第</w:t>
      </w:r>
      <w:r>
        <w:rPr>
          <w:rFonts w:ascii="宋体" w:hAnsi="宋体"/>
          <w:color w:val="auto"/>
          <w:szCs w:val="21"/>
          <w:highlight w:val="none"/>
        </w:rPr>
        <w:t>3</w:t>
      </w:r>
      <w:r>
        <w:rPr>
          <w:rFonts w:hint="eastAsia" w:ascii="宋体" w:hAnsi="宋体"/>
          <w:color w:val="auto"/>
          <w:szCs w:val="21"/>
          <w:highlight w:val="none"/>
        </w:rPr>
        <w:t>项的建设地点，完成投标须知前附表第</w:t>
      </w:r>
      <w:r>
        <w:rPr>
          <w:rFonts w:ascii="宋体" w:hAnsi="宋体"/>
          <w:color w:val="auto"/>
          <w:szCs w:val="21"/>
          <w:highlight w:val="none"/>
        </w:rPr>
        <w:t>7</w:t>
      </w:r>
      <w:r>
        <w:rPr>
          <w:rFonts w:hint="eastAsia" w:ascii="宋体" w:hAnsi="宋体"/>
          <w:color w:val="auto"/>
          <w:szCs w:val="21"/>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13.3</w:t>
      </w:r>
      <w:r>
        <w:rPr>
          <w:rFonts w:hint="eastAsia" w:ascii="宋体" w:hAnsi="宋体"/>
          <w:color w:val="auto"/>
          <w:szCs w:val="21"/>
          <w:highlight w:val="none"/>
        </w:rPr>
        <w:t>投标人的投标报价，应是按照投标须知前附表第</w:t>
      </w:r>
      <w:r>
        <w:rPr>
          <w:rFonts w:ascii="宋体" w:hAnsi="宋体"/>
          <w:color w:val="auto"/>
          <w:szCs w:val="21"/>
          <w:highlight w:val="none"/>
        </w:rPr>
        <w:t>8</w:t>
      </w:r>
      <w:r>
        <w:rPr>
          <w:rFonts w:hint="eastAsia" w:ascii="宋体" w:hAnsi="宋体"/>
          <w:color w:val="auto"/>
          <w:szCs w:val="21"/>
          <w:highlight w:val="none"/>
        </w:rPr>
        <w:t>项的工期要求，在投标须知前附表第</w:t>
      </w:r>
      <w:r>
        <w:rPr>
          <w:rFonts w:ascii="宋体" w:hAnsi="宋体"/>
          <w:color w:val="auto"/>
          <w:szCs w:val="21"/>
          <w:highlight w:val="none"/>
        </w:rPr>
        <w:t>3</w:t>
      </w:r>
      <w:r>
        <w:rPr>
          <w:rFonts w:hint="eastAsia" w:ascii="宋体" w:hAnsi="宋体"/>
          <w:color w:val="auto"/>
          <w:szCs w:val="21"/>
          <w:highlight w:val="none"/>
        </w:rPr>
        <w:t>项的建设地点，完成投标须知前附表第</w:t>
      </w:r>
      <w:r>
        <w:rPr>
          <w:rFonts w:ascii="宋体" w:hAnsi="宋体"/>
          <w:color w:val="auto"/>
          <w:szCs w:val="21"/>
          <w:highlight w:val="none"/>
        </w:rPr>
        <w:t>7</w:t>
      </w:r>
      <w:r>
        <w:rPr>
          <w:rFonts w:hint="eastAsia" w:ascii="宋体" w:hAnsi="宋体"/>
          <w:color w:val="auto"/>
          <w:szCs w:val="21"/>
          <w:highlight w:val="none"/>
        </w:rPr>
        <w:t>项的招标范围内已由招标人</w:t>
      </w:r>
      <w:r>
        <w:rPr>
          <w:rFonts w:hint="eastAsia" w:ascii="宋体" w:hAnsi="宋体"/>
          <w:color w:val="auto"/>
          <w:szCs w:val="21"/>
          <w:highlight w:val="none"/>
          <w:u w:val="single"/>
        </w:rPr>
        <w:t>提供的招标图纸（包括有关于本项目招标的相关资料）及</w:t>
      </w:r>
      <w:r>
        <w:rPr>
          <w:rFonts w:hint="eastAsia" w:ascii="宋体" w:hAnsi="宋体"/>
          <w:color w:val="auto"/>
          <w:szCs w:val="21"/>
          <w:highlight w:val="none"/>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条款号：13.4                         修改类型：修改</w:t>
      </w:r>
    </w:p>
    <w:p>
      <w:pPr>
        <w:pStyle w:val="5"/>
        <w:spacing w:after="0"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13.4</w:t>
      </w:r>
      <w:r>
        <w:rPr>
          <w:rFonts w:hint="eastAsia" w:ascii="宋体" w:hAnsi="宋体"/>
          <w:color w:val="auto"/>
          <w:sz w:val="21"/>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13.4投标人一旦中标，投标人对招标人提供的招标工程量清单中列出的工程项目所报出的综合单价</w:t>
      </w:r>
      <w:r>
        <w:rPr>
          <w:rFonts w:hint="eastAsia" w:ascii="宋体" w:hAnsi="宋体" w:cs="宋体"/>
          <w:color w:val="auto"/>
          <w:szCs w:val="21"/>
          <w:highlight w:val="none"/>
          <w:u w:val="single"/>
        </w:rPr>
        <w:t>和措施项目费（措施项目费必须单列，没有单独列出的，视为已经包含在投标报价中），在工程结算时，按招标文件第三章合同条款相关约定调整。</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条款号：13.5                        修改类型：修改</w:t>
      </w:r>
    </w:p>
    <w:p>
      <w:pPr>
        <w:pBdr>
          <w:bottom w:val="single" w:color="auto" w:sz="6" w:space="1"/>
        </w:pBdr>
        <w:spacing w:line="360" w:lineRule="auto"/>
        <w:ind w:firstLine="472" w:firstLineChars="224"/>
        <w:rPr>
          <w:rFonts w:hint="eastAsia" w:ascii="宋体" w:hAnsi="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13.5</w:t>
      </w:r>
      <w:r>
        <w:rPr>
          <w:rFonts w:hint="eastAsia" w:ascii="宋体" w:hAnsi="宋体"/>
          <w:color w:val="auto"/>
          <w:szCs w:val="21"/>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pPr>
        <w:pBdr>
          <w:bottom w:val="single" w:color="auto" w:sz="6" w:space="1"/>
        </w:pBdr>
        <w:spacing w:line="360" w:lineRule="auto"/>
        <w:ind w:firstLine="470" w:firstLineChars="224"/>
        <w:rPr>
          <w:rFonts w:hint="eastAsia" w:ascii="宋体" w:hAnsi="宋体"/>
          <w:color w:val="auto"/>
          <w:szCs w:val="21"/>
          <w:highlight w:val="none"/>
        </w:rPr>
      </w:pPr>
      <w:r>
        <w:rPr>
          <w:rFonts w:ascii="宋体" w:hAnsi="宋体"/>
          <w:color w:val="auto"/>
          <w:szCs w:val="21"/>
          <w:highlight w:val="none"/>
        </w:rPr>
        <w:t>13.5.1</w:t>
      </w:r>
      <w:r>
        <w:rPr>
          <w:rFonts w:hint="eastAsia" w:ascii="宋体" w:hAnsi="宋体"/>
          <w:color w:val="auto"/>
          <w:szCs w:val="21"/>
          <w:highlight w:val="none"/>
        </w:rPr>
        <w:t>中标的投标文件工程量清单中已有相同项目的适用综合单价，则沿用；</w:t>
      </w:r>
    </w:p>
    <w:p>
      <w:pPr>
        <w:pBdr>
          <w:bottom w:val="single" w:color="auto" w:sz="6" w:space="1"/>
        </w:pBdr>
        <w:spacing w:line="360" w:lineRule="auto"/>
        <w:ind w:firstLine="470" w:firstLineChars="224"/>
        <w:rPr>
          <w:rFonts w:hint="eastAsia" w:ascii="宋体" w:hAnsi="宋体"/>
          <w:color w:val="auto"/>
          <w:szCs w:val="21"/>
          <w:highlight w:val="none"/>
        </w:rPr>
      </w:pPr>
      <w:r>
        <w:rPr>
          <w:rFonts w:ascii="宋体" w:hAnsi="宋体"/>
          <w:color w:val="auto"/>
          <w:szCs w:val="21"/>
          <w:highlight w:val="none"/>
        </w:rPr>
        <w:t>13.5.2</w:t>
      </w:r>
      <w:r>
        <w:rPr>
          <w:rFonts w:hint="eastAsia" w:ascii="宋体" w:hAnsi="宋体"/>
          <w:color w:val="auto"/>
          <w:szCs w:val="21"/>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Bdr>
          <w:bottom w:val="single" w:color="auto" w:sz="6" w:space="1"/>
        </w:pBdr>
        <w:spacing w:line="360" w:lineRule="auto"/>
        <w:ind w:firstLine="470" w:firstLineChars="224"/>
        <w:rPr>
          <w:rFonts w:hint="eastAsia" w:ascii="宋体" w:hAnsi="宋体"/>
          <w:color w:val="auto"/>
          <w:szCs w:val="21"/>
          <w:highlight w:val="none"/>
        </w:rPr>
      </w:pPr>
      <w:r>
        <w:rPr>
          <w:rFonts w:ascii="宋体" w:hAnsi="宋体"/>
          <w:color w:val="auto"/>
          <w:szCs w:val="21"/>
          <w:highlight w:val="none"/>
        </w:rPr>
        <w:t xml:space="preserve">13.5.3 </w:t>
      </w:r>
      <w:r>
        <w:rPr>
          <w:rFonts w:hint="eastAsia" w:ascii="宋体" w:hAnsi="宋体"/>
          <w:color w:val="auto"/>
          <w:szCs w:val="21"/>
          <w:highlight w:val="none"/>
        </w:rPr>
        <w:t>中标的投标文件工程量清单中没有相同项目或类似项目的，如可套取相关定额，则以相关定额为基数下浮计算单价</w:t>
      </w:r>
      <w:r>
        <w:rPr>
          <w:rFonts w:ascii="宋体"/>
          <w:color w:val="auto"/>
          <w:szCs w:val="21"/>
          <w:highlight w:val="none"/>
        </w:rPr>
        <w:t>,</w:t>
      </w:r>
      <w:r>
        <w:rPr>
          <w:rFonts w:hint="eastAsia" w:ascii="宋体" w:hAnsi="宋体"/>
          <w:color w:val="auto"/>
          <w:szCs w:val="21"/>
          <w:highlight w:val="none"/>
        </w:rPr>
        <w:t>下浮率为中标价相对于最高投标限价的下浮率（下浮率</w:t>
      </w:r>
      <w:r>
        <w:rPr>
          <w:rFonts w:ascii="宋体" w:hAnsi="宋体"/>
          <w:color w:val="auto"/>
          <w:szCs w:val="21"/>
          <w:highlight w:val="none"/>
        </w:rPr>
        <w:t>=(</w:t>
      </w:r>
      <w:r>
        <w:rPr>
          <w:rFonts w:hint="eastAsia" w:ascii="宋体" w:hAnsi="宋体"/>
          <w:color w:val="auto"/>
          <w:szCs w:val="21"/>
          <w:highlight w:val="none"/>
        </w:rPr>
        <w:t>最高投标限价</w:t>
      </w:r>
      <w:r>
        <w:rPr>
          <w:rFonts w:ascii="宋体"/>
          <w:color w:val="auto"/>
          <w:szCs w:val="21"/>
          <w:highlight w:val="none"/>
        </w:rPr>
        <w:t>-</w:t>
      </w:r>
      <w:r>
        <w:rPr>
          <w:rFonts w:hint="eastAsia" w:ascii="宋体" w:hAnsi="宋体"/>
          <w:color w:val="auto"/>
          <w:szCs w:val="21"/>
          <w:highlight w:val="none"/>
        </w:rPr>
        <w:t>中标价</w:t>
      </w:r>
      <w:r>
        <w:rPr>
          <w:rFonts w:ascii="宋体" w:hAnsi="宋体"/>
          <w:color w:val="auto"/>
          <w:szCs w:val="21"/>
          <w:highlight w:val="none"/>
        </w:rPr>
        <w:t>)/</w:t>
      </w:r>
      <w:r>
        <w:rPr>
          <w:rFonts w:hint="eastAsia" w:ascii="宋体" w:hAnsi="宋体"/>
          <w:color w:val="auto"/>
          <w:szCs w:val="21"/>
          <w:highlight w:val="none"/>
        </w:rPr>
        <w:t>最高投标限价）。</w:t>
      </w:r>
    </w:p>
    <w:p>
      <w:pPr>
        <w:pBdr>
          <w:bottom w:val="single" w:color="auto" w:sz="6" w:space="1"/>
        </w:pBdr>
        <w:spacing w:line="360" w:lineRule="auto"/>
        <w:ind w:firstLine="470" w:firstLineChars="224"/>
        <w:rPr>
          <w:rFonts w:hint="eastAsia" w:ascii="宋体" w:hAnsi="宋体" w:cs="宋体"/>
          <w:color w:val="auto"/>
          <w:szCs w:val="21"/>
          <w:highlight w:val="none"/>
          <w:u w:val="single"/>
        </w:rPr>
      </w:pPr>
      <w:r>
        <w:rPr>
          <w:rFonts w:ascii="宋体" w:hAnsi="宋体"/>
          <w:color w:val="auto"/>
          <w:szCs w:val="21"/>
          <w:highlight w:val="none"/>
        </w:rPr>
        <w:t xml:space="preserve">13.5.4 </w:t>
      </w:r>
      <w:r>
        <w:rPr>
          <w:rFonts w:hint="eastAsia" w:ascii="宋体" w:hAnsi="宋体"/>
          <w:color w:val="auto"/>
          <w:szCs w:val="21"/>
          <w:highlight w:val="none"/>
        </w:rPr>
        <w:t>如相关定额没有相应子目的，其计价方式由招标人在本招标文件第三章中另行规定。未规定的，中标后双方协商约定。</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13.5</w:t>
      </w:r>
      <w:r>
        <w:rPr>
          <w:rFonts w:hint="eastAsia" w:ascii="宋体" w:hAnsi="宋体" w:cs="宋体"/>
          <w:color w:val="auto"/>
          <w:szCs w:val="21"/>
          <w:highlight w:val="none"/>
          <w:u w:val="single"/>
        </w:rPr>
        <w:t>工程项目实施期间和结算时，根据招标图纸及工程量清单计价规范在招标文件工程量清单中漏列而由监理单位和招标人现场签证确认的实体工程项目、原设计没有而由招标人批准设计变更产生的实体工程项目，视为新增项目，按合同专用条款相关约定确定价格。</w:t>
      </w:r>
    </w:p>
    <w:p>
      <w:pPr>
        <w:spacing w:line="360" w:lineRule="auto"/>
        <w:ind w:firstLine="472" w:firstLineChars="224"/>
        <w:rPr>
          <w:b/>
          <w:color w:val="auto"/>
          <w:szCs w:val="21"/>
          <w:highlight w:val="none"/>
        </w:rPr>
      </w:pPr>
      <w:r>
        <w:rPr>
          <w:rFonts w:hint="eastAsia"/>
          <w:b/>
          <w:color w:val="auto"/>
          <w:szCs w:val="21"/>
          <w:highlight w:val="none"/>
        </w:rPr>
        <w:t>条款</w:t>
      </w:r>
      <w:r>
        <w:rPr>
          <w:rFonts w:hint="eastAsia" w:ascii="宋体" w:hAnsi="宋体"/>
          <w:b/>
          <w:color w:val="auto"/>
          <w:szCs w:val="21"/>
          <w:highlight w:val="none"/>
        </w:rPr>
        <w:t>号：13.6.2                      修</w:t>
      </w:r>
      <w:r>
        <w:rPr>
          <w:rFonts w:hint="eastAsia"/>
          <w:b/>
          <w:color w:val="auto"/>
          <w:szCs w:val="21"/>
          <w:highlight w:val="none"/>
        </w:rPr>
        <w:t>改类型：修改</w:t>
      </w:r>
    </w:p>
    <w:p>
      <w:pPr>
        <w:spacing w:line="36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olor w:val="auto"/>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olor w:val="auto"/>
          <w:szCs w:val="21"/>
          <w:highlight w:val="none"/>
        </w:rPr>
        <w:t>13.6.2在工程实施中，暂列金额、暂估价所包含的工作范围和图纸、标准深化固定后，按照工程专业、设备、材料类别等分类汇总的金额，</w:t>
      </w:r>
      <w:r>
        <w:rPr>
          <w:rFonts w:hint="eastAsia" w:ascii="宋体" w:hAnsi="宋体" w:cs="宋体"/>
          <w:color w:val="auto"/>
          <w:szCs w:val="21"/>
          <w:highlight w:val="none"/>
        </w:rPr>
        <w:t>达到法定招标范围标准的</w:t>
      </w:r>
      <w:r>
        <w:rPr>
          <w:rFonts w:hint="eastAsia" w:ascii="宋体" w:hAnsi="宋体" w:cs="宋体"/>
          <w:color w:val="auto"/>
          <w:szCs w:val="21"/>
          <w:highlight w:val="none"/>
          <w:u w:val="single"/>
        </w:rPr>
        <w:t>应由招标人招标确定承包人和承包价格。</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条款号：13.6.4                      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13.6.4</w:t>
      </w:r>
      <w:r>
        <w:rPr>
          <w:rFonts w:hint="eastAsia" w:ascii="宋体" w:hAnsi="宋体"/>
          <w:color w:val="auto"/>
          <w:szCs w:val="21"/>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Cs w:val="21"/>
          <w:highlight w:val="none"/>
        </w:rPr>
        <w:t>13.5</w:t>
      </w:r>
      <w:r>
        <w:rPr>
          <w:rFonts w:hint="eastAsia" w:ascii="宋体" w:hAnsi="宋体"/>
          <w:color w:val="auto"/>
          <w:szCs w:val="21"/>
          <w:highlight w:val="none"/>
        </w:rPr>
        <w:t>款规定确定。</w:t>
      </w:r>
    </w:p>
    <w:p>
      <w:pPr>
        <w:pStyle w:val="5"/>
        <w:pBdr>
          <w:bottom w:val="single" w:color="auto" w:sz="6" w:space="1"/>
        </w:pBdr>
        <w:spacing w:after="0"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13.6.4在工程实施中，暂列金额、暂估价所包含的工作范围和图纸、标准深化固定后，按照工程专业、设备、材料类别等分类汇总的金额，未达到法定招标范围标准也不适用政府采购规定，</w:t>
      </w:r>
      <w:r>
        <w:rPr>
          <w:rFonts w:hint="eastAsia" w:ascii="宋体" w:hAnsi="宋体" w:cs="宋体"/>
          <w:color w:val="auto"/>
          <w:sz w:val="21"/>
          <w:szCs w:val="21"/>
          <w:highlight w:val="none"/>
          <w:u w:val="single"/>
        </w:rPr>
        <w:t>经发包人同意，</w:t>
      </w:r>
      <w:r>
        <w:rPr>
          <w:rFonts w:hint="eastAsia" w:ascii="宋体" w:hAnsi="宋体" w:cs="宋体"/>
          <w:color w:val="auto"/>
          <w:sz w:val="21"/>
          <w:szCs w:val="21"/>
          <w:highlight w:val="none"/>
        </w:rPr>
        <w:t>承包人有法定的承包资格的，由承包人承包，承包人无法定的承包资格但有法定的分包权的，由承包人分包，招标人同承包人结算的价格按本投标须知13.5款规定确定。</w:t>
      </w:r>
    </w:p>
    <w:p>
      <w:pPr>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条款号：13.8                         修改类型：修改</w:t>
      </w:r>
    </w:p>
    <w:p>
      <w:pPr>
        <w:pStyle w:val="5"/>
        <w:spacing w:after="0"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13.8</w:t>
      </w:r>
      <w:r>
        <w:rPr>
          <w:rFonts w:hint="eastAsia" w:ascii="宋体" w:hAnsi="宋体" w:cs="宋体"/>
          <w:color w:val="auto"/>
          <w:szCs w:val="21"/>
          <w:highlight w:val="none"/>
          <w:u w:val="single"/>
        </w:rPr>
        <w:t>投标期间，投标人不需在投标文件中明确所选用主要材料、设备的品牌、厂家以及质量等级。实施期间，所有材料品牌选择均须报发包人、监理工程师确认，所有材料及成品质量必须满足设计与规范要求，且经检验合格后方可使用。</w:t>
      </w:r>
    </w:p>
    <w:p>
      <w:pPr>
        <w:spacing w:line="360" w:lineRule="auto"/>
        <w:ind w:firstLine="472" w:firstLineChars="224"/>
        <w:rPr>
          <w:b/>
          <w:color w:val="auto"/>
          <w:szCs w:val="21"/>
          <w:highlight w:val="none"/>
        </w:rPr>
      </w:pPr>
      <w:r>
        <w:rPr>
          <w:rFonts w:hint="eastAsia"/>
          <w:b/>
          <w:color w:val="auto"/>
          <w:szCs w:val="21"/>
          <w:highlight w:val="none"/>
        </w:rPr>
        <w:t>条款</w:t>
      </w:r>
      <w:r>
        <w:rPr>
          <w:rFonts w:hint="eastAsia" w:ascii="宋体" w:hAnsi="宋体"/>
          <w:b/>
          <w:color w:val="auto"/>
          <w:szCs w:val="21"/>
          <w:highlight w:val="none"/>
        </w:rPr>
        <w:t xml:space="preserve">号：13.10        </w:t>
      </w:r>
      <w:r>
        <w:rPr>
          <w:rFonts w:hint="eastAsia"/>
          <w:b/>
          <w:color w:val="auto"/>
          <w:szCs w:val="21"/>
          <w:highlight w:val="none"/>
        </w:rPr>
        <w:t xml:space="preserve">               修改类型：增加</w:t>
      </w:r>
    </w:p>
    <w:p>
      <w:pPr>
        <w:pBdr>
          <w:bottom w:val="single" w:color="auto" w:sz="6" w:space="1"/>
        </w:pBdr>
        <w:spacing w:line="360" w:lineRule="auto"/>
        <w:ind w:firstLine="472" w:firstLineChars="224"/>
        <w:rPr>
          <w:rFonts w:hint="eastAsia" w:ascii="宋体" w:hAnsi="宋体" w:cs="宋体"/>
          <w:color w:val="auto"/>
          <w:szCs w:val="21"/>
          <w:highlight w:val="none"/>
          <w:u w:val="single"/>
        </w:rPr>
      </w:pPr>
      <w:r>
        <w:rPr>
          <w:rFonts w:hint="eastAsia"/>
          <w:b/>
          <w:color w:val="auto"/>
          <w:szCs w:val="21"/>
          <w:highlight w:val="none"/>
        </w:rPr>
        <w:t>现文：</w:t>
      </w:r>
      <w:r>
        <w:rPr>
          <w:rFonts w:hint="eastAsia" w:ascii="宋体" w:hAnsi="宋体" w:cs="宋体"/>
          <w:color w:val="auto"/>
          <w:szCs w:val="21"/>
          <w:highlight w:val="none"/>
          <w:u w:val="single"/>
        </w:rPr>
        <w:t>13.10工程量清单报价中有关问题的说明：</w:t>
      </w:r>
    </w:p>
    <w:p>
      <w:pPr>
        <w:pBdr>
          <w:bottom w:val="single" w:color="auto" w:sz="6" w:space="1"/>
        </w:pBdr>
        <w:spacing w:line="360" w:lineRule="auto"/>
        <w:ind w:firstLine="470" w:firstLineChars="224"/>
        <w:rPr>
          <w:rFonts w:hint="eastAsia" w:ascii="宋体" w:hAnsi="宋体" w:cs="宋体"/>
          <w:color w:val="auto"/>
          <w:szCs w:val="21"/>
          <w:highlight w:val="none"/>
          <w:u w:val="single"/>
        </w:rPr>
      </w:pPr>
      <w:r>
        <w:rPr>
          <w:rFonts w:hint="eastAsia" w:ascii="宋体" w:hAnsi="宋体"/>
          <w:color w:val="auto"/>
          <w:szCs w:val="21"/>
          <w:highlight w:val="none"/>
          <w:u w:val="single"/>
        </w:rPr>
        <w:t>①</w:t>
      </w:r>
      <w:r>
        <w:rPr>
          <w:rFonts w:hint="eastAsia" w:ascii="宋体" w:hAnsi="宋体" w:cs="宋体"/>
          <w:color w:val="auto"/>
          <w:szCs w:val="21"/>
          <w:highlight w:val="none"/>
          <w:u w:val="single"/>
        </w:rPr>
        <w:t>投标时，土方的弃运距离暂按15公里内考虑，超过15公里按15公里计算，结算时按招标人确认的实际运距计算，实际运距超过15公里时，按15公里包干，弃运的土方单价按定额计算。</w:t>
      </w:r>
    </w:p>
    <w:p>
      <w:pPr>
        <w:pBdr>
          <w:bottom w:val="single" w:color="auto" w:sz="6" w:space="1"/>
        </w:pBdr>
        <w:spacing w:line="360" w:lineRule="auto"/>
        <w:ind w:firstLine="470" w:firstLineChars="224"/>
        <w:rPr>
          <w:rFonts w:ascii="宋体" w:hAnsi="宋体"/>
          <w:color w:val="auto"/>
          <w:szCs w:val="21"/>
          <w:highlight w:val="none"/>
        </w:rPr>
      </w:pPr>
      <w:r>
        <w:rPr>
          <w:rFonts w:hint="eastAsia" w:ascii="宋体" w:hAnsi="宋体" w:cs="宋体"/>
          <w:color w:val="auto"/>
          <w:szCs w:val="21"/>
          <w:highlight w:val="none"/>
          <w:u w:val="single"/>
        </w:rPr>
        <w:t>②工程量清单中措施项目清单费计价表中的绿色施工安全防护措施费执行《广东省住房</w:t>
      </w:r>
      <w:r>
        <w:rPr>
          <w:rFonts w:hint="eastAsia" w:ascii="宋体" w:hAnsi="宋体"/>
          <w:color w:val="auto"/>
          <w:szCs w:val="21"/>
          <w:highlight w:val="none"/>
          <w:u w:val="single"/>
        </w:rPr>
        <w:t>和城乡建设厅关于印发&lt;广东省建设工程计价依据（2018)&gt;的通知》（穗建市〔2019〕6号）文</w:t>
      </w:r>
      <w:r>
        <w:rPr>
          <w:rFonts w:ascii="宋体" w:hAnsi="宋体"/>
          <w:color w:val="auto"/>
          <w:szCs w:val="21"/>
          <w:highlight w:val="none"/>
          <w:u w:val="single"/>
        </w:rPr>
        <w:t>，</w:t>
      </w:r>
      <w:r>
        <w:rPr>
          <w:rFonts w:hint="eastAsia" w:ascii="宋体" w:hAnsi="宋体"/>
          <w:color w:val="auto"/>
          <w:szCs w:val="21"/>
          <w:highlight w:val="none"/>
          <w:u w:val="single"/>
        </w:rPr>
        <w:t>绿色施工安全防护措施费</w:t>
      </w:r>
      <w:r>
        <w:rPr>
          <w:rFonts w:ascii="宋体" w:hAnsi="宋体"/>
          <w:color w:val="auto"/>
          <w:szCs w:val="21"/>
          <w:highlight w:val="none"/>
          <w:u w:val="single"/>
        </w:rPr>
        <w:t>按</w:t>
      </w:r>
      <w:r>
        <w:rPr>
          <w:rFonts w:hint="eastAsia" w:ascii="宋体" w:hAnsi="宋体"/>
          <w:color w:val="auto"/>
          <w:szCs w:val="21"/>
          <w:highlight w:val="none"/>
          <w:u w:val="single"/>
        </w:rPr>
        <w:t>发包人公布的本工程招标控制价中的绿色施工安全防护措施费计取，作为非竞争费用，在投标报价中单列，不参与投标竞价，该费用从工程施工中标价中提取，专款专用。</w:t>
      </w:r>
    </w:p>
    <w:p>
      <w:pPr>
        <w:spacing w:line="360" w:lineRule="auto"/>
        <w:ind w:firstLine="472" w:firstLineChars="224"/>
        <w:rPr>
          <w:b/>
          <w:color w:val="auto"/>
          <w:szCs w:val="21"/>
          <w:highlight w:val="none"/>
        </w:rPr>
      </w:pPr>
      <w:r>
        <w:rPr>
          <w:rFonts w:hint="eastAsia"/>
          <w:b/>
          <w:color w:val="auto"/>
          <w:szCs w:val="21"/>
          <w:highlight w:val="none"/>
        </w:rPr>
        <w:t>条款</w:t>
      </w:r>
      <w:r>
        <w:rPr>
          <w:rFonts w:hint="eastAsia" w:ascii="宋体" w:hAnsi="宋体"/>
          <w:b/>
          <w:color w:val="auto"/>
          <w:szCs w:val="21"/>
          <w:highlight w:val="none"/>
        </w:rPr>
        <w:t>号：13.11                       修改类</w:t>
      </w:r>
      <w:r>
        <w:rPr>
          <w:rFonts w:hint="eastAsia"/>
          <w:b/>
          <w:color w:val="auto"/>
          <w:szCs w:val="21"/>
          <w:highlight w:val="none"/>
        </w:rPr>
        <w:t>型：增加</w:t>
      </w:r>
    </w:p>
    <w:p>
      <w:pPr>
        <w:pBdr>
          <w:bottom w:val="single" w:color="auto" w:sz="6" w:space="1"/>
        </w:pBdr>
        <w:spacing w:line="360" w:lineRule="auto"/>
        <w:ind w:firstLine="472" w:firstLineChars="224"/>
        <w:rPr>
          <w:color w:val="auto"/>
          <w:szCs w:val="21"/>
          <w:highlight w:val="none"/>
        </w:rPr>
      </w:pPr>
      <w:r>
        <w:rPr>
          <w:rFonts w:hint="eastAsia"/>
          <w:b/>
          <w:color w:val="auto"/>
          <w:szCs w:val="21"/>
          <w:highlight w:val="none"/>
        </w:rPr>
        <w:t>现文：</w:t>
      </w:r>
      <w:r>
        <w:rPr>
          <w:rFonts w:hint="eastAsia" w:ascii="宋体" w:hAnsi="宋体" w:cs="宋体"/>
          <w:color w:val="auto"/>
          <w:szCs w:val="21"/>
          <w:highlight w:val="none"/>
          <w:u w:val="single"/>
        </w:rPr>
        <w:t>13.11投标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计入项目措施费中，结算时按发包人批准的实施方案，再按合同约定结算。如果中标人不及时按要求设置，业主可以另行委托实施，业主按实际发生的费用在工程款中扣除，中标人不得有任何异议。</w:t>
      </w:r>
    </w:p>
    <w:p>
      <w:pPr>
        <w:spacing w:line="360" w:lineRule="auto"/>
        <w:ind w:firstLine="472" w:firstLineChars="224"/>
        <w:rPr>
          <w:b/>
          <w:color w:val="auto"/>
          <w:szCs w:val="21"/>
          <w:highlight w:val="none"/>
        </w:rPr>
      </w:pPr>
      <w:r>
        <w:rPr>
          <w:rFonts w:hint="eastAsia"/>
          <w:b/>
          <w:color w:val="auto"/>
          <w:szCs w:val="21"/>
          <w:highlight w:val="none"/>
        </w:rPr>
        <w:t>条款</w:t>
      </w:r>
      <w:r>
        <w:rPr>
          <w:rFonts w:hint="eastAsia" w:ascii="宋体" w:hAnsi="宋体"/>
          <w:b/>
          <w:color w:val="auto"/>
          <w:szCs w:val="21"/>
          <w:highlight w:val="none"/>
        </w:rPr>
        <w:t>号：13.12                       修改类</w:t>
      </w:r>
      <w:r>
        <w:rPr>
          <w:rFonts w:hint="eastAsia"/>
          <w:b/>
          <w:color w:val="auto"/>
          <w:szCs w:val="21"/>
          <w:highlight w:val="none"/>
        </w:rPr>
        <w:t>型：增加</w:t>
      </w:r>
    </w:p>
    <w:p>
      <w:pPr>
        <w:pBdr>
          <w:bottom w:val="single" w:color="auto" w:sz="6" w:space="1"/>
        </w:pBdr>
        <w:spacing w:line="360" w:lineRule="auto"/>
        <w:ind w:firstLine="472" w:firstLineChars="224"/>
        <w:rPr>
          <w:color w:val="auto"/>
          <w:szCs w:val="21"/>
          <w:highlight w:val="none"/>
        </w:rPr>
      </w:pPr>
      <w:r>
        <w:rPr>
          <w:rFonts w:hint="eastAsia"/>
          <w:b/>
          <w:color w:val="auto"/>
          <w:szCs w:val="21"/>
          <w:highlight w:val="none"/>
        </w:rPr>
        <w:t>现文：</w:t>
      </w:r>
      <w:r>
        <w:rPr>
          <w:rFonts w:hint="eastAsia" w:ascii="宋体" w:hAnsi="宋体" w:cs="宋体"/>
          <w:color w:val="auto"/>
          <w:szCs w:val="21"/>
          <w:highlight w:val="none"/>
          <w:u w:val="single"/>
        </w:rPr>
        <w:t>13.12承包人应加强周边学校、居民住宅的环境保护，制定绿色施工安全防护措施（包括防尘、防噪音、施工围蔽等），施工现场严格按照《广州市建设工程文明施工管理规定》（广州市人民政府令62号）、《广州市建设工程现场文明施工管理办法》（穗建质〔2008〕937号）、《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规范建设工程施工现场围蔽的通知》（穗建质[2008]1008号）、</w:t>
      </w:r>
      <w:r>
        <w:rPr>
          <w:rFonts w:ascii="宋体" w:hAnsi="宋体" w:cs="宋体"/>
          <w:color w:val="auto"/>
          <w:szCs w:val="21"/>
          <w:highlight w:val="none"/>
          <w:u w:val="single"/>
        </w:rPr>
        <w:t>《</w:t>
      </w:r>
      <w:r>
        <w:rPr>
          <w:rFonts w:hint="eastAsia" w:ascii="宋体" w:hAnsi="宋体" w:cs="宋体"/>
          <w:color w:val="auto"/>
          <w:szCs w:val="21"/>
          <w:highlight w:val="none"/>
          <w:u w:val="single"/>
        </w:rPr>
        <w:t>广州市建设工程绿色施工围蔽指导图集（V2.0版）</w:t>
      </w:r>
      <w:r>
        <w:rPr>
          <w:rFonts w:ascii="宋体" w:hAnsi="宋体" w:cs="宋体"/>
          <w:color w:val="auto"/>
          <w:szCs w:val="21"/>
          <w:highlight w:val="none"/>
          <w:u w:val="single"/>
        </w:rPr>
        <w:t>》(穗建质〔2020〕1号）</w:t>
      </w:r>
      <w:r>
        <w:rPr>
          <w:rFonts w:hint="eastAsia" w:ascii="宋体" w:hAnsi="宋体" w:cs="宋体"/>
          <w:color w:val="auto"/>
          <w:szCs w:val="21"/>
          <w:highlight w:val="none"/>
          <w:u w:val="single"/>
        </w:rPr>
        <w:t>、</w:t>
      </w:r>
      <w:r>
        <w:rPr>
          <w:rFonts w:ascii="宋体" w:hAnsi="宋体" w:cs="宋体"/>
          <w:color w:val="auto"/>
          <w:szCs w:val="21"/>
          <w:highlight w:val="none"/>
          <w:u w:val="single"/>
        </w:rPr>
        <w:t>《关于进一步落实我区市政建设项目施工围蔽提升工作的通知》（穗埔建[2019]123号）</w:t>
      </w:r>
      <w:r>
        <w:rPr>
          <w:rFonts w:hint="eastAsia" w:ascii="宋体" w:hAnsi="宋体" w:cs="宋体"/>
          <w:color w:val="auto"/>
          <w:szCs w:val="21"/>
          <w:highlight w:val="none"/>
          <w:u w:val="single"/>
        </w:rPr>
        <w:t>及《黄埔区住房和城乡建设局 广州开发区建设和交通局关于进一步规范全区建设工程施工围蔽标准的通知》（穗埔建﹝2020﹞183号）的相关文件要求的标准实施。以上文件要求不一致的，以后发布文件为准，若相关部门发布有关施工现场管理及施工围蔽新规定的，按新规定执行。实施相关费用已含在合同价中。如承包人未及时按要求做好围蔽等安全文明施工措施，建设业主可另行委托单位实施，建设业主按实际发生的费用在绿色施工安全防护措施费中扣除。</w:t>
      </w:r>
    </w:p>
    <w:p>
      <w:pPr>
        <w:spacing w:line="360" w:lineRule="auto"/>
        <w:ind w:firstLine="472" w:firstLineChars="224"/>
        <w:rPr>
          <w:b/>
          <w:color w:val="auto"/>
          <w:szCs w:val="21"/>
          <w:highlight w:val="none"/>
        </w:rPr>
      </w:pPr>
      <w:r>
        <w:rPr>
          <w:rFonts w:hint="eastAsia"/>
          <w:b/>
          <w:color w:val="auto"/>
          <w:szCs w:val="21"/>
          <w:highlight w:val="none"/>
        </w:rPr>
        <w:t>条款</w:t>
      </w:r>
      <w:r>
        <w:rPr>
          <w:rFonts w:hint="eastAsia" w:ascii="宋体" w:hAnsi="宋体"/>
          <w:b/>
          <w:color w:val="auto"/>
          <w:szCs w:val="21"/>
          <w:highlight w:val="none"/>
        </w:rPr>
        <w:t>号：13.13                       修改类</w:t>
      </w:r>
      <w:r>
        <w:rPr>
          <w:rFonts w:hint="eastAsia"/>
          <w:b/>
          <w:color w:val="auto"/>
          <w:szCs w:val="21"/>
          <w:highlight w:val="none"/>
        </w:rPr>
        <w:t>型：增加</w:t>
      </w:r>
    </w:p>
    <w:p>
      <w:pPr>
        <w:pBdr>
          <w:bottom w:val="single" w:color="auto" w:sz="6" w:space="1"/>
        </w:pBdr>
        <w:spacing w:line="360" w:lineRule="auto"/>
        <w:ind w:firstLine="472" w:firstLineChars="224"/>
        <w:rPr>
          <w:color w:val="auto"/>
          <w:szCs w:val="21"/>
          <w:highlight w:val="none"/>
        </w:rPr>
      </w:pPr>
      <w:r>
        <w:rPr>
          <w:rFonts w:hint="eastAsia"/>
          <w:b/>
          <w:color w:val="auto"/>
          <w:szCs w:val="21"/>
          <w:highlight w:val="none"/>
        </w:rPr>
        <w:t>现文：</w:t>
      </w:r>
      <w:r>
        <w:rPr>
          <w:rFonts w:hint="eastAsia" w:ascii="宋体" w:hAnsi="宋体" w:cs="宋体"/>
          <w:color w:val="auto"/>
          <w:szCs w:val="21"/>
          <w:highlight w:val="none"/>
          <w:u w:val="single"/>
        </w:rPr>
        <w:t>13.13本工程中标人通过现场考察，提出具体施工方案，无论在工程施工期间或是在质量保修期内，若因施工而引起的一切索赔、赔偿、诉讼费用和其他开支，由中标人承担全部责任。该项费用包含在总投标报价中，不另行计费。中标人不得以任何理由要求业主另行增加该部分费用（中标人要充分考虑最不利因素影响而采用的施工方案所需的费用）。</w:t>
      </w:r>
    </w:p>
    <w:p>
      <w:pPr>
        <w:spacing w:line="360" w:lineRule="auto"/>
        <w:ind w:firstLine="472" w:firstLineChars="224"/>
        <w:rPr>
          <w:b/>
          <w:color w:val="auto"/>
          <w:szCs w:val="21"/>
          <w:highlight w:val="none"/>
        </w:rPr>
      </w:pPr>
      <w:r>
        <w:rPr>
          <w:rFonts w:hint="eastAsia"/>
          <w:b/>
          <w:color w:val="auto"/>
          <w:szCs w:val="21"/>
          <w:highlight w:val="none"/>
        </w:rPr>
        <w:t>条款</w:t>
      </w:r>
      <w:r>
        <w:rPr>
          <w:rFonts w:hint="eastAsia" w:ascii="宋体" w:hAnsi="宋体"/>
          <w:b/>
          <w:color w:val="auto"/>
          <w:szCs w:val="21"/>
          <w:highlight w:val="none"/>
        </w:rPr>
        <w:t>号：13.14                       修改类</w:t>
      </w:r>
      <w:r>
        <w:rPr>
          <w:rFonts w:hint="eastAsia"/>
          <w:b/>
          <w:color w:val="auto"/>
          <w:szCs w:val="21"/>
          <w:highlight w:val="none"/>
        </w:rPr>
        <w:t>型：增加</w:t>
      </w:r>
    </w:p>
    <w:p>
      <w:pPr>
        <w:pBdr>
          <w:bottom w:val="single" w:color="auto" w:sz="6" w:space="1"/>
        </w:pBdr>
        <w:spacing w:line="360" w:lineRule="auto"/>
        <w:ind w:firstLine="472" w:firstLineChars="224"/>
        <w:rPr>
          <w:color w:val="auto"/>
          <w:szCs w:val="21"/>
          <w:highlight w:val="none"/>
        </w:rPr>
      </w:pPr>
      <w:r>
        <w:rPr>
          <w:rFonts w:hint="eastAsia"/>
          <w:b/>
          <w:color w:val="auto"/>
          <w:szCs w:val="21"/>
          <w:highlight w:val="none"/>
        </w:rPr>
        <w:t>现文：</w:t>
      </w:r>
      <w:r>
        <w:rPr>
          <w:rFonts w:hint="eastAsia" w:ascii="宋体" w:hAnsi="宋体" w:cs="宋体"/>
          <w:color w:val="auto"/>
          <w:szCs w:val="21"/>
          <w:highlight w:val="none"/>
          <w:u w:val="single"/>
        </w:rPr>
        <w:t>13.14投标单位应结合本工程招标内容对现场进行充分的调查，充分考虑工程招标内容及施工组织方案，承包单位应与相关管理部门（如铁路管理部门）协商，取得同意协调，按要求完成工程招标内容，工程及相关费用包含在投标总价中，不另行计费。如果中标人不及时按要求完成，业主可以另行委托实施，业主按实际发生的费用在工程款中扣除，中标人不得有任何异议。</w:t>
      </w:r>
    </w:p>
    <w:p>
      <w:pPr>
        <w:spacing w:line="360" w:lineRule="auto"/>
        <w:ind w:firstLine="472" w:firstLineChars="224"/>
        <w:rPr>
          <w:b/>
          <w:color w:val="auto"/>
          <w:szCs w:val="21"/>
          <w:highlight w:val="none"/>
        </w:rPr>
      </w:pPr>
      <w:r>
        <w:rPr>
          <w:rFonts w:hint="eastAsia"/>
          <w:b/>
          <w:color w:val="auto"/>
          <w:szCs w:val="21"/>
          <w:highlight w:val="none"/>
        </w:rPr>
        <w:t>条款</w:t>
      </w:r>
      <w:r>
        <w:rPr>
          <w:rFonts w:hint="eastAsia" w:ascii="宋体" w:hAnsi="宋体"/>
          <w:b/>
          <w:color w:val="auto"/>
          <w:szCs w:val="21"/>
          <w:highlight w:val="none"/>
        </w:rPr>
        <w:t>号：13.15                       修改类</w:t>
      </w:r>
      <w:r>
        <w:rPr>
          <w:rFonts w:hint="eastAsia"/>
          <w:b/>
          <w:color w:val="auto"/>
          <w:szCs w:val="21"/>
          <w:highlight w:val="none"/>
        </w:rPr>
        <w:t>型：增加</w:t>
      </w:r>
    </w:p>
    <w:p>
      <w:pPr>
        <w:pBdr>
          <w:bottom w:val="single" w:color="auto" w:sz="6" w:space="1"/>
        </w:pBdr>
        <w:spacing w:line="360" w:lineRule="auto"/>
        <w:ind w:firstLine="472" w:firstLineChars="224"/>
        <w:rPr>
          <w:color w:val="auto"/>
          <w:szCs w:val="21"/>
          <w:highlight w:val="none"/>
        </w:rPr>
      </w:pPr>
      <w:r>
        <w:rPr>
          <w:rFonts w:hint="eastAsia"/>
          <w:b/>
          <w:color w:val="auto"/>
          <w:szCs w:val="21"/>
          <w:highlight w:val="none"/>
        </w:rPr>
        <w:t>现文：</w:t>
      </w:r>
      <w:r>
        <w:rPr>
          <w:rFonts w:hint="eastAsia" w:ascii="宋体" w:hAnsi="宋体" w:cs="宋体"/>
          <w:color w:val="auto"/>
          <w:szCs w:val="21"/>
          <w:highlight w:val="none"/>
          <w:u w:val="single"/>
        </w:rPr>
        <w:t>13.15投标单位应根据区相关主管部门批复的水土保持实施方案及相关规定完成本工程的水土保持工作，承担防止水土流失职责，相关费用包含在投标总价中，不另行计费。如果中标人不及时按要求完成上述工作，业主可以另行委托实施，业主按实际发生的费用在工程款中扣除，中标人不得有任何异议。</w:t>
      </w:r>
    </w:p>
    <w:p>
      <w:pPr>
        <w:spacing w:line="360" w:lineRule="auto"/>
        <w:ind w:firstLine="472" w:firstLineChars="224"/>
        <w:rPr>
          <w:b/>
          <w:color w:val="auto"/>
          <w:szCs w:val="21"/>
          <w:highlight w:val="none"/>
        </w:rPr>
      </w:pPr>
      <w:r>
        <w:rPr>
          <w:rFonts w:hint="eastAsia"/>
          <w:b/>
          <w:color w:val="auto"/>
          <w:szCs w:val="21"/>
          <w:highlight w:val="none"/>
        </w:rPr>
        <w:t>条款</w:t>
      </w:r>
      <w:r>
        <w:rPr>
          <w:rFonts w:hint="eastAsia" w:ascii="宋体" w:hAnsi="宋体"/>
          <w:b/>
          <w:color w:val="auto"/>
          <w:szCs w:val="21"/>
          <w:highlight w:val="none"/>
        </w:rPr>
        <w:t>号：13.16                       修改类</w:t>
      </w:r>
      <w:r>
        <w:rPr>
          <w:rFonts w:hint="eastAsia"/>
          <w:b/>
          <w:color w:val="auto"/>
          <w:szCs w:val="21"/>
          <w:highlight w:val="none"/>
        </w:rPr>
        <w:t>型：增加</w:t>
      </w:r>
    </w:p>
    <w:p>
      <w:pPr>
        <w:pBdr>
          <w:bottom w:val="single" w:color="auto" w:sz="6" w:space="1"/>
        </w:pBdr>
        <w:spacing w:line="360" w:lineRule="auto"/>
        <w:ind w:firstLine="472" w:firstLineChars="224"/>
        <w:rPr>
          <w:color w:val="auto"/>
          <w:szCs w:val="21"/>
          <w:highlight w:val="none"/>
        </w:rPr>
      </w:pPr>
      <w:r>
        <w:rPr>
          <w:rFonts w:hint="eastAsia"/>
          <w:b/>
          <w:color w:val="auto"/>
          <w:szCs w:val="21"/>
          <w:highlight w:val="none"/>
        </w:rPr>
        <w:t>现文：</w:t>
      </w:r>
      <w:r>
        <w:rPr>
          <w:rFonts w:hint="eastAsia" w:ascii="宋体" w:hAnsi="宋体" w:cs="宋体"/>
          <w:color w:val="auto"/>
          <w:szCs w:val="21"/>
          <w:highlight w:val="none"/>
          <w:u w:val="single"/>
        </w:rPr>
        <w:t>13.16中标人应使用绿色生产达标企业生产的混凝土，若不遵守承诺，自愿按不履行合同约定处理。</w:t>
      </w:r>
    </w:p>
    <w:p>
      <w:pPr>
        <w:spacing w:line="360" w:lineRule="auto"/>
        <w:ind w:firstLine="472" w:firstLineChars="224"/>
        <w:rPr>
          <w:b/>
          <w:color w:val="auto"/>
          <w:szCs w:val="21"/>
          <w:highlight w:val="none"/>
        </w:rPr>
      </w:pPr>
      <w:r>
        <w:rPr>
          <w:rFonts w:hint="eastAsia"/>
          <w:b/>
          <w:color w:val="auto"/>
          <w:szCs w:val="21"/>
          <w:highlight w:val="none"/>
        </w:rPr>
        <w:t>条款</w:t>
      </w:r>
      <w:r>
        <w:rPr>
          <w:rFonts w:hint="eastAsia" w:ascii="宋体" w:hAnsi="宋体"/>
          <w:b/>
          <w:color w:val="auto"/>
          <w:szCs w:val="21"/>
          <w:highlight w:val="none"/>
        </w:rPr>
        <w:t>号：13.17                       修改类</w:t>
      </w:r>
      <w:r>
        <w:rPr>
          <w:rFonts w:hint="eastAsia"/>
          <w:b/>
          <w:color w:val="auto"/>
          <w:szCs w:val="21"/>
          <w:highlight w:val="none"/>
        </w:rPr>
        <w:t>型：增加</w:t>
      </w:r>
    </w:p>
    <w:p>
      <w:pPr>
        <w:pBdr>
          <w:bottom w:val="single" w:color="auto" w:sz="6" w:space="1"/>
        </w:pBdr>
        <w:spacing w:line="360" w:lineRule="auto"/>
        <w:ind w:firstLine="472" w:firstLineChars="224"/>
        <w:rPr>
          <w:color w:val="auto"/>
          <w:szCs w:val="21"/>
          <w:highlight w:val="none"/>
        </w:rPr>
      </w:pPr>
      <w:r>
        <w:rPr>
          <w:rFonts w:hint="eastAsia"/>
          <w:b/>
          <w:color w:val="auto"/>
          <w:szCs w:val="21"/>
          <w:highlight w:val="none"/>
        </w:rPr>
        <w:t>现文：</w:t>
      </w:r>
      <w:r>
        <w:rPr>
          <w:rFonts w:hint="eastAsia" w:ascii="宋体" w:hAnsi="宋体" w:cs="宋体"/>
          <w:color w:val="auto"/>
          <w:szCs w:val="21"/>
          <w:highlight w:val="none"/>
          <w:u w:val="single"/>
        </w:rPr>
        <w:t>13.17中标人应按有关规定协助建设业主完成公共排水设施竣工图纸备案工作。</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条款号：16.1                        修改类型：修改</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16.1投标人应按投标须知前附表第14项所述金额和时间递交投标保证金。招标人应当允许投标人自主选择现金、银行保函、保证保险、专业工程担保公司担保等方式缴纳投标保证金。</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16.1.1采用现金或者支票形式提交的，投标保证金须从投标人的银行基本账户转出。</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16.1.2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16.1.3采用电子形式的保函、担保或保证保险提交投标保证金的，应在招标文件中明确电子递交途径。</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16.3投标保证金应依据法律法规的相关规定退还。</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16.4如有下列情况之一的，招标人可以不予退还投标保证金（是否退还投标保证金由招标人在招标文件中规定）：</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16.4.1因投标人原因造成投标文件未解密的；</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16.4.2投标人在投标有效期内撤销投标文件；</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16.4.3中标人未能在规定期限内按要求提交履约担保；</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16.4.4中标人未能在规定期限内签署合同协议。</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16.5投标人如存在下列情况之一的，将被拒绝在一定时期内参与招标人后续工程投标（拒绝时限需在招标文件中明确）：</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16.5.1投标人存在16.4条款所列情形且投标人提交的保函、担保或保证保险无法兑付的；</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16.5.2采用非电子形式提交投标保证金的投标人存在16.4条款所列情形，且未按招标人要求补交银行保函、专业工程担保公司担保或保证保险原件的；</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16.5.3按招标文件要求免于提供投标保证金的投标人存在16.4条款所列情形，且未按招标人要求补交投标保证金的；</w:t>
      </w:r>
    </w:p>
    <w:p>
      <w:pPr>
        <w:pBdr>
          <w:bottom w:val="single" w:color="auto" w:sz="6" w:space="1"/>
        </w:pBdr>
        <w:spacing w:line="360" w:lineRule="auto"/>
        <w:ind w:firstLine="420" w:firstLineChars="200"/>
        <w:rPr>
          <w:rFonts w:hint="eastAsia" w:hAnsi="宋体" w:cs="宋体"/>
          <w:b/>
          <w:color w:val="auto"/>
          <w:szCs w:val="21"/>
          <w:highlight w:val="none"/>
        </w:rPr>
      </w:pPr>
      <w:r>
        <w:rPr>
          <w:rFonts w:hint="eastAsia" w:ascii="宋体" w:hAnsi="宋体" w:cs="宋体"/>
          <w:color w:val="auto"/>
          <w:szCs w:val="21"/>
          <w:highlight w:val="none"/>
        </w:rPr>
        <w:t>16.5.3按招标文件要求免于提供投标保证金的投标人存在16.4条款所列情形的。</w:t>
      </w:r>
    </w:p>
    <w:p>
      <w:pPr>
        <w:pBdr>
          <w:bottom w:val="single" w:color="auto" w:sz="6" w:space="1"/>
        </w:pBdr>
        <w:spacing w:line="360" w:lineRule="auto"/>
        <w:ind w:firstLine="422" w:firstLineChars="200"/>
        <w:rPr>
          <w:rFonts w:hint="eastAsia" w:hAnsi="宋体" w:cs="宋体"/>
          <w:b/>
          <w:color w:val="auto"/>
          <w:szCs w:val="21"/>
          <w:highlight w:val="none"/>
        </w:rPr>
      </w:pPr>
      <w:r>
        <w:rPr>
          <w:rFonts w:hint="eastAsia" w:hAnsi="宋体" w:cs="宋体"/>
          <w:b/>
          <w:color w:val="auto"/>
          <w:szCs w:val="21"/>
          <w:highlight w:val="none"/>
        </w:rPr>
        <w:t>现文：</w:t>
      </w:r>
      <w:r>
        <w:rPr>
          <w:rFonts w:hint="eastAsia" w:ascii="宋体" w:hAnsi="宋体" w:cs="宋体"/>
          <w:color w:val="auto"/>
          <w:szCs w:val="21"/>
          <w:highlight w:val="none"/>
        </w:rPr>
        <w:t>16.</w:t>
      </w:r>
      <w:r>
        <w:rPr>
          <w:rFonts w:hint="eastAsia" w:ascii="宋体" w:hAnsi="宋体"/>
          <w:color w:val="auto"/>
          <w:szCs w:val="21"/>
          <w:highlight w:val="none"/>
          <w:u w:val="single"/>
        </w:rPr>
        <w:t>1投标人应按投标须知前附表第14项所述金额和时间递交投标保证金。招标人应当允许投标人自主选择现金、银行保函、保证保险、专业工程担保公司担保等方式缴纳投标保证金。</w:t>
      </w:r>
    </w:p>
    <w:p>
      <w:pPr>
        <w:pBdr>
          <w:bottom w:val="single" w:color="auto" w:sz="6" w:space="1"/>
        </w:pBdr>
        <w:spacing w:line="360" w:lineRule="auto"/>
        <w:ind w:firstLine="420" w:firstLineChars="200"/>
        <w:rPr>
          <w:rFonts w:hint="eastAsia" w:hAnsi="宋体" w:cs="宋体"/>
          <w:b/>
          <w:color w:val="auto"/>
          <w:szCs w:val="21"/>
          <w:highlight w:val="none"/>
        </w:rPr>
      </w:pPr>
      <w:r>
        <w:rPr>
          <w:rFonts w:hint="eastAsia" w:ascii="宋体" w:hAnsi="宋体" w:cs="宋体"/>
          <w:color w:val="auto"/>
          <w:szCs w:val="21"/>
          <w:highlight w:val="none"/>
        </w:rPr>
        <w:t>16.1.1采用现金或者支票形式提交的，投标保证金须从投标人的银行基本账户转出，由广州交易集团有限公司（广州公共资源交易中心）代收，缴纳情况以交易平台数据库记录的信息为准。具体操作要求详见广州公共资源交易中心有关指引，递交事宜请自行咨询交易中心。</w:t>
      </w:r>
    </w:p>
    <w:p>
      <w:pPr>
        <w:pBdr>
          <w:bottom w:val="single" w:color="auto" w:sz="6" w:space="1"/>
        </w:pBdr>
        <w:spacing w:line="360" w:lineRule="auto"/>
        <w:ind w:firstLine="420" w:firstLineChars="200"/>
        <w:rPr>
          <w:rFonts w:hint="eastAsia" w:hAnsi="宋体" w:cs="宋体"/>
          <w:b/>
          <w:color w:val="auto"/>
          <w:szCs w:val="21"/>
          <w:highlight w:val="none"/>
        </w:rPr>
      </w:pPr>
      <w:r>
        <w:rPr>
          <w:rFonts w:hint="eastAsia" w:ascii="宋体" w:hAnsi="宋体" w:cs="宋体"/>
          <w:color w:val="auto"/>
          <w:szCs w:val="21"/>
          <w:highlight w:val="none"/>
        </w:rPr>
        <w:t>16.1.2依法必须招标的房屋建筑</w:t>
      </w:r>
      <w:r>
        <w:rPr>
          <w:rFonts w:hint="eastAsia" w:ascii="宋体" w:hAnsi="宋体" w:cs="宋体"/>
          <w:color w:val="auto"/>
          <w:szCs w:val="21"/>
          <w:highlight w:val="none"/>
          <w:u w:val="single"/>
        </w:rPr>
        <w:t>和市政</w:t>
      </w:r>
      <w:r>
        <w:rPr>
          <w:rFonts w:hint="eastAsia" w:ascii="宋体" w:hAnsi="宋体" w:cs="宋体"/>
          <w:color w:val="auto"/>
          <w:szCs w:val="21"/>
          <w:highlight w:val="none"/>
        </w:rPr>
        <w:t>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16.1.3采用电子形式的保函、担保或保证保险</w:t>
      </w:r>
      <w:r>
        <w:rPr>
          <w:rFonts w:hint="eastAsia" w:ascii="宋体" w:hAnsi="宋体" w:cs="宋体"/>
          <w:color w:val="auto"/>
          <w:szCs w:val="21"/>
          <w:highlight w:val="none"/>
          <w:u w:val="single"/>
        </w:rPr>
        <w:t>通过广州公共资源交易中心交易系统</w:t>
      </w:r>
      <w:r>
        <w:rPr>
          <w:rFonts w:hint="eastAsia" w:ascii="宋体" w:hAnsi="宋体" w:cs="宋体"/>
          <w:color w:val="auto"/>
          <w:szCs w:val="21"/>
          <w:highlight w:val="none"/>
        </w:rPr>
        <w:t>提交投标保证金的，</w:t>
      </w:r>
      <w:r>
        <w:rPr>
          <w:rFonts w:hint="eastAsia" w:ascii="宋体" w:hAnsi="宋体" w:cs="宋体"/>
          <w:color w:val="auto"/>
          <w:szCs w:val="21"/>
          <w:highlight w:val="none"/>
          <w:u w:val="single"/>
        </w:rPr>
        <w:t>应该按照广州公共资源交易中心【房建市政】新数字交易平台相关操作指引操作</w:t>
      </w:r>
      <w:r>
        <w:rPr>
          <w:rFonts w:hint="eastAsia" w:ascii="宋体" w:hAnsi="宋体" w:cs="宋体"/>
          <w:color w:val="auto"/>
          <w:szCs w:val="21"/>
          <w:highlight w:val="none"/>
        </w:rPr>
        <w:t>。</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w:t>
      </w:r>
      <w:r>
        <w:rPr>
          <w:rFonts w:hint="eastAsia" w:ascii="宋体" w:hAnsi="宋体" w:cs="宋体"/>
          <w:color w:val="auto"/>
          <w:szCs w:val="21"/>
          <w:highlight w:val="none"/>
          <w:u w:val="single"/>
        </w:rPr>
        <w:t>开标时投标人没有按要求提供投标保证金的，其投标文件将被否决。</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16.3投标保证金应依据法律法规的相关规定退还。</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16.4如有下列情况之一的，</w:t>
      </w:r>
      <w:r>
        <w:rPr>
          <w:rFonts w:hint="eastAsia" w:ascii="宋体" w:hAnsi="宋体" w:cs="宋体"/>
          <w:color w:val="auto"/>
          <w:szCs w:val="21"/>
          <w:highlight w:val="none"/>
          <w:u w:val="single"/>
        </w:rPr>
        <w:t>招标人可以不予退还投标保证金</w:t>
      </w:r>
      <w:r>
        <w:rPr>
          <w:rFonts w:hint="eastAsia" w:ascii="宋体" w:hAnsi="宋体" w:cs="宋体"/>
          <w:color w:val="auto"/>
          <w:szCs w:val="21"/>
          <w:highlight w:val="none"/>
        </w:rPr>
        <w:t>：</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16.4.1因投标人原因造成投标文件未解密的；</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16.4.2投标人在投标有效期内撤销投标文件</w:t>
      </w:r>
      <w:r>
        <w:rPr>
          <w:rFonts w:hint="eastAsia" w:ascii="宋体" w:hAnsi="宋体" w:cs="宋体"/>
          <w:color w:val="auto"/>
          <w:szCs w:val="21"/>
          <w:highlight w:val="none"/>
          <w:u w:val="single"/>
        </w:rPr>
        <w:t>或放弃中标资格的</w:t>
      </w:r>
      <w:r>
        <w:rPr>
          <w:rFonts w:hint="eastAsia" w:ascii="宋体" w:hAnsi="宋体" w:cs="宋体"/>
          <w:color w:val="auto"/>
          <w:szCs w:val="21"/>
          <w:highlight w:val="none"/>
        </w:rPr>
        <w:t>；</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16.4.3中标人未能在规定期限内按要求提交履约担保；</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16.4.4中标人未能在规定期限内签署合同协议</w:t>
      </w:r>
      <w:r>
        <w:rPr>
          <w:rFonts w:hint="eastAsia" w:ascii="宋体" w:hAnsi="宋体" w:cs="宋体"/>
          <w:color w:val="auto"/>
          <w:szCs w:val="21"/>
          <w:highlight w:val="none"/>
          <w:u w:val="single"/>
        </w:rPr>
        <w:t>；</w:t>
      </w:r>
    </w:p>
    <w:p>
      <w:pPr>
        <w:pBdr>
          <w:bottom w:val="single" w:color="auto" w:sz="6" w:space="1"/>
        </w:pBdr>
        <w:spacing w:line="360" w:lineRule="auto"/>
        <w:ind w:firstLine="420" w:firstLineChars="200"/>
        <w:rPr>
          <w:rFonts w:hint="eastAsia" w:hAnsi="宋体" w:cs="宋体"/>
          <w:b/>
          <w:color w:val="auto"/>
          <w:szCs w:val="21"/>
          <w:highlight w:val="none"/>
          <w:u w:val="single"/>
        </w:rPr>
      </w:pPr>
      <w:r>
        <w:rPr>
          <w:rFonts w:hint="eastAsia" w:ascii="宋体" w:hAnsi="宋体" w:cs="宋体"/>
          <w:color w:val="auto"/>
          <w:szCs w:val="21"/>
          <w:highlight w:val="none"/>
          <w:u w:val="single"/>
        </w:rPr>
        <w:t>16.4.5投标人弄虚作假骗取中标的。</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16.5投标人如存在下列情况之一的，</w:t>
      </w:r>
      <w:r>
        <w:rPr>
          <w:rFonts w:hint="eastAsia" w:ascii="宋体" w:hAnsi="宋体" w:cs="宋体"/>
          <w:color w:val="auto"/>
          <w:szCs w:val="21"/>
          <w:highlight w:val="none"/>
          <w:u w:val="single"/>
        </w:rPr>
        <w:t>将被拒绝在3个月内参与招标人后续工程投标</w:t>
      </w:r>
      <w:r>
        <w:rPr>
          <w:rFonts w:hint="eastAsia" w:ascii="宋体" w:hAnsi="宋体" w:cs="宋体"/>
          <w:color w:val="auto"/>
          <w:szCs w:val="21"/>
          <w:highlight w:val="none"/>
        </w:rPr>
        <w:t>：</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16.5.1投标人存在16.4条款所列情形且投标人提交的保函、担保或保证保险无法兑付的；</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16.5.2采用非电子形式提交投标保证金的投标人存在16.4条款所列情形，且未按招标人要求补交银行保函、专业工程担保公司担保或保证保险原件的；</w:t>
      </w:r>
    </w:p>
    <w:p>
      <w:pPr>
        <w:pBdr>
          <w:bottom w:val="single" w:color="auto" w:sz="6" w:space="1"/>
        </w:pBd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16.5.3</w:t>
      </w:r>
      <w:r>
        <w:rPr>
          <w:rFonts w:hint="eastAsia" w:ascii="宋体" w:hAnsi="宋体" w:cs="宋体"/>
          <w:color w:val="auto"/>
          <w:szCs w:val="21"/>
          <w:highlight w:val="none"/>
          <w:u w:val="single"/>
        </w:rPr>
        <w:t>按招标文件要求免于提供投标保证金的投标人存在16.4条款所列情形，且未按招标人要求补交投标保证金的。</w:t>
      </w:r>
    </w:p>
    <w:p>
      <w:pPr>
        <w:spacing w:line="360" w:lineRule="auto"/>
        <w:ind w:firstLine="405" w:firstLineChars="192"/>
        <w:rPr>
          <w:rFonts w:hint="eastAsia" w:ascii="宋体" w:hAnsi="宋体" w:cs="宋体"/>
          <w:b/>
          <w:color w:val="auto"/>
          <w:szCs w:val="21"/>
          <w:highlight w:val="none"/>
        </w:rPr>
      </w:pPr>
      <w:r>
        <w:rPr>
          <w:rFonts w:hint="eastAsia" w:ascii="宋体" w:hAnsi="宋体" w:cs="宋体"/>
          <w:b/>
          <w:color w:val="auto"/>
          <w:szCs w:val="21"/>
          <w:highlight w:val="none"/>
        </w:rPr>
        <w:t>条款号：17                        　修改类型：修改</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原文：17．投标文件的签署</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pBdr>
          <w:bottom w:val="single" w:color="auto" w:sz="6" w:space="1"/>
        </w:pBd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现文：17．投标文件的签署</w:t>
      </w:r>
      <w:r>
        <w:rPr>
          <w:rFonts w:hint="eastAsia" w:ascii="宋体" w:hAnsi="宋体" w:cs="宋体"/>
          <w:b/>
          <w:color w:val="auto"/>
          <w:szCs w:val="21"/>
          <w:highlight w:val="none"/>
          <w:u w:val="single"/>
        </w:rPr>
        <w:t>及份数</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17.1投标人应采用单位数字证书，按招标文件要求在相应位置加盖电子印章。投标文件中需个人签字或盖章的，应加盖个人电子印章或在线下完成后扫描上传。按照</w:t>
      </w:r>
      <w:r>
        <w:rPr>
          <w:rFonts w:hint="eastAsia" w:ascii="宋体" w:hAnsi="宋体"/>
          <w:color w:val="auto"/>
          <w:szCs w:val="21"/>
          <w:highlight w:val="none"/>
          <w:u w:val="single"/>
        </w:rPr>
        <w:t>广州公共资源交易中心</w:t>
      </w:r>
      <w:r>
        <w:rPr>
          <w:rFonts w:hint="eastAsia" w:ascii="宋体" w:hAnsi="宋体" w:cs="宋体"/>
          <w:color w:val="auto"/>
          <w:szCs w:val="21"/>
          <w:highlight w:val="none"/>
        </w:rPr>
        <w:t>交易平台关于全流程电子化项目的相关指南进行操作。详见：</w:t>
      </w:r>
      <w:r>
        <w:rPr>
          <w:rFonts w:hint="eastAsia" w:ascii="宋体" w:hAnsi="宋体" w:cs="宋体"/>
          <w:color w:val="auto"/>
          <w:szCs w:val="21"/>
          <w:highlight w:val="none"/>
          <w:u w:val="single"/>
        </w:rPr>
        <w:t>广州公共资源交易中心网站最新指引</w:t>
      </w:r>
      <w:r>
        <w:rPr>
          <w:rFonts w:hint="eastAsia" w:ascii="宋体" w:hAnsi="宋体" w:cs="宋体"/>
          <w:color w:val="auto"/>
          <w:szCs w:val="21"/>
          <w:highlight w:val="none"/>
        </w:rPr>
        <w:t>。</w:t>
      </w:r>
    </w:p>
    <w:p>
      <w:pPr>
        <w:pBdr>
          <w:bottom w:val="single" w:color="auto" w:sz="6" w:space="1"/>
        </w:pBd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u w:val="single"/>
        </w:rPr>
        <w:t>17.2投标文件份数为含电子印章的加密电子投标文件1套。中标人在签订合同前需向招标人另行提供与投标递交的电子标书一致且加盖单位公章的纸质投标文件（含投标人须知11.3列表明细包含的所有工程量清单报价表）4份及电子文件1份（不用生成投标书；包括用Microsoft Excel 软件或广州公共资源交易中心提供的投标书制作软件制作的工程量清单报价表和单价分析表，用 Microsoft Word 软件或广州公共资源交易中心提供的投标书制作软件制作的经济投标文件其他部分。电子文件介质使用CD-R光盘，所有电子文件不能采用压缩处理）。</w:t>
      </w:r>
    </w:p>
    <w:p>
      <w:pPr>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条款号：18.1                        修改类型：修改</w:t>
      </w:r>
    </w:p>
    <w:p>
      <w:pPr>
        <w:spacing w:line="360" w:lineRule="auto"/>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18.1</w:t>
      </w:r>
      <w:r>
        <w:rPr>
          <w:rFonts w:hint="eastAsia" w:ascii="宋体" w:hAnsi="宋体" w:cs="宋体"/>
          <w:bCs/>
          <w:color w:val="auto"/>
          <w:szCs w:val="21"/>
          <w:highlight w:val="none"/>
        </w:rPr>
        <w:t>递交的电子投标文件（不含备用光盘）必须进行加密。按照交易平台关于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18.1</w:t>
      </w:r>
      <w:r>
        <w:rPr>
          <w:rFonts w:hint="eastAsia" w:ascii="宋体" w:hAnsi="宋体" w:cs="宋体"/>
          <w:bCs/>
          <w:color w:val="auto"/>
          <w:szCs w:val="21"/>
          <w:highlight w:val="none"/>
        </w:rPr>
        <w:t>递交的电子投标文件（不含备用光盘）必须进行加密。按照</w:t>
      </w:r>
      <w:r>
        <w:rPr>
          <w:rFonts w:hint="eastAsia" w:ascii="宋体" w:hAnsi="宋体"/>
          <w:color w:val="auto"/>
          <w:szCs w:val="21"/>
          <w:highlight w:val="none"/>
          <w:u w:val="single"/>
        </w:rPr>
        <w:t>广州公共资源交易中心</w:t>
      </w:r>
      <w:r>
        <w:rPr>
          <w:rFonts w:hint="eastAsia" w:ascii="宋体" w:hAnsi="宋体" w:cs="宋体"/>
          <w:bCs/>
          <w:color w:val="auto"/>
          <w:szCs w:val="21"/>
          <w:highlight w:val="none"/>
        </w:rPr>
        <w:t>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广州公共资源交易中心网站最新指引</w:t>
      </w:r>
      <w:r>
        <w:rPr>
          <w:rFonts w:hint="eastAsia" w:ascii="宋体" w:hAnsi="宋体" w:cs="宋体"/>
          <w:color w:val="auto"/>
          <w:szCs w:val="21"/>
          <w:highlight w:val="none"/>
        </w:rPr>
        <w:t>。</w:t>
      </w:r>
    </w:p>
    <w:p>
      <w:pPr>
        <w:spacing w:line="360" w:lineRule="auto"/>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条款号：18.2                       修改类型：修改</w:t>
      </w:r>
    </w:p>
    <w:p>
      <w:pPr>
        <w:spacing w:line="360" w:lineRule="auto"/>
        <w:ind w:firstLine="422" w:firstLineChars="200"/>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18.2</w:t>
      </w:r>
      <w:r>
        <w:rPr>
          <w:rFonts w:hint="eastAsia" w:ascii="宋体" w:hAnsi="宋体" w:cs="宋体"/>
          <w:bCs/>
          <w:color w:val="auto"/>
          <w:szCs w:val="21"/>
          <w:highlight w:val="none"/>
        </w:rPr>
        <w:t>未按要求加密的投标文件，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pBdr>
          <w:bottom w:val="single" w:color="auto" w:sz="6" w:space="1"/>
        </w:pBdr>
        <w:spacing w:line="360" w:lineRule="auto"/>
        <w:ind w:firstLine="422" w:firstLineChars="200"/>
        <w:textAlignment w:val="baseline"/>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18.2</w:t>
      </w:r>
      <w:r>
        <w:rPr>
          <w:rFonts w:hint="eastAsia" w:ascii="宋体" w:hAnsi="宋体" w:cs="宋体"/>
          <w:bCs/>
          <w:color w:val="auto"/>
          <w:szCs w:val="21"/>
          <w:highlight w:val="none"/>
        </w:rPr>
        <w:t>未按要求加密的投标文件，</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条款号：19                          修改类型：修改</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原文：19.投标文件的递交和接收</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现文：19.</w:t>
      </w:r>
      <w:r>
        <w:rPr>
          <w:rFonts w:hint="eastAsia" w:ascii="宋体" w:hAnsi="宋体" w:cs="宋体"/>
          <w:b/>
          <w:color w:val="auto"/>
          <w:szCs w:val="21"/>
          <w:highlight w:val="none"/>
          <w:u w:val="single"/>
        </w:rPr>
        <w:t>投标登记和</w:t>
      </w:r>
      <w:r>
        <w:rPr>
          <w:rFonts w:hint="eastAsia" w:ascii="宋体" w:hAnsi="宋体" w:cs="宋体"/>
          <w:b/>
          <w:color w:val="auto"/>
          <w:szCs w:val="21"/>
          <w:highlight w:val="none"/>
        </w:rPr>
        <w:t>投标文件的递交和接收</w:t>
      </w:r>
    </w:p>
    <w:p>
      <w:pPr>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条款号：19.1                        修改类型：修改</w:t>
      </w:r>
    </w:p>
    <w:p>
      <w:pPr>
        <w:spacing w:line="360" w:lineRule="auto"/>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19.1</w:t>
      </w:r>
      <w:r>
        <w:rPr>
          <w:rFonts w:hint="eastAsia" w:ascii="宋体" w:hAnsi="宋体" w:cs="宋体"/>
          <w:bCs/>
          <w:color w:val="auto"/>
          <w:szCs w:val="21"/>
          <w:highlight w:val="none"/>
        </w:rPr>
        <w:t>投标人通过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交易平台递交电子投标文件。</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19.1</w:t>
      </w:r>
      <w:r>
        <w:rPr>
          <w:rFonts w:hint="eastAsia" w:ascii="宋体" w:hAnsi="宋体" w:cs="宋体"/>
          <w:bCs/>
          <w:color w:val="auto"/>
          <w:szCs w:val="21"/>
          <w:highlight w:val="none"/>
        </w:rPr>
        <w:t>投标人通过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交易平台递交电子投标文件。</w:t>
      </w:r>
    </w:p>
    <w:p>
      <w:pPr>
        <w:adjustRightInd w:val="0"/>
        <w:spacing w:line="360" w:lineRule="auto"/>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条款号：19.2                       修改类型：修改</w:t>
      </w:r>
    </w:p>
    <w:p>
      <w:pPr>
        <w:adjustRightInd w:val="0"/>
        <w:spacing w:line="360" w:lineRule="auto"/>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19.2</w:t>
      </w:r>
      <w:r>
        <w:rPr>
          <w:rFonts w:hint="eastAsia" w:ascii="宋体" w:hAnsi="宋体" w:cs="宋体"/>
          <w:bCs/>
          <w:color w:val="auto"/>
          <w:szCs w:val="21"/>
          <w:highlight w:val="none"/>
        </w:rPr>
        <w:t>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交易平台即时向投标人发出递交回执通知。递交时间以递交回执通知载明的传输完成时间为准。</w:t>
      </w:r>
    </w:p>
    <w:p>
      <w:pPr>
        <w:pBdr>
          <w:bottom w:val="single" w:color="auto" w:sz="6" w:space="1"/>
        </w:pBdr>
        <w:adjustRightInd w:val="0"/>
        <w:spacing w:line="360" w:lineRule="auto"/>
        <w:ind w:firstLine="527" w:firstLineChars="250"/>
        <w:textAlignment w:val="baseline"/>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19.2</w:t>
      </w:r>
      <w:r>
        <w:rPr>
          <w:rFonts w:hint="eastAsia" w:ascii="宋体" w:hAnsi="宋体" w:cs="宋体"/>
          <w:bCs/>
          <w:color w:val="auto"/>
          <w:szCs w:val="21"/>
          <w:highlight w:val="none"/>
        </w:rPr>
        <w:t>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交易平台即时向投标人发出递交回执通知。递交时间以递交回执通知载明的传输完成时间为准。</w:t>
      </w:r>
    </w:p>
    <w:p>
      <w:pPr>
        <w:adjustRightInd w:val="0"/>
        <w:spacing w:line="360" w:lineRule="auto"/>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条款号：19.3                       修改类型：修改</w:t>
      </w:r>
    </w:p>
    <w:p>
      <w:pPr>
        <w:adjustRightInd w:val="0"/>
        <w:spacing w:line="360" w:lineRule="auto"/>
        <w:ind w:firstLine="422" w:firstLineChars="200"/>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19.3</w:t>
      </w:r>
      <w:r>
        <w:rPr>
          <w:rFonts w:hint="eastAsia" w:ascii="宋体" w:hAnsi="宋体" w:cs="宋体"/>
          <w:bCs/>
          <w:color w:val="auto"/>
          <w:szCs w:val="21"/>
          <w:highlight w:val="none"/>
        </w:rPr>
        <w:t>逾期送达的电子投标文件，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交易平台将予以拒收。</w:t>
      </w:r>
    </w:p>
    <w:p>
      <w:pPr>
        <w:pBdr>
          <w:bottom w:val="single" w:color="auto" w:sz="6" w:space="1"/>
        </w:pBdr>
        <w:adjustRightInd w:val="0"/>
        <w:spacing w:line="360" w:lineRule="auto"/>
        <w:ind w:firstLine="422" w:firstLineChars="200"/>
        <w:textAlignment w:val="baseline"/>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19.3</w:t>
      </w:r>
      <w:r>
        <w:rPr>
          <w:rFonts w:hint="eastAsia" w:ascii="宋体" w:hAnsi="宋体" w:cs="宋体"/>
          <w:bCs/>
          <w:color w:val="auto"/>
          <w:szCs w:val="21"/>
          <w:highlight w:val="none"/>
        </w:rPr>
        <w:t>逾期送达的电子投标文件，</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交易平台将予以拒收。</w:t>
      </w:r>
    </w:p>
    <w:p>
      <w:pPr>
        <w:spacing w:line="360" w:lineRule="auto"/>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条款号：19.5                       修改类型：修改</w:t>
      </w:r>
    </w:p>
    <w:p>
      <w:pPr>
        <w:spacing w:line="360" w:lineRule="auto"/>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19.5如技术标和经济标先后分别开启，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交易平台将按招标文件规定的时间分别开启技术标和经济标。</w:t>
      </w:r>
    </w:p>
    <w:p>
      <w:pPr>
        <w:pBdr>
          <w:bottom w:val="single" w:color="auto" w:sz="6" w:space="1"/>
        </w:pBdr>
        <w:spacing w:line="360" w:lineRule="auto"/>
        <w:ind w:firstLine="527" w:firstLineChars="250"/>
        <w:textAlignment w:val="baseline"/>
        <w:rPr>
          <w:rFonts w:hint="eastAsia" w:ascii="宋体" w:hAnsi="宋体" w:eastAsia="宋体" w:cs="宋体"/>
          <w:color w:val="auto"/>
          <w:szCs w:val="21"/>
          <w:highlight w:val="none"/>
          <w:lang w:eastAsia="zh-CN"/>
        </w:rPr>
      </w:pPr>
      <w:r>
        <w:rPr>
          <w:rFonts w:hint="eastAsia" w:ascii="宋体" w:hAnsi="宋体" w:cs="宋体"/>
          <w:b/>
          <w:color w:val="auto"/>
          <w:szCs w:val="21"/>
          <w:highlight w:val="none"/>
        </w:rPr>
        <w:t>现文：</w:t>
      </w:r>
      <w:r>
        <w:rPr>
          <w:rFonts w:hint="eastAsia" w:ascii="宋体" w:hAnsi="宋体" w:cs="宋体"/>
          <w:color w:val="auto"/>
          <w:szCs w:val="21"/>
          <w:highlight w:val="none"/>
        </w:rPr>
        <w:t>19.5</w:t>
      </w:r>
      <w:r>
        <w:rPr>
          <w:rFonts w:hint="eastAsia" w:ascii="宋体" w:hAnsi="宋体" w:cs="宋体"/>
          <w:color w:val="auto"/>
          <w:szCs w:val="21"/>
          <w:highlight w:val="none"/>
          <w:u w:val="single"/>
        </w:rPr>
        <w:t>广州公共资源交易中心交易平台将按招标文件规定的时间同时开启资格审查文件和经济标</w:t>
      </w:r>
      <w:r>
        <w:rPr>
          <w:rFonts w:hint="eastAsia" w:ascii="宋体" w:hAnsi="宋体" w:cs="宋体"/>
          <w:color w:val="auto"/>
          <w:szCs w:val="21"/>
          <w:highlight w:val="none"/>
          <w:u w:val="single"/>
          <w:lang w:eastAsia="zh-CN"/>
        </w:rPr>
        <w:t>。</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条款号：20.3                       修改类型：修改</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20.3到投标截止时间止，招标人收到的投标文件少于3家的，招标人将重新组织招标（当N个标段同时招标且不允许兼中时，若有效投标人不足N+2家，则重新组织招标）。</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20.3</w:t>
      </w:r>
      <w:r>
        <w:rPr>
          <w:rFonts w:hint="eastAsia" w:ascii="宋体" w:hAnsi="宋体" w:cs="宋体"/>
          <w:color w:val="auto"/>
          <w:szCs w:val="21"/>
          <w:highlight w:val="none"/>
          <w:u w:val="single"/>
        </w:rPr>
        <w:t>到投标截止时间止，招标人收到的投标文件少于3家的，招标人将重新组织招标。</w:t>
      </w:r>
    </w:p>
    <w:p>
      <w:pPr>
        <w:adjustRightInd w:val="0"/>
        <w:spacing w:line="360" w:lineRule="auto"/>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条款号：21.1                       修改类型：修改</w:t>
      </w:r>
    </w:p>
    <w:p>
      <w:pPr>
        <w:adjustRightInd w:val="0"/>
        <w:spacing w:line="360" w:lineRule="auto"/>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21.1本须知前附表第17项规定的投标截止时间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交易平台将予以拒收。</w:t>
      </w:r>
    </w:p>
    <w:p>
      <w:pPr>
        <w:pBdr>
          <w:bottom w:val="single" w:color="auto" w:sz="6" w:space="1"/>
        </w:pBdr>
        <w:adjustRightInd w:val="0"/>
        <w:spacing w:line="360" w:lineRule="auto"/>
        <w:ind w:firstLine="527" w:firstLineChars="250"/>
        <w:textAlignment w:val="baseline"/>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21.1本须知前附表第17项规定的投标截止时间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交易平台将予以拒收。</w:t>
      </w:r>
    </w:p>
    <w:p>
      <w:pPr>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条款号：27.1                        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27.1</w:t>
      </w:r>
      <w:r>
        <w:rPr>
          <w:rFonts w:hint="eastAsia" w:ascii="宋体" w:hAnsi="宋体"/>
          <w:color w:val="auto"/>
          <w:szCs w:val="21"/>
          <w:highlight w:val="none"/>
        </w:rPr>
        <w:t>招标人将在       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r>
        <w:rPr>
          <w:rFonts w:hint="eastAsia" w:ascii="宋体" w:hAnsi="宋体" w:cs="宋体"/>
          <w:color w:val="auto"/>
          <w:szCs w:val="21"/>
          <w:highlight w:val="none"/>
        </w:rPr>
        <w:t>。</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27.1</w:t>
      </w:r>
      <w:r>
        <w:rPr>
          <w:rFonts w:hint="eastAsia" w:ascii="宋体" w:hAnsi="宋体"/>
          <w:color w:val="auto"/>
          <w:szCs w:val="21"/>
          <w:highlight w:val="none"/>
        </w:rPr>
        <w:t>招标人将在广州公共资源交易中心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r>
        <w:rPr>
          <w:rFonts w:hint="eastAsia" w:ascii="宋体" w:hAnsi="宋体" w:cs="宋体"/>
          <w:color w:val="auto"/>
          <w:szCs w:val="21"/>
          <w:highlight w:val="none"/>
        </w:rPr>
        <w:t>。</w:t>
      </w:r>
    </w:p>
    <w:p>
      <w:pPr>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条款号：27.4                        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27.4</w:t>
      </w:r>
      <w:r>
        <w:rPr>
          <w:rFonts w:hint="eastAsia" w:ascii="宋体" w:hAnsi="宋体"/>
          <w:color w:val="auto"/>
          <w:szCs w:val="21"/>
          <w:highlight w:val="none"/>
        </w:rPr>
        <w:t>在产生中标候选人后，招标人将中标候选人的投标文件商务部分文件的所有内容（包括人员、业绩、奖项等资料）在        交易平台和广东省招标投标监管网公开</w:t>
      </w:r>
      <w:r>
        <w:rPr>
          <w:rFonts w:hint="eastAsia" w:ascii="宋体" w:hAnsi="宋体" w:cs="宋体"/>
          <w:color w:val="auto"/>
          <w:szCs w:val="21"/>
          <w:highlight w:val="none"/>
        </w:rPr>
        <w:t>。</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27.4</w:t>
      </w:r>
      <w:r>
        <w:rPr>
          <w:rFonts w:hint="eastAsia" w:ascii="宋体" w:hAnsi="宋体"/>
          <w:color w:val="auto"/>
          <w:szCs w:val="21"/>
          <w:highlight w:val="none"/>
        </w:rPr>
        <w:t>在产生中标候选人后，招标人将中标候选人的投标文件商务部分文件的所有内容（</w:t>
      </w:r>
      <w:r>
        <w:rPr>
          <w:rFonts w:hint="eastAsia" w:ascii="宋体" w:hAnsi="宋体"/>
          <w:color w:val="auto"/>
          <w:szCs w:val="21"/>
          <w:highlight w:val="none"/>
          <w:u w:val="single"/>
        </w:rPr>
        <w:t>包括人员、业绩、奖项等资料</w:t>
      </w:r>
      <w:r>
        <w:rPr>
          <w:rFonts w:hint="eastAsia" w:ascii="宋体" w:hAnsi="宋体"/>
          <w:color w:val="auto"/>
          <w:szCs w:val="21"/>
          <w:highlight w:val="none"/>
        </w:rPr>
        <w:t>）在</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交易平台和广东省招标投标监管网公开</w:t>
      </w:r>
      <w:r>
        <w:rPr>
          <w:rFonts w:hint="eastAsia" w:ascii="宋体" w:hAnsi="宋体" w:cs="宋体"/>
          <w:color w:val="auto"/>
          <w:szCs w:val="21"/>
          <w:highlight w:val="none"/>
        </w:rPr>
        <w:t>。</w:t>
      </w:r>
    </w:p>
    <w:p>
      <w:pPr>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条款号：28.3                        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28.3非经招标人同意，中标人在投标过程中使用的银行名称及帐号至完成竣工结算不得变更，否则招标人有权停止工程款项的拔付及至解除合同，由此造成的一切责任由中标人承担。</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28.3非经招标人同意，中标人在投标过程中使用的银行名称及帐号至完成竣工结算不得变更，否则招标人有权停止工程款项的</w:t>
      </w:r>
      <w:r>
        <w:rPr>
          <w:rFonts w:hint="eastAsia" w:ascii="宋体" w:hAnsi="宋体" w:cs="宋体"/>
          <w:color w:val="auto"/>
          <w:szCs w:val="21"/>
          <w:highlight w:val="none"/>
          <w:u w:val="single"/>
        </w:rPr>
        <w:t>拨付</w:t>
      </w:r>
      <w:r>
        <w:rPr>
          <w:rFonts w:hint="eastAsia" w:ascii="宋体" w:hAnsi="宋体" w:cs="宋体"/>
          <w:color w:val="auto"/>
          <w:szCs w:val="21"/>
          <w:highlight w:val="none"/>
        </w:rPr>
        <w:t>及至解除合同，由此造成的一切责任由中标人承担。</w:t>
      </w:r>
    </w:p>
    <w:p>
      <w:pPr>
        <w:spacing w:line="360" w:lineRule="auto"/>
        <w:ind w:firstLine="413" w:firstLineChars="196"/>
        <w:contextualSpacing/>
        <w:rPr>
          <w:rFonts w:hint="eastAsia" w:ascii="宋体" w:hAnsi="宋体" w:cs="宋体"/>
          <w:b/>
          <w:color w:val="auto"/>
          <w:szCs w:val="21"/>
          <w:highlight w:val="none"/>
        </w:rPr>
      </w:pPr>
      <w:r>
        <w:rPr>
          <w:rFonts w:hint="eastAsia" w:ascii="宋体" w:hAnsi="宋体" w:cs="宋体"/>
          <w:b/>
          <w:color w:val="auto"/>
          <w:szCs w:val="21"/>
          <w:highlight w:val="none"/>
        </w:rPr>
        <w:t>条款号：28.5                        修改类型：增加</w:t>
      </w:r>
    </w:p>
    <w:p>
      <w:pPr>
        <w:pBdr>
          <w:bottom w:val="single" w:color="auto" w:sz="6" w:space="1"/>
        </w:pBd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28.5如本工程委托代建单位（项目建设管理单位），则可由代建单位作为发包人与中标人签订合同。</w:t>
      </w:r>
    </w:p>
    <w:p>
      <w:pPr>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条款号：29.1                        修改类型：修改</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29.1在收到中标通知书后的</w:t>
      </w:r>
      <w:r>
        <w:rPr>
          <w:rFonts w:hint="eastAsia" w:ascii="宋体" w:hAnsi="宋体" w:cs="宋体"/>
          <w:b/>
          <w:color w:val="auto"/>
          <w:szCs w:val="21"/>
          <w:highlight w:val="none"/>
        </w:rPr>
        <w:t>15日</w:t>
      </w:r>
      <w:r>
        <w:rPr>
          <w:rFonts w:hint="eastAsia" w:ascii="宋体" w:hAnsi="宋体" w:cs="宋体"/>
          <w:color w:val="auto"/>
          <w:szCs w:val="21"/>
          <w:highlight w:val="none"/>
        </w:rPr>
        <w:t>内，中标人应按本须知前附表第20项的规定向招标人提交履约担保。</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29.1</w:t>
      </w:r>
      <w:r>
        <w:rPr>
          <w:rFonts w:hint="eastAsia" w:ascii="宋体" w:hAnsi="宋体" w:cs="宋体"/>
          <w:color w:val="auto"/>
          <w:szCs w:val="21"/>
          <w:highlight w:val="none"/>
          <w:u w:val="single"/>
        </w:rPr>
        <w:t>合同正式签订之日后的30日内</w:t>
      </w:r>
      <w:r>
        <w:rPr>
          <w:rFonts w:hint="eastAsia" w:ascii="宋体" w:hAnsi="宋体" w:cs="宋体"/>
          <w:color w:val="auto"/>
          <w:szCs w:val="21"/>
          <w:highlight w:val="none"/>
        </w:rPr>
        <w:t>，中标人应按本须知前附表第20项的规定向招标人提交履约担保。</w:t>
      </w:r>
    </w:p>
    <w:p>
      <w:pPr>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条款号：29.2                        修改类型：修改</w:t>
      </w:r>
    </w:p>
    <w:p>
      <w:pPr>
        <w:spacing w:line="360" w:lineRule="auto"/>
        <w:ind w:firstLine="413" w:firstLineChars="196"/>
        <w:rPr>
          <w:rFonts w:hint="eastAsia" w:ascii="宋体" w:hAnsi="宋体" w:eastAsia="宋体" w:cs="宋体"/>
          <w:color w:val="auto"/>
          <w:szCs w:val="21"/>
          <w:highlight w:val="none"/>
          <w:lang w:eastAsia="zh-CN"/>
        </w:rPr>
      </w:pPr>
      <w:r>
        <w:rPr>
          <w:rFonts w:hint="eastAsia" w:ascii="宋体" w:hAnsi="宋体" w:cs="宋体"/>
          <w:b/>
          <w:color w:val="auto"/>
          <w:szCs w:val="21"/>
          <w:highlight w:val="none"/>
        </w:rPr>
        <w:t>原文：</w:t>
      </w:r>
      <w:r>
        <w:rPr>
          <w:rFonts w:hint="eastAsia" w:ascii="宋体" w:hAnsi="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r>
        <w:rPr>
          <w:rFonts w:hint="eastAsia" w:ascii="宋体" w:hAnsi="宋体" w:cs="宋体"/>
          <w:color w:val="auto"/>
          <w:szCs w:val="21"/>
          <w:highlight w:val="none"/>
          <w:lang w:eastAsia="zh-CN"/>
        </w:rPr>
        <w:t>。</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：29.2</w:t>
      </w:r>
      <w:r>
        <w:rPr>
          <w:rFonts w:hint="eastAsia" w:ascii="宋体" w:hAnsi="宋体" w:cs="宋体"/>
          <w:color w:val="auto"/>
          <w:szCs w:val="21"/>
          <w:highlight w:val="none"/>
          <w:u w:val="single"/>
        </w:rPr>
        <w:t>合同正式签订之日后的30日内</w:t>
      </w:r>
      <w:r>
        <w:rPr>
          <w:rFonts w:hint="eastAsia" w:ascii="宋体" w:hAnsi="宋体" w:cs="宋体"/>
          <w:color w:val="auto"/>
          <w:szCs w:val="21"/>
          <w:highlight w:val="none"/>
        </w:rPr>
        <w:t>，中标人未按上款的规定递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条款号：30.1                        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30.1在合同双方全权代表在合同协议书上签字，并分别加盖双方单位的公章后，合同正式生效。</w:t>
      </w:r>
    </w:p>
    <w:p>
      <w:pPr>
        <w:pBdr>
          <w:bottom w:val="single" w:color="auto" w:sz="6" w:space="1"/>
        </w:pBd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30.1在合同双方全权代表在合同协议书上签字，并分别加盖双方单位的公章</w:t>
      </w:r>
      <w:r>
        <w:rPr>
          <w:rFonts w:hint="eastAsia" w:ascii="宋体" w:hAnsi="宋体" w:cs="宋体"/>
          <w:color w:val="auto"/>
          <w:szCs w:val="21"/>
          <w:highlight w:val="none"/>
          <w:u w:val="single"/>
        </w:rPr>
        <w:t>且承包人提交履约担保后，合同正式生效。</w:t>
      </w:r>
    </w:p>
    <w:p>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条款号：31                          修改类型：修改</w:t>
      </w:r>
    </w:p>
    <w:p>
      <w:pPr>
        <w:pBdr>
          <w:bottom w:val="single" w:color="auto" w:sz="6" w:space="1"/>
        </w:pBd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原文：31.其它费用</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w:t>
      </w:r>
      <w:r>
        <w:rPr>
          <w:rFonts w:hint="eastAsia" w:ascii="宋体" w:hAnsi="宋体" w:cs="宋体"/>
          <w:b/>
          <w:color w:val="auto"/>
          <w:szCs w:val="21"/>
          <w:highlight w:val="none"/>
        </w:rPr>
        <w:t>31.</w:t>
      </w:r>
      <w:r>
        <w:rPr>
          <w:rFonts w:hint="eastAsia" w:ascii="宋体" w:hAnsi="宋体" w:cs="宋体"/>
          <w:b/>
          <w:bCs/>
          <w:color w:val="auto"/>
          <w:szCs w:val="21"/>
          <w:highlight w:val="none"/>
        </w:rPr>
        <w:t>其它费用</w:t>
      </w:r>
    </w:p>
    <w:p>
      <w:pPr>
        <w:pBdr>
          <w:bottom w:val="single" w:color="auto" w:sz="6"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中标人应交纳交易服务费，该费用包含在投标价中。</w:t>
      </w:r>
    </w:p>
    <w:p>
      <w:pPr>
        <w:spacing w:line="360" w:lineRule="auto"/>
        <w:rPr>
          <w:color w:val="auto"/>
          <w:highlight w:val="none"/>
        </w:rPr>
      </w:pPr>
      <w:r>
        <w:rPr>
          <w:rFonts w:hint="eastAsia"/>
          <w:b/>
          <w:color w:val="auto"/>
          <w:szCs w:val="21"/>
          <w:highlight w:val="none"/>
        </w:rPr>
        <w:t>（以下无正文）</w:t>
      </w:r>
    </w:p>
    <w:p>
      <w:pPr>
        <w:pStyle w:val="6"/>
        <w:ind w:left="0" w:leftChars="0" w:firstLine="0" w:firstLineChars="0"/>
        <w:jc w:val="center"/>
        <w:rPr>
          <w:color w:val="auto"/>
          <w:highlight w:val="none"/>
        </w:rPr>
      </w:pPr>
      <w:r>
        <w:rPr>
          <w:color w:val="auto"/>
          <w:highlight w:val="none"/>
        </w:rPr>
        <w:br w:type="page"/>
      </w:r>
      <w:bookmarkStart w:id="14" w:name="_Toc2272548"/>
      <w:bookmarkStart w:id="15" w:name="_Toc127886584"/>
      <w:bookmarkStart w:id="16" w:name="_Toc21525498"/>
      <w:bookmarkStart w:id="17" w:name="_Toc2272554"/>
      <w:r>
        <w:rPr>
          <w:rFonts w:hint="eastAsia"/>
          <w:color w:val="auto"/>
          <w:highlight w:val="none"/>
        </w:rPr>
        <w:t>三、投标须知通用条款</w:t>
      </w:r>
      <w:bookmarkEnd w:id="14"/>
      <w:bookmarkEnd w:id="15"/>
    </w:p>
    <w:p>
      <w:pPr>
        <w:widowControl/>
        <w:spacing w:before="100" w:beforeAutospacing="1" w:after="100" w:afterAutospacing="1" w:line="360" w:lineRule="auto"/>
        <w:jc w:val="left"/>
        <w:outlineLvl w:val="2"/>
        <w:rPr>
          <w:rFonts w:ascii="宋体" w:hAnsi="宋体" w:cs="宋体"/>
          <w:color w:val="auto"/>
          <w:kern w:val="0"/>
          <w:sz w:val="24"/>
          <w:szCs w:val="24"/>
          <w:highlight w:val="none"/>
        </w:rPr>
      </w:pPr>
      <w:bookmarkStart w:id="18" w:name="_Toc112397809"/>
      <w:bookmarkStart w:id="19" w:name="_Toc58838571"/>
      <w:bookmarkStart w:id="20" w:name="_Toc127886585"/>
      <w:bookmarkStart w:id="21" w:name="_Toc2272549"/>
      <w:r>
        <w:rPr>
          <w:rFonts w:hint="eastAsia" w:ascii="宋体" w:hAnsi="宋体" w:cs="宋体"/>
          <w:color w:val="auto"/>
          <w:kern w:val="0"/>
          <w:sz w:val="24"/>
          <w:szCs w:val="24"/>
          <w:highlight w:val="none"/>
        </w:rPr>
        <w:t>（一）总则</w:t>
      </w:r>
      <w:bookmarkEnd w:id="18"/>
      <w:bookmarkEnd w:id="19"/>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1</w:t>
      </w:r>
      <w:r>
        <w:rPr>
          <w:rFonts w:hint="eastAsia" w:ascii="宋体" w:hAnsi="宋体"/>
          <w:b/>
          <w:bCs/>
          <w:color w:val="auto"/>
          <w:sz w:val="24"/>
          <w:szCs w:val="24"/>
          <w:highlight w:val="none"/>
        </w:rPr>
        <w:t>、定义</w:t>
      </w:r>
    </w:p>
    <w:p>
      <w:pPr>
        <w:spacing w:line="360" w:lineRule="auto"/>
        <w:ind w:firstLine="480" w:firstLineChars="200"/>
        <w:rPr>
          <w:rFonts w:ascii="宋体" w:hAnsi="宋体"/>
          <w:b/>
          <w:bCs/>
          <w:color w:val="auto"/>
          <w:sz w:val="24"/>
          <w:szCs w:val="24"/>
          <w:highlight w:val="none"/>
        </w:rPr>
      </w:pPr>
      <w:r>
        <w:rPr>
          <w:rFonts w:hint="eastAsia" w:ascii="宋体" w:hAnsi="宋体"/>
          <w:color w:val="auto"/>
          <w:sz w:val="24"/>
          <w:szCs w:val="24"/>
          <w:highlight w:val="none"/>
        </w:rPr>
        <w:t>本招标文件使用的下列词语具有如下规定的意义：</w:t>
      </w:r>
    </w:p>
    <w:p>
      <w:pPr>
        <w:spacing w:line="360" w:lineRule="auto"/>
        <w:ind w:firstLine="480" w:firstLineChars="200"/>
        <w:rPr>
          <w:rFonts w:ascii="宋体" w:hAnsi="宋体"/>
          <w:b/>
          <w:bCs/>
          <w:color w:val="auto"/>
          <w:sz w:val="24"/>
          <w:szCs w:val="24"/>
          <w:highlight w:val="none"/>
          <w:u w:val="singl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）“招标人”（即发包人）、“项目建设管理单位”（或称“项目代建单位”）、“招标代理”、“设计单位”、“监理单位”均已在投标须知前附表中列明。</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）“投标人”指向招标人提交投标文件的当事人。</w:t>
      </w:r>
      <w:r>
        <w:rPr>
          <w:rFonts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）“承包人”指其投标被招标人接受并与其签订承包合同的当事人。</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）“招标文件”指由招标代理发出的本文件（包括全部章节、附件）及招标答疑会会议纪要和</w:t>
      </w:r>
      <w:r>
        <w:rPr>
          <w:rFonts w:hint="eastAsia" w:ascii="宋体" w:hAnsi="宋体"/>
          <w:bCs/>
          <w:color w:val="auto"/>
          <w:sz w:val="24"/>
          <w:szCs w:val="24"/>
          <w:highlight w:val="none"/>
        </w:rPr>
        <w:t>招标文件的澄清与修改</w:t>
      </w:r>
      <w:r>
        <w:rPr>
          <w:rFonts w:hint="eastAsia" w:ascii="宋体" w:hAnsi="宋体"/>
          <w:color w:val="auto"/>
          <w:sz w:val="24"/>
          <w:szCs w:val="24"/>
          <w:highlight w:val="none"/>
        </w:rPr>
        <w:t>文件。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5</w:t>
      </w:r>
      <w:r>
        <w:rPr>
          <w:rFonts w:hint="eastAsia" w:ascii="宋体" w:hAnsi="宋体"/>
          <w:color w:val="auto"/>
          <w:sz w:val="24"/>
          <w:szCs w:val="24"/>
          <w:highlight w:val="none"/>
        </w:rPr>
        <w:t>）“投标文件”指投标人根据本项目招标文件向招标人提交的全部文件。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6</w:t>
      </w:r>
      <w:r>
        <w:rPr>
          <w:rFonts w:hint="eastAsia" w:ascii="宋体" w:hAnsi="宋体"/>
          <w:color w:val="auto"/>
          <w:sz w:val="24"/>
          <w:szCs w:val="24"/>
          <w:highlight w:val="none"/>
        </w:rPr>
        <w:t>）“书面形式”指打字或印刷的文件和数据电文（包括电报、电传、传真、电子数据交换和电子邮件）。</w:t>
      </w:r>
    </w:p>
    <w:p>
      <w:pPr>
        <w:spacing w:line="360" w:lineRule="auto"/>
        <w:ind w:firstLine="482" w:firstLineChars="200"/>
        <w:rPr>
          <w:rFonts w:ascii="宋体" w:hAnsi="宋体"/>
          <w:b/>
          <w:color w:val="auto"/>
          <w:sz w:val="24"/>
          <w:szCs w:val="24"/>
          <w:highlight w:val="none"/>
        </w:rPr>
      </w:pPr>
      <w:r>
        <w:rPr>
          <w:rFonts w:ascii="宋体" w:hAnsi="宋体"/>
          <w:b/>
          <w:color w:val="auto"/>
          <w:sz w:val="24"/>
          <w:szCs w:val="24"/>
          <w:highlight w:val="none"/>
        </w:rPr>
        <w:t>2</w:t>
      </w:r>
      <w:r>
        <w:rPr>
          <w:rFonts w:hint="eastAsia" w:ascii="宋体" w:hAnsi="宋体"/>
          <w:b/>
          <w:color w:val="auto"/>
          <w:sz w:val="24"/>
          <w:szCs w:val="24"/>
          <w:highlight w:val="none"/>
        </w:rPr>
        <w:t>、招标说明</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2.1</w:t>
      </w:r>
      <w:r>
        <w:rPr>
          <w:rFonts w:hint="eastAsia" w:ascii="宋体" w:hAnsi="宋体"/>
          <w:bCs/>
          <w:color w:val="auto"/>
          <w:sz w:val="24"/>
          <w:szCs w:val="24"/>
          <w:highlight w:val="none"/>
        </w:rPr>
        <w:t>本招标工程项目按照《中华人民共和国招标投标法》等有关法律、行政法规、规章和规范性文件，通过招标方式选定承包人。</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2.2</w:t>
      </w:r>
      <w:r>
        <w:rPr>
          <w:rFonts w:hint="eastAsia" w:ascii="宋体" w:hAnsi="宋体"/>
          <w:bCs/>
          <w:color w:val="auto"/>
          <w:sz w:val="24"/>
          <w:szCs w:val="24"/>
          <w:highlight w:val="none"/>
        </w:rPr>
        <w:t>工程名称、建设地点、建设规模、承包方式、质量标准、招标范围、工期要求等均在投标须知前附表中列明。</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2.3</w:t>
      </w:r>
      <w:r>
        <w:rPr>
          <w:rFonts w:hint="eastAsia" w:ascii="宋体" w:hAnsi="宋体"/>
          <w:bCs/>
          <w:color w:val="auto"/>
          <w:sz w:val="24"/>
          <w:szCs w:val="24"/>
          <w:highlight w:val="none"/>
        </w:rPr>
        <w:t>设计说明：详见招标图纸。</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2.4</w:t>
      </w:r>
      <w:r>
        <w:rPr>
          <w:rFonts w:hint="eastAsia" w:ascii="宋体" w:hAnsi="宋体"/>
          <w:bCs/>
          <w:color w:val="auto"/>
          <w:sz w:val="24"/>
          <w:szCs w:val="24"/>
          <w:highlight w:val="none"/>
        </w:rPr>
        <w:t>工程施工特点：详见招标图纸。</w:t>
      </w:r>
    </w:p>
    <w:p>
      <w:pPr>
        <w:tabs>
          <w:tab w:val="left" w:pos="105"/>
        </w:tabs>
        <w:spacing w:line="360" w:lineRule="auto"/>
        <w:ind w:firstLine="482" w:firstLineChars="200"/>
        <w:rPr>
          <w:rFonts w:ascii="宋体" w:hAnsi="宋体"/>
          <w:b/>
          <w:color w:val="auto"/>
          <w:sz w:val="24"/>
          <w:szCs w:val="24"/>
          <w:highlight w:val="none"/>
        </w:rPr>
      </w:pPr>
      <w:r>
        <w:rPr>
          <w:rFonts w:ascii="宋体" w:hAnsi="宋体"/>
          <w:b/>
          <w:color w:val="auto"/>
          <w:sz w:val="24"/>
          <w:szCs w:val="24"/>
          <w:highlight w:val="none"/>
        </w:rPr>
        <w:t>3</w:t>
      </w:r>
      <w:r>
        <w:rPr>
          <w:rFonts w:hint="eastAsia" w:ascii="宋体" w:hAnsi="宋体"/>
          <w:b/>
          <w:color w:val="auto"/>
          <w:sz w:val="24"/>
          <w:szCs w:val="24"/>
          <w:highlight w:val="none"/>
        </w:rPr>
        <w:t>．资金来源</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3.1</w:t>
      </w:r>
      <w:r>
        <w:rPr>
          <w:rFonts w:hint="eastAsia" w:ascii="宋体" w:hAnsi="宋体"/>
          <w:bCs/>
          <w:color w:val="auto"/>
          <w:sz w:val="24"/>
          <w:szCs w:val="24"/>
          <w:highlight w:val="none"/>
        </w:rPr>
        <w:t>本招标工程项目资金来源见投标须知前附表第</w:t>
      </w:r>
      <w:r>
        <w:rPr>
          <w:rFonts w:ascii="宋体" w:hAnsi="宋体"/>
          <w:bCs/>
          <w:color w:val="auto"/>
          <w:sz w:val="24"/>
          <w:szCs w:val="24"/>
          <w:highlight w:val="none"/>
        </w:rPr>
        <w:t>9</w:t>
      </w:r>
      <w:r>
        <w:rPr>
          <w:rFonts w:hint="eastAsia" w:ascii="宋体" w:hAnsi="宋体"/>
          <w:bCs/>
          <w:color w:val="auto"/>
          <w:sz w:val="24"/>
          <w:szCs w:val="24"/>
          <w:highlight w:val="none"/>
        </w:rPr>
        <w:t>项</w:t>
      </w:r>
    </w:p>
    <w:p>
      <w:pPr>
        <w:tabs>
          <w:tab w:val="left" w:pos="105"/>
        </w:tabs>
        <w:spacing w:line="360" w:lineRule="auto"/>
        <w:ind w:firstLine="482" w:firstLineChars="200"/>
        <w:rPr>
          <w:rFonts w:ascii="宋体" w:hAnsi="宋体"/>
          <w:b/>
          <w:color w:val="auto"/>
          <w:sz w:val="24"/>
          <w:szCs w:val="24"/>
          <w:highlight w:val="none"/>
        </w:rPr>
      </w:pPr>
      <w:r>
        <w:rPr>
          <w:rFonts w:ascii="宋体" w:hAnsi="宋体"/>
          <w:b/>
          <w:color w:val="auto"/>
          <w:sz w:val="24"/>
          <w:szCs w:val="24"/>
          <w:highlight w:val="none"/>
        </w:rPr>
        <w:t>4</w:t>
      </w:r>
      <w:r>
        <w:rPr>
          <w:rFonts w:hint="eastAsia" w:ascii="宋体" w:hAnsi="宋体"/>
          <w:b/>
          <w:color w:val="auto"/>
          <w:sz w:val="24"/>
          <w:szCs w:val="24"/>
          <w:highlight w:val="none"/>
        </w:rPr>
        <w:t>．合格投标人的条件</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4.1</w:t>
      </w:r>
      <w:r>
        <w:rPr>
          <w:rFonts w:hint="eastAsia" w:ascii="宋体" w:hAnsi="宋体"/>
          <w:bCs/>
          <w:color w:val="auto"/>
          <w:sz w:val="24"/>
          <w:szCs w:val="24"/>
          <w:highlight w:val="none"/>
        </w:rPr>
        <w:t>详见本项目招标公告</w:t>
      </w:r>
    </w:p>
    <w:p>
      <w:pPr>
        <w:tabs>
          <w:tab w:val="left" w:pos="105"/>
        </w:tabs>
        <w:spacing w:line="360" w:lineRule="auto"/>
        <w:ind w:firstLine="482" w:firstLineChars="200"/>
        <w:rPr>
          <w:rFonts w:ascii="宋体" w:hAnsi="宋体"/>
          <w:b/>
          <w:color w:val="auto"/>
          <w:sz w:val="24"/>
          <w:szCs w:val="24"/>
          <w:highlight w:val="none"/>
        </w:rPr>
      </w:pPr>
      <w:r>
        <w:rPr>
          <w:rFonts w:ascii="宋体" w:hAnsi="宋体"/>
          <w:b/>
          <w:color w:val="auto"/>
          <w:sz w:val="24"/>
          <w:szCs w:val="24"/>
          <w:highlight w:val="none"/>
        </w:rPr>
        <w:t>5</w:t>
      </w:r>
      <w:r>
        <w:rPr>
          <w:rFonts w:hint="eastAsia" w:ascii="宋体" w:hAnsi="宋体"/>
          <w:b/>
          <w:color w:val="auto"/>
          <w:sz w:val="24"/>
          <w:szCs w:val="24"/>
          <w:highlight w:val="none"/>
        </w:rPr>
        <w:t>．踏勘现场</w:t>
      </w:r>
    </w:p>
    <w:p>
      <w:pPr>
        <w:spacing w:line="360" w:lineRule="auto"/>
        <w:ind w:firstLine="480" w:firstLineChars="200"/>
        <w:rPr>
          <w:rFonts w:ascii="宋体" w:hAnsi="宋体"/>
          <w:bCs/>
          <w:color w:val="auto"/>
          <w:sz w:val="24"/>
          <w:szCs w:val="24"/>
          <w:highlight w:val="none"/>
          <w:u w:val="single"/>
        </w:rPr>
      </w:pPr>
      <w:r>
        <w:rPr>
          <w:rFonts w:ascii="宋体" w:hAnsi="宋体"/>
          <w:bCs/>
          <w:color w:val="auto"/>
          <w:sz w:val="24"/>
          <w:szCs w:val="24"/>
          <w:highlight w:val="none"/>
        </w:rPr>
        <w:t xml:space="preserve">5.1 </w:t>
      </w:r>
      <w:r>
        <w:rPr>
          <w:rFonts w:hint="eastAsia" w:ascii="宋体" w:hAnsi="宋体"/>
          <w:bCs/>
          <w:color w:val="auto"/>
          <w:sz w:val="24"/>
          <w:szCs w:val="24"/>
          <w:highlight w:val="none"/>
        </w:rPr>
        <w:t>投标人应按本投标须知前附表第</w:t>
      </w:r>
      <w:r>
        <w:rPr>
          <w:rFonts w:ascii="宋体" w:hAnsi="宋体"/>
          <w:bCs/>
          <w:color w:val="auto"/>
          <w:sz w:val="24"/>
          <w:szCs w:val="24"/>
          <w:highlight w:val="none"/>
        </w:rPr>
        <w:t>15</w:t>
      </w:r>
      <w:r>
        <w:rPr>
          <w:rFonts w:hint="eastAsia" w:ascii="宋体" w:hAnsi="宋体"/>
          <w:bCs/>
          <w:color w:val="auto"/>
          <w:sz w:val="24"/>
          <w:szCs w:val="24"/>
          <w:highlight w:val="none"/>
        </w:rPr>
        <w:t>项所述时间和要求对工程现场及周围环境进行踏勘，</w:t>
      </w:r>
      <w:r>
        <w:rPr>
          <w:rFonts w:hint="eastAsia" w:ascii="宋体" w:hAnsi="宋体"/>
          <w:color w:val="auto"/>
          <w:sz w:val="24"/>
          <w:szCs w:val="24"/>
          <w:highlight w:val="none"/>
        </w:rPr>
        <w:t>投标人应充分重视和仔细地进行这种考察，</w:t>
      </w:r>
      <w:r>
        <w:rPr>
          <w:rFonts w:hint="eastAsia" w:ascii="宋体" w:hAnsi="宋体"/>
          <w:bCs/>
          <w:color w:val="auto"/>
          <w:sz w:val="24"/>
          <w:szCs w:val="24"/>
          <w:highlight w:val="none"/>
        </w:rPr>
        <w:t>以便投标人获取</w:t>
      </w:r>
      <w:r>
        <w:rPr>
          <w:rFonts w:hint="eastAsia" w:ascii="宋体" w:hAnsi="宋体"/>
          <w:color w:val="auto"/>
          <w:sz w:val="24"/>
          <w:szCs w:val="24"/>
          <w:highlight w:val="none"/>
        </w:rPr>
        <w:t>那些须投标人自己负责的</w:t>
      </w:r>
      <w:r>
        <w:rPr>
          <w:rFonts w:hint="eastAsia" w:ascii="宋体" w:hAnsi="宋体"/>
          <w:bCs/>
          <w:color w:val="auto"/>
          <w:sz w:val="24"/>
          <w:szCs w:val="24"/>
          <w:highlight w:val="none"/>
        </w:rPr>
        <w:t>有关编制投标文件和签署合同所涉及现场所有的资料。</w:t>
      </w:r>
      <w:r>
        <w:rPr>
          <w:rFonts w:hint="eastAsia" w:ascii="宋体" w:hAnsi="宋体"/>
          <w:color w:val="auto"/>
          <w:sz w:val="24"/>
          <w:szCs w:val="24"/>
          <w:highlight w:val="none"/>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 xml:space="preserve">5.2 </w:t>
      </w:r>
      <w:r>
        <w:rPr>
          <w:rFonts w:hint="eastAsia" w:ascii="宋体" w:hAnsi="宋体"/>
          <w:bCs/>
          <w:color w:val="auto"/>
          <w:sz w:val="24"/>
          <w:szCs w:val="24"/>
          <w:highlight w:val="none"/>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 xml:space="preserve">5.3 </w:t>
      </w:r>
      <w:r>
        <w:rPr>
          <w:rFonts w:hint="eastAsia" w:ascii="宋体" w:hAnsi="宋体"/>
          <w:bCs/>
          <w:color w:val="auto"/>
          <w:sz w:val="24"/>
          <w:szCs w:val="24"/>
          <w:highlight w:val="none"/>
        </w:rPr>
        <w:t>经招标人允许，投标人可为踏勘目的进入招标人的项目现场。</w:t>
      </w:r>
      <w:r>
        <w:rPr>
          <w:rFonts w:hint="eastAsia" w:ascii="宋体" w:hAnsi="宋体"/>
          <w:color w:val="auto"/>
          <w:sz w:val="24"/>
          <w:szCs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4"/>
          <w:szCs w:val="24"/>
          <w:highlight w:val="none"/>
        </w:rPr>
        <w:t>投标人不得因此使招标人承担有关的责任和蒙受损失。</w:t>
      </w:r>
    </w:p>
    <w:p>
      <w:pPr>
        <w:tabs>
          <w:tab w:val="left" w:pos="105"/>
        </w:tabs>
        <w:spacing w:line="360" w:lineRule="auto"/>
        <w:ind w:firstLine="482" w:firstLineChars="200"/>
        <w:rPr>
          <w:rFonts w:ascii="宋体" w:hAnsi="宋体"/>
          <w:b/>
          <w:color w:val="auto"/>
          <w:sz w:val="24"/>
          <w:szCs w:val="24"/>
          <w:highlight w:val="none"/>
        </w:rPr>
      </w:pPr>
      <w:r>
        <w:rPr>
          <w:rFonts w:ascii="宋体" w:hAnsi="宋体"/>
          <w:b/>
          <w:color w:val="auto"/>
          <w:sz w:val="24"/>
          <w:szCs w:val="24"/>
          <w:highlight w:val="none"/>
        </w:rPr>
        <w:t>6</w:t>
      </w:r>
      <w:r>
        <w:rPr>
          <w:rFonts w:hint="eastAsia" w:ascii="宋体" w:hAnsi="宋体"/>
          <w:b/>
          <w:color w:val="auto"/>
          <w:sz w:val="24"/>
          <w:szCs w:val="24"/>
          <w:highlight w:val="none"/>
        </w:rPr>
        <w:t>．投标费用</w:t>
      </w:r>
    </w:p>
    <w:p>
      <w:pPr>
        <w:tabs>
          <w:tab w:val="left" w:pos="105"/>
        </w:tabs>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6.1</w:t>
      </w:r>
      <w:r>
        <w:rPr>
          <w:rFonts w:hint="eastAsia" w:ascii="宋体" w:hAnsi="宋体"/>
          <w:color w:val="auto"/>
          <w:sz w:val="24"/>
          <w:szCs w:val="24"/>
          <w:highlight w:val="none"/>
        </w:rPr>
        <w:t>不论投标结果如何，投标人应承担</w:t>
      </w:r>
      <w:r>
        <w:rPr>
          <w:rFonts w:hint="eastAsia" w:ascii="宋体" w:hAnsi="宋体"/>
          <w:bCs/>
          <w:color w:val="auto"/>
          <w:sz w:val="24"/>
          <w:szCs w:val="24"/>
          <w:highlight w:val="none"/>
        </w:rPr>
        <w:t>自身</w:t>
      </w:r>
      <w:r>
        <w:rPr>
          <w:rFonts w:hint="eastAsia" w:ascii="宋体" w:hAnsi="宋体"/>
          <w:color w:val="auto"/>
          <w:sz w:val="24"/>
          <w:szCs w:val="24"/>
          <w:highlight w:val="none"/>
        </w:rPr>
        <w:t>因投标文件编制、递交及其他</w:t>
      </w:r>
      <w:r>
        <w:rPr>
          <w:rFonts w:hint="eastAsia" w:ascii="宋体" w:hAnsi="宋体"/>
          <w:bCs/>
          <w:color w:val="auto"/>
          <w:sz w:val="24"/>
          <w:szCs w:val="24"/>
          <w:highlight w:val="none"/>
        </w:rPr>
        <w:t>参加本招标活动</w:t>
      </w:r>
      <w:r>
        <w:rPr>
          <w:rFonts w:hint="eastAsia" w:ascii="宋体" w:hAnsi="宋体"/>
          <w:color w:val="auto"/>
          <w:sz w:val="24"/>
          <w:szCs w:val="24"/>
          <w:highlight w:val="none"/>
        </w:rPr>
        <w:t>所涉及的一切费用，招标人对上述费用不负任何责任。</w:t>
      </w:r>
    </w:p>
    <w:p>
      <w:pPr>
        <w:widowControl/>
        <w:spacing w:before="100" w:beforeAutospacing="1" w:after="100" w:afterAutospacing="1" w:line="360" w:lineRule="auto"/>
        <w:jc w:val="left"/>
        <w:outlineLvl w:val="2"/>
        <w:rPr>
          <w:rFonts w:ascii="宋体" w:hAnsi="宋体" w:cs="宋体"/>
          <w:color w:val="auto"/>
          <w:kern w:val="0"/>
          <w:sz w:val="24"/>
          <w:szCs w:val="24"/>
          <w:highlight w:val="none"/>
        </w:rPr>
      </w:pPr>
      <w:bookmarkStart w:id="22" w:name="_Toc58838572"/>
      <w:bookmarkStart w:id="23" w:name="_Toc112397810"/>
      <w:r>
        <w:rPr>
          <w:rFonts w:hint="eastAsia" w:ascii="宋体" w:hAnsi="宋体" w:cs="宋体"/>
          <w:color w:val="auto"/>
          <w:kern w:val="0"/>
          <w:sz w:val="24"/>
          <w:szCs w:val="24"/>
          <w:highlight w:val="none"/>
        </w:rPr>
        <w:t>（二）招标文件</w:t>
      </w:r>
      <w:bookmarkEnd w:id="22"/>
      <w:bookmarkEnd w:id="23"/>
    </w:p>
    <w:p>
      <w:pPr>
        <w:tabs>
          <w:tab w:val="left" w:pos="105"/>
        </w:tabs>
        <w:spacing w:line="360" w:lineRule="auto"/>
        <w:ind w:firstLine="482" w:firstLineChars="200"/>
        <w:rPr>
          <w:rFonts w:ascii="宋体" w:hAnsi="宋体"/>
          <w:b/>
          <w:color w:val="auto"/>
          <w:sz w:val="24"/>
          <w:szCs w:val="24"/>
          <w:highlight w:val="none"/>
        </w:rPr>
      </w:pPr>
      <w:r>
        <w:rPr>
          <w:rFonts w:ascii="宋体" w:hAnsi="宋体"/>
          <w:b/>
          <w:color w:val="auto"/>
          <w:sz w:val="24"/>
          <w:szCs w:val="24"/>
          <w:highlight w:val="none"/>
        </w:rPr>
        <w:t>7.</w:t>
      </w:r>
      <w:r>
        <w:rPr>
          <w:rFonts w:hint="eastAsia" w:ascii="宋体" w:hAnsi="宋体"/>
          <w:b/>
          <w:color w:val="auto"/>
          <w:sz w:val="24"/>
          <w:szCs w:val="24"/>
          <w:highlight w:val="none"/>
        </w:rPr>
        <w:t>招标文件的组成</w:t>
      </w:r>
    </w:p>
    <w:p>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7.1</w:t>
      </w:r>
      <w:r>
        <w:rPr>
          <w:rFonts w:hint="eastAsia" w:ascii="宋体" w:hAnsi="宋体"/>
          <w:color w:val="auto"/>
          <w:sz w:val="24"/>
          <w:szCs w:val="24"/>
          <w:highlight w:val="none"/>
        </w:rPr>
        <w:t>本招标文件包括下列文件，以及所有按本须知第</w:t>
      </w:r>
      <w:r>
        <w:rPr>
          <w:rFonts w:ascii="宋体" w:hAnsi="宋体"/>
          <w:color w:val="auto"/>
          <w:sz w:val="24"/>
          <w:szCs w:val="24"/>
          <w:highlight w:val="none"/>
        </w:rPr>
        <w:t>8</w:t>
      </w:r>
      <w:r>
        <w:rPr>
          <w:rFonts w:hint="eastAsia" w:ascii="宋体" w:hAnsi="宋体"/>
          <w:color w:val="auto"/>
          <w:sz w:val="24"/>
          <w:szCs w:val="24"/>
          <w:highlight w:val="none"/>
        </w:rPr>
        <w:t>条发出的招标答疑会会议纪要和按本须知第</w:t>
      </w:r>
      <w:r>
        <w:rPr>
          <w:rFonts w:ascii="宋体" w:hAnsi="宋体"/>
          <w:color w:val="auto"/>
          <w:sz w:val="24"/>
          <w:szCs w:val="24"/>
          <w:highlight w:val="none"/>
        </w:rPr>
        <w:t>9</w:t>
      </w:r>
      <w:r>
        <w:rPr>
          <w:rFonts w:hint="eastAsia" w:ascii="宋体" w:hAnsi="宋体"/>
          <w:color w:val="auto"/>
          <w:sz w:val="24"/>
          <w:szCs w:val="24"/>
          <w:highlight w:val="none"/>
        </w:rPr>
        <w:t>条发出的澄清或修改：</w:t>
      </w:r>
    </w:p>
    <w:p>
      <w:pPr>
        <w:spacing w:line="360" w:lineRule="auto"/>
        <w:ind w:left="-2" w:firstLine="480" w:firstLineChars="200"/>
        <w:rPr>
          <w:rFonts w:ascii="宋体" w:hAnsi="宋体"/>
          <w:color w:val="auto"/>
          <w:sz w:val="24"/>
          <w:szCs w:val="24"/>
          <w:highlight w:val="none"/>
        </w:rPr>
      </w:pPr>
      <w:r>
        <w:rPr>
          <w:rFonts w:hint="eastAsia" w:ascii="宋体" w:hAnsi="宋体"/>
          <w:bCs/>
          <w:color w:val="auto"/>
          <w:sz w:val="24"/>
          <w:szCs w:val="24"/>
          <w:highlight w:val="none"/>
        </w:rPr>
        <w:t>第一章</w:t>
      </w:r>
      <w:r>
        <w:rPr>
          <w:rFonts w:ascii="宋体" w:hAnsi="宋体"/>
          <w:bCs/>
          <w:color w:val="auto"/>
          <w:sz w:val="24"/>
          <w:szCs w:val="24"/>
          <w:highlight w:val="none"/>
        </w:rPr>
        <w:t xml:space="preserve">  </w:t>
      </w:r>
      <w:r>
        <w:rPr>
          <w:rFonts w:hint="eastAsia" w:ascii="宋体" w:hAnsi="宋体"/>
          <w:color w:val="auto"/>
          <w:sz w:val="24"/>
          <w:szCs w:val="24"/>
          <w:highlight w:val="none"/>
        </w:rPr>
        <w:t>投标须知</w:t>
      </w:r>
    </w:p>
    <w:p>
      <w:pPr>
        <w:spacing w:line="360" w:lineRule="auto"/>
        <w:ind w:left="-2" w:firstLine="480" w:firstLineChars="200"/>
        <w:rPr>
          <w:rFonts w:ascii="宋体" w:hAnsi="宋体"/>
          <w:color w:val="auto"/>
          <w:sz w:val="24"/>
          <w:szCs w:val="24"/>
          <w:highlight w:val="none"/>
        </w:rPr>
      </w:pPr>
      <w:r>
        <w:rPr>
          <w:rFonts w:hint="eastAsia" w:ascii="宋体" w:hAnsi="宋体"/>
          <w:bCs/>
          <w:color w:val="auto"/>
          <w:sz w:val="24"/>
          <w:szCs w:val="24"/>
          <w:highlight w:val="none"/>
        </w:rPr>
        <w:t>第二章</w:t>
      </w:r>
      <w:r>
        <w:rPr>
          <w:rFonts w:ascii="宋体" w:hAnsi="宋体"/>
          <w:bCs/>
          <w:color w:val="auto"/>
          <w:sz w:val="24"/>
          <w:szCs w:val="24"/>
          <w:highlight w:val="none"/>
        </w:rPr>
        <w:t xml:space="preserve">  </w:t>
      </w:r>
      <w:r>
        <w:rPr>
          <w:rFonts w:hint="eastAsia" w:ascii="宋体" w:hAnsi="宋体"/>
          <w:color w:val="auto"/>
          <w:sz w:val="24"/>
          <w:szCs w:val="24"/>
          <w:highlight w:val="none"/>
        </w:rPr>
        <w:t>开标、评标及定标办法</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第三章</w:t>
      </w:r>
      <w:r>
        <w:rPr>
          <w:rFonts w:ascii="宋体" w:hAnsi="宋体"/>
          <w:color w:val="auto"/>
          <w:sz w:val="24"/>
          <w:szCs w:val="24"/>
          <w:highlight w:val="none"/>
        </w:rPr>
        <w:t xml:space="preserve">  </w:t>
      </w:r>
      <w:r>
        <w:rPr>
          <w:rFonts w:hint="eastAsia" w:ascii="宋体" w:hAnsi="宋体"/>
          <w:color w:val="auto"/>
          <w:sz w:val="24"/>
          <w:szCs w:val="24"/>
          <w:highlight w:val="none"/>
        </w:rPr>
        <w:t>合同条款</w:t>
      </w:r>
    </w:p>
    <w:p>
      <w:pPr>
        <w:spacing w:line="360" w:lineRule="auto"/>
        <w:ind w:firstLine="480" w:firstLineChars="200"/>
        <w:rPr>
          <w:rFonts w:ascii="宋体" w:hAnsi="宋体"/>
          <w:color w:val="auto"/>
          <w:sz w:val="24"/>
          <w:szCs w:val="24"/>
          <w:highlight w:val="none"/>
        </w:rPr>
      </w:pPr>
      <w:r>
        <w:rPr>
          <w:rFonts w:hint="eastAsia" w:ascii="宋体" w:hAnsi="宋体"/>
          <w:bCs/>
          <w:color w:val="auto"/>
          <w:sz w:val="24"/>
          <w:szCs w:val="24"/>
          <w:highlight w:val="none"/>
        </w:rPr>
        <w:t>第四章</w:t>
      </w:r>
      <w:r>
        <w:rPr>
          <w:rFonts w:ascii="宋体" w:hAnsi="宋体"/>
          <w:bCs/>
          <w:color w:val="auto"/>
          <w:sz w:val="24"/>
          <w:szCs w:val="24"/>
          <w:highlight w:val="none"/>
        </w:rPr>
        <w:t xml:space="preserve">  </w:t>
      </w:r>
      <w:r>
        <w:rPr>
          <w:rFonts w:hint="eastAsia" w:ascii="宋体" w:hAnsi="宋体"/>
          <w:color w:val="auto"/>
          <w:sz w:val="24"/>
          <w:szCs w:val="24"/>
          <w:highlight w:val="none"/>
        </w:rPr>
        <w:t>投标文件格式</w:t>
      </w:r>
    </w:p>
    <w:p>
      <w:pPr>
        <w:spacing w:line="360" w:lineRule="auto"/>
        <w:ind w:left="-2" w:firstLine="480" w:firstLineChars="200"/>
        <w:rPr>
          <w:rFonts w:ascii="宋体" w:hAnsi="宋体"/>
          <w:color w:val="auto"/>
          <w:sz w:val="24"/>
          <w:szCs w:val="24"/>
          <w:highlight w:val="none"/>
        </w:rPr>
      </w:pPr>
      <w:r>
        <w:rPr>
          <w:rFonts w:hint="eastAsia" w:ascii="宋体" w:hAnsi="宋体"/>
          <w:bCs/>
          <w:color w:val="auto"/>
          <w:sz w:val="24"/>
          <w:szCs w:val="24"/>
          <w:highlight w:val="none"/>
        </w:rPr>
        <w:t>第五章</w:t>
      </w:r>
      <w:r>
        <w:rPr>
          <w:rFonts w:ascii="宋体" w:hAnsi="宋体"/>
          <w:bCs/>
          <w:color w:val="auto"/>
          <w:sz w:val="24"/>
          <w:szCs w:val="24"/>
          <w:highlight w:val="none"/>
        </w:rPr>
        <w:t xml:space="preserve">  </w:t>
      </w:r>
      <w:r>
        <w:rPr>
          <w:rFonts w:hint="eastAsia" w:ascii="宋体" w:hAnsi="宋体"/>
          <w:color w:val="auto"/>
          <w:sz w:val="24"/>
          <w:szCs w:val="24"/>
          <w:highlight w:val="none"/>
        </w:rPr>
        <w:t>技术条件（工程建设标准）（另册）</w:t>
      </w:r>
    </w:p>
    <w:p>
      <w:pPr>
        <w:spacing w:line="360" w:lineRule="auto"/>
        <w:ind w:left="-2" w:firstLine="480" w:firstLineChars="200"/>
        <w:rPr>
          <w:rFonts w:ascii="宋体" w:hAnsi="宋体"/>
          <w:color w:val="auto"/>
          <w:sz w:val="24"/>
          <w:szCs w:val="24"/>
          <w:highlight w:val="none"/>
        </w:rPr>
      </w:pPr>
      <w:r>
        <w:rPr>
          <w:rFonts w:hint="eastAsia" w:ascii="宋体" w:hAnsi="宋体"/>
          <w:bCs/>
          <w:color w:val="auto"/>
          <w:sz w:val="24"/>
          <w:szCs w:val="24"/>
          <w:highlight w:val="none"/>
        </w:rPr>
        <w:t>第六章</w:t>
      </w:r>
      <w:r>
        <w:rPr>
          <w:rFonts w:ascii="宋体" w:hAnsi="宋体"/>
          <w:bCs/>
          <w:color w:val="auto"/>
          <w:sz w:val="24"/>
          <w:szCs w:val="24"/>
          <w:highlight w:val="none"/>
        </w:rPr>
        <w:t xml:space="preserve">  </w:t>
      </w:r>
      <w:r>
        <w:rPr>
          <w:rFonts w:hint="eastAsia" w:ascii="宋体" w:hAnsi="宋体"/>
          <w:color w:val="auto"/>
          <w:sz w:val="24"/>
          <w:szCs w:val="24"/>
          <w:highlight w:val="none"/>
        </w:rPr>
        <w:t>图纸及勘察资料（另册）</w:t>
      </w:r>
    </w:p>
    <w:p>
      <w:pPr>
        <w:spacing w:line="360" w:lineRule="auto"/>
        <w:ind w:left="-2" w:firstLine="480" w:firstLineChars="200"/>
        <w:rPr>
          <w:rFonts w:ascii="宋体" w:hAnsi="宋体"/>
          <w:color w:val="auto"/>
          <w:sz w:val="24"/>
          <w:szCs w:val="24"/>
          <w:highlight w:val="none"/>
        </w:rPr>
      </w:pPr>
      <w:r>
        <w:rPr>
          <w:rFonts w:hint="eastAsia" w:ascii="宋体" w:hAnsi="宋体"/>
          <w:bCs/>
          <w:color w:val="auto"/>
          <w:sz w:val="24"/>
          <w:szCs w:val="24"/>
          <w:highlight w:val="none"/>
        </w:rPr>
        <w:t>第七章</w:t>
      </w:r>
      <w:r>
        <w:rPr>
          <w:rFonts w:ascii="宋体" w:hAnsi="宋体"/>
          <w:bCs/>
          <w:color w:val="auto"/>
          <w:sz w:val="24"/>
          <w:szCs w:val="24"/>
          <w:highlight w:val="none"/>
        </w:rPr>
        <w:t xml:space="preserve">  </w:t>
      </w:r>
      <w:r>
        <w:rPr>
          <w:rFonts w:hint="eastAsia" w:ascii="宋体" w:hAnsi="宋体"/>
          <w:bCs/>
          <w:color w:val="auto"/>
          <w:sz w:val="24"/>
          <w:szCs w:val="24"/>
          <w:highlight w:val="none"/>
        </w:rPr>
        <w:t>招标</w:t>
      </w:r>
      <w:r>
        <w:rPr>
          <w:rFonts w:hint="eastAsia" w:ascii="宋体" w:hAnsi="宋体"/>
          <w:color w:val="auto"/>
          <w:sz w:val="24"/>
          <w:szCs w:val="24"/>
          <w:highlight w:val="none"/>
        </w:rPr>
        <w:t>工程量清单（另册）</w:t>
      </w:r>
    </w:p>
    <w:p>
      <w:pPr>
        <w:spacing w:line="360" w:lineRule="auto"/>
        <w:ind w:left="-2" w:firstLine="480" w:firstLineChars="200"/>
        <w:rPr>
          <w:rFonts w:ascii="宋体" w:hAnsi="宋体"/>
          <w:color w:val="auto"/>
          <w:sz w:val="24"/>
          <w:szCs w:val="24"/>
          <w:highlight w:val="none"/>
        </w:rPr>
      </w:pPr>
      <w:r>
        <w:rPr>
          <w:rFonts w:hint="eastAsia" w:ascii="宋体" w:hAnsi="宋体"/>
          <w:color w:val="auto"/>
          <w:sz w:val="24"/>
          <w:szCs w:val="24"/>
          <w:highlight w:val="none"/>
        </w:rPr>
        <w:t>第八章</w:t>
      </w:r>
      <w:r>
        <w:rPr>
          <w:rFonts w:ascii="宋体" w:hAnsi="宋体"/>
          <w:color w:val="auto"/>
          <w:sz w:val="24"/>
          <w:szCs w:val="24"/>
          <w:highlight w:val="none"/>
        </w:rPr>
        <w:t xml:space="preserve">  </w:t>
      </w:r>
      <w:r>
        <w:rPr>
          <w:rFonts w:hint="eastAsia" w:ascii="宋体" w:hAnsi="宋体"/>
          <w:color w:val="auto"/>
          <w:sz w:val="24"/>
          <w:szCs w:val="24"/>
          <w:highlight w:val="none"/>
        </w:rPr>
        <w:t>最高投标限价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7.2 </w:t>
      </w:r>
      <w:r>
        <w:rPr>
          <w:rFonts w:hint="eastAsia" w:ascii="宋体" w:hAnsi="宋体"/>
          <w:color w:val="auto"/>
          <w:sz w:val="24"/>
          <w:szCs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7.3 </w:t>
      </w:r>
      <w:r>
        <w:rPr>
          <w:rFonts w:hint="eastAsia" w:ascii="宋体" w:hAnsi="宋体"/>
          <w:color w:val="auto"/>
          <w:sz w:val="24"/>
          <w:szCs w:val="24"/>
          <w:highlight w:val="none"/>
        </w:rPr>
        <w:t>投标人一旦中标，招标文件的内容对招标人和中标人双方均有约束力。</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8</w:t>
      </w:r>
      <w:r>
        <w:rPr>
          <w:rFonts w:hint="eastAsia" w:ascii="宋体" w:hAnsi="宋体"/>
          <w:b/>
          <w:bCs/>
          <w:color w:val="auto"/>
          <w:sz w:val="24"/>
          <w:szCs w:val="24"/>
          <w:highlight w:val="none"/>
        </w:rPr>
        <w:t>．招标答疑</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8.1 </w:t>
      </w:r>
      <w:r>
        <w:rPr>
          <w:rFonts w:hint="eastAsia" w:ascii="宋体" w:hAnsi="宋体"/>
          <w:color w:val="auto"/>
          <w:sz w:val="24"/>
          <w:szCs w:val="24"/>
          <w:highlight w:val="none"/>
        </w:rPr>
        <w:t>投标人若对招标文件（包括招标图纸）中有疑问，可以书面形式通过</w:t>
      </w:r>
      <w:r>
        <w:rPr>
          <w:rFonts w:ascii="宋体" w:hAnsi="宋体"/>
          <w:color w:val="auto"/>
          <w:sz w:val="24"/>
          <w:szCs w:val="24"/>
          <w:highlight w:val="none"/>
          <w:u w:val="single"/>
        </w:rPr>
        <w:t xml:space="preserve">        </w:t>
      </w:r>
      <w:r>
        <w:rPr>
          <w:rFonts w:hint="eastAsia" w:ascii="宋体" w:hAnsi="宋体"/>
          <w:color w:val="auto"/>
          <w:sz w:val="24"/>
          <w:szCs w:val="24"/>
          <w:highlight w:val="none"/>
        </w:rPr>
        <w:t>交易平台提交给招标人或招标代理人，提交形式见本须知前附表第</w:t>
      </w:r>
      <w:r>
        <w:rPr>
          <w:rFonts w:ascii="宋体" w:hAnsi="宋体"/>
          <w:color w:val="auto"/>
          <w:sz w:val="24"/>
          <w:szCs w:val="24"/>
          <w:highlight w:val="none"/>
        </w:rPr>
        <w:t>16</w:t>
      </w:r>
      <w:r>
        <w:rPr>
          <w:rFonts w:hint="eastAsia" w:ascii="宋体" w:hAnsi="宋体"/>
          <w:color w:val="auto"/>
          <w:sz w:val="24"/>
          <w:szCs w:val="24"/>
          <w:highlight w:val="none"/>
        </w:rPr>
        <w:t>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8.2</w:t>
      </w:r>
      <w:r>
        <w:rPr>
          <w:rFonts w:hint="eastAsia" w:ascii="宋体" w:hAnsi="宋体"/>
          <w:color w:val="auto"/>
          <w:sz w:val="24"/>
          <w:szCs w:val="24"/>
          <w:highlight w:val="none"/>
        </w:rPr>
        <w:t>招标答疑会会议纪要将在提交投标文件截止时间15日前在</w:t>
      </w:r>
      <w:r>
        <w:rPr>
          <w:rFonts w:ascii="宋体" w:hAnsi="宋体"/>
          <w:color w:val="auto"/>
          <w:sz w:val="24"/>
          <w:szCs w:val="24"/>
          <w:highlight w:val="none"/>
          <w:u w:val="single"/>
        </w:rPr>
        <w:t xml:space="preserve">        </w:t>
      </w:r>
      <w:r>
        <w:rPr>
          <w:rFonts w:hint="eastAsia" w:ascii="宋体" w:hAnsi="宋体"/>
          <w:color w:val="auto"/>
          <w:sz w:val="24"/>
          <w:szCs w:val="24"/>
          <w:highlight w:val="none"/>
        </w:rPr>
        <w:t>交易平台 “项目答疑纪要”专区公开发布。答疑纪要一经在</w:t>
      </w:r>
      <w:r>
        <w:rPr>
          <w:rFonts w:ascii="宋体" w:hAnsi="宋体"/>
          <w:color w:val="auto"/>
          <w:sz w:val="24"/>
          <w:szCs w:val="24"/>
          <w:highlight w:val="none"/>
          <w:u w:val="single"/>
        </w:rPr>
        <w:t xml:space="preserve">        </w:t>
      </w:r>
      <w:r>
        <w:rPr>
          <w:rFonts w:hint="eastAsia" w:ascii="宋体" w:hAnsi="宋体"/>
          <w:color w:val="auto"/>
          <w:sz w:val="24"/>
          <w:szCs w:val="24"/>
          <w:highlight w:val="none"/>
        </w:rPr>
        <w:t>交易平台发布，视作已发放给所有投标人。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8.3</w:t>
      </w:r>
      <w:r>
        <w:rPr>
          <w:rFonts w:hint="eastAsia" w:ascii="宋体" w:hAnsi="宋体"/>
          <w:color w:val="auto"/>
          <w:sz w:val="24"/>
          <w:szCs w:val="24"/>
          <w:highlight w:val="none"/>
        </w:rPr>
        <w:t>答疑会会议纪要为招标文件的一部分。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8.4</w:t>
      </w:r>
      <w:r>
        <w:rPr>
          <w:rFonts w:hint="eastAsia" w:ascii="宋体" w:hAnsi="宋体"/>
          <w:color w:val="auto"/>
          <w:sz w:val="24"/>
          <w:szCs w:val="24"/>
          <w:highlight w:val="none"/>
        </w:rPr>
        <w:t>若招标答疑会会议纪要与招标文件有矛盾，以答疑会议纪要最后发出的书面形式的文件为准。</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9.</w:t>
      </w:r>
      <w:r>
        <w:rPr>
          <w:rFonts w:hint="eastAsia" w:ascii="宋体" w:hAnsi="宋体"/>
          <w:b/>
          <w:bCs/>
          <w:color w:val="auto"/>
          <w:sz w:val="24"/>
          <w:szCs w:val="24"/>
          <w:highlight w:val="none"/>
        </w:rPr>
        <w:t>招标文件的澄清与修改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9.1</w:t>
      </w:r>
      <w:r>
        <w:rPr>
          <w:rFonts w:hint="eastAsia" w:ascii="宋体" w:hAnsi="宋体"/>
          <w:color w:val="auto"/>
          <w:sz w:val="24"/>
          <w:szCs w:val="24"/>
          <w:highlight w:val="none"/>
        </w:rPr>
        <w:t>招标文件发出后</w:t>
      </w:r>
      <w:r>
        <w:rPr>
          <w:rFonts w:ascii="宋体" w:hAnsi="宋体"/>
          <w:color w:val="auto"/>
          <w:sz w:val="24"/>
          <w:szCs w:val="24"/>
          <w:highlight w:val="none"/>
        </w:rPr>
        <w:t>,</w:t>
      </w:r>
      <w:r>
        <w:rPr>
          <w:rFonts w:hint="eastAsia" w:ascii="宋体" w:hAnsi="宋体"/>
          <w:color w:val="auto"/>
          <w:sz w:val="24"/>
          <w:szCs w:val="24"/>
          <w:highlight w:val="none"/>
        </w:rPr>
        <w:t>在提交投标文件截止时间15日前，招标人可对招标文件进行必要的澄清或修改。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9.2</w:t>
      </w:r>
      <w:r>
        <w:rPr>
          <w:rFonts w:hint="eastAsia" w:ascii="宋体" w:hAnsi="宋体"/>
          <w:color w:val="auto"/>
          <w:sz w:val="24"/>
          <w:szCs w:val="24"/>
          <w:highlight w:val="none"/>
        </w:rPr>
        <w:t>招标文件的澄清或修改将在</w:t>
      </w:r>
      <w:r>
        <w:rPr>
          <w:rFonts w:ascii="宋体" w:hAnsi="宋体"/>
          <w:color w:val="auto"/>
          <w:sz w:val="24"/>
          <w:szCs w:val="24"/>
          <w:highlight w:val="none"/>
          <w:u w:val="single"/>
        </w:rPr>
        <w:t xml:space="preserve">        </w:t>
      </w:r>
      <w:r>
        <w:rPr>
          <w:rFonts w:hint="eastAsia" w:ascii="宋体" w:hAnsi="宋体"/>
          <w:color w:val="auto"/>
          <w:sz w:val="24"/>
          <w:szCs w:val="24"/>
          <w:highlight w:val="none"/>
        </w:rPr>
        <w:t>交易平台“项目答疑纪要”专区公开发布。答疑纪要一经在</w:t>
      </w:r>
      <w:r>
        <w:rPr>
          <w:rFonts w:ascii="宋体" w:hAnsi="宋体"/>
          <w:color w:val="auto"/>
          <w:sz w:val="24"/>
          <w:szCs w:val="24"/>
          <w:highlight w:val="none"/>
          <w:u w:val="single"/>
        </w:rPr>
        <w:t xml:space="preserve">        </w:t>
      </w:r>
      <w:r>
        <w:rPr>
          <w:rFonts w:hint="eastAsia" w:ascii="宋体" w:hAnsi="宋体"/>
          <w:color w:val="auto"/>
          <w:sz w:val="24"/>
          <w:szCs w:val="24"/>
          <w:highlight w:val="none"/>
        </w:rPr>
        <w:t>交易平台发布，视作已发放给所有投标人，以</w:t>
      </w:r>
      <w:r>
        <w:rPr>
          <w:rFonts w:ascii="宋体" w:hAnsi="宋体"/>
          <w:color w:val="auto"/>
          <w:sz w:val="24"/>
          <w:szCs w:val="24"/>
          <w:highlight w:val="none"/>
          <w:u w:val="single"/>
        </w:rPr>
        <w:t xml:space="preserve">        </w:t>
      </w:r>
      <w:r>
        <w:rPr>
          <w:rFonts w:hint="eastAsia" w:ascii="宋体" w:hAnsi="宋体"/>
          <w:color w:val="auto"/>
          <w:sz w:val="24"/>
          <w:szCs w:val="24"/>
          <w:highlight w:val="none"/>
        </w:rPr>
        <w:t>交易平台上网发布时间作为送达时间。</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9.3</w:t>
      </w:r>
      <w:r>
        <w:rPr>
          <w:rFonts w:hint="eastAsia" w:ascii="宋体" w:hAnsi="宋体"/>
          <w:color w:val="auto"/>
          <w:sz w:val="24"/>
          <w:szCs w:val="24"/>
          <w:highlight w:val="none"/>
        </w:rPr>
        <w:t>招标文件的修改内容为招标文件的组成部分。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9.4</w:t>
      </w:r>
      <w:r>
        <w:rPr>
          <w:rFonts w:hint="eastAsia" w:ascii="宋体" w:hAnsi="宋体"/>
          <w:color w:val="auto"/>
          <w:sz w:val="24"/>
          <w:szCs w:val="24"/>
          <w:highlight w:val="none"/>
        </w:rPr>
        <w:t>招标文件的澄清或修改均以书面形式明确的内容为准。当招标文件的澄清、修改、补充等在同一内容的表述不一致时，以最后发出的书面形式的文件为准。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9.5</w:t>
      </w:r>
      <w:r>
        <w:rPr>
          <w:rFonts w:hint="eastAsia" w:ascii="宋体" w:hAnsi="宋体"/>
          <w:color w:val="auto"/>
          <w:sz w:val="24"/>
          <w:szCs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widowControl/>
        <w:spacing w:before="100" w:beforeAutospacing="1" w:after="100" w:afterAutospacing="1" w:line="360" w:lineRule="auto"/>
        <w:jc w:val="left"/>
        <w:outlineLvl w:val="2"/>
        <w:rPr>
          <w:rFonts w:ascii="宋体" w:hAnsi="宋体" w:cs="宋体"/>
          <w:color w:val="auto"/>
          <w:kern w:val="0"/>
          <w:sz w:val="24"/>
          <w:szCs w:val="24"/>
          <w:highlight w:val="none"/>
        </w:rPr>
      </w:pPr>
      <w:bookmarkStart w:id="24" w:name="_Toc58838573"/>
      <w:bookmarkStart w:id="25" w:name="_Toc112397811"/>
      <w:r>
        <w:rPr>
          <w:rFonts w:hint="eastAsia" w:ascii="宋体" w:hAnsi="宋体" w:cs="宋体"/>
          <w:color w:val="auto"/>
          <w:kern w:val="0"/>
          <w:sz w:val="24"/>
          <w:szCs w:val="24"/>
          <w:highlight w:val="none"/>
        </w:rPr>
        <w:t>（三）投标文件的编制</w:t>
      </w:r>
      <w:bookmarkEnd w:id="24"/>
      <w:bookmarkEnd w:id="25"/>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10</w:t>
      </w:r>
      <w:r>
        <w:rPr>
          <w:rFonts w:hint="eastAsia" w:ascii="宋体" w:hAnsi="宋体"/>
          <w:b/>
          <w:bCs/>
          <w:color w:val="auto"/>
          <w:sz w:val="24"/>
          <w:szCs w:val="24"/>
          <w:highlight w:val="none"/>
        </w:rPr>
        <w:t>．投标文件的语言及度量衡单位</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10.1 </w:t>
      </w:r>
      <w:r>
        <w:rPr>
          <w:rFonts w:hint="eastAsia" w:ascii="宋体" w:hAnsi="宋体"/>
          <w:color w:val="auto"/>
          <w:sz w:val="24"/>
          <w:szCs w:val="24"/>
          <w:highlight w:val="none"/>
        </w:rPr>
        <w:t>投标文件和与投标有关的所有文件均应使用中文。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10.2 </w:t>
      </w:r>
      <w:r>
        <w:rPr>
          <w:rFonts w:hint="eastAsia" w:ascii="宋体" w:hAnsi="宋体"/>
          <w:color w:val="auto"/>
          <w:sz w:val="24"/>
          <w:szCs w:val="24"/>
          <w:highlight w:val="none"/>
        </w:rPr>
        <w:t>除工程规范另有规定外，投标文件使用的度量衡单位，均采用中华人民共和国法定计量单位。</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11</w:t>
      </w:r>
      <w:r>
        <w:rPr>
          <w:rFonts w:hint="eastAsia" w:ascii="宋体" w:hAnsi="宋体"/>
          <w:b/>
          <w:bCs/>
          <w:color w:val="auto"/>
          <w:sz w:val="24"/>
          <w:szCs w:val="24"/>
          <w:highlight w:val="none"/>
        </w:rPr>
        <w:t>．投标文件的组成</w:t>
      </w:r>
    </w:p>
    <w:p>
      <w:pPr>
        <w:spacing w:line="360" w:lineRule="auto"/>
        <w:ind w:firstLine="480" w:firstLineChars="200"/>
        <w:rPr>
          <w:rFonts w:ascii="宋体" w:hAnsi="宋体"/>
          <w:b/>
          <w:color w:val="auto"/>
          <w:sz w:val="24"/>
          <w:szCs w:val="24"/>
          <w:highlight w:val="none"/>
        </w:rPr>
      </w:pPr>
      <w:r>
        <w:rPr>
          <w:rFonts w:ascii="宋体" w:hAnsi="宋体"/>
          <w:color w:val="auto"/>
          <w:sz w:val="24"/>
          <w:szCs w:val="24"/>
          <w:highlight w:val="none"/>
        </w:rPr>
        <w:t xml:space="preserve">11.1 </w:t>
      </w:r>
      <w:r>
        <w:rPr>
          <w:rFonts w:hint="eastAsia" w:ascii="宋体" w:hAnsi="宋体"/>
          <w:color w:val="auto"/>
          <w:sz w:val="24"/>
          <w:szCs w:val="24"/>
          <w:highlight w:val="none"/>
        </w:rPr>
        <w:t>投标文件由技术部分（含资格审查文件）和经济部分二部分投标文件组成</w:t>
      </w:r>
      <w:r>
        <w:rPr>
          <w:rFonts w:hint="eastAsia" w:ascii="宋体" w:hAnsi="宋体"/>
          <w:b/>
          <w:color w:val="auto"/>
          <w:sz w:val="24"/>
          <w:szCs w:val="24"/>
          <w:highlight w:val="none"/>
        </w:rPr>
        <w:t>。</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11.2</w:t>
      </w:r>
      <w:r>
        <w:rPr>
          <w:rFonts w:hint="eastAsia" w:ascii="宋体" w:hAnsi="宋体"/>
          <w:bCs/>
          <w:color w:val="auto"/>
          <w:sz w:val="24"/>
          <w:szCs w:val="24"/>
          <w:highlight w:val="none"/>
        </w:rPr>
        <w:t>投标文件技术标部分主要包括下列内容</w:t>
      </w:r>
      <w:r>
        <w:rPr>
          <w:rFonts w:ascii="宋体" w:hAnsi="宋体"/>
          <w:bCs/>
          <w:color w:val="auto"/>
          <w:sz w:val="24"/>
          <w:szCs w:val="24"/>
          <w:highlight w:val="none"/>
        </w:rPr>
        <w:t>:</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11.2.1 技术投标文件</w:t>
      </w:r>
      <w:r>
        <w:rPr>
          <w:rFonts w:ascii="宋体" w:hAnsi="宋体"/>
          <w:color w:val="auto"/>
          <w:sz w:val="24"/>
          <w:szCs w:val="24"/>
          <w:highlight w:val="none"/>
        </w:rPr>
        <w:t>(</w:t>
      </w:r>
      <w:r>
        <w:rPr>
          <w:rFonts w:hint="eastAsia" w:ascii="宋体" w:hAnsi="宋体"/>
          <w:color w:val="auto"/>
          <w:sz w:val="24"/>
          <w:szCs w:val="24"/>
          <w:highlight w:val="none"/>
        </w:rPr>
        <w:t>按招标文件的要求填写</w:t>
      </w:r>
      <w:r>
        <w:rPr>
          <w:rFonts w:ascii="宋体" w:hAnsi="宋体"/>
          <w:color w:val="auto"/>
          <w:sz w:val="24"/>
          <w:szCs w:val="24"/>
          <w:highlight w:val="none"/>
        </w:rPr>
        <w:t>)</w:t>
      </w:r>
      <w:r>
        <w:rPr>
          <w:rFonts w:hint="eastAsia" w:ascii="宋体" w:hAnsi="宋体"/>
          <w:bCs/>
          <w:color w:val="auto"/>
          <w:sz w:val="24"/>
          <w:szCs w:val="24"/>
          <w:highlight w:val="none"/>
        </w:rPr>
        <w:t>；</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11.2.2 资格审查文件：</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 xml:space="preserve">（1）投标人声明； </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（2）法定代表人证明书、法定代表人签字或盖章的本投标文件授权委托证明书；</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（3）企业营业执照（取自平台内上传件）；</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（4）企业资质证书（取自平台内上传件）；</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（5）建筑施工企业安全生产许可证（取自平台内上传件）；</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（6）项目负责人（按网上投标登记时选择拟投标的项目负责人）</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（7）专职安全员（按网上投标登记时选择拟投标的专职安全员）</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（8）拟委托技术负责人的相关证书、资料（具体要求由招标人明确）</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 xml:space="preserve">（9）拟委派项目负责人的建造师注册证书（取自平台内上传件）； </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（10）项目负责人在有效期内的安全生产考核合格证（B类）或建筑施工企业项目负责人安全生产考核合格证书（取自平台内上传件）；</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（11）专职安全员须具有在有效期内的安全</w:t>
      </w:r>
      <w:r>
        <w:rPr>
          <w:rFonts w:hint="eastAsia" w:ascii="宋体" w:hAnsi="宋体"/>
          <w:bCs/>
          <w:color w:val="auto"/>
          <w:sz w:val="24"/>
          <w:szCs w:val="24"/>
          <w:highlight w:val="none"/>
          <w:lang w:val="en-US" w:eastAsia="zh-CN"/>
        </w:rPr>
        <w:t>生产</w:t>
      </w:r>
      <w:r>
        <w:rPr>
          <w:rFonts w:hint="eastAsia" w:ascii="宋体" w:hAnsi="宋体"/>
          <w:bCs/>
          <w:color w:val="auto"/>
          <w:sz w:val="24"/>
          <w:szCs w:val="24"/>
          <w:highlight w:val="none"/>
        </w:rPr>
        <w:t>考核合格证书（C类）或建筑施工企业专职安全生产管理人员安全生产考核合格证书（C3）（取自平台内上传件）；</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（12）用于资格审查的业绩（设置业绩要求时选择此项，投标人</w:t>
      </w:r>
      <w:r>
        <w:rPr>
          <w:rFonts w:hint="eastAsia" w:ascii="宋体" w:hAnsi="宋体"/>
          <w:color w:val="auto"/>
          <w:sz w:val="24"/>
          <w:szCs w:val="24"/>
          <w:highlight w:val="none"/>
        </w:rPr>
        <w:t>须提供类似工程业绩的项目名称及项目编号，具体格式由招标人自定</w:t>
      </w:r>
      <w:r>
        <w:rPr>
          <w:rFonts w:hint="eastAsia" w:ascii="宋体" w:hAnsi="宋体"/>
          <w:bCs/>
          <w:color w:val="auto"/>
          <w:sz w:val="24"/>
          <w:szCs w:val="24"/>
          <w:highlight w:val="none"/>
        </w:rPr>
        <w:t>）；</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（13）资格审查前，投标人须在广州市住房和城乡建设局建立企业信用档案，拟担任本工程项目负责人、专职安全员须是本企业信用档案中的在册人员。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 xml:space="preserve">（14）列明主办单位的联合体工作协议（采用联合体投标时需递交，投标人拟任本工程项目负责人、专职安全员应为联合体主办方信用档案中的在册人员，联合体工作协议应明确约定各方拟承担的工作和责任）； </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（15）</w:t>
      </w:r>
      <w:r>
        <w:rPr>
          <w:rFonts w:hint="eastAsia" w:ascii="宋体" w:hAnsi="宋体"/>
          <w:color w:val="auto"/>
          <w:sz w:val="24"/>
          <w:szCs w:val="24"/>
          <w:highlight w:val="none"/>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11.2.3</w:t>
      </w:r>
      <w:r>
        <w:rPr>
          <w:rFonts w:hint="eastAsia" w:ascii="宋体" w:hAnsi="宋体"/>
          <w:color w:val="auto"/>
          <w:sz w:val="24"/>
          <w:szCs w:val="24"/>
          <w:highlight w:val="none"/>
        </w:rPr>
        <w:t>项目管理机构配备。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）投标人应列出该项目工程的施工组织机构构成和画出机构框架图及其负责人；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）其他辅助说明资料。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11.2.4</w:t>
      </w:r>
      <w:r>
        <w:rPr>
          <w:rFonts w:hint="eastAsia" w:ascii="宋体" w:hAnsi="宋体"/>
          <w:color w:val="auto"/>
          <w:sz w:val="24"/>
          <w:szCs w:val="24"/>
          <w:highlight w:val="none"/>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11.2.5</w:t>
      </w:r>
      <w:r>
        <w:rPr>
          <w:rFonts w:hint="eastAsia" w:ascii="宋体" w:hAnsi="宋体"/>
          <w:color w:val="auto"/>
          <w:sz w:val="24"/>
          <w:szCs w:val="24"/>
          <w:highlight w:val="none"/>
        </w:rPr>
        <w:t>施工组织设计或施工方案。</w:t>
      </w:r>
    </w:p>
    <w:p>
      <w:pPr>
        <w:tabs>
          <w:tab w:val="left" w:pos="1125"/>
        </w:tabs>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11.2.</w:t>
      </w:r>
      <w:r>
        <w:rPr>
          <w:rFonts w:hint="eastAsia" w:ascii="宋体" w:hAnsi="宋体"/>
          <w:color w:val="auto"/>
          <w:sz w:val="24"/>
          <w:szCs w:val="24"/>
          <w:highlight w:val="none"/>
        </w:rPr>
        <w:t>6按照</w:t>
      </w:r>
      <w:r>
        <w:rPr>
          <w:rFonts w:hint="eastAsia" w:ascii="宋体" w:hAnsi="宋体"/>
          <w:bCs/>
          <w:color w:val="auto"/>
          <w:sz w:val="24"/>
          <w:szCs w:val="24"/>
          <w:highlight w:val="none"/>
        </w:rPr>
        <w:t>招标文件要求</w:t>
      </w:r>
      <w:r>
        <w:rPr>
          <w:rFonts w:hint="eastAsia" w:ascii="宋体" w:hAnsi="宋体"/>
          <w:color w:val="auto"/>
          <w:sz w:val="24"/>
          <w:szCs w:val="24"/>
          <w:highlight w:val="none"/>
        </w:rPr>
        <w:t>填写的《参与编制技术标投标文件人员名单》。</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 xml:space="preserve">11.3 </w:t>
      </w:r>
      <w:r>
        <w:rPr>
          <w:rFonts w:hint="eastAsia" w:ascii="宋体" w:hAnsi="宋体"/>
          <w:bCs/>
          <w:color w:val="auto"/>
          <w:sz w:val="24"/>
          <w:szCs w:val="24"/>
          <w:highlight w:val="none"/>
        </w:rPr>
        <w:t>经济部分投标文件主要包括下列内容：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11.3.1 </w:t>
      </w:r>
      <w:r>
        <w:rPr>
          <w:rFonts w:hint="eastAsia" w:ascii="宋体" w:hAnsi="宋体"/>
          <w:color w:val="auto"/>
          <w:sz w:val="24"/>
          <w:szCs w:val="24"/>
          <w:highlight w:val="none"/>
        </w:rPr>
        <w:t>经济投标文件</w:t>
      </w:r>
      <w:r>
        <w:rPr>
          <w:rFonts w:ascii="宋体" w:hAnsi="宋体"/>
          <w:color w:val="auto"/>
          <w:sz w:val="24"/>
          <w:szCs w:val="24"/>
          <w:highlight w:val="none"/>
        </w:rPr>
        <w:t>(</w:t>
      </w:r>
      <w:r>
        <w:rPr>
          <w:rFonts w:hint="eastAsia" w:ascii="宋体" w:hAnsi="宋体"/>
          <w:color w:val="auto"/>
          <w:sz w:val="24"/>
          <w:szCs w:val="24"/>
          <w:highlight w:val="none"/>
        </w:rPr>
        <w:t>按招标文件的要求填写</w:t>
      </w:r>
      <w:r>
        <w:rPr>
          <w:rFonts w:ascii="宋体" w:hAnsi="宋体"/>
          <w:color w:val="auto"/>
          <w:sz w:val="24"/>
          <w:szCs w:val="24"/>
          <w:highlight w:val="none"/>
        </w:rPr>
        <w:t>)</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11.3.2</w:t>
      </w:r>
      <w:r>
        <w:rPr>
          <w:rFonts w:hint="eastAsia" w:ascii="宋体" w:hAnsi="宋体"/>
          <w:color w:val="auto"/>
          <w:sz w:val="24"/>
          <w:szCs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r>
        <w:rPr>
          <w:rFonts w:ascii="宋体" w:hAnsi="宋体"/>
          <w:color w:val="auto"/>
          <w:sz w:val="24"/>
          <w:szCs w:val="24"/>
          <w:highlight w:val="none"/>
        </w:rPr>
        <w:t xml:space="preserve"> </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）投标总价封面、扉页；</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）总说明</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（3）工程项目投标报价汇总表；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（4）单项工程投标报价汇总表；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（5）单位工程投标报价汇总表；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（6）分部分项工程清单与计价表；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（7）单价措施项目清单与计价表；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（8）总价措施项目清单与计价表；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（9）综合单价分析表；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（10）其他项目清单与计价汇总表；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（11）暂列金额明细表；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（12）材料（工程设备）暂估价明细表；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（13）专业工程暂估价明细表；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（14）计日工表；</w:t>
      </w:r>
    </w:p>
    <w:p>
      <w:pPr>
        <w:spacing w:line="360" w:lineRule="auto"/>
        <w:ind w:firstLine="564" w:firstLineChars="235"/>
        <w:rPr>
          <w:rFonts w:ascii="宋体" w:hAnsi="宋体"/>
          <w:color w:val="auto"/>
          <w:sz w:val="24"/>
          <w:szCs w:val="24"/>
          <w:highlight w:val="none"/>
        </w:rPr>
      </w:pPr>
      <w:r>
        <w:rPr>
          <w:rFonts w:hint="eastAsia" w:ascii="宋体" w:hAnsi="宋体"/>
          <w:color w:val="auto"/>
          <w:sz w:val="24"/>
          <w:szCs w:val="24"/>
          <w:highlight w:val="none"/>
        </w:rPr>
        <w:t>（15）总承包服务计价表；</w:t>
      </w:r>
    </w:p>
    <w:p>
      <w:pPr>
        <w:spacing w:line="360" w:lineRule="auto"/>
        <w:ind w:firstLine="564" w:firstLineChars="235"/>
        <w:rPr>
          <w:rFonts w:ascii="宋体" w:hAnsi="宋体"/>
          <w:color w:val="auto"/>
          <w:sz w:val="24"/>
          <w:szCs w:val="24"/>
          <w:highlight w:val="none"/>
        </w:rPr>
      </w:pPr>
      <w:r>
        <w:rPr>
          <w:rFonts w:hint="eastAsia" w:ascii="宋体" w:hAnsi="宋体"/>
          <w:color w:val="auto"/>
          <w:sz w:val="24"/>
          <w:szCs w:val="24"/>
          <w:highlight w:val="none"/>
        </w:rPr>
        <w:t>（16）规费和税金项目计价表；</w:t>
      </w:r>
    </w:p>
    <w:p>
      <w:pPr>
        <w:spacing w:line="360" w:lineRule="auto"/>
        <w:ind w:firstLine="564" w:firstLineChars="235"/>
        <w:rPr>
          <w:rFonts w:ascii="宋体" w:hAnsi="宋体"/>
          <w:color w:val="auto"/>
          <w:sz w:val="24"/>
          <w:szCs w:val="24"/>
          <w:highlight w:val="none"/>
        </w:rPr>
      </w:pPr>
      <w:r>
        <w:rPr>
          <w:rFonts w:hint="eastAsia" w:ascii="宋体" w:hAnsi="宋体"/>
          <w:color w:val="auto"/>
          <w:sz w:val="24"/>
          <w:szCs w:val="24"/>
          <w:highlight w:val="none"/>
        </w:rPr>
        <w:t>（17）人工、主要材料和设备一览表</w:t>
      </w:r>
    </w:p>
    <w:p>
      <w:pPr>
        <w:tabs>
          <w:tab w:val="left" w:pos="1125"/>
        </w:tabs>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11.3.</w:t>
      </w:r>
      <w:r>
        <w:rPr>
          <w:rFonts w:hint="eastAsia" w:ascii="宋体" w:hAnsi="宋体"/>
          <w:color w:val="auto"/>
          <w:sz w:val="24"/>
          <w:szCs w:val="24"/>
          <w:highlight w:val="none"/>
        </w:rPr>
        <w:t>3按照</w:t>
      </w:r>
      <w:r>
        <w:rPr>
          <w:rFonts w:hint="eastAsia" w:ascii="宋体" w:hAnsi="宋体"/>
          <w:bCs/>
          <w:color w:val="auto"/>
          <w:sz w:val="24"/>
          <w:szCs w:val="24"/>
          <w:highlight w:val="none"/>
        </w:rPr>
        <w:t>招标文件要求</w:t>
      </w:r>
      <w:r>
        <w:rPr>
          <w:rFonts w:hint="eastAsia" w:ascii="宋体" w:hAnsi="宋体"/>
          <w:color w:val="auto"/>
          <w:sz w:val="24"/>
          <w:szCs w:val="24"/>
          <w:highlight w:val="none"/>
        </w:rPr>
        <w:t>填写的《参与编制经济标投标文件人员名单》。</w:t>
      </w:r>
    </w:p>
    <w:p>
      <w:pPr>
        <w:tabs>
          <w:tab w:val="left" w:pos="1125"/>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11.3.4若投标人的投标报价低于工程成本警戒价的，投标人还须提供详细的施工组织设计、单价、措施性费用、单价分析表、主要材料价格表、投标人成本分析供评标委员会评审。</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12</w:t>
      </w:r>
      <w:r>
        <w:rPr>
          <w:rFonts w:hint="eastAsia" w:ascii="宋体" w:hAnsi="宋体"/>
          <w:b/>
          <w:bCs/>
          <w:color w:val="auto"/>
          <w:sz w:val="24"/>
          <w:szCs w:val="24"/>
          <w:highlight w:val="none"/>
        </w:rPr>
        <w:t>．投标文件格式</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12.1 </w:t>
      </w:r>
      <w:r>
        <w:rPr>
          <w:rFonts w:hint="eastAsia" w:ascii="宋体" w:hAnsi="宋体"/>
          <w:color w:val="auto"/>
          <w:sz w:val="24"/>
          <w:szCs w:val="24"/>
          <w:highlight w:val="none"/>
        </w:rPr>
        <w:t>投标文件包括本须知第</w:t>
      </w:r>
      <w:r>
        <w:rPr>
          <w:rFonts w:ascii="宋体" w:hAnsi="宋体"/>
          <w:color w:val="auto"/>
          <w:sz w:val="24"/>
          <w:szCs w:val="24"/>
          <w:highlight w:val="none"/>
        </w:rPr>
        <w:t>11</w:t>
      </w:r>
      <w:r>
        <w:rPr>
          <w:rFonts w:hint="eastAsia" w:ascii="宋体" w:hAnsi="宋体"/>
          <w:color w:val="auto"/>
          <w:sz w:val="24"/>
          <w:szCs w:val="24"/>
          <w:highlight w:val="none"/>
        </w:rPr>
        <w:t>条中规定的内容，投标人提交的投标文件应当使用招标文件所提供的投标文件全部格式（表格可以按同样格式扩展）。</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12.3 </w:t>
      </w:r>
      <w:r>
        <w:rPr>
          <w:rFonts w:hint="eastAsia" w:ascii="宋体" w:hAnsi="宋体"/>
          <w:bCs/>
          <w:color w:val="auto"/>
          <w:sz w:val="24"/>
          <w:szCs w:val="24"/>
          <w:highlight w:val="none"/>
        </w:rPr>
        <w:t>投标文件应按</w:t>
      </w:r>
      <w:r>
        <w:rPr>
          <w:rFonts w:hint="eastAsia" w:ascii="宋体" w:hAnsi="宋体"/>
          <w:color w:val="auto"/>
          <w:sz w:val="24"/>
          <w:szCs w:val="24"/>
          <w:highlight w:val="none"/>
        </w:rPr>
        <w:t>照交易平台关于全流程电子化项目的相关指南进行编制，详见：</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spacing w:line="360" w:lineRule="auto"/>
        <w:rPr>
          <w:rFonts w:ascii="宋体" w:hAnsi="宋体"/>
          <w:color w:val="auto"/>
          <w:sz w:val="24"/>
          <w:szCs w:val="24"/>
          <w:highlight w:val="none"/>
        </w:rPr>
      </w:pPr>
      <w:r>
        <w:rPr>
          <w:rFonts w:hint="eastAsia" w:ascii="宋体" w:hAnsi="宋体"/>
          <w:bCs/>
          <w:color w:val="auto"/>
          <w:sz w:val="24"/>
          <w:szCs w:val="24"/>
          <w:highlight w:val="none"/>
        </w:rPr>
        <w:t>如不按上述要求编制引起系统无法检索、读取相关信息的，其后果由投标人承担。</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13</w:t>
      </w:r>
      <w:r>
        <w:rPr>
          <w:rFonts w:hint="eastAsia" w:ascii="宋体" w:hAnsi="宋体"/>
          <w:b/>
          <w:bCs/>
          <w:color w:val="auto"/>
          <w:sz w:val="24"/>
          <w:szCs w:val="24"/>
          <w:highlight w:val="none"/>
        </w:rPr>
        <w:t>．投标报价及造价承包和变更结算方式</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13.1 </w:t>
      </w:r>
      <w:r>
        <w:rPr>
          <w:rFonts w:hint="eastAsia" w:ascii="宋体" w:hAnsi="宋体"/>
          <w:color w:val="auto"/>
          <w:sz w:val="24"/>
          <w:szCs w:val="24"/>
          <w:highlight w:val="none"/>
        </w:rPr>
        <w:t>本工程的投标报价采用投标须知前附表第</w:t>
      </w:r>
      <w:r>
        <w:rPr>
          <w:rFonts w:ascii="宋体" w:hAnsi="宋体"/>
          <w:color w:val="auto"/>
          <w:sz w:val="24"/>
          <w:szCs w:val="24"/>
          <w:highlight w:val="none"/>
        </w:rPr>
        <w:t>12</w:t>
      </w:r>
      <w:r>
        <w:rPr>
          <w:rFonts w:hint="eastAsia" w:ascii="宋体" w:hAnsi="宋体"/>
          <w:color w:val="auto"/>
          <w:sz w:val="24"/>
          <w:szCs w:val="24"/>
          <w:highlight w:val="none"/>
        </w:rPr>
        <w:t>项所规定的方式。投标报价（含单价及总价）精确到“分”。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13.2</w:t>
      </w:r>
      <w:r>
        <w:rPr>
          <w:rFonts w:hint="eastAsia" w:ascii="宋体" w:hAnsi="宋体"/>
          <w:color w:val="auto"/>
          <w:sz w:val="24"/>
          <w:szCs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13.3</w:t>
      </w:r>
      <w:r>
        <w:rPr>
          <w:rFonts w:hint="eastAsia" w:ascii="宋体" w:hAnsi="宋体"/>
          <w:color w:val="auto"/>
          <w:sz w:val="24"/>
          <w:szCs w:val="24"/>
          <w:highlight w:val="none"/>
        </w:rPr>
        <w:t>投标人的投标报价，应是按照投标须知前附表第</w:t>
      </w:r>
      <w:r>
        <w:rPr>
          <w:rFonts w:ascii="宋体" w:hAnsi="宋体"/>
          <w:color w:val="auto"/>
          <w:sz w:val="24"/>
          <w:szCs w:val="24"/>
          <w:highlight w:val="none"/>
        </w:rPr>
        <w:t>8</w:t>
      </w:r>
      <w:r>
        <w:rPr>
          <w:rFonts w:hint="eastAsia" w:ascii="宋体" w:hAnsi="宋体"/>
          <w:color w:val="auto"/>
          <w:sz w:val="24"/>
          <w:szCs w:val="24"/>
          <w:highlight w:val="none"/>
        </w:rPr>
        <w:t>项的工期要求，在投标须知前附表第</w:t>
      </w:r>
      <w:r>
        <w:rPr>
          <w:rFonts w:ascii="宋体" w:hAnsi="宋体"/>
          <w:color w:val="auto"/>
          <w:sz w:val="24"/>
          <w:szCs w:val="24"/>
          <w:highlight w:val="none"/>
        </w:rPr>
        <w:t>3</w:t>
      </w:r>
      <w:r>
        <w:rPr>
          <w:rFonts w:hint="eastAsia" w:ascii="宋体" w:hAnsi="宋体"/>
          <w:color w:val="auto"/>
          <w:sz w:val="24"/>
          <w:szCs w:val="24"/>
          <w:highlight w:val="none"/>
        </w:rPr>
        <w:t>项的建设地点，完成投标须知前附表第</w:t>
      </w:r>
      <w:r>
        <w:rPr>
          <w:rFonts w:ascii="宋体" w:hAnsi="宋体"/>
          <w:color w:val="auto"/>
          <w:sz w:val="24"/>
          <w:szCs w:val="24"/>
          <w:highlight w:val="none"/>
        </w:rPr>
        <w:t>7</w:t>
      </w:r>
      <w:r>
        <w:rPr>
          <w:rFonts w:hint="eastAsia" w:ascii="宋体" w:hAnsi="宋体"/>
          <w:color w:val="auto"/>
          <w:sz w:val="24"/>
          <w:szCs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13.4</w:t>
      </w:r>
      <w:r>
        <w:rPr>
          <w:rFonts w:hint="eastAsia" w:ascii="宋体" w:hAnsi="宋体"/>
          <w:color w:val="auto"/>
          <w:sz w:val="24"/>
          <w:szCs w:val="24"/>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13.5</w:t>
      </w:r>
      <w:r>
        <w:rPr>
          <w:rFonts w:hint="eastAsia" w:ascii="宋体" w:hAnsi="宋体"/>
          <w:color w:val="auto"/>
          <w:sz w:val="24"/>
          <w:szCs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13.5.1</w:t>
      </w:r>
      <w:r>
        <w:rPr>
          <w:rFonts w:hint="eastAsia" w:ascii="宋体" w:hAnsi="宋体"/>
          <w:color w:val="auto"/>
          <w:sz w:val="24"/>
          <w:szCs w:val="24"/>
          <w:highlight w:val="none"/>
        </w:rPr>
        <w:t>中标的投标文件工程量清单中已有相同项目的适用综合单价，则沿用；</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13.5.2</w:t>
      </w:r>
      <w:r>
        <w:rPr>
          <w:rFonts w:hint="eastAsia" w:ascii="宋体" w:hAnsi="宋体"/>
          <w:color w:val="auto"/>
          <w:sz w:val="24"/>
          <w:szCs w:val="24"/>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13.5.3 </w:t>
      </w:r>
      <w:r>
        <w:rPr>
          <w:rFonts w:hint="eastAsia" w:ascii="宋体" w:hAnsi="宋体"/>
          <w:color w:val="auto"/>
          <w:sz w:val="24"/>
          <w:szCs w:val="24"/>
          <w:highlight w:val="none"/>
        </w:rPr>
        <w:t>中标的投标文件工程量清单中没有相同项目或类似项目的，如可套取相关定额，则以相关定额为基数下浮计算单价</w:t>
      </w:r>
      <w:r>
        <w:rPr>
          <w:rFonts w:ascii="宋体" w:hAnsi="宋体"/>
          <w:color w:val="auto"/>
          <w:sz w:val="24"/>
          <w:szCs w:val="24"/>
          <w:highlight w:val="none"/>
        </w:rPr>
        <w:t>,</w:t>
      </w:r>
      <w:r>
        <w:rPr>
          <w:rFonts w:hint="eastAsia" w:ascii="宋体" w:hAnsi="宋体"/>
          <w:color w:val="auto"/>
          <w:sz w:val="24"/>
          <w:szCs w:val="24"/>
          <w:highlight w:val="none"/>
        </w:rPr>
        <w:t>下浮率为中标价相对于最高投标限价的下浮率（下浮率</w:t>
      </w:r>
      <w:r>
        <w:rPr>
          <w:rFonts w:ascii="宋体" w:hAnsi="宋体"/>
          <w:color w:val="auto"/>
          <w:sz w:val="24"/>
          <w:szCs w:val="24"/>
          <w:highlight w:val="none"/>
        </w:rPr>
        <w:t>=(</w:t>
      </w:r>
      <w:r>
        <w:rPr>
          <w:rFonts w:hint="eastAsia" w:ascii="宋体" w:hAnsi="宋体"/>
          <w:color w:val="auto"/>
          <w:sz w:val="24"/>
          <w:szCs w:val="24"/>
          <w:highlight w:val="none"/>
        </w:rPr>
        <w:t>最高投标限价</w:t>
      </w:r>
      <w:r>
        <w:rPr>
          <w:rFonts w:ascii="宋体" w:hAnsi="宋体"/>
          <w:color w:val="auto"/>
          <w:sz w:val="24"/>
          <w:szCs w:val="24"/>
          <w:highlight w:val="none"/>
        </w:rPr>
        <w:t>-</w:t>
      </w:r>
      <w:r>
        <w:rPr>
          <w:rFonts w:hint="eastAsia" w:ascii="宋体" w:hAnsi="宋体"/>
          <w:color w:val="auto"/>
          <w:sz w:val="24"/>
          <w:szCs w:val="24"/>
          <w:highlight w:val="none"/>
        </w:rPr>
        <w:t>中标价</w:t>
      </w:r>
      <w:r>
        <w:rPr>
          <w:rFonts w:ascii="宋体" w:hAnsi="宋体"/>
          <w:color w:val="auto"/>
          <w:sz w:val="24"/>
          <w:szCs w:val="24"/>
          <w:highlight w:val="none"/>
        </w:rPr>
        <w:t xml:space="preserve">)/ </w:t>
      </w:r>
      <w:r>
        <w:rPr>
          <w:rFonts w:hint="eastAsia" w:ascii="宋体" w:hAnsi="宋体"/>
          <w:color w:val="auto"/>
          <w:sz w:val="24"/>
          <w:szCs w:val="24"/>
          <w:highlight w:val="none"/>
        </w:rPr>
        <w:t>最高投标限价）。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13.5.4 </w:t>
      </w:r>
      <w:r>
        <w:rPr>
          <w:rFonts w:hint="eastAsia" w:ascii="宋体" w:hAnsi="宋体"/>
          <w:color w:val="auto"/>
          <w:sz w:val="24"/>
          <w:szCs w:val="24"/>
          <w:highlight w:val="none"/>
        </w:rPr>
        <w:t>如相关定额没有相应子目的，其计价方式由招标人在本招标文件第三章中另行规定。未规定的，中标后双方协商约定。</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13.6</w:t>
      </w:r>
      <w:r>
        <w:rPr>
          <w:rFonts w:hint="eastAsia" w:ascii="宋体" w:hAnsi="宋体"/>
          <w:color w:val="auto"/>
          <w:sz w:val="24"/>
          <w:szCs w:val="24"/>
          <w:highlight w:val="none"/>
        </w:rPr>
        <w:t>暂列金额、暂估价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13.6.1</w:t>
      </w:r>
      <w:r>
        <w:rPr>
          <w:rFonts w:hint="eastAsia" w:ascii="宋体" w:hAnsi="宋体"/>
          <w:color w:val="auto"/>
          <w:sz w:val="24"/>
          <w:szCs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暂估价是指招标人在工程量清单中提供的用于支付必然发生但暂时不能确定价格的材料的单价以及专业工程的金额。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13.6.2</w:t>
      </w:r>
      <w:r>
        <w:rPr>
          <w:rFonts w:hint="eastAsia" w:ascii="宋体" w:hAnsi="宋体"/>
          <w:color w:val="auto"/>
          <w:sz w:val="24"/>
          <w:szCs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13.6.3</w:t>
      </w:r>
      <w:r>
        <w:rPr>
          <w:rFonts w:hint="eastAsia" w:ascii="宋体" w:hAnsi="宋体"/>
          <w:color w:val="auto"/>
          <w:sz w:val="24"/>
          <w:szCs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13.6.4</w:t>
      </w:r>
      <w:r>
        <w:rPr>
          <w:rFonts w:hint="eastAsia" w:ascii="宋体" w:hAnsi="宋体"/>
          <w:color w:val="auto"/>
          <w:sz w:val="24"/>
          <w:szCs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4"/>
          <w:szCs w:val="24"/>
          <w:highlight w:val="none"/>
        </w:rPr>
        <w:t>13.5</w:t>
      </w:r>
      <w:r>
        <w:rPr>
          <w:rFonts w:hint="eastAsia" w:ascii="宋体" w:hAnsi="宋体"/>
          <w:color w:val="auto"/>
          <w:sz w:val="24"/>
          <w:szCs w:val="24"/>
          <w:highlight w:val="none"/>
        </w:rPr>
        <w:t>款规定确定。</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13.6.5</w:t>
      </w:r>
      <w:r>
        <w:rPr>
          <w:rFonts w:hint="eastAsia" w:ascii="宋体" w:hAnsi="宋体"/>
          <w:color w:val="auto"/>
          <w:sz w:val="24"/>
          <w:szCs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13.6.6 </w:t>
      </w:r>
      <w:r>
        <w:rPr>
          <w:rFonts w:hint="eastAsia" w:ascii="宋体" w:hAnsi="宋体"/>
          <w:color w:val="auto"/>
          <w:sz w:val="24"/>
          <w:szCs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13.7</w:t>
      </w:r>
      <w:r>
        <w:rPr>
          <w:rFonts w:hint="eastAsia" w:ascii="宋体" w:hAnsi="宋体"/>
          <w:color w:val="auto"/>
          <w:sz w:val="24"/>
          <w:szCs w:val="24"/>
          <w:highlight w:val="none"/>
        </w:rPr>
        <w:t>投标人可先到工地踏勘以充分了解工地位置、情况、道路、储存空间、装卸限制及任何其他足以影响承包价的情况，任何因忽视或误解工地情况而导致的索赔或工期延长申请将不被批准。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13.8</w:t>
      </w:r>
      <w:r>
        <w:rPr>
          <w:rFonts w:hint="eastAsia" w:ascii="宋体" w:hAnsi="宋体"/>
          <w:color w:val="auto"/>
          <w:sz w:val="24"/>
          <w:szCs w:val="24"/>
          <w:highlight w:val="none"/>
        </w:rPr>
        <w:t>属于承包人自行采购的主要材料、设备，招标人应当在招标文件中提出材料、设备的技术标准或者质量要求，或者提出不少于</w:t>
      </w:r>
      <w:r>
        <w:rPr>
          <w:rFonts w:ascii="宋体" w:hAnsi="宋体"/>
          <w:color w:val="auto"/>
          <w:sz w:val="24"/>
          <w:szCs w:val="24"/>
          <w:highlight w:val="none"/>
        </w:rPr>
        <w:t>3</w:t>
      </w:r>
      <w:r>
        <w:rPr>
          <w:rFonts w:hint="eastAsia" w:ascii="宋体" w:hAnsi="宋体"/>
          <w:color w:val="auto"/>
          <w:sz w:val="24"/>
          <w:szCs w:val="24"/>
          <w:highlight w:val="none"/>
        </w:rPr>
        <w:t>个同等档次品牌或分包商供投标人报价时选择</w:t>
      </w:r>
      <w:r>
        <w:rPr>
          <w:rFonts w:ascii="宋体" w:hAnsi="宋体"/>
          <w:color w:val="auto"/>
          <w:sz w:val="24"/>
          <w:szCs w:val="24"/>
          <w:highlight w:val="none"/>
        </w:rPr>
        <w:t>,</w:t>
      </w:r>
      <w:r>
        <w:rPr>
          <w:rFonts w:hint="eastAsia" w:ascii="宋体" w:hAnsi="宋体"/>
          <w:color w:val="auto"/>
          <w:sz w:val="24"/>
          <w:szCs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13.9</w:t>
      </w:r>
      <w:r>
        <w:rPr>
          <w:rFonts w:hint="eastAsia" w:ascii="宋体" w:hAnsi="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14</w:t>
      </w:r>
      <w:r>
        <w:rPr>
          <w:rFonts w:hint="eastAsia" w:ascii="宋体" w:hAnsi="宋体"/>
          <w:b/>
          <w:bCs/>
          <w:color w:val="auto"/>
          <w:sz w:val="24"/>
          <w:szCs w:val="24"/>
          <w:highlight w:val="none"/>
        </w:rPr>
        <w:t>．投标货币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14.1 </w:t>
      </w:r>
      <w:r>
        <w:rPr>
          <w:rFonts w:hint="eastAsia" w:ascii="宋体" w:hAnsi="宋体"/>
          <w:color w:val="auto"/>
          <w:sz w:val="24"/>
          <w:szCs w:val="24"/>
          <w:highlight w:val="none"/>
        </w:rPr>
        <w:t>本工程投标报价采用的币种为人民币。</w:t>
      </w:r>
    </w:p>
    <w:p>
      <w:pPr>
        <w:spacing w:line="360" w:lineRule="auto"/>
        <w:ind w:firstLine="482" w:firstLineChars="200"/>
        <w:rPr>
          <w:rFonts w:ascii="宋体" w:hAnsi="宋体"/>
          <w:color w:val="auto"/>
          <w:sz w:val="24"/>
          <w:szCs w:val="24"/>
          <w:highlight w:val="none"/>
        </w:rPr>
      </w:pPr>
      <w:r>
        <w:rPr>
          <w:rFonts w:ascii="宋体" w:hAnsi="宋体"/>
          <w:b/>
          <w:bCs/>
          <w:color w:val="auto"/>
          <w:sz w:val="24"/>
          <w:szCs w:val="24"/>
          <w:highlight w:val="none"/>
        </w:rPr>
        <w:t>15</w:t>
      </w:r>
      <w:r>
        <w:rPr>
          <w:rFonts w:hint="eastAsia" w:ascii="宋体" w:hAnsi="宋体"/>
          <w:b/>
          <w:bCs/>
          <w:color w:val="auto"/>
          <w:sz w:val="24"/>
          <w:szCs w:val="24"/>
          <w:highlight w:val="none"/>
        </w:rPr>
        <w:t>．投标有效期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15.1 </w:t>
      </w:r>
      <w:r>
        <w:rPr>
          <w:rFonts w:hint="eastAsia" w:ascii="宋体" w:hAnsi="宋体"/>
          <w:color w:val="auto"/>
          <w:sz w:val="24"/>
          <w:szCs w:val="24"/>
          <w:highlight w:val="none"/>
        </w:rPr>
        <w:t>投标有效期见投标须知前附表第</w:t>
      </w:r>
      <w:r>
        <w:rPr>
          <w:rFonts w:ascii="宋体" w:hAnsi="宋体"/>
          <w:color w:val="auto"/>
          <w:sz w:val="24"/>
          <w:szCs w:val="24"/>
          <w:highlight w:val="none"/>
        </w:rPr>
        <w:t>13</w:t>
      </w:r>
      <w:r>
        <w:rPr>
          <w:rFonts w:hint="eastAsia" w:ascii="宋体" w:hAnsi="宋体"/>
          <w:color w:val="auto"/>
          <w:sz w:val="24"/>
          <w:szCs w:val="24"/>
          <w:highlight w:val="none"/>
        </w:rPr>
        <w:t>项所规定的期限，在此期限内，凡符合本招标文件要求的投标文件均保持有效。</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15.2 </w:t>
      </w:r>
      <w:r>
        <w:rPr>
          <w:rFonts w:hint="eastAsia" w:ascii="宋体" w:hAnsi="宋体"/>
          <w:color w:val="auto"/>
          <w:sz w:val="24"/>
          <w:szCs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auto"/>
          <w:sz w:val="24"/>
          <w:szCs w:val="24"/>
          <w:highlight w:val="none"/>
        </w:rPr>
        <w:t>16</w:t>
      </w:r>
      <w:r>
        <w:rPr>
          <w:rFonts w:hint="eastAsia" w:ascii="宋体" w:hAnsi="宋体"/>
          <w:color w:val="auto"/>
          <w:sz w:val="24"/>
          <w:szCs w:val="24"/>
          <w:highlight w:val="none"/>
        </w:rPr>
        <w:t>条关于投标保证金的退还与不予退还的规定仍然适用。</w:t>
      </w:r>
    </w:p>
    <w:p>
      <w:pPr>
        <w:pStyle w:val="5"/>
        <w:spacing w:after="0"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16．投标保证金</w:t>
      </w: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16.1投标人应按投标须知前附表第14项所述金额和时间递交投标保证金。招标人应当允许投标人自主选择现金、银行保函、保证保险、专业工程担保公司担保等方式缴纳投标保证金。</w:t>
      </w: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16.1.1采用现金或者支票形式提交的，投标保证金须从投标人的银行基本账户转出。</w:t>
      </w: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16.1.2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16.1.3采用电子形式的保函、担保或保证保险提交投标保证金的，应在招标文件中明确电子递交途径。</w:t>
      </w: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16.3投标保证金应依据法律法规的相关规定退还。</w:t>
      </w: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16.4如有下列情况之一的，招标人可以不予退还投标保证金（是否退还投标保证金由招标人在招标文件中规定）：</w:t>
      </w: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16.4.1因投标人原因造成投标文件未解密的；</w:t>
      </w: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16.4.2投标人在投标有效期内撤销投标文件；</w:t>
      </w: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16.4.3中标人未能在规定期限内按要求提交履约担保；</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16.4.4中标人未能在规定期限内签署合同协议。</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16.5投标人如存在下列情况之一的，将被拒绝在一定时期内参与招标人后续工程投标（拒绝时限需在招标文件中明确）：</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16.5.1投标人存在16.4条款所列情形且投标人提交的保函、担保或保证保险无法兑付的；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16.5.3按招标文件要求免于提供投标保证金的投标人存在16.4条款所列情形，且未按招标人要求补交投标保证金的；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16.5.3按招标文件要求免于提供投标保证金的投标人存在16.4条款所列情形的。</w:t>
      </w:r>
    </w:p>
    <w:p>
      <w:pPr>
        <w:spacing w:line="360" w:lineRule="auto"/>
        <w:ind w:firstLine="480" w:firstLineChars="200"/>
        <w:rPr>
          <w:rFonts w:ascii="宋体" w:hAnsi="宋体"/>
          <w:b/>
          <w:bCs/>
          <w:color w:val="auto"/>
          <w:sz w:val="24"/>
          <w:szCs w:val="24"/>
          <w:highlight w:val="none"/>
        </w:rPr>
      </w:pPr>
      <w:r>
        <w:rPr>
          <w:rFonts w:hint="eastAsia" w:ascii="宋体" w:hAnsi="宋体"/>
          <w:color w:val="auto"/>
          <w:sz w:val="24"/>
          <w:highlight w:val="none"/>
        </w:rPr>
        <w:t>注：16.5.3款由招标人二选一，需在招标文件中明确。</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17</w:t>
      </w:r>
      <w:r>
        <w:rPr>
          <w:rFonts w:hint="eastAsia" w:ascii="宋体" w:hAnsi="宋体"/>
          <w:b/>
          <w:bCs/>
          <w:color w:val="auto"/>
          <w:sz w:val="24"/>
          <w:szCs w:val="24"/>
          <w:highlight w:val="none"/>
        </w:rPr>
        <w:t>．投标文件的签署</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17.1</w:t>
      </w:r>
      <w:r>
        <w:rPr>
          <w:rFonts w:hint="eastAsia" w:ascii="宋体" w:hAnsi="宋体"/>
          <w:color w:val="auto"/>
          <w:sz w:val="24"/>
          <w:szCs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widowControl/>
        <w:spacing w:before="100" w:beforeAutospacing="1" w:after="100" w:afterAutospacing="1" w:line="360" w:lineRule="auto"/>
        <w:jc w:val="left"/>
        <w:outlineLvl w:val="2"/>
        <w:rPr>
          <w:rFonts w:ascii="宋体" w:hAnsi="宋体" w:cs="宋体"/>
          <w:color w:val="auto"/>
          <w:kern w:val="0"/>
          <w:sz w:val="24"/>
          <w:szCs w:val="24"/>
          <w:highlight w:val="none"/>
        </w:rPr>
      </w:pPr>
      <w:bookmarkStart w:id="26" w:name="_Toc58838574"/>
      <w:bookmarkStart w:id="27" w:name="_Toc112397812"/>
      <w:r>
        <w:rPr>
          <w:rFonts w:hint="eastAsia" w:ascii="宋体" w:hAnsi="宋体" w:cs="宋体"/>
          <w:color w:val="auto"/>
          <w:kern w:val="0"/>
          <w:sz w:val="24"/>
          <w:szCs w:val="24"/>
          <w:highlight w:val="none"/>
        </w:rPr>
        <w:t>（四）投标文件的提交</w:t>
      </w:r>
      <w:bookmarkEnd w:id="26"/>
      <w:bookmarkEnd w:id="27"/>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18</w:t>
      </w:r>
      <w:r>
        <w:rPr>
          <w:rFonts w:hint="eastAsia" w:ascii="宋体" w:hAnsi="宋体"/>
          <w:b/>
          <w:bCs/>
          <w:color w:val="auto"/>
          <w:sz w:val="24"/>
          <w:szCs w:val="24"/>
          <w:highlight w:val="none"/>
        </w:rPr>
        <w:t>．</w:t>
      </w:r>
      <w:r>
        <w:rPr>
          <w:rFonts w:hint="eastAsia" w:ascii="宋体" w:hAnsi="宋体"/>
          <w:b/>
          <w:color w:val="auto"/>
          <w:sz w:val="24"/>
          <w:szCs w:val="24"/>
          <w:highlight w:val="none"/>
        </w:rPr>
        <w:t>投标文件的密封和标记</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rPr>
        <w:t>8</w:t>
      </w:r>
      <w:r>
        <w:rPr>
          <w:rFonts w:ascii="宋体" w:hAnsi="宋体"/>
          <w:bCs/>
          <w:color w:val="auto"/>
          <w:sz w:val="24"/>
          <w:szCs w:val="24"/>
          <w:highlight w:val="none"/>
        </w:rPr>
        <w:t>.1</w:t>
      </w:r>
      <w:r>
        <w:rPr>
          <w:rFonts w:hint="eastAsia" w:ascii="宋体" w:hAnsi="宋体"/>
          <w:bCs/>
          <w:color w:val="auto"/>
          <w:sz w:val="24"/>
          <w:szCs w:val="24"/>
          <w:highlight w:val="none"/>
        </w:rPr>
        <w:t>递交的电子投标文件（不含备用光盘）必须进行加密。按照交易平台关于</w:t>
      </w:r>
      <w:r>
        <w:rPr>
          <w:rFonts w:hint="eastAsia" w:ascii="宋体" w:hAnsi="宋体"/>
          <w:color w:val="auto"/>
          <w:sz w:val="24"/>
          <w:szCs w:val="24"/>
          <w:highlight w:val="none"/>
        </w:rPr>
        <w:t>全流程电子化项目的相关指南进行操作。详见：</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rPr>
        <w:t>8</w:t>
      </w:r>
      <w:r>
        <w:rPr>
          <w:rFonts w:ascii="宋体" w:hAnsi="宋体"/>
          <w:bCs/>
          <w:color w:val="auto"/>
          <w:sz w:val="24"/>
          <w:szCs w:val="24"/>
          <w:highlight w:val="none"/>
        </w:rPr>
        <w:t xml:space="preserve">.2 </w:t>
      </w:r>
      <w:r>
        <w:rPr>
          <w:rFonts w:hint="eastAsia" w:ascii="宋体" w:hAnsi="宋体"/>
          <w:bCs/>
          <w:color w:val="auto"/>
          <w:sz w:val="24"/>
          <w:szCs w:val="24"/>
          <w:highlight w:val="none"/>
        </w:rPr>
        <w:t>未按要求加密的投标文件，</w:t>
      </w:r>
      <w:r>
        <w:rPr>
          <w:rFonts w:ascii="宋体" w:hAnsi="宋体"/>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bCs/>
          <w:color w:val="auto"/>
          <w:sz w:val="24"/>
          <w:szCs w:val="24"/>
          <w:highlight w:val="none"/>
        </w:rPr>
        <w:t>将予以拒收。</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19</w:t>
      </w:r>
      <w:r>
        <w:rPr>
          <w:rFonts w:hint="eastAsia" w:ascii="宋体" w:hAnsi="宋体"/>
          <w:b/>
          <w:bCs/>
          <w:color w:val="auto"/>
          <w:sz w:val="24"/>
          <w:szCs w:val="24"/>
          <w:highlight w:val="none"/>
        </w:rPr>
        <w:t>．投标文件的递交和接收</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rPr>
        <w:t>9</w:t>
      </w:r>
      <w:r>
        <w:rPr>
          <w:rFonts w:ascii="宋体" w:hAnsi="宋体"/>
          <w:bCs/>
          <w:color w:val="auto"/>
          <w:sz w:val="24"/>
          <w:szCs w:val="24"/>
          <w:highlight w:val="none"/>
        </w:rPr>
        <w:t>.</w:t>
      </w:r>
      <w:r>
        <w:rPr>
          <w:rFonts w:hint="eastAsia" w:ascii="宋体" w:hAnsi="宋体"/>
          <w:bCs/>
          <w:color w:val="auto"/>
          <w:sz w:val="24"/>
          <w:szCs w:val="24"/>
          <w:highlight w:val="none"/>
        </w:rPr>
        <w:t>1投标人通过</w:t>
      </w:r>
      <w:r>
        <w:rPr>
          <w:rFonts w:ascii="宋体" w:hAnsi="宋体"/>
          <w:color w:val="auto"/>
          <w:sz w:val="24"/>
          <w:szCs w:val="24"/>
          <w:highlight w:val="none"/>
          <w:u w:val="single"/>
        </w:rPr>
        <w:t xml:space="preserve">        </w:t>
      </w:r>
      <w:r>
        <w:rPr>
          <w:rFonts w:hint="eastAsia" w:ascii="宋体" w:hAnsi="宋体"/>
          <w:color w:val="auto"/>
          <w:sz w:val="24"/>
          <w:szCs w:val="24"/>
          <w:highlight w:val="none"/>
        </w:rPr>
        <w:t>交易平台递交电子投标文件。</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rPr>
        <w:t>9</w:t>
      </w:r>
      <w:r>
        <w:rPr>
          <w:rFonts w:ascii="宋体" w:hAnsi="宋体"/>
          <w:bCs/>
          <w:color w:val="auto"/>
          <w:sz w:val="24"/>
          <w:szCs w:val="24"/>
          <w:highlight w:val="none"/>
        </w:rPr>
        <w:t>.</w:t>
      </w:r>
      <w:r>
        <w:rPr>
          <w:rFonts w:hint="eastAsia" w:ascii="宋体" w:hAnsi="宋体"/>
          <w:bCs/>
          <w:color w:val="auto"/>
          <w:sz w:val="24"/>
          <w:szCs w:val="24"/>
          <w:highlight w:val="none"/>
        </w:rPr>
        <w:t>2投标人完成电子</w:t>
      </w:r>
      <w:r>
        <w:rPr>
          <w:rFonts w:hint="eastAsia" w:ascii="宋体" w:hAnsi="宋体"/>
          <w:color w:val="auto"/>
          <w:sz w:val="24"/>
          <w:szCs w:val="24"/>
          <w:highlight w:val="none"/>
        </w:rPr>
        <w:t>投标文件</w:t>
      </w:r>
      <w:r>
        <w:rPr>
          <w:rFonts w:hint="eastAsia" w:ascii="宋体" w:hAnsi="宋体"/>
          <w:bCs/>
          <w:color w:val="auto"/>
          <w:sz w:val="24"/>
          <w:szCs w:val="24"/>
          <w:highlight w:val="none"/>
        </w:rPr>
        <w:t>上传后，</w:t>
      </w:r>
      <w:r>
        <w:rPr>
          <w:rFonts w:ascii="宋体" w:hAnsi="宋体"/>
          <w:color w:val="auto"/>
          <w:sz w:val="24"/>
          <w:szCs w:val="24"/>
          <w:highlight w:val="none"/>
          <w:u w:val="single"/>
        </w:rPr>
        <w:t xml:space="preserve">        </w:t>
      </w:r>
      <w:r>
        <w:rPr>
          <w:rFonts w:hint="eastAsia" w:ascii="宋体" w:hAnsi="宋体"/>
          <w:color w:val="auto"/>
          <w:sz w:val="24"/>
          <w:szCs w:val="24"/>
          <w:highlight w:val="none"/>
        </w:rPr>
        <w:t>交易平台即时向投标人发出递交回执通知。递交时间以递交回执通知载明的传输完成时间为准。</w:t>
      </w:r>
    </w:p>
    <w:p>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rPr>
        <w:t>9</w:t>
      </w:r>
      <w:r>
        <w:rPr>
          <w:rFonts w:ascii="宋体" w:hAnsi="宋体"/>
          <w:bCs/>
          <w:color w:val="auto"/>
          <w:sz w:val="24"/>
          <w:szCs w:val="24"/>
          <w:highlight w:val="none"/>
        </w:rPr>
        <w:t>.</w:t>
      </w:r>
      <w:r>
        <w:rPr>
          <w:rFonts w:hint="eastAsia" w:ascii="宋体" w:hAnsi="宋体"/>
          <w:bCs/>
          <w:color w:val="auto"/>
          <w:sz w:val="24"/>
          <w:szCs w:val="24"/>
          <w:highlight w:val="none"/>
        </w:rPr>
        <w:t>3逾期送达的电子投标文件，</w:t>
      </w:r>
      <w:r>
        <w:rPr>
          <w:rFonts w:ascii="宋体" w:hAnsi="宋体"/>
          <w:color w:val="auto"/>
          <w:sz w:val="24"/>
          <w:szCs w:val="24"/>
          <w:highlight w:val="none"/>
          <w:u w:val="single"/>
        </w:rPr>
        <w:t xml:space="preserve">        </w:t>
      </w:r>
      <w:r>
        <w:rPr>
          <w:rFonts w:hint="eastAsia" w:ascii="宋体" w:hAnsi="宋体"/>
          <w:color w:val="auto"/>
          <w:sz w:val="24"/>
          <w:szCs w:val="24"/>
          <w:highlight w:val="none"/>
        </w:rPr>
        <w:t>交易平台将予以拒收。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19.</w:t>
      </w:r>
      <w:r>
        <w:rPr>
          <w:rFonts w:hint="eastAsia" w:ascii="宋体" w:hAnsi="宋体"/>
          <w:color w:val="auto"/>
          <w:sz w:val="24"/>
          <w:szCs w:val="24"/>
          <w:highlight w:val="none"/>
        </w:rPr>
        <w:t>4</w:t>
      </w:r>
      <w:r>
        <w:rPr>
          <w:rFonts w:ascii="宋体" w:hAnsi="宋体"/>
          <w:color w:val="auto"/>
          <w:sz w:val="24"/>
          <w:szCs w:val="24"/>
          <w:highlight w:val="none"/>
        </w:rPr>
        <w:t xml:space="preserve"> </w:t>
      </w:r>
      <w:r>
        <w:rPr>
          <w:rFonts w:hint="eastAsia" w:ascii="宋体" w:hAnsi="宋体"/>
          <w:color w:val="auto"/>
          <w:sz w:val="24"/>
          <w:szCs w:val="24"/>
          <w:highlight w:val="none"/>
        </w:rPr>
        <w:t>投标截止前，招标人拒绝接收符合条件的投标文件，投标人可向招标投标监督机构投诉。</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19.</w:t>
      </w:r>
      <w:r>
        <w:rPr>
          <w:rFonts w:hint="eastAsia" w:ascii="宋体" w:hAnsi="宋体"/>
          <w:color w:val="auto"/>
          <w:sz w:val="24"/>
          <w:szCs w:val="24"/>
          <w:highlight w:val="none"/>
        </w:rPr>
        <w:t>5如技术标和经济标先后分别开启，</w:t>
      </w:r>
      <w:r>
        <w:rPr>
          <w:rFonts w:ascii="宋体" w:hAnsi="宋体"/>
          <w:color w:val="auto"/>
          <w:sz w:val="24"/>
          <w:szCs w:val="24"/>
          <w:highlight w:val="none"/>
          <w:u w:val="single"/>
        </w:rPr>
        <w:t xml:space="preserve">        </w:t>
      </w:r>
      <w:r>
        <w:rPr>
          <w:rFonts w:hint="eastAsia" w:ascii="宋体" w:hAnsi="宋体"/>
          <w:color w:val="auto"/>
          <w:sz w:val="24"/>
          <w:szCs w:val="24"/>
          <w:highlight w:val="none"/>
        </w:rPr>
        <w:t>交易平台将按招标文件规定的时间分别开启技术标和经济标。</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20</w:t>
      </w:r>
      <w:r>
        <w:rPr>
          <w:rFonts w:hint="eastAsia" w:ascii="宋体" w:hAnsi="宋体"/>
          <w:b/>
          <w:bCs/>
          <w:color w:val="auto"/>
          <w:sz w:val="24"/>
          <w:szCs w:val="24"/>
          <w:highlight w:val="none"/>
        </w:rPr>
        <w:t>．投标文件提交的截止时间</w:t>
      </w:r>
    </w:p>
    <w:p>
      <w:pPr>
        <w:spacing w:line="360" w:lineRule="auto"/>
        <w:ind w:firstLine="480" w:firstLineChars="200"/>
        <w:rPr>
          <w:rFonts w:ascii="宋体" w:hAnsi="宋体"/>
          <w:b/>
          <w:bCs/>
          <w:color w:val="auto"/>
          <w:sz w:val="24"/>
          <w:szCs w:val="24"/>
          <w:highlight w:val="none"/>
        </w:rPr>
      </w:pPr>
      <w:r>
        <w:rPr>
          <w:rFonts w:ascii="宋体" w:hAnsi="宋体"/>
          <w:color w:val="auto"/>
          <w:sz w:val="24"/>
          <w:szCs w:val="24"/>
          <w:highlight w:val="none"/>
        </w:rPr>
        <w:t>20.1</w:t>
      </w:r>
      <w:r>
        <w:rPr>
          <w:rFonts w:hint="eastAsia" w:ascii="宋体" w:hAnsi="宋体"/>
          <w:color w:val="auto"/>
          <w:sz w:val="24"/>
          <w:szCs w:val="24"/>
          <w:highlight w:val="none"/>
        </w:rPr>
        <w:t>投标人应在投标须知前附表第17项所述的时间前提交投标文件。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20.2</w:t>
      </w:r>
      <w:r>
        <w:rPr>
          <w:rFonts w:hint="eastAsia" w:ascii="宋体" w:hAnsi="宋体"/>
          <w:color w:val="auto"/>
          <w:sz w:val="24"/>
          <w:szCs w:val="24"/>
          <w:highlight w:val="none"/>
        </w:rPr>
        <w:t>招标人可按本须知第</w:t>
      </w:r>
      <w:r>
        <w:rPr>
          <w:rFonts w:ascii="宋体" w:hAnsi="宋体"/>
          <w:color w:val="auto"/>
          <w:sz w:val="24"/>
          <w:szCs w:val="24"/>
          <w:highlight w:val="none"/>
        </w:rPr>
        <w:t>9</w:t>
      </w:r>
      <w:r>
        <w:rPr>
          <w:rFonts w:hint="eastAsia" w:ascii="宋体" w:hAnsi="宋体"/>
          <w:color w:val="auto"/>
          <w:sz w:val="24"/>
          <w:szCs w:val="24"/>
          <w:highlight w:val="none"/>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20.3 </w:t>
      </w:r>
      <w:r>
        <w:rPr>
          <w:rFonts w:hint="eastAsia" w:ascii="宋体" w:hAnsi="宋体"/>
          <w:color w:val="auto"/>
          <w:sz w:val="24"/>
          <w:szCs w:val="24"/>
          <w:highlight w:val="none"/>
        </w:rPr>
        <w:t>到投标截止时间止，招标人收到的投标文件少于3家的，招标人将重新组织招标（当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21</w:t>
      </w:r>
      <w:r>
        <w:rPr>
          <w:rFonts w:hint="eastAsia" w:ascii="宋体" w:hAnsi="宋体"/>
          <w:b/>
          <w:bCs/>
          <w:color w:val="auto"/>
          <w:sz w:val="24"/>
          <w:szCs w:val="24"/>
          <w:highlight w:val="none"/>
        </w:rPr>
        <w:t>．迟交的投标文件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21.1 </w:t>
      </w:r>
      <w:r>
        <w:rPr>
          <w:rFonts w:hint="eastAsia" w:ascii="宋体" w:hAnsi="宋体"/>
          <w:color w:val="auto"/>
          <w:sz w:val="24"/>
          <w:szCs w:val="24"/>
          <w:highlight w:val="none"/>
        </w:rPr>
        <w:t>本须知前附表第</w:t>
      </w:r>
      <w:r>
        <w:rPr>
          <w:rFonts w:ascii="宋体" w:hAnsi="宋体"/>
          <w:color w:val="auto"/>
          <w:sz w:val="24"/>
          <w:szCs w:val="24"/>
          <w:highlight w:val="none"/>
        </w:rPr>
        <w:t>1</w:t>
      </w:r>
      <w:r>
        <w:rPr>
          <w:rFonts w:hint="eastAsia" w:ascii="宋体" w:hAnsi="宋体"/>
          <w:color w:val="auto"/>
          <w:sz w:val="24"/>
          <w:szCs w:val="24"/>
          <w:highlight w:val="none"/>
        </w:rPr>
        <w:t>7项规定的投标截止时间</w:t>
      </w:r>
      <w:r>
        <w:rPr>
          <w:rFonts w:hint="eastAsia" w:ascii="宋体" w:hAnsi="宋体"/>
          <w:bCs/>
          <w:color w:val="auto"/>
          <w:sz w:val="24"/>
          <w:szCs w:val="24"/>
          <w:highlight w:val="none"/>
        </w:rPr>
        <w:t>后送达的电子投标文件，</w:t>
      </w:r>
      <w:r>
        <w:rPr>
          <w:rFonts w:ascii="宋体" w:hAnsi="宋体"/>
          <w:color w:val="auto"/>
          <w:sz w:val="24"/>
          <w:szCs w:val="24"/>
          <w:highlight w:val="none"/>
          <w:u w:val="single"/>
        </w:rPr>
        <w:t xml:space="preserve">       </w:t>
      </w:r>
      <w:r>
        <w:rPr>
          <w:rFonts w:hint="eastAsia" w:ascii="宋体" w:hAnsi="宋体"/>
          <w:color w:val="auto"/>
          <w:sz w:val="24"/>
          <w:szCs w:val="24"/>
          <w:highlight w:val="none"/>
        </w:rPr>
        <w:t>交易平台将予以拒收。</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22</w:t>
      </w:r>
      <w:r>
        <w:rPr>
          <w:rFonts w:hint="eastAsia" w:ascii="宋体" w:hAnsi="宋体"/>
          <w:b/>
          <w:bCs/>
          <w:color w:val="auto"/>
          <w:sz w:val="24"/>
          <w:szCs w:val="24"/>
          <w:highlight w:val="none"/>
        </w:rPr>
        <w:t>．投标文件的修改与撤回</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22.1</w:t>
      </w:r>
      <w:r>
        <w:rPr>
          <w:rFonts w:hint="eastAsia" w:ascii="宋体" w:hAnsi="宋体"/>
          <w:color w:val="auto"/>
          <w:sz w:val="24"/>
          <w:szCs w:val="24"/>
          <w:highlight w:val="none"/>
        </w:rPr>
        <w:t>在规定的投标截止时间前，投标人可以修改或撤回已递交的投标文件，但应以书面形式通知招标人。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22.2投标人修改或撤回已递交</w:t>
      </w:r>
      <w:r>
        <w:rPr>
          <w:rFonts w:hint="eastAsia" w:ascii="宋体" w:hAnsi="宋体"/>
          <w:color w:val="auto"/>
          <w:sz w:val="24"/>
          <w:szCs w:val="24"/>
          <w:highlight w:val="none"/>
        </w:rPr>
        <w:t>的</w:t>
      </w:r>
      <w:r>
        <w:rPr>
          <w:rFonts w:ascii="宋体" w:hAnsi="宋体"/>
          <w:color w:val="auto"/>
          <w:sz w:val="24"/>
          <w:szCs w:val="24"/>
          <w:highlight w:val="none"/>
        </w:rPr>
        <w:t>投标文件</w:t>
      </w:r>
      <w:r>
        <w:rPr>
          <w:rFonts w:hint="eastAsia" w:ascii="宋体" w:hAnsi="宋体"/>
          <w:color w:val="auto"/>
          <w:sz w:val="24"/>
          <w:szCs w:val="24"/>
          <w:highlight w:val="none"/>
        </w:rPr>
        <w:t>，需在交易平台发出修改或撤回</w:t>
      </w:r>
      <w:r>
        <w:rPr>
          <w:rFonts w:ascii="宋体" w:hAnsi="宋体"/>
          <w:color w:val="auto"/>
          <w:sz w:val="24"/>
          <w:szCs w:val="24"/>
          <w:highlight w:val="none"/>
        </w:rPr>
        <w:t>通知，</w:t>
      </w:r>
      <w:r>
        <w:rPr>
          <w:rFonts w:hint="eastAsia" w:ascii="宋体" w:hAnsi="宋体"/>
          <w:color w:val="auto"/>
          <w:sz w:val="24"/>
          <w:szCs w:val="24"/>
          <w:highlight w:val="none"/>
        </w:rPr>
        <w:t>并按</w:t>
      </w:r>
      <w:r>
        <w:rPr>
          <w:rFonts w:ascii="宋体" w:hAnsi="宋体"/>
          <w:color w:val="auto"/>
          <w:sz w:val="24"/>
          <w:szCs w:val="24"/>
          <w:highlight w:val="none"/>
        </w:rPr>
        <w:t>要求加盖电子印章。</w:t>
      </w:r>
      <w:r>
        <w:rPr>
          <w:rFonts w:ascii="宋体" w:hAnsi="宋体"/>
          <w:bCs/>
          <w:iCs/>
          <w:color w:val="auto"/>
          <w:sz w:val="24"/>
          <w:szCs w:val="24"/>
          <w:highlight w:val="none"/>
        </w:rPr>
        <w:t>电子招标投标交易平台收到通知后，</w:t>
      </w:r>
      <w:r>
        <w:rPr>
          <w:rFonts w:ascii="宋体" w:hAnsi="宋体"/>
          <w:color w:val="auto"/>
          <w:sz w:val="24"/>
          <w:szCs w:val="24"/>
          <w:highlight w:val="none"/>
        </w:rPr>
        <w:t>即时向投标人发出确认回执通知。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22.3修改后再次递交的，按19点的规定执行。</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w:t>
      </w:r>
      <w:r>
        <w:rPr>
          <w:rFonts w:hint="eastAsia" w:ascii="宋体" w:hAnsi="宋体"/>
          <w:color w:val="auto"/>
          <w:sz w:val="24"/>
          <w:szCs w:val="24"/>
          <w:highlight w:val="none"/>
        </w:rPr>
        <w:t>4</w:t>
      </w:r>
      <w:r>
        <w:rPr>
          <w:rFonts w:ascii="宋体" w:hAnsi="宋体"/>
          <w:color w:val="auto"/>
          <w:sz w:val="24"/>
          <w:szCs w:val="24"/>
          <w:highlight w:val="none"/>
        </w:rPr>
        <w:t xml:space="preserve"> </w:t>
      </w:r>
      <w:r>
        <w:rPr>
          <w:rFonts w:hint="eastAsia" w:ascii="宋体" w:hAnsi="宋体"/>
          <w:color w:val="auto"/>
          <w:sz w:val="24"/>
          <w:szCs w:val="24"/>
          <w:highlight w:val="none"/>
        </w:rPr>
        <w:t>在投标截止时间之后，投标人不得补充、修改和更换投标文件。</w:t>
      </w:r>
    </w:p>
    <w:p>
      <w:pPr>
        <w:widowControl/>
        <w:spacing w:before="100" w:beforeAutospacing="1" w:after="100" w:afterAutospacing="1" w:line="360" w:lineRule="auto"/>
        <w:jc w:val="left"/>
        <w:outlineLvl w:val="2"/>
        <w:rPr>
          <w:rFonts w:ascii="宋体" w:hAnsi="宋体" w:cs="宋体"/>
          <w:color w:val="auto"/>
          <w:kern w:val="0"/>
          <w:sz w:val="24"/>
          <w:szCs w:val="24"/>
          <w:highlight w:val="none"/>
        </w:rPr>
      </w:pPr>
      <w:bookmarkStart w:id="28" w:name="_Toc58838575"/>
      <w:bookmarkStart w:id="29" w:name="_Toc112397813"/>
      <w:r>
        <w:rPr>
          <w:rFonts w:hint="eastAsia" w:ascii="宋体" w:hAnsi="宋体" w:cs="宋体"/>
          <w:color w:val="auto"/>
          <w:kern w:val="0"/>
          <w:sz w:val="24"/>
          <w:szCs w:val="24"/>
          <w:highlight w:val="none"/>
        </w:rPr>
        <w:t>（五）开标、评标、定标及合同签定</w:t>
      </w:r>
      <w:bookmarkEnd w:id="28"/>
      <w:bookmarkEnd w:id="29"/>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23</w:t>
      </w:r>
      <w:r>
        <w:rPr>
          <w:rFonts w:hint="eastAsia" w:ascii="宋体" w:hAnsi="宋体"/>
          <w:b/>
          <w:bCs/>
          <w:color w:val="auto"/>
          <w:sz w:val="24"/>
          <w:szCs w:val="24"/>
          <w:highlight w:val="none"/>
        </w:rPr>
        <w:t>、开标。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详见第二章开标、评标及定标办法</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24</w:t>
      </w:r>
      <w:r>
        <w:rPr>
          <w:rFonts w:hint="eastAsia" w:ascii="宋体" w:hAnsi="宋体"/>
          <w:b/>
          <w:bCs/>
          <w:color w:val="auto"/>
          <w:sz w:val="24"/>
          <w:szCs w:val="24"/>
          <w:highlight w:val="none"/>
        </w:rPr>
        <w:t>．评标过程的保密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24.1 </w:t>
      </w:r>
      <w:r>
        <w:rPr>
          <w:rFonts w:hint="eastAsia" w:ascii="宋体" w:hAnsi="宋体"/>
          <w:color w:val="auto"/>
          <w:sz w:val="24"/>
          <w:szCs w:val="24"/>
          <w:highlight w:val="none"/>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24.2 </w:t>
      </w:r>
      <w:r>
        <w:rPr>
          <w:rFonts w:hint="eastAsia" w:ascii="宋体" w:hAnsi="宋体"/>
          <w:color w:val="auto"/>
          <w:sz w:val="24"/>
          <w:szCs w:val="24"/>
          <w:highlight w:val="none"/>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25</w:t>
      </w:r>
      <w:r>
        <w:rPr>
          <w:rFonts w:hint="eastAsia" w:ascii="宋体" w:hAnsi="宋体"/>
          <w:b/>
          <w:bCs/>
          <w:color w:val="auto"/>
          <w:sz w:val="24"/>
          <w:szCs w:val="24"/>
          <w:highlight w:val="none"/>
        </w:rPr>
        <w:t>．投标文件的澄清，计算错误的修正</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详见招标文件第二章开标、评标及定标办法</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26</w:t>
      </w:r>
      <w:r>
        <w:rPr>
          <w:rFonts w:hint="eastAsia" w:ascii="宋体" w:hAnsi="宋体"/>
          <w:b/>
          <w:bCs/>
          <w:color w:val="auto"/>
          <w:sz w:val="24"/>
          <w:szCs w:val="24"/>
          <w:highlight w:val="none"/>
        </w:rPr>
        <w:t>．投标文件的评审、比较和否决</w:t>
      </w:r>
    </w:p>
    <w:p>
      <w:pPr>
        <w:spacing w:line="360" w:lineRule="auto"/>
        <w:ind w:firstLine="480" w:firstLineChars="200"/>
        <w:rPr>
          <w:rFonts w:ascii="宋体" w:hAnsi="宋体"/>
          <w:bCs/>
          <w:color w:val="auto"/>
          <w:sz w:val="24"/>
          <w:szCs w:val="24"/>
          <w:highlight w:val="none"/>
        </w:rPr>
      </w:pPr>
      <w:r>
        <w:rPr>
          <w:rFonts w:hint="eastAsia" w:ascii="宋体" w:hAnsi="宋体"/>
          <w:color w:val="auto"/>
          <w:sz w:val="24"/>
          <w:szCs w:val="24"/>
          <w:highlight w:val="none"/>
        </w:rPr>
        <w:t>详见招标文件第二章开标、评标及定标办法。</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27</w:t>
      </w:r>
      <w:r>
        <w:rPr>
          <w:rFonts w:hint="eastAsia" w:ascii="宋体" w:hAnsi="宋体"/>
          <w:b/>
          <w:bCs/>
          <w:color w:val="auto"/>
          <w:sz w:val="24"/>
          <w:szCs w:val="24"/>
          <w:highlight w:val="none"/>
        </w:rPr>
        <w:t>．中标通知书</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27.1</w:t>
      </w:r>
      <w:r>
        <w:rPr>
          <w:rFonts w:hint="eastAsia" w:ascii="宋体" w:hAnsi="宋体"/>
          <w:color w:val="auto"/>
          <w:sz w:val="24"/>
          <w:szCs w:val="24"/>
          <w:highlight w:val="none"/>
        </w:rPr>
        <w:t>招标人将在</w:t>
      </w:r>
      <w:r>
        <w:rPr>
          <w:rFonts w:ascii="宋体" w:hAnsi="宋体"/>
          <w:color w:val="auto"/>
          <w:sz w:val="24"/>
          <w:szCs w:val="24"/>
          <w:highlight w:val="none"/>
          <w:u w:val="single"/>
        </w:rPr>
        <w:t xml:space="preserve">        </w:t>
      </w:r>
      <w:r>
        <w:rPr>
          <w:rFonts w:hint="eastAsia" w:ascii="宋体" w:hAnsi="宋体"/>
          <w:color w:val="auto"/>
          <w:sz w:val="24"/>
          <w:szCs w:val="24"/>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27.2</w:t>
      </w:r>
      <w:r>
        <w:rPr>
          <w:rFonts w:hint="eastAsia" w:ascii="宋体" w:hAnsi="宋体"/>
          <w:color w:val="auto"/>
          <w:sz w:val="24"/>
          <w:szCs w:val="24"/>
          <w:highlight w:val="none"/>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27.3</w:t>
      </w:r>
      <w:r>
        <w:rPr>
          <w:rFonts w:hint="eastAsia" w:ascii="宋体" w:hAnsi="宋体"/>
          <w:color w:val="auto"/>
          <w:sz w:val="24"/>
          <w:szCs w:val="24"/>
          <w:highlight w:val="none"/>
        </w:rPr>
        <w:t>中标人必须在收到中标通知书后</w:t>
      </w:r>
      <w:r>
        <w:rPr>
          <w:rFonts w:ascii="宋体" w:hAnsi="宋体"/>
          <w:color w:val="auto"/>
          <w:sz w:val="24"/>
          <w:szCs w:val="24"/>
          <w:highlight w:val="none"/>
        </w:rPr>
        <w:t>24</w:t>
      </w:r>
      <w:r>
        <w:rPr>
          <w:rFonts w:hint="eastAsia" w:ascii="宋体" w:hAnsi="宋体"/>
          <w:color w:val="auto"/>
          <w:sz w:val="24"/>
          <w:szCs w:val="24"/>
          <w:highlight w:val="none"/>
        </w:rPr>
        <w:t>小时之内以书面形式回复招标人，确认收到。</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27.4在产生中标候选人后，招标人将中标候选人的投标文件商务部分文件的所有内容（包括人员、业绩、奖项等资料）在</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交易平台和广东省招标投标监管网公开。</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28</w:t>
      </w:r>
      <w:r>
        <w:rPr>
          <w:rFonts w:hint="eastAsia" w:ascii="宋体" w:hAnsi="宋体"/>
          <w:b/>
          <w:bCs/>
          <w:color w:val="auto"/>
          <w:sz w:val="24"/>
          <w:szCs w:val="24"/>
          <w:highlight w:val="none"/>
        </w:rPr>
        <w:t>．合同协议书的签订</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28.1 </w:t>
      </w:r>
      <w:r>
        <w:rPr>
          <w:rFonts w:hint="eastAsia" w:ascii="宋体" w:hAnsi="宋体"/>
          <w:color w:val="auto"/>
          <w:sz w:val="24"/>
          <w:szCs w:val="24"/>
          <w:highlight w:val="none"/>
        </w:rPr>
        <w:t>招标人与中标人将于中标通知书发出之日起</w:t>
      </w:r>
      <w:r>
        <w:rPr>
          <w:rFonts w:ascii="宋体" w:hAnsi="宋体"/>
          <w:color w:val="auto"/>
          <w:sz w:val="24"/>
          <w:szCs w:val="24"/>
          <w:highlight w:val="none"/>
        </w:rPr>
        <w:t>30</w:t>
      </w:r>
      <w:r>
        <w:rPr>
          <w:rFonts w:hint="eastAsia" w:ascii="宋体" w:hAnsi="宋体"/>
          <w:color w:val="auto"/>
          <w:sz w:val="24"/>
          <w:szCs w:val="24"/>
          <w:highlight w:val="none"/>
        </w:rPr>
        <w:t>日内，按照招标文件和中标人的投标文件商定和签订合同，招标人和中标人不得再行订立背离合同实质性内容的其他协议。</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28.2</w:t>
      </w:r>
      <w:r>
        <w:rPr>
          <w:rFonts w:hint="eastAsia" w:ascii="宋体" w:hAnsi="宋体"/>
          <w:color w:val="auto"/>
          <w:sz w:val="24"/>
          <w:szCs w:val="24"/>
          <w:highlight w:val="none"/>
        </w:rPr>
        <w:t>中标通知书发出之日起</w:t>
      </w:r>
      <w:r>
        <w:rPr>
          <w:rFonts w:ascii="宋体" w:hAnsi="宋体"/>
          <w:color w:val="auto"/>
          <w:sz w:val="24"/>
          <w:szCs w:val="24"/>
          <w:highlight w:val="none"/>
        </w:rPr>
        <w:t>30</w:t>
      </w:r>
      <w:r>
        <w:rPr>
          <w:rFonts w:hint="eastAsia" w:ascii="宋体" w:hAnsi="宋体"/>
          <w:color w:val="auto"/>
          <w:sz w:val="24"/>
          <w:szCs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28.3</w:t>
      </w:r>
      <w:r>
        <w:rPr>
          <w:rFonts w:hint="eastAsia" w:ascii="宋体" w:hAnsi="宋体"/>
          <w:color w:val="auto"/>
          <w:sz w:val="24"/>
          <w:szCs w:val="24"/>
          <w:highlight w:val="none"/>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28.4</w:t>
      </w:r>
      <w:r>
        <w:rPr>
          <w:rFonts w:hint="eastAsia" w:ascii="宋体" w:hAnsi="宋体"/>
          <w:color w:val="auto"/>
          <w:sz w:val="24"/>
          <w:szCs w:val="24"/>
          <w:highlight w:val="none"/>
        </w:rPr>
        <w:t>招标人支付工程款时，中标人应按规定开具发票。</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29</w:t>
      </w:r>
      <w:r>
        <w:rPr>
          <w:rFonts w:hint="eastAsia" w:ascii="宋体" w:hAnsi="宋体"/>
          <w:b/>
          <w:bCs/>
          <w:color w:val="auto"/>
          <w:sz w:val="24"/>
          <w:szCs w:val="24"/>
          <w:highlight w:val="none"/>
        </w:rPr>
        <w:t>．履约担保</w:t>
      </w:r>
    </w:p>
    <w:p>
      <w:pPr>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29.1</w:t>
      </w:r>
      <w:r>
        <w:rPr>
          <w:rFonts w:hint="eastAsia" w:ascii="宋体" w:hAnsi="宋体"/>
          <w:color w:val="auto"/>
          <w:sz w:val="24"/>
          <w:szCs w:val="24"/>
          <w:highlight w:val="none"/>
        </w:rPr>
        <w:t>在收到中标通知书后的15日内，中标人应按本须知前附表第20项的规定向招标人提交履约担保。</w:t>
      </w:r>
    </w:p>
    <w:p>
      <w:pPr>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29.2</w:t>
      </w:r>
      <w:r>
        <w:rPr>
          <w:rFonts w:hint="eastAsia" w:ascii="宋体" w:hAnsi="宋体"/>
          <w:color w:val="auto"/>
          <w:sz w:val="24"/>
          <w:szCs w:val="24"/>
          <w:highlight w:val="none"/>
        </w:rPr>
        <w:t>中标通知书发出之日起</w:t>
      </w:r>
      <w:r>
        <w:rPr>
          <w:rFonts w:ascii="宋体" w:hAnsi="宋体"/>
          <w:color w:val="auto"/>
          <w:sz w:val="24"/>
          <w:szCs w:val="24"/>
          <w:highlight w:val="none"/>
        </w:rPr>
        <w:t>15</w:t>
      </w:r>
      <w:r>
        <w:rPr>
          <w:rFonts w:hint="eastAsia" w:ascii="宋体" w:hAnsi="宋体"/>
          <w:color w:val="auto"/>
          <w:sz w:val="24"/>
          <w:szCs w:val="24"/>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30</w:t>
      </w:r>
      <w:r>
        <w:rPr>
          <w:rFonts w:hint="eastAsia" w:ascii="宋体" w:hAnsi="宋体"/>
          <w:b/>
          <w:bCs/>
          <w:color w:val="auto"/>
          <w:sz w:val="24"/>
          <w:szCs w:val="24"/>
          <w:highlight w:val="none"/>
        </w:rPr>
        <w:t>．合同生效</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30.1</w:t>
      </w:r>
      <w:r>
        <w:rPr>
          <w:rFonts w:hint="eastAsia" w:ascii="宋体" w:hAnsi="宋体"/>
          <w:color w:val="auto"/>
          <w:sz w:val="24"/>
          <w:szCs w:val="24"/>
          <w:highlight w:val="none"/>
        </w:rPr>
        <w:t>在合同双方全权代表在合同协议书上签字，并分别加盖双方单位的公章后，合同正式生效。</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31</w:t>
      </w:r>
      <w:r>
        <w:rPr>
          <w:rFonts w:hint="eastAsia" w:ascii="宋体" w:hAnsi="宋体"/>
          <w:b/>
          <w:bCs/>
          <w:color w:val="auto"/>
          <w:sz w:val="24"/>
          <w:szCs w:val="24"/>
          <w:highlight w:val="none"/>
        </w:rPr>
        <w:t>．其它费用</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32</w:t>
      </w:r>
      <w:r>
        <w:rPr>
          <w:rFonts w:hint="eastAsia" w:ascii="宋体" w:hAnsi="宋体"/>
          <w:b/>
          <w:bCs/>
          <w:color w:val="auto"/>
          <w:sz w:val="24"/>
          <w:szCs w:val="24"/>
          <w:highlight w:val="none"/>
        </w:rPr>
        <w:t>．腐败与欺诈行为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在招标和合同实施期间，招标人要求投标人和承包人遵守最高的道德标准。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w:t>
      </w: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对本条款的规定，特定义如下词汇：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）、“腐败行为”是指在招标或合同执行期间，通过提供、给予、接受或索要任何有价值的东西，从而影响招标人有关人员工作的行为；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w:t>
      </w: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如果投标人被认定在本招标的竞争中有腐败或欺诈行为，则会被取消投标资格。</w:t>
      </w:r>
    </w:p>
    <w:p>
      <w:pPr>
        <w:spacing w:line="360" w:lineRule="auto"/>
        <w:ind w:firstLine="480" w:firstLineChars="200"/>
        <w:rPr>
          <w:rFonts w:ascii="宋体" w:hAnsi="宋体"/>
          <w:color w:val="auto"/>
          <w:sz w:val="24"/>
          <w:szCs w:val="20"/>
          <w:highlight w:val="none"/>
        </w:rPr>
      </w:pPr>
      <w:r>
        <w:rPr>
          <w:rFonts w:hint="eastAsia" w:ascii="宋体" w:hAnsi="宋体"/>
          <w:color w:val="auto"/>
          <w:sz w:val="24"/>
          <w:szCs w:val="24"/>
          <w:highlight w:val="none"/>
        </w:rPr>
        <w:t>32.3投标人如在本项目中存在串通投标、弄虚作假骗取中标、行贿情形的，中标无效，行政监督部门将对其违法行为进行政处罚。该投标人将被招标人列入黑名单并限制其参与招标人后续项目的投标。</w:t>
      </w:r>
      <w:bookmarkEnd w:id="20"/>
      <w:bookmarkEnd w:id="21"/>
    </w:p>
    <w:bookmarkEnd w:id="16"/>
    <w:bookmarkEnd w:id="17"/>
    <w:p>
      <w:pPr>
        <w:rPr>
          <w:rFonts w:hint="eastAsia"/>
          <w:color w:val="auto"/>
          <w:sz w:val="28"/>
          <w:szCs w:val="28"/>
          <w:highlight w:val="none"/>
        </w:rPr>
      </w:pPr>
      <w:bookmarkStart w:id="30" w:name="_Toc21525499"/>
      <w:bookmarkStart w:id="31" w:name="_Toc2272555"/>
      <w:r>
        <w:rPr>
          <w:rFonts w:hint="eastAsia"/>
          <w:color w:val="auto"/>
          <w:sz w:val="28"/>
          <w:szCs w:val="28"/>
          <w:highlight w:val="none"/>
        </w:rPr>
        <w:br w:type="page"/>
      </w:r>
    </w:p>
    <w:p>
      <w:pPr>
        <w:pStyle w:val="3"/>
        <w:rPr>
          <w:color w:val="auto"/>
          <w:highlight w:val="none"/>
        </w:rPr>
      </w:pPr>
      <w:bookmarkStart w:id="32" w:name="_Toc127886590"/>
      <w:r>
        <w:rPr>
          <w:rFonts w:hint="eastAsia"/>
          <w:color w:val="auto"/>
          <w:highlight w:val="none"/>
        </w:rPr>
        <w:t>第二章 开标、评标及定标办法</w:t>
      </w:r>
      <w:bookmarkEnd w:id="32"/>
    </w:p>
    <w:p>
      <w:pPr>
        <w:pStyle w:val="6"/>
        <w:rPr>
          <w:color w:val="auto"/>
          <w:highlight w:val="none"/>
        </w:rPr>
      </w:pPr>
      <w:r>
        <w:rPr>
          <w:rFonts w:hint="eastAsia"/>
          <w:color w:val="auto"/>
          <w:sz w:val="28"/>
          <w:szCs w:val="28"/>
          <w:highlight w:val="none"/>
        </w:rPr>
        <w:t>一、</w:t>
      </w:r>
      <w:r>
        <w:rPr>
          <w:rFonts w:hint="eastAsia"/>
          <w:color w:val="auto"/>
          <w:highlight w:val="none"/>
        </w:rPr>
        <w:t>开标、评标及定标办法修改表</w:t>
      </w:r>
      <w:bookmarkEnd w:id="30"/>
      <w:bookmarkEnd w:id="31"/>
    </w:p>
    <w:p>
      <w:pPr>
        <w:pStyle w:val="5"/>
        <w:spacing w:after="0" w:line="360" w:lineRule="auto"/>
        <w:rPr>
          <w:rFonts w:ascii="宋体" w:hAnsi="宋体"/>
          <w:b/>
          <w:color w:val="auto"/>
          <w:sz w:val="21"/>
          <w:szCs w:val="21"/>
          <w:highlight w:val="none"/>
        </w:rPr>
      </w:pPr>
      <w:r>
        <w:rPr>
          <w:rFonts w:hint="eastAsia" w:ascii="宋体" w:hAnsi="宋体"/>
          <w:b/>
          <w:color w:val="auto"/>
          <w:sz w:val="21"/>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w:t>
      </w:r>
      <w:r>
        <w:rPr>
          <w:rFonts w:ascii="宋体" w:hAnsi="宋体"/>
          <w:color w:val="auto"/>
          <w:sz w:val="21"/>
          <w:szCs w:val="21"/>
          <w:highlight w:val="none"/>
        </w:rPr>
        <w:fldChar w:fldCharType="begin"/>
      </w:r>
      <w:r>
        <w:rPr>
          <w:rFonts w:ascii="宋体" w:hAnsi="宋体"/>
          <w:color w:val="auto"/>
          <w:sz w:val="21"/>
          <w:szCs w:val="21"/>
          <w:highlight w:val="none"/>
        </w:rPr>
        <w:instrText xml:space="preserve">HYPERLINK "http://www.gzcc.gov.cn/）下载GZZB2018-3"</w:instrText>
      </w:r>
      <w:r>
        <w:rPr>
          <w:rFonts w:ascii="宋体" w:hAnsi="宋体"/>
          <w:color w:val="auto"/>
          <w:sz w:val="21"/>
          <w:szCs w:val="21"/>
          <w:highlight w:val="none"/>
        </w:rPr>
        <w:fldChar w:fldCharType="separate"/>
      </w:r>
      <w:r>
        <w:rPr>
          <w:rFonts w:hint="eastAsia" w:ascii="宋体" w:hAnsi="宋体"/>
          <w:b/>
          <w:color w:val="auto"/>
          <w:sz w:val="21"/>
          <w:szCs w:val="21"/>
          <w:highlight w:val="none"/>
          <w:u w:val="single"/>
        </w:rPr>
        <w:t>网址：</w:t>
      </w:r>
      <w:r>
        <w:rPr>
          <w:rFonts w:ascii="宋体" w:hAnsi="宋体"/>
          <w:b/>
          <w:color w:val="auto"/>
          <w:sz w:val="21"/>
          <w:szCs w:val="21"/>
          <w:highlight w:val="none"/>
          <w:u w:val="single"/>
        </w:rPr>
        <w:t>http://zfcj.gz.gov.cn/</w:t>
      </w:r>
      <w:r>
        <w:rPr>
          <w:rStyle w:val="57"/>
          <w:rFonts w:hint="eastAsia" w:ascii="宋体" w:hAnsi="宋体"/>
          <w:b/>
          <w:color w:val="auto"/>
          <w:sz w:val="21"/>
          <w:szCs w:val="21"/>
          <w:highlight w:val="none"/>
        </w:rPr>
        <w:t>）下载GZZB2018-3</w:t>
      </w:r>
      <w:r>
        <w:rPr>
          <w:rFonts w:ascii="宋体" w:hAnsi="宋体"/>
          <w:color w:val="auto"/>
          <w:sz w:val="21"/>
          <w:szCs w:val="21"/>
          <w:highlight w:val="none"/>
        </w:rPr>
        <w:fldChar w:fldCharType="end"/>
      </w:r>
      <w:r>
        <w:rPr>
          <w:rFonts w:hint="eastAsia" w:ascii="宋体" w:hAnsi="宋体"/>
          <w:b/>
          <w:color w:val="auto"/>
          <w:sz w:val="21"/>
          <w:szCs w:val="21"/>
          <w:highlight w:val="none"/>
        </w:rPr>
        <w:t>范本查阅。</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条款号：36.3                        修改类型：删除</w:t>
      </w:r>
    </w:p>
    <w:p>
      <w:pPr>
        <w:pBdr>
          <w:bottom w:val="single" w:color="auto" w:sz="6" w:space="1"/>
        </w:pBd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pStyle w:val="7"/>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条款号：36.4                        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36.4若递交投标文件的投标人不足3家，则重新组织招标。（当N个标段同时招标且不允许兼中时，若有效投标人不足N+2家，则重新组织招标）</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36.4若递交投标文件的投标人不足3家，则重新组织招标。</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条款号：36.5.1                      修改类型：修改</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36.5.1在投标截止时间后半小时内，投标人通过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360" w:lineRule="auto"/>
        <w:ind w:firstLine="527" w:firstLineChars="25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36.5.1在投标截止时间后半小时内，投标人通过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交易平台对已递交的电子投标文件进行解密。投标人完成解密后，再由招标人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进行解密。解密完成后，公布招标项目名称、投标人名称、投标保证金的递交情况、投标报价、工期及其他内容；</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条款号：38.1                        修改类型：修改</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38.1为有助于投标文件的审查、评价和比较，评标期间，经评标委员会或评标委员会专业评审组中两人以上（含两人）</w:t>
      </w:r>
      <w:r>
        <w:rPr>
          <w:rFonts w:hint="eastAsia" w:ascii="宋体" w:hAnsi="宋体" w:cs="宋体"/>
          <w:color w:val="auto"/>
          <w:szCs w:val="21"/>
          <w:highlight w:val="none"/>
          <w:u w:val="single"/>
        </w:rPr>
        <w:t>的成员</w:t>
      </w:r>
      <w:r>
        <w:rPr>
          <w:rFonts w:hint="eastAsia" w:ascii="宋体" w:hAnsi="宋体" w:cs="宋体"/>
          <w:color w:val="auto"/>
          <w:szCs w:val="21"/>
          <w:highlight w:val="none"/>
        </w:rPr>
        <w:t>以书面形式提出动议，评标委员会或评标委员会专业评审组应当书面发出澄清通知，要求投标人对投标文件含义不明确</w:t>
      </w:r>
      <w:r>
        <w:rPr>
          <w:rFonts w:hint="eastAsia" w:ascii="宋体" w:hAnsi="宋体" w:cs="宋体"/>
          <w:color w:val="auto"/>
          <w:szCs w:val="21"/>
          <w:highlight w:val="none"/>
          <w:u w:val="single"/>
        </w:rPr>
        <w:t>、对同类问题表述不一致、有明显文字和计算错误的内容以及细微偏差</w:t>
      </w:r>
      <w:r>
        <w:rPr>
          <w:rFonts w:hint="eastAsia" w:ascii="宋体" w:hAnsi="宋体" w:cs="宋体"/>
          <w:color w:val="auto"/>
          <w:szCs w:val="21"/>
          <w:highlight w:val="none"/>
        </w:rPr>
        <w:t>的内容作出澄清。</w:t>
      </w:r>
    </w:p>
    <w:p>
      <w:pPr>
        <w:spacing w:line="360" w:lineRule="auto"/>
        <w:ind w:firstLine="472" w:firstLineChars="224"/>
        <w:rPr>
          <w:rFonts w:hint="eastAsia" w:ascii="宋体" w:hAnsi="宋体" w:cs="宋体"/>
          <w:color w:val="auto"/>
          <w:sz w:val="24"/>
          <w:szCs w:val="24"/>
          <w:highlight w:val="none"/>
        </w:rPr>
      </w:pPr>
      <w:r>
        <w:rPr>
          <w:rFonts w:hint="eastAsia" w:ascii="宋体" w:hAnsi="宋体" w:cs="宋体"/>
          <w:b/>
          <w:color w:val="auto"/>
          <w:szCs w:val="21"/>
          <w:highlight w:val="none"/>
        </w:rPr>
        <w:t>条款号：39.3                        修改类型：修改</w:t>
      </w:r>
    </w:p>
    <w:p>
      <w:pPr>
        <w:spacing w:line="360" w:lineRule="auto"/>
        <w:ind w:firstLine="422" w:firstLineChars="200"/>
        <w:rPr>
          <w:rFonts w:hint="eastAsia" w:ascii="宋体" w:hAnsi="宋体" w:cs="宋体"/>
          <w:color w:val="auto"/>
          <w:szCs w:val="21"/>
          <w:highlight w:val="none"/>
        </w:rPr>
      </w:pPr>
      <w:r>
        <w:rPr>
          <w:rFonts w:hint="eastAsia"/>
          <w:b/>
          <w:bCs/>
          <w:color w:val="auto"/>
          <w:szCs w:val="21"/>
          <w:highlight w:val="none"/>
        </w:rPr>
        <w:t>原文：</w:t>
      </w:r>
      <w:r>
        <w:rPr>
          <w:rFonts w:hint="eastAsia" w:ascii="宋体" w:hAnsi="宋体" w:cs="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39.3</w:t>
      </w:r>
      <w:r>
        <w:rPr>
          <w:rFonts w:hint="eastAsia" w:ascii="宋体" w:hAnsi="宋体"/>
          <w:bCs/>
          <w:color w:val="auto"/>
          <w:szCs w:val="21"/>
          <w:highlight w:val="none"/>
        </w:rPr>
        <w:t>排名第一的中标候选人放弃中标、</w:t>
      </w:r>
      <w:r>
        <w:rPr>
          <w:rFonts w:hint="eastAsia" w:ascii="宋体" w:hAnsi="宋体" w:cs="宋体"/>
          <w:color w:val="auto"/>
          <w:szCs w:val="21"/>
          <w:highlight w:val="none"/>
        </w:rPr>
        <w:t>或因不可抗力提出不能履行合同，或者招标文件规定应当提交履约担保而在规定的期限内未能提交的，</w:t>
      </w:r>
      <w:r>
        <w:rPr>
          <w:rFonts w:hint="eastAsia" w:ascii="宋体" w:hAnsi="宋体"/>
          <w:bCs/>
          <w:color w:val="auto"/>
          <w:szCs w:val="21"/>
          <w:highlight w:val="none"/>
          <w:u w:val="single"/>
        </w:rPr>
        <w:t>或经核查发现委派的项目负责人已在其他在建项目中任本职的，或者被查实存在影响中标结果的违法行为等情形，不符合中标条件的，</w:t>
      </w:r>
      <w:r>
        <w:rPr>
          <w:rFonts w:hint="eastAsia" w:ascii="宋体" w:hAnsi="宋体"/>
          <w:bCs/>
          <w:color w:val="auto"/>
          <w:szCs w:val="21"/>
          <w:highlight w:val="none"/>
        </w:rPr>
        <w:t>招标人可以确定排名第二的中标候选人为中标人。</w:t>
      </w:r>
    </w:p>
    <w:p>
      <w:pPr>
        <w:spacing w:line="360" w:lineRule="auto"/>
        <w:ind w:firstLine="472" w:firstLineChars="224"/>
        <w:rPr>
          <w:rFonts w:hint="eastAsia" w:ascii="宋体" w:hAnsi="宋体" w:cs="宋体"/>
          <w:color w:val="auto"/>
          <w:sz w:val="24"/>
          <w:szCs w:val="24"/>
          <w:highlight w:val="none"/>
        </w:rPr>
      </w:pPr>
      <w:r>
        <w:rPr>
          <w:rFonts w:hint="eastAsia" w:ascii="宋体" w:hAnsi="宋体" w:cs="宋体"/>
          <w:b/>
          <w:color w:val="auto"/>
          <w:szCs w:val="21"/>
          <w:highlight w:val="none"/>
        </w:rPr>
        <w:t>条款号：（二）开标评标办法程序和细则　注       　修改类型：删除</w:t>
      </w:r>
    </w:p>
    <w:p>
      <w:pPr>
        <w:spacing w:line="360" w:lineRule="auto"/>
        <w:ind w:firstLine="422" w:firstLineChars="200"/>
        <w:rPr>
          <w:rFonts w:hint="eastAsia"/>
          <w:color w:val="auto"/>
          <w:highlight w:val="none"/>
        </w:rPr>
      </w:pPr>
      <w:r>
        <w:rPr>
          <w:rFonts w:hint="eastAsia"/>
          <w:b/>
          <w:bCs/>
          <w:color w:val="auto"/>
          <w:szCs w:val="21"/>
          <w:highlight w:val="none"/>
        </w:rPr>
        <w:t>原文：</w:t>
      </w:r>
      <w:r>
        <w:rPr>
          <w:rFonts w:hint="eastAsia"/>
          <w:color w:val="auto"/>
          <w:highlight w:val="none"/>
        </w:rPr>
        <w:t>（二）开标评标办法程序和细则</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注：以下七种评标办法所述企业综合诚信评价分数即投标截止当日广州市工程招标代理行业协会网站上公布的企业综合诚信评价</w:t>
      </w:r>
      <w:r>
        <w:rPr>
          <w:rFonts w:ascii="宋体" w:hAnsi="宋体" w:cs="宋体"/>
          <w:color w:val="auto"/>
          <w:szCs w:val="21"/>
          <w:highlight w:val="none"/>
        </w:rPr>
        <w:t>60</w:t>
      </w:r>
      <w:r>
        <w:rPr>
          <w:rFonts w:hint="eastAsia" w:ascii="宋体" w:hAnsi="宋体" w:cs="宋体"/>
          <w:color w:val="auto"/>
          <w:szCs w:val="21"/>
          <w:highlight w:val="none"/>
        </w:rPr>
        <w:t>日诚信分。</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（二）开标评标办法程序和细则</w:t>
      </w:r>
    </w:p>
    <w:p>
      <w:pPr>
        <w:pBdr>
          <w:bottom w:val="single" w:color="auto" w:sz="6" w:space="1"/>
        </w:pBdr>
        <w:spacing w:line="360" w:lineRule="auto"/>
        <w:ind w:firstLine="470" w:firstLineChars="224"/>
        <w:rPr>
          <w:rFonts w:hint="eastAsia" w:ascii="宋体" w:hAnsi="宋体" w:cs="宋体"/>
          <w:strike/>
          <w:color w:val="auto"/>
          <w:szCs w:val="21"/>
          <w:highlight w:val="none"/>
        </w:rPr>
      </w:pPr>
      <w:r>
        <w:rPr>
          <w:rFonts w:hint="eastAsia" w:ascii="宋体" w:hAnsi="宋体" w:cs="宋体"/>
          <w:strike/>
          <w:color w:val="auto"/>
          <w:szCs w:val="21"/>
          <w:highlight w:val="none"/>
        </w:rPr>
        <w:t>注：以下七种评标办法所述企业综合诚信评价分数即投标截止当日广州市工程招标代理行业协会网站上公布的企业综合诚信评价</w:t>
      </w:r>
      <w:r>
        <w:rPr>
          <w:rFonts w:ascii="宋体" w:hAnsi="宋体" w:cs="宋体"/>
          <w:strike/>
          <w:color w:val="auto"/>
          <w:szCs w:val="21"/>
          <w:highlight w:val="none"/>
        </w:rPr>
        <w:t>60</w:t>
      </w:r>
      <w:r>
        <w:rPr>
          <w:rFonts w:hint="eastAsia" w:ascii="宋体" w:hAnsi="宋体" w:cs="宋体"/>
          <w:strike/>
          <w:color w:val="auto"/>
          <w:szCs w:val="21"/>
          <w:highlight w:val="none"/>
        </w:rPr>
        <w:t>日诚信分。</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可选办法一（适合综合评分法一，技术标与经济标先后分别开启）</w:t>
      </w:r>
      <w:r>
        <w:rPr>
          <w:rFonts w:hint="eastAsia" w:ascii="宋体" w:hAnsi="宋体" w:cs="宋体"/>
          <w:b/>
          <w:color w:val="auto"/>
          <w:szCs w:val="21"/>
          <w:highlight w:val="none"/>
        </w:rPr>
        <w:t xml:space="preserve"> 修改类型：删除</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可选办法二（适合综合评分法一，技术标与经济标同时开启）</w:t>
      </w:r>
      <w:r>
        <w:rPr>
          <w:rFonts w:hint="eastAsia" w:ascii="宋体" w:hAnsi="宋体" w:cs="宋体"/>
          <w:b/>
          <w:color w:val="auto"/>
          <w:szCs w:val="21"/>
          <w:highlight w:val="none"/>
        </w:rPr>
        <w:t xml:space="preserve">     修改类型：删除</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可选办法三（适合综合评分法二，技术标与经济标先后分别开启）</w:t>
      </w:r>
      <w:r>
        <w:rPr>
          <w:rFonts w:hint="eastAsia" w:ascii="宋体" w:hAnsi="宋体" w:cs="宋体"/>
          <w:b/>
          <w:color w:val="auto"/>
          <w:szCs w:val="21"/>
          <w:highlight w:val="none"/>
        </w:rPr>
        <w:t xml:space="preserve"> 修改类型：删除</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可选办法四（适合综合评分法二，技术标与经济标同时开启）</w:t>
      </w:r>
      <w:r>
        <w:rPr>
          <w:rFonts w:hint="eastAsia" w:ascii="宋体" w:hAnsi="宋体" w:cs="宋体"/>
          <w:b/>
          <w:color w:val="auto"/>
          <w:szCs w:val="21"/>
          <w:highlight w:val="none"/>
        </w:rPr>
        <w:t xml:space="preserve">     修改类型：删除</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可选办法五（适合综合评分法三，技术标与经济标先后分别开启）</w:t>
      </w:r>
      <w:r>
        <w:rPr>
          <w:rFonts w:hint="eastAsia" w:ascii="宋体" w:hAnsi="宋体" w:cs="宋体"/>
          <w:b/>
          <w:color w:val="auto"/>
          <w:szCs w:val="21"/>
          <w:highlight w:val="none"/>
        </w:rPr>
        <w:t xml:space="preserve"> 修改类型：删除</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可选办法六（适合综合评分法三，技术标与经济标同时开启）</w:t>
      </w:r>
      <w:r>
        <w:rPr>
          <w:rFonts w:hint="eastAsia" w:ascii="宋体" w:hAnsi="宋体" w:cs="宋体"/>
          <w:b/>
          <w:color w:val="auto"/>
          <w:szCs w:val="21"/>
          <w:highlight w:val="none"/>
        </w:rPr>
        <w:t xml:space="preserve">     修改类型：删除</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可选办法七（适合综合评分法四，技术标与经济标同时开启）</w:t>
      </w:r>
      <w:r>
        <w:rPr>
          <w:rFonts w:hint="eastAsia" w:ascii="宋体" w:hAnsi="宋体" w:cs="宋体"/>
          <w:b/>
          <w:color w:val="auto"/>
          <w:szCs w:val="21"/>
          <w:highlight w:val="none"/>
        </w:rPr>
        <w:t xml:space="preserve">     修改类型：修改</w:t>
      </w:r>
    </w:p>
    <w:p>
      <w:pPr>
        <w:pBdr>
          <w:bottom w:val="single" w:color="auto" w:sz="6" w:space="1"/>
        </w:pBd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详见</w:t>
      </w:r>
      <w:r>
        <w:rPr>
          <w:rFonts w:hint="eastAsia" w:ascii="宋体" w:hAnsi="宋体" w:cs="宋体"/>
          <w:color w:val="auto"/>
          <w:szCs w:val="21"/>
          <w:highlight w:val="none"/>
        </w:rPr>
        <w:t>综合评分法</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 w:val="18"/>
          <w:szCs w:val="18"/>
          <w:highlight w:val="none"/>
        </w:rPr>
        <w:t xml:space="preserve">可选办法八（适合经评审的最低投标价法，技术标与经济标同时开启）       </w:t>
      </w:r>
      <w:r>
        <w:rPr>
          <w:rFonts w:hint="eastAsia" w:ascii="宋体" w:hAnsi="宋体" w:cs="宋体"/>
          <w:b/>
          <w:color w:val="auto"/>
          <w:szCs w:val="21"/>
          <w:highlight w:val="none"/>
        </w:rPr>
        <w:t>修改类型：删除</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条款号：41.1                        修改类型：修改</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41.1开标由招标人主持；</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41.1开标由招标人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主持；</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条款号：41.2.1                      修改类型：修改</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41.2.1投标截止期前，各投标人递交投标文件（包括技术标投标文件、经济标投标文件）至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交易平台。有关投标文件提交的事项详见第一章投标须知。</w:t>
      </w:r>
    </w:p>
    <w:p>
      <w:pPr>
        <w:pBdr>
          <w:bottom w:val="single" w:color="auto" w:sz="6" w:space="1"/>
        </w:pBdr>
        <w:spacing w:line="360" w:lineRule="auto"/>
        <w:ind w:firstLine="413" w:firstLineChars="196"/>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41.2.1投标截止期前，各投标人递交投标文件</w:t>
      </w:r>
      <w:r>
        <w:rPr>
          <w:rFonts w:hint="eastAsia" w:ascii="宋体" w:hAnsi="宋体" w:cs="宋体"/>
          <w:color w:val="auto"/>
          <w:szCs w:val="21"/>
          <w:highlight w:val="none"/>
          <w:u w:val="single"/>
        </w:rPr>
        <w:t>[包括技术标投标文件（含资格审查文件）、经济标投标文件]</w:t>
      </w:r>
      <w:r>
        <w:rPr>
          <w:rFonts w:hint="eastAsia" w:ascii="宋体" w:hAnsi="宋体" w:cs="宋体"/>
          <w:color w:val="auto"/>
          <w:szCs w:val="21"/>
          <w:highlight w:val="none"/>
        </w:rPr>
        <w:t>至</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交易平台。有关投标文件提交的事项详见第一章投标须知。</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条款号：41.2.2                      修改类型：修改</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41.2.2开标前，首先由招标人随机抽取确定该工程计算评标参考价的等分点值X。</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41.2.2开标前，首先由招标人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随机抽取确定该工程计算评标参考价的等分点值X。</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条款号：42.2                        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42.2评标委员会的组成：方式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方式二：评标委员会由技术评审组和经济评审组组成。其中：资格审查及技术评审由技术评标组负责，经济评审由经济评审组负责。</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42.2评标委员会的组成：方式</w:t>
      </w:r>
      <w:r>
        <w:rPr>
          <w:rFonts w:hint="eastAsia" w:ascii="宋体" w:hAnsi="宋体" w:cs="宋体"/>
          <w:color w:val="auto"/>
          <w:szCs w:val="21"/>
          <w:highlight w:val="none"/>
          <w:u w:val="single"/>
        </w:rPr>
        <w:t>一：评标委员会为综合评标委员会，负责资格审查及评标工作。评标委员会</w:t>
      </w:r>
      <w:r>
        <w:rPr>
          <w:rFonts w:hint="eastAsia" w:ascii="宋体" w:hAnsi="宋体"/>
          <w:color w:val="auto"/>
          <w:szCs w:val="21"/>
          <w:highlight w:val="none"/>
          <w:u w:val="single"/>
        </w:rPr>
        <w:t>专家均由广东省综合评标评审专家库随机抽取，评标委员会人数为五人以上单数。</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条款号：43.6                      　修改类型：修改</w:t>
      </w:r>
    </w:p>
    <w:p>
      <w:pPr>
        <w:widowControl/>
        <w:spacing w:line="360" w:lineRule="auto"/>
        <w:ind w:firstLine="422" w:firstLineChars="200"/>
        <w:jc w:val="left"/>
        <w:rPr>
          <w:rFonts w:hint="eastAsia" w:ascii="宋体" w:hAnsi="宋体" w:cs="宋体"/>
          <w:color w:val="auto"/>
          <w:kern w:val="0"/>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43.6资格审查合格的投标人少于3名的（当N个标段同时招标且不允许兼中时，资格审查合格的投标人少于N+2名），则本项目招标失败。</w:t>
      </w:r>
    </w:p>
    <w:p>
      <w:pPr>
        <w:pBdr>
          <w:bottom w:val="single" w:color="auto" w:sz="6" w:space="1"/>
        </w:pBdr>
        <w:spacing w:line="360" w:lineRule="auto"/>
        <w:ind w:firstLine="472" w:firstLineChars="224"/>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43.6</w:t>
      </w:r>
      <w:r>
        <w:rPr>
          <w:rFonts w:hint="eastAsia" w:ascii="宋体" w:hAnsi="宋体" w:cs="宋体"/>
          <w:color w:val="auto"/>
          <w:szCs w:val="21"/>
          <w:highlight w:val="none"/>
          <w:u w:val="single"/>
        </w:rPr>
        <w:t>若满足资格审查合格条件（投标人合格条件）的投标申请人不足3名，则重新招标。</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条款号：44.1                      　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ascii="宋体" w:hAnsi="宋体" w:cs="宋体"/>
          <w:color w:val="auto"/>
          <w:szCs w:val="21"/>
          <w:highlight w:val="none"/>
        </w:rPr>
        <w:t>4</w:t>
      </w:r>
      <w:r>
        <w:rPr>
          <w:rFonts w:hint="eastAsia" w:ascii="宋体" w:hAnsi="宋体" w:cs="宋体"/>
          <w:color w:val="auto"/>
          <w:szCs w:val="21"/>
          <w:highlight w:val="none"/>
        </w:rPr>
        <w:t>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Bdr>
          <w:bottom w:val="single" w:color="auto" w:sz="6" w:space="1"/>
        </w:pBdr>
        <w:spacing w:line="360" w:lineRule="auto"/>
        <w:ind w:firstLine="413" w:firstLineChars="196"/>
        <w:rPr>
          <w:rFonts w:hint="eastAsia" w:ascii="宋体" w:hAnsi="宋体" w:eastAsia="宋体" w:cs="宋体"/>
          <w:color w:val="auto"/>
          <w:szCs w:val="21"/>
          <w:highlight w:val="none"/>
          <w:u w:val="single"/>
          <w:lang w:eastAsia="zh-CN"/>
        </w:rPr>
      </w:pPr>
      <w:r>
        <w:rPr>
          <w:rFonts w:hint="eastAsia" w:ascii="宋体" w:hAnsi="宋体" w:cs="宋体"/>
          <w:b/>
          <w:color w:val="auto"/>
          <w:szCs w:val="21"/>
          <w:highlight w:val="none"/>
        </w:rPr>
        <w:t>现文：</w:t>
      </w:r>
      <w:r>
        <w:rPr>
          <w:rFonts w:ascii="宋体" w:hAnsi="宋体" w:cs="宋体"/>
          <w:color w:val="auto"/>
          <w:szCs w:val="21"/>
          <w:highlight w:val="none"/>
        </w:rPr>
        <w:t>4</w:t>
      </w:r>
      <w:r>
        <w:rPr>
          <w:rFonts w:hint="eastAsia" w:ascii="宋体" w:hAnsi="宋体" w:cs="宋体"/>
          <w:color w:val="auto"/>
          <w:szCs w:val="21"/>
          <w:highlight w:val="none"/>
        </w:rPr>
        <w:t>4.1技术标的有效性审查：投标文件中没有任一种列于本办法附表二《技术标有效性审查表》中情形的，为有效投标文件。否则其投标文件将被否决。被否决的投标人不参与下一阶段评审，不参与评标参考价的计算。如评标委员会</w:t>
      </w:r>
      <w:r>
        <w:rPr>
          <w:rFonts w:hint="eastAsia" w:ascii="宋体" w:hAnsi="宋体" w:cs="宋体"/>
          <w:color w:val="auto"/>
          <w:szCs w:val="21"/>
          <w:highlight w:val="none"/>
          <w:u w:val="single"/>
        </w:rPr>
        <w:t>成员</w:t>
      </w:r>
      <w:r>
        <w:rPr>
          <w:rFonts w:hint="eastAsia" w:ascii="宋体" w:hAnsi="宋体" w:cs="宋体"/>
          <w:color w:val="auto"/>
          <w:szCs w:val="21"/>
          <w:highlight w:val="none"/>
        </w:rPr>
        <w:t>的评审意见不一致时，以评标委员会过半数成员的意见作为评标委员会对该情形的认定结论。</w:t>
      </w:r>
      <w:r>
        <w:rPr>
          <w:rFonts w:hint="eastAsia" w:ascii="宋体" w:hAnsi="宋体" w:cs="宋体"/>
          <w:color w:val="auto"/>
          <w:szCs w:val="21"/>
          <w:highlight w:val="none"/>
          <w:u w:val="single"/>
        </w:rPr>
        <w:t>若通过技术标有效性审查的投标人不足3名，则重新招标。评委发现投标文件中含义不明确、对同类问题表述不一致、有明显文字和计算错误的，应当要求投标人作必要的澄清、说明后再判定投标人是否通过有效性审查，不得直接否决投标</w:t>
      </w:r>
      <w:r>
        <w:rPr>
          <w:rFonts w:hint="eastAsia" w:ascii="宋体" w:hAnsi="宋体" w:cs="宋体"/>
          <w:color w:val="auto"/>
          <w:szCs w:val="21"/>
          <w:highlight w:val="none"/>
          <w:u w:val="single"/>
          <w:lang w:eastAsia="zh-CN"/>
        </w:rPr>
        <w:t>。</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条款号：45                      　　修改类型：修改</w:t>
      </w:r>
    </w:p>
    <w:p>
      <w:pPr>
        <w:pStyle w:val="5"/>
        <w:tabs>
          <w:tab w:val="left" w:pos="7380"/>
        </w:tabs>
        <w:spacing w:after="0" w:line="360" w:lineRule="auto"/>
        <w:ind w:firstLine="422" w:firstLineChars="200"/>
        <w:rPr>
          <w:rFonts w:ascii="宋体"/>
          <w:color w:val="auto"/>
          <w:sz w:val="21"/>
          <w:szCs w:val="21"/>
          <w:highlight w:val="none"/>
        </w:rPr>
      </w:pPr>
      <w:r>
        <w:rPr>
          <w:rFonts w:hint="eastAsia" w:ascii="宋体" w:hAnsi="宋体" w:cs="宋体"/>
          <w:b/>
          <w:color w:val="auto"/>
          <w:sz w:val="21"/>
          <w:szCs w:val="21"/>
          <w:highlight w:val="none"/>
        </w:rPr>
        <w:t>原文：</w:t>
      </w:r>
      <w:r>
        <w:rPr>
          <w:rFonts w:hint="eastAsia" w:ascii="宋体"/>
          <w:color w:val="auto"/>
          <w:sz w:val="21"/>
          <w:szCs w:val="21"/>
          <w:highlight w:val="none"/>
        </w:rPr>
        <w:t>45．经济标评审和得分汇总</w:t>
      </w:r>
    </w:p>
    <w:p>
      <w:pPr>
        <w:pStyle w:val="5"/>
        <w:tabs>
          <w:tab w:val="left" w:pos="7380"/>
        </w:tabs>
        <w:spacing w:after="0" w:line="360" w:lineRule="auto"/>
        <w:ind w:firstLineChars="200"/>
        <w:rPr>
          <w:rFonts w:ascii="宋体" w:hAnsi="宋体"/>
          <w:color w:val="auto"/>
          <w:sz w:val="21"/>
          <w:szCs w:val="21"/>
          <w:highlight w:val="none"/>
        </w:rPr>
      </w:pPr>
      <w:r>
        <w:rPr>
          <w:rFonts w:hint="eastAsia" w:ascii="宋体" w:hAnsi="宋体"/>
          <w:color w:val="auto"/>
          <w:sz w:val="21"/>
          <w:szCs w:val="21"/>
          <w:highlight w:val="none"/>
        </w:rPr>
        <w:t>45.1若通过技术标有效性审查的投标人中所有投标报价均大于等于最高投标限价*D%（D的取值范围为[94,100],由招标人自主确定）的（具体金额为：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元），则本项目招标失败，由招标人依法重新招标。</w:t>
      </w:r>
    </w:p>
    <w:p>
      <w:pPr>
        <w:pStyle w:val="5"/>
        <w:tabs>
          <w:tab w:val="left" w:pos="7380"/>
        </w:tabs>
        <w:spacing w:after="0" w:line="360" w:lineRule="auto"/>
        <w:ind w:firstLineChars="200"/>
        <w:rPr>
          <w:rFonts w:ascii="宋体"/>
          <w:color w:val="auto"/>
          <w:sz w:val="21"/>
          <w:szCs w:val="21"/>
          <w:highlight w:val="none"/>
        </w:rPr>
      </w:pPr>
      <w:r>
        <w:rPr>
          <w:rFonts w:hint="eastAsia" w:ascii="宋体" w:hAnsi="宋体"/>
          <w:color w:val="auto"/>
          <w:sz w:val="21"/>
          <w:szCs w:val="21"/>
          <w:highlight w:val="none"/>
        </w:rPr>
        <w:t>45.2按方法</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计算评标参考价：</w:t>
      </w:r>
    </w:p>
    <w:p>
      <w:pPr>
        <w:widowControl/>
        <w:spacing w:line="360" w:lineRule="auto"/>
        <w:ind w:firstLine="422" w:firstLineChars="200"/>
        <w:rPr>
          <w:rFonts w:ascii="宋体" w:hAnsi="宋体"/>
          <w:b/>
          <w:bCs/>
          <w:color w:val="auto"/>
          <w:kern w:val="0"/>
          <w:szCs w:val="21"/>
          <w:highlight w:val="none"/>
        </w:rPr>
      </w:pPr>
      <w:r>
        <w:rPr>
          <w:rFonts w:hint="eastAsia" w:ascii="宋体" w:hAnsi="宋体" w:cs="仿宋"/>
          <w:b/>
          <w:bCs/>
          <w:color w:val="auto"/>
          <w:kern w:val="0"/>
          <w:szCs w:val="21"/>
          <w:highlight w:val="none"/>
        </w:rPr>
        <w:t>方法一：加权平均法</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技术标或技术标加诚信得分（具体由招标人自定）前</w:t>
      </w:r>
      <w:r>
        <w:rPr>
          <w:rFonts w:ascii="宋体" w:hAnsi="宋体" w:cs="仿宋"/>
          <w:color w:val="auto"/>
          <w:szCs w:val="21"/>
          <w:highlight w:val="none"/>
        </w:rPr>
        <w:t>N</w:t>
      </w:r>
      <w:r>
        <w:rPr>
          <w:rFonts w:hint="eastAsia" w:ascii="宋体" w:hAnsi="宋体" w:cs="仿宋"/>
          <w:color w:val="auto"/>
          <w:szCs w:val="21"/>
          <w:highlight w:val="none"/>
        </w:rPr>
        <w:t>名（N≥5，具体由招标人自定）的经济报价加权平均，计算评标参考价。公式如下：</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评标参考价</w:t>
      </w:r>
      <w:r>
        <w:rPr>
          <w:rFonts w:ascii="宋体" w:hAnsi="宋体" w:cs="仿宋"/>
          <w:color w:val="auto"/>
          <w:szCs w:val="21"/>
          <w:highlight w:val="none"/>
        </w:rPr>
        <w:t>=</w:t>
      </w:r>
      <w:r>
        <w:rPr>
          <w:rFonts w:hint="eastAsia" w:ascii="宋体" w:hAnsi="宋体" w:cs="仿宋"/>
          <w:color w:val="auto"/>
          <w:szCs w:val="21"/>
          <w:highlight w:val="none"/>
        </w:rPr>
        <w:t>Σ（投标人的投标报价</w:t>
      </w:r>
      <w:r>
        <w:rPr>
          <w:rFonts w:ascii="宋体" w:hAnsi="宋体" w:cs="仿宋"/>
          <w:color w:val="auto"/>
          <w:szCs w:val="21"/>
          <w:highlight w:val="none"/>
        </w:rPr>
        <w:t>*</w:t>
      </w:r>
      <w:r>
        <w:rPr>
          <w:rFonts w:hint="eastAsia" w:ascii="宋体" w:hAnsi="宋体" w:cs="仿宋"/>
          <w:color w:val="auto"/>
          <w:szCs w:val="21"/>
          <w:highlight w:val="none"/>
        </w:rPr>
        <w:t>报价权重）。</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其中：报价权重的计算方法为：将</w:t>
      </w:r>
      <w:r>
        <w:rPr>
          <w:rFonts w:ascii="宋体" w:hAnsi="宋体" w:cs="仿宋"/>
          <w:color w:val="auto"/>
          <w:szCs w:val="21"/>
          <w:highlight w:val="none"/>
        </w:rPr>
        <w:t>N</w:t>
      </w:r>
      <w:r>
        <w:rPr>
          <w:rFonts w:hint="eastAsia" w:ascii="宋体" w:hAnsi="宋体" w:cs="仿宋"/>
          <w:color w:val="auto"/>
          <w:szCs w:val="21"/>
          <w:highlight w:val="none"/>
        </w:rPr>
        <w:t>名投标人按技术分由高至低进行排序，第一名投标人的权重为（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szCs w:val="21"/>
          <w:highlight w:val="none"/>
        </w:rPr>
        <w:drawing>
          <wp:inline distT="0" distB="0" distL="114300" distR="114300">
            <wp:extent cx="381000" cy="447675"/>
            <wp:effectExtent l="0" t="0" r="0" b="8890"/>
            <wp:docPr id="24"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38"/>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szCs w:val="21"/>
          <w:highlight w:val="none"/>
        </w:rPr>
        <w:drawing>
          <wp:inline distT="0" distB="0" distL="114300" distR="114300">
            <wp:extent cx="381000" cy="447675"/>
            <wp:effectExtent l="0" t="0" r="0" b="8890"/>
            <wp:docPr id="25"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9"/>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），第二名投标人的权重为（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position w:val="-23"/>
          <w:szCs w:val="21"/>
          <w:highlight w:val="none"/>
        </w:rPr>
        <w:drawing>
          <wp:inline distT="0" distB="0" distL="114300" distR="114300">
            <wp:extent cx="323850" cy="400050"/>
            <wp:effectExtent l="0" t="0" r="0" b="0"/>
            <wp:docPr id="26"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40"/>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position w:val="-23"/>
          <w:szCs w:val="21"/>
          <w:highlight w:val="none"/>
        </w:rPr>
        <w:drawing>
          <wp:inline distT="0" distB="0" distL="114300" distR="114300">
            <wp:extent cx="323850" cy="400050"/>
            <wp:effectExtent l="0" t="0" r="0" b="0"/>
            <wp:docPr id="27"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1"/>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），以此类推，最后一名投标人的权重为（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position w:val="-23"/>
          <w:szCs w:val="21"/>
          <w:highlight w:val="none"/>
        </w:rPr>
        <w:drawing>
          <wp:inline distT="0" distB="0" distL="114300" distR="114300">
            <wp:extent cx="323850" cy="400050"/>
            <wp:effectExtent l="0" t="0" r="0" b="0"/>
            <wp:docPr id="28"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42"/>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position w:val="-23"/>
          <w:szCs w:val="21"/>
          <w:highlight w:val="none"/>
        </w:rPr>
        <w:drawing>
          <wp:inline distT="0" distB="0" distL="114300" distR="114300">
            <wp:extent cx="323850" cy="400050"/>
            <wp:effectExtent l="0" t="0" r="0" b="0"/>
            <wp:docPr id="29"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43"/>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w:t>
      </w:r>
    </w:p>
    <w:p>
      <w:pPr>
        <w:widowControl/>
        <w:spacing w:line="360" w:lineRule="auto"/>
        <w:ind w:firstLine="422" w:firstLineChars="200"/>
        <w:rPr>
          <w:rFonts w:ascii="宋体" w:hAnsi="宋体"/>
          <w:b/>
          <w:bCs/>
          <w:color w:val="auto"/>
          <w:kern w:val="0"/>
          <w:szCs w:val="21"/>
          <w:highlight w:val="none"/>
        </w:rPr>
      </w:pPr>
      <w:r>
        <w:rPr>
          <w:rFonts w:hint="eastAsia" w:ascii="宋体" w:hAnsi="宋体" w:cs="仿宋"/>
          <w:b/>
          <w:bCs/>
          <w:color w:val="auto"/>
          <w:kern w:val="0"/>
          <w:szCs w:val="21"/>
          <w:highlight w:val="none"/>
        </w:rPr>
        <w:t>方法二：区间抽取法</w:t>
      </w:r>
    </w:p>
    <w:p>
      <w:pPr>
        <w:widowControl/>
        <w:spacing w:line="360" w:lineRule="auto"/>
        <w:ind w:firstLine="420" w:firstLineChars="200"/>
        <w:rPr>
          <w:rFonts w:ascii="宋体" w:hAnsi="宋体"/>
          <w:color w:val="auto"/>
          <w:kern w:val="0"/>
          <w:szCs w:val="21"/>
          <w:highlight w:val="none"/>
        </w:rPr>
      </w:pPr>
      <w:r>
        <w:rPr>
          <w:rFonts w:hint="eastAsia" w:ascii="宋体" w:hAnsi="宋体" w:cs="仿宋"/>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pacing w:line="360" w:lineRule="auto"/>
        <w:ind w:firstLine="420" w:firstLineChars="200"/>
        <w:rPr>
          <w:rFonts w:ascii="宋体" w:hAnsi="宋体"/>
          <w:color w:val="auto"/>
          <w:kern w:val="0"/>
          <w:szCs w:val="21"/>
          <w:highlight w:val="none"/>
          <w:vertAlign w:val="subscript"/>
        </w:rPr>
      </w:pPr>
      <w:r>
        <w:rPr>
          <w:rFonts w:hint="eastAsia" w:ascii="宋体" w:hAnsi="宋体" w:cs="仿宋"/>
          <w:color w:val="auto"/>
          <w:kern w:val="0"/>
          <w:szCs w:val="21"/>
          <w:highlight w:val="none"/>
        </w:rPr>
        <w:t>评标参考价</w:t>
      </w:r>
      <w:r>
        <w:rPr>
          <w:rFonts w:ascii="宋体" w:hAnsi="宋体" w:cs="仿宋"/>
          <w:color w:val="auto"/>
          <w:kern w:val="0"/>
          <w:szCs w:val="21"/>
          <w:highlight w:val="none"/>
        </w:rPr>
        <w:t>=</w:t>
      </w:r>
      <w:r>
        <w:rPr>
          <w:rFonts w:hint="eastAsia" w:ascii="宋体" w:hAnsi="宋体" w:cs="仿宋"/>
          <w:color w:val="auto"/>
          <w:kern w:val="0"/>
          <w:szCs w:val="21"/>
          <w:highlight w:val="none"/>
        </w:rPr>
        <w:t>（</w:t>
      </w: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高</w:t>
      </w: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低</w:t>
      </w:r>
      <w:r>
        <w:rPr>
          <w:rFonts w:hint="eastAsia" w:ascii="宋体" w:hAnsi="宋体" w:cs="仿宋"/>
          <w:color w:val="auto"/>
          <w:kern w:val="0"/>
          <w:szCs w:val="21"/>
          <w:highlight w:val="none"/>
        </w:rPr>
        <w:t>）</w:t>
      </w:r>
      <w:r>
        <w:rPr>
          <w:rFonts w:ascii="宋体" w:hAnsi="宋体" w:cs="仿宋"/>
          <w:color w:val="auto"/>
          <w:kern w:val="0"/>
          <w:szCs w:val="21"/>
          <w:highlight w:val="none"/>
        </w:rPr>
        <w:t>/100*</w:t>
      </w:r>
      <w:r>
        <w:rPr>
          <w:rFonts w:hint="eastAsia" w:ascii="宋体" w:hAnsi="宋体" w:cs="仿宋"/>
          <w:color w:val="auto"/>
          <w:kern w:val="0"/>
          <w:szCs w:val="21"/>
          <w:highlight w:val="none"/>
        </w:rPr>
        <w:t>Ｘ</w:t>
      </w: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低</w:t>
      </w:r>
    </w:p>
    <w:p>
      <w:pPr>
        <w:widowControl/>
        <w:spacing w:line="360" w:lineRule="auto"/>
        <w:ind w:firstLine="420" w:firstLineChars="200"/>
        <w:rPr>
          <w:rFonts w:ascii="宋体" w:hAnsi="宋体"/>
          <w:color w:val="auto"/>
          <w:szCs w:val="21"/>
          <w:highlight w:val="none"/>
        </w:rPr>
      </w:pPr>
      <w:r>
        <w:rPr>
          <w:rFonts w:ascii="宋体" w:hAnsi="宋体" w:cs="仿宋"/>
          <w:color w:val="auto"/>
          <w:szCs w:val="21"/>
          <w:highlight w:val="none"/>
        </w:rPr>
        <w:t>Q</w:t>
      </w:r>
      <w:r>
        <w:rPr>
          <w:rFonts w:hint="eastAsia" w:ascii="宋体" w:hAnsi="宋体" w:cs="仿宋"/>
          <w:color w:val="auto"/>
          <w:szCs w:val="21"/>
          <w:highlight w:val="none"/>
          <w:vertAlign w:val="subscript"/>
        </w:rPr>
        <w:t>低</w:t>
      </w:r>
      <w:r>
        <w:rPr>
          <w:rFonts w:hint="eastAsia" w:ascii="宋体" w:hAnsi="宋体" w:cs="仿宋"/>
          <w:color w:val="auto"/>
          <w:szCs w:val="21"/>
          <w:highlight w:val="none"/>
        </w:rPr>
        <w:t>：为达到或超过技术标及格分数线的投标人最低报价与工程成本警示价两者中的较高值；</w:t>
      </w:r>
    </w:p>
    <w:p>
      <w:pPr>
        <w:spacing w:line="360" w:lineRule="auto"/>
        <w:ind w:firstLine="420" w:firstLineChars="200"/>
        <w:rPr>
          <w:rFonts w:ascii="宋体" w:hAnsi="宋体" w:cs="仿宋"/>
          <w:color w:val="auto"/>
          <w:szCs w:val="21"/>
          <w:highlight w:val="none"/>
        </w:rPr>
      </w:pP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高</w:t>
      </w:r>
      <w:r>
        <w:rPr>
          <w:rFonts w:hint="eastAsia" w:ascii="宋体" w:hAnsi="宋体" w:cs="仿宋"/>
          <w:color w:val="auto"/>
          <w:szCs w:val="21"/>
          <w:highlight w:val="none"/>
        </w:rPr>
        <w:t>：为（最高投标限价</w:t>
      </w:r>
      <w:r>
        <w:rPr>
          <w:rFonts w:ascii="宋体" w:hAnsi="宋体" w:cs="仿宋"/>
          <w:color w:val="auto"/>
          <w:szCs w:val="21"/>
          <w:highlight w:val="none"/>
        </w:rPr>
        <w:t>*D%</w:t>
      </w:r>
      <w:r>
        <w:rPr>
          <w:rFonts w:hint="eastAsia" w:ascii="宋体" w:hAnsi="宋体" w:cs="仿宋"/>
          <w:color w:val="auto"/>
          <w:szCs w:val="21"/>
          <w:highlight w:val="none"/>
        </w:rPr>
        <w:t>）（</w:t>
      </w:r>
      <w:r>
        <w:rPr>
          <w:rFonts w:ascii="宋体" w:hAnsi="宋体" w:cs="仿宋"/>
          <w:color w:val="auto"/>
          <w:szCs w:val="21"/>
          <w:highlight w:val="none"/>
        </w:rPr>
        <w:t>D</w:t>
      </w:r>
      <w:r>
        <w:rPr>
          <w:rFonts w:hint="eastAsia" w:ascii="宋体" w:hAnsi="宋体" w:cs="仿宋"/>
          <w:color w:val="auto"/>
          <w:szCs w:val="21"/>
          <w:highlight w:val="none"/>
        </w:rPr>
        <w:t>的取值范围为</w:t>
      </w:r>
      <w:r>
        <w:rPr>
          <w:rFonts w:ascii="宋体" w:hAnsi="宋体" w:cs="仿宋"/>
          <w:color w:val="auto"/>
          <w:szCs w:val="21"/>
          <w:highlight w:val="none"/>
        </w:rPr>
        <w:t>[94,100],</w:t>
      </w:r>
      <w:r>
        <w:rPr>
          <w:rFonts w:hint="eastAsia" w:ascii="宋体" w:hAnsi="宋体" w:cs="仿宋"/>
          <w:color w:val="auto"/>
          <w:szCs w:val="21"/>
          <w:highlight w:val="none"/>
        </w:rPr>
        <w:t>由招标人自定）</w:t>
      </w:r>
    </w:p>
    <w:p>
      <w:pPr>
        <w:spacing w:line="360" w:lineRule="auto"/>
        <w:ind w:firstLine="420" w:firstLineChars="200"/>
        <w:rPr>
          <w:rFonts w:ascii="宋体" w:hAnsi="宋体"/>
          <w:color w:val="auto"/>
          <w:szCs w:val="21"/>
          <w:highlight w:val="none"/>
        </w:rPr>
      </w:pPr>
      <w:r>
        <w:rPr>
          <w:rFonts w:ascii="宋体" w:hAnsi="宋体" w:cs="仿宋"/>
          <w:color w:val="auto"/>
          <w:szCs w:val="21"/>
          <w:highlight w:val="none"/>
        </w:rPr>
        <w:t>X:</w:t>
      </w:r>
      <w:r>
        <w:rPr>
          <w:rFonts w:hint="eastAsia" w:ascii="宋体" w:hAnsi="宋体" w:cs="仿宋"/>
          <w:color w:val="auto"/>
          <w:szCs w:val="21"/>
          <w:highlight w:val="none"/>
        </w:rPr>
        <w:t>为等分点值，在开标前从</w:t>
      </w:r>
      <w:r>
        <w:rPr>
          <w:rFonts w:ascii="宋体" w:hAnsi="宋体" w:cs="仿宋"/>
          <w:color w:val="auto"/>
          <w:szCs w:val="21"/>
          <w:highlight w:val="none"/>
        </w:rPr>
        <w:t>[0,100]</w:t>
      </w:r>
      <w:r>
        <w:rPr>
          <w:rFonts w:hint="eastAsia" w:ascii="宋体" w:hAnsi="宋体" w:cs="仿宋"/>
          <w:color w:val="auto"/>
          <w:szCs w:val="21"/>
          <w:highlight w:val="none"/>
        </w:rPr>
        <w:t>整数中随机抽取</w:t>
      </w:r>
    </w:p>
    <w:p>
      <w:pPr>
        <w:spacing w:line="360" w:lineRule="auto"/>
        <w:ind w:firstLine="420" w:firstLineChars="200"/>
        <w:rPr>
          <w:rFonts w:ascii="宋体" w:hAnsi="宋体"/>
          <w:color w:val="auto"/>
          <w:szCs w:val="21"/>
          <w:highlight w:val="none"/>
        </w:rPr>
      </w:pPr>
      <w:r>
        <w:rPr>
          <w:rFonts w:hint="eastAsia" w:ascii="宋体" w:hAnsi="宋体" w:cs="宋体"/>
          <w:color w:val="auto"/>
          <w:kern w:val="0"/>
          <w:szCs w:val="21"/>
          <w:highlight w:val="none"/>
        </w:rPr>
        <w:t>45.3</w:t>
      </w:r>
      <w:r>
        <w:rPr>
          <w:rFonts w:hint="eastAsia" w:ascii="宋体" w:hAnsi="宋体"/>
          <w:color w:val="auto"/>
          <w:szCs w:val="21"/>
          <w:highlight w:val="none"/>
        </w:rPr>
        <w:t>当标价等于评标参考价时得</w:t>
      </w:r>
      <w:r>
        <w:rPr>
          <w:rFonts w:ascii="宋体" w:hAnsi="宋体"/>
          <w:color w:val="auto"/>
          <w:szCs w:val="21"/>
          <w:highlight w:val="none"/>
        </w:rPr>
        <w:t>100</w:t>
      </w:r>
      <w:r>
        <w:rPr>
          <w:rFonts w:hint="eastAsia" w:ascii="宋体" w:hAnsi="宋体"/>
          <w:color w:val="auto"/>
          <w:szCs w:val="21"/>
          <w:highlight w:val="none"/>
        </w:rPr>
        <w:t>分，标价每高于评标参考价</w:t>
      </w:r>
      <w:r>
        <w:rPr>
          <w:rFonts w:ascii="宋体" w:hAnsi="宋体"/>
          <w:color w:val="auto"/>
          <w:szCs w:val="21"/>
          <w:highlight w:val="none"/>
        </w:rPr>
        <w:t>1%</w:t>
      </w:r>
      <w:r>
        <w:rPr>
          <w:rFonts w:hint="eastAsia" w:ascii="宋体" w:hAnsi="宋体"/>
          <w:color w:val="auto"/>
          <w:szCs w:val="21"/>
          <w:highlight w:val="none"/>
        </w:rPr>
        <w:t>，扣</w:t>
      </w:r>
      <w:r>
        <w:rPr>
          <w:rFonts w:ascii="宋体" w:hAnsi="宋体"/>
          <w:color w:val="auto"/>
          <w:szCs w:val="21"/>
          <w:highlight w:val="none"/>
        </w:rPr>
        <w:t>1.5</w:t>
      </w:r>
      <w:r>
        <w:rPr>
          <w:rFonts w:hint="eastAsia" w:ascii="宋体" w:hAnsi="宋体"/>
          <w:color w:val="auto"/>
          <w:szCs w:val="21"/>
          <w:highlight w:val="none"/>
        </w:rPr>
        <w:t>分，每低于评标参考价</w:t>
      </w:r>
      <w:r>
        <w:rPr>
          <w:rFonts w:ascii="宋体" w:hAnsi="宋体"/>
          <w:color w:val="auto"/>
          <w:szCs w:val="21"/>
          <w:highlight w:val="none"/>
        </w:rPr>
        <w:t>1%</w:t>
      </w:r>
      <w:r>
        <w:rPr>
          <w:rFonts w:hint="eastAsia" w:ascii="宋体" w:hAnsi="宋体"/>
          <w:color w:val="auto"/>
          <w:szCs w:val="21"/>
          <w:highlight w:val="none"/>
        </w:rPr>
        <w:t>，扣</w:t>
      </w:r>
      <w:r>
        <w:rPr>
          <w:rFonts w:ascii="宋体" w:hAnsi="宋体"/>
          <w:color w:val="auto"/>
          <w:szCs w:val="21"/>
          <w:highlight w:val="none"/>
        </w:rPr>
        <w:t>1</w:t>
      </w:r>
      <w:r>
        <w:rPr>
          <w:rFonts w:hint="eastAsia" w:ascii="宋体" w:hAnsi="宋体"/>
          <w:color w:val="auto"/>
          <w:szCs w:val="21"/>
          <w:highlight w:val="none"/>
        </w:rPr>
        <w:t>分，扣至</w:t>
      </w:r>
      <w:r>
        <w:rPr>
          <w:rFonts w:ascii="宋体" w:hAnsi="宋体"/>
          <w:color w:val="auto"/>
          <w:szCs w:val="21"/>
          <w:highlight w:val="none"/>
        </w:rPr>
        <w:t>0</w:t>
      </w:r>
      <w:r>
        <w:rPr>
          <w:rFonts w:hint="eastAsia" w:ascii="宋体" w:hAnsi="宋体"/>
          <w:color w:val="auto"/>
          <w:szCs w:val="21"/>
          <w:highlight w:val="none"/>
        </w:rPr>
        <w:t>分为止，得出经济分，精确到小数点后两位。</w:t>
      </w:r>
    </w:p>
    <w:p>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45.4</w:t>
      </w:r>
      <w:r>
        <w:rPr>
          <w:rFonts w:hint="eastAsia" w:ascii="宋体"/>
          <w:color w:val="auto"/>
          <w:szCs w:val="21"/>
          <w:highlight w:val="none"/>
        </w:rPr>
        <w:t>计算通过技术标有效性审查的投标人总得分。投标人总得分=（技术得分×技术得分权重</w:t>
      </w:r>
      <w:r>
        <w:rPr>
          <w:rFonts w:hint="eastAsia" w:ascii="宋体" w:cs="宋体"/>
          <w:color w:val="auto"/>
          <w:szCs w:val="21"/>
          <w:highlight w:val="none"/>
        </w:rPr>
        <w:t>＋</w:t>
      </w:r>
      <w:r>
        <w:rPr>
          <w:rFonts w:hint="eastAsia" w:ascii="宋体"/>
          <w:color w:val="auto"/>
          <w:szCs w:val="21"/>
          <w:highlight w:val="none"/>
        </w:rPr>
        <w:t>经济得分×经济得分权重）×（1-综合诚信评价分数权重）</w:t>
      </w:r>
      <w:r>
        <w:rPr>
          <w:rFonts w:hint="eastAsia" w:ascii="宋体" w:cs="宋体"/>
          <w:color w:val="auto"/>
          <w:szCs w:val="21"/>
          <w:highlight w:val="none"/>
        </w:rPr>
        <w:t>＋</w:t>
      </w:r>
      <w:r>
        <w:rPr>
          <w:rFonts w:hint="eastAsia" w:ascii="宋体"/>
          <w:color w:val="auto"/>
          <w:szCs w:val="21"/>
          <w:highlight w:val="none"/>
        </w:rPr>
        <w:t>综合诚信评价排名得分×综合诚信评价分数权重）。技术、经济得分权重按投标须知前附表的规定执行。总得分四舍五入保留两位小数。</w:t>
      </w:r>
    </w:p>
    <w:p>
      <w:pPr>
        <w:pStyle w:val="5"/>
        <w:tabs>
          <w:tab w:val="left" w:pos="7380"/>
        </w:tabs>
        <w:spacing w:after="0" w:line="360" w:lineRule="auto"/>
        <w:ind w:firstLine="422" w:firstLineChars="200"/>
        <w:rPr>
          <w:rFonts w:ascii="宋体"/>
          <w:color w:val="auto"/>
          <w:sz w:val="21"/>
          <w:szCs w:val="21"/>
          <w:highlight w:val="none"/>
        </w:rPr>
      </w:pPr>
      <w:r>
        <w:rPr>
          <w:rFonts w:hint="eastAsia" w:ascii="宋体" w:hAnsi="宋体" w:cs="宋体"/>
          <w:b/>
          <w:bCs/>
          <w:color w:val="auto"/>
          <w:sz w:val="21"/>
          <w:szCs w:val="21"/>
          <w:highlight w:val="none"/>
        </w:rPr>
        <w:t>现文</w:t>
      </w:r>
      <w:r>
        <w:rPr>
          <w:rFonts w:hint="eastAsia" w:ascii="宋体" w:hAnsi="宋体" w:cs="宋体"/>
          <w:color w:val="auto"/>
          <w:sz w:val="21"/>
          <w:szCs w:val="21"/>
          <w:highlight w:val="none"/>
        </w:rPr>
        <w:t>：</w:t>
      </w:r>
      <w:r>
        <w:rPr>
          <w:rFonts w:hint="eastAsia" w:ascii="宋体"/>
          <w:color w:val="auto"/>
          <w:sz w:val="21"/>
          <w:szCs w:val="21"/>
          <w:highlight w:val="none"/>
        </w:rPr>
        <w:t>45．经济标评审和得分汇总</w:t>
      </w:r>
    </w:p>
    <w:p>
      <w:pPr>
        <w:pStyle w:val="5"/>
        <w:tabs>
          <w:tab w:val="left" w:pos="7380"/>
        </w:tabs>
        <w:spacing w:after="0" w:line="360" w:lineRule="auto"/>
        <w:ind w:firstLineChars="200"/>
        <w:rPr>
          <w:rFonts w:ascii="宋体" w:hAnsi="宋体"/>
          <w:color w:val="auto"/>
          <w:sz w:val="21"/>
          <w:szCs w:val="21"/>
          <w:highlight w:val="none"/>
        </w:rPr>
      </w:pPr>
      <w:r>
        <w:rPr>
          <w:rFonts w:hint="eastAsia" w:ascii="宋体" w:hAnsi="宋体"/>
          <w:color w:val="auto"/>
          <w:sz w:val="21"/>
          <w:szCs w:val="21"/>
          <w:highlight w:val="none"/>
        </w:rPr>
        <w:t>45.1若通过技术标有效性审查的投标人中所有投标报价均大于等于最高投标限价*</w:t>
      </w:r>
      <w:r>
        <w:rPr>
          <w:rFonts w:ascii="宋体" w:hAnsi="宋体" w:cs="宋体"/>
          <w:color w:val="auto"/>
          <w:sz w:val="21"/>
          <w:szCs w:val="21"/>
          <w:highlight w:val="none"/>
          <w:u w:val="single"/>
        </w:rPr>
        <w:t>97%</w:t>
      </w:r>
      <w:r>
        <w:rPr>
          <w:rFonts w:hint="eastAsia" w:ascii="宋体" w:hAnsi="宋体"/>
          <w:color w:val="auto"/>
          <w:sz w:val="21"/>
          <w:szCs w:val="21"/>
          <w:highlight w:val="none"/>
        </w:rPr>
        <w:t>的</w:t>
      </w:r>
      <w:r>
        <w:rPr>
          <w:rFonts w:hint="eastAsia" w:ascii="宋体" w:hAnsi="宋体"/>
          <w:color w:val="auto"/>
          <w:sz w:val="21"/>
          <w:szCs w:val="21"/>
          <w:highlight w:val="none"/>
        </w:rPr>
        <w:t>（具体金额为：</w:t>
      </w:r>
      <w:r>
        <w:rPr>
          <w:rFonts w:hint="eastAsia" w:ascii="宋体" w:hAnsi="宋体"/>
          <w:color w:val="auto"/>
          <w:sz w:val="21"/>
          <w:szCs w:val="21"/>
          <w:highlight w:val="none"/>
          <w:u w:val="single"/>
          <w:lang w:val="en-US" w:eastAsia="zh-CN"/>
        </w:rPr>
        <w:t>29369760.09</w:t>
      </w:r>
      <w:r>
        <w:rPr>
          <w:rFonts w:hint="eastAsia" w:ascii="宋体" w:hAnsi="宋体"/>
          <w:color w:val="auto"/>
          <w:sz w:val="21"/>
          <w:szCs w:val="21"/>
          <w:highlight w:val="none"/>
        </w:rPr>
        <w:t>元）</w:t>
      </w:r>
      <w:r>
        <w:rPr>
          <w:rFonts w:hint="eastAsia" w:ascii="宋体" w:hAnsi="宋体"/>
          <w:color w:val="auto"/>
          <w:sz w:val="21"/>
          <w:szCs w:val="21"/>
          <w:highlight w:val="none"/>
        </w:rPr>
        <w:t>，则本项目招标失败，由招标人依法重新招标。</w:t>
      </w:r>
    </w:p>
    <w:p>
      <w:pPr>
        <w:pStyle w:val="5"/>
        <w:tabs>
          <w:tab w:val="left" w:pos="7380"/>
        </w:tabs>
        <w:spacing w:after="0" w:line="360" w:lineRule="auto"/>
        <w:ind w:firstLineChars="200"/>
        <w:rPr>
          <w:rFonts w:ascii="宋体"/>
          <w:color w:val="auto"/>
          <w:sz w:val="21"/>
          <w:szCs w:val="21"/>
          <w:highlight w:val="none"/>
        </w:rPr>
      </w:pPr>
      <w:r>
        <w:rPr>
          <w:rFonts w:hint="eastAsia" w:ascii="宋体" w:hAnsi="宋体"/>
          <w:color w:val="auto"/>
          <w:sz w:val="21"/>
          <w:szCs w:val="21"/>
          <w:highlight w:val="none"/>
        </w:rPr>
        <w:t>45.2按方法</w:t>
      </w:r>
      <w:r>
        <w:rPr>
          <w:rFonts w:hint="eastAsia" w:ascii="宋体" w:hAnsi="宋体"/>
          <w:color w:val="auto"/>
          <w:sz w:val="21"/>
          <w:szCs w:val="21"/>
          <w:highlight w:val="none"/>
          <w:u w:val="single"/>
        </w:rPr>
        <w:t>二区间抽取法</w:t>
      </w:r>
      <w:r>
        <w:rPr>
          <w:rFonts w:hint="eastAsia" w:ascii="宋体" w:hAnsi="宋体"/>
          <w:color w:val="auto"/>
          <w:sz w:val="21"/>
          <w:szCs w:val="21"/>
          <w:highlight w:val="none"/>
        </w:rPr>
        <w:t>计算评标参考价：</w:t>
      </w:r>
    </w:p>
    <w:p>
      <w:pPr>
        <w:widowControl/>
        <w:spacing w:line="360" w:lineRule="auto"/>
        <w:ind w:firstLine="422" w:firstLineChars="200"/>
        <w:rPr>
          <w:rFonts w:ascii="宋体" w:hAnsi="宋体"/>
          <w:b/>
          <w:bCs/>
          <w:strike/>
          <w:color w:val="auto"/>
          <w:kern w:val="0"/>
          <w:szCs w:val="21"/>
          <w:highlight w:val="none"/>
        </w:rPr>
      </w:pPr>
      <w:r>
        <w:rPr>
          <w:rFonts w:hint="eastAsia" w:ascii="宋体" w:hAnsi="宋体" w:cs="仿宋"/>
          <w:b/>
          <w:bCs/>
          <w:strike/>
          <w:color w:val="auto"/>
          <w:kern w:val="0"/>
          <w:szCs w:val="21"/>
          <w:highlight w:val="none"/>
        </w:rPr>
        <w:t>方法一：加权平均法</w:t>
      </w:r>
    </w:p>
    <w:p>
      <w:pPr>
        <w:spacing w:line="360" w:lineRule="auto"/>
        <w:ind w:firstLine="420" w:firstLineChars="200"/>
        <w:rPr>
          <w:rFonts w:ascii="宋体" w:hAnsi="宋体" w:cs="仿宋"/>
          <w:strike/>
          <w:color w:val="auto"/>
          <w:szCs w:val="21"/>
          <w:highlight w:val="none"/>
        </w:rPr>
      </w:pPr>
      <w:r>
        <w:rPr>
          <w:rFonts w:hint="eastAsia" w:ascii="宋体" w:hAnsi="宋体" w:cs="仿宋"/>
          <w:strike/>
          <w:color w:val="auto"/>
          <w:szCs w:val="21"/>
          <w:highlight w:val="none"/>
        </w:rPr>
        <w:t>技术标或技术标加诚信得分（具体由招标人自定）前</w:t>
      </w:r>
      <w:r>
        <w:rPr>
          <w:rFonts w:ascii="宋体" w:hAnsi="宋体" w:cs="仿宋"/>
          <w:strike/>
          <w:color w:val="auto"/>
          <w:szCs w:val="21"/>
          <w:highlight w:val="none"/>
        </w:rPr>
        <w:t>N</w:t>
      </w:r>
      <w:r>
        <w:rPr>
          <w:rFonts w:hint="eastAsia" w:ascii="宋体" w:hAnsi="宋体" w:cs="仿宋"/>
          <w:strike/>
          <w:color w:val="auto"/>
          <w:szCs w:val="21"/>
          <w:highlight w:val="none"/>
        </w:rPr>
        <w:t>名（N≥5，具体由招标人自定）的经济报价加权平均，计算评标参考价。公式如下：</w:t>
      </w:r>
    </w:p>
    <w:p>
      <w:pPr>
        <w:spacing w:line="360" w:lineRule="auto"/>
        <w:ind w:firstLine="420" w:firstLineChars="200"/>
        <w:rPr>
          <w:rFonts w:ascii="宋体" w:hAnsi="宋体" w:cs="仿宋"/>
          <w:strike/>
          <w:color w:val="auto"/>
          <w:szCs w:val="21"/>
          <w:highlight w:val="none"/>
        </w:rPr>
      </w:pPr>
      <w:r>
        <w:rPr>
          <w:rFonts w:hint="eastAsia" w:ascii="宋体" w:hAnsi="宋体" w:cs="仿宋"/>
          <w:strike/>
          <w:color w:val="auto"/>
          <w:szCs w:val="21"/>
          <w:highlight w:val="none"/>
        </w:rPr>
        <w:t>评标参考价</w:t>
      </w:r>
      <w:r>
        <w:rPr>
          <w:rFonts w:ascii="宋体" w:hAnsi="宋体" w:cs="仿宋"/>
          <w:strike/>
          <w:color w:val="auto"/>
          <w:szCs w:val="21"/>
          <w:highlight w:val="none"/>
        </w:rPr>
        <w:t>=</w:t>
      </w:r>
      <w:r>
        <w:rPr>
          <w:rFonts w:hint="eastAsia" w:ascii="宋体" w:hAnsi="宋体" w:cs="仿宋"/>
          <w:strike/>
          <w:color w:val="auto"/>
          <w:szCs w:val="21"/>
          <w:highlight w:val="none"/>
        </w:rPr>
        <w:t>Σ（投标人的投标报价</w:t>
      </w:r>
      <w:r>
        <w:rPr>
          <w:rFonts w:ascii="宋体" w:hAnsi="宋体" w:cs="仿宋"/>
          <w:strike/>
          <w:color w:val="auto"/>
          <w:szCs w:val="21"/>
          <w:highlight w:val="none"/>
        </w:rPr>
        <w:t>*</w:t>
      </w:r>
      <w:r>
        <w:rPr>
          <w:rFonts w:hint="eastAsia" w:ascii="宋体" w:hAnsi="宋体" w:cs="仿宋"/>
          <w:strike/>
          <w:color w:val="auto"/>
          <w:szCs w:val="21"/>
          <w:highlight w:val="none"/>
        </w:rPr>
        <w:t>报价权重）。</w:t>
      </w:r>
    </w:p>
    <w:p>
      <w:pPr>
        <w:spacing w:line="360" w:lineRule="auto"/>
        <w:ind w:firstLine="420" w:firstLineChars="200"/>
        <w:rPr>
          <w:rFonts w:ascii="宋体" w:hAnsi="宋体" w:cs="仿宋"/>
          <w:strike/>
          <w:color w:val="auto"/>
          <w:szCs w:val="21"/>
          <w:highlight w:val="none"/>
        </w:rPr>
      </w:pPr>
      <w:r>
        <w:rPr>
          <w:rFonts w:hint="eastAsia" w:ascii="宋体" w:hAnsi="宋体" w:cs="仿宋"/>
          <w:strike/>
          <w:color w:val="auto"/>
          <w:szCs w:val="21"/>
          <w:highlight w:val="none"/>
        </w:rPr>
        <w:t>其中：报价权重的计算方法为：将</w:t>
      </w:r>
      <w:r>
        <w:rPr>
          <w:rFonts w:ascii="宋体" w:hAnsi="宋体" w:cs="仿宋"/>
          <w:strike/>
          <w:color w:val="auto"/>
          <w:szCs w:val="21"/>
          <w:highlight w:val="none"/>
        </w:rPr>
        <w:t>N</w:t>
      </w:r>
      <w:r>
        <w:rPr>
          <w:rFonts w:hint="eastAsia" w:ascii="宋体" w:hAnsi="宋体" w:cs="仿宋"/>
          <w:strike/>
          <w:color w:val="auto"/>
          <w:szCs w:val="21"/>
          <w:highlight w:val="none"/>
        </w:rPr>
        <w:t>名投标人按技术分由高至低进行排序，第一名投标人的权重为（</w:t>
      </w:r>
      <w:r>
        <w:rPr>
          <w:rFonts w:ascii="宋体" w:hAnsi="宋体" w:cs="仿宋"/>
          <w:strike/>
          <w:color w:val="auto"/>
          <w:szCs w:val="21"/>
          <w:highlight w:val="none"/>
        </w:rPr>
        <w:fldChar w:fldCharType="begin"/>
      </w:r>
      <w:r>
        <w:rPr>
          <w:rFonts w:ascii="宋体" w:hAnsi="宋体" w:cs="仿宋"/>
          <w:strike/>
          <w:color w:val="auto"/>
          <w:szCs w:val="21"/>
          <w:highlight w:val="none"/>
        </w:rPr>
        <w:instrText xml:space="preserve"> QUOTE </w:instrText>
      </w:r>
      <w:r>
        <w:rPr>
          <w:rFonts w:ascii="宋体" w:hAnsi="宋体"/>
          <w:strike/>
          <w:color w:val="auto"/>
          <w:szCs w:val="21"/>
          <w:highlight w:val="none"/>
        </w:rPr>
        <w:drawing>
          <wp:inline distT="0" distB="0" distL="114300" distR="114300">
            <wp:extent cx="381000" cy="447675"/>
            <wp:effectExtent l="0" t="0" r="0" b="8890"/>
            <wp:docPr id="30"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44"/>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strike/>
          <w:color w:val="auto"/>
          <w:szCs w:val="21"/>
          <w:highlight w:val="none"/>
        </w:rPr>
        <w:fldChar w:fldCharType="separate"/>
      </w:r>
      <w:r>
        <w:rPr>
          <w:rFonts w:ascii="宋体" w:hAnsi="宋体"/>
          <w:strike/>
          <w:color w:val="auto"/>
          <w:szCs w:val="21"/>
          <w:highlight w:val="none"/>
        </w:rPr>
        <w:drawing>
          <wp:inline distT="0" distB="0" distL="114300" distR="114300">
            <wp:extent cx="381000" cy="447675"/>
            <wp:effectExtent l="0" t="0" r="0" b="8890"/>
            <wp:docPr id="31"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45"/>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strike/>
          <w:color w:val="auto"/>
          <w:szCs w:val="21"/>
          <w:highlight w:val="none"/>
        </w:rPr>
        <w:fldChar w:fldCharType="end"/>
      </w:r>
      <w:r>
        <w:rPr>
          <w:rFonts w:hint="eastAsia" w:ascii="宋体" w:hAnsi="宋体" w:cs="仿宋"/>
          <w:strike/>
          <w:color w:val="auto"/>
          <w:szCs w:val="21"/>
          <w:highlight w:val="none"/>
        </w:rPr>
        <w:t>），第二名投标人的权重为（</w:t>
      </w:r>
      <w:r>
        <w:rPr>
          <w:rFonts w:ascii="宋体" w:hAnsi="宋体" w:cs="仿宋"/>
          <w:strike/>
          <w:color w:val="auto"/>
          <w:szCs w:val="21"/>
          <w:highlight w:val="none"/>
        </w:rPr>
        <w:fldChar w:fldCharType="begin"/>
      </w:r>
      <w:r>
        <w:rPr>
          <w:rFonts w:ascii="宋体" w:hAnsi="宋体" w:cs="仿宋"/>
          <w:strike/>
          <w:color w:val="auto"/>
          <w:szCs w:val="21"/>
          <w:highlight w:val="none"/>
        </w:rPr>
        <w:instrText xml:space="preserve"> QUOTE </w:instrText>
      </w:r>
      <w:r>
        <w:rPr>
          <w:rFonts w:ascii="宋体" w:hAnsi="宋体"/>
          <w:strike/>
          <w:color w:val="auto"/>
          <w:position w:val="-23"/>
          <w:szCs w:val="21"/>
          <w:highlight w:val="none"/>
        </w:rPr>
        <w:drawing>
          <wp:inline distT="0" distB="0" distL="114300" distR="114300">
            <wp:extent cx="323850" cy="400050"/>
            <wp:effectExtent l="0" t="0" r="0" b="0"/>
            <wp:docPr id="32"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46"/>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trike/>
          <w:color w:val="auto"/>
          <w:szCs w:val="21"/>
          <w:highlight w:val="none"/>
        </w:rPr>
        <w:fldChar w:fldCharType="separate"/>
      </w:r>
      <w:r>
        <w:rPr>
          <w:rFonts w:ascii="宋体" w:hAnsi="宋体"/>
          <w:strike/>
          <w:color w:val="auto"/>
          <w:position w:val="-23"/>
          <w:szCs w:val="21"/>
          <w:highlight w:val="none"/>
        </w:rPr>
        <w:drawing>
          <wp:inline distT="0" distB="0" distL="114300" distR="114300">
            <wp:extent cx="323850" cy="400050"/>
            <wp:effectExtent l="0" t="0" r="0" b="0"/>
            <wp:docPr id="33"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47"/>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trike/>
          <w:color w:val="auto"/>
          <w:szCs w:val="21"/>
          <w:highlight w:val="none"/>
        </w:rPr>
        <w:fldChar w:fldCharType="end"/>
      </w:r>
      <w:r>
        <w:rPr>
          <w:rFonts w:hint="eastAsia" w:ascii="宋体" w:hAnsi="宋体" w:cs="仿宋"/>
          <w:strike/>
          <w:color w:val="auto"/>
          <w:szCs w:val="21"/>
          <w:highlight w:val="none"/>
        </w:rPr>
        <w:t>），以此类推，最后一名投标人的权重为（</w:t>
      </w:r>
      <w:r>
        <w:rPr>
          <w:rFonts w:ascii="宋体" w:hAnsi="宋体" w:cs="仿宋"/>
          <w:strike/>
          <w:color w:val="auto"/>
          <w:szCs w:val="21"/>
          <w:highlight w:val="none"/>
        </w:rPr>
        <w:fldChar w:fldCharType="begin"/>
      </w:r>
      <w:r>
        <w:rPr>
          <w:rFonts w:ascii="宋体" w:hAnsi="宋体" w:cs="仿宋"/>
          <w:strike/>
          <w:color w:val="auto"/>
          <w:szCs w:val="21"/>
          <w:highlight w:val="none"/>
        </w:rPr>
        <w:instrText xml:space="preserve"> QUOTE </w:instrText>
      </w:r>
      <w:r>
        <w:rPr>
          <w:rFonts w:ascii="宋体" w:hAnsi="宋体"/>
          <w:strike/>
          <w:color w:val="auto"/>
          <w:position w:val="-23"/>
          <w:szCs w:val="21"/>
          <w:highlight w:val="none"/>
        </w:rPr>
        <w:drawing>
          <wp:inline distT="0" distB="0" distL="114300" distR="114300">
            <wp:extent cx="323850" cy="400050"/>
            <wp:effectExtent l="0" t="0" r="0" b="0"/>
            <wp:docPr id="34"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48"/>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trike/>
          <w:color w:val="auto"/>
          <w:szCs w:val="21"/>
          <w:highlight w:val="none"/>
        </w:rPr>
        <w:fldChar w:fldCharType="separate"/>
      </w:r>
      <w:r>
        <w:rPr>
          <w:rFonts w:ascii="宋体" w:hAnsi="宋体"/>
          <w:strike/>
          <w:color w:val="auto"/>
          <w:position w:val="-23"/>
          <w:szCs w:val="21"/>
          <w:highlight w:val="none"/>
        </w:rPr>
        <w:drawing>
          <wp:inline distT="0" distB="0" distL="114300" distR="114300">
            <wp:extent cx="323850" cy="400050"/>
            <wp:effectExtent l="0" t="0" r="0" b="0"/>
            <wp:docPr id="35"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49"/>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trike/>
          <w:color w:val="auto"/>
          <w:szCs w:val="21"/>
          <w:highlight w:val="none"/>
        </w:rPr>
        <w:fldChar w:fldCharType="end"/>
      </w:r>
      <w:r>
        <w:rPr>
          <w:rFonts w:hint="eastAsia" w:ascii="宋体" w:hAnsi="宋体" w:cs="仿宋"/>
          <w:strike/>
          <w:color w:val="auto"/>
          <w:szCs w:val="21"/>
          <w:highlight w:val="none"/>
        </w:rPr>
        <w:t>）。</w:t>
      </w:r>
    </w:p>
    <w:p>
      <w:pPr>
        <w:widowControl/>
        <w:spacing w:line="360" w:lineRule="auto"/>
        <w:ind w:firstLine="422" w:firstLineChars="200"/>
        <w:rPr>
          <w:rFonts w:ascii="宋体" w:hAnsi="宋体"/>
          <w:b/>
          <w:bCs/>
          <w:color w:val="auto"/>
          <w:kern w:val="0"/>
          <w:szCs w:val="21"/>
          <w:highlight w:val="none"/>
        </w:rPr>
      </w:pPr>
      <w:r>
        <w:rPr>
          <w:rFonts w:hint="eastAsia" w:ascii="宋体" w:hAnsi="宋体" w:cs="仿宋"/>
          <w:b/>
          <w:bCs/>
          <w:color w:val="auto"/>
          <w:kern w:val="0"/>
          <w:szCs w:val="21"/>
          <w:highlight w:val="none"/>
        </w:rPr>
        <w:t>方法二：区间抽取法</w:t>
      </w:r>
    </w:p>
    <w:p>
      <w:pPr>
        <w:widowControl/>
        <w:spacing w:line="360" w:lineRule="auto"/>
        <w:ind w:firstLine="420" w:firstLineChars="200"/>
        <w:rPr>
          <w:rFonts w:ascii="宋体" w:hAnsi="宋体"/>
          <w:color w:val="auto"/>
          <w:kern w:val="0"/>
          <w:szCs w:val="21"/>
          <w:highlight w:val="none"/>
        </w:rPr>
      </w:pPr>
      <w:r>
        <w:rPr>
          <w:rFonts w:hint="eastAsia" w:ascii="宋体" w:hAnsi="宋体" w:cs="仿宋"/>
          <w:color w:val="auto"/>
          <w:szCs w:val="21"/>
          <w:highlight w:val="none"/>
        </w:rPr>
        <w:t>设立入围合格分数线（</w:t>
      </w:r>
      <w:r>
        <w:rPr>
          <w:rFonts w:hint="eastAsia" w:ascii="宋体" w:hAnsi="宋体" w:cs="仿宋"/>
          <w:color w:val="auto"/>
          <w:szCs w:val="21"/>
          <w:highlight w:val="none"/>
          <w:u w:val="single"/>
        </w:rPr>
        <w:t>技术标得分为90分</w:t>
      </w:r>
      <w:r>
        <w:rPr>
          <w:rFonts w:hint="eastAsia" w:ascii="宋体" w:hAnsi="宋体" w:cs="仿宋"/>
          <w:color w:val="auto"/>
          <w:szCs w:val="21"/>
          <w:highlight w:val="none"/>
        </w:rPr>
        <w:t>），达到或超过</w:t>
      </w:r>
      <w:r>
        <w:rPr>
          <w:rFonts w:hint="eastAsia" w:ascii="宋体" w:hAnsi="宋体" w:cs="仿宋"/>
          <w:color w:val="auto"/>
          <w:szCs w:val="21"/>
          <w:highlight w:val="none"/>
          <w:u w:val="single"/>
        </w:rPr>
        <w:t>入围合格分数线</w:t>
      </w:r>
      <w:r>
        <w:rPr>
          <w:rFonts w:hint="eastAsia" w:ascii="宋体" w:hAnsi="宋体" w:cs="仿宋"/>
          <w:color w:val="auto"/>
          <w:szCs w:val="21"/>
          <w:highlight w:val="none"/>
        </w:rPr>
        <w:t>的投标人的报价方能参与评标参考价的计算。将达到或超过</w:t>
      </w:r>
      <w:r>
        <w:rPr>
          <w:rFonts w:hint="eastAsia" w:ascii="宋体" w:hAnsi="宋体" w:cs="仿宋"/>
          <w:color w:val="auto"/>
          <w:szCs w:val="21"/>
          <w:highlight w:val="none"/>
          <w:u w:val="single"/>
        </w:rPr>
        <w:t>入围合格分数线</w:t>
      </w:r>
      <w:r>
        <w:rPr>
          <w:rFonts w:hint="eastAsia" w:ascii="宋体" w:hAnsi="宋体" w:cs="仿宋"/>
          <w:color w:val="auto"/>
          <w:szCs w:val="21"/>
          <w:highlight w:val="none"/>
        </w:rPr>
        <w:t>的投标报价由低至高进行排列，按以下公式计算评标参考价，计算公式如下：</w:t>
      </w:r>
    </w:p>
    <w:p>
      <w:pPr>
        <w:widowControl/>
        <w:spacing w:line="360" w:lineRule="auto"/>
        <w:ind w:firstLine="420" w:firstLineChars="200"/>
        <w:rPr>
          <w:rFonts w:ascii="宋体" w:hAnsi="宋体"/>
          <w:color w:val="auto"/>
          <w:kern w:val="0"/>
          <w:szCs w:val="21"/>
          <w:highlight w:val="none"/>
          <w:vertAlign w:val="subscript"/>
        </w:rPr>
      </w:pPr>
      <w:r>
        <w:rPr>
          <w:rFonts w:hint="eastAsia" w:ascii="宋体" w:hAnsi="宋体" w:cs="仿宋"/>
          <w:color w:val="auto"/>
          <w:kern w:val="0"/>
          <w:szCs w:val="21"/>
          <w:highlight w:val="none"/>
        </w:rPr>
        <w:t>评标参考价</w:t>
      </w:r>
      <w:r>
        <w:rPr>
          <w:rFonts w:ascii="宋体" w:hAnsi="宋体" w:cs="仿宋"/>
          <w:color w:val="auto"/>
          <w:kern w:val="0"/>
          <w:szCs w:val="21"/>
          <w:highlight w:val="none"/>
        </w:rPr>
        <w:t>=</w:t>
      </w:r>
      <w:r>
        <w:rPr>
          <w:rFonts w:hint="eastAsia" w:ascii="宋体" w:hAnsi="宋体" w:cs="仿宋"/>
          <w:color w:val="auto"/>
          <w:kern w:val="0"/>
          <w:szCs w:val="21"/>
          <w:highlight w:val="none"/>
        </w:rPr>
        <w:t>（</w:t>
      </w: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高</w:t>
      </w: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低</w:t>
      </w:r>
      <w:r>
        <w:rPr>
          <w:rFonts w:hint="eastAsia" w:ascii="宋体" w:hAnsi="宋体" w:cs="仿宋"/>
          <w:color w:val="auto"/>
          <w:kern w:val="0"/>
          <w:szCs w:val="21"/>
          <w:highlight w:val="none"/>
        </w:rPr>
        <w:t>）</w:t>
      </w:r>
      <w:r>
        <w:rPr>
          <w:rFonts w:ascii="宋体" w:hAnsi="宋体" w:cs="仿宋"/>
          <w:color w:val="auto"/>
          <w:kern w:val="0"/>
          <w:szCs w:val="21"/>
          <w:highlight w:val="none"/>
        </w:rPr>
        <w:t>/100*</w:t>
      </w:r>
      <w:r>
        <w:rPr>
          <w:rFonts w:hint="eastAsia" w:ascii="宋体" w:hAnsi="宋体" w:cs="仿宋"/>
          <w:color w:val="auto"/>
          <w:kern w:val="0"/>
          <w:szCs w:val="21"/>
          <w:highlight w:val="none"/>
        </w:rPr>
        <w:t>Ｘ</w:t>
      </w: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低</w:t>
      </w:r>
    </w:p>
    <w:p>
      <w:pPr>
        <w:widowControl/>
        <w:spacing w:line="360" w:lineRule="auto"/>
        <w:ind w:firstLine="420" w:firstLineChars="200"/>
        <w:rPr>
          <w:rFonts w:ascii="宋体" w:hAnsi="宋体"/>
          <w:color w:val="auto"/>
          <w:szCs w:val="21"/>
          <w:highlight w:val="none"/>
        </w:rPr>
      </w:pPr>
      <w:r>
        <w:rPr>
          <w:rFonts w:ascii="宋体" w:hAnsi="宋体" w:cs="仿宋"/>
          <w:color w:val="auto"/>
          <w:szCs w:val="21"/>
          <w:highlight w:val="none"/>
        </w:rPr>
        <w:t>Q</w:t>
      </w:r>
      <w:r>
        <w:rPr>
          <w:rFonts w:hint="eastAsia" w:ascii="宋体" w:hAnsi="宋体" w:cs="仿宋"/>
          <w:color w:val="auto"/>
          <w:szCs w:val="21"/>
          <w:highlight w:val="none"/>
          <w:vertAlign w:val="subscript"/>
        </w:rPr>
        <w:t>低</w:t>
      </w:r>
      <w:r>
        <w:rPr>
          <w:rFonts w:hint="eastAsia" w:ascii="宋体" w:hAnsi="宋体" w:cs="仿宋"/>
          <w:color w:val="auto"/>
          <w:szCs w:val="21"/>
          <w:highlight w:val="none"/>
        </w:rPr>
        <w:t>：为达到或超过</w:t>
      </w:r>
      <w:r>
        <w:rPr>
          <w:rFonts w:hint="eastAsia" w:ascii="宋体" w:hAnsi="宋体" w:cs="仿宋"/>
          <w:color w:val="auto"/>
          <w:szCs w:val="21"/>
          <w:highlight w:val="none"/>
          <w:u w:val="single"/>
        </w:rPr>
        <w:t>入围合格分数线</w:t>
      </w:r>
      <w:r>
        <w:rPr>
          <w:rFonts w:hint="eastAsia" w:ascii="宋体" w:hAnsi="宋体" w:cs="仿宋"/>
          <w:color w:val="auto"/>
          <w:szCs w:val="21"/>
          <w:highlight w:val="none"/>
        </w:rPr>
        <w:t>的投标人最低报价与工程成本警示价两者中的较高值；</w:t>
      </w:r>
    </w:p>
    <w:p>
      <w:pPr>
        <w:spacing w:line="360" w:lineRule="auto"/>
        <w:ind w:firstLine="420" w:firstLineChars="200"/>
        <w:rPr>
          <w:rFonts w:ascii="宋体" w:hAnsi="宋体" w:cs="仿宋"/>
          <w:color w:val="auto"/>
          <w:szCs w:val="21"/>
          <w:highlight w:val="none"/>
        </w:rPr>
      </w:pP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高</w:t>
      </w:r>
      <w:r>
        <w:rPr>
          <w:rFonts w:hint="eastAsia" w:ascii="宋体" w:hAnsi="宋体" w:cs="仿宋"/>
          <w:color w:val="auto"/>
          <w:szCs w:val="21"/>
          <w:highlight w:val="none"/>
        </w:rPr>
        <w:t>：为（最高投标限价</w:t>
      </w:r>
      <w:r>
        <w:rPr>
          <w:rFonts w:ascii="宋体" w:hAnsi="宋体" w:cs="仿宋"/>
          <w:color w:val="auto"/>
          <w:szCs w:val="21"/>
          <w:highlight w:val="none"/>
        </w:rPr>
        <w:t>*</w:t>
      </w:r>
      <w:r>
        <w:rPr>
          <w:rFonts w:ascii="宋体" w:hAnsi="宋体" w:cs="宋体"/>
          <w:color w:val="auto"/>
          <w:szCs w:val="21"/>
          <w:highlight w:val="none"/>
          <w:u w:val="single"/>
        </w:rPr>
        <w:t>97%</w:t>
      </w:r>
      <w:r>
        <w:rPr>
          <w:rFonts w:hint="eastAsia" w:ascii="宋体" w:hAnsi="宋体" w:cs="仿宋"/>
          <w:color w:val="auto"/>
          <w:szCs w:val="21"/>
          <w:highlight w:val="none"/>
        </w:rPr>
        <w:t>）</w:t>
      </w:r>
    </w:p>
    <w:p>
      <w:pPr>
        <w:spacing w:line="360" w:lineRule="auto"/>
        <w:ind w:firstLine="420" w:firstLineChars="200"/>
        <w:rPr>
          <w:rFonts w:ascii="宋体" w:hAnsi="宋体"/>
          <w:color w:val="auto"/>
          <w:szCs w:val="21"/>
          <w:highlight w:val="none"/>
        </w:rPr>
      </w:pPr>
      <w:r>
        <w:rPr>
          <w:rFonts w:ascii="宋体" w:hAnsi="宋体" w:cs="仿宋"/>
          <w:color w:val="auto"/>
          <w:szCs w:val="21"/>
          <w:highlight w:val="none"/>
        </w:rPr>
        <w:t>X</w:t>
      </w:r>
      <w:r>
        <w:rPr>
          <w:rFonts w:hint="eastAsia" w:ascii="宋体" w:hAnsi="宋体" w:cs="仿宋"/>
          <w:color w:val="auto"/>
          <w:szCs w:val="21"/>
          <w:highlight w:val="none"/>
        </w:rPr>
        <w:t>：为等分点值，在开标前从</w:t>
      </w:r>
      <w:r>
        <w:rPr>
          <w:rFonts w:ascii="宋体" w:hAnsi="宋体" w:cs="仿宋"/>
          <w:color w:val="auto"/>
          <w:szCs w:val="21"/>
          <w:highlight w:val="none"/>
        </w:rPr>
        <w:t>[0,100]</w:t>
      </w:r>
      <w:r>
        <w:rPr>
          <w:rFonts w:hint="eastAsia" w:ascii="宋体" w:hAnsi="宋体" w:cs="仿宋"/>
          <w:color w:val="auto"/>
          <w:szCs w:val="21"/>
          <w:highlight w:val="none"/>
        </w:rPr>
        <w:t>整数中随机抽取</w:t>
      </w:r>
    </w:p>
    <w:p>
      <w:pPr>
        <w:spacing w:line="360" w:lineRule="auto"/>
        <w:ind w:firstLine="420" w:firstLineChars="200"/>
        <w:rPr>
          <w:rFonts w:ascii="宋体" w:hAnsi="宋体"/>
          <w:color w:val="auto"/>
          <w:szCs w:val="21"/>
          <w:highlight w:val="none"/>
        </w:rPr>
      </w:pPr>
      <w:r>
        <w:rPr>
          <w:rFonts w:hint="eastAsia" w:ascii="宋体" w:hAnsi="宋体" w:cs="宋体"/>
          <w:color w:val="auto"/>
          <w:kern w:val="0"/>
          <w:szCs w:val="21"/>
          <w:highlight w:val="none"/>
        </w:rPr>
        <w:t>45.3</w:t>
      </w:r>
      <w:r>
        <w:rPr>
          <w:rFonts w:hint="eastAsia" w:ascii="宋体" w:hAnsi="宋体"/>
          <w:color w:val="auto"/>
          <w:szCs w:val="21"/>
          <w:highlight w:val="none"/>
        </w:rPr>
        <w:t>当</w:t>
      </w:r>
      <w:r>
        <w:rPr>
          <w:rFonts w:hint="eastAsia" w:ascii="宋体" w:hAnsi="宋体"/>
          <w:color w:val="auto"/>
          <w:szCs w:val="21"/>
          <w:highlight w:val="none"/>
          <w:u w:val="single"/>
        </w:rPr>
        <w:t>投标总报价</w:t>
      </w:r>
      <w:r>
        <w:rPr>
          <w:rFonts w:hint="eastAsia" w:ascii="宋体" w:hAnsi="宋体"/>
          <w:color w:val="auto"/>
          <w:szCs w:val="21"/>
          <w:highlight w:val="none"/>
        </w:rPr>
        <w:t>等于评标参考价时得</w:t>
      </w:r>
      <w:r>
        <w:rPr>
          <w:rFonts w:ascii="宋体" w:hAnsi="宋体"/>
          <w:color w:val="auto"/>
          <w:szCs w:val="21"/>
          <w:highlight w:val="none"/>
        </w:rPr>
        <w:t>100</w:t>
      </w:r>
      <w:r>
        <w:rPr>
          <w:rFonts w:hint="eastAsia" w:ascii="宋体" w:hAnsi="宋体"/>
          <w:color w:val="auto"/>
          <w:szCs w:val="21"/>
          <w:highlight w:val="none"/>
        </w:rPr>
        <w:t>分，</w:t>
      </w:r>
      <w:r>
        <w:rPr>
          <w:rFonts w:hint="eastAsia" w:ascii="宋体" w:hAnsi="宋体"/>
          <w:color w:val="auto"/>
          <w:szCs w:val="21"/>
          <w:highlight w:val="none"/>
          <w:u w:val="single"/>
        </w:rPr>
        <w:t>投标总报价</w:t>
      </w:r>
      <w:r>
        <w:rPr>
          <w:rFonts w:hint="eastAsia" w:ascii="宋体" w:hAnsi="宋体"/>
          <w:color w:val="auto"/>
          <w:szCs w:val="21"/>
          <w:highlight w:val="none"/>
        </w:rPr>
        <w:t>每高于评标参考价</w:t>
      </w:r>
      <w:r>
        <w:rPr>
          <w:rFonts w:ascii="宋体" w:hAnsi="宋体"/>
          <w:color w:val="auto"/>
          <w:szCs w:val="21"/>
          <w:highlight w:val="none"/>
        </w:rPr>
        <w:t>1%</w:t>
      </w:r>
      <w:r>
        <w:rPr>
          <w:rFonts w:hint="eastAsia" w:ascii="宋体" w:hAnsi="宋体"/>
          <w:color w:val="auto"/>
          <w:szCs w:val="21"/>
          <w:highlight w:val="none"/>
        </w:rPr>
        <w:t>，扣</w:t>
      </w:r>
      <w:r>
        <w:rPr>
          <w:rFonts w:hint="eastAsia" w:ascii="宋体" w:hAnsi="宋体"/>
          <w:color w:val="auto"/>
          <w:szCs w:val="21"/>
          <w:highlight w:val="none"/>
          <w:u w:val="single"/>
        </w:rPr>
        <w:t>1</w:t>
      </w:r>
      <w:r>
        <w:rPr>
          <w:rFonts w:hint="eastAsia" w:ascii="宋体" w:hAnsi="宋体"/>
          <w:color w:val="auto"/>
          <w:szCs w:val="21"/>
          <w:highlight w:val="none"/>
        </w:rPr>
        <w:t>分，每低于评标参考价</w:t>
      </w:r>
      <w:r>
        <w:rPr>
          <w:rFonts w:ascii="宋体" w:hAnsi="宋体"/>
          <w:color w:val="auto"/>
          <w:szCs w:val="21"/>
          <w:highlight w:val="none"/>
        </w:rPr>
        <w:t>1%</w:t>
      </w:r>
      <w:r>
        <w:rPr>
          <w:rFonts w:hint="eastAsia" w:ascii="宋体" w:hAnsi="宋体"/>
          <w:color w:val="auto"/>
          <w:szCs w:val="21"/>
          <w:highlight w:val="none"/>
        </w:rPr>
        <w:t>，扣</w:t>
      </w:r>
      <w:r>
        <w:rPr>
          <w:rFonts w:hint="eastAsia" w:ascii="宋体" w:hAnsi="宋体"/>
          <w:color w:val="auto"/>
          <w:szCs w:val="21"/>
          <w:highlight w:val="none"/>
          <w:u w:val="single"/>
        </w:rPr>
        <w:t>0.75</w:t>
      </w:r>
      <w:r>
        <w:rPr>
          <w:rFonts w:hint="eastAsia" w:ascii="宋体" w:hAnsi="宋体"/>
          <w:color w:val="auto"/>
          <w:szCs w:val="21"/>
          <w:highlight w:val="none"/>
        </w:rPr>
        <w:t>分，扣至</w:t>
      </w:r>
      <w:r>
        <w:rPr>
          <w:rFonts w:ascii="宋体" w:hAnsi="宋体"/>
          <w:color w:val="auto"/>
          <w:szCs w:val="21"/>
          <w:highlight w:val="none"/>
        </w:rPr>
        <w:t>0</w:t>
      </w:r>
      <w:r>
        <w:rPr>
          <w:rFonts w:hint="eastAsia" w:ascii="宋体" w:hAnsi="宋体"/>
          <w:color w:val="auto"/>
          <w:szCs w:val="21"/>
          <w:highlight w:val="none"/>
        </w:rPr>
        <w:t>分为止，得出经济分，精确到小数点后两位。</w:t>
      </w:r>
    </w:p>
    <w:p>
      <w:pPr>
        <w:pBdr>
          <w:bottom w:val="single" w:color="auto" w:sz="6" w:space="1"/>
        </w:pBdr>
        <w:spacing w:line="360" w:lineRule="auto"/>
        <w:ind w:firstLine="470" w:firstLineChars="224"/>
        <w:rPr>
          <w:rFonts w:hint="eastAsia" w:ascii="宋体" w:hAnsi="宋体" w:cs="宋体"/>
          <w:strike/>
          <w:color w:val="auto"/>
          <w:szCs w:val="21"/>
          <w:highlight w:val="none"/>
        </w:rPr>
      </w:pPr>
      <w:r>
        <w:rPr>
          <w:rFonts w:hint="eastAsia" w:ascii="宋体" w:hAnsi="宋体"/>
          <w:color w:val="auto"/>
          <w:szCs w:val="21"/>
          <w:highlight w:val="none"/>
        </w:rPr>
        <w:t>45.4</w:t>
      </w:r>
      <w:r>
        <w:rPr>
          <w:rFonts w:hint="eastAsia" w:ascii="宋体"/>
          <w:color w:val="auto"/>
          <w:szCs w:val="21"/>
          <w:highlight w:val="none"/>
        </w:rPr>
        <w:t>计算通过技术标有效性审查的投标人总得分。投标人总得分=</w:t>
      </w:r>
      <w:r>
        <w:rPr>
          <w:rFonts w:hint="eastAsia" w:ascii="宋体"/>
          <w:color w:val="auto"/>
          <w:szCs w:val="21"/>
          <w:highlight w:val="none"/>
          <w:u w:val="single"/>
        </w:rPr>
        <w:t>技术分×技术分权重</w:t>
      </w:r>
      <w:r>
        <w:rPr>
          <w:rFonts w:hint="eastAsia" w:ascii="宋体" w:cs="宋体"/>
          <w:color w:val="auto"/>
          <w:szCs w:val="21"/>
          <w:highlight w:val="none"/>
          <w:u w:val="single"/>
        </w:rPr>
        <w:t>＋</w:t>
      </w:r>
      <w:r>
        <w:rPr>
          <w:rFonts w:hint="eastAsia" w:ascii="宋体"/>
          <w:color w:val="auto"/>
          <w:szCs w:val="21"/>
          <w:highlight w:val="none"/>
          <w:u w:val="single"/>
        </w:rPr>
        <w:t>经济分×经济分权重</w:t>
      </w:r>
      <w:r>
        <w:rPr>
          <w:rFonts w:hint="eastAsia" w:ascii="宋体"/>
          <w:color w:val="auto"/>
          <w:szCs w:val="21"/>
          <w:highlight w:val="none"/>
        </w:rPr>
        <w:t>。技术、经济得分权重按投标须知前附表的规定执行。总得分四舍五入保留两位小数。</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条款号：48                      　　修改类型：修改</w:t>
      </w:r>
    </w:p>
    <w:p>
      <w:pPr>
        <w:widowControl/>
        <w:spacing w:line="360" w:lineRule="auto"/>
        <w:ind w:firstLine="422" w:firstLineChars="200"/>
        <w:jc w:val="left"/>
        <w:rPr>
          <w:rFonts w:hint="eastAsia" w:ascii="宋体" w:hAnsi="宋体" w:cs="宋体"/>
          <w:color w:val="auto"/>
          <w:kern w:val="0"/>
          <w:szCs w:val="21"/>
          <w:highlight w:val="none"/>
        </w:rPr>
      </w:pPr>
      <w:r>
        <w:rPr>
          <w:rFonts w:hint="eastAsia" w:ascii="宋体" w:hAnsi="宋体" w:cs="宋体"/>
          <w:b/>
          <w:color w:val="auto"/>
          <w:szCs w:val="21"/>
          <w:highlight w:val="none"/>
        </w:rPr>
        <w:t>原文：</w:t>
      </w:r>
      <w:r>
        <w:rPr>
          <w:rFonts w:ascii="宋体" w:hAnsi="宋体" w:cs="宋体"/>
          <w:color w:val="auto"/>
          <w:szCs w:val="21"/>
          <w:highlight w:val="none"/>
        </w:rPr>
        <w:t>4</w:t>
      </w:r>
      <w:r>
        <w:rPr>
          <w:rFonts w:hint="eastAsia" w:ascii="宋体" w:hAnsi="宋体" w:cs="宋体"/>
          <w:color w:val="auto"/>
          <w:szCs w:val="21"/>
          <w:highlight w:val="none"/>
        </w:rPr>
        <w:t>8.评标委员会应在通过投标文件经济标有效性审查的投标人中，按步骤45.4确定的投标人第二阶段排序，推荐前</w:t>
      </w:r>
      <w:r>
        <w:rPr>
          <w:rFonts w:ascii="宋体" w:hAnsi="宋体" w:cs="宋体"/>
          <w:color w:val="auto"/>
          <w:szCs w:val="21"/>
          <w:highlight w:val="none"/>
        </w:rPr>
        <w:t>3</w:t>
      </w:r>
      <w:r>
        <w:rPr>
          <w:rFonts w:hint="eastAsia" w:ascii="宋体" w:hAnsi="宋体" w:cs="宋体"/>
          <w:color w:val="auto"/>
          <w:szCs w:val="21"/>
          <w:highlight w:val="none"/>
        </w:rPr>
        <w:t>名依次为第一中标候选人至第三中标候选人，并编制评标报告。</w:t>
      </w:r>
    </w:p>
    <w:p>
      <w:pPr>
        <w:pBdr>
          <w:bottom w:val="single" w:color="auto" w:sz="6" w:space="1"/>
        </w:pBdr>
        <w:spacing w:line="360" w:lineRule="auto"/>
        <w:ind w:firstLine="472" w:firstLineChars="224"/>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ascii="宋体" w:hAnsi="宋体" w:cs="宋体"/>
          <w:color w:val="auto"/>
          <w:szCs w:val="21"/>
          <w:highlight w:val="none"/>
        </w:rPr>
        <w:t>4</w:t>
      </w:r>
      <w:r>
        <w:rPr>
          <w:rFonts w:hint="eastAsia" w:ascii="宋体" w:hAnsi="宋体" w:cs="宋体"/>
          <w:color w:val="auto"/>
          <w:szCs w:val="21"/>
          <w:highlight w:val="none"/>
        </w:rPr>
        <w:t>8.评标委员会应在通过投标文件经济标有效性审查的投标人中，按步骤45.4确定的投标人</w:t>
      </w:r>
      <w:r>
        <w:rPr>
          <w:rFonts w:hint="eastAsia" w:ascii="宋体" w:hAnsi="宋体" w:cs="宋体"/>
          <w:color w:val="auto"/>
          <w:szCs w:val="21"/>
          <w:highlight w:val="none"/>
          <w:u w:val="single"/>
        </w:rPr>
        <w:t>总得分</w:t>
      </w:r>
      <w:r>
        <w:rPr>
          <w:rFonts w:hint="eastAsia" w:ascii="宋体" w:hAnsi="宋体" w:cs="宋体"/>
          <w:color w:val="auto"/>
          <w:szCs w:val="21"/>
          <w:highlight w:val="none"/>
        </w:rPr>
        <w:t>排序，推荐前</w:t>
      </w:r>
      <w:r>
        <w:rPr>
          <w:rFonts w:ascii="宋体" w:hAnsi="宋体" w:cs="宋体"/>
          <w:color w:val="auto"/>
          <w:szCs w:val="21"/>
          <w:highlight w:val="none"/>
        </w:rPr>
        <w:t>3</w:t>
      </w:r>
      <w:r>
        <w:rPr>
          <w:rFonts w:hint="eastAsia" w:ascii="宋体" w:hAnsi="宋体" w:cs="宋体"/>
          <w:color w:val="auto"/>
          <w:szCs w:val="21"/>
          <w:highlight w:val="none"/>
        </w:rPr>
        <w:t>名依次为第一中标候选人至第三中标候选人，并编制评标报告。</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color w:val="auto"/>
          <w:kern w:val="0"/>
          <w:szCs w:val="21"/>
          <w:highlight w:val="none"/>
        </w:rPr>
        <w:t>49</w:t>
      </w:r>
      <w:r>
        <w:rPr>
          <w:rFonts w:hint="eastAsia" w:ascii="宋体" w:hAnsi="宋体" w:cs="宋体"/>
          <w:b/>
          <w:color w:val="auto"/>
          <w:szCs w:val="21"/>
          <w:highlight w:val="none"/>
        </w:rPr>
        <w:t xml:space="preserve">                        　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49</w:t>
      </w:r>
      <w:r>
        <w:rPr>
          <w:rFonts w:hint="eastAsia" w:ascii="宋体" w:hAnsi="宋体"/>
          <w:color w:val="auto"/>
          <w:szCs w:val="21"/>
          <w:highlight w:val="none"/>
        </w:rPr>
        <w:t>若通过经济标有效性审查的投标人不足三家，应当依法重新招标。（当</w:t>
      </w:r>
      <w:r>
        <w:rPr>
          <w:rFonts w:ascii="宋体" w:hAnsi="宋体"/>
          <w:color w:val="auto"/>
          <w:szCs w:val="21"/>
          <w:highlight w:val="none"/>
        </w:rPr>
        <w:t>N</w:t>
      </w:r>
      <w:r>
        <w:rPr>
          <w:rFonts w:hint="eastAsia" w:ascii="宋体" w:hAnsi="宋体"/>
          <w:color w:val="auto"/>
          <w:szCs w:val="21"/>
          <w:highlight w:val="none"/>
        </w:rPr>
        <w:t>个标段同时招标且不允许兼中时，若有效投标人不足</w:t>
      </w:r>
      <w:r>
        <w:rPr>
          <w:rFonts w:ascii="宋体" w:hAnsi="宋体"/>
          <w:color w:val="auto"/>
          <w:szCs w:val="21"/>
          <w:highlight w:val="none"/>
        </w:rPr>
        <w:t>N+2</w:t>
      </w:r>
      <w:r>
        <w:rPr>
          <w:rFonts w:hint="eastAsia" w:ascii="宋体" w:hAnsi="宋体"/>
          <w:color w:val="auto"/>
          <w:szCs w:val="21"/>
          <w:highlight w:val="none"/>
        </w:rPr>
        <w:t>家，应当依法重新招标）</w:t>
      </w:r>
    </w:p>
    <w:p>
      <w:pPr>
        <w:pBdr>
          <w:bottom w:val="single" w:color="auto" w:sz="6" w:space="1"/>
        </w:pBdr>
        <w:spacing w:line="360" w:lineRule="auto"/>
        <w:ind w:firstLine="420" w:firstLineChars="199"/>
        <w:rPr>
          <w:rFonts w:hint="eastAsia" w:ascii="宋体" w:hAnsi="宋体" w:cs="宋体"/>
          <w:strike/>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：49</w:t>
      </w:r>
      <w:r>
        <w:rPr>
          <w:rFonts w:hint="eastAsia" w:ascii="宋体" w:hAnsi="宋体"/>
          <w:color w:val="auto"/>
          <w:szCs w:val="21"/>
          <w:highlight w:val="none"/>
          <w:u w:val="single"/>
        </w:rPr>
        <w:t>若通过经济标有效性审查的投标人不足三家，应当依法重新招标。</w:t>
      </w:r>
    </w:p>
    <w:p>
      <w:pPr>
        <w:spacing w:line="360" w:lineRule="auto"/>
        <w:ind w:firstLine="472" w:firstLineChars="224"/>
        <w:rPr>
          <w:b/>
          <w:color w:val="auto"/>
          <w:szCs w:val="21"/>
          <w:highlight w:val="none"/>
        </w:rPr>
      </w:pPr>
      <w:r>
        <w:rPr>
          <w:rFonts w:hint="eastAsia" w:ascii="宋体" w:hAnsi="宋体" w:cs="宋体"/>
          <w:b/>
          <w:color w:val="auto"/>
          <w:szCs w:val="21"/>
          <w:highlight w:val="none"/>
        </w:rPr>
        <w:t>条款号：附表一《资格审查表》                   修改类型：修改</w:t>
      </w:r>
    </w:p>
    <w:p>
      <w:pPr>
        <w:spacing w:line="360" w:lineRule="auto"/>
        <w:ind w:firstLine="472" w:firstLineChars="224"/>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22" w:firstLineChars="200"/>
        <w:rPr>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详见本招标文件第二章附表一《资格审查表》</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条款号：附表二 《技术标有效性审查表》          修改类型：修改</w:t>
      </w:r>
    </w:p>
    <w:p>
      <w:pPr>
        <w:spacing w:line="360" w:lineRule="auto"/>
        <w:ind w:firstLine="472" w:firstLineChars="224"/>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详见本招标文件第二章附表二《技术标有效性审查表》</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条款号：附表三《经济标有效性审查表》           修改类型：修改</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详见本招标文件第二章附表三《经济标有效性审查表》</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 xml:space="preserve">条款号：附表四《技术标详细审查评分表》         修改类型：修改  </w:t>
      </w:r>
    </w:p>
    <w:p>
      <w:pPr>
        <w:spacing w:line="360" w:lineRule="auto"/>
        <w:ind w:firstLine="472" w:firstLineChars="224"/>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详见本招标文件第二章附表四《技术标详细审查评分表》</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条款号：附表五（适用于加权平均法）《经济标评分表》        修改类型：删除</w:t>
      </w:r>
    </w:p>
    <w:p>
      <w:pPr>
        <w:pBdr>
          <w:bottom w:val="single" w:color="auto" w:sz="6" w:space="1"/>
        </w:pBd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pPr>
        <w:spacing w:line="360" w:lineRule="auto"/>
        <w:ind w:firstLine="422" w:firstLineChars="200"/>
        <w:rPr>
          <w:rFonts w:hint="eastAsia" w:ascii="宋体" w:hAnsi="宋体"/>
          <w:b/>
          <w:strike w:val="0"/>
          <w:color w:val="auto"/>
          <w:szCs w:val="21"/>
          <w:highlight w:val="none"/>
        </w:rPr>
      </w:pPr>
      <w:r>
        <w:rPr>
          <w:rFonts w:hint="eastAsia" w:ascii="宋体" w:hAnsi="宋体"/>
          <w:b/>
          <w:strike w:val="0"/>
          <w:color w:val="auto"/>
          <w:szCs w:val="21"/>
          <w:highlight w:val="none"/>
        </w:rPr>
        <w:t>注：以上修改，仅限于本范本中有可供选择条款的情形。</w:t>
      </w:r>
    </w:p>
    <w:p>
      <w:pPr>
        <w:spacing w:line="360" w:lineRule="auto"/>
        <w:rPr>
          <w:color w:val="auto"/>
          <w:highlight w:val="none"/>
        </w:rPr>
      </w:pPr>
      <w:r>
        <w:rPr>
          <w:rFonts w:hint="eastAsia"/>
          <w:b/>
          <w:color w:val="auto"/>
          <w:szCs w:val="21"/>
          <w:highlight w:val="none"/>
        </w:rPr>
        <w:t>（以下无正文）</w:t>
      </w:r>
    </w:p>
    <w:p>
      <w:pPr>
        <w:pStyle w:val="7"/>
        <w:spacing w:line="360" w:lineRule="auto"/>
        <w:rPr>
          <w:color w:val="auto"/>
          <w:highlight w:val="none"/>
        </w:rPr>
      </w:pPr>
      <w:r>
        <w:rPr>
          <w:color w:val="auto"/>
          <w:highlight w:val="none"/>
        </w:rPr>
        <w:br w:type="page"/>
      </w:r>
    </w:p>
    <w:p>
      <w:pPr>
        <w:pStyle w:val="6"/>
        <w:ind w:firstLine="0"/>
        <w:rPr>
          <w:color w:val="auto"/>
          <w:highlight w:val="none"/>
        </w:rPr>
      </w:pPr>
      <w:bookmarkStart w:id="33" w:name="_Toc127886592"/>
      <w:bookmarkStart w:id="34" w:name="_Toc2272556"/>
      <w:r>
        <w:rPr>
          <w:rFonts w:hint="eastAsia"/>
          <w:color w:val="auto"/>
          <w:highlight w:val="none"/>
        </w:rPr>
        <w:t>二、开标、评标及定标办法</w:t>
      </w:r>
      <w:r>
        <w:rPr>
          <w:rFonts w:hint="eastAsia"/>
          <w:color w:val="auto"/>
          <w:szCs w:val="30"/>
          <w:highlight w:val="none"/>
        </w:rPr>
        <w:t>通用条款</w:t>
      </w:r>
      <w:bookmarkEnd w:id="33"/>
    </w:p>
    <w:p>
      <w:pPr>
        <w:widowControl/>
        <w:spacing w:before="100" w:beforeAutospacing="1" w:after="100" w:afterAutospacing="1"/>
        <w:ind w:firstLine="540" w:firstLineChars="200"/>
        <w:jc w:val="left"/>
        <w:outlineLvl w:val="2"/>
        <w:rPr>
          <w:rFonts w:ascii="宋体" w:hAnsi="宋体" w:cs="宋体"/>
          <w:color w:val="auto"/>
          <w:kern w:val="0"/>
          <w:sz w:val="27"/>
          <w:szCs w:val="27"/>
          <w:highlight w:val="none"/>
        </w:rPr>
      </w:pPr>
      <w:bookmarkStart w:id="35" w:name="_Toc127886593"/>
      <w:r>
        <w:rPr>
          <w:rFonts w:hint="eastAsia" w:ascii="宋体" w:hAnsi="宋体" w:cs="宋体"/>
          <w:color w:val="auto"/>
          <w:kern w:val="0"/>
          <w:sz w:val="27"/>
          <w:szCs w:val="27"/>
          <w:highlight w:val="none"/>
        </w:rPr>
        <w:t>（一）总则</w:t>
      </w:r>
      <w:bookmarkEnd w:id="35"/>
    </w:p>
    <w:p>
      <w:pPr>
        <w:spacing w:line="360" w:lineRule="auto"/>
        <w:ind w:firstLine="480" w:firstLineChars="200"/>
        <w:rPr>
          <w:rFonts w:ascii="宋体" w:hAnsi="宋体"/>
          <w:b/>
          <w:color w:val="auto"/>
          <w:sz w:val="24"/>
          <w:szCs w:val="24"/>
          <w:highlight w:val="none"/>
        </w:rPr>
      </w:pPr>
      <w:r>
        <w:rPr>
          <w:rFonts w:ascii="宋体" w:hAnsi="宋体"/>
          <w:color w:val="auto"/>
          <w:sz w:val="24"/>
          <w:szCs w:val="24"/>
          <w:highlight w:val="none"/>
        </w:rPr>
        <w:t xml:space="preserve">35 </w:t>
      </w:r>
      <w:r>
        <w:rPr>
          <w:rFonts w:hint="eastAsia" w:ascii="宋体" w:hAnsi="宋体"/>
          <w:color w:val="auto"/>
          <w:sz w:val="24"/>
          <w:szCs w:val="24"/>
          <w:highlight w:val="none"/>
        </w:rPr>
        <w:t>开标、评标及定标所依据的规则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35.1</w:t>
      </w:r>
      <w:r>
        <w:rPr>
          <w:rFonts w:hint="eastAsia" w:ascii="宋体" w:hAnsi="宋体"/>
          <w:color w:val="auto"/>
          <w:sz w:val="24"/>
          <w:szCs w:val="24"/>
          <w:highlight w:val="none"/>
        </w:rPr>
        <w:t>《中华人民共和国招标投标法》；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35.2</w:t>
      </w:r>
      <w:r>
        <w:rPr>
          <w:rFonts w:hint="eastAsia" w:ascii="宋体" w:hAnsi="宋体"/>
          <w:color w:val="auto"/>
          <w:sz w:val="24"/>
          <w:szCs w:val="24"/>
          <w:highlight w:val="none"/>
        </w:rPr>
        <w:t>《中华人民共和国招标投标法实施条例》；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35.3</w:t>
      </w:r>
      <w:r>
        <w:rPr>
          <w:rFonts w:hint="eastAsia" w:ascii="宋体" w:hAnsi="宋体"/>
          <w:color w:val="auto"/>
          <w:sz w:val="24"/>
          <w:szCs w:val="24"/>
          <w:highlight w:val="none"/>
        </w:rPr>
        <w:t>《评标委员会和评标方法暂行规定》（七部委第</w:t>
      </w:r>
      <w:r>
        <w:rPr>
          <w:rFonts w:ascii="宋体" w:hAnsi="宋体"/>
          <w:color w:val="auto"/>
          <w:sz w:val="24"/>
          <w:szCs w:val="24"/>
          <w:highlight w:val="none"/>
        </w:rPr>
        <w:t>12</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35.4</w:t>
      </w:r>
      <w:r>
        <w:rPr>
          <w:rFonts w:hint="eastAsia" w:ascii="宋体" w:hAnsi="宋体"/>
          <w:color w:val="auto"/>
          <w:sz w:val="24"/>
          <w:szCs w:val="24"/>
          <w:highlight w:val="none"/>
        </w:rPr>
        <w:t>《工程建设项目施工招标投标办法》（七部委</w:t>
      </w:r>
      <w:r>
        <w:rPr>
          <w:rFonts w:ascii="宋体" w:hAnsi="宋体"/>
          <w:color w:val="auto"/>
          <w:sz w:val="24"/>
          <w:szCs w:val="24"/>
          <w:highlight w:val="none"/>
        </w:rPr>
        <w:t>2003</w:t>
      </w:r>
      <w:r>
        <w:rPr>
          <w:rFonts w:hint="eastAsia" w:ascii="宋体" w:hAnsi="宋体"/>
          <w:color w:val="auto"/>
          <w:sz w:val="24"/>
          <w:szCs w:val="24"/>
          <w:highlight w:val="none"/>
        </w:rPr>
        <w:t>年第</w:t>
      </w:r>
      <w:r>
        <w:rPr>
          <w:rFonts w:ascii="宋体" w:hAnsi="宋体"/>
          <w:color w:val="auto"/>
          <w:sz w:val="24"/>
          <w:szCs w:val="24"/>
          <w:highlight w:val="none"/>
        </w:rPr>
        <w:t>30</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35.5</w:t>
      </w:r>
      <w:r>
        <w:rPr>
          <w:rFonts w:hint="eastAsia" w:ascii="宋体" w:hAnsi="宋体"/>
          <w:color w:val="auto"/>
          <w:sz w:val="24"/>
          <w:szCs w:val="24"/>
          <w:highlight w:val="none"/>
        </w:rPr>
        <w:t>《广东省实施〈中华人民共和国招标投标法〉办法》；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35.6</w:t>
      </w:r>
      <w:r>
        <w:rPr>
          <w:rFonts w:hint="eastAsia" w:ascii="宋体" w:hAnsi="宋体"/>
          <w:color w:val="auto"/>
          <w:sz w:val="24"/>
          <w:szCs w:val="24"/>
          <w:highlight w:val="none"/>
        </w:rPr>
        <w:t>《房屋建筑和市政基础设施工程施工招标投标管理办法》（建设部令第</w:t>
      </w:r>
      <w:r>
        <w:rPr>
          <w:rFonts w:ascii="宋体" w:hAnsi="宋体"/>
          <w:color w:val="auto"/>
          <w:sz w:val="24"/>
          <w:szCs w:val="24"/>
          <w:highlight w:val="none"/>
        </w:rPr>
        <w:t>89</w:t>
      </w:r>
      <w:r>
        <w:rPr>
          <w:rFonts w:hint="eastAsia" w:ascii="宋体" w:hAnsi="宋体"/>
          <w:color w:val="auto"/>
          <w:sz w:val="24"/>
          <w:szCs w:val="24"/>
          <w:highlight w:val="none"/>
        </w:rPr>
        <w:t>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35.7</w:t>
      </w:r>
      <w:r>
        <w:rPr>
          <w:rFonts w:hint="eastAsia" w:ascii="宋体" w:hAnsi="宋体"/>
          <w:color w:val="auto"/>
          <w:sz w:val="24"/>
          <w:szCs w:val="24"/>
          <w:highlight w:val="none"/>
        </w:rPr>
        <w:t>《广东省加强建设工程招标投标监督管理的若干规定》（粤发[2004]4号）；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w:t>
      </w:r>
      <w:r>
        <w:rPr>
          <w:rFonts w:hint="eastAsia" w:ascii="宋体" w:hAnsi="宋体"/>
          <w:color w:val="auto"/>
          <w:sz w:val="24"/>
          <w:szCs w:val="24"/>
          <w:highlight w:val="none"/>
        </w:rPr>
        <w:t>8《广州市工程建设项目招标投标管理办法》（穗府办规〔2017〕5号）。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35.9本项目招标文件。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w:t>
      </w:r>
      <w:r>
        <w:rPr>
          <w:rFonts w:hint="eastAsia" w:ascii="宋体" w:hAnsi="宋体"/>
          <w:color w:val="auto"/>
          <w:sz w:val="24"/>
          <w:szCs w:val="24"/>
          <w:highlight w:val="none"/>
        </w:rPr>
        <w:t>．开标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36.1 </w:t>
      </w:r>
      <w:r>
        <w:rPr>
          <w:rFonts w:hint="eastAsia" w:ascii="宋体" w:hAnsi="宋体"/>
          <w:color w:val="auto"/>
          <w:sz w:val="24"/>
          <w:szCs w:val="24"/>
          <w:highlight w:val="none"/>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36.2</w:t>
      </w:r>
      <w:r>
        <w:rPr>
          <w:rFonts w:hint="eastAsia" w:ascii="宋体" w:hAnsi="宋体"/>
          <w:color w:val="auto"/>
          <w:sz w:val="24"/>
          <w:szCs w:val="24"/>
          <w:highlight w:val="none"/>
        </w:rPr>
        <w:t xml:space="preserve"> 招标人在招标文件要求提交投标文件的截止时间前收到的投标文件，开标时都当众予以解密、公布。</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36.4若递交投标文件的投标人不足3家，则重新组织招标。（当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36.5按下列程序进行开标：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36.5.1在投标截止时间后半小时内，投标人通过</w:t>
      </w:r>
      <w:r>
        <w:rPr>
          <w:rFonts w:ascii="宋体" w:hAnsi="宋体"/>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对已递交的电子投标文件进行解密。投标人完成解密后，再由招标人进行解密。解密完成后，公布招标项目名称、投标人名称、投标保证金的递交情况、投标报价、工期及其他内容；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36.5.2备用光盘的读取按投标须知前附表第36项的规定执行；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36.5.4开标结束。</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．评标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37.1</w:t>
      </w:r>
      <w:r>
        <w:rPr>
          <w:rFonts w:hint="eastAsia" w:ascii="宋体" w:hAnsi="宋体"/>
          <w:color w:val="auto"/>
          <w:sz w:val="24"/>
          <w:szCs w:val="24"/>
          <w:highlight w:val="none"/>
        </w:rPr>
        <w:t>评标委员会由招标人依法组建。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w:t>
      </w:r>
      <w:r>
        <w:rPr>
          <w:rFonts w:hint="eastAsia" w:ascii="宋体" w:hAnsi="宋体"/>
          <w:color w:val="auto"/>
          <w:sz w:val="24"/>
          <w:szCs w:val="24"/>
          <w:highlight w:val="none"/>
        </w:rPr>
        <w:t>评标委员会的职责及守则：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37.2.1</w:t>
      </w:r>
      <w:r>
        <w:rPr>
          <w:rFonts w:hint="eastAsia" w:ascii="宋体" w:hAnsi="宋体"/>
          <w:color w:val="auto"/>
          <w:sz w:val="24"/>
          <w:szCs w:val="24"/>
          <w:highlight w:val="none"/>
        </w:rPr>
        <w:t>根据评标细则，对</w:t>
      </w:r>
      <w:r>
        <w:rPr>
          <w:rFonts w:hint="eastAsia" w:ascii="宋体" w:hAnsi="宋体"/>
          <w:color w:val="auto"/>
          <w:sz w:val="24"/>
          <w:highlight w:val="none"/>
        </w:rPr>
        <w:t>投标文件</w:t>
      </w:r>
      <w:r>
        <w:rPr>
          <w:rFonts w:hint="eastAsia" w:ascii="宋体" w:hAnsi="宋体"/>
          <w:color w:val="auto"/>
          <w:sz w:val="24"/>
          <w:szCs w:val="24"/>
          <w:highlight w:val="none"/>
        </w:rPr>
        <w:t>进行认真评审，完成评审报告；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37.2.2</w:t>
      </w:r>
      <w:r>
        <w:rPr>
          <w:rFonts w:hint="eastAsia" w:ascii="宋体" w:hAnsi="宋体"/>
          <w:color w:val="auto"/>
          <w:sz w:val="24"/>
          <w:szCs w:val="24"/>
          <w:highlight w:val="none"/>
        </w:rPr>
        <w:t>向招标人报告评审意见，推荐合格的中标候选人。</w:t>
      </w:r>
    </w:p>
    <w:p>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37.2.3</w:t>
      </w:r>
      <w:r>
        <w:rPr>
          <w:rFonts w:ascii="宋体" w:hAnsi="宋体"/>
          <w:b/>
          <w:bCs/>
          <w:color w:val="auto"/>
          <w:sz w:val="24"/>
          <w:szCs w:val="24"/>
          <w:highlight w:val="none"/>
        </w:rPr>
        <w:t xml:space="preserve"> </w:t>
      </w:r>
      <w:r>
        <w:rPr>
          <w:rFonts w:hint="eastAsia" w:ascii="宋体" w:hAnsi="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37.2.4</w:t>
      </w:r>
      <w:r>
        <w:rPr>
          <w:rFonts w:hint="eastAsia" w:ascii="宋体" w:hAnsi="宋体"/>
          <w:color w:val="auto"/>
          <w:sz w:val="24"/>
          <w:szCs w:val="24"/>
          <w:highlight w:val="none"/>
        </w:rPr>
        <w:t>全体参与评标人员：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37.2.4.1 </w:t>
      </w:r>
      <w:r>
        <w:rPr>
          <w:rFonts w:hint="eastAsia" w:ascii="宋体" w:hAnsi="宋体"/>
          <w:color w:val="auto"/>
          <w:sz w:val="24"/>
          <w:szCs w:val="24"/>
          <w:highlight w:val="none"/>
        </w:rPr>
        <w:t>必须遵守评标纪律、不得泄密；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37.2.4.2 </w:t>
      </w:r>
      <w:r>
        <w:rPr>
          <w:rFonts w:hint="eastAsia" w:ascii="宋体" w:hAnsi="宋体"/>
          <w:color w:val="auto"/>
          <w:sz w:val="24"/>
          <w:szCs w:val="24"/>
          <w:highlight w:val="none"/>
        </w:rPr>
        <w:t>必须公正、不得循私；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37.2.4.3 </w:t>
      </w:r>
      <w:r>
        <w:rPr>
          <w:rFonts w:hint="eastAsia" w:ascii="宋体" w:hAnsi="宋体"/>
          <w:color w:val="auto"/>
          <w:sz w:val="24"/>
          <w:szCs w:val="24"/>
          <w:highlight w:val="none"/>
        </w:rPr>
        <w:t>必须科学、不得草率；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37.2.4.4 </w:t>
      </w:r>
      <w:r>
        <w:rPr>
          <w:rFonts w:hint="eastAsia" w:ascii="宋体" w:hAnsi="宋体"/>
          <w:color w:val="auto"/>
          <w:sz w:val="24"/>
          <w:szCs w:val="24"/>
          <w:highlight w:val="none"/>
        </w:rPr>
        <w:t>必须客观、不得带有成见；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37.2.4.5 </w:t>
      </w:r>
      <w:r>
        <w:rPr>
          <w:rFonts w:hint="eastAsia" w:ascii="宋体" w:hAnsi="宋体"/>
          <w:color w:val="auto"/>
          <w:sz w:val="24"/>
          <w:szCs w:val="24"/>
          <w:highlight w:val="none"/>
        </w:rPr>
        <w:t>必须平等、不得强加于人；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37.2.4.6 </w:t>
      </w:r>
      <w:r>
        <w:rPr>
          <w:rFonts w:hint="eastAsia" w:ascii="宋体" w:hAnsi="宋体"/>
          <w:color w:val="auto"/>
          <w:sz w:val="24"/>
          <w:szCs w:val="24"/>
          <w:highlight w:val="none"/>
        </w:rPr>
        <w:t>必须严谨、不得随意马虎。</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37.3 </w:t>
      </w:r>
      <w:r>
        <w:rPr>
          <w:rFonts w:hint="eastAsia" w:ascii="宋体" w:hAnsi="宋体"/>
          <w:color w:val="auto"/>
          <w:sz w:val="24"/>
          <w:szCs w:val="24"/>
          <w:highlight w:val="none"/>
        </w:rPr>
        <w:t>评标结束后，评标委员会递交评标报告并依法推荐中标候选人。</w:t>
      </w:r>
      <w:r>
        <w:rPr>
          <w:rFonts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w:t>
      </w:r>
      <w:r>
        <w:rPr>
          <w:rFonts w:hint="eastAsia" w:ascii="宋体" w:hAnsi="宋体"/>
          <w:color w:val="auto"/>
          <w:sz w:val="24"/>
          <w:szCs w:val="24"/>
          <w:highlight w:val="none"/>
        </w:rPr>
        <w:t>．投标文件的澄清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38.1</w:t>
      </w:r>
      <w:r>
        <w:rPr>
          <w:rFonts w:hint="eastAsia" w:ascii="宋体" w:hAnsi="宋体"/>
          <w:color w:val="auto"/>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38.2 </w:t>
      </w:r>
      <w:r>
        <w:rPr>
          <w:rFonts w:hint="eastAsia" w:ascii="宋体" w:hAnsi="宋体"/>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38.3 </w:t>
      </w:r>
      <w:r>
        <w:rPr>
          <w:rFonts w:hint="eastAsia" w:ascii="宋体" w:hAnsi="宋体"/>
          <w:color w:val="auto"/>
          <w:sz w:val="24"/>
          <w:szCs w:val="24"/>
          <w:highlight w:val="none"/>
        </w:rPr>
        <w:t>评标委员会或评标委员会专业评审组成员均应当阅读投标人的澄清，但应独立参考澄清对投标文件进行评审。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38.4</w:t>
      </w:r>
      <w:r>
        <w:rPr>
          <w:rFonts w:hint="eastAsia" w:ascii="宋体" w:hAnsi="宋体"/>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w:t>
      </w:r>
      <w:r>
        <w:rPr>
          <w:rFonts w:hint="eastAsia" w:ascii="宋体" w:hAnsi="宋体"/>
          <w:color w:val="auto"/>
          <w:sz w:val="24"/>
          <w:szCs w:val="24"/>
          <w:highlight w:val="none"/>
        </w:rPr>
        <w:t>．定标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39.1 </w:t>
      </w:r>
      <w:r>
        <w:rPr>
          <w:rFonts w:hint="eastAsia" w:ascii="宋体" w:hAnsi="宋体"/>
          <w:color w:val="auto"/>
          <w:sz w:val="24"/>
          <w:szCs w:val="24"/>
          <w:highlight w:val="none"/>
        </w:rPr>
        <w:t>招标人根据评标委员会递交的评标报告，最终审定中标人。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39.2 </w:t>
      </w:r>
      <w:r>
        <w:rPr>
          <w:rFonts w:hint="eastAsia" w:ascii="宋体" w:hAnsi="宋体"/>
          <w:color w:val="auto"/>
          <w:sz w:val="24"/>
          <w:szCs w:val="24"/>
          <w:highlight w:val="none"/>
        </w:rPr>
        <w:t>依法必须进行公开招标的项目，招标人应当确定排名第一的中标候选人为中标人。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39.3</w:t>
      </w:r>
      <w:r>
        <w:rPr>
          <w:rFonts w:hint="eastAsia" w:ascii="宋体" w:hAnsi="宋体"/>
          <w:color w:val="auto"/>
          <w:sz w:val="24"/>
          <w:szCs w:val="24"/>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39.4</w:t>
      </w:r>
      <w:r>
        <w:rPr>
          <w:rFonts w:hint="eastAsia" w:ascii="宋体" w:hAnsi="宋体"/>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widowControl/>
        <w:spacing w:before="100" w:beforeAutospacing="1" w:after="100" w:afterAutospacing="1"/>
        <w:ind w:firstLine="540" w:firstLineChars="200"/>
        <w:jc w:val="left"/>
        <w:outlineLvl w:val="2"/>
        <w:rPr>
          <w:rFonts w:ascii="宋体" w:hAnsi="宋体" w:cs="宋体"/>
          <w:color w:val="auto"/>
          <w:kern w:val="0"/>
          <w:sz w:val="27"/>
          <w:szCs w:val="27"/>
          <w:highlight w:val="none"/>
        </w:rPr>
      </w:pPr>
      <w:bookmarkStart w:id="36" w:name="_Toc127886594"/>
      <w:r>
        <w:rPr>
          <w:rFonts w:hint="eastAsia" w:ascii="宋体" w:hAnsi="宋体" w:cs="宋体"/>
          <w:color w:val="auto"/>
          <w:kern w:val="0"/>
          <w:sz w:val="27"/>
          <w:szCs w:val="27"/>
          <w:highlight w:val="none"/>
        </w:rPr>
        <w:t>（二）开标评标办法程序和细则</w:t>
      </w:r>
      <w:bookmarkEnd w:id="36"/>
    </w:p>
    <w:p>
      <w:pPr>
        <w:jc w:val="left"/>
        <w:rPr>
          <w:rFonts w:hint="eastAsia" w:ascii="宋体" w:hAnsi="宋体" w:cs="宋体"/>
          <w:color w:val="auto"/>
          <w:highlight w:val="none"/>
        </w:rPr>
      </w:pPr>
    </w:p>
    <w:p>
      <w:pPr>
        <w:widowControl/>
        <w:spacing w:before="100" w:beforeAutospacing="1" w:after="100" w:afterAutospacing="1"/>
        <w:ind w:firstLine="420" w:firstLineChars="200"/>
        <w:jc w:val="left"/>
        <w:outlineLvl w:val="2"/>
        <w:rPr>
          <w:rFonts w:ascii="宋体" w:hAnsi="宋体" w:cs="宋体"/>
          <w:color w:val="auto"/>
          <w:kern w:val="0"/>
          <w:sz w:val="27"/>
          <w:szCs w:val="27"/>
          <w:highlight w:val="none"/>
        </w:rPr>
      </w:pPr>
      <w:r>
        <w:rPr>
          <w:rFonts w:ascii="宋体" w:hAnsi="宋体" w:cs="宋体"/>
          <w:color w:val="auto"/>
          <w:highlight w:val="none"/>
        </w:rPr>
        <w:br w:type="page"/>
      </w:r>
      <w:bookmarkEnd w:id="34"/>
      <w:bookmarkStart w:id="37" w:name="_Toc2272564"/>
      <w:bookmarkStart w:id="38" w:name="_Toc127886595"/>
      <w:r>
        <w:rPr>
          <w:rFonts w:hint="eastAsia" w:ascii="宋体" w:hAnsi="宋体" w:cs="宋体"/>
          <w:color w:val="auto"/>
          <w:kern w:val="0"/>
          <w:sz w:val="27"/>
          <w:szCs w:val="27"/>
          <w:highlight w:val="none"/>
        </w:rPr>
        <w:t>可选办法七（适合综合评分法四，技术标与经济标同时开启）</w:t>
      </w:r>
      <w:bookmarkEnd w:id="37"/>
      <w:bookmarkEnd w:id="38"/>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40．开标和评标程序</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40.1技术标（含资格审查文件）与经济标投标文件同时公开开标；</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40.2由评标委员会对所有已公开开标的投标人进行资格审查；</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40.3技术标投标文件有效性审查；</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40.4技术标详细审查评分；</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40.5经济标详细审查评分；</w:t>
      </w:r>
      <w:r>
        <w:rPr>
          <w:rFonts w:ascii="宋体" w:hAnsi="宋体"/>
          <w:color w:val="auto"/>
          <w:sz w:val="24"/>
          <w:szCs w:val="24"/>
          <w:highlight w:val="none"/>
        </w:rPr>
        <w:t xml:space="preserve"> </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40.6评标委员会按照投标人总得分由高至低排序；</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40.7经济标投标文件有效性审查；</w:t>
      </w:r>
    </w:p>
    <w:p>
      <w:pPr>
        <w:snapToGrid w:val="0"/>
        <w:spacing w:line="360" w:lineRule="auto"/>
        <w:ind w:firstLine="480" w:firstLineChars="200"/>
        <w:rPr>
          <w:rFonts w:ascii="宋体" w:hAnsi="宋体"/>
          <w:color w:val="auto"/>
          <w:szCs w:val="21"/>
          <w:highlight w:val="none"/>
        </w:rPr>
      </w:pPr>
      <w:r>
        <w:rPr>
          <w:rFonts w:hint="eastAsia" w:ascii="宋体" w:hAnsi="宋体"/>
          <w:color w:val="auto"/>
          <w:sz w:val="24"/>
          <w:szCs w:val="24"/>
          <w:highlight w:val="none"/>
        </w:rPr>
        <w:t>40.8评标委员会按排序向招标人推荐中标候选人名单，并递交资格审查报告及评标报告。</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41．开标细则</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41.1开标由招标人主持；</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41.2 细则</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w:t>
      </w:r>
      <w:r>
        <w:rPr>
          <w:rFonts w:hint="eastAsia" w:ascii="宋体" w:hAnsi="宋体"/>
          <w:color w:val="auto"/>
          <w:sz w:val="24"/>
          <w:szCs w:val="24"/>
          <w:highlight w:val="none"/>
        </w:rPr>
        <w:t>2.1投标截止期前，各投标人递交投标文件（包括技术标投标文件、经济标投标文件）至</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交易平台。有关投标文件提交的事项详见第一章投标须知。 </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41.2.2开标前，首先由招标人随机抽取确定该工程计算评标参考价的等分点值X。</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41.2.4按36.5.1的规定完成解密后，公布下列内容，并予以记录，记录提交评标委员会评审： </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41.2.4.1开标时，公布：a、投标人名称；b、</w:t>
      </w:r>
      <w:r>
        <w:rPr>
          <w:rFonts w:hint="eastAsia" w:ascii="宋体" w:hAnsi="宋体"/>
          <w:color w:val="auto"/>
          <w:sz w:val="24"/>
          <w:highlight w:val="none"/>
        </w:rPr>
        <w:t>投标文件</w:t>
      </w:r>
      <w:r>
        <w:rPr>
          <w:rFonts w:hint="eastAsia" w:ascii="宋体" w:hAnsi="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41.3招标人对开标过程进行记录，并存档备查，投标人在技术标开标记录上签字。</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41.4 招标人将上述符合要求的投标文件，送至评标委员会进行评审。</w:t>
      </w:r>
    </w:p>
    <w:p>
      <w:pPr>
        <w:tabs>
          <w:tab w:val="left" w:pos="7380"/>
        </w:tabs>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 资格审查及评标细则</w:t>
      </w:r>
    </w:p>
    <w:p>
      <w:pPr>
        <w:tabs>
          <w:tab w:val="left" w:pos="7380"/>
        </w:tabs>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42.1资格审查及评标均由招标人依法组建的评标委员会负责。</w:t>
      </w:r>
    </w:p>
    <w:p>
      <w:pPr>
        <w:tabs>
          <w:tab w:val="left" w:pos="7380"/>
        </w:tabs>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42.2评标委员会的组成：方式</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方式一：评标委员会为综合评标委员会，负责资格审查及评标工作。</w:t>
      </w:r>
    </w:p>
    <w:p>
      <w:pPr>
        <w:tabs>
          <w:tab w:val="left" w:pos="7380"/>
        </w:tabs>
        <w:snapToGrid w:val="0"/>
        <w:spacing w:line="360" w:lineRule="auto"/>
        <w:ind w:firstLine="420"/>
        <w:rPr>
          <w:rFonts w:ascii="宋体" w:hAnsi="宋体"/>
          <w:color w:val="auto"/>
          <w:sz w:val="24"/>
          <w:szCs w:val="24"/>
          <w:highlight w:val="none"/>
        </w:rPr>
      </w:pPr>
      <w:r>
        <w:rPr>
          <w:rFonts w:hint="eastAsia" w:ascii="宋体" w:hAnsi="宋体"/>
          <w:color w:val="auto"/>
          <w:sz w:val="24"/>
          <w:szCs w:val="24"/>
          <w:highlight w:val="none"/>
        </w:rPr>
        <w:t>方式二：评标委员会由技术评审组和经济评审组组成。其中：资格审查及技术评审由技术评标组负责，经济评审由经济评审组负责。</w:t>
      </w:r>
    </w:p>
    <w:p>
      <w:pPr>
        <w:tabs>
          <w:tab w:val="left" w:pos="7380"/>
        </w:tabs>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43．投标人资格审查</w:t>
      </w:r>
    </w:p>
    <w:p>
      <w:pPr>
        <w:tabs>
          <w:tab w:val="left" w:pos="7380"/>
        </w:tabs>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tabs>
          <w:tab w:val="left" w:pos="7380"/>
        </w:tabs>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43.2汇总资格审查情况，编写资格审查报告。</w:t>
      </w:r>
    </w:p>
    <w:p>
      <w:pPr>
        <w:tabs>
          <w:tab w:val="left" w:pos="7380"/>
        </w:tabs>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43.3资格审查不合格的投标文件不参加下一阶段的评标，不参与评标参考价的计算。</w:t>
      </w:r>
    </w:p>
    <w:p>
      <w:pPr>
        <w:tabs>
          <w:tab w:val="left" w:pos="7380"/>
        </w:tabs>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tabs>
          <w:tab w:val="left" w:pos="7380"/>
        </w:tabs>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43.5资审合格后，投标人的资格发生变化而不满足投标人合格条件，在发出中标通知书前，资格问题仍未解决的，招标人将取消其中标资格。</w:t>
      </w:r>
    </w:p>
    <w:p>
      <w:pPr>
        <w:tabs>
          <w:tab w:val="left" w:pos="7380"/>
        </w:tabs>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43.6资格审查合格的投标人少于3名的（当N个标段同时招标且不允许兼中时，资格审查合格的投标人少于N+2名），则本项目招标失败。</w:t>
      </w:r>
    </w:p>
    <w:p>
      <w:pPr>
        <w:tabs>
          <w:tab w:val="left" w:pos="7380"/>
        </w:tabs>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44．技术标评审</w:t>
      </w:r>
    </w:p>
    <w:p>
      <w:pPr>
        <w:tabs>
          <w:tab w:val="left" w:pos="7380"/>
        </w:tabs>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tabs>
          <w:tab w:val="left" w:pos="7380"/>
        </w:tabs>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tabs>
          <w:tab w:val="left" w:pos="7380"/>
        </w:tabs>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45．经济标评审和得分汇总</w:t>
      </w:r>
    </w:p>
    <w:p>
      <w:pPr>
        <w:tabs>
          <w:tab w:val="left" w:pos="7380"/>
        </w:tabs>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45.1若通过技术标有效性审查的投标人中有投标报价均大于等于最高投标限价*D%（D的取值范围为[94,100],由招标人自主确定）的（具体金额为：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元），则本项目招标失败，由招标人依法重新招标。</w:t>
      </w:r>
    </w:p>
    <w:p>
      <w:pPr>
        <w:tabs>
          <w:tab w:val="left" w:pos="7380"/>
        </w:tabs>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45.2按方法</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计算评标参考价：</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方法一：加权平均法</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技术标或技术标加诚信得分（具体由招标人自定）前</w:t>
      </w:r>
      <w:r>
        <w:rPr>
          <w:rFonts w:ascii="宋体" w:hAnsi="宋体" w:cs="仿宋"/>
          <w:color w:val="auto"/>
          <w:sz w:val="24"/>
          <w:szCs w:val="24"/>
          <w:highlight w:val="none"/>
        </w:rPr>
        <w:t>N</w:t>
      </w:r>
      <w:r>
        <w:rPr>
          <w:rFonts w:hint="eastAsia" w:ascii="宋体" w:hAnsi="宋体" w:cs="仿宋"/>
          <w:color w:val="auto"/>
          <w:sz w:val="24"/>
          <w:szCs w:val="24"/>
          <w:highlight w:val="none"/>
        </w:rPr>
        <w:t>名（N≥5，具体由招标人自定）的经济报价加权平均，计算评标参考价。公式如下：</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评标参考价</w:t>
      </w:r>
      <w:r>
        <w:rPr>
          <w:rFonts w:ascii="宋体" w:hAnsi="宋体" w:cs="仿宋"/>
          <w:color w:val="auto"/>
          <w:sz w:val="24"/>
          <w:szCs w:val="24"/>
          <w:highlight w:val="none"/>
        </w:rPr>
        <w:t>=</w:t>
      </w:r>
      <w:r>
        <w:rPr>
          <w:rFonts w:hint="eastAsia" w:ascii="宋体" w:hAnsi="宋体" w:cs="仿宋"/>
          <w:color w:val="auto"/>
          <w:sz w:val="24"/>
          <w:szCs w:val="24"/>
          <w:highlight w:val="none"/>
        </w:rPr>
        <w:t>Σ（投标人的投标报价</w:t>
      </w:r>
      <w:r>
        <w:rPr>
          <w:rFonts w:ascii="宋体" w:hAnsi="宋体" w:cs="仿宋"/>
          <w:color w:val="auto"/>
          <w:sz w:val="24"/>
          <w:szCs w:val="24"/>
          <w:highlight w:val="none"/>
        </w:rPr>
        <w:t>*</w:t>
      </w:r>
      <w:r>
        <w:rPr>
          <w:rFonts w:hint="eastAsia" w:ascii="宋体" w:hAnsi="宋体" w:cs="仿宋"/>
          <w:color w:val="auto"/>
          <w:sz w:val="24"/>
          <w:szCs w:val="24"/>
          <w:highlight w:val="none"/>
        </w:rPr>
        <w:t>报价权重）。</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其中：报价权重的计算方法为：将</w:t>
      </w:r>
      <w:r>
        <w:rPr>
          <w:rFonts w:ascii="宋体" w:hAnsi="宋体" w:cs="仿宋"/>
          <w:color w:val="auto"/>
          <w:sz w:val="24"/>
          <w:szCs w:val="24"/>
          <w:highlight w:val="none"/>
        </w:rPr>
        <w:t>N</w:t>
      </w:r>
      <w:r>
        <w:rPr>
          <w:rFonts w:hint="eastAsia" w:ascii="宋体" w:hAnsi="宋体" w:cs="仿宋"/>
          <w:color w:val="auto"/>
          <w:sz w:val="24"/>
          <w:szCs w:val="24"/>
          <w:highlight w:val="none"/>
        </w:rPr>
        <w:t>名投标人按技术分由高至低进行排序，第一名投标人的权重为（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sz w:val="24"/>
          <w:szCs w:val="24"/>
          <w:highlight w:val="none"/>
        </w:rPr>
        <w:drawing>
          <wp:inline distT="0" distB="0" distL="114300" distR="114300">
            <wp:extent cx="381000" cy="447675"/>
            <wp:effectExtent l="0" t="0" r="0" b="9525"/>
            <wp:docPr id="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
                    <pic:cNvPicPr>
                      <a:picLocks noChangeAspect="1"/>
                    </pic:cNvPicPr>
                  </pic:nvPicPr>
                  <pic:blipFill>
                    <a:blip r:embed="rId14"/>
                    <a:stretch>
                      <a:fillRect/>
                    </a:stretch>
                  </pic:blipFill>
                  <pic:spPr>
                    <a:xfrm>
                      <a:off x="0" y="0"/>
                      <a:ext cx="381000" cy="447675"/>
                    </a:xfrm>
                    <a:prstGeom prst="rect">
                      <a:avLst/>
                    </a:prstGeom>
                    <a:noFill/>
                    <a:ln>
                      <a:noFill/>
                    </a:ln>
                  </pic:spPr>
                </pic:pic>
              </a:graphicData>
            </a:graphic>
          </wp:inline>
        </w:drawing>
      </w:r>
      <w:r>
        <w:rPr>
          <w:rFonts w:ascii="宋体" w:hAnsi="宋体"/>
          <w:color w:val="auto"/>
          <w:sz w:val="24"/>
          <w:szCs w:val="24"/>
          <w:highlight w:val="none"/>
        </w:rPr>
        <w:instrText xml:space="preserve"> \* MERGEFORMAT </w:instrText>
      </w:r>
      <w:r>
        <w:rPr>
          <w:rFonts w:ascii="宋体" w:hAnsi="宋体" w:cs="仿宋"/>
          <w:color w:val="auto"/>
          <w:sz w:val="24"/>
          <w:szCs w:val="24"/>
          <w:highlight w:val="none"/>
        </w:rPr>
        <w:fldChar w:fldCharType="separate"/>
      </w:r>
      <w:r>
        <w:rPr>
          <w:rFonts w:ascii="宋体" w:hAnsi="宋体"/>
          <w:color w:val="auto"/>
          <w:sz w:val="24"/>
          <w:szCs w:val="24"/>
          <w:highlight w:val="none"/>
        </w:rPr>
        <w:drawing>
          <wp:inline distT="0" distB="0" distL="114300" distR="114300">
            <wp:extent cx="381000" cy="447675"/>
            <wp:effectExtent l="0" t="0" r="0" b="9525"/>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14"/>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），第二名投标人的权重为（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114300" distR="114300">
            <wp:extent cx="323850" cy="400050"/>
            <wp:effectExtent l="0" t="0" r="0" b="0"/>
            <wp:docPr id="1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pic:cNvPicPr>
                      <a:picLocks noChangeAspect="1"/>
                    </pic:cNvPicPr>
                  </pic:nvPicPr>
                  <pic:blipFill>
                    <a:blip r:embed="rId15"/>
                    <a:stretch>
                      <a:fillRect/>
                    </a:stretch>
                  </pic:blipFill>
                  <pic:spPr>
                    <a:xfrm>
                      <a:off x="0" y="0"/>
                      <a:ext cx="323850" cy="400050"/>
                    </a:xfrm>
                    <a:prstGeom prst="rect">
                      <a:avLst/>
                    </a:prstGeom>
                    <a:noFill/>
                    <a:ln>
                      <a:noFill/>
                    </a:ln>
                  </pic:spPr>
                </pic:pic>
              </a:graphicData>
            </a:graphic>
          </wp:inline>
        </w:drawing>
      </w:r>
      <w:r>
        <w:rPr>
          <w:rFonts w:ascii="宋体" w:hAnsi="宋体"/>
          <w:color w:val="auto"/>
          <w:position w:val="-23"/>
          <w:sz w:val="24"/>
          <w:szCs w:val="24"/>
          <w:highlight w:val="none"/>
        </w:rPr>
        <w:instrText xml:space="preserve"> \* MERGEFORMAT </w:instrText>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114300" distR="114300">
            <wp:extent cx="323850" cy="400050"/>
            <wp:effectExtent l="0" t="0" r="0" b="0"/>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pic:cNvPicPr>
                  </pic:nvPicPr>
                  <pic:blipFill>
                    <a:blip r:embed="rId15"/>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），以此类推，最后一名投标人的权重为（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114300" distR="114300">
            <wp:extent cx="323850" cy="400050"/>
            <wp:effectExtent l="0" t="0" r="0" b="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16"/>
                    <a:stretch>
                      <a:fillRect/>
                    </a:stretch>
                  </pic:blipFill>
                  <pic:spPr>
                    <a:xfrm>
                      <a:off x="0" y="0"/>
                      <a:ext cx="323850" cy="400050"/>
                    </a:xfrm>
                    <a:prstGeom prst="rect">
                      <a:avLst/>
                    </a:prstGeom>
                    <a:noFill/>
                    <a:ln>
                      <a:noFill/>
                    </a:ln>
                  </pic:spPr>
                </pic:pic>
              </a:graphicData>
            </a:graphic>
          </wp:inline>
        </w:drawing>
      </w:r>
      <w:r>
        <w:rPr>
          <w:rFonts w:ascii="宋体" w:hAnsi="宋体"/>
          <w:color w:val="auto"/>
          <w:position w:val="-23"/>
          <w:sz w:val="24"/>
          <w:szCs w:val="24"/>
          <w:highlight w:val="none"/>
        </w:rPr>
        <w:instrText xml:space="preserve"> \* MERGEFORMAT </w:instrText>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114300" distR="114300">
            <wp:extent cx="323850" cy="400050"/>
            <wp:effectExtent l="0" t="0" r="0" b="0"/>
            <wp:docPr id="2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6"/>
                    <pic:cNvPicPr>
                      <a:picLocks noChangeAspect="1"/>
                    </pic:cNvPicPr>
                  </pic:nvPicPr>
                  <pic:blipFill>
                    <a:blip r:embed="rId16"/>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方法二：区间抽取法</w:t>
      </w:r>
    </w:p>
    <w:p>
      <w:pPr>
        <w:widowControl/>
        <w:snapToGrid w:val="0"/>
        <w:spacing w:line="360" w:lineRule="auto"/>
        <w:ind w:firstLine="480" w:firstLineChars="200"/>
        <w:rPr>
          <w:rFonts w:ascii="宋体" w:hAnsi="宋体"/>
          <w:color w:val="auto"/>
          <w:kern w:val="0"/>
          <w:sz w:val="24"/>
          <w:szCs w:val="24"/>
          <w:highlight w:val="none"/>
        </w:rPr>
      </w:pPr>
      <w:r>
        <w:rPr>
          <w:rFonts w:hint="eastAsia" w:ascii="宋体" w:hAnsi="宋体" w:cs="仿宋"/>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w:t>
      </w:r>
      <w:r>
        <w:rPr>
          <w:rFonts w:ascii="宋体" w:hAnsi="宋体" w:cs="仿宋"/>
          <w:color w:val="auto"/>
          <w:kern w:val="0"/>
          <w:sz w:val="24"/>
          <w:szCs w:val="24"/>
          <w:highlight w:val="none"/>
        </w:rPr>
        <w:t>=</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/100*</w:t>
      </w:r>
      <w:r>
        <w:rPr>
          <w:rFonts w:hint="eastAsia" w:ascii="宋体" w:hAnsi="宋体" w:cs="仿宋"/>
          <w:color w:val="auto"/>
          <w:kern w:val="0"/>
          <w:sz w:val="24"/>
          <w:szCs w:val="24"/>
          <w:highlight w:val="none"/>
        </w:rPr>
        <w:t>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p>
    <w:p>
      <w:pPr>
        <w:widowControl/>
        <w:snapToGrid w:val="0"/>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宋体" w:hAnsi="宋体" w:cs="仿宋"/>
          <w:color w:val="auto"/>
          <w:sz w:val="24"/>
          <w:szCs w:val="24"/>
          <w:highlight w:val="none"/>
        </w:rPr>
      </w:pP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：为（最高投标限价</w:t>
      </w:r>
      <w:r>
        <w:rPr>
          <w:rFonts w:ascii="宋体" w:hAnsi="宋体" w:cs="仿宋"/>
          <w:color w:val="auto"/>
          <w:sz w:val="24"/>
          <w:szCs w:val="24"/>
          <w:highlight w:val="none"/>
        </w:rPr>
        <w:t>*D%</w:t>
      </w:r>
      <w:r>
        <w:rPr>
          <w:rFonts w:hint="eastAsia" w:ascii="宋体" w:hAnsi="宋体" w:cs="仿宋"/>
          <w:color w:val="auto"/>
          <w:sz w:val="24"/>
          <w:szCs w:val="24"/>
          <w:highlight w:val="none"/>
        </w:rPr>
        <w:t>）（</w:t>
      </w:r>
      <w:r>
        <w:rPr>
          <w:rFonts w:ascii="宋体" w:hAnsi="宋体" w:cs="仿宋"/>
          <w:color w:val="auto"/>
          <w:sz w:val="24"/>
          <w:szCs w:val="24"/>
          <w:highlight w:val="none"/>
        </w:rPr>
        <w:t>D</w:t>
      </w:r>
      <w:r>
        <w:rPr>
          <w:rFonts w:hint="eastAsia" w:ascii="宋体" w:hAnsi="宋体" w:cs="仿宋"/>
          <w:color w:val="auto"/>
          <w:sz w:val="24"/>
          <w:szCs w:val="24"/>
          <w:highlight w:val="none"/>
        </w:rPr>
        <w:t>的取值范围为</w:t>
      </w:r>
      <w:r>
        <w:rPr>
          <w:rFonts w:ascii="宋体" w:hAnsi="宋体" w:cs="仿宋"/>
          <w:color w:val="auto"/>
          <w:sz w:val="24"/>
          <w:szCs w:val="24"/>
          <w:highlight w:val="none"/>
        </w:rPr>
        <w:t>[94,100],</w:t>
      </w:r>
      <w:r>
        <w:rPr>
          <w:rFonts w:hint="eastAsia" w:ascii="宋体" w:hAnsi="宋体" w:cs="仿宋"/>
          <w:color w:val="auto"/>
          <w:sz w:val="24"/>
          <w:szCs w:val="24"/>
          <w:highlight w:val="none"/>
        </w:rPr>
        <w:t>由招标人自定）</w:t>
      </w:r>
    </w:p>
    <w:p>
      <w:pPr>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X:</w:t>
      </w:r>
      <w:r>
        <w:rPr>
          <w:rFonts w:hint="eastAsia" w:ascii="宋体" w:hAnsi="宋体" w:cs="仿宋"/>
          <w:color w:val="auto"/>
          <w:sz w:val="24"/>
          <w:szCs w:val="24"/>
          <w:highlight w:val="none"/>
        </w:rPr>
        <w:t>为等分点值，从</w:t>
      </w:r>
      <w:r>
        <w:rPr>
          <w:rFonts w:ascii="宋体" w:hAnsi="宋体" w:cs="仿宋"/>
          <w:color w:val="auto"/>
          <w:sz w:val="24"/>
          <w:szCs w:val="24"/>
          <w:highlight w:val="none"/>
        </w:rPr>
        <w:t>[0,100]</w:t>
      </w:r>
      <w:r>
        <w:rPr>
          <w:rFonts w:hint="eastAsia" w:ascii="宋体" w:hAnsi="宋体" w:cs="仿宋"/>
          <w:color w:val="auto"/>
          <w:sz w:val="24"/>
          <w:szCs w:val="24"/>
          <w:highlight w:val="none"/>
        </w:rPr>
        <w:t>整数中随机抽取</w:t>
      </w:r>
    </w:p>
    <w:p>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45.3</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1.5</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p>
    <w:p>
      <w:pPr>
        <w:tabs>
          <w:tab w:val="left" w:pos="7380"/>
        </w:tabs>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45.4计算通过技术标有效性审查的投标人总得分。投标人总得分=（技术得分×技术得分权重</w:t>
      </w:r>
      <w:r>
        <w:rPr>
          <w:rFonts w:hint="eastAsia" w:ascii="宋体" w:hAnsi="宋体" w:cs="宋体"/>
          <w:color w:val="auto"/>
          <w:sz w:val="24"/>
          <w:szCs w:val="24"/>
          <w:highlight w:val="none"/>
        </w:rPr>
        <w:t>＋</w:t>
      </w:r>
      <w:r>
        <w:rPr>
          <w:rFonts w:hint="eastAsia" w:ascii="宋体" w:hAnsi="宋体"/>
          <w:color w:val="auto"/>
          <w:sz w:val="24"/>
          <w:szCs w:val="24"/>
          <w:highlight w:val="none"/>
        </w:rPr>
        <w:t>经济得分×经济得分权重）×（1-综合诚信评价分数权重）</w:t>
      </w:r>
      <w:r>
        <w:rPr>
          <w:rFonts w:hint="eastAsia" w:ascii="宋体" w:hAnsi="宋体" w:cs="宋体"/>
          <w:color w:val="auto"/>
          <w:sz w:val="24"/>
          <w:szCs w:val="24"/>
          <w:highlight w:val="none"/>
        </w:rPr>
        <w:t>＋</w:t>
      </w:r>
      <w:r>
        <w:rPr>
          <w:rFonts w:hint="eastAsia" w:ascii="宋体" w:hAnsi="宋体"/>
          <w:color w:val="auto"/>
          <w:sz w:val="24"/>
          <w:szCs w:val="24"/>
          <w:highlight w:val="none"/>
        </w:rPr>
        <w:t>综合诚信评价排名得分×综合诚信评价分数权重）。技术、经济得分权重按投标须知前附表的规定执行。总得分四舍五入保留两位小数。</w:t>
      </w:r>
    </w:p>
    <w:p>
      <w:pPr>
        <w:tabs>
          <w:tab w:val="left" w:pos="7380"/>
        </w:tabs>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46.经济标的有效性审查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6.2.1如果数字表示的金额和用文字表示的金额不一致时，应以文字表示的金额为准；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6.2.2经算术复核的投标人报价与其投标报价不一致时，按就低不就高原则确定其最终报价；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8.评标委员会应在通过投标文件经济标有效性审查的投标人中，按步骤45.4确定的投标人第二阶段排序，推荐前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w:t>
      </w:r>
      <w:r>
        <w:rPr>
          <w:rFonts w:ascii="宋体" w:hAnsi="宋体"/>
          <w:color w:val="auto"/>
          <w:sz w:val="24"/>
          <w:szCs w:val="24"/>
          <w:highlight w:val="none"/>
        </w:rPr>
        <w:t>,</w:t>
      </w:r>
      <w:r>
        <w:rPr>
          <w:rFonts w:hint="eastAsia" w:ascii="宋体" w:hAnsi="宋体"/>
          <w:color w:val="auto"/>
          <w:sz w:val="24"/>
          <w:szCs w:val="24"/>
          <w:highlight w:val="none"/>
        </w:rPr>
        <w:t>并编制评标报告。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9.若通过经济标有效性审查的投标人不足三家，应当依法重新招标。（当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家，应当依法重新招标）</w:t>
      </w:r>
    </w:p>
    <w:p>
      <w:pPr>
        <w:spacing w:line="360" w:lineRule="auto"/>
        <w:ind w:firstLine="480" w:firstLineChars="200"/>
        <w:rPr>
          <w:rFonts w:ascii="宋体" w:hAnsi="宋体"/>
          <w:color w:val="auto"/>
          <w:sz w:val="24"/>
          <w:szCs w:val="24"/>
          <w:highlight w:val="none"/>
        </w:rPr>
      </w:pPr>
    </w:p>
    <w:p>
      <w:pPr>
        <w:spacing w:line="360" w:lineRule="auto"/>
        <w:ind w:firstLine="480" w:firstLineChars="200"/>
        <w:rPr>
          <w:rFonts w:ascii="宋体" w:hAnsi="宋体"/>
          <w:color w:val="auto"/>
          <w:sz w:val="24"/>
          <w:szCs w:val="24"/>
          <w:highlight w:val="none"/>
        </w:rPr>
      </w:pPr>
    </w:p>
    <w:p>
      <w:pPr>
        <w:spacing w:line="360" w:lineRule="auto"/>
        <w:rPr>
          <w:rFonts w:hint="eastAsia" w:ascii="宋体" w:hAnsi="宋体"/>
          <w:color w:val="auto"/>
          <w:sz w:val="24"/>
          <w:szCs w:val="24"/>
          <w:highlight w:val="none"/>
        </w:rPr>
        <w:sectPr>
          <w:footerReference r:id="rId6" w:type="first"/>
          <w:footerReference r:id="rId4" w:type="default"/>
          <w:headerReference r:id="rId3" w:type="even"/>
          <w:footerReference r:id="rId5" w:type="even"/>
          <w:endnotePr>
            <w:numFmt w:val="decimal"/>
          </w:endnotePr>
          <w:pgSz w:w="11906" w:h="16838"/>
          <w:pgMar w:top="1134" w:right="1418" w:bottom="1247" w:left="1418" w:header="851" w:footer="907" w:gutter="0"/>
          <w:pgNumType w:start="0"/>
          <w:cols w:space="720" w:num="1"/>
          <w:titlePg/>
          <w:docGrid w:type="lines" w:linePitch="312" w:charSpace="0"/>
        </w:sectPr>
      </w:pPr>
    </w:p>
    <w:p>
      <w:pPr>
        <w:widowControl/>
        <w:snapToGrid w:val="0"/>
        <w:spacing w:line="360" w:lineRule="auto"/>
        <w:ind w:right="102"/>
        <w:jc w:val="left"/>
        <w:rPr>
          <w:rFonts w:ascii="宋体"/>
          <w:color w:val="auto"/>
          <w:szCs w:val="21"/>
          <w:highlight w:val="none"/>
        </w:rPr>
      </w:pPr>
      <w:r>
        <w:rPr>
          <w:rFonts w:hint="eastAsia" w:ascii="宋体" w:hAnsi="宋体"/>
          <w:color w:val="auto"/>
          <w:szCs w:val="21"/>
          <w:highlight w:val="none"/>
        </w:rPr>
        <w:t>附表一：</w:t>
      </w:r>
    </w:p>
    <w:p>
      <w:pPr>
        <w:jc w:val="center"/>
        <w:rPr>
          <w:b/>
          <w:color w:val="auto"/>
          <w:sz w:val="32"/>
          <w:szCs w:val="32"/>
          <w:highlight w:val="none"/>
        </w:rPr>
      </w:pPr>
      <w:r>
        <w:rPr>
          <w:rFonts w:hint="eastAsia"/>
          <w:b/>
          <w:color w:val="auto"/>
          <w:sz w:val="32"/>
          <w:szCs w:val="32"/>
          <w:highlight w:val="none"/>
        </w:rPr>
        <w:t>资格审查表</w:t>
      </w:r>
    </w:p>
    <w:p>
      <w:pPr>
        <w:spacing w:line="360" w:lineRule="auto"/>
        <w:rPr>
          <w:color w:val="auto"/>
          <w:sz w:val="24"/>
          <w:szCs w:val="24"/>
          <w:highlight w:val="none"/>
        </w:rPr>
      </w:pPr>
      <w:r>
        <w:rPr>
          <w:rFonts w:hint="eastAsia"/>
          <w:color w:val="auto"/>
          <w:sz w:val="24"/>
          <w:szCs w:val="24"/>
          <w:highlight w:val="none"/>
        </w:rPr>
        <w:t>工程名称：</w:t>
      </w:r>
    </w:p>
    <w:p>
      <w:pPr>
        <w:spacing w:line="360" w:lineRule="auto"/>
        <w:rPr>
          <w:color w:val="auto"/>
          <w:sz w:val="24"/>
          <w:szCs w:val="24"/>
          <w:highlight w:val="none"/>
        </w:rPr>
      </w:pPr>
      <w:r>
        <w:rPr>
          <w:rFonts w:hint="eastAsia"/>
          <w:color w:val="auto"/>
          <w:sz w:val="24"/>
          <w:szCs w:val="24"/>
          <w:highlight w:val="none"/>
        </w:rPr>
        <w:t>投标人名称：</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6831"/>
        <w:gridCol w:w="6350"/>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序号</w:t>
            </w:r>
          </w:p>
        </w:tc>
        <w:tc>
          <w:tcPr>
            <w:tcW w:w="6831"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审查项目</w:t>
            </w:r>
          </w:p>
        </w:tc>
        <w:tc>
          <w:tcPr>
            <w:tcW w:w="635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须审查的资料</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p>
        </w:tc>
        <w:tc>
          <w:tcPr>
            <w:tcW w:w="6831" w:type="dxa"/>
            <w:tcBorders>
              <w:top w:val="single" w:color="auto" w:sz="4" w:space="0"/>
              <w:left w:val="single" w:color="auto" w:sz="4" w:space="0"/>
              <w:bottom w:val="single" w:color="auto" w:sz="4" w:space="0"/>
              <w:right w:val="single" w:color="auto" w:sz="4" w:space="0"/>
            </w:tcBorders>
            <w:noWrap w:val="0"/>
            <w:vAlign w:val="center"/>
          </w:tcPr>
          <w:p>
            <w:pPr>
              <w:spacing w:before="120" w:after="60"/>
              <w:rPr>
                <w:rFonts w:ascii="宋体" w:hAnsi="宋体"/>
                <w:color w:val="auto"/>
                <w:szCs w:val="21"/>
                <w:highlight w:val="none"/>
              </w:rPr>
            </w:pPr>
            <w:r>
              <w:rPr>
                <w:rFonts w:hint="eastAsia" w:ascii="宋体" w:hAnsi="宋体"/>
                <w:color w:val="auto"/>
                <w:szCs w:val="21"/>
                <w:highlight w:val="none"/>
              </w:rPr>
              <w:t>投标人参加投标的意思表达清楚，投标人代表被授权有效</w:t>
            </w:r>
          </w:p>
        </w:tc>
        <w:tc>
          <w:tcPr>
            <w:tcW w:w="6350" w:type="dxa"/>
            <w:tcBorders>
              <w:top w:val="single" w:color="auto" w:sz="4" w:space="0"/>
              <w:left w:val="single" w:color="auto" w:sz="4" w:space="0"/>
              <w:bottom w:val="single" w:color="auto" w:sz="4" w:space="0"/>
              <w:right w:val="single" w:color="auto" w:sz="4" w:space="0"/>
            </w:tcBorders>
            <w:noWrap w:val="0"/>
            <w:vAlign w:val="center"/>
          </w:tcPr>
          <w:p>
            <w:pPr>
              <w:spacing w:before="120" w:after="60"/>
              <w:rPr>
                <w:rFonts w:ascii="宋体" w:hAnsi="宋体"/>
                <w:color w:val="auto"/>
                <w:szCs w:val="21"/>
                <w:highlight w:val="none"/>
              </w:rPr>
            </w:pPr>
            <w:r>
              <w:rPr>
                <w:rFonts w:hint="eastAsia" w:ascii="宋体" w:hAnsi="宋体"/>
                <w:color w:val="auto"/>
                <w:szCs w:val="21"/>
                <w:highlight w:val="none"/>
              </w:rPr>
              <w:t>投标人声明</w:t>
            </w:r>
            <w:r>
              <w:rPr>
                <w:rFonts w:hint="eastAsia" w:ascii="宋体" w:hAnsi="宋体"/>
                <w:color w:val="auto"/>
                <w:szCs w:val="21"/>
                <w:highlight w:val="none"/>
                <w:u w:val="single"/>
              </w:rPr>
              <w:t>扫描件</w:t>
            </w:r>
            <w:r>
              <w:rPr>
                <w:rFonts w:hint="eastAsia" w:ascii="宋体" w:hAnsi="宋体"/>
                <w:color w:val="auto"/>
                <w:szCs w:val="21"/>
                <w:highlight w:val="none"/>
              </w:rPr>
              <w:t>、法定代表人证明书</w:t>
            </w:r>
            <w:r>
              <w:rPr>
                <w:rFonts w:hint="eastAsia" w:ascii="宋体" w:hAnsi="宋体"/>
                <w:color w:val="auto"/>
                <w:szCs w:val="21"/>
                <w:highlight w:val="none"/>
                <w:u w:val="single"/>
              </w:rPr>
              <w:t>扫描件</w:t>
            </w:r>
            <w:r>
              <w:rPr>
                <w:rFonts w:hint="eastAsia" w:ascii="宋体" w:hAnsi="宋体"/>
                <w:color w:val="auto"/>
                <w:szCs w:val="21"/>
                <w:highlight w:val="none"/>
              </w:rPr>
              <w:t>；委托投标的还应提供法人授权委托证明书</w:t>
            </w:r>
            <w:r>
              <w:rPr>
                <w:rFonts w:hint="eastAsia" w:ascii="宋体" w:hAnsi="宋体"/>
                <w:color w:val="auto"/>
                <w:szCs w:val="21"/>
                <w:highlight w:val="none"/>
                <w:u w:val="single"/>
              </w:rPr>
              <w:t>扫描件</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ascii="宋体" w:hAnsi="宋体"/>
                <w:color w:val="auto"/>
                <w:szCs w:val="21"/>
                <w:highlight w:val="none"/>
              </w:rPr>
              <w:t>2</w:t>
            </w:r>
          </w:p>
        </w:tc>
        <w:tc>
          <w:tcPr>
            <w:tcW w:w="6831" w:type="dxa"/>
            <w:tcBorders>
              <w:top w:val="single" w:color="auto" w:sz="4" w:space="0"/>
              <w:left w:val="single" w:color="auto" w:sz="4" w:space="0"/>
              <w:bottom w:val="single" w:color="auto" w:sz="4" w:space="0"/>
              <w:right w:val="single" w:color="auto" w:sz="4" w:space="0"/>
            </w:tcBorders>
            <w:noWrap w:val="0"/>
            <w:vAlign w:val="center"/>
          </w:tcPr>
          <w:p>
            <w:pPr>
              <w:spacing w:before="120" w:after="60"/>
              <w:rPr>
                <w:rFonts w:ascii="宋体" w:hAnsi="宋体"/>
                <w:color w:val="auto"/>
                <w:szCs w:val="21"/>
                <w:highlight w:val="none"/>
              </w:rPr>
            </w:pPr>
            <w:r>
              <w:rPr>
                <w:rFonts w:hint="eastAsia" w:ascii="宋体" w:hAnsi="宋体"/>
                <w:color w:val="auto"/>
                <w:szCs w:val="21"/>
                <w:highlight w:val="none"/>
              </w:rPr>
              <w:t>投标人均具有独立法人资格，按国家法律经营</w:t>
            </w:r>
          </w:p>
        </w:tc>
        <w:tc>
          <w:tcPr>
            <w:tcW w:w="6350" w:type="dxa"/>
            <w:tcBorders>
              <w:top w:val="single" w:color="auto" w:sz="4" w:space="0"/>
              <w:left w:val="single" w:color="auto" w:sz="4" w:space="0"/>
              <w:bottom w:val="single" w:color="auto" w:sz="4" w:space="0"/>
              <w:right w:val="single" w:color="auto" w:sz="4" w:space="0"/>
            </w:tcBorders>
            <w:noWrap w:val="0"/>
            <w:vAlign w:val="center"/>
          </w:tcPr>
          <w:p>
            <w:pPr>
              <w:spacing w:before="120" w:after="60"/>
              <w:rPr>
                <w:rFonts w:ascii="宋体" w:hAnsi="宋体"/>
                <w:color w:val="auto"/>
                <w:szCs w:val="21"/>
                <w:highlight w:val="none"/>
              </w:rPr>
            </w:pPr>
            <w:r>
              <w:rPr>
                <w:rFonts w:hint="eastAsia" w:ascii="宋体" w:hAnsi="宋体"/>
                <w:color w:val="auto"/>
                <w:szCs w:val="21"/>
                <w:highlight w:val="none"/>
              </w:rPr>
              <w:t>营业执照</w:t>
            </w:r>
            <w:r>
              <w:rPr>
                <w:rFonts w:hint="eastAsia" w:ascii="宋体" w:hAnsi="宋体"/>
                <w:color w:val="auto"/>
                <w:szCs w:val="21"/>
                <w:highlight w:val="none"/>
                <w:u w:val="single"/>
              </w:rPr>
              <w:t>扫描</w:t>
            </w:r>
            <w:r>
              <w:rPr>
                <w:color w:val="auto"/>
                <w:highlight w:val="none"/>
                <w:u w:val="single"/>
              </w:rPr>
              <w:t>件</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ascii="宋体" w:hAnsi="宋体"/>
                <w:color w:val="auto"/>
                <w:szCs w:val="21"/>
                <w:highlight w:val="none"/>
              </w:rPr>
              <w:t>3</w:t>
            </w:r>
          </w:p>
        </w:tc>
        <w:tc>
          <w:tcPr>
            <w:tcW w:w="6831" w:type="dxa"/>
            <w:tcBorders>
              <w:top w:val="single" w:color="auto" w:sz="4" w:space="0"/>
              <w:left w:val="single" w:color="auto" w:sz="4" w:space="0"/>
              <w:bottom w:val="single" w:color="auto" w:sz="4" w:space="0"/>
              <w:right w:val="single" w:color="auto" w:sz="4" w:space="0"/>
            </w:tcBorders>
            <w:noWrap w:val="0"/>
            <w:vAlign w:val="center"/>
          </w:tcPr>
          <w:p>
            <w:pPr>
              <w:spacing w:before="120" w:after="60"/>
              <w:rPr>
                <w:rFonts w:ascii="宋体" w:hAnsi="宋体"/>
                <w:color w:val="auto"/>
                <w:szCs w:val="21"/>
                <w:highlight w:val="none"/>
              </w:rPr>
            </w:pPr>
            <w:r>
              <w:rPr>
                <w:rFonts w:hint="eastAsia" w:ascii="宋体" w:hAnsi="宋体"/>
                <w:color w:val="auto"/>
                <w:szCs w:val="21"/>
                <w:highlight w:val="none"/>
              </w:rPr>
              <w:t>投标人均持有建设行政主管部门颁发的企业资质证书及安全生产许可证；投标人资质符合公告要求</w:t>
            </w:r>
          </w:p>
        </w:tc>
        <w:tc>
          <w:tcPr>
            <w:tcW w:w="6350" w:type="dxa"/>
            <w:tcBorders>
              <w:top w:val="single" w:color="auto" w:sz="4" w:space="0"/>
              <w:left w:val="single" w:color="auto" w:sz="4" w:space="0"/>
              <w:bottom w:val="single" w:color="auto" w:sz="4" w:space="0"/>
              <w:right w:val="single" w:color="auto" w:sz="4" w:space="0"/>
            </w:tcBorders>
            <w:noWrap w:val="0"/>
            <w:vAlign w:val="center"/>
          </w:tcPr>
          <w:p>
            <w:pPr>
              <w:spacing w:before="120" w:after="60"/>
              <w:rPr>
                <w:rFonts w:hint="eastAsia" w:ascii="宋体" w:hAnsi="宋体"/>
                <w:color w:val="auto"/>
                <w:szCs w:val="21"/>
                <w:highlight w:val="none"/>
                <w:u w:val="single"/>
              </w:rPr>
            </w:pPr>
            <w:r>
              <w:rPr>
                <w:rFonts w:hint="eastAsia" w:ascii="宋体" w:hAnsi="宋体"/>
                <w:color w:val="auto"/>
                <w:szCs w:val="21"/>
                <w:highlight w:val="none"/>
              </w:rPr>
              <w:t>资质证书及安全生产许可证</w:t>
            </w:r>
            <w:r>
              <w:rPr>
                <w:rFonts w:hint="eastAsia" w:ascii="宋体" w:hAnsi="宋体"/>
                <w:color w:val="auto"/>
                <w:szCs w:val="21"/>
                <w:highlight w:val="none"/>
                <w:u w:val="single"/>
              </w:rPr>
              <w:t>扫描件；</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ascii="宋体" w:hAnsi="宋体"/>
                <w:color w:val="auto"/>
                <w:szCs w:val="21"/>
                <w:highlight w:val="none"/>
              </w:rPr>
              <w:t>4</w:t>
            </w:r>
          </w:p>
        </w:tc>
        <w:tc>
          <w:tcPr>
            <w:tcW w:w="6831" w:type="dxa"/>
            <w:tcBorders>
              <w:top w:val="single" w:color="auto" w:sz="4" w:space="0"/>
              <w:left w:val="single" w:color="auto" w:sz="4" w:space="0"/>
              <w:bottom w:val="single" w:color="auto" w:sz="4" w:space="0"/>
              <w:right w:val="single" w:color="auto" w:sz="4" w:space="0"/>
            </w:tcBorders>
            <w:noWrap w:val="0"/>
            <w:vAlign w:val="center"/>
          </w:tcPr>
          <w:p>
            <w:pPr>
              <w:spacing w:before="120" w:after="60"/>
              <w:rPr>
                <w:rFonts w:ascii="宋体" w:hAnsi="宋体"/>
                <w:color w:val="auto"/>
                <w:szCs w:val="21"/>
                <w:highlight w:val="none"/>
              </w:rPr>
            </w:pPr>
            <w:r>
              <w:rPr>
                <w:rFonts w:hint="eastAsia" w:ascii="宋体" w:hAnsi="宋体"/>
                <w:color w:val="auto"/>
                <w:szCs w:val="21"/>
                <w:highlight w:val="none"/>
              </w:rPr>
              <w:t>投标人拟担任本工程项目负责人符合公告要求</w:t>
            </w:r>
          </w:p>
        </w:tc>
        <w:tc>
          <w:tcPr>
            <w:tcW w:w="6350" w:type="dxa"/>
            <w:tcBorders>
              <w:top w:val="single" w:color="auto" w:sz="4" w:space="0"/>
              <w:left w:val="single" w:color="auto" w:sz="4" w:space="0"/>
              <w:bottom w:val="single" w:color="auto" w:sz="4" w:space="0"/>
              <w:right w:val="single" w:color="auto" w:sz="4" w:space="0"/>
            </w:tcBorders>
            <w:noWrap w:val="0"/>
            <w:vAlign w:val="center"/>
          </w:tcPr>
          <w:p>
            <w:pPr>
              <w:spacing w:before="120" w:after="60"/>
              <w:rPr>
                <w:rFonts w:ascii="宋体" w:hAnsi="宋体"/>
                <w:color w:val="auto"/>
                <w:szCs w:val="21"/>
                <w:highlight w:val="none"/>
              </w:rPr>
            </w:pPr>
            <w:r>
              <w:rPr>
                <w:rFonts w:hint="eastAsia" w:ascii="宋体" w:hAnsi="宋体"/>
                <w:color w:val="auto"/>
                <w:szCs w:val="21"/>
                <w:highlight w:val="none"/>
                <w:u w:val="single"/>
              </w:rPr>
              <w:t>使用有效期内的注册建造师注册证书扫描件</w:t>
            </w:r>
            <w:r>
              <w:rPr>
                <w:rFonts w:hint="eastAsia" w:ascii="宋体" w:hAnsi="宋体"/>
                <w:color w:val="auto"/>
                <w:szCs w:val="21"/>
                <w:highlight w:val="none"/>
              </w:rPr>
              <w:t>。（注：打印建造师电子证书后，应在个人签名处手写本人签名再</w:t>
            </w:r>
            <w:r>
              <w:rPr>
                <w:rFonts w:hint="eastAsia" w:ascii="宋体" w:hAnsi="宋体"/>
                <w:color w:val="auto"/>
                <w:szCs w:val="21"/>
                <w:highlight w:val="none"/>
                <w:u w:val="single"/>
              </w:rPr>
              <w:t>扫描提交</w:t>
            </w:r>
            <w:r>
              <w:rPr>
                <w:rFonts w:hint="eastAsia" w:ascii="宋体" w:hAnsi="宋体"/>
                <w:color w:val="auto"/>
                <w:szCs w:val="21"/>
                <w:highlight w:val="none"/>
              </w:rPr>
              <w:t>，</w:t>
            </w:r>
            <w:r>
              <w:rPr>
                <w:rFonts w:hint="eastAsia" w:ascii="宋体" w:hAnsi="宋体"/>
                <w:color w:val="auto"/>
                <w:szCs w:val="21"/>
                <w:highlight w:val="none"/>
                <w:u w:val="single"/>
              </w:rPr>
              <w:t>提交扫描件</w:t>
            </w:r>
            <w:r>
              <w:rPr>
                <w:rFonts w:hint="eastAsia" w:ascii="宋体" w:hAnsi="宋体"/>
                <w:color w:val="auto"/>
                <w:szCs w:val="21"/>
                <w:highlight w:val="none"/>
              </w:rPr>
              <w:t>未手写签名或与签名图像笔迹不一致的，该电子证书无效。）</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ascii="宋体" w:hAnsi="宋体"/>
                <w:color w:val="auto"/>
                <w:szCs w:val="21"/>
                <w:highlight w:val="none"/>
              </w:rPr>
              <w:t>5</w:t>
            </w:r>
          </w:p>
        </w:tc>
        <w:tc>
          <w:tcPr>
            <w:tcW w:w="6831"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持有项目负责人安全</w:t>
            </w:r>
            <w:r>
              <w:rPr>
                <w:rFonts w:hint="eastAsia" w:ascii="宋体" w:hAnsi="宋体"/>
                <w:color w:val="auto"/>
                <w:szCs w:val="21"/>
                <w:highlight w:val="none"/>
                <w:lang w:val="en-US" w:eastAsia="zh-CN"/>
              </w:rPr>
              <w:t>生产</w:t>
            </w:r>
            <w:r>
              <w:rPr>
                <w:rFonts w:hint="eastAsia" w:ascii="宋体" w:hAnsi="宋体"/>
                <w:color w:val="auto"/>
                <w:szCs w:val="21"/>
                <w:highlight w:val="none"/>
              </w:rPr>
              <w:t>考核合格证（</w:t>
            </w:r>
            <w:r>
              <w:rPr>
                <w:rFonts w:ascii="宋体" w:hAnsi="宋体"/>
                <w:color w:val="auto"/>
                <w:szCs w:val="21"/>
                <w:highlight w:val="none"/>
              </w:rPr>
              <w:t>B</w:t>
            </w:r>
            <w:r>
              <w:rPr>
                <w:rFonts w:hint="eastAsia" w:ascii="宋体" w:hAnsi="宋体"/>
                <w:color w:val="auto"/>
                <w:szCs w:val="21"/>
                <w:highlight w:val="none"/>
              </w:rPr>
              <w:t>类）或建筑施工企业项目负责人安全生产考核合格证</w:t>
            </w:r>
          </w:p>
        </w:tc>
        <w:tc>
          <w:tcPr>
            <w:tcW w:w="635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项目负责人安全</w:t>
            </w:r>
            <w:r>
              <w:rPr>
                <w:rFonts w:hint="eastAsia" w:ascii="宋体" w:hAnsi="宋体"/>
                <w:color w:val="auto"/>
                <w:szCs w:val="21"/>
                <w:highlight w:val="none"/>
                <w:lang w:val="en-US" w:eastAsia="zh-CN"/>
              </w:rPr>
              <w:t>生产</w:t>
            </w:r>
            <w:r>
              <w:rPr>
                <w:rFonts w:hint="eastAsia" w:ascii="宋体" w:hAnsi="宋体"/>
                <w:color w:val="auto"/>
                <w:szCs w:val="21"/>
                <w:highlight w:val="none"/>
              </w:rPr>
              <w:t>考核合格证（B证）或建筑施工企业项目负责人安全生产考核合格证</w:t>
            </w:r>
            <w:r>
              <w:rPr>
                <w:rFonts w:hint="eastAsia" w:ascii="宋体" w:hAnsi="宋体"/>
                <w:color w:val="auto"/>
                <w:szCs w:val="21"/>
                <w:highlight w:val="none"/>
                <w:u w:val="single"/>
              </w:rPr>
              <w:t>扫描件</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6</w:t>
            </w:r>
          </w:p>
        </w:tc>
        <w:tc>
          <w:tcPr>
            <w:tcW w:w="6831" w:type="dxa"/>
            <w:tcBorders>
              <w:top w:val="single" w:color="auto" w:sz="4" w:space="0"/>
              <w:left w:val="single" w:color="auto" w:sz="4" w:space="0"/>
              <w:bottom w:val="single" w:color="auto" w:sz="4" w:space="0"/>
              <w:right w:val="single" w:color="auto" w:sz="4" w:space="0"/>
            </w:tcBorders>
            <w:noWrap w:val="0"/>
            <w:vAlign w:val="center"/>
          </w:tcPr>
          <w:p>
            <w:pPr>
              <w:spacing w:before="120" w:after="60"/>
              <w:rPr>
                <w:rFonts w:ascii="宋体" w:hAnsi="宋体"/>
                <w:color w:val="auto"/>
                <w:szCs w:val="21"/>
                <w:highlight w:val="none"/>
              </w:rPr>
            </w:pPr>
            <w:r>
              <w:rPr>
                <w:rFonts w:hint="eastAsia" w:ascii="宋体" w:hAnsi="宋体"/>
                <w:color w:val="auto"/>
                <w:szCs w:val="21"/>
                <w:highlight w:val="none"/>
              </w:rPr>
              <w:t>投标人拟担任本工程技术负责人符合公告要求</w:t>
            </w:r>
          </w:p>
        </w:tc>
        <w:tc>
          <w:tcPr>
            <w:tcW w:w="6350" w:type="dxa"/>
            <w:tcBorders>
              <w:top w:val="single" w:color="auto" w:sz="4" w:space="0"/>
              <w:left w:val="single" w:color="auto" w:sz="4" w:space="0"/>
              <w:bottom w:val="single" w:color="auto" w:sz="4" w:space="0"/>
              <w:right w:val="single" w:color="auto" w:sz="4" w:space="0"/>
            </w:tcBorders>
            <w:noWrap w:val="0"/>
            <w:vAlign w:val="center"/>
          </w:tcPr>
          <w:p>
            <w:pPr>
              <w:spacing w:before="120" w:after="60"/>
              <w:rPr>
                <w:rFonts w:ascii="宋体" w:hAnsi="宋体"/>
                <w:color w:val="auto"/>
                <w:szCs w:val="21"/>
                <w:highlight w:val="none"/>
              </w:rPr>
            </w:pPr>
            <w:r>
              <w:rPr>
                <w:rFonts w:hint="eastAsia" w:ascii="宋体" w:hAnsi="宋体" w:cs="宋体"/>
                <w:bCs/>
                <w:color w:val="auto"/>
                <w:szCs w:val="21"/>
                <w:highlight w:val="none"/>
                <w:u w:val="single"/>
              </w:rPr>
              <w:t>拟委派技术负责人的职称证书扫描件</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7</w:t>
            </w:r>
          </w:p>
        </w:tc>
        <w:tc>
          <w:tcPr>
            <w:tcW w:w="6831" w:type="dxa"/>
            <w:tcBorders>
              <w:top w:val="single" w:color="auto" w:sz="4" w:space="0"/>
              <w:left w:val="single" w:color="auto" w:sz="4" w:space="0"/>
              <w:bottom w:val="single" w:color="auto" w:sz="4" w:space="0"/>
              <w:right w:val="single" w:color="auto" w:sz="4" w:space="0"/>
            </w:tcBorders>
            <w:noWrap w:val="0"/>
            <w:vAlign w:val="center"/>
          </w:tcPr>
          <w:p>
            <w:pPr>
              <w:spacing w:before="120" w:after="60"/>
              <w:rPr>
                <w:rFonts w:ascii="宋体" w:hAnsi="宋体"/>
                <w:color w:val="auto"/>
                <w:szCs w:val="21"/>
                <w:highlight w:val="none"/>
              </w:rPr>
            </w:pPr>
            <w:r>
              <w:rPr>
                <w:rFonts w:hint="eastAsia" w:ascii="宋体" w:hAnsi="宋体"/>
                <w:color w:val="auto"/>
                <w:szCs w:val="21"/>
                <w:highlight w:val="none"/>
              </w:rPr>
              <w:t>专职安全员须具有安全生产考核合格证（C</w:t>
            </w:r>
            <w:r>
              <w:rPr>
                <w:rFonts w:hint="eastAsia" w:ascii="宋体" w:hAnsi="宋体"/>
                <w:color w:val="auto"/>
                <w:szCs w:val="21"/>
                <w:highlight w:val="none"/>
                <w:lang w:val="en-US" w:eastAsia="zh-CN"/>
              </w:rPr>
              <w:t>类</w:t>
            </w:r>
            <w:r>
              <w:rPr>
                <w:rFonts w:hint="eastAsia" w:ascii="宋体" w:hAnsi="宋体"/>
                <w:color w:val="auto"/>
                <w:szCs w:val="21"/>
                <w:highlight w:val="none"/>
              </w:rPr>
              <w:t>）或建筑施工企业专职安全生产管理人员安全生产考核合格证（C</w:t>
            </w:r>
            <w:r>
              <w:rPr>
                <w:rFonts w:hint="eastAsia" w:ascii="宋体" w:hAnsi="宋体"/>
                <w:color w:val="auto"/>
                <w:szCs w:val="21"/>
                <w:highlight w:val="none"/>
                <w:lang w:val="en-US" w:eastAsia="zh-CN"/>
              </w:rPr>
              <w:t>3</w:t>
            </w:r>
            <w:r>
              <w:rPr>
                <w:rFonts w:hint="eastAsia" w:ascii="宋体" w:hAnsi="宋体"/>
                <w:color w:val="auto"/>
                <w:szCs w:val="21"/>
                <w:highlight w:val="none"/>
              </w:rPr>
              <w:t>）</w:t>
            </w:r>
          </w:p>
        </w:tc>
        <w:tc>
          <w:tcPr>
            <w:tcW w:w="6350" w:type="dxa"/>
            <w:tcBorders>
              <w:top w:val="single" w:color="auto" w:sz="4" w:space="0"/>
              <w:left w:val="single" w:color="auto" w:sz="4" w:space="0"/>
              <w:bottom w:val="single" w:color="auto" w:sz="4" w:space="0"/>
              <w:right w:val="single" w:color="auto" w:sz="4" w:space="0"/>
            </w:tcBorders>
            <w:noWrap w:val="0"/>
            <w:vAlign w:val="center"/>
          </w:tcPr>
          <w:p>
            <w:pPr>
              <w:spacing w:before="120" w:after="60"/>
              <w:rPr>
                <w:rFonts w:ascii="宋体" w:hAnsi="宋体"/>
                <w:color w:val="auto"/>
                <w:szCs w:val="21"/>
                <w:highlight w:val="none"/>
              </w:rPr>
            </w:pPr>
            <w:r>
              <w:rPr>
                <w:rFonts w:hint="eastAsia" w:ascii="宋体" w:hAnsi="宋体"/>
                <w:color w:val="auto"/>
                <w:szCs w:val="21"/>
                <w:highlight w:val="none"/>
              </w:rPr>
              <w:t>专职安全员的安全生产考核合格证（C</w:t>
            </w:r>
            <w:r>
              <w:rPr>
                <w:rFonts w:hint="eastAsia" w:ascii="宋体" w:hAnsi="宋体"/>
                <w:color w:val="auto"/>
                <w:szCs w:val="21"/>
                <w:highlight w:val="none"/>
                <w:lang w:val="en-US" w:eastAsia="zh-CN"/>
              </w:rPr>
              <w:t>类</w:t>
            </w:r>
            <w:r>
              <w:rPr>
                <w:rFonts w:hint="eastAsia" w:ascii="宋体" w:hAnsi="宋体"/>
                <w:color w:val="auto"/>
                <w:szCs w:val="21"/>
                <w:highlight w:val="none"/>
              </w:rPr>
              <w:t>）或建筑施工企业专职安全生产管理人员安全生产考核合格证（C</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u w:val="single"/>
              </w:rPr>
              <w:t>扫描件。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建质〔2015〕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8</w:t>
            </w:r>
          </w:p>
        </w:tc>
        <w:tc>
          <w:tcPr>
            <w:tcW w:w="683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szCs w:val="21"/>
                <w:highlight w:val="none"/>
              </w:rPr>
            </w:pPr>
            <w:r>
              <w:rPr>
                <w:rFonts w:hint="eastAsia" w:ascii="宋体" w:hAnsi="宋体"/>
                <w:color w:val="auto"/>
                <w:szCs w:val="21"/>
                <w:highlight w:val="none"/>
              </w:rPr>
              <w:t>投标人完成过的类似工程业绩符合公告要求</w:t>
            </w:r>
          </w:p>
        </w:tc>
        <w:tc>
          <w:tcPr>
            <w:tcW w:w="635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auto"/>
                <w:szCs w:val="21"/>
                <w:highlight w:val="none"/>
              </w:rPr>
            </w:pPr>
            <w:r>
              <w:rPr>
                <w:rFonts w:hint="eastAsia" w:ascii="宋体" w:hAnsi="宋体"/>
                <w:color w:val="auto"/>
                <w:szCs w:val="21"/>
                <w:highlight w:val="none"/>
              </w:rPr>
              <w:t>业绩资料</w:t>
            </w:r>
            <w:r>
              <w:rPr>
                <w:rFonts w:hint="eastAsia" w:ascii="宋体" w:hAnsi="宋体"/>
                <w:color w:val="auto"/>
                <w:szCs w:val="21"/>
                <w:highlight w:val="none"/>
                <w:u w:val="single"/>
              </w:rPr>
              <w:t>原件扫描件或网页截图</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9</w:t>
            </w:r>
          </w:p>
        </w:tc>
        <w:tc>
          <w:tcPr>
            <w:tcW w:w="6831" w:type="dxa"/>
            <w:tcBorders>
              <w:top w:val="single" w:color="auto" w:sz="4" w:space="0"/>
              <w:left w:val="single" w:color="auto" w:sz="4" w:space="0"/>
              <w:bottom w:val="single" w:color="auto" w:sz="4" w:space="0"/>
              <w:right w:val="single" w:color="auto" w:sz="4" w:space="0"/>
            </w:tcBorders>
            <w:noWrap w:val="0"/>
            <w:vAlign w:val="center"/>
          </w:tcPr>
          <w:p>
            <w:pPr>
              <w:spacing w:before="120" w:after="60"/>
              <w:rPr>
                <w:rFonts w:ascii="宋体" w:hAnsi="宋体"/>
                <w:color w:val="auto"/>
                <w:szCs w:val="21"/>
                <w:highlight w:val="none"/>
              </w:rPr>
            </w:pPr>
            <w:r>
              <w:rPr>
                <w:rFonts w:hint="eastAsia" w:ascii="宋体" w:hAnsi="宋体"/>
                <w:color w:val="auto"/>
                <w:szCs w:val="21"/>
                <w:highlight w:val="none"/>
              </w:rPr>
              <w:t>投标人提供的投标人声明符合公告要求</w:t>
            </w:r>
          </w:p>
        </w:tc>
        <w:tc>
          <w:tcPr>
            <w:tcW w:w="635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投标人声明</w:t>
            </w:r>
            <w:r>
              <w:rPr>
                <w:rFonts w:hint="eastAsia" w:ascii="宋体" w:hAnsi="宋体"/>
                <w:color w:val="auto"/>
                <w:szCs w:val="21"/>
                <w:highlight w:val="none"/>
                <w:u w:val="single"/>
              </w:rPr>
              <w:t>扫描件</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10</w:t>
            </w:r>
          </w:p>
        </w:tc>
        <w:tc>
          <w:tcPr>
            <w:tcW w:w="6831" w:type="dxa"/>
            <w:tcBorders>
              <w:top w:val="single" w:color="auto" w:sz="4" w:space="0"/>
              <w:left w:val="single" w:color="auto" w:sz="4" w:space="0"/>
              <w:bottom w:val="single" w:color="auto" w:sz="4" w:space="0"/>
              <w:right w:val="single" w:color="auto" w:sz="4" w:space="0"/>
            </w:tcBorders>
            <w:noWrap w:val="0"/>
            <w:vAlign w:val="center"/>
          </w:tcPr>
          <w:p>
            <w:pPr>
              <w:spacing w:before="120" w:after="60"/>
              <w:rPr>
                <w:rFonts w:ascii="宋体" w:hAnsi="宋体"/>
                <w:color w:val="auto"/>
                <w:szCs w:val="21"/>
                <w:highlight w:val="none"/>
              </w:rPr>
            </w:pPr>
            <w:r>
              <w:rPr>
                <w:rFonts w:hint="eastAsia" w:ascii="宋体" w:hAnsi="宋体"/>
                <w:color w:val="auto"/>
                <w:szCs w:val="21"/>
                <w:highlight w:val="none"/>
              </w:rPr>
              <w:t>投标人声明中签字的项目负责人和技术负责人与本项目拟派的项目负责人和技术负责人一致</w:t>
            </w:r>
          </w:p>
        </w:tc>
        <w:tc>
          <w:tcPr>
            <w:tcW w:w="6350" w:type="dxa"/>
            <w:tcBorders>
              <w:top w:val="single" w:color="auto" w:sz="4" w:space="0"/>
              <w:left w:val="single" w:color="auto" w:sz="4" w:space="0"/>
              <w:bottom w:val="single" w:color="auto" w:sz="4" w:space="0"/>
              <w:right w:val="single" w:color="auto" w:sz="4" w:space="0"/>
            </w:tcBorders>
            <w:noWrap w:val="0"/>
            <w:vAlign w:val="center"/>
          </w:tcPr>
          <w:p>
            <w:pPr>
              <w:spacing w:before="120" w:after="60"/>
              <w:rPr>
                <w:rFonts w:ascii="宋体" w:hAnsi="宋体"/>
                <w:color w:val="auto"/>
                <w:szCs w:val="21"/>
                <w:highlight w:val="none"/>
              </w:rPr>
            </w:pPr>
            <w:r>
              <w:rPr>
                <w:rFonts w:hint="eastAsia" w:ascii="宋体" w:hAnsi="宋体"/>
                <w:color w:val="auto"/>
                <w:szCs w:val="21"/>
                <w:highlight w:val="none"/>
              </w:rPr>
              <w:t>网上投标时选择拟投标的项目负责人、资格审查文件中拟委派的技术负责人及投标人声明</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11</w:t>
            </w:r>
          </w:p>
        </w:tc>
        <w:tc>
          <w:tcPr>
            <w:tcW w:w="6831" w:type="dxa"/>
            <w:tcBorders>
              <w:top w:val="single" w:color="auto" w:sz="4" w:space="0"/>
              <w:left w:val="single" w:color="auto" w:sz="4" w:space="0"/>
              <w:bottom w:val="single" w:color="auto" w:sz="4" w:space="0"/>
              <w:right w:val="single" w:color="auto" w:sz="4" w:space="0"/>
            </w:tcBorders>
            <w:noWrap w:val="0"/>
            <w:vAlign w:val="center"/>
          </w:tcPr>
          <w:p>
            <w:pPr>
              <w:spacing w:before="120" w:after="60"/>
              <w:rPr>
                <w:rFonts w:ascii="宋体" w:hAnsi="宋体"/>
                <w:color w:val="auto"/>
                <w:szCs w:val="21"/>
                <w:highlight w:val="none"/>
              </w:rPr>
            </w:pPr>
            <w:r>
              <w:rPr>
                <w:rStyle w:val="148"/>
                <w:rFonts w:hint="default"/>
                <w:color w:val="auto"/>
                <w:sz w:val="21"/>
                <w:szCs w:val="21"/>
                <w:highlight w:val="none"/>
              </w:rPr>
              <w:t>关于联合体投标：本项目不接受联合体投标。</w:t>
            </w:r>
          </w:p>
        </w:tc>
        <w:tc>
          <w:tcPr>
            <w:tcW w:w="635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strike/>
                <w:color w:val="auto"/>
                <w:szCs w:val="21"/>
                <w:highlight w:val="none"/>
                <w:u w:val="single"/>
              </w:rPr>
            </w:pPr>
            <w:r>
              <w:rPr>
                <w:rFonts w:hint="eastAsia" w:ascii="宋体" w:hAnsi="宋体"/>
                <w:color w:val="auto"/>
                <w:szCs w:val="21"/>
                <w:highlight w:val="none"/>
                <w:u w:val="single"/>
              </w:rPr>
              <w:t>投标人没有以联合体投标登记。本项没有须审查的资料。</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olor w:val="auto"/>
                <w:szCs w:val="21"/>
                <w:highlight w:val="none"/>
              </w:rPr>
            </w:pPr>
            <w:r>
              <w:rPr>
                <w:rFonts w:hint="eastAsia" w:ascii="宋体" w:hAnsi="宋体"/>
                <w:color w:val="auto"/>
                <w:szCs w:val="21"/>
                <w:highlight w:val="none"/>
              </w:rPr>
              <w:t>12</w:t>
            </w:r>
          </w:p>
        </w:tc>
        <w:tc>
          <w:tcPr>
            <w:tcW w:w="6831" w:type="dxa"/>
            <w:tcBorders>
              <w:top w:val="single" w:color="auto" w:sz="4" w:space="0"/>
              <w:left w:val="single" w:color="auto" w:sz="4" w:space="0"/>
              <w:bottom w:val="single" w:color="auto" w:sz="4" w:space="0"/>
              <w:right w:val="single" w:color="auto" w:sz="4" w:space="0"/>
            </w:tcBorders>
            <w:noWrap w:val="0"/>
            <w:vAlign w:val="center"/>
          </w:tcPr>
          <w:p>
            <w:pPr>
              <w:spacing w:before="120" w:after="60"/>
              <w:rPr>
                <w:rFonts w:ascii="宋体" w:hAnsi="宋体"/>
                <w:color w:val="auto"/>
                <w:szCs w:val="21"/>
                <w:highlight w:val="none"/>
              </w:rPr>
            </w:pPr>
            <w:r>
              <w:rPr>
                <w:rFonts w:hint="eastAsia" w:ascii="宋体" w:hAnsi="宋体"/>
                <w:color w:val="auto"/>
                <w:szCs w:val="21"/>
                <w:highlight w:val="none"/>
                <w:u w:val="single"/>
              </w:rPr>
              <w:t>投标登记前，投标人须在广州公共资源交易中心企业库办理企业信息登记及拟担任本工程项目负责人、专职安全员须是本企业信息登记中的在册人员。</w:t>
            </w:r>
          </w:p>
        </w:tc>
        <w:tc>
          <w:tcPr>
            <w:tcW w:w="6350" w:type="dxa"/>
            <w:tcBorders>
              <w:top w:val="single" w:color="auto" w:sz="4" w:space="0"/>
              <w:left w:val="single" w:color="auto" w:sz="4" w:space="0"/>
              <w:bottom w:val="single" w:color="auto" w:sz="4" w:space="0"/>
              <w:right w:val="single" w:color="auto" w:sz="4" w:space="0"/>
            </w:tcBorders>
            <w:noWrap w:val="0"/>
            <w:vAlign w:val="center"/>
          </w:tcPr>
          <w:p>
            <w:pPr>
              <w:spacing w:before="120" w:after="60"/>
              <w:rPr>
                <w:rFonts w:ascii="宋体" w:hAnsi="宋体"/>
                <w:color w:val="auto"/>
                <w:szCs w:val="21"/>
                <w:highlight w:val="none"/>
              </w:rPr>
            </w:pPr>
            <w:r>
              <w:rPr>
                <w:rFonts w:hint="eastAsia" w:ascii="宋体" w:hAnsi="宋体"/>
                <w:color w:val="auto"/>
                <w:szCs w:val="21"/>
                <w:highlight w:val="none"/>
              </w:rPr>
              <w:t>投标人在</w:t>
            </w:r>
            <w:r>
              <w:rPr>
                <w:rFonts w:hint="eastAsia"/>
                <w:color w:val="auto"/>
                <w:highlight w:val="none"/>
                <w:u w:val="single"/>
              </w:rPr>
              <w:t>广州公共资源交易中心企业</w:t>
            </w:r>
            <w:r>
              <w:rPr>
                <w:rFonts w:hint="eastAsia" w:ascii="宋体" w:hAnsi="宋体"/>
                <w:color w:val="auto"/>
                <w:szCs w:val="21"/>
                <w:highlight w:val="none"/>
              </w:rPr>
              <w:t>库内</w:t>
            </w:r>
            <w:r>
              <w:rPr>
                <w:rFonts w:hint="eastAsia" w:ascii="宋体" w:hAnsi="宋体"/>
                <w:color w:val="auto"/>
                <w:szCs w:val="21"/>
                <w:highlight w:val="none"/>
                <w:u w:val="single"/>
              </w:rPr>
              <w:t>信息</w:t>
            </w:r>
            <w:r>
              <w:rPr>
                <w:rFonts w:hint="eastAsia"/>
                <w:color w:val="auto"/>
                <w:highlight w:val="none"/>
                <w:u w:val="single"/>
              </w:rPr>
              <w:t>登记</w:t>
            </w:r>
            <w:r>
              <w:rPr>
                <w:rFonts w:hint="eastAsia" w:ascii="宋体" w:hAnsi="宋体"/>
                <w:color w:val="auto"/>
                <w:szCs w:val="21"/>
                <w:highlight w:val="none"/>
              </w:rPr>
              <w:t>的企业和人员信息</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u w:val="single"/>
              </w:rPr>
            </w:pPr>
            <w:r>
              <w:rPr>
                <w:rFonts w:hint="eastAsia" w:ascii="宋体" w:hAnsi="宋体"/>
                <w:color w:val="auto"/>
                <w:szCs w:val="21"/>
                <w:highlight w:val="none"/>
                <w:u w:val="single"/>
              </w:rPr>
              <w:t>13</w:t>
            </w:r>
          </w:p>
        </w:tc>
        <w:tc>
          <w:tcPr>
            <w:tcW w:w="6831" w:type="dxa"/>
            <w:tcBorders>
              <w:top w:val="single" w:color="auto" w:sz="4" w:space="0"/>
              <w:left w:val="single" w:color="auto" w:sz="4" w:space="0"/>
              <w:bottom w:val="single" w:color="auto" w:sz="4" w:space="0"/>
              <w:right w:val="single" w:color="auto" w:sz="4" w:space="0"/>
            </w:tcBorders>
            <w:noWrap w:val="0"/>
            <w:vAlign w:val="center"/>
          </w:tcPr>
          <w:p>
            <w:pPr>
              <w:spacing w:before="120" w:after="60"/>
              <w:rPr>
                <w:rFonts w:ascii="宋体" w:hAnsi="宋体"/>
                <w:color w:val="auto"/>
                <w:szCs w:val="21"/>
                <w:highlight w:val="none"/>
              </w:rPr>
            </w:pPr>
            <w:r>
              <w:rPr>
                <w:rFonts w:hint="eastAsia" w:ascii="宋体" w:hAnsi="宋体"/>
                <w:color w:val="auto"/>
                <w:szCs w:val="21"/>
                <w:highlight w:val="none"/>
              </w:rPr>
              <w:t>投标人未出现以下情形：与其它投标人的单位负责人为同一人或者存在控股、管理关系的（按投标人提供的《投标人声明》第八条内容进行评审）。</w:t>
            </w:r>
          </w:p>
        </w:tc>
        <w:tc>
          <w:tcPr>
            <w:tcW w:w="635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投标人声明</w:t>
            </w:r>
            <w:r>
              <w:rPr>
                <w:rFonts w:hint="eastAsia" w:ascii="宋体" w:hAnsi="宋体"/>
                <w:color w:val="auto"/>
                <w:szCs w:val="21"/>
                <w:highlight w:val="none"/>
                <w:u w:val="single"/>
              </w:rPr>
              <w:t>扫描件</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u w:val="single"/>
              </w:rPr>
            </w:pPr>
            <w:r>
              <w:rPr>
                <w:rFonts w:hint="eastAsia" w:ascii="宋体" w:hAnsi="宋体"/>
                <w:color w:val="auto"/>
                <w:szCs w:val="21"/>
                <w:highlight w:val="none"/>
                <w:u w:val="single"/>
              </w:rPr>
              <w:t>14</w:t>
            </w:r>
          </w:p>
        </w:tc>
        <w:tc>
          <w:tcPr>
            <w:tcW w:w="6831"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auto"/>
                <w:szCs w:val="21"/>
                <w:highlight w:val="none"/>
                <w:u w:val="single"/>
              </w:rPr>
            </w:pPr>
            <w:r>
              <w:rPr>
                <w:rFonts w:hint="eastAsia" w:ascii="宋体" w:hAnsi="宋体"/>
                <w:color w:val="auto"/>
                <w:szCs w:val="21"/>
                <w:highlight w:val="none"/>
                <w:u w:val="single"/>
              </w:rPr>
              <w:t>未被列入我区不良记录（处罚有效期内）的单位或个人（指项目负责人）投标，不良记录具体名单以资格审查时广州市黄埔区人民政府、广州开发区管委会网站的区住房城乡建设局（广州开发区建设和交通局）网页“建筑活动不良行为记录”栏目（网址： http://www.hp.gov.cn/gzjg/qzfgwhgzbm/qzfhcxjsj10/jzhdblxwjl/ ）公布名单为准。若资格审查时网址有变化，以最新网址为准。</w:t>
            </w:r>
          </w:p>
        </w:tc>
        <w:tc>
          <w:tcPr>
            <w:tcW w:w="635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auto"/>
                <w:szCs w:val="21"/>
                <w:highlight w:val="none"/>
                <w:u w:val="single"/>
              </w:rPr>
            </w:pPr>
            <w:r>
              <w:rPr>
                <w:rFonts w:hint="eastAsia" w:ascii="宋体" w:hAnsi="宋体"/>
                <w:color w:val="auto"/>
                <w:szCs w:val="21"/>
                <w:highlight w:val="none"/>
                <w:u w:val="single"/>
              </w:rPr>
              <w:t>以资格审查时广州市黄埔区人民政府、广州开发区管委会网站的区住房城乡建设局（广州开发区建设和交通局）网页“建筑活动不良行为记录”栏目（网址： http://www.hp.gov.cn/gzjg/qzfgwhgzbm/qzfhcxjsj10/jzhdblxwjl/ ）公布名单为准。若资格审查时网址有变化，以最新网址为准。</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bl>
    <w:p>
      <w:pPr>
        <w:ind w:firstLine="470" w:firstLineChars="224"/>
        <w:rPr>
          <w:rFonts w:hint="eastAsia" w:ascii="宋体" w:hAnsi="宋体"/>
          <w:color w:val="auto"/>
          <w:szCs w:val="21"/>
          <w:highlight w:val="none"/>
        </w:rPr>
      </w:pPr>
      <w:r>
        <w:rPr>
          <w:rFonts w:hint="eastAsia" w:ascii="宋体" w:hAnsi="宋体"/>
          <w:color w:val="auto"/>
          <w:szCs w:val="21"/>
          <w:highlight w:val="none"/>
        </w:rPr>
        <w:t>备注：</w:t>
      </w:r>
    </w:p>
    <w:p>
      <w:pPr>
        <w:ind w:firstLine="470" w:firstLineChars="224"/>
        <w:rPr>
          <w:rFonts w:hint="eastAsia" w:ascii="宋体" w:hAnsi="宋体"/>
          <w:color w:val="auto"/>
          <w:szCs w:val="21"/>
          <w:highlight w:val="none"/>
        </w:rPr>
      </w:pPr>
      <w:r>
        <w:rPr>
          <w:rFonts w:hint="eastAsia" w:ascii="宋体" w:hAnsi="宋体"/>
          <w:color w:val="auto"/>
          <w:szCs w:val="21"/>
          <w:highlight w:val="none"/>
        </w:rPr>
        <w:t xml:space="preserve">1、每一项目符合的打“○”，不符合的打“×”； </w:t>
      </w:r>
    </w:p>
    <w:p>
      <w:pPr>
        <w:ind w:firstLine="470" w:firstLineChars="224"/>
        <w:rPr>
          <w:rFonts w:hint="eastAsia" w:ascii="宋体" w:hAnsi="宋体"/>
          <w:color w:val="auto"/>
          <w:szCs w:val="21"/>
          <w:highlight w:val="none"/>
        </w:rPr>
      </w:pPr>
      <w:r>
        <w:rPr>
          <w:rFonts w:hint="eastAsia" w:ascii="宋体" w:hAnsi="宋体"/>
          <w:color w:val="auto"/>
          <w:szCs w:val="21"/>
          <w:highlight w:val="none"/>
        </w:rPr>
        <w:t>2、若评委意见不一致时，则按少数服从多数的原则，作出评审结论。汇总后，出现一个“×”的结论为“不通过”。</w:t>
      </w:r>
    </w:p>
    <w:p>
      <w:pPr>
        <w:ind w:firstLine="470" w:firstLineChars="224"/>
        <w:rPr>
          <w:rFonts w:ascii="宋体" w:hAnsi="宋体"/>
          <w:color w:val="auto"/>
          <w:szCs w:val="21"/>
          <w:highlight w:val="none"/>
        </w:rPr>
      </w:pPr>
      <w:r>
        <w:rPr>
          <w:rFonts w:hint="eastAsia" w:ascii="宋体" w:hAnsi="宋体"/>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rPr>
          <w:color w:val="auto"/>
          <w:highlight w:val="none"/>
        </w:rPr>
        <w:sectPr>
          <w:endnotePr>
            <w:numFmt w:val="decimal"/>
          </w:endnotePr>
          <w:pgSz w:w="16838" w:h="11906" w:orient="landscape"/>
          <w:pgMar w:top="1418" w:right="1134" w:bottom="1418" w:left="1247" w:header="851" w:footer="907" w:gutter="0"/>
          <w:cols w:space="720" w:num="1"/>
          <w:titlePg/>
          <w:docGrid w:type="linesAndChars" w:linePitch="312" w:charSpace="0"/>
        </w:sectPr>
      </w:pPr>
    </w:p>
    <w:p>
      <w:pPr>
        <w:rPr>
          <w:color w:val="auto"/>
          <w:szCs w:val="21"/>
          <w:highlight w:val="none"/>
        </w:rPr>
      </w:pPr>
      <w:r>
        <w:rPr>
          <w:rFonts w:hint="eastAsia"/>
          <w:color w:val="auto"/>
          <w:szCs w:val="21"/>
          <w:highlight w:val="none"/>
        </w:rPr>
        <w:t>附表二</w:t>
      </w:r>
    </w:p>
    <w:p>
      <w:pPr>
        <w:spacing w:line="400" w:lineRule="exact"/>
        <w:jc w:val="center"/>
        <w:rPr>
          <w:b/>
          <w:color w:val="auto"/>
          <w:sz w:val="36"/>
          <w:szCs w:val="36"/>
          <w:highlight w:val="none"/>
        </w:rPr>
      </w:pPr>
      <w:r>
        <w:rPr>
          <w:rFonts w:hint="eastAsia"/>
          <w:b/>
          <w:color w:val="auto"/>
          <w:sz w:val="36"/>
          <w:szCs w:val="36"/>
          <w:highlight w:val="none"/>
        </w:rPr>
        <w:t>技术标有效性审查表</w:t>
      </w:r>
    </w:p>
    <w:p>
      <w:pPr>
        <w:rPr>
          <w:color w:val="auto"/>
          <w:szCs w:val="21"/>
          <w:highlight w:val="none"/>
        </w:rPr>
      </w:pPr>
      <w:r>
        <w:rPr>
          <w:rFonts w:hint="eastAsia"/>
          <w:color w:val="auto"/>
          <w:szCs w:val="21"/>
          <w:highlight w:val="none"/>
        </w:rPr>
        <w:t>工程名称：</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8516"/>
        <w:gridCol w:w="921"/>
        <w:gridCol w:w="921"/>
        <w:gridCol w:w="922"/>
        <w:gridCol w:w="921"/>
        <w:gridCol w:w="921"/>
        <w:gridCol w:w="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olor w:val="auto"/>
                <w:szCs w:val="21"/>
                <w:highlight w:val="none"/>
              </w:rPr>
              <w:t>序号</w:t>
            </w:r>
          </w:p>
        </w:tc>
        <w:tc>
          <w:tcPr>
            <w:tcW w:w="8516"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pPr>
              <w:adjustRightInd w:val="0"/>
              <w:ind w:firstLine="3570" w:firstLineChars="1700"/>
              <w:rPr>
                <w:rFonts w:ascii="宋体" w:hAnsi="宋体"/>
                <w:color w:val="auto"/>
                <w:szCs w:val="21"/>
                <w:highlight w:val="none"/>
              </w:rPr>
            </w:pPr>
            <w:r>
              <w:rPr>
                <w:rFonts w:hint="eastAsia" w:ascii="宋体" w:hAnsi="宋体"/>
                <w:color w:val="auto"/>
                <w:szCs w:val="21"/>
                <w:highlight w:val="none"/>
              </w:rPr>
              <w:t>投标人</w:t>
            </w:r>
          </w:p>
          <w:p>
            <w:pPr>
              <w:adjustRightInd w:val="0"/>
              <w:rPr>
                <w:rFonts w:ascii="宋体" w:hAnsi="宋体"/>
                <w:color w:val="auto"/>
                <w:szCs w:val="21"/>
                <w:highlight w:val="none"/>
              </w:rPr>
            </w:pPr>
          </w:p>
          <w:p>
            <w:pPr>
              <w:adjustRightInd w:val="0"/>
              <w:rPr>
                <w:rFonts w:ascii="宋体" w:hAnsi="宋体"/>
                <w:color w:val="auto"/>
                <w:szCs w:val="21"/>
                <w:highlight w:val="none"/>
              </w:rPr>
            </w:pPr>
            <w:r>
              <w:rPr>
                <w:rFonts w:hint="eastAsia" w:ascii="宋体" w:hAnsi="宋体"/>
                <w:color w:val="auto"/>
                <w:szCs w:val="21"/>
                <w:highlight w:val="none"/>
              </w:rPr>
              <w:t>评审内容</w:t>
            </w: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2"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2"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olor w:val="auto"/>
                <w:szCs w:val="21"/>
                <w:highlight w:val="none"/>
              </w:rPr>
              <w:t>1</w:t>
            </w:r>
          </w:p>
        </w:tc>
        <w:tc>
          <w:tcPr>
            <w:tcW w:w="8516"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color w:val="auto"/>
                <w:szCs w:val="21"/>
                <w:highlight w:val="none"/>
                <w:u w:val="single"/>
              </w:rPr>
            </w:pPr>
            <w:r>
              <w:rPr>
                <w:rFonts w:hint="eastAsia" w:ascii="宋体" w:hAnsi="宋体" w:cs="宋体"/>
                <w:color w:val="auto"/>
                <w:szCs w:val="21"/>
                <w:highlight w:val="none"/>
                <w:u w:val="single"/>
              </w:rPr>
              <w:t>《广州建设工程施工招标投标书（技术标）》中填报的投标总工期不符合招标文件要求的；</w:t>
            </w: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2"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2"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olor w:val="auto"/>
                <w:szCs w:val="21"/>
                <w:highlight w:val="none"/>
              </w:rPr>
              <w:t>2</w:t>
            </w:r>
          </w:p>
        </w:tc>
        <w:tc>
          <w:tcPr>
            <w:tcW w:w="8516"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color w:val="auto"/>
                <w:szCs w:val="21"/>
                <w:highlight w:val="none"/>
              </w:rPr>
            </w:pPr>
            <w:r>
              <w:rPr>
                <w:rFonts w:hint="eastAsia" w:ascii="宋体" w:hAnsi="宋体" w:cs="宋体"/>
                <w:color w:val="auto"/>
                <w:szCs w:val="21"/>
                <w:highlight w:val="none"/>
                <w:u w:val="single"/>
              </w:rPr>
              <w:t>《广州建设工程施工招标投标书（技术标）》中填报的工程质量标准不符合招标文件要求的；</w:t>
            </w: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2"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2"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u w:val="single"/>
              </w:rPr>
            </w:pPr>
            <w:r>
              <w:rPr>
                <w:rFonts w:hint="eastAsia" w:ascii="宋体" w:hAnsi="宋体"/>
                <w:color w:val="auto"/>
                <w:szCs w:val="21"/>
                <w:highlight w:val="none"/>
                <w:u w:val="single"/>
              </w:rPr>
              <w:t>3</w:t>
            </w:r>
          </w:p>
        </w:tc>
        <w:tc>
          <w:tcPr>
            <w:tcW w:w="8516"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olor w:val="auto"/>
                <w:szCs w:val="21"/>
                <w:highlight w:val="none"/>
              </w:rPr>
              <w:t>投标文件中没有有效的法定代表人证明书，或由委托代理人签署的投标文件中没有法定代表人授权书；</w:t>
            </w: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2"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2"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u w:val="single"/>
              </w:rPr>
            </w:pPr>
            <w:r>
              <w:rPr>
                <w:rFonts w:hint="eastAsia" w:ascii="宋体" w:hAnsi="宋体"/>
                <w:color w:val="auto"/>
                <w:szCs w:val="21"/>
                <w:highlight w:val="none"/>
                <w:u w:val="single"/>
              </w:rPr>
              <w:t>4</w:t>
            </w:r>
          </w:p>
        </w:tc>
        <w:tc>
          <w:tcPr>
            <w:tcW w:w="8516"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color w:val="auto"/>
                <w:szCs w:val="21"/>
                <w:highlight w:val="none"/>
                <w:u w:val="single"/>
              </w:rPr>
            </w:pPr>
            <w:r>
              <w:rPr>
                <w:rFonts w:hint="eastAsia" w:ascii="宋体" w:hAnsi="宋体" w:cs="宋体"/>
                <w:color w:val="auto"/>
                <w:szCs w:val="21"/>
                <w:highlight w:val="none"/>
              </w:rPr>
              <w:t>投标文件未按规定的格式填写</w:t>
            </w:r>
            <w:r>
              <w:rPr>
                <w:rFonts w:hint="eastAsia" w:ascii="宋体" w:hAnsi="宋体" w:cs="宋体"/>
                <w:color w:val="auto"/>
                <w:szCs w:val="21"/>
                <w:highlight w:val="none"/>
                <w:u w:val="single"/>
              </w:rPr>
              <w:t>（指招标文件第四章提供格式的《广州建设工程施工招标投标书（技术标）》《投标函》《标函承诺书》《项目负责人驻场承诺书》《响应招标文件所附施工组织设计要点的承诺书》《危险性较大的分部分项工程安全管理措施》）</w:t>
            </w:r>
            <w:r>
              <w:rPr>
                <w:rFonts w:hint="eastAsia" w:ascii="宋体" w:hAnsi="宋体" w:cs="宋体"/>
                <w:color w:val="auto"/>
                <w:szCs w:val="21"/>
                <w:highlight w:val="none"/>
              </w:rPr>
              <w:t>，或主要内容（指投标文件组成内容）不全，或关键字迹模糊、无法辨认的；</w:t>
            </w: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2"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2"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u w:val="single"/>
              </w:rPr>
            </w:pPr>
            <w:r>
              <w:rPr>
                <w:rFonts w:ascii="宋体" w:hAnsi="宋体"/>
                <w:color w:val="auto"/>
                <w:szCs w:val="21"/>
                <w:highlight w:val="none"/>
                <w:u w:val="single"/>
              </w:rPr>
              <w:t>5</w:t>
            </w:r>
          </w:p>
        </w:tc>
        <w:tc>
          <w:tcPr>
            <w:tcW w:w="8516"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2"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2"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u w:val="single"/>
              </w:rPr>
            </w:pPr>
            <w:r>
              <w:rPr>
                <w:rFonts w:ascii="宋体" w:hAnsi="宋体"/>
                <w:color w:val="auto"/>
                <w:szCs w:val="21"/>
                <w:highlight w:val="none"/>
                <w:u w:val="single"/>
              </w:rPr>
              <w:t>6</w:t>
            </w:r>
          </w:p>
        </w:tc>
        <w:tc>
          <w:tcPr>
            <w:tcW w:w="8516"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olor w:val="auto"/>
                <w:szCs w:val="21"/>
                <w:highlight w:val="none"/>
              </w:rPr>
              <w:t>无《参与编制技术标投标文件人员名单》的</w:t>
            </w: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shd w:val="pct10" w:color="auto" w:fill="FFFFFF"/>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shd w:val="pct10" w:color="auto" w:fill="FFFFFF"/>
              </w:rPr>
            </w:pPr>
          </w:p>
        </w:tc>
        <w:tc>
          <w:tcPr>
            <w:tcW w:w="922"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shd w:val="pct10" w:color="auto" w:fill="FFFFFF"/>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shd w:val="pct10" w:color="auto" w:fill="FFFFFF"/>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shd w:val="pct10" w:color="auto" w:fill="FFFFFF"/>
              </w:rPr>
            </w:pPr>
          </w:p>
        </w:tc>
        <w:tc>
          <w:tcPr>
            <w:tcW w:w="922"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u w:val="single"/>
              </w:rPr>
            </w:pPr>
            <w:r>
              <w:rPr>
                <w:rFonts w:ascii="宋体" w:hAnsi="宋体"/>
                <w:color w:val="auto"/>
                <w:szCs w:val="21"/>
                <w:highlight w:val="none"/>
                <w:u w:val="single"/>
              </w:rPr>
              <w:t>7</w:t>
            </w:r>
          </w:p>
        </w:tc>
        <w:tc>
          <w:tcPr>
            <w:tcW w:w="8516"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olor w:val="auto"/>
                <w:szCs w:val="21"/>
                <w:highlight w:val="none"/>
              </w:rPr>
              <w:t>投标人未按要求提交投标保证金的</w:t>
            </w: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2"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2"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u w:val="single"/>
              </w:rPr>
            </w:pPr>
            <w:r>
              <w:rPr>
                <w:rFonts w:ascii="宋体" w:hAnsi="宋体"/>
                <w:color w:val="auto"/>
                <w:szCs w:val="21"/>
                <w:highlight w:val="none"/>
                <w:u w:val="single"/>
              </w:rPr>
              <w:t>8</w:t>
            </w:r>
          </w:p>
        </w:tc>
        <w:tc>
          <w:tcPr>
            <w:tcW w:w="8516"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olor w:val="auto"/>
                <w:szCs w:val="21"/>
                <w:highlight w:val="none"/>
              </w:rPr>
              <w:t>投标人与本项目其他投标人加密打包投标文件电脑机器特征码一致的(以</w:t>
            </w:r>
            <w:r>
              <w:rPr>
                <w:rFonts w:hint="eastAsia" w:ascii="宋体" w:hAnsi="宋体" w:cs="宋体"/>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2"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2"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r>
    </w:tbl>
    <w:p>
      <w:pPr>
        <w:rPr>
          <w:rFonts w:hint="eastAsia" w:ascii="宋体" w:hAnsi="宋体"/>
          <w:color w:val="auto"/>
          <w:szCs w:val="21"/>
          <w:highlight w:val="none"/>
        </w:rPr>
      </w:pPr>
      <w:r>
        <w:rPr>
          <w:rFonts w:hint="eastAsia" w:ascii="宋体" w:hAnsi="宋体"/>
          <w:color w:val="auto"/>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pPr>
        <w:rPr>
          <w:rFonts w:hint="eastAsia" w:ascii="宋体" w:hAnsi="宋体"/>
          <w:color w:val="auto"/>
          <w:szCs w:val="21"/>
          <w:highlight w:val="none"/>
        </w:rPr>
      </w:pPr>
      <w:r>
        <w:rPr>
          <w:rFonts w:hint="eastAsia" w:ascii="宋体" w:hAnsi="宋体"/>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rFonts w:hint="eastAsia" w:ascii="宋体" w:hAnsi="宋体"/>
          <w:color w:val="auto"/>
          <w:szCs w:val="21"/>
          <w:highlight w:val="none"/>
        </w:rPr>
      </w:pPr>
      <w:r>
        <w:rPr>
          <w:rFonts w:hint="eastAsia" w:ascii="宋体" w:hAnsi="宋体"/>
          <w:color w:val="auto"/>
          <w:szCs w:val="21"/>
          <w:highlight w:val="none"/>
        </w:rPr>
        <w:t>3.凡出现以上任何一项情形，结论均为无效，否则就为有效。</w:t>
      </w:r>
    </w:p>
    <w:p>
      <w:pPr>
        <w:ind w:firstLine="420" w:firstLineChars="200"/>
        <w:rPr>
          <w:rFonts w:ascii="宋体" w:hAnsi="宋体"/>
          <w:color w:val="auto"/>
          <w:szCs w:val="21"/>
          <w:highlight w:val="none"/>
        </w:rPr>
      </w:pPr>
      <w:r>
        <w:rPr>
          <w:rFonts w:hint="eastAsia" w:ascii="宋体" w:hAnsi="宋体"/>
          <w:color w:val="auto"/>
          <w:szCs w:val="21"/>
          <w:highlight w:val="none"/>
        </w:rPr>
        <w:t>4.如对本表中某种情形的评审意见不一致时，以评标委员会过半数成员的意见作为评标委员会对该情形的认定结论。</w:t>
      </w:r>
    </w:p>
    <w:p>
      <w:pPr>
        <w:rPr>
          <w:rFonts w:ascii="宋体" w:hAnsi="宋体"/>
          <w:color w:val="auto"/>
          <w:szCs w:val="21"/>
          <w:highlight w:val="none"/>
        </w:rPr>
      </w:pPr>
      <w:r>
        <w:rPr>
          <w:rFonts w:hint="eastAsia" w:ascii="宋体" w:hAnsi="宋体"/>
          <w:color w:val="auto"/>
          <w:szCs w:val="21"/>
          <w:highlight w:val="none"/>
        </w:rPr>
        <w:t>评委签名：</w:t>
      </w:r>
    </w:p>
    <w:p>
      <w:pPr>
        <w:rPr>
          <w:color w:val="auto"/>
          <w:szCs w:val="21"/>
          <w:highlight w:val="none"/>
        </w:rPr>
      </w:pPr>
      <w:r>
        <w:rPr>
          <w:color w:val="auto"/>
          <w:highlight w:val="none"/>
        </w:rPr>
        <w:br w:type="page"/>
      </w:r>
      <w:r>
        <w:rPr>
          <w:rFonts w:hint="eastAsia"/>
          <w:color w:val="auto"/>
          <w:szCs w:val="21"/>
          <w:highlight w:val="none"/>
        </w:rPr>
        <w:t>附表三</w:t>
      </w:r>
    </w:p>
    <w:p>
      <w:pPr>
        <w:jc w:val="center"/>
        <w:rPr>
          <w:b/>
          <w:color w:val="auto"/>
          <w:sz w:val="36"/>
          <w:szCs w:val="36"/>
          <w:highlight w:val="none"/>
        </w:rPr>
      </w:pPr>
      <w:r>
        <w:rPr>
          <w:rFonts w:hint="eastAsia"/>
          <w:b/>
          <w:color w:val="auto"/>
          <w:sz w:val="36"/>
          <w:szCs w:val="36"/>
          <w:highlight w:val="none"/>
        </w:rPr>
        <w:t>经济标有效性审查表</w:t>
      </w:r>
    </w:p>
    <w:p>
      <w:pPr>
        <w:rPr>
          <w:color w:val="auto"/>
          <w:szCs w:val="21"/>
          <w:highlight w:val="none"/>
        </w:rPr>
      </w:pPr>
      <w:r>
        <w:rPr>
          <w:rFonts w:hint="eastAsia"/>
          <w:color w:val="auto"/>
          <w:szCs w:val="21"/>
          <w:highlight w:val="none"/>
        </w:rPr>
        <w:t>工程名称：</w:t>
      </w:r>
    </w:p>
    <w:tbl>
      <w:tblPr>
        <w:tblStyle w:val="48"/>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7089"/>
        <w:gridCol w:w="1110"/>
        <w:gridCol w:w="1110"/>
        <w:gridCol w:w="1111"/>
        <w:gridCol w:w="1110"/>
        <w:gridCol w:w="1110"/>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序号</w:t>
            </w:r>
          </w:p>
        </w:tc>
        <w:tc>
          <w:tcPr>
            <w:tcW w:w="7089"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pPr>
              <w:ind w:firstLine="2940" w:firstLineChars="1400"/>
              <w:rPr>
                <w:rFonts w:ascii="宋体" w:hAnsi="宋体"/>
                <w:color w:val="auto"/>
                <w:szCs w:val="21"/>
                <w:highlight w:val="none"/>
              </w:rPr>
            </w:pPr>
            <w:r>
              <w:rPr>
                <w:rFonts w:hint="eastAsia" w:ascii="宋体" w:hAnsi="宋体"/>
                <w:color w:val="auto"/>
                <w:szCs w:val="21"/>
                <w:highlight w:val="none"/>
              </w:rPr>
              <w:t>投标人</w:t>
            </w: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评审内容</w:t>
            </w:r>
          </w:p>
        </w:tc>
        <w:tc>
          <w:tcPr>
            <w:tcW w:w="11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1</w:t>
            </w:r>
          </w:p>
        </w:tc>
        <w:tc>
          <w:tcPr>
            <w:tcW w:w="708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对同一招标项目出现两个或以上的投标报价，且没有申明哪个有效；</w:t>
            </w:r>
          </w:p>
        </w:tc>
        <w:tc>
          <w:tcPr>
            <w:tcW w:w="11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2</w:t>
            </w:r>
          </w:p>
        </w:tc>
        <w:tc>
          <w:tcPr>
            <w:tcW w:w="708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投标报价高于最高投标限价的；</w:t>
            </w:r>
          </w:p>
        </w:tc>
        <w:tc>
          <w:tcPr>
            <w:tcW w:w="11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Cs w:val="21"/>
                <w:highlight w:val="none"/>
              </w:rPr>
            </w:pPr>
            <w:r>
              <w:rPr>
                <w:rFonts w:hint="eastAsia" w:ascii="宋体" w:hAnsi="宋体"/>
                <w:color w:val="auto"/>
                <w:szCs w:val="21"/>
                <w:highlight w:val="none"/>
              </w:rPr>
              <w:t>3</w:t>
            </w:r>
          </w:p>
        </w:tc>
        <w:tc>
          <w:tcPr>
            <w:tcW w:w="708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left="-2" w:leftChars="-1"/>
              <w:jc w:val="left"/>
              <w:rPr>
                <w:rFonts w:hint="eastAsia" w:ascii="宋体" w:hAnsi="宋体" w:cs="宋体"/>
                <w:color w:val="auto"/>
                <w:szCs w:val="21"/>
                <w:highlight w:val="none"/>
              </w:rPr>
            </w:pPr>
            <w:r>
              <w:rPr>
                <w:rFonts w:hint="eastAsia" w:ascii="宋体" w:hAnsi="宋体" w:cs="宋体"/>
                <w:color w:val="auto"/>
                <w:szCs w:val="21"/>
                <w:highlight w:val="none"/>
              </w:rPr>
              <w:t>投标报价低于成本的</w:t>
            </w:r>
            <w:r>
              <w:rPr>
                <w:rFonts w:hint="eastAsia" w:ascii="宋体" w:hAnsi="宋体" w:cs="宋体"/>
                <w:color w:val="auto"/>
                <w:szCs w:val="21"/>
                <w:highlight w:val="none"/>
                <w:u w:val="single"/>
              </w:rPr>
              <w:t>（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w:t>
            </w:r>
          </w:p>
        </w:tc>
        <w:tc>
          <w:tcPr>
            <w:tcW w:w="11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4</w:t>
            </w:r>
          </w:p>
        </w:tc>
        <w:tc>
          <w:tcPr>
            <w:tcW w:w="708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算术复核后的投标报价与原投标报价相比存在</w:t>
            </w:r>
            <w:r>
              <w:rPr>
                <w:rFonts w:ascii="宋体" w:hAnsi="宋体"/>
                <w:color w:val="auto"/>
                <w:szCs w:val="21"/>
                <w:highlight w:val="none"/>
              </w:rPr>
              <w:t>1%</w:t>
            </w:r>
            <w:r>
              <w:rPr>
                <w:rFonts w:hint="eastAsia" w:ascii="宋体" w:hAnsi="宋体"/>
                <w:color w:val="auto"/>
                <w:szCs w:val="21"/>
                <w:highlight w:val="none"/>
              </w:rPr>
              <w:t>或以上误差的；</w:t>
            </w:r>
          </w:p>
        </w:tc>
        <w:tc>
          <w:tcPr>
            <w:tcW w:w="11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Cs w:val="21"/>
                <w:highlight w:val="none"/>
              </w:rPr>
            </w:pPr>
            <w:r>
              <w:rPr>
                <w:rFonts w:hint="eastAsia" w:ascii="宋体" w:hAnsi="宋体"/>
                <w:color w:val="auto"/>
                <w:szCs w:val="21"/>
                <w:highlight w:val="none"/>
              </w:rPr>
              <w:t>5</w:t>
            </w:r>
          </w:p>
        </w:tc>
        <w:tc>
          <w:tcPr>
            <w:tcW w:w="708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投标文件未按规定的格式填写</w:t>
            </w:r>
            <w:r>
              <w:rPr>
                <w:rFonts w:hint="eastAsia" w:ascii="宋体" w:hAnsi="宋体" w:cs="宋体"/>
                <w:color w:val="auto"/>
                <w:szCs w:val="21"/>
                <w:highlight w:val="none"/>
                <w:u w:val="single"/>
              </w:rPr>
              <w:t>（指招标文件第四章提供格式的《广州建设工程施工招标投标书（经济标）》《对投标文件编制的承诺》）</w:t>
            </w:r>
            <w:r>
              <w:rPr>
                <w:rFonts w:hint="eastAsia" w:ascii="宋体" w:hAnsi="宋体" w:cs="宋体"/>
                <w:color w:val="auto"/>
                <w:szCs w:val="21"/>
                <w:highlight w:val="none"/>
              </w:rPr>
              <w:t>，或主要内容不全，或关键字迹模糊、无法辨认的；</w:t>
            </w:r>
          </w:p>
        </w:tc>
        <w:tc>
          <w:tcPr>
            <w:tcW w:w="11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6</w:t>
            </w:r>
          </w:p>
        </w:tc>
        <w:tc>
          <w:tcPr>
            <w:tcW w:w="708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不同投标人的投标报价中分部分项工程量清单综合单价相似度达到80%及以上的(以</w:t>
            </w:r>
            <w:r>
              <w:rPr>
                <w:rFonts w:hint="eastAsia" w:ascii="宋体" w:hAnsi="宋体" w:cs="宋体"/>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11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7</w:t>
            </w:r>
          </w:p>
        </w:tc>
        <w:tc>
          <w:tcPr>
            <w:tcW w:w="708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1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8</w:t>
            </w:r>
          </w:p>
        </w:tc>
        <w:tc>
          <w:tcPr>
            <w:tcW w:w="708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无《参与编制经济标投标文件人员名单》的；</w:t>
            </w:r>
          </w:p>
        </w:tc>
        <w:tc>
          <w:tcPr>
            <w:tcW w:w="11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ascii="宋体" w:hAnsi="宋体"/>
                <w:color w:val="auto"/>
                <w:szCs w:val="21"/>
                <w:highlight w:val="none"/>
              </w:rPr>
              <w:t>9</w:t>
            </w:r>
          </w:p>
        </w:tc>
        <w:tc>
          <w:tcPr>
            <w:tcW w:w="708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无《对投标文件编制的承诺》</w:t>
            </w:r>
          </w:p>
        </w:tc>
        <w:tc>
          <w:tcPr>
            <w:tcW w:w="11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10</w:t>
            </w:r>
          </w:p>
        </w:tc>
        <w:tc>
          <w:tcPr>
            <w:tcW w:w="708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Cs w:val="21"/>
                <w:highlight w:val="none"/>
              </w:rPr>
            </w:pPr>
            <w:r>
              <w:rPr>
                <w:rFonts w:hint="eastAsia" w:ascii="宋体" w:hAnsi="宋体"/>
                <w:color w:val="auto"/>
                <w:szCs w:val="21"/>
                <w:highlight w:val="none"/>
              </w:rPr>
              <w:t>投标人与本项目其他投标人的投标文件工程量清单编制机器硬件信息一致的（以交易平台评标系统的检索信息为准）</w:t>
            </w:r>
          </w:p>
        </w:tc>
        <w:tc>
          <w:tcPr>
            <w:tcW w:w="11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bl>
    <w:p>
      <w:pPr>
        <w:ind w:firstLine="458"/>
        <w:rPr>
          <w:rFonts w:hint="eastAsia" w:ascii="宋体" w:hAnsi="宋体"/>
          <w:color w:val="auto"/>
          <w:szCs w:val="21"/>
          <w:highlight w:val="none"/>
        </w:rPr>
      </w:pPr>
      <w:r>
        <w:rPr>
          <w:rFonts w:hint="eastAsia" w:ascii="宋体" w:hAnsi="宋体"/>
          <w:color w:val="auto"/>
          <w:szCs w:val="21"/>
          <w:highlight w:val="none"/>
        </w:rPr>
        <w:t>注：1.本表使用GZZB2018-3招标文件范本，与范本内容不同之处均以下划线标明。</w:t>
      </w:r>
    </w:p>
    <w:p>
      <w:pPr>
        <w:ind w:firstLine="458"/>
        <w:rPr>
          <w:rFonts w:hint="eastAsia" w:ascii="宋体" w:hAnsi="宋体"/>
          <w:color w:val="auto"/>
          <w:szCs w:val="21"/>
          <w:highlight w:val="none"/>
        </w:rPr>
      </w:pPr>
      <w:r>
        <w:rPr>
          <w:rFonts w:hint="eastAsia" w:ascii="宋体" w:hAnsi="宋体"/>
          <w:color w:val="auto"/>
          <w:szCs w:val="21"/>
          <w:highlight w:val="none"/>
        </w:rPr>
        <w:t>2.凡出现以上任何一项情形，结论均为无效，否则就为有效。</w:t>
      </w:r>
    </w:p>
    <w:p>
      <w:pPr>
        <w:ind w:firstLine="458"/>
        <w:rPr>
          <w:rFonts w:hint="eastAsia" w:ascii="宋体" w:hAnsi="宋体"/>
          <w:color w:val="auto"/>
          <w:szCs w:val="21"/>
          <w:highlight w:val="none"/>
        </w:rPr>
      </w:pPr>
      <w:r>
        <w:rPr>
          <w:rFonts w:hint="eastAsia" w:ascii="宋体" w:hAnsi="宋体"/>
          <w:color w:val="auto"/>
          <w:szCs w:val="21"/>
          <w:highlight w:val="none"/>
        </w:rPr>
        <w:t>3.如对本表中某种情形的评审意见不一致时，以评标委员会过半数成员的意见作为评标委员会对该情形的认定结论。</w:t>
      </w:r>
    </w:p>
    <w:p>
      <w:pPr>
        <w:ind w:firstLine="458"/>
        <w:rPr>
          <w:rFonts w:ascii="宋体" w:hAnsi="宋体"/>
          <w:color w:val="auto"/>
          <w:szCs w:val="21"/>
          <w:highlight w:val="none"/>
        </w:rPr>
      </w:pPr>
      <w:r>
        <w:rPr>
          <w:rFonts w:hint="eastAsia" w:ascii="宋体" w:hAnsi="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5"/>
        <w:ind w:firstLine="458"/>
        <w:rPr>
          <w:rFonts w:ascii="宋体" w:hAnsi="宋体"/>
          <w:color w:val="auto"/>
          <w:szCs w:val="21"/>
          <w:highlight w:val="none"/>
        </w:rPr>
        <w:sectPr>
          <w:endnotePr>
            <w:numFmt w:val="decimal"/>
          </w:endnotePr>
          <w:pgSz w:w="16838" w:h="11906" w:orient="landscape"/>
          <w:pgMar w:top="1418" w:right="1247" w:bottom="1418" w:left="1134" w:header="851" w:footer="907" w:gutter="0"/>
          <w:cols w:space="720" w:num="1"/>
          <w:titlePg/>
          <w:docGrid w:type="lines" w:linePitch="312" w:charSpace="0"/>
        </w:sectPr>
      </w:pPr>
      <w:r>
        <w:rPr>
          <w:rFonts w:hint="eastAsia" w:ascii="宋体" w:hAnsi="宋体"/>
          <w:color w:val="auto"/>
          <w:szCs w:val="21"/>
          <w:highlight w:val="none"/>
        </w:rPr>
        <w:t>评委签名：</w:t>
      </w:r>
    </w:p>
    <w:p>
      <w:pPr>
        <w:rPr>
          <w:color w:val="auto"/>
          <w:szCs w:val="21"/>
          <w:highlight w:val="none"/>
        </w:rPr>
      </w:pPr>
      <w:r>
        <w:rPr>
          <w:rFonts w:hint="eastAsia"/>
          <w:color w:val="auto"/>
          <w:szCs w:val="21"/>
          <w:highlight w:val="none"/>
        </w:rPr>
        <w:t>附表四</w:t>
      </w:r>
    </w:p>
    <w:p>
      <w:pPr>
        <w:jc w:val="center"/>
        <w:rPr>
          <w:b/>
          <w:color w:val="auto"/>
          <w:sz w:val="36"/>
          <w:szCs w:val="36"/>
          <w:highlight w:val="none"/>
        </w:rPr>
      </w:pPr>
      <w:r>
        <w:rPr>
          <w:rFonts w:hint="eastAsia"/>
          <w:b/>
          <w:color w:val="auto"/>
          <w:sz w:val="36"/>
          <w:szCs w:val="36"/>
          <w:highlight w:val="none"/>
        </w:rPr>
        <w:t>技术标详细审查评分表</w:t>
      </w:r>
    </w:p>
    <w:tbl>
      <w:tblPr>
        <w:tblStyle w:val="48"/>
        <w:tblW w:w="15304"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469"/>
        <w:gridCol w:w="1463"/>
        <w:gridCol w:w="709"/>
        <w:gridCol w:w="11599"/>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blHeader/>
          <w:jc w:val="center"/>
        </w:trPr>
        <w:tc>
          <w:tcPr>
            <w:tcW w:w="1064" w:type="dxa"/>
            <w:tcBorders>
              <w:top w:val="single" w:color="auto" w:sz="8" w:space="0"/>
              <w:left w:val="single" w:color="auto" w:sz="8" w:space="0"/>
              <w:bottom w:val="single" w:color="auto" w:sz="4" w:space="0"/>
              <w:right w:val="single" w:color="auto" w:sz="4" w:space="0"/>
            </w:tcBorders>
            <w:noWrap w:val="0"/>
            <w:vAlign w:val="center"/>
          </w:tcPr>
          <w:p>
            <w:pPr>
              <w:pStyle w:val="17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评分项目</w:t>
            </w:r>
          </w:p>
        </w:tc>
        <w:tc>
          <w:tcPr>
            <w:tcW w:w="1932" w:type="dxa"/>
            <w:gridSpan w:val="2"/>
            <w:tcBorders>
              <w:top w:val="single" w:color="auto" w:sz="8" w:space="0"/>
              <w:left w:val="single" w:color="auto" w:sz="4" w:space="0"/>
              <w:bottom w:val="single" w:color="auto" w:sz="4" w:space="0"/>
              <w:right w:val="single" w:color="auto" w:sz="4" w:space="0"/>
            </w:tcBorders>
            <w:noWrap w:val="0"/>
            <w:vAlign w:val="center"/>
          </w:tcPr>
          <w:p>
            <w:pPr>
              <w:pStyle w:val="17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评分内容</w:t>
            </w:r>
          </w:p>
        </w:tc>
        <w:tc>
          <w:tcPr>
            <w:tcW w:w="709" w:type="dxa"/>
            <w:tcBorders>
              <w:top w:val="single" w:color="auto" w:sz="8" w:space="0"/>
              <w:left w:val="single" w:color="auto" w:sz="4" w:space="0"/>
              <w:bottom w:val="single" w:color="auto" w:sz="4" w:space="0"/>
              <w:right w:val="single" w:color="auto" w:sz="4" w:space="0"/>
            </w:tcBorders>
            <w:noWrap w:val="0"/>
            <w:vAlign w:val="center"/>
          </w:tcPr>
          <w:p>
            <w:pPr>
              <w:pStyle w:val="17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11599" w:type="dxa"/>
            <w:tcBorders>
              <w:top w:val="single" w:color="auto" w:sz="8" w:space="0"/>
              <w:left w:val="single" w:color="auto" w:sz="4" w:space="0"/>
              <w:bottom w:val="single" w:color="auto" w:sz="4" w:space="0"/>
              <w:right w:val="single" w:color="auto" w:sz="4" w:space="0"/>
            </w:tcBorders>
            <w:noWrap w:val="0"/>
            <w:vAlign w:val="center"/>
          </w:tcPr>
          <w:p>
            <w:pPr>
              <w:pStyle w:val="173"/>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1064" w:type="dxa"/>
            <w:vMerge w:val="restart"/>
            <w:tcBorders>
              <w:left w:val="single" w:color="auto" w:sz="8" w:space="0"/>
              <w:right w:val="single" w:color="auto" w:sz="4" w:space="0"/>
            </w:tcBorders>
            <w:noWrap w:val="0"/>
            <w:vAlign w:val="center"/>
          </w:tcPr>
          <w:p>
            <w:pPr>
              <w:pStyle w:val="17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一、项目组织管理机构能力（70分）</w:t>
            </w:r>
          </w:p>
        </w:tc>
        <w:tc>
          <w:tcPr>
            <w:tcW w:w="469" w:type="dxa"/>
            <w:vMerge w:val="restart"/>
            <w:tcBorders>
              <w:left w:val="single" w:color="auto" w:sz="4" w:space="0"/>
              <w:right w:val="single" w:color="auto" w:sz="4" w:space="0"/>
            </w:tcBorders>
            <w:noWrap w:val="0"/>
            <w:vAlign w:val="center"/>
          </w:tcPr>
          <w:p>
            <w:pPr>
              <w:widowControl/>
              <w:spacing w:line="280" w:lineRule="exac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项目管理机构</w:t>
            </w:r>
          </w:p>
        </w:tc>
        <w:tc>
          <w:tcPr>
            <w:tcW w:w="1463" w:type="dxa"/>
            <w:tcBorders>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项目</w:t>
            </w:r>
            <w:r>
              <w:rPr>
                <w:rFonts w:hint="eastAsia" w:ascii="宋体" w:hAnsi="宋体" w:eastAsia="宋体" w:cs="宋体"/>
                <w:color w:val="auto"/>
                <w:sz w:val="21"/>
                <w:szCs w:val="21"/>
                <w:highlight w:val="none"/>
              </w:rPr>
              <w:t>负责人</w:t>
            </w:r>
          </w:p>
        </w:tc>
        <w:tc>
          <w:tcPr>
            <w:tcW w:w="709" w:type="dxa"/>
            <w:tcBorders>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1599"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从业能力：具有</w:t>
            </w:r>
            <w:r>
              <w:rPr>
                <w:rFonts w:hint="eastAsia" w:ascii="宋体" w:hAnsi="宋体" w:eastAsia="宋体" w:cs="宋体"/>
                <w:color w:val="auto"/>
                <w:sz w:val="21"/>
                <w:szCs w:val="21"/>
                <w:highlight w:val="none"/>
                <w:u w:val="single"/>
                <w:lang w:val="en-US" w:eastAsia="zh-CN"/>
              </w:rPr>
              <w:t>市政</w:t>
            </w:r>
            <w:r>
              <w:rPr>
                <w:rFonts w:hint="eastAsia" w:ascii="宋体" w:hAnsi="宋体" w:eastAsia="宋体" w:cs="宋体"/>
                <w:color w:val="auto"/>
                <w:sz w:val="21"/>
                <w:szCs w:val="21"/>
                <w:highlight w:val="none"/>
              </w:rPr>
              <w:t>工程类专业中级或以上技术职称，得20分。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1064" w:type="dxa"/>
            <w:vMerge w:val="continue"/>
            <w:tcBorders>
              <w:left w:val="single" w:color="auto" w:sz="8" w:space="0"/>
              <w:right w:val="single" w:color="auto" w:sz="4" w:space="0"/>
            </w:tcBorders>
            <w:noWrap w:val="0"/>
            <w:vAlign w:val="center"/>
          </w:tcPr>
          <w:p>
            <w:pPr>
              <w:spacing w:line="280" w:lineRule="exact"/>
              <w:jc w:val="center"/>
              <w:rPr>
                <w:rFonts w:hint="eastAsia" w:ascii="宋体" w:hAnsi="宋体" w:eastAsia="宋体" w:cs="宋体"/>
                <w:color w:val="auto"/>
                <w:sz w:val="21"/>
                <w:szCs w:val="21"/>
                <w:highlight w:val="none"/>
              </w:rPr>
            </w:pPr>
          </w:p>
        </w:tc>
        <w:tc>
          <w:tcPr>
            <w:tcW w:w="469" w:type="dxa"/>
            <w:vMerge w:val="continue"/>
            <w:tcBorders>
              <w:left w:val="single" w:color="auto" w:sz="4" w:space="0"/>
              <w:right w:val="single" w:color="auto" w:sz="4" w:space="0"/>
            </w:tcBorders>
            <w:noWrap w:val="0"/>
            <w:vAlign w:val="center"/>
          </w:tcPr>
          <w:p>
            <w:pPr>
              <w:widowControl/>
              <w:spacing w:line="280" w:lineRule="exact"/>
              <w:jc w:val="left"/>
              <w:rPr>
                <w:rFonts w:hint="eastAsia" w:ascii="宋体" w:hAnsi="宋体" w:eastAsia="宋体" w:cs="宋体"/>
                <w:color w:val="auto"/>
                <w:sz w:val="21"/>
                <w:szCs w:val="21"/>
                <w:highlight w:val="none"/>
              </w:rPr>
            </w:pPr>
          </w:p>
        </w:tc>
        <w:tc>
          <w:tcPr>
            <w:tcW w:w="1463" w:type="dxa"/>
            <w:tcBorders>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技术负责人</w:t>
            </w:r>
          </w:p>
        </w:tc>
        <w:tc>
          <w:tcPr>
            <w:tcW w:w="709" w:type="dxa"/>
            <w:tcBorders>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1599"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从业能力：具有</w:t>
            </w:r>
            <w:r>
              <w:rPr>
                <w:rFonts w:hint="eastAsia" w:ascii="宋体" w:hAnsi="宋体" w:eastAsia="宋体" w:cs="宋体"/>
                <w:color w:val="auto"/>
                <w:sz w:val="21"/>
                <w:szCs w:val="21"/>
                <w:highlight w:val="none"/>
                <w:u w:val="single"/>
                <w:lang w:val="en-US" w:eastAsia="zh-CN"/>
              </w:rPr>
              <w:t>市政</w:t>
            </w:r>
            <w:r>
              <w:rPr>
                <w:rFonts w:hint="eastAsia" w:ascii="宋体" w:hAnsi="宋体" w:eastAsia="宋体" w:cs="宋体"/>
                <w:color w:val="auto"/>
                <w:sz w:val="21"/>
                <w:szCs w:val="21"/>
                <w:highlight w:val="none"/>
              </w:rPr>
              <w:t>工程类专业高级工程师或以上技术职称，得20分</w:t>
            </w:r>
            <w:r>
              <w:rPr>
                <w:rFonts w:hint="eastAsia" w:ascii="宋体" w:hAnsi="宋体" w:eastAsia="宋体" w:cs="宋体"/>
                <w:color w:val="auto"/>
                <w:sz w:val="21"/>
                <w:szCs w:val="21"/>
                <w:highlight w:val="none"/>
                <w:lang w:eastAsia="zh-CN"/>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1064" w:type="dxa"/>
            <w:vMerge w:val="continue"/>
            <w:tcBorders>
              <w:left w:val="single" w:color="auto" w:sz="8" w:space="0"/>
              <w:right w:val="single" w:color="auto" w:sz="4" w:space="0"/>
            </w:tcBorders>
            <w:noWrap w:val="0"/>
            <w:vAlign w:val="center"/>
          </w:tcPr>
          <w:p>
            <w:pPr>
              <w:spacing w:line="280" w:lineRule="exact"/>
              <w:jc w:val="center"/>
              <w:rPr>
                <w:rFonts w:hint="eastAsia" w:ascii="宋体" w:hAnsi="宋体" w:eastAsia="宋体" w:cs="宋体"/>
                <w:color w:val="auto"/>
                <w:sz w:val="21"/>
                <w:szCs w:val="21"/>
                <w:highlight w:val="none"/>
              </w:rPr>
            </w:pPr>
          </w:p>
        </w:tc>
        <w:tc>
          <w:tcPr>
            <w:tcW w:w="469" w:type="dxa"/>
            <w:vMerge w:val="continue"/>
            <w:tcBorders>
              <w:left w:val="single" w:color="auto" w:sz="4" w:space="0"/>
              <w:right w:val="single" w:color="auto" w:sz="4" w:space="0"/>
            </w:tcBorders>
            <w:noWrap w:val="0"/>
            <w:vAlign w:val="center"/>
          </w:tcPr>
          <w:p>
            <w:pPr>
              <w:widowControl/>
              <w:spacing w:line="280" w:lineRule="exact"/>
              <w:jc w:val="left"/>
              <w:rPr>
                <w:rFonts w:hint="eastAsia" w:ascii="宋体" w:hAnsi="宋体" w:eastAsia="宋体" w:cs="宋体"/>
                <w:color w:val="auto"/>
                <w:sz w:val="21"/>
                <w:szCs w:val="21"/>
                <w:highlight w:val="none"/>
              </w:rPr>
            </w:pPr>
          </w:p>
        </w:tc>
        <w:tc>
          <w:tcPr>
            <w:tcW w:w="1463" w:type="dxa"/>
            <w:tcBorders>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质量负责人</w:t>
            </w:r>
          </w:p>
        </w:tc>
        <w:tc>
          <w:tcPr>
            <w:tcW w:w="709" w:type="dxa"/>
            <w:tcBorders>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1599"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从业能力：具有</w:t>
            </w:r>
            <w:r>
              <w:rPr>
                <w:rFonts w:hint="eastAsia" w:ascii="宋体" w:hAnsi="宋体" w:eastAsia="宋体" w:cs="宋体"/>
                <w:color w:val="auto"/>
                <w:sz w:val="21"/>
                <w:szCs w:val="21"/>
                <w:highlight w:val="none"/>
                <w:u w:val="single"/>
                <w:lang w:val="en-US" w:eastAsia="zh-CN"/>
              </w:rPr>
              <w:t>市政</w:t>
            </w:r>
            <w:r>
              <w:rPr>
                <w:rFonts w:hint="eastAsia" w:ascii="宋体" w:hAnsi="宋体" w:eastAsia="宋体" w:cs="宋体"/>
                <w:color w:val="auto"/>
                <w:sz w:val="21"/>
                <w:szCs w:val="21"/>
                <w:highlight w:val="none"/>
              </w:rPr>
              <w:t>工程类专业中级或以上技术职称，得10分。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 w:hRule="atLeast"/>
          <w:jc w:val="center"/>
        </w:trPr>
        <w:tc>
          <w:tcPr>
            <w:tcW w:w="1064" w:type="dxa"/>
            <w:vMerge w:val="continue"/>
            <w:tcBorders>
              <w:left w:val="single" w:color="auto" w:sz="8" w:space="0"/>
              <w:right w:val="single" w:color="auto" w:sz="4" w:space="0"/>
            </w:tcBorders>
            <w:noWrap w:val="0"/>
            <w:vAlign w:val="center"/>
          </w:tcPr>
          <w:p>
            <w:pPr>
              <w:spacing w:line="280" w:lineRule="exact"/>
              <w:jc w:val="center"/>
              <w:rPr>
                <w:rFonts w:hint="eastAsia" w:ascii="宋体" w:hAnsi="宋体" w:eastAsia="宋体" w:cs="宋体"/>
                <w:color w:val="auto"/>
                <w:sz w:val="21"/>
                <w:szCs w:val="21"/>
                <w:highlight w:val="none"/>
              </w:rPr>
            </w:pPr>
          </w:p>
        </w:tc>
        <w:tc>
          <w:tcPr>
            <w:tcW w:w="469" w:type="dxa"/>
            <w:vMerge w:val="continue"/>
            <w:tcBorders>
              <w:left w:val="single" w:color="auto" w:sz="4" w:space="0"/>
              <w:right w:val="single" w:color="auto" w:sz="4" w:space="0"/>
            </w:tcBorders>
            <w:noWrap w:val="0"/>
            <w:vAlign w:val="center"/>
          </w:tcPr>
          <w:p>
            <w:pPr>
              <w:widowControl/>
              <w:spacing w:line="280" w:lineRule="exact"/>
              <w:jc w:val="left"/>
              <w:rPr>
                <w:rFonts w:hint="eastAsia" w:ascii="宋体" w:hAnsi="宋体" w:eastAsia="宋体" w:cs="宋体"/>
                <w:color w:val="auto"/>
                <w:sz w:val="21"/>
                <w:szCs w:val="21"/>
                <w:highlight w:val="none"/>
              </w:rPr>
            </w:pPr>
          </w:p>
        </w:tc>
        <w:tc>
          <w:tcPr>
            <w:tcW w:w="1463" w:type="dxa"/>
            <w:tcBorders>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安全负责人</w:t>
            </w:r>
          </w:p>
        </w:tc>
        <w:tc>
          <w:tcPr>
            <w:tcW w:w="709" w:type="dxa"/>
            <w:tcBorders>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1599"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从业能力：具有安全工程专业中级或以上技术职称或</w:t>
            </w:r>
            <w:r>
              <w:rPr>
                <w:rFonts w:hint="eastAsia" w:ascii="宋体" w:hAnsi="宋体" w:eastAsia="宋体" w:cs="宋体"/>
                <w:color w:val="auto"/>
                <w:sz w:val="21"/>
                <w:szCs w:val="21"/>
                <w:highlight w:val="none"/>
                <w:u w:val="single"/>
                <w:lang w:val="en-US" w:eastAsia="zh-CN"/>
              </w:rPr>
              <w:t>市政类</w:t>
            </w:r>
            <w:r>
              <w:rPr>
                <w:rFonts w:hint="eastAsia" w:ascii="宋体" w:hAnsi="宋体" w:eastAsia="宋体" w:cs="宋体"/>
                <w:color w:val="auto"/>
                <w:sz w:val="21"/>
                <w:szCs w:val="21"/>
                <w:highlight w:val="none"/>
              </w:rPr>
              <w:t>专业中级或以上技术职称，且具有安全</w:t>
            </w:r>
            <w:r>
              <w:rPr>
                <w:rFonts w:hint="eastAsia" w:ascii="宋体" w:hAnsi="宋体" w:eastAsia="宋体" w:cs="宋体"/>
                <w:color w:val="auto"/>
                <w:sz w:val="21"/>
                <w:szCs w:val="21"/>
                <w:highlight w:val="none"/>
                <w:lang w:val="en-US" w:eastAsia="zh-CN"/>
              </w:rPr>
              <w:t>生产</w:t>
            </w:r>
            <w:r>
              <w:rPr>
                <w:rFonts w:hint="eastAsia" w:ascii="宋体" w:hAnsi="宋体" w:eastAsia="宋体" w:cs="宋体"/>
                <w:color w:val="auto"/>
                <w:sz w:val="21"/>
                <w:szCs w:val="21"/>
                <w:highlight w:val="none"/>
              </w:rPr>
              <w:t>考核合格证(B类)或安全</w:t>
            </w:r>
            <w:r>
              <w:rPr>
                <w:rFonts w:hint="eastAsia" w:ascii="宋体" w:hAnsi="宋体" w:eastAsia="宋体" w:cs="宋体"/>
                <w:color w:val="auto"/>
                <w:sz w:val="21"/>
                <w:szCs w:val="21"/>
                <w:highlight w:val="none"/>
                <w:lang w:val="en-US" w:eastAsia="zh-CN"/>
              </w:rPr>
              <w:t>生产</w:t>
            </w:r>
            <w:r>
              <w:rPr>
                <w:rFonts w:hint="eastAsia" w:ascii="宋体" w:hAnsi="宋体" w:eastAsia="宋体" w:cs="宋体"/>
                <w:color w:val="auto"/>
                <w:sz w:val="21"/>
                <w:szCs w:val="21"/>
                <w:highlight w:val="none"/>
              </w:rPr>
              <w:t>考核合格证(C类)或建筑施工企业项目负责人安全生产考核合格证书或建筑施工企业专职安全生产管理人员安全生产考核合格证书（C3），得10分。</w:t>
            </w:r>
          </w:p>
          <w:p>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建质〔2015〕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1064" w:type="dxa"/>
            <w:vMerge w:val="continue"/>
            <w:tcBorders>
              <w:left w:val="single" w:color="auto" w:sz="8" w:space="0"/>
              <w:right w:val="single" w:color="auto" w:sz="4" w:space="0"/>
            </w:tcBorders>
            <w:noWrap w:val="0"/>
            <w:vAlign w:val="center"/>
          </w:tcPr>
          <w:p>
            <w:pPr>
              <w:spacing w:line="280" w:lineRule="exact"/>
              <w:jc w:val="center"/>
              <w:rPr>
                <w:rFonts w:hint="eastAsia" w:ascii="宋体" w:hAnsi="宋体" w:eastAsia="宋体" w:cs="宋体"/>
                <w:color w:val="auto"/>
                <w:sz w:val="21"/>
                <w:szCs w:val="21"/>
                <w:highlight w:val="none"/>
              </w:rPr>
            </w:pPr>
          </w:p>
        </w:tc>
        <w:tc>
          <w:tcPr>
            <w:tcW w:w="469" w:type="dxa"/>
            <w:vMerge w:val="continue"/>
            <w:tcBorders>
              <w:left w:val="single" w:color="auto" w:sz="4" w:space="0"/>
              <w:right w:val="single" w:color="auto" w:sz="4" w:space="0"/>
            </w:tcBorders>
            <w:noWrap w:val="0"/>
            <w:vAlign w:val="center"/>
          </w:tcPr>
          <w:p>
            <w:pPr>
              <w:widowControl/>
              <w:spacing w:line="280" w:lineRule="exact"/>
              <w:jc w:val="left"/>
              <w:rPr>
                <w:rFonts w:hint="eastAsia" w:ascii="宋体" w:hAnsi="宋体" w:eastAsia="宋体" w:cs="宋体"/>
                <w:color w:val="auto"/>
                <w:sz w:val="21"/>
                <w:szCs w:val="21"/>
                <w:highlight w:val="none"/>
              </w:rPr>
            </w:pPr>
          </w:p>
        </w:tc>
        <w:tc>
          <w:tcPr>
            <w:tcW w:w="1463" w:type="dxa"/>
            <w:tcBorders>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造价负责人</w:t>
            </w:r>
          </w:p>
        </w:tc>
        <w:tc>
          <w:tcPr>
            <w:tcW w:w="709" w:type="dxa"/>
            <w:tcBorders>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1599"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从业能力：具有有效的注册造价</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师（或注册一级造价</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师）证书或具有造价专业中级或以上技术职称，得10分。</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有效的注册造价工程师指根据原人事部、原建设部发布的《造价工程师执业资格制度暂行规定》（人发〔1996〕77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按照《造价工程师职业资格制度规定》的规定，根据原人事部、原建设部发布的《造价工程师执业资格制度暂行规定》（人发〔1996〕77号）取得的造价工程师执业资格，并经注册且在有限期内的，等同于一级注册造价工程师。</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2" w:hRule="atLeast"/>
          <w:jc w:val="center"/>
        </w:trPr>
        <w:tc>
          <w:tcPr>
            <w:tcW w:w="1064" w:type="dxa"/>
            <w:vMerge w:val="continue"/>
            <w:tcBorders>
              <w:left w:val="single" w:color="auto" w:sz="8" w:space="0"/>
              <w:bottom w:val="single" w:color="auto" w:sz="4" w:space="0"/>
              <w:right w:val="single" w:color="auto" w:sz="4" w:space="0"/>
            </w:tcBorders>
            <w:noWrap w:val="0"/>
            <w:vAlign w:val="center"/>
          </w:tcPr>
          <w:p>
            <w:pPr>
              <w:spacing w:line="280" w:lineRule="exact"/>
              <w:jc w:val="center"/>
              <w:rPr>
                <w:rFonts w:hint="eastAsia" w:ascii="宋体" w:hAnsi="宋体" w:eastAsia="宋体" w:cs="宋体"/>
                <w:color w:val="auto"/>
                <w:sz w:val="21"/>
                <w:szCs w:val="21"/>
                <w:highlight w:val="none"/>
              </w:rPr>
            </w:pPr>
          </w:p>
        </w:tc>
        <w:tc>
          <w:tcPr>
            <w:tcW w:w="469" w:type="dxa"/>
            <w:vMerge w:val="continue"/>
            <w:tcBorders>
              <w:left w:val="single" w:color="auto" w:sz="4" w:space="0"/>
              <w:bottom w:val="single" w:color="auto" w:sz="4" w:space="0"/>
              <w:right w:val="single" w:color="auto" w:sz="4" w:space="0"/>
            </w:tcBorders>
            <w:noWrap w:val="0"/>
            <w:vAlign w:val="center"/>
          </w:tcPr>
          <w:p>
            <w:pPr>
              <w:widowControl/>
              <w:spacing w:line="280" w:lineRule="exact"/>
              <w:jc w:val="left"/>
              <w:rPr>
                <w:rFonts w:hint="eastAsia" w:ascii="宋体" w:hAnsi="宋体" w:eastAsia="宋体" w:cs="宋体"/>
                <w:color w:val="auto"/>
                <w:sz w:val="21"/>
                <w:szCs w:val="21"/>
                <w:highlight w:val="none"/>
              </w:rPr>
            </w:pPr>
          </w:p>
        </w:tc>
        <w:tc>
          <w:tcPr>
            <w:tcW w:w="13771" w:type="dxa"/>
            <w:gridSpan w:val="3"/>
            <w:tcBorders>
              <w:left w:val="single" w:color="auto" w:sz="4" w:space="0"/>
              <w:bottom w:val="single" w:color="auto" w:sz="4" w:space="0"/>
              <w:right w:val="single" w:color="auto" w:sz="4" w:space="0"/>
            </w:tcBorders>
            <w:noWrap w:val="0"/>
            <w:vAlign w:val="center"/>
          </w:tcPr>
          <w:p>
            <w:pPr>
              <w:widowControl/>
              <w:spacing w:line="28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注：①上述人员须提供身份证、毕业证书（大学专科(或以上)学历）及投标截止前一个月（</w:t>
            </w:r>
            <w:r>
              <w:rPr>
                <w:rFonts w:hint="eastAsia" w:ascii="宋体" w:hAnsi="宋体" w:eastAsia="宋体" w:cs="宋体"/>
                <w:color w:val="auto"/>
                <w:sz w:val="21"/>
                <w:szCs w:val="21"/>
                <w:highlight w:val="none"/>
                <w:lang w:val="en-US" w:eastAsia="zh-CN"/>
              </w:rPr>
              <w:t>2023</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月）有效社保证明（本项目社保缴纳期限包含疫情期的，若当地政府部门允许企业在疫情期间缓缴社会保险费且投标人未缴纳的，投标人可提供当地政府部门允许缓缴社保的相关文件作为缴纳社保的证明。确定中标人后，招标人将采取有效措施，核实后续中标人管理团队的社保补缴情况。），且须按相应要求提供职称证、有效期内的注册证及有效期内的</w:t>
            </w:r>
            <w:r>
              <w:rPr>
                <w:rFonts w:hint="eastAsia" w:ascii="宋体" w:hAnsi="宋体" w:eastAsia="宋体" w:cs="宋体"/>
                <w:color w:val="auto"/>
                <w:sz w:val="21"/>
                <w:szCs w:val="21"/>
                <w:highlight w:val="none"/>
                <w:lang w:eastAsia="zh-CN"/>
              </w:rPr>
              <w:t>安全生产</w:t>
            </w:r>
            <w:r>
              <w:rPr>
                <w:rFonts w:hint="eastAsia" w:ascii="宋体" w:hAnsi="宋体" w:eastAsia="宋体" w:cs="宋体"/>
                <w:color w:val="auto"/>
                <w:sz w:val="21"/>
                <w:szCs w:val="21"/>
                <w:highlight w:val="none"/>
              </w:rPr>
              <w:t>考核合格证(B类)或</w:t>
            </w:r>
            <w:r>
              <w:rPr>
                <w:rFonts w:hint="eastAsia" w:ascii="宋体" w:hAnsi="宋体" w:eastAsia="宋体" w:cs="宋体"/>
                <w:color w:val="auto"/>
                <w:sz w:val="21"/>
                <w:szCs w:val="21"/>
                <w:highlight w:val="none"/>
                <w:lang w:eastAsia="zh-CN"/>
              </w:rPr>
              <w:t>安全生产</w:t>
            </w:r>
            <w:r>
              <w:rPr>
                <w:rFonts w:hint="eastAsia" w:ascii="宋体" w:hAnsi="宋体" w:eastAsia="宋体" w:cs="宋体"/>
                <w:color w:val="auto"/>
                <w:sz w:val="21"/>
                <w:szCs w:val="21"/>
                <w:highlight w:val="none"/>
              </w:rPr>
              <w:t>考核合格证(C类)或建筑施工企业项目负责人安全生产考核合格证书或建筑施工企业专职安全生产管理人员安全生产考核合格证书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C3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，所有资料为扫描件并加盖投标人电子公章；</w:t>
            </w:r>
          </w:p>
          <w:p>
            <w:pPr>
              <w:widowControl/>
              <w:spacing w:line="28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②项目负责人、技术负责人、质量负责人、安全负责人、造价负责人、其他专业工程师不得兼任，且安全负责人不能同时兼任专职安全员。</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1064" w:type="dxa"/>
            <w:vMerge w:val="restart"/>
            <w:tcBorders>
              <w:top w:val="single" w:color="auto" w:sz="4" w:space="0"/>
              <w:left w:val="single" w:color="auto" w:sz="8" w:space="0"/>
              <w:right w:val="single" w:color="auto" w:sz="4" w:space="0"/>
            </w:tcBorders>
            <w:noWrap w:val="0"/>
            <w:vAlign w:val="center"/>
          </w:tcPr>
          <w:p>
            <w:pPr>
              <w:pStyle w:val="173"/>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二、企业资信（30分）</w:t>
            </w:r>
          </w:p>
        </w:tc>
        <w:tc>
          <w:tcPr>
            <w:tcW w:w="1932" w:type="dxa"/>
            <w:gridSpan w:val="2"/>
            <w:tcBorders>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企业类似工程业绩</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1599"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投标人自</w:t>
            </w:r>
            <w:r>
              <w:rPr>
                <w:rFonts w:hint="eastAsia" w:ascii="宋体" w:hAnsi="宋体" w:eastAsia="宋体" w:cs="宋体"/>
                <w:color w:val="auto"/>
                <w:sz w:val="21"/>
                <w:szCs w:val="21"/>
                <w:highlight w:val="none"/>
                <w:u w:val="none"/>
                <w:lang w:val="en-US" w:eastAsia="zh-CN"/>
              </w:rPr>
              <w:t>2020</w:t>
            </w:r>
            <w:r>
              <w:rPr>
                <w:rFonts w:hint="eastAsia" w:ascii="宋体" w:hAnsi="宋体" w:eastAsia="宋体" w:cs="宋体"/>
                <w:color w:val="auto"/>
                <w:sz w:val="21"/>
                <w:szCs w:val="21"/>
                <w:highlight w:val="none"/>
              </w:rPr>
              <w:t>年1月1日至今完成过质量合格</w:t>
            </w:r>
            <w:r>
              <w:rPr>
                <w:rFonts w:hint="eastAsia" w:ascii="宋体" w:hAnsi="宋体" w:eastAsia="宋体" w:cs="宋体"/>
                <w:color w:val="auto"/>
                <w:sz w:val="21"/>
                <w:szCs w:val="21"/>
                <w:highlight w:val="none"/>
                <w:lang w:val="en-US" w:eastAsia="zh-CN"/>
              </w:rPr>
              <w:t>且造价金额大于或等于2000万元的市政工程业绩</w:t>
            </w:r>
            <w:r>
              <w:rPr>
                <w:rFonts w:hint="eastAsia" w:ascii="宋体" w:hAnsi="宋体" w:eastAsia="宋体" w:cs="宋体"/>
                <w:color w:val="auto"/>
                <w:sz w:val="21"/>
                <w:szCs w:val="21"/>
                <w:highlight w:val="none"/>
              </w:rPr>
              <w:t>一项得2分；最多得8分,无类似业绩不得分。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064" w:type="dxa"/>
            <w:vMerge w:val="continue"/>
            <w:tcBorders>
              <w:left w:val="single" w:color="auto" w:sz="8" w:space="0"/>
              <w:right w:val="single" w:color="auto" w:sz="4" w:space="0"/>
            </w:tcBorders>
            <w:noWrap w:val="0"/>
            <w:vAlign w:val="center"/>
          </w:tcPr>
          <w:p>
            <w:pPr>
              <w:pStyle w:val="173"/>
              <w:ind w:firstLine="420" w:firstLineChars="200"/>
              <w:rPr>
                <w:rFonts w:hint="eastAsia" w:ascii="宋体" w:hAnsi="宋体" w:eastAsia="宋体" w:cs="宋体"/>
                <w:color w:val="auto"/>
                <w:sz w:val="21"/>
                <w:szCs w:val="21"/>
                <w:highlight w:val="none"/>
              </w:rPr>
            </w:pPr>
          </w:p>
        </w:tc>
        <w:tc>
          <w:tcPr>
            <w:tcW w:w="1932" w:type="dxa"/>
            <w:gridSpan w:val="2"/>
            <w:tcBorders>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企业工程项目获奖情况</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1599" w:type="dxa"/>
            <w:tcBorders>
              <w:top w:val="single" w:color="auto" w:sz="4" w:space="0"/>
              <w:left w:val="single" w:color="auto" w:sz="4" w:space="0"/>
              <w:bottom w:val="single" w:color="auto" w:sz="4" w:space="0"/>
              <w:right w:val="single" w:color="auto" w:sz="4" w:space="0"/>
            </w:tcBorders>
            <w:noWrap w:val="0"/>
            <w:vAlign w:val="center"/>
          </w:tcPr>
          <w:p>
            <w:pPr>
              <w:pStyle w:val="17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企业自</w:t>
            </w:r>
            <w:r>
              <w:rPr>
                <w:rFonts w:hint="eastAsia" w:ascii="宋体" w:hAnsi="宋体" w:eastAsia="宋体" w:cs="宋体"/>
                <w:color w:val="auto"/>
                <w:sz w:val="21"/>
                <w:szCs w:val="21"/>
                <w:highlight w:val="none"/>
                <w:u w:val="none"/>
                <w:lang w:val="en-US" w:eastAsia="zh-CN"/>
              </w:rPr>
              <w:t>2020</w:t>
            </w:r>
            <w:r>
              <w:rPr>
                <w:rFonts w:hint="eastAsia" w:ascii="宋体" w:hAnsi="宋体" w:eastAsia="宋体" w:cs="宋体"/>
                <w:color w:val="auto"/>
                <w:sz w:val="21"/>
                <w:szCs w:val="21"/>
                <w:highlight w:val="none"/>
              </w:rPr>
              <w:t>年1月1日至今承接的</w:t>
            </w:r>
            <w:r>
              <w:rPr>
                <w:rFonts w:hint="eastAsia" w:ascii="宋体" w:hAnsi="宋体" w:eastAsia="宋体" w:cs="宋体"/>
                <w:color w:val="auto"/>
                <w:sz w:val="21"/>
                <w:szCs w:val="21"/>
                <w:highlight w:val="none"/>
                <w:u w:val="single"/>
                <w:lang w:val="en-US" w:eastAsia="zh-CN"/>
              </w:rPr>
              <w:t>市政</w:t>
            </w:r>
            <w:r>
              <w:rPr>
                <w:rFonts w:hint="eastAsia" w:ascii="宋体" w:hAnsi="宋体" w:eastAsia="宋体" w:cs="宋体"/>
                <w:color w:val="auto"/>
                <w:sz w:val="21"/>
                <w:szCs w:val="21"/>
                <w:highlight w:val="none"/>
              </w:rPr>
              <w:t>工程获得市级或以上奖项，一项得1分。最多得8分。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064" w:type="dxa"/>
            <w:vMerge w:val="continue"/>
            <w:tcBorders>
              <w:left w:val="single" w:color="auto" w:sz="8" w:space="0"/>
              <w:right w:val="single" w:color="auto" w:sz="4" w:space="0"/>
            </w:tcBorders>
            <w:noWrap w:val="0"/>
            <w:vAlign w:val="center"/>
          </w:tcPr>
          <w:p>
            <w:pPr>
              <w:pStyle w:val="173"/>
              <w:ind w:firstLine="420" w:firstLineChars="200"/>
              <w:rPr>
                <w:rFonts w:hint="eastAsia" w:ascii="宋体" w:hAnsi="宋体" w:eastAsia="宋体" w:cs="宋体"/>
                <w:color w:val="auto"/>
                <w:sz w:val="21"/>
                <w:szCs w:val="21"/>
                <w:highlight w:val="none"/>
              </w:rPr>
            </w:pPr>
          </w:p>
        </w:tc>
        <w:tc>
          <w:tcPr>
            <w:tcW w:w="1932" w:type="dxa"/>
            <w:gridSpan w:val="2"/>
            <w:tcBorders>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企业工程研发能力</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1599" w:type="dxa"/>
            <w:tcBorders>
              <w:top w:val="single" w:color="auto" w:sz="4" w:space="0"/>
              <w:left w:val="single" w:color="auto" w:sz="4" w:space="0"/>
              <w:bottom w:val="single" w:color="auto" w:sz="4" w:space="0"/>
              <w:right w:val="single" w:color="auto" w:sz="4" w:space="0"/>
            </w:tcBorders>
            <w:noWrap w:val="0"/>
            <w:vAlign w:val="center"/>
          </w:tcPr>
          <w:p>
            <w:pPr>
              <w:pStyle w:val="17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投标人自</w:t>
            </w:r>
            <w:r>
              <w:rPr>
                <w:rFonts w:hint="eastAsia" w:ascii="宋体" w:hAnsi="宋体" w:eastAsia="宋体" w:cs="宋体"/>
                <w:color w:val="auto"/>
                <w:sz w:val="21"/>
                <w:szCs w:val="21"/>
                <w:highlight w:val="none"/>
                <w:u w:val="none"/>
                <w:lang w:val="en-US" w:eastAsia="zh-CN"/>
              </w:rPr>
              <w:t>2020</w:t>
            </w:r>
            <w:r>
              <w:rPr>
                <w:rFonts w:hint="eastAsia" w:ascii="宋体" w:hAnsi="宋体" w:eastAsia="宋体" w:cs="宋体"/>
                <w:color w:val="auto"/>
                <w:sz w:val="21"/>
                <w:szCs w:val="21"/>
                <w:highlight w:val="none"/>
              </w:rPr>
              <w:t>年1月1日至今作为主要完成单位或独立完成单位获得省级或以上工法证书奖项，一项得</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分，相同工法按最高级别奖项只计一次得分。最多得8分。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1064" w:type="dxa"/>
            <w:vMerge w:val="continue"/>
            <w:tcBorders>
              <w:left w:val="single" w:color="auto" w:sz="8" w:space="0"/>
              <w:right w:val="single" w:color="auto" w:sz="4" w:space="0"/>
            </w:tcBorders>
            <w:noWrap w:val="0"/>
            <w:vAlign w:val="center"/>
          </w:tcPr>
          <w:p>
            <w:pPr>
              <w:pStyle w:val="173"/>
              <w:ind w:firstLine="420" w:firstLineChars="200"/>
              <w:rPr>
                <w:rFonts w:hint="eastAsia" w:ascii="宋体" w:hAnsi="宋体" w:eastAsia="宋体" w:cs="宋体"/>
                <w:color w:val="auto"/>
                <w:sz w:val="21"/>
                <w:szCs w:val="21"/>
                <w:highlight w:val="none"/>
              </w:rPr>
            </w:pPr>
          </w:p>
        </w:tc>
        <w:tc>
          <w:tcPr>
            <w:tcW w:w="1932" w:type="dxa"/>
            <w:gridSpan w:val="2"/>
            <w:tcBorders>
              <w:left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第三方评价</w:t>
            </w:r>
          </w:p>
        </w:tc>
        <w:tc>
          <w:tcPr>
            <w:tcW w:w="709" w:type="dxa"/>
            <w:tcBorders>
              <w:top w:val="single" w:color="auto" w:sz="4" w:space="0"/>
              <w:left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1599" w:type="dxa"/>
            <w:tcBorders>
              <w:top w:val="single" w:color="auto" w:sz="4" w:space="0"/>
              <w:left w:val="single" w:color="auto" w:sz="4" w:space="0"/>
              <w:right w:val="single" w:color="auto" w:sz="4" w:space="0"/>
            </w:tcBorders>
            <w:noWrap w:val="0"/>
            <w:vAlign w:val="center"/>
          </w:tcPr>
          <w:p>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投标人自</w:t>
            </w:r>
            <w:r>
              <w:rPr>
                <w:rFonts w:hint="eastAsia" w:ascii="宋体" w:hAnsi="宋体" w:eastAsia="宋体" w:cs="宋体"/>
                <w:color w:val="auto"/>
                <w:sz w:val="21"/>
                <w:szCs w:val="21"/>
                <w:highlight w:val="none"/>
                <w:u w:val="none"/>
                <w:lang w:val="en-US" w:eastAsia="zh-CN"/>
              </w:rPr>
              <w:t>2020</w:t>
            </w:r>
            <w:r>
              <w:rPr>
                <w:rFonts w:hint="eastAsia" w:ascii="宋体" w:hAnsi="宋体" w:eastAsia="宋体" w:cs="宋体"/>
                <w:color w:val="auto"/>
                <w:sz w:val="21"/>
                <w:szCs w:val="21"/>
                <w:highlight w:val="none"/>
              </w:rPr>
              <w:t>年1月1日至今，获得过省级或以上市政行业协会颁发的诚信评价或信用等级评价：获得AAAAA 级证书且在有效期内的得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分；获得AAAA级证书且在有效期内的得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分；获得AAA级证书且在有效期内的得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2996" w:type="dxa"/>
            <w:gridSpan w:val="3"/>
            <w:tcBorders>
              <w:top w:val="single" w:color="auto" w:sz="4" w:space="0"/>
              <w:left w:val="single" w:color="auto" w:sz="8" w:space="0"/>
              <w:bottom w:val="single" w:color="auto" w:sz="4" w:space="0"/>
              <w:right w:val="single" w:color="auto" w:sz="4" w:space="0"/>
            </w:tcBorders>
            <w:noWrap w:val="0"/>
            <w:vAlign w:val="center"/>
          </w:tcPr>
          <w:p>
            <w:pPr>
              <w:pStyle w:val="173"/>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合计（一+二）</w:t>
            </w: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17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11599" w:type="dxa"/>
            <w:tcBorders>
              <w:top w:val="single" w:color="auto" w:sz="4" w:space="0"/>
              <w:left w:val="single" w:color="auto" w:sz="4" w:space="0"/>
              <w:bottom w:val="single" w:color="auto" w:sz="4" w:space="0"/>
              <w:right w:val="single" w:color="auto" w:sz="4" w:space="0"/>
            </w:tcBorders>
            <w:noWrap w:val="0"/>
            <w:vAlign w:val="center"/>
          </w:tcPr>
          <w:p>
            <w:pPr>
              <w:pStyle w:val="173"/>
              <w:ind w:firstLine="420" w:firstLineChars="200"/>
              <w:jc w:val="center"/>
              <w:rPr>
                <w:rFonts w:hint="eastAsia" w:ascii="宋体" w:hAnsi="宋体" w:eastAsia="宋体" w:cs="宋体"/>
                <w:color w:val="auto"/>
                <w:sz w:val="21"/>
                <w:szCs w:val="21"/>
                <w:highlight w:val="none"/>
              </w:rPr>
            </w:pPr>
          </w:p>
        </w:tc>
      </w:tr>
    </w:tbl>
    <w:p>
      <w:pPr>
        <w:pStyle w:val="173"/>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备注</w:t>
      </w:r>
      <w:r>
        <w:rPr>
          <w:rFonts w:hint="eastAsia" w:ascii="宋体" w:hAnsi="宋体" w:eastAsia="宋体" w:cs="宋体"/>
          <w:color w:val="auto"/>
          <w:sz w:val="21"/>
          <w:szCs w:val="21"/>
          <w:highlight w:val="none"/>
        </w:rPr>
        <w:t>：</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评委对业绩认定意见不一致时，则由招标人解释招标文件后，评委讨论业绩认定标准；经讨论后标准仍不一致时，则按少数服从多数处理。按少数服从多数仍不能形成一致意见时，对评标结果有不同意见的评标委员会成员应当以书面形式说明其不同意见和理由，评标报告应当注明该不同意见。评标委员会成员拒绝在评标报告上签字又不书面说明其不同意见和理由的，视为同意评标结果。 </w:t>
      </w:r>
    </w:p>
    <w:p>
      <w:pPr>
        <w:pStyle w:val="17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w:t>
      </w:r>
      <w:r>
        <w:rPr>
          <w:rFonts w:hint="eastAsia" w:ascii="宋体" w:hAnsi="宋体" w:eastAsia="宋体" w:cs="宋体"/>
          <w:b/>
          <w:bCs/>
          <w:color w:val="auto"/>
          <w:sz w:val="21"/>
          <w:szCs w:val="21"/>
          <w:highlight w:val="none"/>
        </w:rPr>
        <w:t>.类似工程业绩</w:t>
      </w:r>
    </w:p>
    <w:p>
      <w:pPr>
        <w:pStyle w:val="173"/>
        <w:ind w:firstLine="420" w:firstLineChars="200"/>
        <w:rPr>
          <w:rFonts w:hint="eastAsia" w:ascii="宋体" w:hAnsi="宋体" w:eastAsia="宋体" w:cs="宋体"/>
          <w:color w:val="auto"/>
          <w:sz w:val="21"/>
          <w:szCs w:val="21"/>
          <w:highlight w:val="none"/>
        </w:rPr>
      </w:pPr>
      <w:bookmarkStart w:id="39" w:name="_Hlk97049957"/>
      <w:r>
        <w:rPr>
          <w:rFonts w:hint="eastAsia" w:ascii="宋体" w:hAnsi="宋体" w:eastAsia="宋体" w:cs="宋体"/>
          <w:color w:val="auto"/>
          <w:sz w:val="21"/>
          <w:szCs w:val="21"/>
          <w:highlight w:val="none"/>
        </w:rPr>
        <w:t>市政项目：</w:t>
      </w:r>
      <w:bookmarkEnd w:id="39"/>
      <w:r>
        <w:rPr>
          <w:rFonts w:hint="eastAsia" w:ascii="宋体" w:hAnsi="宋体" w:eastAsia="宋体" w:cs="宋体"/>
          <w:color w:val="auto"/>
          <w:sz w:val="21"/>
          <w:szCs w:val="21"/>
          <w:highlight w:val="none"/>
        </w:rPr>
        <w:t>业绩需提供相关证明材料。投标人须提供业绩的中标通知书或免招标的相关证明、招标公告网页首页截图（适用于公开招标项目）、中标公示或中标候选人公示网页截图（适用于公开招标项目）、施工合同（不含补充合同）、竣工验收证明文件（验收文件至少具有建设单位、设计、施工和监理单位盖章）。完成时间以竣工验收证明材料为准。业绩金额以业绩中标通知书为准，若中标通知书没有显示中标金额或免招标的，以施工合同（不含补充合同）为准。上述资料显示的内容须一致且工程业绩须为</w:t>
      </w:r>
      <w:r>
        <w:rPr>
          <w:rFonts w:hint="eastAsia" w:ascii="宋体" w:hAnsi="宋体" w:eastAsia="宋体" w:cs="宋体"/>
          <w:color w:val="auto"/>
          <w:sz w:val="21"/>
          <w:szCs w:val="21"/>
          <w:highlight w:val="none"/>
          <w:u w:val="single"/>
        </w:rPr>
        <w:t>市政公用工程施工总承包</w:t>
      </w:r>
      <w:r>
        <w:rPr>
          <w:rFonts w:hint="eastAsia" w:ascii="宋体" w:hAnsi="宋体" w:eastAsia="宋体" w:cs="宋体"/>
          <w:color w:val="auto"/>
          <w:sz w:val="21"/>
          <w:szCs w:val="21"/>
          <w:highlight w:val="none"/>
        </w:rPr>
        <w:t>资质方能承接的业绩。不符合上述条件或提供的资料不齐全的业绩不予评审。评标委员会对业绩的评审以投标人提供的完整的证明资料为依据（提供相关证明材料的，中标单位须准备相关证明材料的原件待查，如原件不齐或与投标文件不符的，招标人有权取消其中标人资格，并上报建设行政主管部门）。</w:t>
      </w:r>
    </w:p>
    <w:p>
      <w:pPr>
        <w:pStyle w:val="173"/>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3.企业工程项目获奖情况：需提供获奖网页信息截图及奖项证书扫描件，时间以发证时间为准。</w:t>
      </w:r>
      <w:bookmarkStart w:id="40" w:name="_Hlk102124948"/>
      <w:r>
        <w:rPr>
          <w:rFonts w:hint="eastAsia" w:ascii="宋体" w:hAnsi="宋体" w:eastAsia="宋体" w:cs="宋体"/>
          <w:color w:val="auto"/>
          <w:sz w:val="21"/>
          <w:szCs w:val="21"/>
          <w:highlight w:val="none"/>
        </w:rPr>
        <w:t>获奖的奖项为质量奖，</w:t>
      </w:r>
      <w:bookmarkEnd w:id="40"/>
      <w:r>
        <w:rPr>
          <w:rFonts w:hint="eastAsia" w:ascii="宋体" w:hAnsi="宋体" w:eastAsia="宋体" w:cs="宋体"/>
          <w:color w:val="auto"/>
          <w:sz w:val="21"/>
          <w:szCs w:val="21"/>
          <w:highlight w:val="none"/>
        </w:rPr>
        <w:t>其中国家级奖项包括：中国建设工程鲁班奖、国家优质工程（金质奖）、国家优质工程（银质奖）、国家优质工程奖、中国土木工程詹天佑奖；奖项只计算承建单位，不含参建单位。同一项目按最高级别奖项只计一次得分，以证书发证日期为准。</w:t>
      </w:r>
      <w:r>
        <w:rPr>
          <w:rFonts w:hint="eastAsia" w:ascii="宋体" w:hAnsi="宋体" w:eastAsia="宋体" w:cs="宋体"/>
          <w:color w:val="auto"/>
          <w:sz w:val="21"/>
          <w:szCs w:val="21"/>
          <w:highlight w:val="none"/>
          <w:lang w:bidi="ar"/>
        </w:rPr>
        <w:t>不符合条件的奖项不计分。</w:t>
      </w:r>
    </w:p>
    <w:p>
      <w:pPr>
        <w:pStyle w:val="173"/>
        <w:ind w:firstLine="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4.企业工程研发能力：</w:t>
      </w:r>
    </w:p>
    <w:p>
      <w:pPr>
        <w:pStyle w:val="173"/>
        <w:ind w:firstLine="360"/>
        <w:rPr>
          <w:rFonts w:hint="eastAsia" w:ascii="宋体" w:hAnsi="宋体" w:eastAsia="宋体" w:cs="宋体"/>
          <w:color w:val="auto"/>
          <w:sz w:val="21"/>
          <w:szCs w:val="21"/>
          <w:highlight w:val="none"/>
        </w:rPr>
      </w:pPr>
      <w:bookmarkStart w:id="41" w:name="_Hlk102124778"/>
      <w:r>
        <w:rPr>
          <w:rFonts w:hint="eastAsia" w:ascii="宋体" w:hAnsi="宋体" w:eastAsia="宋体" w:cs="宋体"/>
          <w:color w:val="auto"/>
          <w:sz w:val="21"/>
          <w:szCs w:val="21"/>
          <w:highlight w:val="none"/>
        </w:rPr>
        <w:t>省级或以上工法奖，需提供经建设行政主管部门认定的获奖证书原件扫描件。证书上应可反映其为</w:t>
      </w:r>
      <w:r>
        <w:rPr>
          <w:rFonts w:hint="eastAsia" w:ascii="宋体" w:hAnsi="宋体" w:eastAsia="宋体" w:cs="宋体"/>
          <w:color w:val="auto"/>
          <w:sz w:val="21"/>
          <w:szCs w:val="21"/>
          <w:highlight w:val="none"/>
          <w:u w:val="single"/>
        </w:rPr>
        <w:t>市政</w:t>
      </w:r>
      <w:r>
        <w:rPr>
          <w:rFonts w:hint="eastAsia" w:ascii="宋体" w:hAnsi="宋体" w:eastAsia="宋体" w:cs="宋体"/>
          <w:color w:val="auto"/>
          <w:sz w:val="21"/>
          <w:szCs w:val="21"/>
          <w:highlight w:val="none"/>
        </w:rPr>
        <w:t>类工法，若无法反映，需提供建设职能部门（或其主管的行业协会）出具的科学技术成果鉴定证书扫描件，并且在科学技术成果鉴定证书中需能反映该工法的研究背景项目为</w:t>
      </w:r>
      <w:r>
        <w:rPr>
          <w:rFonts w:hint="eastAsia" w:ascii="宋体" w:hAnsi="宋体" w:eastAsia="宋体" w:cs="宋体"/>
          <w:color w:val="auto"/>
          <w:sz w:val="21"/>
          <w:szCs w:val="21"/>
          <w:highlight w:val="none"/>
          <w:u w:val="single"/>
        </w:rPr>
        <w:t>市政</w:t>
      </w:r>
      <w:r>
        <w:rPr>
          <w:rFonts w:hint="eastAsia" w:ascii="宋体" w:hAnsi="宋体" w:eastAsia="宋体" w:cs="宋体"/>
          <w:color w:val="auto"/>
          <w:sz w:val="21"/>
          <w:szCs w:val="21"/>
          <w:highlight w:val="none"/>
        </w:rPr>
        <w:t>类项目，无法证明该工法为</w:t>
      </w:r>
      <w:r>
        <w:rPr>
          <w:rFonts w:hint="eastAsia" w:ascii="宋体" w:hAnsi="宋体" w:eastAsia="宋体" w:cs="宋体"/>
          <w:color w:val="auto"/>
          <w:sz w:val="21"/>
          <w:szCs w:val="21"/>
          <w:highlight w:val="none"/>
          <w:u w:val="single"/>
        </w:rPr>
        <w:t>市政</w:t>
      </w:r>
      <w:r>
        <w:rPr>
          <w:rFonts w:hint="eastAsia" w:ascii="宋体" w:hAnsi="宋体" w:eastAsia="宋体" w:cs="宋体"/>
          <w:color w:val="auto"/>
          <w:sz w:val="21"/>
          <w:szCs w:val="21"/>
          <w:highlight w:val="none"/>
        </w:rPr>
        <w:t>类项目获得的工法不得分。相同工法按最高级别奖项只计一次得分。获奖时间以发证时间为准。如颁奖单位为协会的，还须提供该协会在“中国社会组织政务服务平台”有登记的网页查询截图（网址：https://chinanpo.mca.gov.cn/），证明其有登记备案，否则不得分。</w:t>
      </w:r>
    </w:p>
    <w:bookmarkEnd w:id="41"/>
    <w:p>
      <w:pPr>
        <w:pStyle w:val="173"/>
        <w:ind w:firstLine="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不符合上述条件的奖项不计分。</w:t>
      </w:r>
    </w:p>
    <w:p>
      <w:pPr>
        <w:pStyle w:val="173"/>
        <w:numPr>
          <w:ilvl w:val="0"/>
          <w:numId w:val="0"/>
        </w:num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诚信评价或信用等级评价”：时间以证书中载明的发证时间为准，且证书须在有效期内。投标人须提供证书原件扫描件并加盖投标人电子印章。如提供相关行业协会颁发的证书，则须同时提供该行业协会在“中国社会组织公共服务平台”登记的网页查询截图。不同协会颁发的证书不互相累加，同一协会颁发的证书按最高诚信评价或信用等级评价只计一次得分。证书资料显示的企业全称须与投标人单位全称一致，不符合上述条件或未提供上述资料的不得分。</w:t>
      </w:r>
    </w:p>
    <w:p>
      <w:pPr>
        <w:pStyle w:val="173"/>
        <w:numPr>
          <w:ilvl w:val="0"/>
          <w:numId w:val="0"/>
        </w:num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表按百分制评分，所有评委每个分项的分数汇总后去掉一个最高分和一个最低分的算术平均值为投标人的最终得分。分数出现小数点，保留小数点后二位小数，第三位小数四舍五入,若投标人满足多个档次的，按最高档计分。</w:t>
      </w:r>
    </w:p>
    <w:p>
      <w:pPr>
        <w:pStyle w:val="173"/>
        <w:rPr>
          <w:rFonts w:ascii="仿宋" w:hAnsi="仿宋" w:eastAsia="仿宋"/>
          <w:color w:val="auto"/>
          <w:sz w:val="21"/>
          <w:szCs w:val="21"/>
          <w:highlight w:val="none"/>
        </w:rPr>
      </w:pPr>
      <w:r>
        <w:rPr>
          <w:rFonts w:hint="eastAsia" w:ascii="宋体" w:hAnsi="宋体" w:eastAsia="宋体" w:cs="宋体"/>
          <w:color w:val="auto"/>
          <w:sz w:val="21"/>
          <w:szCs w:val="21"/>
          <w:highlight w:val="none"/>
        </w:rPr>
        <w:t xml:space="preserve">    7.项目管理机构人员不得兼任。</w:t>
      </w:r>
    </w:p>
    <w:p>
      <w:pPr>
        <w:pStyle w:val="173"/>
        <w:ind w:firstLine="420" w:firstLineChars="200"/>
        <w:rPr>
          <w:rFonts w:hint="eastAsia" w:ascii="宋体" w:hAnsi="宋体" w:eastAsia="宋体" w:cs="宋体"/>
          <w:color w:val="auto"/>
          <w:sz w:val="21"/>
          <w:szCs w:val="21"/>
          <w:highlight w:val="none"/>
          <w:u w:val="single"/>
        </w:rPr>
      </w:pPr>
    </w:p>
    <w:p>
      <w:pPr>
        <w:rPr>
          <w:color w:val="auto"/>
          <w:szCs w:val="21"/>
          <w:highlight w:val="none"/>
        </w:rPr>
      </w:pPr>
      <w:r>
        <w:rPr>
          <w:color w:val="auto"/>
          <w:szCs w:val="21"/>
          <w:highlight w:val="none"/>
        </w:rPr>
        <w:br w:type="page"/>
      </w:r>
      <w:r>
        <w:rPr>
          <w:rFonts w:hint="eastAsia"/>
          <w:color w:val="auto"/>
          <w:szCs w:val="21"/>
          <w:highlight w:val="none"/>
        </w:rPr>
        <w:t>附表五（适用于区间抽取法）</w:t>
      </w:r>
    </w:p>
    <w:p>
      <w:pPr>
        <w:jc w:val="center"/>
        <w:rPr>
          <w:b/>
          <w:color w:val="auto"/>
          <w:sz w:val="36"/>
          <w:szCs w:val="36"/>
          <w:highlight w:val="none"/>
        </w:rPr>
      </w:pPr>
      <w:r>
        <w:rPr>
          <w:rFonts w:hint="eastAsia"/>
          <w:b/>
          <w:color w:val="auto"/>
          <w:sz w:val="36"/>
          <w:szCs w:val="36"/>
          <w:highlight w:val="none"/>
        </w:rPr>
        <w:t>经济标评分表</w:t>
      </w:r>
    </w:p>
    <w:p>
      <w:pPr>
        <w:rPr>
          <w:color w:val="auto"/>
          <w:szCs w:val="21"/>
          <w:highlight w:val="none"/>
        </w:rPr>
      </w:pPr>
      <w:r>
        <w:rPr>
          <w:rFonts w:hint="eastAsia"/>
          <w:color w:val="auto"/>
          <w:szCs w:val="21"/>
          <w:highlight w:val="none"/>
        </w:rPr>
        <w:t>工程名称：</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1037"/>
        <w:gridCol w:w="1051"/>
        <w:gridCol w:w="1050"/>
        <w:gridCol w:w="1050"/>
        <w:gridCol w:w="1050"/>
        <w:gridCol w:w="1050"/>
        <w:gridCol w:w="1050"/>
        <w:gridCol w:w="1050"/>
        <w:gridCol w:w="1050"/>
        <w:gridCol w:w="1050"/>
        <w:gridCol w:w="1050"/>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投标人名称</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投标报价</w:t>
            </w:r>
            <w:r>
              <w:rPr>
                <w:rFonts w:ascii="宋体" w:hAnsi="宋体"/>
                <w:color w:val="auto"/>
                <w:szCs w:val="21"/>
                <w:highlight w:val="none"/>
              </w:rPr>
              <w:t>PT</w:t>
            </w:r>
            <w:r>
              <w:rPr>
                <w:rFonts w:hint="eastAsia" w:ascii="宋体" w:hAnsi="宋体"/>
                <w:color w:val="auto"/>
                <w:szCs w:val="21"/>
                <w:highlight w:val="none"/>
              </w:rPr>
              <w:t>（元）</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计算评标参考价的等分点值X</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评标参考价PC（元）</w:t>
            </w:r>
          </w:p>
        </w:tc>
        <w:tc>
          <w:tcPr>
            <w:tcW w:w="12587" w:type="dxa"/>
            <w:gridSpan w:val="12"/>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偏差（（</w:t>
            </w:r>
            <w:r>
              <w:rPr>
                <w:rFonts w:ascii="宋体" w:hAnsi="宋体"/>
                <w:color w:val="auto"/>
                <w:szCs w:val="21"/>
                <w:highlight w:val="none"/>
              </w:rPr>
              <w:t>PT-PC</w:t>
            </w:r>
            <w:r>
              <w:rPr>
                <w:rFonts w:hint="eastAsia" w:ascii="宋体" w:hAnsi="宋体"/>
                <w:color w:val="auto"/>
                <w:szCs w:val="21"/>
                <w:highlight w:val="none"/>
              </w:rPr>
              <w:t>）</w:t>
            </w:r>
            <w:r>
              <w:rPr>
                <w:rFonts w:ascii="宋体" w:hAnsi="宋体"/>
                <w:color w:val="auto"/>
                <w:szCs w:val="21"/>
                <w:highlight w:val="none"/>
              </w:rPr>
              <w:t>/PC</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减分（</w:t>
            </w:r>
            <w:r>
              <w:rPr>
                <w:rFonts w:ascii="宋体" w:hAnsi="宋体"/>
                <w:color w:val="auto"/>
                <w:szCs w:val="21"/>
                <w:highlight w:val="none"/>
              </w:rPr>
              <w:t>A</w:t>
            </w:r>
            <w:r>
              <w:rPr>
                <w:rFonts w:hint="eastAsia" w:ascii="宋体" w:hAnsi="宋体"/>
                <w:color w:val="auto"/>
                <w:szCs w:val="21"/>
                <w:highlight w:val="none"/>
              </w:rPr>
              <w:t>）</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得分</w:t>
            </w:r>
            <w:r>
              <w:rPr>
                <w:rFonts w:ascii="宋体" w:hAnsi="宋体"/>
                <w:color w:val="auto"/>
                <w:szCs w:val="21"/>
                <w:highlight w:val="none"/>
              </w:rPr>
              <w:t>(I=100-A)</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得分排名次序</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bl>
    <w:p>
      <w:pPr>
        <w:rPr>
          <w:b/>
          <w:color w:val="auto"/>
          <w:szCs w:val="21"/>
          <w:highlight w:val="none"/>
        </w:rPr>
      </w:pPr>
      <w:r>
        <w:rPr>
          <w:rFonts w:hint="eastAsia"/>
          <w:color w:val="auto"/>
          <w:szCs w:val="21"/>
          <w:highlight w:val="none"/>
        </w:rPr>
        <w:t>评委签名：</w:t>
      </w:r>
      <w:r>
        <w:rPr>
          <w:b/>
          <w:color w:val="auto"/>
          <w:sz w:val="36"/>
          <w:szCs w:val="36"/>
          <w:highlight w:val="none"/>
        </w:rPr>
        <w:br w:type="page"/>
      </w:r>
      <w:r>
        <w:rPr>
          <w:rFonts w:hint="eastAsia"/>
          <w:color w:val="auto"/>
          <w:szCs w:val="21"/>
          <w:highlight w:val="none"/>
        </w:rPr>
        <w:t>附表六</w:t>
      </w:r>
    </w:p>
    <w:p>
      <w:pPr>
        <w:jc w:val="center"/>
        <w:rPr>
          <w:b/>
          <w:color w:val="auto"/>
          <w:sz w:val="36"/>
          <w:szCs w:val="36"/>
          <w:highlight w:val="none"/>
        </w:rPr>
      </w:pPr>
      <w:r>
        <w:rPr>
          <w:rFonts w:hint="eastAsia"/>
          <w:b/>
          <w:color w:val="auto"/>
          <w:sz w:val="36"/>
          <w:szCs w:val="36"/>
          <w:highlight w:val="none"/>
        </w:rPr>
        <w:t>算术复核表</w:t>
      </w:r>
    </w:p>
    <w:p>
      <w:pPr>
        <w:rPr>
          <w:rFonts w:ascii="宋体" w:hAnsi="宋体"/>
          <w:color w:val="auto"/>
          <w:kern w:val="0"/>
          <w:szCs w:val="21"/>
          <w:highlight w:val="none"/>
        </w:rPr>
      </w:pPr>
      <w:r>
        <w:rPr>
          <w:rFonts w:hint="eastAsia"/>
          <w:color w:val="auto"/>
          <w:kern w:val="0"/>
          <w:szCs w:val="21"/>
          <w:highlight w:val="none"/>
        </w:rPr>
        <w:t>工程名称：</w:t>
      </w:r>
      <w:r>
        <w:rPr>
          <w:rFonts w:hint="eastAsia" w:ascii="宋体" w:hAnsi="宋体"/>
          <w:color w:val="auto"/>
          <w:kern w:val="0"/>
          <w:szCs w:val="21"/>
          <w:highlight w:val="none"/>
        </w:rPr>
        <w:t>投标人</w:t>
      </w:r>
      <w:r>
        <w:rPr>
          <w:rFonts w:ascii="宋体" w:hAnsi="宋体"/>
          <w:color w:val="auto"/>
          <w:kern w:val="0"/>
          <w:szCs w:val="21"/>
          <w:highlight w:val="none"/>
        </w:rPr>
        <w:t xml:space="preserve">:                                                  </w:t>
      </w:r>
      <w:r>
        <w:rPr>
          <w:rFonts w:hint="eastAsia" w:ascii="宋体" w:hAnsi="宋体"/>
          <w:color w:val="auto"/>
          <w:kern w:val="0"/>
          <w:szCs w:val="21"/>
          <w:highlight w:val="none"/>
        </w:rPr>
        <w:t>单位：元</w:t>
      </w:r>
    </w:p>
    <w:tbl>
      <w:tblPr>
        <w:tblStyle w:val="48"/>
        <w:tblW w:w="0" w:type="auto"/>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修正前投标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A</w:t>
            </w:r>
          </w:p>
        </w:tc>
        <w:tc>
          <w:tcPr>
            <w:tcW w:w="1575" w:type="dxa"/>
            <w:tcBorders>
              <w:top w:val="single" w:color="auto" w:sz="4" w:space="0"/>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修正后投标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B</w:t>
            </w:r>
          </w:p>
        </w:tc>
        <w:tc>
          <w:tcPr>
            <w:tcW w:w="157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修正率</w:t>
            </w:r>
          </w:p>
          <w:p>
            <w:pPr>
              <w:rPr>
                <w:rFonts w:hint="eastAsia" w:ascii="宋体" w:hAnsi="宋体" w:eastAsia="宋体"/>
                <w:color w:val="auto"/>
                <w:kern w:val="0"/>
                <w:szCs w:val="21"/>
                <w:highlight w:val="none"/>
                <w:lang w:eastAsia="zh-CN"/>
              </w:rPr>
            </w:pPr>
          </w:p>
          <w:p>
            <w:pPr>
              <w:rPr>
                <w:rFonts w:ascii="宋体" w:hAnsi="宋体"/>
                <w:color w:val="auto"/>
                <w:kern w:val="0"/>
                <w:szCs w:val="21"/>
                <w:highlight w:val="none"/>
              </w:rPr>
            </w:pPr>
            <w:r>
              <w:rPr>
                <w:rFonts w:ascii="宋体" w:hAnsi="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当</w:t>
            </w:r>
            <w:r>
              <w:rPr>
                <w:rFonts w:ascii="宋体" w:hAnsi="宋体"/>
                <w:color w:val="auto"/>
                <w:kern w:val="0"/>
                <w:szCs w:val="21"/>
                <w:highlight w:val="none"/>
              </w:rPr>
              <w:t>B&gt;A</w:t>
            </w:r>
            <w:r>
              <w:rPr>
                <w:rFonts w:hint="eastAsia" w:ascii="宋体" w:hAnsi="宋体"/>
                <w:color w:val="auto"/>
                <w:kern w:val="0"/>
                <w:szCs w:val="21"/>
                <w:highlight w:val="none"/>
              </w:rPr>
              <w:t>时，修正后报价与原报价的差额；当</w:t>
            </w:r>
            <w:r>
              <w:rPr>
                <w:rFonts w:ascii="宋体" w:hAnsi="宋体"/>
                <w:color w:val="auto"/>
                <w:kern w:val="0"/>
                <w:szCs w:val="21"/>
                <w:highlight w:val="none"/>
              </w:rPr>
              <w:t>B</w:t>
            </w:r>
            <w:r>
              <w:rPr>
                <w:rFonts w:hint="eastAsia" w:ascii="宋体" w:hAnsi="宋体"/>
                <w:color w:val="auto"/>
                <w:kern w:val="0"/>
                <w:szCs w:val="21"/>
                <w:highlight w:val="none"/>
              </w:rPr>
              <w:t>≤</w:t>
            </w:r>
            <w:r>
              <w:rPr>
                <w:rFonts w:ascii="宋体" w:hAnsi="宋体"/>
                <w:color w:val="auto"/>
                <w:kern w:val="0"/>
                <w:szCs w:val="21"/>
                <w:highlight w:val="none"/>
              </w:rPr>
              <w:t>A</w:t>
            </w:r>
            <w:r>
              <w:rPr>
                <w:rFonts w:hint="eastAsia" w:ascii="宋体" w:hAnsi="宋体"/>
                <w:color w:val="auto"/>
                <w:kern w:val="0"/>
                <w:szCs w:val="21"/>
                <w:highlight w:val="none"/>
              </w:rPr>
              <w:t>时</w:t>
            </w:r>
            <w:r>
              <w:rPr>
                <w:rFonts w:ascii="宋体" w:hAnsi="宋体"/>
                <w:color w:val="auto"/>
                <w:kern w:val="0"/>
                <w:szCs w:val="21"/>
                <w:highlight w:val="none"/>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rPr>
                <w:rFonts w:ascii="宋体" w:hAnsi="宋体"/>
                <w:color w:val="auto"/>
                <w:kern w:val="0"/>
                <w:szCs w:val="21"/>
                <w:highlight w:val="none"/>
              </w:rPr>
            </w:pPr>
            <w:r>
              <w:rPr>
                <w:rFonts w:ascii="宋体" w:hAnsi="宋体"/>
                <w:color w:val="auto"/>
                <w:kern w:val="0"/>
                <w:szCs w:val="21"/>
                <w:highlight w:val="none"/>
              </w:rPr>
              <w:t>1</w:t>
            </w:r>
          </w:p>
        </w:tc>
        <w:tc>
          <w:tcPr>
            <w:tcW w:w="4488"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1]</w:t>
            </w:r>
          </w:p>
        </w:tc>
        <w:tc>
          <w:tcPr>
            <w:tcW w:w="1602"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rPr>
                <w:rFonts w:ascii="宋体" w:hAnsi="宋体"/>
                <w:color w:val="auto"/>
                <w:kern w:val="0"/>
                <w:szCs w:val="21"/>
                <w:highlight w:val="none"/>
              </w:rPr>
            </w:pPr>
            <w:r>
              <w:rPr>
                <w:rFonts w:ascii="宋体" w:hAnsi="宋体"/>
                <w:color w:val="auto"/>
                <w:kern w:val="0"/>
                <w:szCs w:val="21"/>
                <w:highlight w:val="none"/>
              </w:rPr>
              <w:t>2</w:t>
            </w:r>
          </w:p>
        </w:tc>
        <w:tc>
          <w:tcPr>
            <w:tcW w:w="4488"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2]</w:t>
            </w:r>
          </w:p>
        </w:tc>
        <w:tc>
          <w:tcPr>
            <w:tcW w:w="1602"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rPr>
                <w:rFonts w:ascii="宋体" w:hAnsi="宋体"/>
                <w:color w:val="auto"/>
                <w:kern w:val="0"/>
                <w:szCs w:val="21"/>
                <w:highlight w:val="none"/>
              </w:rPr>
            </w:pPr>
            <w:r>
              <w:rPr>
                <w:rFonts w:ascii="宋体" w:hAnsi="宋体"/>
                <w:color w:val="auto"/>
                <w:kern w:val="0"/>
                <w:szCs w:val="21"/>
                <w:highlight w:val="none"/>
              </w:rPr>
              <w:t>n</w:t>
            </w:r>
          </w:p>
        </w:tc>
        <w:tc>
          <w:tcPr>
            <w:tcW w:w="4488"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n]</w:t>
            </w:r>
          </w:p>
        </w:tc>
        <w:tc>
          <w:tcPr>
            <w:tcW w:w="1602"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投标总报价</w:t>
            </w:r>
          </w:p>
        </w:tc>
        <w:tc>
          <w:tcPr>
            <w:tcW w:w="1602"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A=A</w:t>
            </w:r>
            <w:r>
              <w:rPr>
                <w:rFonts w:ascii="宋体" w:hAnsi="宋体"/>
                <w:color w:val="auto"/>
                <w:kern w:val="0"/>
                <w:szCs w:val="21"/>
                <w:highlight w:val="none"/>
                <w:vertAlign w:val="subscript"/>
              </w:rPr>
              <w:t>1</w:t>
            </w:r>
            <w:r>
              <w:rPr>
                <w:rFonts w:ascii="宋体" w:hAnsi="宋体"/>
                <w:color w:val="auto"/>
                <w:kern w:val="0"/>
                <w:szCs w:val="21"/>
                <w:highlight w:val="none"/>
              </w:rPr>
              <w:t>+A</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An</w:t>
            </w:r>
            <w:r>
              <w:rPr>
                <w:rFonts w:hint="eastAsia" w:ascii="宋体" w:hAnsi="宋体"/>
                <w:color w:val="auto"/>
                <w:kern w:val="0"/>
                <w:szCs w:val="21"/>
                <w:highlight w:val="none"/>
              </w:rPr>
              <w:t>；∑</w:t>
            </w:r>
            <w:r>
              <w:rPr>
                <w:rFonts w:ascii="宋体" w:hAnsi="宋体"/>
                <w:color w:val="auto"/>
                <w:kern w:val="0"/>
                <w:szCs w:val="21"/>
                <w:highlight w:val="none"/>
              </w:rPr>
              <w:t>B=B</w:t>
            </w:r>
            <w:r>
              <w:rPr>
                <w:rFonts w:ascii="宋体" w:hAnsi="宋体"/>
                <w:color w:val="auto"/>
                <w:kern w:val="0"/>
                <w:szCs w:val="21"/>
                <w:highlight w:val="none"/>
                <w:vertAlign w:val="subscript"/>
              </w:rPr>
              <w:t>1</w:t>
            </w:r>
            <w:r>
              <w:rPr>
                <w:rFonts w:ascii="宋体" w:hAnsi="宋体"/>
                <w:color w:val="auto"/>
                <w:kern w:val="0"/>
                <w:szCs w:val="21"/>
                <w:highlight w:val="none"/>
              </w:rPr>
              <w:t>+B</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Bn</w:t>
            </w:r>
          </w:p>
        </w:tc>
      </w:tr>
    </w:tbl>
    <w:p>
      <w:pPr>
        <w:rPr>
          <w:rFonts w:cs="宋体"/>
          <w:color w:val="auto"/>
          <w:kern w:val="0"/>
          <w:szCs w:val="21"/>
          <w:highlight w:val="none"/>
        </w:rPr>
      </w:pPr>
      <w:r>
        <w:rPr>
          <w:rFonts w:hint="eastAsia" w:cs="宋体"/>
          <w:color w:val="auto"/>
          <w:kern w:val="0"/>
          <w:szCs w:val="21"/>
          <w:highlight w:val="none"/>
        </w:rPr>
        <w:t>修正原则：</w:t>
      </w:r>
      <w:r>
        <w:rPr>
          <w:rFonts w:hint="eastAsia"/>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cs="宋体"/>
          <w:color w:val="auto"/>
          <w:kern w:val="0"/>
          <w:szCs w:val="21"/>
          <w:highlight w:val="none"/>
        </w:rPr>
        <w:tab/>
      </w:r>
    </w:p>
    <w:p>
      <w:pPr>
        <w:rPr>
          <w:color w:val="auto"/>
          <w:kern w:val="0"/>
          <w:szCs w:val="21"/>
          <w:highlight w:val="none"/>
        </w:rPr>
      </w:pPr>
      <w:r>
        <w:rPr>
          <w:rFonts w:hint="eastAsia"/>
          <w:color w:val="auto"/>
          <w:kern w:val="0"/>
          <w:szCs w:val="21"/>
          <w:highlight w:val="none"/>
        </w:rPr>
        <w:t>评委签名：</w:t>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rFonts w:hint="eastAsia"/>
          <w:color w:val="auto"/>
          <w:kern w:val="0"/>
          <w:szCs w:val="21"/>
          <w:highlight w:val="none"/>
        </w:rPr>
        <w:t>日期：</w:t>
      </w:r>
    </w:p>
    <w:p>
      <w:pPr>
        <w:rPr>
          <w:color w:val="auto"/>
          <w:highlight w:val="none"/>
        </w:rPr>
      </w:pPr>
    </w:p>
    <w:p>
      <w:pPr>
        <w:rPr>
          <w:color w:val="auto"/>
          <w:highlight w:val="none"/>
        </w:rPr>
      </w:pPr>
      <w:r>
        <w:rPr>
          <w:color w:val="auto"/>
          <w:highlight w:val="none"/>
        </w:rPr>
        <w:br w:type="page"/>
      </w:r>
    </w:p>
    <w:p>
      <w:pPr>
        <w:jc w:val="center"/>
        <w:rPr>
          <w:b/>
          <w:color w:val="auto"/>
          <w:sz w:val="36"/>
          <w:szCs w:val="36"/>
          <w:highlight w:val="none"/>
        </w:rPr>
      </w:pPr>
      <w:r>
        <w:rPr>
          <w:rFonts w:hint="eastAsia"/>
          <w:b/>
          <w:color w:val="auto"/>
          <w:sz w:val="36"/>
          <w:szCs w:val="36"/>
          <w:highlight w:val="none"/>
        </w:rPr>
        <w:t>算术复核表</w:t>
      </w:r>
    </w:p>
    <w:p>
      <w:pPr>
        <w:rPr>
          <w:color w:val="auto"/>
          <w:szCs w:val="21"/>
          <w:highlight w:val="none"/>
        </w:rPr>
      </w:pPr>
      <w:r>
        <w:rPr>
          <w:rFonts w:hint="eastAsia"/>
          <w:color w:val="auto"/>
          <w:szCs w:val="21"/>
          <w:highlight w:val="none"/>
        </w:rPr>
        <w:t>工程名称：</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023" w:type="dxa"/>
            <w:tcBorders>
              <w:top w:val="single" w:color="auto" w:sz="4" w:space="0"/>
              <w:left w:val="single" w:color="auto" w:sz="4" w:space="0"/>
              <w:bottom w:val="single" w:color="auto" w:sz="4" w:space="0"/>
              <w:right w:val="single" w:color="auto" w:sz="4" w:space="0"/>
            </w:tcBorders>
            <w:noWrap w:val="0"/>
            <w:vAlign w:val="center"/>
          </w:tcPr>
          <w:p>
            <w:pPr>
              <w:rPr>
                <w:b/>
                <w:color w:val="auto"/>
                <w:szCs w:val="21"/>
                <w:highlight w:val="none"/>
              </w:rPr>
            </w:pPr>
            <w:r>
              <w:rPr>
                <w:rFonts w:hint="eastAsia"/>
                <w:b/>
                <w:color w:val="auto"/>
                <w:szCs w:val="21"/>
                <w:highlight w:val="none"/>
              </w:rPr>
              <w:t>编号</w:t>
            </w:r>
          </w:p>
        </w:tc>
        <w:tc>
          <w:tcPr>
            <w:tcW w:w="4297" w:type="dxa"/>
            <w:tcBorders>
              <w:top w:val="single" w:color="auto" w:sz="4" w:space="0"/>
              <w:left w:val="single" w:color="auto" w:sz="4" w:space="0"/>
              <w:bottom w:val="single" w:color="auto" w:sz="4" w:space="0"/>
              <w:right w:val="single" w:color="auto" w:sz="4" w:space="0"/>
            </w:tcBorders>
            <w:noWrap w:val="0"/>
            <w:vAlign w:val="center"/>
          </w:tcPr>
          <w:p>
            <w:pPr>
              <w:rPr>
                <w:b/>
                <w:color w:val="auto"/>
                <w:szCs w:val="21"/>
                <w:highlight w:val="none"/>
              </w:rPr>
            </w:pPr>
            <w:r>
              <w:rPr>
                <w:rFonts w:hint="eastAsia"/>
                <w:b/>
                <w:color w:val="auto"/>
                <w:szCs w:val="21"/>
                <w:highlight w:val="none"/>
              </w:rPr>
              <w:t>投标人名称</w:t>
            </w:r>
          </w:p>
        </w:tc>
        <w:tc>
          <w:tcPr>
            <w:tcW w:w="2330" w:type="dxa"/>
            <w:tcBorders>
              <w:top w:val="single" w:color="auto" w:sz="4" w:space="0"/>
              <w:left w:val="single" w:color="auto" w:sz="4" w:space="0"/>
              <w:bottom w:val="single" w:color="auto" w:sz="4" w:space="0"/>
              <w:right w:val="single" w:color="auto" w:sz="4" w:space="0"/>
            </w:tcBorders>
            <w:noWrap w:val="0"/>
            <w:vAlign w:val="center"/>
          </w:tcPr>
          <w:p>
            <w:pPr>
              <w:rPr>
                <w:b/>
                <w:color w:val="auto"/>
                <w:szCs w:val="21"/>
                <w:highlight w:val="none"/>
              </w:rPr>
            </w:pPr>
            <w:r>
              <w:rPr>
                <w:rFonts w:hint="eastAsia"/>
                <w:b/>
                <w:color w:val="auto"/>
                <w:szCs w:val="21"/>
                <w:highlight w:val="none"/>
              </w:rPr>
              <w:t>原投标报价（</w:t>
            </w:r>
            <w:r>
              <w:rPr>
                <w:b/>
                <w:color w:val="auto"/>
                <w:szCs w:val="21"/>
                <w:highlight w:val="none"/>
              </w:rPr>
              <w:t>A</w:t>
            </w:r>
            <w:r>
              <w:rPr>
                <w:rFonts w:hint="eastAsia"/>
                <w:b/>
                <w:color w:val="auto"/>
                <w:szCs w:val="21"/>
                <w:highlight w:val="none"/>
              </w:rPr>
              <w:t>）</w:t>
            </w:r>
          </w:p>
        </w:tc>
        <w:tc>
          <w:tcPr>
            <w:tcW w:w="3101" w:type="dxa"/>
            <w:tcBorders>
              <w:top w:val="single" w:color="auto" w:sz="4" w:space="0"/>
              <w:left w:val="single" w:color="auto" w:sz="4" w:space="0"/>
              <w:bottom w:val="single" w:color="auto" w:sz="4" w:space="0"/>
              <w:right w:val="single" w:color="auto" w:sz="4" w:space="0"/>
            </w:tcBorders>
            <w:noWrap w:val="0"/>
            <w:vAlign w:val="center"/>
          </w:tcPr>
          <w:p>
            <w:pPr>
              <w:rPr>
                <w:b/>
                <w:color w:val="auto"/>
                <w:szCs w:val="21"/>
                <w:highlight w:val="none"/>
              </w:rPr>
            </w:pPr>
            <w:r>
              <w:rPr>
                <w:rFonts w:hint="eastAsia"/>
                <w:b/>
                <w:color w:val="auto"/>
                <w:szCs w:val="21"/>
                <w:highlight w:val="none"/>
              </w:rPr>
              <w:t>算数复核后投标报价（</w:t>
            </w:r>
            <w:r>
              <w:rPr>
                <w:b/>
                <w:color w:val="auto"/>
                <w:szCs w:val="21"/>
                <w:highlight w:val="none"/>
              </w:rPr>
              <w:t>B</w:t>
            </w:r>
            <w:r>
              <w:rPr>
                <w:rFonts w:hint="eastAsia"/>
                <w:b/>
                <w:color w:val="auto"/>
                <w:szCs w:val="21"/>
                <w:highlight w:val="none"/>
              </w:rPr>
              <w:t>）</w:t>
            </w:r>
          </w:p>
        </w:tc>
        <w:tc>
          <w:tcPr>
            <w:tcW w:w="3423" w:type="dxa"/>
            <w:tcBorders>
              <w:top w:val="single" w:color="auto" w:sz="4" w:space="0"/>
              <w:left w:val="single" w:color="auto" w:sz="4" w:space="0"/>
              <w:bottom w:val="single" w:color="auto" w:sz="4" w:space="0"/>
              <w:right w:val="single" w:color="auto" w:sz="4" w:space="0"/>
            </w:tcBorders>
            <w:noWrap w:val="0"/>
            <w:vAlign w:val="center"/>
          </w:tcPr>
          <w:p>
            <w:pPr>
              <w:rPr>
                <w:b/>
                <w:color w:val="auto"/>
                <w:szCs w:val="21"/>
                <w:highlight w:val="none"/>
              </w:rPr>
            </w:pPr>
            <w:r>
              <w:rPr>
                <w:rFonts w:hint="eastAsia"/>
                <w:b/>
                <w:color w:val="auto"/>
                <w:szCs w:val="21"/>
                <w:highlight w:val="none"/>
              </w:rPr>
              <w:t>误差率（</w:t>
            </w:r>
            <w:r>
              <w:rPr>
                <w:b/>
                <w:color w:val="auto"/>
                <w:szCs w:val="21"/>
                <w:highlight w:val="none"/>
              </w:rPr>
              <w:t>r=|A-B|/A*100%</w:t>
            </w:r>
            <w:r>
              <w:rPr>
                <w:rFonts w:hint="eastAsia"/>
                <w:b/>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r>
    </w:tbl>
    <w:p>
      <w:pPr>
        <w:rPr>
          <w:color w:val="auto"/>
          <w:szCs w:val="21"/>
          <w:highlight w:val="none"/>
        </w:rPr>
      </w:pPr>
      <w:r>
        <w:rPr>
          <w:rFonts w:hint="eastAsia"/>
          <w:color w:val="auto"/>
          <w:szCs w:val="21"/>
          <w:highlight w:val="none"/>
        </w:rPr>
        <w:t>评委签名：</w:t>
      </w:r>
    </w:p>
    <w:p>
      <w:pPr>
        <w:rPr>
          <w:rFonts w:ascii="仿宋_GB2312" w:hAnsi="宋体" w:eastAsia="仿宋_GB2312"/>
          <w:color w:val="auto"/>
          <w:szCs w:val="21"/>
          <w:highlight w:val="none"/>
        </w:rPr>
      </w:pPr>
      <w:r>
        <w:rPr>
          <w:rFonts w:ascii="仿宋_GB2312" w:hAnsi="宋体" w:eastAsia="仿宋_GB2312"/>
          <w:color w:val="auto"/>
          <w:szCs w:val="21"/>
          <w:highlight w:val="none"/>
        </w:rPr>
        <w:t xml:space="preserve"> </w:t>
      </w:r>
    </w:p>
    <w:p>
      <w:pPr>
        <w:spacing w:line="360" w:lineRule="auto"/>
        <w:rPr>
          <w:rFonts w:ascii="仿宋_GB2312" w:hAnsi="宋体" w:eastAsia="仿宋_GB2312"/>
          <w:color w:val="auto"/>
          <w:szCs w:val="21"/>
          <w:highlight w:val="none"/>
        </w:rPr>
        <w:sectPr>
          <w:headerReference r:id="rId9" w:type="first"/>
          <w:footerReference r:id="rId12" w:type="first"/>
          <w:headerReference r:id="rId7" w:type="default"/>
          <w:footerReference r:id="rId10" w:type="default"/>
          <w:headerReference r:id="rId8" w:type="even"/>
          <w:footerReference r:id="rId11" w:type="even"/>
          <w:endnotePr>
            <w:numFmt w:val="decimal"/>
          </w:endnotePr>
          <w:pgSz w:w="16838" w:h="11906" w:orient="landscape"/>
          <w:pgMar w:top="1418" w:right="1247" w:bottom="1418" w:left="1134" w:header="851" w:footer="907" w:gutter="0"/>
          <w:cols w:space="720" w:num="1"/>
          <w:titlePg/>
          <w:docGrid w:type="lines" w:linePitch="312" w:charSpace="0"/>
        </w:sectPr>
      </w:pPr>
    </w:p>
    <w:p>
      <w:pPr>
        <w:pStyle w:val="3"/>
        <w:rPr>
          <w:b w:val="0"/>
          <w:color w:val="auto"/>
          <w:highlight w:val="none"/>
        </w:rPr>
      </w:pPr>
      <w:bookmarkStart w:id="42" w:name="_Toc21525511"/>
      <w:bookmarkStart w:id="43" w:name="_Toc2272566"/>
      <w:r>
        <w:rPr>
          <w:rFonts w:hint="eastAsia"/>
          <w:b w:val="0"/>
          <w:color w:val="auto"/>
          <w:highlight w:val="none"/>
        </w:rPr>
        <w:t>第三章 合同条款</w:t>
      </w:r>
      <w:bookmarkEnd w:id="42"/>
      <w:bookmarkEnd w:id="43"/>
    </w:p>
    <w:p>
      <w:pPr>
        <w:ind w:firstLine="480" w:firstLineChars="200"/>
        <w:rPr>
          <w:rFonts w:hint="eastAsia"/>
          <w:color w:val="auto"/>
          <w:sz w:val="24"/>
          <w:szCs w:val="24"/>
          <w:highlight w:val="none"/>
        </w:rPr>
      </w:pPr>
    </w:p>
    <w:p>
      <w:pPr>
        <w:ind w:firstLine="420" w:firstLineChars="200"/>
        <w:rPr>
          <w:rFonts w:hint="eastAsia"/>
          <w:color w:val="auto"/>
          <w:highlight w:val="none"/>
        </w:rPr>
      </w:pPr>
    </w:p>
    <w:p>
      <w:pPr>
        <w:rPr>
          <w:rFonts w:hint="eastAsia"/>
          <w:color w:val="auto"/>
          <w:highlight w:val="none"/>
        </w:rPr>
      </w:pPr>
      <w:r>
        <w:rPr>
          <w:color w:val="auto"/>
          <w:highlight w:val="none"/>
        </w:rPr>
        <w:drawing>
          <wp:inline distT="0" distB="0" distL="114300" distR="114300">
            <wp:extent cx="2497455" cy="259715"/>
            <wp:effectExtent l="0" t="0" r="17145" b="6985"/>
            <wp:docPr id="42"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56"/>
                    <pic:cNvPicPr>
                      <a:picLocks noChangeAspect="1"/>
                    </pic:cNvPicPr>
                  </pic:nvPicPr>
                  <pic:blipFill>
                    <a:blip r:embed="rId17"/>
                    <a:stretch>
                      <a:fillRect/>
                    </a:stretch>
                  </pic:blipFill>
                  <pic:spPr>
                    <a:xfrm>
                      <a:off x="0" y="0"/>
                      <a:ext cx="2497455" cy="259715"/>
                    </a:xfrm>
                    <a:prstGeom prst="rect">
                      <a:avLst/>
                    </a:prstGeom>
                    <a:noFill/>
                    <a:ln>
                      <a:noFill/>
                    </a:ln>
                  </pic:spPr>
                </pic:pic>
              </a:graphicData>
            </a:graphic>
          </wp:inline>
        </w:drawing>
      </w:r>
    </w:p>
    <w:p>
      <w:pPr>
        <w:ind w:firstLine="8400" w:firstLineChars="3500"/>
        <w:rPr>
          <w:color w:val="auto"/>
          <w:sz w:val="24"/>
          <w:highlight w:val="none"/>
        </w:rPr>
      </w:pPr>
      <w:r>
        <w:rPr>
          <w:color w:val="auto"/>
          <w:sz w:val="24"/>
          <w:highlight w:val="none"/>
        </w:rPr>
        <w:drawing>
          <wp:anchor distT="0" distB="0" distL="114300" distR="114300" simplePos="0" relativeHeight="251659264" behindDoc="1" locked="0" layoutInCell="1" allowOverlap="0">
            <wp:simplePos x="0" y="0"/>
            <wp:positionH relativeFrom="column">
              <wp:posOffset>0</wp:posOffset>
            </wp:positionH>
            <wp:positionV relativeFrom="paragraph">
              <wp:posOffset>198120</wp:posOffset>
            </wp:positionV>
            <wp:extent cx="790575" cy="161925"/>
            <wp:effectExtent l="0" t="0" r="9525" b="9525"/>
            <wp:wrapTight wrapText="bothSides">
              <wp:wrapPolygon>
                <wp:start x="21592" y="-2"/>
                <wp:lineTo x="0" y="0"/>
                <wp:lineTo x="0" y="21600"/>
                <wp:lineTo x="21592" y="21602"/>
                <wp:lineTo x="8" y="21602"/>
                <wp:lineTo x="21600" y="21600"/>
                <wp:lineTo x="21600" y="0"/>
                <wp:lineTo x="8" y="-2"/>
                <wp:lineTo x="21592" y="-2"/>
              </wp:wrapPolygon>
            </wp:wrapTight>
            <wp:docPr id="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pic:cNvPicPr>
                      <a:picLocks noChangeAspect="1"/>
                    </pic:cNvPicPr>
                  </pic:nvPicPr>
                  <pic:blipFill>
                    <a:blip r:embed="rId18"/>
                    <a:stretch>
                      <a:fillRect/>
                    </a:stretch>
                  </pic:blipFill>
                  <pic:spPr>
                    <a:xfrm>
                      <a:off x="0" y="0"/>
                      <a:ext cx="790575" cy="161925"/>
                    </a:xfrm>
                    <a:prstGeom prst="rect">
                      <a:avLst/>
                    </a:prstGeom>
                    <a:noFill/>
                    <a:ln>
                      <a:noFill/>
                    </a:ln>
                  </pic:spPr>
                </pic:pic>
              </a:graphicData>
            </a:graphic>
          </wp:anchor>
        </w:drawing>
      </w:r>
      <w:r>
        <w:rPr>
          <w:rFonts w:hint="eastAsia"/>
          <w:color w:val="auto"/>
          <w:sz w:val="24"/>
          <w:highlight w:val="none"/>
        </w:rPr>
        <w:t xml:space="preserve">                            </w:t>
      </w:r>
    </w:p>
    <w:p>
      <w:pPr>
        <w:tabs>
          <w:tab w:val="left" w:pos="870"/>
        </w:tabs>
        <w:rPr>
          <w:rFonts w:hint="eastAsia"/>
          <w:color w:val="auto"/>
          <w:sz w:val="24"/>
          <w:highlight w:val="none"/>
        </w:rPr>
      </w:pPr>
      <w:r>
        <w:rPr>
          <w:rFonts w:hint="eastAsia"/>
          <w:color w:val="auto"/>
          <w:sz w:val="24"/>
          <w:highlight w:val="none"/>
        </w:rPr>
        <w:t>穗开建管施[202</w:t>
      </w:r>
      <w:r>
        <w:rPr>
          <w:rFonts w:hint="eastAsia"/>
          <w:color w:val="auto"/>
          <w:sz w:val="24"/>
          <w:highlight w:val="none"/>
          <w:lang w:val="en-US" w:eastAsia="zh-CN"/>
        </w:rPr>
        <w:t>3</w:t>
      </w:r>
      <w:r>
        <w:rPr>
          <w:rFonts w:hint="eastAsia"/>
          <w:color w:val="auto"/>
          <w:sz w:val="24"/>
          <w:highlight w:val="none"/>
        </w:rPr>
        <w:t>]  号/               /</w:t>
      </w:r>
    </w:p>
    <w:p>
      <w:pPr>
        <w:rPr>
          <w:rFonts w:hint="eastAsia" w:ascii="方正大标宋简体" w:eastAsia="方正大标宋简体"/>
          <w:color w:val="auto"/>
          <w:sz w:val="28"/>
          <w:szCs w:val="28"/>
          <w:highlight w:val="none"/>
        </w:rPr>
      </w:pPr>
      <w:r>
        <w:rPr>
          <w:rFonts w:hint="eastAsia" w:ascii="方正大标宋简体" w:eastAsia="方正大标宋简体"/>
          <w:color w:val="auto"/>
          <w:sz w:val="28"/>
          <w:szCs w:val="28"/>
          <w:highlight w:val="none"/>
        </w:rPr>
        <w:t xml:space="preserve"> </w:t>
      </w:r>
    </w:p>
    <w:p>
      <w:pPr>
        <w:ind w:firstLine="840" w:firstLineChars="400"/>
        <w:rPr>
          <w:rFonts w:hint="eastAsia"/>
          <w:color w:val="auto"/>
          <w:highlight w:val="none"/>
        </w:rPr>
      </w:pPr>
    </w:p>
    <w:p>
      <w:pPr>
        <w:ind w:firstLine="840" w:firstLineChars="400"/>
        <w:rPr>
          <w:rFonts w:hint="eastAsia"/>
          <w:color w:val="auto"/>
          <w:highlight w:val="none"/>
        </w:rPr>
      </w:pPr>
      <w:r>
        <w:rPr>
          <w:rFonts w:hint="eastAsia"/>
          <w:color w:val="auto"/>
          <w:highlight w:val="none"/>
        </w:rPr>
        <w:drawing>
          <wp:anchor distT="0" distB="0" distL="114300" distR="114300" simplePos="0" relativeHeight="251660288" behindDoc="0" locked="0" layoutInCell="1" allowOverlap="1">
            <wp:simplePos x="0" y="0"/>
            <wp:positionH relativeFrom="column">
              <wp:posOffset>3886200</wp:posOffset>
            </wp:positionH>
            <wp:positionV relativeFrom="paragraph">
              <wp:posOffset>-1802130</wp:posOffset>
            </wp:positionV>
            <wp:extent cx="2236470" cy="1798955"/>
            <wp:effectExtent l="0" t="0" r="11430" b="10795"/>
            <wp:wrapSquare wrapText="bothSides"/>
            <wp:docPr id="2" name="图片 10" descr="C:\Users\lanxing\Desktop\93b1542184114cf8b316f10d4b2d5c42.png93b1542184114cf8b316f10d4b2d5c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descr="C:\Users\lanxing\Desktop\93b1542184114cf8b316f10d4b2d5c42.png93b1542184114cf8b316f10d4b2d5c42"/>
                    <pic:cNvPicPr>
                      <a:picLocks noChangeAspect="1"/>
                    </pic:cNvPicPr>
                  </pic:nvPicPr>
                  <pic:blipFill>
                    <a:blip r:embed="rId19"/>
                    <a:stretch>
                      <a:fillRect/>
                    </a:stretch>
                  </pic:blipFill>
                  <pic:spPr>
                    <a:xfrm>
                      <a:off x="0" y="0"/>
                      <a:ext cx="2236470" cy="1798955"/>
                    </a:xfrm>
                    <a:prstGeom prst="rect">
                      <a:avLst/>
                    </a:prstGeom>
                    <a:noFill/>
                    <a:ln>
                      <a:noFill/>
                    </a:ln>
                  </pic:spPr>
                </pic:pic>
              </a:graphicData>
            </a:graphic>
          </wp:anchor>
        </w:drawing>
      </w:r>
      <w:r>
        <w:rPr>
          <w:rFonts w:hint="eastAsia"/>
          <w:color w:val="auto"/>
          <w:highlight w:val="none"/>
        </w:rPr>
        <w:t xml:space="preserve">                                                              </w:t>
      </w:r>
    </w:p>
    <w:p>
      <w:pPr>
        <w:ind w:firstLine="840" w:firstLineChars="400"/>
        <w:rPr>
          <w:rFonts w:hint="eastAsia"/>
          <w:color w:val="auto"/>
          <w:highlight w:val="none"/>
        </w:rPr>
      </w:pPr>
      <w:r>
        <w:rPr>
          <w:rFonts w:hint="eastAsia"/>
          <w:color w:val="auto"/>
          <w:highlight w:val="none"/>
        </w:rPr>
        <w:t xml:space="preserve">                     </w:t>
      </w:r>
    </w:p>
    <w:p>
      <w:pPr>
        <w:snapToGrid w:val="0"/>
        <w:spacing w:line="440" w:lineRule="exact"/>
        <w:ind w:left="-197" w:leftChars="-94"/>
        <w:jc w:val="center"/>
        <w:rPr>
          <w:rFonts w:hint="eastAsia" w:ascii="宋体" w:hAnsi="宋体"/>
          <w:color w:val="auto"/>
          <w:highlight w:val="none"/>
        </w:rPr>
      </w:pPr>
    </w:p>
    <w:p>
      <w:pPr>
        <w:snapToGrid w:val="0"/>
        <w:spacing w:line="440" w:lineRule="exact"/>
        <w:ind w:left="-197" w:leftChars="-94"/>
        <w:jc w:val="center"/>
        <w:rPr>
          <w:rFonts w:hint="eastAsia" w:ascii="宋体" w:hAnsi="宋体"/>
          <w:color w:val="auto"/>
          <w:highlight w:val="none"/>
        </w:rPr>
      </w:pPr>
      <w:r>
        <w:rPr>
          <w:rFonts w:hint="eastAsia"/>
          <w:color w:val="auto"/>
          <w:highlight w:val="none"/>
        </w:rPr>
        <w:drawing>
          <wp:anchor distT="0" distB="0" distL="114300" distR="114300" simplePos="0" relativeHeight="251661312" behindDoc="0" locked="0" layoutInCell="1" allowOverlap="1">
            <wp:simplePos x="0" y="0"/>
            <wp:positionH relativeFrom="column">
              <wp:posOffset>114300</wp:posOffset>
            </wp:positionH>
            <wp:positionV relativeFrom="paragraph">
              <wp:posOffset>134620</wp:posOffset>
            </wp:positionV>
            <wp:extent cx="5295900" cy="590550"/>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0"/>
                    <a:stretch>
                      <a:fillRect/>
                    </a:stretch>
                  </pic:blipFill>
                  <pic:spPr>
                    <a:xfrm>
                      <a:off x="0" y="0"/>
                      <a:ext cx="5295900" cy="590550"/>
                    </a:xfrm>
                    <a:prstGeom prst="rect">
                      <a:avLst/>
                    </a:prstGeom>
                    <a:noFill/>
                    <a:ln>
                      <a:noFill/>
                    </a:ln>
                  </pic:spPr>
                </pic:pic>
              </a:graphicData>
            </a:graphic>
          </wp:anchor>
        </w:drawing>
      </w:r>
    </w:p>
    <w:p>
      <w:pPr>
        <w:spacing w:line="480" w:lineRule="exact"/>
        <w:jc w:val="center"/>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 xml:space="preserve">        </w:t>
      </w:r>
    </w:p>
    <w:p>
      <w:pPr>
        <w:spacing w:line="480" w:lineRule="exact"/>
        <w:jc w:val="center"/>
        <w:rPr>
          <w:rFonts w:hint="eastAsia" w:ascii="仿宋_GB2312" w:hAnsi="仿宋" w:eastAsia="仿宋_GB2312"/>
          <w:color w:val="auto"/>
          <w:sz w:val="28"/>
          <w:szCs w:val="28"/>
          <w:highlight w:val="none"/>
        </w:rPr>
      </w:pPr>
    </w:p>
    <w:p>
      <w:pPr>
        <w:spacing w:line="480" w:lineRule="exact"/>
        <w:rPr>
          <w:rFonts w:hint="eastAsia" w:ascii="方正大标宋简体" w:hAnsi="仿宋" w:eastAsia="方正大标宋简体"/>
          <w:color w:val="auto"/>
          <w:sz w:val="28"/>
          <w:szCs w:val="28"/>
          <w:highlight w:val="none"/>
          <w:u w:val="single"/>
        </w:rPr>
      </w:pPr>
      <w:r>
        <w:rPr>
          <w:rFonts w:hint="eastAsia" w:ascii="仿宋_GB2312" w:hAnsi="仿宋" w:eastAsia="仿宋_GB2312"/>
          <w:color w:val="auto"/>
          <w:sz w:val="28"/>
          <w:szCs w:val="28"/>
          <w:highlight w:val="none"/>
        </w:rPr>
        <w:t>项目名称：</w:t>
      </w:r>
      <w:r>
        <w:rPr>
          <w:rFonts w:hint="eastAsia" w:ascii="方正大标宋简体" w:hAnsi="仿宋" w:eastAsia="方正大标宋简体"/>
          <w:color w:val="auto"/>
          <w:sz w:val="28"/>
          <w:szCs w:val="28"/>
          <w:highlight w:val="none"/>
          <w:u w:val="single"/>
        </w:rPr>
        <w:t xml:space="preserve">                                       </w:t>
      </w:r>
    </w:p>
    <w:p>
      <w:pPr>
        <w:spacing w:line="480" w:lineRule="exact"/>
        <w:rPr>
          <w:rFonts w:hint="eastAsia" w:ascii="方正大标宋简体" w:hAnsi="仿宋" w:eastAsia="方正大标宋简体"/>
          <w:color w:val="auto"/>
          <w:sz w:val="28"/>
          <w:szCs w:val="28"/>
          <w:highlight w:val="none"/>
          <w:u w:val="single"/>
        </w:rPr>
      </w:pPr>
      <w:r>
        <w:rPr>
          <w:rFonts w:hint="eastAsia" w:ascii="仿宋_GB2312" w:hAnsi="仿宋" w:eastAsia="仿宋_GB2312"/>
          <w:color w:val="auto"/>
          <w:sz w:val="28"/>
          <w:szCs w:val="28"/>
          <w:highlight w:val="none"/>
        </w:rPr>
        <w:t xml:space="preserve">发包人（甲方）： </w:t>
      </w:r>
      <w:r>
        <w:rPr>
          <w:rFonts w:hint="eastAsia" w:ascii="方正大标宋简体" w:hAnsi="仿宋" w:eastAsia="方正大标宋简体"/>
          <w:color w:val="auto"/>
          <w:sz w:val="28"/>
          <w:szCs w:val="28"/>
          <w:highlight w:val="none"/>
          <w:u w:val="single"/>
        </w:rPr>
        <w:t>广州开发区财政投资建设项目管理中心</w:t>
      </w:r>
    </w:p>
    <w:p>
      <w:pPr>
        <w:snapToGrid w:val="0"/>
        <w:spacing w:line="440" w:lineRule="exact"/>
        <w:rPr>
          <w:rFonts w:hint="eastAsia" w:ascii="方正大标宋简体" w:hAnsi="宋体" w:eastAsia="方正大标宋简体"/>
          <w:color w:val="auto"/>
          <w:sz w:val="28"/>
          <w:szCs w:val="28"/>
          <w:highlight w:val="none"/>
          <w:u w:val="single"/>
        </w:rPr>
      </w:pPr>
      <w:r>
        <w:rPr>
          <w:rFonts w:hint="eastAsia" w:ascii="仿宋_GB2312" w:hAnsi="仿宋" w:eastAsia="仿宋_GB2312"/>
          <w:color w:val="auto"/>
          <w:sz w:val="28"/>
          <w:szCs w:val="28"/>
          <w:highlight w:val="none"/>
        </w:rPr>
        <w:t>承包人（乙方）：</w:t>
      </w:r>
      <w:r>
        <w:rPr>
          <w:rFonts w:hint="eastAsia" w:ascii="方正大标宋简体" w:hAnsi="宋体" w:eastAsia="方正大标宋简体"/>
          <w:color w:val="auto"/>
          <w:sz w:val="28"/>
          <w:szCs w:val="28"/>
          <w:highlight w:val="none"/>
          <w:u w:val="single"/>
        </w:rPr>
        <w:t xml:space="preserve">                                   </w:t>
      </w:r>
    </w:p>
    <w:p>
      <w:pPr>
        <w:spacing w:line="480" w:lineRule="exact"/>
        <w:rPr>
          <w:rFonts w:hint="eastAsia" w:ascii="方正大标宋简体" w:hAnsi="仿宋" w:eastAsia="方正大标宋简体"/>
          <w:color w:val="auto"/>
          <w:sz w:val="28"/>
          <w:szCs w:val="28"/>
          <w:highlight w:val="none"/>
          <w:u w:val="single"/>
        </w:rPr>
      </w:pPr>
      <w:r>
        <w:rPr>
          <w:rFonts w:hint="eastAsia" w:ascii="仿宋_GB2312" w:hAnsi="仿宋" w:eastAsia="仿宋_GB2312"/>
          <w:color w:val="auto"/>
          <w:sz w:val="28"/>
          <w:szCs w:val="28"/>
          <w:highlight w:val="none"/>
        </w:rPr>
        <w:t>合同签订日期：</w:t>
      </w:r>
      <w:r>
        <w:rPr>
          <w:rFonts w:hint="eastAsia" w:ascii="仿宋_GB2312" w:hAnsi="仿宋" w:eastAsia="仿宋_GB2312"/>
          <w:color w:val="auto"/>
          <w:sz w:val="28"/>
          <w:szCs w:val="28"/>
          <w:highlight w:val="none"/>
          <w:u w:val="single"/>
        </w:rPr>
        <w:t xml:space="preserve"> </w:t>
      </w:r>
      <w:r>
        <w:rPr>
          <w:rFonts w:hint="eastAsia" w:ascii="方正大标宋简体" w:hAnsi="仿宋" w:eastAsia="方正大标宋简体"/>
          <w:color w:val="auto"/>
          <w:sz w:val="28"/>
          <w:szCs w:val="28"/>
          <w:highlight w:val="none"/>
          <w:u w:val="single"/>
        </w:rPr>
        <w:t>202</w:t>
      </w:r>
      <w:r>
        <w:rPr>
          <w:rFonts w:hint="eastAsia" w:ascii="方正大标宋简体" w:hAnsi="仿宋" w:eastAsia="方正大标宋简体"/>
          <w:color w:val="auto"/>
          <w:sz w:val="28"/>
          <w:szCs w:val="28"/>
          <w:highlight w:val="none"/>
          <w:u w:val="single"/>
          <w:lang w:val="en-US" w:eastAsia="zh-CN"/>
        </w:rPr>
        <w:t>3</w:t>
      </w:r>
      <w:r>
        <w:rPr>
          <w:rFonts w:hint="eastAsia" w:ascii="方正大标宋简体" w:hAnsi="仿宋" w:eastAsia="方正大标宋简体"/>
          <w:color w:val="auto"/>
          <w:sz w:val="28"/>
          <w:szCs w:val="28"/>
          <w:highlight w:val="none"/>
          <w:u w:val="single"/>
        </w:rPr>
        <w:t>年  月    日</w:t>
      </w:r>
    </w:p>
    <w:p>
      <w:pPr>
        <w:pStyle w:val="26"/>
        <w:spacing w:line="360" w:lineRule="auto"/>
        <w:rPr>
          <w:color w:val="auto"/>
          <w:sz w:val="24"/>
          <w:szCs w:val="24"/>
          <w:highlight w:val="none"/>
        </w:rPr>
      </w:pPr>
      <w:r>
        <w:rPr>
          <w:rFonts w:hint="eastAsia" w:ascii="仿宋_GB2312" w:hAnsi="仿宋" w:eastAsia="仿宋_GB2312"/>
          <w:color w:val="auto"/>
          <w:sz w:val="28"/>
          <w:szCs w:val="28"/>
          <w:highlight w:val="none"/>
        </w:rPr>
        <w:t>签订地点：</w:t>
      </w:r>
      <w:r>
        <w:rPr>
          <w:rFonts w:hint="eastAsia" w:ascii="方正大标宋简体" w:hAnsi="仿宋" w:eastAsia="方正大标宋简体"/>
          <w:color w:val="auto"/>
          <w:sz w:val="28"/>
          <w:szCs w:val="28"/>
          <w:highlight w:val="none"/>
          <w:u w:val="single"/>
        </w:rPr>
        <w:t>广州市黄埔区</w:t>
      </w:r>
    </w:p>
    <w:p>
      <w:pPr>
        <w:snapToGrid w:val="0"/>
        <w:spacing w:line="440" w:lineRule="exact"/>
        <w:jc w:val="center"/>
        <w:rPr>
          <w:rFonts w:ascii="宋体" w:hAnsi="宋体"/>
          <w:b/>
          <w:bCs/>
          <w:color w:val="auto"/>
          <w:sz w:val="24"/>
          <w:highlight w:val="none"/>
        </w:rPr>
      </w:pPr>
      <w:r>
        <w:rPr>
          <w:color w:val="auto"/>
          <w:sz w:val="24"/>
          <w:szCs w:val="24"/>
          <w:highlight w:val="none"/>
        </w:rPr>
        <w:drawing>
          <wp:anchor distT="0" distB="0" distL="114300" distR="114300" simplePos="0" relativeHeight="251662336" behindDoc="0" locked="0" layoutInCell="1" allowOverlap="0">
            <wp:simplePos x="0" y="0"/>
            <wp:positionH relativeFrom="column">
              <wp:posOffset>-1141095</wp:posOffset>
            </wp:positionH>
            <wp:positionV relativeFrom="paragraph">
              <wp:posOffset>786765</wp:posOffset>
            </wp:positionV>
            <wp:extent cx="7562850" cy="2633980"/>
            <wp:effectExtent l="0" t="0" r="0" b="13970"/>
            <wp:wrapSquare wrapText="bothSides"/>
            <wp:docPr id="4"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8"/>
                    <pic:cNvPicPr>
                      <a:picLocks noChangeAspect="1"/>
                    </pic:cNvPicPr>
                  </pic:nvPicPr>
                  <pic:blipFill>
                    <a:blip r:embed="rId21"/>
                    <a:stretch>
                      <a:fillRect/>
                    </a:stretch>
                  </pic:blipFill>
                  <pic:spPr>
                    <a:xfrm>
                      <a:off x="0" y="0"/>
                      <a:ext cx="7562850" cy="2633980"/>
                    </a:xfrm>
                    <a:prstGeom prst="rect">
                      <a:avLst/>
                    </a:prstGeom>
                    <a:noFill/>
                    <a:ln>
                      <a:noFill/>
                    </a:ln>
                  </pic:spPr>
                </pic:pic>
              </a:graphicData>
            </a:graphic>
          </wp:anchor>
        </w:drawing>
      </w:r>
      <w:r>
        <w:rPr>
          <w:color w:val="auto"/>
          <w:sz w:val="24"/>
          <w:szCs w:val="24"/>
          <w:highlight w:val="none"/>
        </w:rPr>
        <w:br w:type="page"/>
      </w:r>
      <w:r>
        <w:rPr>
          <w:rFonts w:hint="eastAsia" w:ascii="宋体" w:hAnsi="宋体"/>
          <w:b/>
          <w:color w:val="auto"/>
          <w:sz w:val="24"/>
          <w:highlight w:val="none"/>
        </w:rPr>
        <w:t>第一部分</w:t>
      </w:r>
      <w:r>
        <w:rPr>
          <w:rFonts w:ascii="宋体" w:hAnsi="宋体"/>
          <w:b/>
          <w:color w:val="auto"/>
          <w:sz w:val="24"/>
          <w:highlight w:val="none"/>
        </w:rPr>
        <w:t xml:space="preserve">   </w:t>
      </w:r>
      <w:r>
        <w:rPr>
          <w:rFonts w:hint="eastAsia" w:ascii="宋体" w:hAnsi="宋体"/>
          <w:b/>
          <w:color w:val="auto"/>
          <w:sz w:val="24"/>
          <w:highlight w:val="none"/>
        </w:rPr>
        <w:t>协议书</w:t>
      </w:r>
    </w:p>
    <w:p>
      <w:pPr>
        <w:snapToGrid w:val="0"/>
        <w:spacing w:line="440" w:lineRule="exact"/>
        <w:ind w:firstLine="480"/>
        <w:rPr>
          <w:rFonts w:ascii="宋体" w:hAnsi="宋体"/>
          <w:color w:val="auto"/>
          <w:sz w:val="24"/>
          <w:highlight w:val="none"/>
          <w:u w:val="single"/>
        </w:rPr>
      </w:pPr>
      <w:r>
        <w:rPr>
          <w:rFonts w:hint="eastAsia" w:ascii="宋体" w:hAnsi="宋体"/>
          <w:color w:val="auto"/>
          <w:sz w:val="24"/>
          <w:highlight w:val="none"/>
        </w:rPr>
        <w:t>发包人（甲方）：</w:t>
      </w:r>
      <w:r>
        <w:rPr>
          <w:rFonts w:ascii="宋体" w:hAnsi="宋体"/>
          <w:color w:val="auto"/>
          <w:sz w:val="24"/>
          <w:highlight w:val="none"/>
          <w:u w:val="single"/>
        </w:rPr>
        <w:t xml:space="preserve">                             </w:t>
      </w:r>
      <w:r>
        <w:rPr>
          <w:rFonts w:hint="eastAsia" w:ascii="宋体" w:hAnsi="宋体"/>
          <w:color w:val="auto"/>
          <w:sz w:val="24"/>
          <w:highlight w:val="none"/>
        </w:rPr>
        <w:t>。</w:t>
      </w:r>
    </w:p>
    <w:p>
      <w:pPr>
        <w:snapToGrid w:val="0"/>
        <w:spacing w:line="440" w:lineRule="exact"/>
        <w:ind w:firstLine="480"/>
        <w:rPr>
          <w:rFonts w:ascii="宋体" w:hAnsi="宋体"/>
          <w:color w:val="auto"/>
          <w:sz w:val="24"/>
          <w:highlight w:val="none"/>
          <w:u w:val="single"/>
        </w:rPr>
      </w:pPr>
      <w:r>
        <w:rPr>
          <w:rFonts w:hint="eastAsia" w:ascii="宋体" w:hAnsi="宋体"/>
          <w:color w:val="auto"/>
          <w:sz w:val="24"/>
          <w:highlight w:val="none"/>
        </w:rPr>
        <w:t>承包人（乙方）：</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w:t>
      </w:r>
    </w:p>
    <w:p>
      <w:pPr>
        <w:snapToGrid w:val="0"/>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依照《中华人民共和国民法典》、《中华人民共和国建筑法》及其他有关法律、行政法规，遵循平等、自愿、公平和诚实信用的原则，双方就本建设工程施工事项协商一致，订立本合同。</w:t>
      </w:r>
    </w:p>
    <w:p>
      <w:pPr>
        <w:snapToGrid w:val="0"/>
        <w:spacing w:line="440" w:lineRule="exact"/>
        <w:ind w:firstLine="482" w:firstLineChars="200"/>
        <w:rPr>
          <w:rFonts w:ascii="宋体" w:hAnsi="宋体"/>
          <w:b/>
          <w:bCs/>
          <w:color w:val="auto"/>
          <w:sz w:val="24"/>
          <w:highlight w:val="none"/>
        </w:rPr>
      </w:pPr>
      <w:r>
        <w:rPr>
          <w:rFonts w:hint="eastAsia" w:ascii="宋体" w:hAnsi="宋体"/>
          <w:b/>
          <w:bCs/>
          <w:color w:val="auto"/>
          <w:sz w:val="24"/>
          <w:highlight w:val="none"/>
        </w:rPr>
        <w:t>一、工程概况</w:t>
      </w:r>
    </w:p>
    <w:p>
      <w:pPr>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工程名称：</w:t>
      </w:r>
      <w:r>
        <w:rPr>
          <w:rFonts w:ascii="宋体" w:hAnsi="宋体"/>
          <w:bCs/>
          <w:color w:val="auto"/>
          <w:sz w:val="24"/>
          <w:highlight w:val="none"/>
          <w:u w:val="single"/>
        </w:rPr>
        <w:t xml:space="preserve">                            </w:t>
      </w:r>
      <w:r>
        <w:rPr>
          <w:rFonts w:hint="eastAsia" w:ascii="宋体" w:hAnsi="宋体"/>
          <w:bCs/>
          <w:color w:val="auto"/>
          <w:sz w:val="24"/>
          <w:highlight w:val="none"/>
        </w:rPr>
        <w:t>。</w:t>
      </w:r>
    </w:p>
    <w:p>
      <w:pPr>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工程地点：</w:t>
      </w:r>
      <w:r>
        <w:rPr>
          <w:rFonts w:ascii="宋体" w:hAnsi="宋体"/>
          <w:bCs/>
          <w:color w:val="auto"/>
          <w:sz w:val="24"/>
          <w:highlight w:val="none"/>
          <w:u w:val="single"/>
        </w:rPr>
        <w:t xml:space="preserve">                            </w:t>
      </w:r>
      <w:r>
        <w:rPr>
          <w:rFonts w:hint="eastAsia" w:ascii="宋体" w:hAnsi="宋体"/>
          <w:bCs/>
          <w:color w:val="auto"/>
          <w:sz w:val="24"/>
          <w:highlight w:val="none"/>
        </w:rPr>
        <w:t>。</w:t>
      </w:r>
    </w:p>
    <w:p>
      <w:pPr>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工程内容：</w:t>
      </w:r>
      <w:r>
        <w:rPr>
          <w:rFonts w:ascii="宋体" w:hAnsi="宋体"/>
          <w:color w:val="auto"/>
          <w:sz w:val="24"/>
          <w:highlight w:val="none"/>
          <w:u w:val="single"/>
        </w:rPr>
        <w:t xml:space="preserve">                    </w:t>
      </w:r>
      <w:r>
        <w:rPr>
          <w:rFonts w:hint="eastAsia" w:ascii="宋体" w:hAnsi="宋体"/>
          <w:color w:val="auto"/>
          <w:sz w:val="24"/>
          <w:highlight w:val="none"/>
        </w:rPr>
        <w:t>。具体内容以施工图纸及工程量清单为准。</w:t>
      </w:r>
    </w:p>
    <w:p>
      <w:pPr>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u w:val="single"/>
        </w:rPr>
        <w:t>建设业主有权根据工程实施情况，对承包人的承包范围和承包工程量进行适当调整</w:t>
      </w:r>
      <w:r>
        <w:rPr>
          <w:rFonts w:hint="eastAsia" w:ascii="宋体" w:hAnsi="宋体"/>
          <w:color w:val="auto"/>
          <w:sz w:val="24"/>
          <w:highlight w:val="none"/>
        </w:rPr>
        <w:t>。</w:t>
      </w:r>
    </w:p>
    <w:p>
      <w:pPr>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工程立项批准文号：</w:t>
      </w:r>
      <w:r>
        <w:rPr>
          <w:rFonts w:ascii="宋体" w:hAnsi="宋体"/>
          <w:color w:val="auto"/>
          <w:sz w:val="24"/>
          <w:highlight w:val="none"/>
          <w:u w:val="single"/>
        </w:rPr>
        <w:t xml:space="preserve">             </w:t>
      </w:r>
      <w:r>
        <w:rPr>
          <w:rFonts w:hint="eastAsia" w:ascii="宋体" w:hAnsi="宋体"/>
          <w:color w:val="auto"/>
          <w:sz w:val="24"/>
          <w:highlight w:val="none"/>
        </w:rPr>
        <w:t>。</w:t>
      </w:r>
    </w:p>
    <w:p>
      <w:pPr>
        <w:snapToGrid w:val="0"/>
        <w:spacing w:line="440" w:lineRule="exact"/>
        <w:ind w:firstLine="480"/>
        <w:jc w:val="left"/>
        <w:rPr>
          <w:rFonts w:ascii="宋体" w:hAnsi="宋体"/>
          <w:color w:val="auto"/>
          <w:sz w:val="24"/>
          <w:highlight w:val="none"/>
          <w:u w:val="single"/>
        </w:rPr>
      </w:pPr>
      <w:r>
        <w:rPr>
          <w:rFonts w:hint="eastAsia" w:ascii="宋体" w:hAnsi="宋体"/>
          <w:color w:val="auto"/>
          <w:sz w:val="24"/>
          <w:highlight w:val="none"/>
        </w:rPr>
        <w:t>资金来源：</w:t>
      </w:r>
      <w:r>
        <w:rPr>
          <w:rFonts w:hint="eastAsia" w:ascii="宋体" w:hAnsi="宋体"/>
          <w:color w:val="auto"/>
          <w:sz w:val="24"/>
          <w:highlight w:val="none"/>
          <w:u w:val="single"/>
        </w:rPr>
        <w:t>财政投资</w:t>
      </w:r>
      <w:r>
        <w:rPr>
          <w:rFonts w:hint="eastAsia" w:ascii="宋体" w:hAnsi="宋体"/>
          <w:color w:val="auto"/>
          <w:sz w:val="24"/>
          <w:highlight w:val="none"/>
        </w:rPr>
        <w:t>。</w:t>
      </w:r>
    </w:p>
    <w:p>
      <w:pPr>
        <w:snapToGrid w:val="0"/>
        <w:spacing w:line="440" w:lineRule="exact"/>
        <w:ind w:firstLine="482" w:firstLineChars="200"/>
        <w:rPr>
          <w:rFonts w:ascii="宋体" w:hAnsi="宋体"/>
          <w:b/>
          <w:bCs/>
          <w:color w:val="auto"/>
          <w:sz w:val="24"/>
          <w:highlight w:val="none"/>
        </w:rPr>
      </w:pPr>
      <w:r>
        <w:rPr>
          <w:rFonts w:hint="eastAsia" w:ascii="宋体" w:hAnsi="宋体"/>
          <w:b/>
          <w:bCs/>
          <w:color w:val="auto"/>
          <w:sz w:val="24"/>
          <w:highlight w:val="none"/>
        </w:rPr>
        <w:t>二、工程承包范围及承包方式</w:t>
      </w:r>
    </w:p>
    <w:p>
      <w:pPr>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（一）承包范围：</w:t>
      </w:r>
      <w:r>
        <w:rPr>
          <w:rFonts w:hint="eastAsia" w:ascii="宋体" w:hAnsi="宋体"/>
          <w:color w:val="auto"/>
          <w:sz w:val="24"/>
          <w:highlight w:val="none"/>
          <w:u w:val="single"/>
        </w:rPr>
        <w:t>按发包人确认的施工图纸、图纸会审纪录和有关变更文件、资料、招标文件、承包人投标文件以及双方签订的有关协议所包含的内容</w:t>
      </w:r>
      <w:r>
        <w:rPr>
          <w:rFonts w:hint="eastAsia" w:ascii="宋体" w:hAnsi="宋体"/>
          <w:color w:val="auto"/>
          <w:sz w:val="24"/>
          <w:highlight w:val="none"/>
        </w:rPr>
        <w:t>。</w:t>
      </w:r>
    </w:p>
    <w:p>
      <w:pPr>
        <w:snapToGrid w:val="0"/>
        <w:spacing w:line="440" w:lineRule="exact"/>
        <w:ind w:firstLine="480" w:firstLineChars="200"/>
        <w:rPr>
          <w:rFonts w:ascii="宋体" w:hAnsi="宋体"/>
          <w:color w:val="auto"/>
          <w:sz w:val="24"/>
          <w:highlight w:val="none"/>
          <w:u w:val="single"/>
        </w:rPr>
      </w:pPr>
      <w:r>
        <w:rPr>
          <w:rFonts w:hint="eastAsia" w:ascii="宋体" w:hAnsi="宋体"/>
          <w:color w:val="auto"/>
          <w:sz w:val="24"/>
          <w:highlight w:val="none"/>
        </w:rPr>
        <w:t>（二）承包方式：</w:t>
      </w:r>
      <w:r>
        <w:rPr>
          <w:rFonts w:ascii="宋体" w:hAnsi="宋体"/>
          <w:color w:val="auto"/>
          <w:sz w:val="24"/>
          <w:highlight w:val="none"/>
          <w:u w:val="single"/>
        </w:rPr>
        <w:t>包工、包料、包工期、包质量、包安全、包文</w:t>
      </w:r>
      <w:r>
        <w:rPr>
          <w:rFonts w:hint="eastAsia" w:ascii="宋体" w:hAnsi="宋体"/>
          <w:color w:val="auto"/>
          <w:sz w:val="24"/>
          <w:highlight w:val="none"/>
          <w:u w:val="single"/>
        </w:rPr>
        <w:t>明施工、包验收、包保修、综合单价包干，</w:t>
      </w:r>
      <w:r>
        <w:rPr>
          <w:rFonts w:ascii="宋体" w:hAnsi="宋体"/>
          <w:color w:val="auto"/>
          <w:sz w:val="24"/>
          <w:szCs w:val="24"/>
          <w:highlight w:val="none"/>
          <w:u w:val="single"/>
        </w:rPr>
        <w:t>措施项目费（除施工围蔽费用外）包干，施工围蔽清单综合单价包干，工程量按实计量</w:t>
      </w:r>
      <w:r>
        <w:rPr>
          <w:rFonts w:hint="eastAsia" w:ascii="宋体" w:hAnsi="宋体"/>
          <w:color w:val="auto"/>
          <w:sz w:val="24"/>
          <w:highlight w:val="none"/>
        </w:rPr>
        <w:t>。</w:t>
      </w:r>
    </w:p>
    <w:p>
      <w:pPr>
        <w:snapToGrid w:val="0"/>
        <w:spacing w:line="440" w:lineRule="exact"/>
        <w:ind w:firstLine="482" w:firstLineChars="200"/>
        <w:rPr>
          <w:rFonts w:ascii="宋体" w:hAnsi="宋体"/>
          <w:b/>
          <w:bCs/>
          <w:color w:val="auto"/>
          <w:sz w:val="24"/>
          <w:highlight w:val="none"/>
          <w:u w:val="single"/>
        </w:rPr>
      </w:pPr>
      <w:r>
        <w:rPr>
          <w:rFonts w:hint="eastAsia" w:ascii="宋体" w:hAnsi="宋体"/>
          <w:b/>
          <w:bCs/>
          <w:color w:val="auto"/>
          <w:sz w:val="24"/>
          <w:highlight w:val="none"/>
        </w:rPr>
        <w:t>三、合同工期</w:t>
      </w:r>
    </w:p>
    <w:p>
      <w:pPr>
        <w:snapToGrid w:val="0"/>
        <w:spacing w:line="440" w:lineRule="exact"/>
        <w:ind w:left="480"/>
        <w:rPr>
          <w:rFonts w:ascii="宋体" w:hAnsi="宋体"/>
          <w:color w:val="auto"/>
          <w:sz w:val="24"/>
          <w:highlight w:val="none"/>
          <w:u w:val="single"/>
        </w:rPr>
      </w:pPr>
      <w:r>
        <w:rPr>
          <w:rFonts w:hint="eastAsia" w:ascii="宋体" w:hAnsi="宋体"/>
          <w:color w:val="auto"/>
          <w:sz w:val="24"/>
          <w:highlight w:val="none"/>
        </w:rPr>
        <w:t>暂定开工日期：</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p>
    <w:p>
      <w:pPr>
        <w:snapToGrid w:val="0"/>
        <w:spacing w:line="440" w:lineRule="exact"/>
        <w:ind w:left="480"/>
        <w:rPr>
          <w:rFonts w:ascii="宋体" w:hAnsi="宋体"/>
          <w:color w:val="auto"/>
          <w:sz w:val="24"/>
          <w:highlight w:val="none"/>
          <w:u w:val="single"/>
        </w:rPr>
      </w:pPr>
      <w:r>
        <w:rPr>
          <w:rFonts w:hint="eastAsia" w:ascii="宋体" w:hAnsi="宋体"/>
          <w:color w:val="auto"/>
          <w:sz w:val="24"/>
          <w:highlight w:val="none"/>
        </w:rPr>
        <w:t>暂定竣工日期：</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p>
    <w:p>
      <w:pPr>
        <w:snapToGrid w:val="0"/>
        <w:spacing w:line="440" w:lineRule="exact"/>
        <w:ind w:left="480"/>
        <w:rPr>
          <w:rFonts w:ascii="宋体" w:hAnsi="宋体"/>
          <w:color w:val="auto"/>
          <w:sz w:val="24"/>
          <w:highlight w:val="none"/>
        </w:rPr>
      </w:pPr>
      <w:r>
        <w:rPr>
          <w:rFonts w:hint="eastAsia" w:ascii="宋体" w:hAnsi="宋体"/>
          <w:color w:val="auto"/>
          <w:sz w:val="24"/>
          <w:highlight w:val="none"/>
        </w:rPr>
        <w:t>合同工期为</w:t>
      </w:r>
      <w:r>
        <w:rPr>
          <w:rFonts w:ascii="宋体" w:hAnsi="宋体"/>
          <w:color w:val="auto"/>
          <w:sz w:val="24"/>
          <w:highlight w:val="none"/>
          <w:u w:val="single"/>
        </w:rPr>
        <w:t xml:space="preserve">     </w:t>
      </w:r>
      <w:r>
        <w:rPr>
          <w:rFonts w:hint="eastAsia" w:ascii="宋体" w:hAnsi="宋体"/>
          <w:color w:val="auto"/>
          <w:sz w:val="24"/>
          <w:highlight w:val="none"/>
        </w:rPr>
        <w:t>日历天。实际开工日期以批准的开工报告为准。</w:t>
      </w:r>
    </w:p>
    <w:p>
      <w:pPr>
        <w:snapToGrid w:val="0"/>
        <w:spacing w:line="440" w:lineRule="exact"/>
        <w:ind w:firstLine="482" w:firstLineChars="200"/>
        <w:rPr>
          <w:rFonts w:ascii="宋体" w:hAnsi="宋体"/>
          <w:b/>
          <w:bCs/>
          <w:color w:val="auto"/>
          <w:sz w:val="24"/>
          <w:highlight w:val="none"/>
        </w:rPr>
      </w:pPr>
      <w:r>
        <w:rPr>
          <w:rFonts w:hint="eastAsia" w:ascii="宋体" w:hAnsi="宋体"/>
          <w:b/>
          <w:bCs/>
          <w:color w:val="auto"/>
          <w:sz w:val="24"/>
          <w:highlight w:val="none"/>
        </w:rPr>
        <w:t>四、质量标准</w:t>
      </w:r>
    </w:p>
    <w:p>
      <w:pPr>
        <w:snapToGrid w:val="0"/>
        <w:spacing w:line="400" w:lineRule="exact"/>
        <w:ind w:firstLine="480" w:firstLineChars="200"/>
        <w:rPr>
          <w:rFonts w:hint="eastAsia" w:ascii="宋体" w:hAnsi="宋体"/>
          <w:color w:val="auto"/>
          <w:kern w:val="0"/>
          <w:sz w:val="24"/>
          <w:szCs w:val="20"/>
          <w:highlight w:val="none"/>
        </w:rPr>
      </w:pPr>
      <w:r>
        <w:rPr>
          <w:rFonts w:hint="eastAsia" w:ascii="宋体" w:hAnsi="宋体"/>
          <w:color w:val="auto"/>
          <w:kern w:val="0"/>
          <w:sz w:val="24"/>
          <w:szCs w:val="20"/>
          <w:highlight w:val="none"/>
        </w:rPr>
        <w:t>施工要求：符合设计图纸要求和国家、省、市相关法律法规规定要求及行业工程质量标准，</w:t>
      </w:r>
      <w:r>
        <w:rPr>
          <w:rFonts w:hint="eastAsia" w:ascii="宋体" w:hAnsi="宋体"/>
          <w:color w:val="auto"/>
          <w:kern w:val="0"/>
          <w:sz w:val="24"/>
          <w:szCs w:val="20"/>
          <w:highlight w:val="none"/>
          <w:u w:val="single"/>
        </w:rPr>
        <w:t>且达到投标承诺的       标准</w:t>
      </w:r>
      <w:r>
        <w:rPr>
          <w:rFonts w:hint="eastAsia" w:ascii="宋体" w:hAnsi="宋体"/>
          <w:color w:val="auto"/>
          <w:kern w:val="0"/>
          <w:sz w:val="24"/>
          <w:szCs w:val="20"/>
          <w:highlight w:val="none"/>
        </w:rPr>
        <w:t>。</w:t>
      </w:r>
    </w:p>
    <w:p>
      <w:pPr>
        <w:spacing w:line="400" w:lineRule="exact"/>
        <w:ind w:firstLine="480" w:firstLineChars="200"/>
        <w:rPr>
          <w:rFonts w:ascii="宋体" w:hAnsi="宋体"/>
          <w:color w:val="auto"/>
          <w:kern w:val="0"/>
          <w:sz w:val="24"/>
          <w:szCs w:val="20"/>
          <w:highlight w:val="none"/>
          <w:u w:val="single"/>
        </w:rPr>
      </w:pPr>
      <w:r>
        <w:rPr>
          <w:rFonts w:hint="eastAsia" w:ascii="宋体" w:hAnsi="宋体"/>
          <w:color w:val="auto"/>
          <w:kern w:val="0"/>
          <w:sz w:val="24"/>
          <w:szCs w:val="20"/>
          <w:highlight w:val="none"/>
        </w:rPr>
        <w:t>工程质量标准：合格，</w:t>
      </w:r>
      <w:r>
        <w:rPr>
          <w:rFonts w:hint="eastAsia" w:ascii="宋体" w:hAnsi="宋体"/>
          <w:color w:val="auto"/>
          <w:kern w:val="0"/>
          <w:sz w:val="24"/>
          <w:szCs w:val="20"/>
          <w:highlight w:val="none"/>
          <w:u w:val="single"/>
        </w:rPr>
        <w:t>且达到投标承诺的    标准。</w:t>
      </w:r>
    </w:p>
    <w:p>
      <w:pPr>
        <w:snapToGrid w:val="0"/>
        <w:spacing w:line="440" w:lineRule="exact"/>
        <w:ind w:firstLine="482" w:firstLineChars="200"/>
        <w:rPr>
          <w:rFonts w:ascii="宋体" w:hAnsi="宋体"/>
          <w:b/>
          <w:bCs/>
          <w:color w:val="auto"/>
          <w:sz w:val="24"/>
          <w:highlight w:val="none"/>
        </w:rPr>
      </w:pPr>
      <w:r>
        <w:rPr>
          <w:rFonts w:hint="eastAsia" w:ascii="宋体" w:hAnsi="宋体"/>
          <w:b/>
          <w:bCs/>
          <w:color w:val="auto"/>
          <w:sz w:val="24"/>
          <w:highlight w:val="none"/>
        </w:rPr>
        <w:t>五、合同价款</w:t>
      </w:r>
    </w:p>
    <w:p>
      <w:pPr>
        <w:spacing w:line="440" w:lineRule="exact"/>
        <w:ind w:firstLine="480" w:firstLineChars="200"/>
        <w:rPr>
          <w:rFonts w:ascii="宋体" w:hAnsi="宋体"/>
          <w:bCs/>
          <w:snapToGrid w:val="0"/>
          <w:color w:val="auto"/>
          <w:kern w:val="0"/>
          <w:sz w:val="24"/>
          <w:highlight w:val="none"/>
        </w:rPr>
      </w:pPr>
      <w:r>
        <w:rPr>
          <w:rFonts w:hint="eastAsia" w:ascii="宋体" w:hAnsi="宋体"/>
          <w:bCs/>
          <w:snapToGrid w:val="0"/>
          <w:color w:val="auto"/>
          <w:kern w:val="0"/>
          <w:sz w:val="24"/>
          <w:highlight w:val="none"/>
        </w:rPr>
        <w:t>合同价款暂定为￥</w:t>
      </w:r>
      <w:r>
        <w:rPr>
          <w:rFonts w:ascii="宋体" w:hAnsi="宋体"/>
          <w:bCs/>
          <w:snapToGrid w:val="0"/>
          <w:color w:val="auto"/>
          <w:kern w:val="0"/>
          <w:sz w:val="24"/>
          <w:highlight w:val="none"/>
          <w:u w:val="single"/>
        </w:rPr>
        <w:t xml:space="preserve">             </w:t>
      </w:r>
      <w:r>
        <w:rPr>
          <w:rFonts w:hint="eastAsia" w:ascii="宋体" w:hAnsi="宋体"/>
          <w:bCs/>
          <w:snapToGrid w:val="0"/>
          <w:color w:val="auto"/>
          <w:kern w:val="0"/>
          <w:sz w:val="24"/>
          <w:highlight w:val="none"/>
        </w:rPr>
        <w:t>元（大写：人民币</w:t>
      </w:r>
      <w:r>
        <w:rPr>
          <w:rFonts w:ascii="宋体" w:hAnsi="宋体"/>
          <w:bCs/>
          <w:snapToGrid w:val="0"/>
          <w:color w:val="auto"/>
          <w:kern w:val="0"/>
          <w:sz w:val="24"/>
          <w:highlight w:val="none"/>
          <w:u w:val="single"/>
        </w:rPr>
        <w:t xml:space="preserve">             </w:t>
      </w:r>
      <w:r>
        <w:rPr>
          <w:rFonts w:hint="eastAsia" w:ascii="宋体" w:hAnsi="宋体"/>
          <w:bCs/>
          <w:snapToGrid w:val="0"/>
          <w:color w:val="auto"/>
          <w:kern w:val="0"/>
          <w:sz w:val="24"/>
          <w:highlight w:val="none"/>
        </w:rPr>
        <w:t>），其中绿色施工安全防护措施费为</w:t>
      </w:r>
      <w:r>
        <w:rPr>
          <w:rFonts w:hint="eastAsia" w:ascii="宋体" w:hAnsi="宋体"/>
          <w:bCs/>
          <w:snapToGrid w:val="0"/>
          <w:color w:val="auto"/>
          <w:kern w:val="0"/>
          <w:sz w:val="24"/>
          <w:highlight w:val="none"/>
          <w:u w:val="single"/>
        </w:rPr>
        <w:t xml:space="preserve">        </w:t>
      </w:r>
      <w:r>
        <w:rPr>
          <w:rFonts w:hint="eastAsia" w:ascii="宋体" w:hAnsi="宋体"/>
          <w:bCs/>
          <w:snapToGrid w:val="0"/>
          <w:color w:val="auto"/>
          <w:kern w:val="0"/>
          <w:sz w:val="24"/>
          <w:highlight w:val="none"/>
        </w:rPr>
        <w:t>元、暂列金额为</w:t>
      </w:r>
      <w:r>
        <w:rPr>
          <w:rFonts w:hint="eastAsia" w:ascii="宋体" w:hAnsi="宋体"/>
          <w:bCs/>
          <w:snapToGrid w:val="0"/>
          <w:color w:val="auto"/>
          <w:kern w:val="0"/>
          <w:sz w:val="24"/>
          <w:highlight w:val="none"/>
          <w:u w:val="single"/>
        </w:rPr>
        <w:t xml:space="preserve">       </w:t>
      </w:r>
      <w:r>
        <w:rPr>
          <w:rFonts w:hint="eastAsia" w:ascii="宋体" w:hAnsi="宋体"/>
          <w:bCs/>
          <w:snapToGrid w:val="0"/>
          <w:color w:val="auto"/>
          <w:kern w:val="0"/>
          <w:sz w:val="24"/>
          <w:highlight w:val="none"/>
        </w:rPr>
        <w:t>元，人工费     元，工人工资比例为</w:t>
      </w:r>
      <w:r>
        <w:rPr>
          <w:rFonts w:hint="eastAsia" w:ascii="宋体" w:hAnsi="宋体"/>
          <w:bCs/>
          <w:snapToGrid w:val="0"/>
          <w:color w:val="auto"/>
          <w:kern w:val="0"/>
          <w:sz w:val="24"/>
          <w:highlight w:val="none"/>
          <w:u w:val="single"/>
        </w:rPr>
        <w:t xml:space="preserve">      </w:t>
      </w:r>
      <w:r>
        <w:rPr>
          <w:rFonts w:hint="eastAsia" w:ascii="宋体" w:hAnsi="宋体"/>
          <w:bCs/>
          <w:snapToGrid w:val="0"/>
          <w:color w:val="auto"/>
          <w:kern w:val="0"/>
          <w:sz w:val="24"/>
          <w:highlight w:val="none"/>
        </w:rPr>
        <w:t>。</w:t>
      </w:r>
    </w:p>
    <w:p>
      <w:pPr>
        <w:spacing w:line="440" w:lineRule="exact"/>
        <w:ind w:firstLine="480" w:firstLineChars="200"/>
        <w:rPr>
          <w:rFonts w:ascii="宋体" w:hAnsi="宋体"/>
          <w:bCs/>
          <w:snapToGrid w:val="0"/>
          <w:color w:val="auto"/>
          <w:kern w:val="0"/>
          <w:sz w:val="24"/>
          <w:highlight w:val="none"/>
        </w:rPr>
      </w:pPr>
      <w:r>
        <w:rPr>
          <w:rFonts w:hint="eastAsia" w:ascii="宋体" w:hAnsi="宋体"/>
          <w:bCs/>
          <w:snapToGrid w:val="0"/>
          <w:color w:val="auto"/>
          <w:kern w:val="0"/>
          <w:sz w:val="24"/>
          <w:highlight w:val="none"/>
          <w:u w:val="single"/>
        </w:rPr>
        <w:t>工程结算价款以广州开发区财政局审定结算为准</w:t>
      </w:r>
      <w:r>
        <w:rPr>
          <w:rFonts w:hint="eastAsia" w:ascii="宋体" w:hAnsi="宋体"/>
          <w:bCs/>
          <w:snapToGrid w:val="0"/>
          <w:color w:val="auto"/>
          <w:kern w:val="0"/>
          <w:sz w:val="24"/>
          <w:highlight w:val="none"/>
        </w:rPr>
        <w:t>。</w:t>
      </w:r>
      <w:r>
        <w:rPr>
          <w:rFonts w:hint="eastAsia" w:ascii="宋体" w:hAnsi="宋体"/>
          <w:bCs/>
          <w:snapToGrid w:val="0"/>
          <w:color w:val="auto"/>
          <w:kern w:val="0"/>
          <w:sz w:val="24"/>
          <w:szCs w:val="24"/>
          <w:highlight w:val="none"/>
        </w:rPr>
        <w:t>如遇审计部门审计发现本合同结算价款存在超付的情形，发包人有权据实要求承包人返还该部分款项。</w:t>
      </w:r>
    </w:p>
    <w:p>
      <w:pPr>
        <w:snapToGrid w:val="0"/>
        <w:spacing w:line="440" w:lineRule="exact"/>
        <w:ind w:firstLine="482" w:firstLineChars="200"/>
        <w:rPr>
          <w:rFonts w:ascii="宋体" w:hAnsi="宋体"/>
          <w:b/>
          <w:bCs/>
          <w:color w:val="auto"/>
          <w:sz w:val="24"/>
          <w:highlight w:val="none"/>
        </w:rPr>
      </w:pPr>
      <w:r>
        <w:rPr>
          <w:rFonts w:hint="eastAsia" w:ascii="宋体" w:hAnsi="宋体"/>
          <w:b/>
          <w:bCs/>
          <w:color w:val="auto"/>
          <w:sz w:val="24"/>
          <w:highlight w:val="none"/>
        </w:rPr>
        <w:t>六、组成合同的文件</w:t>
      </w:r>
    </w:p>
    <w:p>
      <w:pPr>
        <w:spacing w:line="440" w:lineRule="exact"/>
        <w:ind w:firstLine="444" w:firstLineChars="185"/>
        <w:rPr>
          <w:rFonts w:ascii="宋体" w:hAnsi="宋体"/>
          <w:color w:val="auto"/>
          <w:sz w:val="24"/>
          <w:highlight w:val="none"/>
        </w:rPr>
      </w:pPr>
      <w:r>
        <w:rPr>
          <w:rFonts w:hint="eastAsia" w:ascii="宋体" w:hAnsi="宋体"/>
          <w:color w:val="auto"/>
          <w:sz w:val="24"/>
          <w:highlight w:val="none"/>
        </w:rPr>
        <w:t>组成本合同的文件包括：</w:t>
      </w:r>
    </w:p>
    <w:p>
      <w:pPr>
        <w:spacing w:line="440" w:lineRule="exact"/>
        <w:ind w:firstLine="444" w:firstLineChars="185"/>
        <w:rPr>
          <w:rFonts w:ascii="宋体" w:hAnsi="宋体"/>
          <w:color w:val="auto"/>
          <w:sz w:val="24"/>
          <w:highlight w:val="none"/>
        </w:rPr>
      </w:pPr>
      <w:r>
        <w:rPr>
          <w:rFonts w:ascii="宋体" w:hAnsi="宋体"/>
          <w:color w:val="auto"/>
          <w:sz w:val="24"/>
          <w:highlight w:val="none"/>
        </w:rPr>
        <w:t>1.本合同履行期间发包人与承包人双方签订的补充合同（协议）或修正文件；</w:t>
      </w:r>
    </w:p>
    <w:p>
      <w:pPr>
        <w:spacing w:line="440" w:lineRule="exact"/>
        <w:ind w:firstLine="444" w:firstLineChars="185"/>
        <w:rPr>
          <w:rFonts w:ascii="宋体" w:hAnsi="宋体"/>
          <w:color w:val="auto"/>
          <w:sz w:val="24"/>
          <w:highlight w:val="none"/>
        </w:rPr>
      </w:pPr>
      <w:r>
        <w:rPr>
          <w:rFonts w:ascii="宋体" w:hAnsi="宋体"/>
          <w:color w:val="auto"/>
          <w:sz w:val="24"/>
          <w:highlight w:val="none"/>
        </w:rPr>
        <w:t>2.本合同协议书</w:t>
      </w:r>
      <w:r>
        <w:rPr>
          <w:rFonts w:hint="eastAsia" w:ascii="宋体" w:hAnsi="宋体"/>
          <w:color w:val="auto"/>
          <w:sz w:val="24"/>
          <w:highlight w:val="none"/>
        </w:rPr>
        <w:t>；</w:t>
      </w:r>
    </w:p>
    <w:p>
      <w:pPr>
        <w:spacing w:line="440" w:lineRule="exact"/>
        <w:ind w:firstLine="444" w:firstLineChars="185"/>
        <w:rPr>
          <w:rFonts w:ascii="宋体" w:hAnsi="宋体"/>
          <w:color w:val="auto"/>
          <w:sz w:val="24"/>
          <w:highlight w:val="none"/>
        </w:rPr>
      </w:pPr>
      <w:r>
        <w:rPr>
          <w:rFonts w:ascii="宋体" w:hAnsi="宋体"/>
          <w:color w:val="auto"/>
          <w:sz w:val="24"/>
          <w:highlight w:val="none"/>
        </w:rPr>
        <w:t>3.国家、广东省、广州市、广州开发区、</w:t>
      </w:r>
      <w:r>
        <w:rPr>
          <w:rFonts w:hint="eastAsia" w:ascii="宋体" w:hAnsi="宋体"/>
          <w:color w:val="auto"/>
          <w:sz w:val="24"/>
          <w:highlight w:val="none"/>
        </w:rPr>
        <w:t>黄埔</w:t>
      </w:r>
      <w:r>
        <w:rPr>
          <w:rFonts w:ascii="宋体" w:hAnsi="宋体"/>
          <w:color w:val="auto"/>
          <w:sz w:val="24"/>
          <w:highlight w:val="none"/>
        </w:rPr>
        <w:t>区关于本工程施工的有关文件（发包人在收到后尽快通报给承包人）；</w:t>
      </w:r>
    </w:p>
    <w:p>
      <w:pPr>
        <w:spacing w:line="440" w:lineRule="exact"/>
        <w:ind w:firstLine="444" w:firstLineChars="185"/>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建设业主</w:t>
      </w:r>
      <w:r>
        <w:rPr>
          <w:rFonts w:ascii="宋体" w:hAnsi="宋体"/>
          <w:color w:val="auto"/>
          <w:sz w:val="24"/>
          <w:highlight w:val="none"/>
        </w:rPr>
        <w:t>针对本工程建设管理的各项制度、规定；</w:t>
      </w:r>
    </w:p>
    <w:p>
      <w:pPr>
        <w:spacing w:line="440" w:lineRule="exact"/>
        <w:ind w:firstLine="444" w:firstLineChars="185"/>
        <w:rPr>
          <w:rFonts w:ascii="宋体" w:hAnsi="宋体"/>
          <w:color w:val="auto"/>
          <w:sz w:val="24"/>
          <w:highlight w:val="none"/>
        </w:rPr>
      </w:pPr>
      <w:r>
        <w:rPr>
          <w:rFonts w:ascii="宋体" w:hAnsi="宋体"/>
          <w:color w:val="auto"/>
          <w:sz w:val="24"/>
          <w:highlight w:val="none"/>
        </w:rPr>
        <w:t>5.中标通知书</w:t>
      </w:r>
      <w:r>
        <w:rPr>
          <w:rFonts w:hint="eastAsia" w:ascii="宋体" w:hAnsi="宋体"/>
          <w:color w:val="auto"/>
          <w:sz w:val="24"/>
          <w:highlight w:val="none"/>
        </w:rPr>
        <w:t>；</w:t>
      </w:r>
    </w:p>
    <w:p>
      <w:pPr>
        <w:spacing w:line="440" w:lineRule="exact"/>
        <w:ind w:firstLine="444" w:firstLineChars="185"/>
        <w:rPr>
          <w:rFonts w:ascii="宋体" w:hAnsi="宋体"/>
          <w:color w:val="auto"/>
          <w:sz w:val="24"/>
          <w:highlight w:val="none"/>
        </w:rPr>
      </w:pPr>
      <w:r>
        <w:rPr>
          <w:rFonts w:ascii="宋体" w:hAnsi="宋体"/>
          <w:color w:val="auto"/>
          <w:sz w:val="24"/>
          <w:highlight w:val="none"/>
        </w:rPr>
        <w:t>6.本合同专用条款</w:t>
      </w:r>
      <w:r>
        <w:rPr>
          <w:rFonts w:hint="eastAsia" w:ascii="宋体" w:hAnsi="宋体"/>
          <w:color w:val="auto"/>
          <w:sz w:val="24"/>
          <w:highlight w:val="none"/>
        </w:rPr>
        <w:t>；</w:t>
      </w:r>
    </w:p>
    <w:p>
      <w:pPr>
        <w:spacing w:line="440" w:lineRule="exact"/>
        <w:ind w:firstLine="444" w:firstLineChars="185"/>
        <w:rPr>
          <w:rFonts w:ascii="宋体" w:hAnsi="宋体"/>
          <w:color w:val="auto"/>
          <w:sz w:val="24"/>
          <w:highlight w:val="none"/>
        </w:rPr>
      </w:pPr>
      <w:r>
        <w:rPr>
          <w:rFonts w:ascii="宋体" w:hAnsi="宋体"/>
          <w:color w:val="auto"/>
          <w:sz w:val="24"/>
          <w:highlight w:val="none"/>
        </w:rPr>
        <w:t>7.招标文件及附件（包括补充、修改、澄清文件及答疑纪要等）</w:t>
      </w:r>
      <w:r>
        <w:rPr>
          <w:rFonts w:hint="eastAsia" w:ascii="宋体" w:hAnsi="宋体"/>
          <w:color w:val="auto"/>
          <w:sz w:val="24"/>
          <w:highlight w:val="none"/>
        </w:rPr>
        <w:t>；</w:t>
      </w:r>
    </w:p>
    <w:p>
      <w:pPr>
        <w:spacing w:line="440" w:lineRule="exact"/>
        <w:ind w:firstLine="444" w:firstLineChars="185"/>
        <w:rPr>
          <w:rFonts w:ascii="宋体" w:hAnsi="宋体"/>
          <w:color w:val="auto"/>
          <w:sz w:val="24"/>
          <w:highlight w:val="none"/>
        </w:rPr>
      </w:pPr>
      <w:r>
        <w:rPr>
          <w:rFonts w:ascii="宋体" w:hAnsi="宋体"/>
          <w:color w:val="auto"/>
          <w:sz w:val="24"/>
          <w:highlight w:val="none"/>
        </w:rPr>
        <w:t>8.本合同通用条款</w:t>
      </w:r>
      <w:r>
        <w:rPr>
          <w:rFonts w:hint="eastAsia" w:ascii="宋体" w:hAnsi="宋体"/>
          <w:color w:val="auto"/>
          <w:sz w:val="24"/>
          <w:highlight w:val="none"/>
        </w:rPr>
        <w:t>；</w:t>
      </w:r>
    </w:p>
    <w:p>
      <w:pPr>
        <w:spacing w:line="440" w:lineRule="exact"/>
        <w:ind w:firstLine="444" w:firstLineChars="185"/>
        <w:rPr>
          <w:rFonts w:ascii="宋体" w:hAnsi="宋体"/>
          <w:color w:val="auto"/>
          <w:sz w:val="24"/>
          <w:highlight w:val="none"/>
        </w:rPr>
      </w:pPr>
      <w:r>
        <w:rPr>
          <w:rFonts w:ascii="宋体" w:hAnsi="宋体"/>
          <w:color w:val="auto"/>
          <w:sz w:val="24"/>
          <w:highlight w:val="none"/>
        </w:rPr>
        <w:t>9.投标文件及附件</w:t>
      </w:r>
      <w:r>
        <w:rPr>
          <w:rFonts w:hint="eastAsia" w:ascii="宋体" w:hAnsi="宋体"/>
          <w:color w:val="auto"/>
          <w:sz w:val="24"/>
          <w:highlight w:val="none"/>
        </w:rPr>
        <w:t>；</w:t>
      </w:r>
    </w:p>
    <w:p>
      <w:pPr>
        <w:spacing w:line="440" w:lineRule="exact"/>
        <w:ind w:firstLine="444" w:firstLineChars="185"/>
        <w:rPr>
          <w:rFonts w:ascii="宋体" w:hAnsi="宋体"/>
          <w:color w:val="auto"/>
          <w:sz w:val="24"/>
          <w:highlight w:val="none"/>
        </w:rPr>
      </w:pPr>
      <w:r>
        <w:rPr>
          <w:rFonts w:ascii="宋体" w:hAnsi="宋体"/>
          <w:color w:val="auto"/>
          <w:sz w:val="24"/>
          <w:highlight w:val="none"/>
        </w:rPr>
        <w:t>10.标准、规范和其他有关技术文件</w:t>
      </w:r>
      <w:r>
        <w:rPr>
          <w:rFonts w:hint="eastAsia" w:ascii="宋体" w:hAnsi="宋体"/>
          <w:color w:val="auto"/>
          <w:sz w:val="24"/>
          <w:highlight w:val="none"/>
        </w:rPr>
        <w:t>；</w:t>
      </w:r>
    </w:p>
    <w:p>
      <w:pPr>
        <w:spacing w:line="440" w:lineRule="exact"/>
        <w:ind w:firstLine="444" w:firstLineChars="185"/>
        <w:rPr>
          <w:rFonts w:ascii="宋体" w:hAnsi="宋体"/>
          <w:color w:val="auto"/>
          <w:sz w:val="24"/>
          <w:highlight w:val="none"/>
        </w:rPr>
      </w:pPr>
      <w:r>
        <w:rPr>
          <w:rFonts w:ascii="宋体" w:hAnsi="宋体"/>
          <w:color w:val="auto"/>
          <w:sz w:val="24"/>
          <w:highlight w:val="none"/>
        </w:rPr>
        <w:t>11.图纸</w:t>
      </w:r>
      <w:r>
        <w:rPr>
          <w:rFonts w:hint="eastAsia" w:ascii="宋体" w:hAnsi="宋体"/>
          <w:color w:val="auto"/>
          <w:sz w:val="24"/>
          <w:highlight w:val="none"/>
        </w:rPr>
        <w:t>；</w:t>
      </w:r>
    </w:p>
    <w:p>
      <w:pPr>
        <w:spacing w:line="440" w:lineRule="exact"/>
        <w:ind w:firstLine="444" w:firstLineChars="185"/>
        <w:rPr>
          <w:rFonts w:ascii="宋体" w:hAnsi="宋体"/>
          <w:color w:val="auto"/>
          <w:sz w:val="24"/>
          <w:highlight w:val="none"/>
        </w:rPr>
      </w:pPr>
      <w:r>
        <w:rPr>
          <w:rFonts w:ascii="宋体" w:hAnsi="宋体"/>
          <w:color w:val="auto"/>
          <w:sz w:val="24"/>
          <w:highlight w:val="none"/>
        </w:rPr>
        <w:t>12.工程量清单</w:t>
      </w:r>
      <w:r>
        <w:rPr>
          <w:rFonts w:hint="eastAsia" w:ascii="宋体" w:hAnsi="宋体"/>
          <w:color w:val="auto"/>
          <w:sz w:val="24"/>
          <w:highlight w:val="none"/>
        </w:rPr>
        <w:t>；</w:t>
      </w:r>
    </w:p>
    <w:p>
      <w:pPr>
        <w:spacing w:line="440" w:lineRule="exact"/>
        <w:ind w:firstLine="444" w:firstLineChars="185"/>
        <w:rPr>
          <w:rFonts w:ascii="宋体" w:hAnsi="宋体"/>
          <w:color w:val="auto"/>
          <w:sz w:val="24"/>
          <w:highlight w:val="none"/>
        </w:rPr>
      </w:pPr>
      <w:r>
        <w:rPr>
          <w:rFonts w:ascii="宋体" w:hAnsi="宋体"/>
          <w:color w:val="auto"/>
          <w:sz w:val="24"/>
          <w:highlight w:val="none"/>
        </w:rPr>
        <w:t>13.合同附件（工程质量保修责任书、</w:t>
      </w:r>
      <w:r>
        <w:rPr>
          <w:rFonts w:hint="eastAsia" w:ascii="宋体" w:hAnsi="宋体"/>
          <w:color w:val="auto"/>
          <w:sz w:val="24"/>
          <w:highlight w:val="none"/>
        </w:rPr>
        <w:t>标函承诺书、项目负责人驻场承诺书、工程建设廉政协议书等）；</w:t>
      </w:r>
    </w:p>
    <w:p>
      <w:pPr>
        <w:snapToGrid w:val="0"/>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双方有关工程的洽商、变更等书面协议或文件视为本合同的组成部分。</w:t>
      </w:r>
    </w:p>
    <w:p>
      <w:pPr>
        <w:snapToGrid w:val="0"/>
        <w:spacing w:line="440" w:lineRule="exact"/>
        <w:ind w:firstLine="482" w:firstLineChars="200"/>
        <w:rPr>
          <w:rFonts w:ascii="宋体" w:hAnsi="宋体"/>
          <w:bCs/>
          <w:color w:val="auto"/>
          <w:sz w:val="24"/>
          <w:highlight w:val="none"/>
        </w:rPr>
      </w:pPr>
      <w:r>
        <w:rPr>
          <w:rFonts w:hint="eastAsia" w:ascii="宋体" w:hAnsi="宋体"/>
          <w:b/>
          <w:bCs/>
          <w:color w:val="auto"/>
          <w:sz w:val="24"/>
          <w:highlight w:val="none"/>
        </w:rPr>
        <w:t>七、协议书中有关词语含义与本合同第二部分《通用条款》中分别赋予它们的定义相同。</w:t>
      </w:r>
    </w:p>
    <w:p>
      <w:pPr>
        <w:snapToGrid w:val="0"/>
        <w:spacing w:line="440" w:lineRule="exact"/>
        <w:ind w:firstLine="482" w:firstLineChars="200"/>
        <w:rPr>
          <w:rFonts w:ascii="宋体" w:hAnsi="宋体"/>
          <w:bCs/>
          <w:color w:val="auto"/>
          <w:sz w:val="24"/>
          <w:highlight w:val="none"/>
        </w:rPr>
      </w:pPr>
      <w:r>
        <w:rPr>
          <w:rFonts w:hint="eastAsia" w:ascii="宋体" w:hAnsi="宋体"/>
          <w:b/>
          <w:bCs/>
          <w:color w:val="auto"/>
          <w:sz w:val="24"/>
          <w:highlight w:val="none"/>
        </w:rPr>
        <w:t>八、承包人向发包人承诺按照合同约定进行施工、竣工并在质量保修期内承担工程质量保修责任。</w:t>
      </w:r>
    </w:p>
    <w:p>
      <w:pPr>
        <w:snapToGrid w:val="0"/>
        <w:spacing w:line="440" w:lineRule="exact"/>
        <w:ind w:firstLine="482" w:firstLineChars="200"/>
        <w:rPr>
          <w:rFonts w:ascii="宋体" w:hAnsi="宋体"/>
          <w:bCs/>
          <w:color w:val="auto"/>
          <w:sz w:val="24"/>
          <w:highlight w:val="none"/>
        </w:rPr>
      </w:pPr>
      <w:r>
        <w:rPr>
          <w:rFonts w:hint="eastAsia" w:ascii="宋体" w:hAnsi="宋体"/>
          <w:b/>
          <w:bCs/>
          <w:color w:val="auto"/>
          <w:sz w:val="24"/>
          <w:highlight w:val="none"/>
        </w:rPr>
        <w:t>九、发包人向承包人承诺按照合同约定的期限和方式支付合同价款及其他应当支付的款项。</w:t>
      </w:r>
    </w:p>
    <w:p>
      <w:pPr>
        <w:snapToGrid w:val="0"/>
        <w:spacing w:line="440" w:lineRule="exact"/>
        <w:ind w:firstLine="482" w:firstLineChars="200"/>
        <w:rPr>
          <w:rFonts w:ascii="宋体" w:hAnsi="宋体"/>
          <w:b/>
          <w:bCs/>
          <w:color w:val="auto"/>
          <w:sz w:val="24"/>
          <w:highlight w:val="none"/>
        </w:rPr>
      </w:pPr>
      <w:r>
        <w:rPr>
          <w:rFonts w:hint="eastAsia" w:ascii="宋体" w:hAnsi="宋体"/>
          <w:b/>
          <w:bCs/>
          <w:color w:val="auto"/>
          <w:sz w:val="24"/>
          <w:highlight w:val="none"/>
        </w:rPr>
        <w:t>十、合同生效</w:t>
      </w:r>
    </w:p>
    <w:p>
      <w:pPr>
        <w:snapToGrid w:val="0"/>
        <w:spacing w:line="440" w:lineRule="exact"/>
        <w:ind w:firstLine="482"/>
        <w:rPr>
          <w:rFonts w:ascii="宋体" w:hAnsi="宋体"/>
          <w:color w:val="auto"/>
          <w:sz w:val="24"/>
          <w:highlight w:val="none"/>
        </w:rPr>
      </w:pPr>
      <w:r>
        <w:rPr>
          <w:rFonts w:hint="eastAsia" w:ascii="宋体" w:hAnsi="宋体"/>
          <w:color w:val="auto"/>
          <w:sz w:val="24"/>
          <w:highlight w:val="none"/>
        </w:rPr>
        <w:t>合同订立时间：</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日</w:t>
      </w:r>
    </w:p>
    <w:p>
      <w:pPr>
        <w:snapToGrid w:val="0"/>
        <w:spacing w:line="440" w:lineRule="exact"/>
        <w:ind w:firstLine="480"/>
        <w:rPr>
          <w:rFonts w:ascii="宋体" w:hAnsi="宋体"/>
          <w:color w:val="auto"/>
          <w:sz w:val="24"/>
          <w:highlight w:val="none"/>
        </w:rPr>
      </w:pPr>
      <w:r>
        <w:rPr>
          <w:rFonts w:hint="eastAsia" w:ascii="宋体" w:hAnsi="宋体"/>
          <w:color w:val="auto"/>
          <w:sz w:val="24"/>
          <w:highlight w:val="none"/>
        </w:rPr>
        <w:t>合同订立地点：</w:t>
      </w:r>
      <w:r>
        <w:rPr>
          <w:rFonts w:hint="eastAsia" w:ascii="宋体" w:hAnsi="宋体"/>
          <w:color w:val="auto"/>
          <w:sz w:val="24"/>
          <w:highlight w:val="none"/>
          <w:u w:val="single"/>
        </w:rPr>
        <w:t>广州市黄埔区</w:t>
      </w:r>
    </w:p>
    <w:p>
      <w:pPr>
        <w:snapToGrid w:val="0"/>
        <w:spacing w:line="440" w:lineRule="exact"/>
        <w:ind w:firstLine="480"/>
        <w:rPr>
          <w:rFonts w:ascii="宋体" w:hAnsi="宋体"/>
          <w:color w:val="auto"/>
          <w:sz w:val="24"/>
          <w:highlight w:val="none"/>
        </w:rPr>
      </w:pPr>
      <w:r>
        <w:rPr>
          <w:rFonts w:hint="eastAsia" w:ascii="宋体" w:hAnsi="宋体"/>
          <w:color w:val="auto"/>
          <w:sz w:val="24"/>
          <w:highlight w:val="none"/>
        </w:rPr>
        <w:t>本合同双方约定：</w:t>
      </w:r>
      <w:r>
        <w:rPr>
          <w:rFonts w:hint="eastAsia" w:ascii="宋体" w:hAnsi="宋体"/>
          <w:color w:val="auto"/>
          <w:sz w:val="24"/>
          <w:highlight w:val="none"/>
          <w:u w:val="single"/>
        </w:rPr>
        <w:t>双方签名、盖章并在承包人提交履约担保</w:t>
      </w:r>
      <w:r>
        <w:rPr>
          <w:rFonts w:hint="eastAsia" w:ascii="宋体" w:hAnsi="宋体"/>
          <w:color w:val="auto"/>
          <w:sz w:val="24"/>
          <w:highlight w:val="none"/>
        </w:rPr>
        <w:t>后生效。</w:t>
      </w:r>
    </w:p>
    <w:p>
      <w:pPr>
        <w:snapToGrid w:val="0"/>
        <w:spacing w:line="440" w:lineRule="exact"/>
        <w:rPr>
          <w:rFonts w:ascii="宋体" w:hAnsi="宋体"/>
          <w:color w:val="auto"/>
          <w:sz w:val="24"/>
          <w:highlight w:val="none"/>
        </w:rPr>
      </w:pPr>
      <w:r>
        <w:rPr>
          <w:rFonts w:ascii="宋体" w:hAnsi="宋体"/>
          <w:color w:val="auto"/>
          <w:sz w:val="24"/>
          <w:highlight w:val="none"/>
        </w:rPr>
        <w:br w:type="page"/>
      </w:r>
    </w:p>
    <w:tbl>
      <w:tblPr>
        <w:tblStyle w:val="48"/>
        <w:tblW w:w="0" w:type="auto"/>
        <w:tblInd w:w="0" w:type="dxa"/>
        <w:tblLayout w:type="fixed"/>
        <w:tblCellMar>
          <w:top w:w="0" w:type="dxa"/>
          <w:left w:w="108" w:type="dxa"/>
          <w:bottom w:w="0" w:type="dxa"/>
          <w:right w:w="108" w:type="dxa"/>
        </w:tblCellMar>
      </w:tblPr>
      <w:tblGrid>
        <w:gridCol w:w="4839"/>
        <w:gridCol w:w="4839"/>
      </w:tblGrid>
      <w:tr>
        <w:tblPrEx>
          <w:tblCellMar>
            <w:top w:w="0" w:type="dxa"/>
            <w:left w:w="108" w:type="dxa"/>
            <w:bottom w:w="0" w:type="dxa"/>
            <w:right w:w="108" w:type="dxa"/>
          </w:tblCellMar>
        </w:tblPrEx>
        <w:trPr>
          <w:trHeight w:val="1134" w:hRule="atLeast"/>
        </w:trPr>
        <w:tc>
          <w:tcPr>
            <w:tcW w:w="4839" w:type="dxa"/>
            <w:noWrap w:val="0"/>
            <w:vAlign w:val="top"/>
          </w:tcPr>
          <w:p>
            <w:pPr>
              <w:snapToGrid w:val="0"/>
              <w:spacing w:line="440" w:lineRule="exact"/>
              <w:rPr>
                <w:rFonts w:ascii="宋体" w:hAnsi="宋体"/>
                <w:color w:val="auto"/>
                <w:sz w:val="24"/>
                <w:highlight w:val="none"/>
              </w:rPr>
            </w:pPr>
            <w:r>
              <w:rPr>
                <w:rFonts w:ascii="宋体" w:hAnsi="宋体"/>
                <w:color w:val="auto"/>
                <w:sz w:val="24"/>
                <w:highlight w:val="none"/>
              </w:rPr>
              <w:t>发包人：（公章）</w:t>
            </w:r>
          </w:p>
        </w:tc>
        <w:tc>
          <w:tcPr>
            <w:tcW w:w="4839" w:type="dxa"/>
            <w:noWrap w:val="0"/>
            <w:vAlign w:val="top"/>
          </w:tcPr>
          <w:p>
            <w:pPr>
              <w:snapToGrid w:val="0"/>
              <w:spacing w:line="440" w:lineRule="exact"/>
              <w:rPr>
                <w:rFonts w:ascii="宋体" w:hAnsi="宋体"/>
                <w:color w:val="auto"/>
                <w:sz w:val="24"/>
                <w:highlight w:val="none"/>
              </w:rPr>
            </w:pPr>
            <w:r>
              <w:rPr>
                <w:rFonts w:ascii="宋体" w:hAnsi="宋体"/>
                <w:color w:val="auto"/>
                <w:sz w:val="24"/>
                <w:highlight w:val="none"/>
              </w:rPr>
              <w:t>承包人：（公章）</w:t>
            </w:r>
          </w:p>
        </w:tc>
      </w:tr>
      <w:tr>
        <w:tblPrEx>
          <w:tblCellMar>
            <w:top w:w="0" w:type="dxa"/>
            <w:left w:w="108" w:type="dxa"/>
            <w:bottom w:w="0" w:type="dxa"/>
            <w:right w:w="108" w:type="dxa"/>
          </w:tblCellMar>
        </w:tblPrEx>
        <w:trPr>
          <w:trHeight w:val="1134" w:hRule="atLeast"/>
        </w:trPr>
        <w:tc>
          <w:tcPr>
            <w:tcW w:w="4839" w:type="dxa"/>
            <w:noWrap w:val="0"/>
            <w:vAlign w:val="top"/>
          </w:tcPr>
          <w:p>
            <w:pPr>
              <w:snapToGrid w:val="0"/>
              <w:spacing w:line="440" w:lineRule="exact"/>
              <w:rPr>
                <w:rFonts w:ascii="宋体" w:hAnsi="宋体"/>
                <w:color w:val="auto"/>
                <w:sz w:val="24"/>
                <w:highlight w:val="none"/>
              </w:rPr>
            </w:pPr>
            <w:r>
              <w:rPr>
                <w:rFonts w:hint="eastAsia" w:ascii="宋体" w:hAnsi="宋体"/>
                <w:color w:val="auto"/>
                <w:sz w:val="24"/>
                <w:highlight w:val="none"/>
              </w:rPr>
              <w:t>住</w:t>
            </w:r>
            <w:r>
              <w:rPr>
                <w:rFonts w:ascii="宋体" w:hAnsi="宋体"/>
                <w:color w:val="auto"/>
                <w:sz w:val="24"/>
                <w:highlight w:val="none"/>
              </w:rPr>
              <w:t xml:space="preserve">  </w:t>
            </w:r>
            <w:r>
              <w:rPr>
                <w:rFonts w:hint="eastAsia" w:ascii="宋体" w:hAnsi="宋体"/>
                <w:color w:val="auto"/>
                <w:sz w:val="24"/>
                <w:highlight w:val="none"/>
              </w:rPr>
              <w:t>所：</w:t>
            </w:r>
          </w:p>
        </w:tc>
        <w:tc>
          <w:tcPr>
            <w:tcW w:w="4839" w:type="dxa"/>
            <w:noWrap w:val="0"/>
            <w:vAlign w:val="top"/>
          </w:tcPr>
          <w:p>
            <w:pPr>
              <w:snapToGrid w:val="0"/>
              <w:spacing w:line="440" w:lineRule="exact"/>
              <w:rPr>
                <w:rFonts w:ascii="宋体" w:hAnsi="宋体"/>
                <w:color w:val="auto"/>
                <w:sz w:val="24"/>
                <w:highlight w:val="none"/>
              </w:rPr>
            </w:pPr>
            <w:r>
              <w:rPr>
                <w:rFonts w:hint="eastAsia" w:ascii="宋体" w:hAnsi="宋体"/>
                <w:color w:val="auto"/>
                <w:sz w:val="24"/>
                <w:highlight w:val="none"/>
              </w:rPr>
              <w:t>住</w:t>
            </w:r>
            <w:r>
              <w:rPr>
                <w:rFonts w:ascii="宋体" w:hAnsi="宋体"/>
                <w:color w:val="auto"/>
                <w:sz w:val="24"/>
                <w:highlight w:val="none"/>
              </w:rPr>
              <w:t xml:space="preserve">  </w:t>
            </w:r>
            <w:r>
              <w:rPr>
                <w:rFonts w:hint="eastAsia" w:ascii="宋体" w:hAnsi="宋体"/>
                <w:color w:val="auto"/>
                <w:sz w:val="24"/>
                <w:highlight w:val="none"/>
              </w:rPr>
              <w:t>所：</w:t>
            </w:r>
          </w:p>
        </w:tc>
      </w:tr>
      <w:tr>
        <w:tblPrEx>
          <w:tblCellMar>
            <w:top w:w="0" w:type="dxa"/>
            <w:left w:w="108" w:type="dxa"/>
            <w:bottom w:w="0" w:type="dxa"/>
            <w:right w:w="108" w:type="dxa"/>
          </w:tblCellMar>
        </w:tblPrEx>
        <w:trPr>
          <w:trHeight w:val="1134" w:hRule="atLeast"/>
        </w:trPr>
        <w:tc>
          <w:tcPr>
            <w:tcW w:w="4839" w:type="dxa"/>
            <w:noWrap w:val="0"/>
            <w:vAlign w:val="top"/>
          </w:tcPr>
          <w:p>
            <w:pPr>
              <w:snapToGrid w:val="0"/>
              <w:spacing w:line="440" w:lineRule="exact"/>
              <w:rPr>
                <w:rFonts w:ascii="宋体" w:hAnsi="宋体"/>
                <w:color w:val="auto"/>
                <w:sz w:val="24"/>
                <w:highlight w:val="none"/>
              </w:rPr>
            </w:pPr>
            <w:r>
              <w:rPr>
                <w:rFonts w:ascii="宋体" w:hAnsi="宋体"/>
                <w:color w:val="auto"/>
                <w:sz w:val="24"/>
                <w:highlight w:val="none"/>
              </w:rPr>
              <w:t>法定代表人：</w:t>
            </w:r>
          </w:p>
        </w:tc>
        <w:tc>
          <w:tcPr>
            <w:tcW w:w="4839" w:type="dxa"/>
            <w:noWrap w:val="0"/>
            <w:vAlign w:val="top"/>
          </w:tcPr>
          <w:p>
            <w:pPr>
              <w:snapToGrid w:val="0"/>
              <w:spacing w:line="440" w:lineRule="exact"/>
              <w:rPr>
                <w:rFonts w:ascii="宋体" w:hAnsi="宋体"/>
                <w:color w:val="auto"/>
                <w:sz w:val="24"/>
                <w:highlight w:val="none"/>
              </w:rPr>
            </w:pPr>
            <w:r>
              <w:rPr>
                <w:rFonts w:ascii="宋体" w:hAnsi="宋体"/>
                <w:color w:val="auto"/>
                <w:sz w:val="24"/>
                <w:highlight w:val="none"/>
              </w:rPr>
              <w:t>法定代表人：</w:t>
            </w:r>
          </w:p>
        </w:tc>
      </w:tr>
      <w:tr>
        <w:tblPrEx>
          <w:tblCellMar>
            <w:top w:w="0" w:type="dxa"/>
            <w:left w:w="108" w:type="dxa"/>
            <w:bottom w:w="0" w:type="dxa"/>
            <w:right w:w="108" w:type="dxa"/>
          </w:tblCellMar>
        </w:tblPrEx>
        <w:trPr>
          <w:trHeight w:val="1134" w:hRule="atLeast"/>
        </w:trPr>
        <w:tc>
          <w:tcPr>
            <w:tcW w:w="4839" w:type="dxa"/>
            <w:noWrap w:val="0"/>
            <w:vAlign w:val="top"/>
          </w:tcPr>
          <w:p>
            <w:pPr>
              <w:snapToGrid w:val="0"/>
              <w:spacing w:line="440" w:lineRule="exact"/>
              <w:rPr>
                <w:rFonts w:ascii="宋体" w:hAnsi="宋体"/>
                <w:color w:val="auto"/>
                <w:sz w:val="24"/>
                <w:highlight w:val="none"/>
              </w:rPr>
            </w:pPr>
            <w:r>
              <w:rPr>
                <w:rFonts w:hint="eastAsia" w:ascii="宋体" w:hAnsi="宋体"/>
                <w:color w:val="auto"/>
                <w:sz w:val="24"/>
                <w:highlight w:val="none"/>
              </w:rPr>
              <w:t>委托代理人：</w:t>
            </w:r>
          </w:p>
        </w:tc>
        <w:tc>
          <w:tcPr>
            <w:tcW w:w="4839" w:type="dxa"/>
            <w:noWrap w:val="0"/>
            <w:vAlign w:val="top"/>
          </w:tcPr>
          <w:p>
            <w:pPr>
              <w:snapToGrid w:val="0"/>
              <w:spacing w:line="440" w:lineRule="exact"/>
              <w:rPr>
                <w:rFonts w:ascii="宋体" w:hAnsi="宋体"/>
                <w:color w:val="auto"/>
                <w:sz w:val="24"/>
                <w:highlight w:val="none"/>
              </w:rPr>
            </w:pPr>
            <w:r>
              <w:rPr>
                <w:rFonts w:hint="eastAsia" w:ascii="宋体" w:hAnsi="宋体"/>
                <w:color w:val="auto"/>
                <w:sz w:val="24"/>
                <w:highlight w:val="none"/>
              </w:rPr>
              <w:t>委托代理人：</w:t>
            </w:r>
          </w:p>
        </w:tc>
      </w:tr>
      <w:tr>
        <w:tblPrEx>
          <w:tblCellMar>
            <w:top w:w="0" w:type="dxa"/>
            <w:left w:w="108" w:type="dxa"/>
            <w:bottom w:w="0" w:type="dxa"/>
            <w:right w:w="108" w:type="dxa"/>
          </w:tblCellMar>
        </w:tblPrEx>
        <w:trPr>
          <w:trHeight w:val="1134" w:hRule="atLeast"/>
        </w:trPr>
        <w:tc>
          <w:tcPr>
            <w:tcW w:w="4839" w:type="dxa"/>
            <w:noWrap w:val="0"/>
            <w:vAlign w:val="top"/>
          </w:tcPr>
          <w:p>
            <w:pPr>
              <w:snapToGrid w:val="0"/>
              <w:spacing w:line="440" w:lineRule="exact"/>
              <w:rPr>
                <w:rFonts w:ascii="宋体" w:hAnsi="宋体"/>
                <w:color w:val="auto"/>
                <w:sz w:val="24"/>
                <w:highlight w:val="none"/>
              </w:rPr>
            </w:pPr>
            <w:r>
              <w:rPr>
                <w:rFonts w:hint="eastAsia" w:ascii="宋体" w:hAnsi="宋体"/>
                <w:color w:val="auto"/>
                <w:sz w:val="24"/>
                <w:highlight w:val="none"/>
              </w:rPr>
              <w:t>电</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话：</w:t>
            </w:r>
          </w:p>
        </w:tc>
        <w:tc>
          <w:tcPr>
            <w:tcW w:w="4839" w:type="dxa"/>
            <w:noWrap w:val="0"/>
            <w:vAlign w:val="top"/>
          </w:tcPr>
          <w:p>
            <w:pPr>
              <w:snapToGrid w:val="0"/>
              <w:spacing w:line="440" w:lineRule="exact"/>
              <w:rPr>
                <w:rFonts w:ascii="宋体" w:hAnsi="宋体"/>
                <w:color w:val="auto"/>
                <w:sz w:val="24"/>
                <w:highlight w:val="none"/>
              </w:rPr>
            </w:pPr>
            <w:r>
              <w:rPr>
                <w:rFonts w:hint="eastAsia" w:ascii="宋体" w:hAnsi="宋体"/>
                <w:color w:val="auto"/>
                <w:sz w:val="24"/>
                <w:highlight w:val="none"/>
              </w:rPr>
              <w:t>电</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话：</w:t>
            </w:r>
          </w:p>
        </w:tc>
      </w:tr>
      <w:tr>
        <w:tblPrEx>
          <w:tblCellMar>
            <w:top w:w="0" w:type="dxa"/>
            <w:left w:w="108" w:type="dxa"/>
            <w:bottom w:w="0" w:type="dxa"/>
            <w:right w:w="108" w:type="dxa"/>
          </w:tblCellMar>
        </w:tblPrEx>
        <w:trPr>
          <w:trHeight w:val="1134" w:hRule="atLeast"/>
        </w:trPr>
        <w:tc>
          <w:tcPr>
            <w:tcW w:w="4839" w:type="dxa"/>
            <w:noWrap w:val="0"/>
            <w:vAlign w:val="top"/>
          </w:tcPr>
          <w:p>
            <w:pPr>
              <w:snapToGrid w:val="0"/>
              <w:spacing w:line="440" w:lineRule="exact"/>
              <w:rPr>
                <w:rFonts w:ascii="宋体" w:hAnsi="宋体"/>
                <w:color w:val="auto"/>
                <w:sz w:val="24"/>
                <w:highlight w:val="none"/>
              </w:rPr>
            </w:pPr>
            <w:r>
              <w:rPr>
                <w:rFonts w:hint="eastAsia" w:ascii="宋体" w:hAnsi="宋体"/>
                <w:color w:val="auto"/>
                <w:sz w:val="24"/>
                <w:highlight w:val="none"/>
              </w:rPr>
              <w:t>传</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真：</w:t>
            </w:r>
          </w:p>
        </w:tc>
        <w:tc>
          <w:tcPr>
            <w:tcW w:w="4839" w:type="dxa"/>
            <w:noWrap w:val="0"/>
            <w:vAlign w:val="top"/>
          </w:tcPr>
          <w:p>
            <w:pPr>
              <w:snapToGrid w:val="0"/>
              <w:spacing w:line="440" w:lineRule="exact"/>
              <w:rPr>
                <w:rFonts w:ascii="宋体" w:hAnsi="宋体"/>
                <w:color w:val="auto"/>
                <w:sz w:val="24"/>
                <w:highlight w:val="none"/>
              </w:rPr>
            </w:pPr>
            <w:r>
              <w:rPr>
                <w:rFonts w:hint="eastAsia" w:ascii="宋体" w:hAnsi="宋体"/>
                <w:color w:val="auto"/>
                <w:sz w:val="24"/>
                <w:highlight w:val="none"/>
              </w:rPr>
              <w:t>传</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真：</w:t>
            </w:r>
          </w:p>
        </w:tc>
      </w:tr>
      <w:tr>
        <w:tblPrEx>
          <w:tblCellMar>
            <w:top w:w="0" w:type="dxa"/>
            <w:left w:w="108" w:type="dxa"/>
            <w:bottom w:w="0" w:type="dxa"/>
            <w:right w:w="108" w:type="dxa"/>
          </w:tblCellMar>
        </w:tblPrEx>
        <w:trPr>
          <w:trHeight w:val="1134" w:hRule="atLeast"/>
        </w:trPr>
        <w:tc>
          <w:tcPr>
            <w:tcW w:w="4839" w:type="dxa"/>
            <w:noWrap w:val="0"/>
            <w:vAlign w:val="top"/>
          </w:tcPr>
          <w:p>
            <w:pPr>
              <w:snapToGrid w:val="0"/>
              <w:spacing w:line="440" w:lineRule="exact"/>
              <w:rPr>
                <w:rFonts w:ascii="宋体" w:hAnsi="宋体"/>
                <w:color w:val="auto"/>
                <w:sz w:val="24"/>
                <w:highlight w:val="none"/>
              </w:rPr>
            </w:pPr>
            <w:r>
              <w:rPr>
                <w:rFonts w:hint="eastAsia" w:ascii="宋体" w:hAnsi="宋体"/>
                <w:color w:val="auto"/>
                <w:sz w:val="24"/>
                <w:highlight w:val="none"/>
              </w:rPr>
              <w:t>开户银行：</w:t>
            </w:r>
          </w:p>
        </w:tc>
        <w:tc>
          <w:tcPr>
            <w:tcW w:w="4839" w:type="dxa"/>
            <w:noWrap w:val="0"/>
            <w:vAlign w:val="top"/>
          </w:tcPr>
          <w:p>
            <w:pPr>
              <w:snapToGrid w:val="0"/>
              <w:spacing w:line="440" w:lineRule="exact"/>
              <w:rPr>
                <w:rFonts w:ascii="宋体" w:hAnsi="宋体"/>
                <w:color w:val="auto"/>
                <w:sz w:val="24"/>
                <w:highlight w:val="none"/>
              </w:rPr>
            </w:pPr>
            <w:r>
              <w:rPr>
                <w:rFonts w:hint="eastAsia" w:ascii="宋体" w:hAnsi="宋体"/>
                <w:color w:val="auto"/>
                <w:sz w:val="24"/>
                <w:highlight w:val="none"/>
              </w:rPr>
              <w:t>开户银行：</w:t>
            </w:r>
          </w:p>
        </w:tc>
      </w:tr>
      <w:tr>
        <w:tblPrEx>
          <w:tblCellMar>
            <w:top w:w="0" w:type="dxa"/>
            <w:left w:w="108" w:type="dxa"/>
            <w:bottom w:w="0" w:type="dxa"/>
            <w:right w:w="108" w:type="dxa"/>
          </w:tblCellMar>
        </w:tblPrEx>
        <w:trPr>
          <w:trHeight w:val="1134" w:hRule="atLeast"/>
        </w:trPr>
        <w:tc>
          <w:tcPr>
            <w:tcW w:w="4839" w:type="dxa"/>
            <w:noWrap w:val="0"/>
            <w:vAlign w:val="top"/>
          </w:tcPr>
          <w:p>
            <w:pPr>
              <w:snapToGrid w:val="0"/>
              <w:spacing w:line="440" w:lineRule="exact"/>
              <w:rPr>
                <w:rFonts w:ascii="宋体" w:hAnsi="宋体"/>
                <w:color w:val="auto"/>
                <w:sz w:val="24"/>
                <w:highlight w:val="none"/>
              </w:rPr>
            </w:pPr>
            <w:r>
              <w:rPr>
                <w:rFonts w:hint="eastAsia" w:ascii="宋体" w:hAnsi="宋体"/>
                <w:color w:val="auto"/>
                <w:sz w:val="24"/>
                <w:highlight w:val="none"/>
              </w:rPr>
              <w:t>帐</w:t>
            </w:r>
            <w:r>
              <w:rPr>
                <w:rFonts w:ascii="宋体" w:hAnsi="宋体"/>
                <w:color w:val="auto"/>
                <w:sz w:val="24"/>
                <w:highlight w:val="none"/>
              </w:rPr>
              <w:t xml:space="preserve">    号：</w:t>
            </w:r>
          </w:p>
        </w:tc>
        <w:tc>
          <w:tcPr>
            <w:tcW w:w="4839" w:type="dxa"/>
            <w:noWrap w:val="0"/>
            <w:vAlign w:val="top"/>
          </w:tcPr>
          <w:p>
            <w:pPr>
              <w:snapToGrid w:val="0"/>
              <w:spacing w:line="440" w:lineRule="exact"/>
              <w:rPr>
                <w:rFonts w:ascii="宋体" w:hAnsi="宋体"/>
                <w:color w:val="auto"/>
                <w:sz w:val="24"/>
                <w:highlight w:val="none"/>
              </w:rPr>
            </w:pPr>
            <w:r>
              <w:rPr>
                <w:rFonts w:hint="eastAsia" w:ascii="宋体" w:hAnsi="宋体"/>
                <w:color w:val="auto"/>
                <w:sz w:val="24"/>
                <w:highlight w:val="none"/>
              </w:rPr>
              <w:t>帐</w:t>
            </w:r>
            <w:r>
              <w:rPr>
                <w:rFonts w:ascii="宋体" w:hAnsi="宋体"/>
                <w:color w:val="auto"/>
                <w:sz w:val="24"/>
                <w:highlight w:val="none"/>
              </w:rPr>
              <w:t xml:space="preserve">    号：</w:t>
            </w:r>
          </w:p>
        </w:tc>
      </w:tr>
      <w:tr>
        <w:tblPrEx>
          <w:tblCellMar>
            <w:top w:w="0" w:type="dxa"/>
            <w:left w:w="108" w:type="dxa"/>
            <w:bottom w:w="0" w:type="dxa"/>
            <w:right w:w="108" w:type="dxa"/>
          </w:tblCellMar>
        </w:tblPrEx>
        <w:trPr>
          <w:trHeight w:val="1134" w:hRule="atLeast"/>
        </w:trPr>
        <w:tc>
          <w:tcPr>
            <w:tcW w:w="4839" w:type="dxa"/>
            <w:noWrap w:val="0"/>
            <w:vAlign w:val="top"/>
          </w:tcPr>
          <w:p>
            <w:pPr>
              <w:snapToGrid w:val="0"/>
              <w:spacing w:line="440" w:lineRule="exact"/>
              <w:rPr>
                <w:rFonts w:ascii="宋体" w:hAnsi="宋体"/>
                <w:color w:val="auto"/>
                <w:sz w:val="24"/>
                <w:highlight w:val="none"/>
              </w:rPr>
            </w:pPr>
            <w:r>
              <w:rPr>
                <w:rFonts w:hint="eastAsia" w:ascii="宋体" w:hAnsi="宋体"/>
                <w:color w:val="auto"/>
                <w:sz w:val="24"/>
                <w:highlight w:val="none"/>
              </w:rPr>
              <w:t>邮政编码：</w:t>
            </w:r>
          </w:p>
        </w:tc>
        <w:tc>
          <w:tcPr>
            <w:tcW w:w="4839" w:type="dxa"/>
            <w:noWrap w:val="0"/>
            <w:vAlign w:val="top"/>
          </w:tcPr>
          <w:p>
            <w:pPr>
              <w:snapToGrid w:val="0"/>
              <w:spacing w:line="440" w:lineRule="exact"/>
              <w:rPr>
                <w:rFonts w:ascii="宋体" w:hAnsi="宋体"/>
                <w:color w:val="auto"/>
                <w:sz w:val="24"/>
                <w:highlight w:val="none"/>
              </w:rPr>
            </w:pPr>
            <w:r>
              <w:rPr>
                <w:rFonts w:hint="eastAsia" w:ascii="宋体" w:hAnsi="宋体"/>
                <w:color w:val="auto"/>
                <w:sz w:val="24"/>
                <w:highlight w:val="none"/>
              </w:rPr>
              <w:t>邮政编码：</w:t>
            </w:r>
          </w:p>
        </w:tc>
      </w:tr>
    </w:tbl>
    <w:p>
      <w:pPr>
        <w:snapToGrid w:val="0"/>
        <w:spacing w:line="440" w:lineRule="exact"/>
        <w:ind w:firstLine="120" w:firstLineChars="50"/>
        <w:rPr>
          <w:rFonts w:ascii="宋体" w:hAnsi="宋体"/>
          <w:color w:val="auto"/>
          <w:sz w:val="24"/>
          <w:highlight w:val="none"/>
        </w:rPr>
      </w:pPr>
    </w:p>
    <w:p>
      <w:pPr>
        <w:snapToGrid w:val="0"/>
        <w:spacing w:line="440" w:lineRule="exact"/>
        <w:jc w:val="center"/>
        <w:rPr>
          <w:rFonts w:ascii="宋体" w:hAnsi="宋体"/>
          <w:color w:val="auto"/>
          <w:sz w:val="24"/>
          <w:highlight w:val="none"/>
        </w:rPr>
      </w:pPr>
      <w:r>
        <w:rPr>
          <w:rFonts w:ascii="宋体" w:hAnsi="宋体"/>
          <w:color w:val="auto"/>
          <w:sz w:val="24"/>
          <w:highlight w:val="none"/>
        </w:rPr>
        <w:br w:type="page"/>
      </w:r>
      <w:r>
        <w:rPr>
          <w:rFonts w:hint="eastAsia" w:ascii="宋体" w:hAnsi="宋体"/>
          <w:color w:val="auto"/>
          <w:sz w:val="24"/>
          <w:highlight w:val="none"/>
        </w:rPr>
        <w:t>第二部分</w:t>
      </w:r>
      <w:r>
        <w:rPr>
          <w:rFonts w:ascii="宋体" w:hAnsi="宋体"/>
          <w:color w:val="auto"/>
          <w:sz w:val="24"/>
          <w:highlight w:val="none"/>
        </w:rPr>
        <w:t xml:space="preserve"> </w:t>
      </w:r>
      <w:r>
        <w:rPr>
          <w:rFonts w:hint="eastAsia" w:ascii="宋体" w:hAnsi="宋体"/>
          <w:color w:val="auto"/>
          <w:sz w:val="24"/>
          <w:highlight w:val="none"/>
        </w:rPr>
        <w:t>通用条款</w:t>
      </w:r>
    </w:p>
    <w:p>
      <w:pPr>
        <w:spacing w:line="440" w:lineRule="exact"/>
        <w:jc w:val="center"/>
        <w:rPr>
          <w:rFonts w:ascii="宋体" w:hAnsi="宋体"/>
          <w:color w:val="auto"/>
          <w:sz w:val="24"/>
          <w:highlight w:val="none"/>
        </w:rPr>
      </w:pP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一、词语定义及合同文件</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词语定义</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下列词语除专用条款另有约定外，应具有本条所赋予的定义：</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1.1 通用条款：是根据法律、行政法规规定及建设工程施工的需要订立，通用于建设工程施工的条款。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1.2 专用条款：是发包人与承包人根据法律、行政法规规定，结合具体工程实际，经协商达成一致意见的条款，是对通用条款的具体化、补充或修改。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1.3 发包人：指在协议书中约定，具有工程发包主体资格和支付工程价款能力的当事人以及取得该当事人资格的合法继承人。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1.4 承包人：指在协议书中约定，被发包人接受的具有工程施工承包主体资格的当事人以及取得该当事人资格的合法继承人。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1.5 </w:t>
      </w:r>
      <w:r>
        <w:rPr>
          <w:rFonts w:hint="eastAsia" w:ascii="宋体" w:hAnsi="宋体"/>
          <w:color w:val="auto"/>
          <w:szCs w:val="21"/>
          <w:highlight w:val="none"/>
        </w:rPr>
        <w:t>项目负责人：指承包人在专用条款中指定的负责施工管理和合同履行的代表。</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1.6 设计单位：指发包人委托的负责本工程设计并取得相应工程设计资质等级证书的单位。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1.7 监理单位：指发包人委托的负责本工程监理并取得相应在工程监理资质等级证书的单位。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1.8 工程师：指本工程监理单位委派的总监理工程师或发包人指定的履行本合同的代表，其具体身份和职权由发包人承包人在专用条款中约定。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1.9 工程造价管理部门：指国务院有关部门、县级以上人民政府建设行政主管部门或其委托的工程造价管理机构。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1.10 工程：指发包人承包人在协议书中约定的承包范围内的工程。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1.11 合同价款：指发包人承包人在协议书中约定，发包人用以支付承包人按照合同约定完成承包范围内全部工程并承担质量保修责任的款项。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1.12 追加合同价款：指在合同履行中发生需要增加合同价款的情况，经发包人确认后按计算合同价款的方法增加的合同价款。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1.13 </w:t>
      </w:r>
      <w:r>
        <w:rPr>
          <w:rFonts w:hint="eastAsia" w:ascii="宋体" w:hAnsi="宋体"/>
          <w:color w:val="auto"/>
          <w:szCs w:val="21"/>
          <w:highlight w:val="none"/>
        </w:rPr>
        <w:t>费用：指不包含在合同价款之内的应当由发包人或承包人承担的经济支出。</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1.14 </w:t>
      </w:r>
      <w:r>
        <w:rPr>
          <w:rFonts w:hint="eastAsia" w:ascii="宋体" w:hAnsi="宋体"/>
          <w:color w:val="auto"/>
          <w:szCs w:val="21"/>
          <w:highlight w:val="none"/>
        </w:rPr>
        <w:t>工期：指发包人承包人在协议书中约定，按总日历天数（包括法定节假日）计算的承包天数。</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1.15 开工日期：指发包人承包人在协议书中约定，承包人开始施工的绝对或相对的日期。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1.16 竣工日期：指发包人承包人在协议书中约定，承包人完成承包范围内工程的绝对或相对的日期。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1.17 图纸：指由发包人提供或承包人提供并经发包人批准，满足承包人施工需要的所有图纸（包括配套说明和有关资料）。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1.18 施工场地：指由发包人提供的用于工程施工的场所以及发包人在图纸中具体指定的供施工使用的任何其他场所。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1.19 书面形式：指合同书、信件和数据电文（包括电报、电传、传真、电子数据交换和电子邮件）等可以有形地表现所载内容的形式。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1.20 违约责任：指合同一方不履行合同义务或履行合同义务不符合约定所应承担的责任。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1.21 索赔：指在合同履行过程中，对于并非自己的过错，而是应由对方承担责任的情况造成的实际损失，向对方提出经济补偿和（或）工期顺延的要求。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1.22 不可抗力：指不能预见、不能避免并不能克服的客观情况。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1.23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小时。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2、合同文件及解释顺序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2.1 合同文件应能相互解释，互为说明。除专用条款另有约定外，组成本合同的文件及优先解释顺序如下：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 xml:space="preserve">1）本合同协议书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 xml:space="preserve">2）中标通知书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 xml:space="preserve">3）投标书及其附件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 xml:space="preserve">4）本合同专用条款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 xml:space="preserve">5）本合同通用条款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 xml:space="preserve">6）标准、规范及有关技术文件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 xml:space="preserve">7）图纸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 xml:space="preserve">8）工程量清单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9）工程报价单或预算书</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合同履行中，发包人承包人有关工程的洽商、变更等书面协议或文件视为本合同的组成部分。</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2.2当合同文件内容含糊不清或不相一致时，在不影响工程正常进行的情况下，由发包人承包人协商解决。双方也可以提请负责监理的工程师做出解释。双方协商不成或不同意负责监理的工程师的解释时，按本通用条款37条关于争议的约定处理。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3、语言文字和适用法律、标准及规范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3.1 语言文字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本合同文件使用汉语语言文字书写、解释和说明。如专用条款约定使用两种以上（含两种）语言文字时，汉语应为解释和说明本合同的标准语言文字。</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在少数民族地区，双方可以约定使用少数民族语言文字书写和解释、说明本合同。</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3.2 适用法律和法规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本合同文件适用国家的法律和行政法规。需要明示的法律、行政法规，由双方在专用条款中约定。</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3.3 适用标准、规范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双方在专用条款内约定适用国家标准、规范和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国内没有相应标准、规范的，由发包人按专用条款约定的时间向承包人</w:t>
      </w:r>
      <w:r>
        <w:rPr>
          <w:rFonts w:hint="eastAsia" w:ascii="宋体" w:hAnsi="宋体"/>
          <w:color w:val="auto"/>
          <w:spacing w:val="4"/>
          <w:szCs w:val="21"/>
          <w:highlight w:val="none"/>
        </w:rPr>
        <w:t>提出施工技术要求，承包人按约定的时间和要求提出施工工艺，经发包人认</w:t>
      </w:r>
      <w:r>
        <w:rPr>
          <w:rFonts w:hint="eastAsia" w:ascii="宋体" w:hAnsi="宋体"/>
          <w:color w:val="auto"/>
          <w:szCs w:val="21"/>
          <w:highlight w:val="none"/>
        </w:rPr>
        <w:t>可后执行。发包人要求使用国外标准、规范的，应负责提供中文译本。</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本条所发生的购买、翻译标准、规范或制定施工工艺的费用，由发包人承担。</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4、图纸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4.1 </w:t>
      </w:r>
      <w:r>
        <w:rPr>
          <w:rFonts w:hint="eastAsia" w:ascii="宋体" w:hAnsi="宋体"/>
          <w:color w:val="auto"/>
          <w:szCs w:val="21"/>
          <w:highlight w:val="none"/>
        </w:rPr>
        <w:t>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4.2 承包人未经发包人同意，不得将本工程图纸转给第三人。工程质量保修期满后，除承包人存档需要的图纸外，应将全部图纸退还给发包人。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4.3 承包人应在施工现场保留一套完整图纸，供工程师及有关人员进行工程检查时使用。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二、双方一般权利和义务</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5、工程师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5.1实行工程监理的，发包人应在实施监理前将委托的监理单位名称、监理内容及监理权限以书面形式通知承包人。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5.3 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5.4 </w:t>
      </w:r>
      <w:r>
        <w:rPr>
          <w:rFonts w:hint="eastAsia" w:ascii="宋体" w:hAnsi="宋体"/>
          <w:color w:val="auto"/>
          <w:szCs w:val="21"/>
          <w:highlight w:val="none"/>
        </w:rPr>
        <w:t>合同履行中，发生影响发包人承包人双方权利或义务的事件时，负责监理的工程师应依据合同在其职权范围内客观公正地进行处理。一方对工程师的处理有异议时，按本通用条款</w:t>
      </w:r>
      <w:r>
        <w:rPr>
          <w:rFonts w:ascii="宋体" w:hAnsi="宋体"/>
          <w:color w:val="auto"/>
          <w:szCs w:val="21"/>
          <w:highlight w:val="none"/>
        </w:rPr>
        <w:t xml:space="preserve">37条关于争议的约定处理。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5.5 </w:t>
      </w:r>
      <w:r>
        <w:rPr>
          <w:rFonts w:hint="eastAsia" w:ascii="宋体" w:hAnsi="宋体"/>
          <w:color w:val="auto"/>
          <w:szCs w:val="21"/>
          <w:highlight w:val="none"/>
        </w:rPr>
        <w:t>除合同内有明确约定或经发包人同意外，负责监理的工程师无权解除本合同约定的承包人的任何权利与义务。</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5.6 不实行工程监理的，本合同中工程师专指发包人派驻施工现场履行合同的代表，其具体职权由发包人在专用条款中写明。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6、工程师的委派和指令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6.1工程师可委派工程师代表，行使合同约定的自己的职权，并可在认为必要时撤回委派。委派和撤回均应提前7天以书面形式通知承包人，负责监理的工程师还应将委派和撤回通知发包人。委派书和撤回通知作为本合同附件。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除工程师或工程师代表外，发包人派驻工地的其他人员均无权向承包人发出任何指令。</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6.2 </w:t>
      </w:r>
      <w:r>
        <w:rPr>
          <w:rFonts w:hint="eastAsia" w:ascii="宋体" w:hAnsi="宋体"/>
          <w:color w:val="auto"/>
          <w:szCs w:val="21"/>
          <w:highlight w:val="none"/>
        </w:rPr>
        <w:t>工程师的指令、通知由其本人签字后，以书面形式交给项目负责人，项目负责人在回执上签署姓名和收到时间后生效。确有必要时，工程师可发出口头指令，并在</w:t>
      </w:r>
      <w:r>
        <w:rPr>
          <w:rFonts w:ascii="宋体" w:hAnsi="宋体"/>
          <w:color w:val="auto"/>
          <w:szCs w:val="21"/>
          <w:highlight w:val="none"/>
        </w:rPr>
        <w:t xml:space="preserve">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承包人认为工程师指令不合理，应在收到指令后</w:t>
      </w:r>
      <w:r>
        <w:rPr>
          <w:rFonts w:ascii="宋体" w:hAnsi="宋体"/>
          <w:color w:val="auto"/>
          <w:szCs w:val="21"/>
          <w:highlight w:val="none"/>
        </w:rPr>
        <w:t>24小时内向工程师提出修改指令的书面报告，工程师在收到承包人报告后24小时内</w:t>
      </w:r>
      <w:r>
        <w:rPr>
          <w:rFonts w:hint="eastAsia" w:ascii="宋体" w:hAnsi="宋体"/>
          <w:color w:val="auto"/>
          <w:szCs w:val="21"/>
          <w:highlight w:val="none"/>
        </w:rPr>
        <w:t>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本款规定同样适用于由工程师代表发出的指令、通知。</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6.3 </w:t>
      </w:r>
      <w:r>
        <w:rPr>
          <w:rFonts w:hint="eastAsia" w:ascii="宋体" w:hAnsi="宋体"/>
          <w:color w:val="auto"/>
          <w:szCs w:val="21"/>
          <w:highlight w:val="none"/>
        </w:rPr>
        <w:t>工程师应按合同约定，及时向承包人提供所需指令、批准并履行约定的</w:t>
      </w:r>
      <w:r>
        <w:rPr>
          <w:rFonts w:hint="eastAsia" w:ascii="宋体" w:hAnsi="宋体"/>
          <w:color w:val="auto"/>
          <w:spacing w:val="4"/>
          <w:szCs w:val="21"/>
          <w:highlight w:val="none"/>
        </w:rPr>
        <w:t>其他义务。由于工程师未能按合同约定履行义务造成工期延误，发包人应承</w:t>
      </w:r>
      <w:r>
        <w:rPr>
          <w:rFonts w:hint="eastAsia" w:ascii="宋体" w:hAnsi="宋体"/>
          <w:color w:val="auto"/>
          <w:szCs w:val="21"/>
          <w:highlight w:val="none"/>
        </w:rPr>
        <w:t>担延误造成的追加合同价款，并赔偿承包人有关损失，顺延延误的工期。</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6.4 如需更换工程师，发包人应至少提前7天以书面形式通知承包人，后任继续行使合同文件约定的前任的职权，履行前任的义务。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项目负责人</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7.1 </w:t>
      </w:r>
      <w:r>
        <w:rPr>
          <w:rFonts w:hint="eastAsia" w:ascii="宋体" w:hAnsi="宋体"/>
          <w:color w:val="auto"/>
          <w:szCs w:val="21"/>
          <w:highlight w:val="none"/>
        </w:rPr>
        <w:t>项目负责人的姓名、职务在专用条款内写明。</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7.2 </w:t>
      </w:r>
      <w:r>
        <w:rPr>
          <w:rFonts w:hint="eastAsia" w:ascii="宋体" w:hAnsi="宋体"/>
          <w:color w:val="auto"/>
          <w:szCs w:val="21"/>
          <w:highlight w:val="none"/>
        </w:rPr>
        <w:t>承包人依据合同发出的通知，以书面形式由项目负责人签字后送交工程师，工程师在回执上签署姓名和收到时间后生效。</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7.3 </w:t>
      </w:r>
      <w:r>
        <w:rPr>
          <w:rFonts w:hint="eastAsia" w:ascii="宋体" w:hAnsi="宋体"/>
          <w:color w:val="auto"/>
          <w:szCs w:val="21"/>
          <w:highlight w:val="none"/>
        </w:rPr>
        <w:t>项目负责人按发包人认可的施工组织设计（施工方案）和工程师依据合同发出的指令组织施工。在情况紧急且无法与工程师联系时，项目负责人应当采取保证人员生命和工程、财产安全的紧急措施，并在采取措施后</w:t>
      </w:r>
      <w:r>
        <w:rPr>
          <w:rFonts w:ascii="宋体" w:hAnsi="宋体"/>
          <w:color w:val="auto"/>
          <w:szCs w:val="21"/>
          <w:highlight w:val="none"/>
        </w:rPr>
        <w:t xml:space="preserve">48小时内向工程师送交报告。责任在发包人或第三人，由发包人承担由此发生的追加合同价款，相应顺延工期；责任在承包人，由承包人承担费用，不顺延工期。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7.4 </w:t>
      </w:r>
      <w:r>
        <w:rPr>
          <w:rFonts w:hint="eastAsia" w:ascii="宋体" w:hAnsi="宋体"/>
          <w:color w:val="auto"/>
          <w:szCs w:val="21"/>
          <w:highlight w:val="none"/>
        </w:rPr>
        <w:t>承包人如需更换项目负责人，应至少提前</w:t>
      </w:r>
      <w:r>
        <w:rPr>
          <w:rFonts w:ascii="宋体" w:hAnsi="宋体"/>
          <w:color w:val="auto"/>
          <w:szCs w:val="21"/>
          <w:highlight w:val="none"/>
        </w:rPr>
        <w:t xml:space="preserve">7天以书面形式通知发包人，并征得发包人同意。后任继续行使合同文件约定的前任的职权，履行前任的义务。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7.5 </w:t>
      </w:r>
      <w:r>
        <w:rPr>
          <w:rFonts w:hint="eastAsia" w:ascii="宋体" w:hAnsi="宋体"/>
          <w:color w:val="auto"/>
          <w:szCs w:val="21"/>
          <w:highlight w:val="none"/>
        </w:rPr>
        <w:t>发包人可以与承包人协商，建议更换其认为不称职的项目负责人。</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8、发包人工作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8.1 发包人按专用条款约定的内容和时间完成以下工作: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 办理土地征用、拆迁补偿、平整施工场地等工作，使施工场地具备施工条件，在开工后继续负责解决以上事项遗留问题；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 将施工所需水、电、电讯线路从施工场地外部接至专用条款约定地点，保证施工期间的需要；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 开通施工场地与城乡公共道路的通道，以及专用条款约定的施工场地内的主要道路，满足施工运输的需要，保证施工期间的畅通。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 向承包人提供施工场地的工程地质和地下管线资料，对资料的真实准确性负责；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(5) </w:t>
      </w:r>
      <w:r>
        <w:rPr>
          <w:rFonts w:hint="eastAsia" w:ascii="宋体" w:hAnsi="宋体"/>
          <w:color w:val="auto"/>
          <w:szCs w:val="21"/>
          <w:highlight w:val="none"/>
        </w:rPr>
        <w:t>办理施工许可证及其他施工所需证件、批件和临时用地、停水、停电、中断道路交通、爆破作业等的申请批准文件（证明承包人自身资质的证件除外）；</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(6) </w:t>
      </w:r>
      <w:r>
        <w:rPr>
          <w:rFonts w:hint="eastAsia" w:ascii="宋体" w:hAnsi="宋体"/>
          <w:color w:val="auto"/>
          <w:szCs w:val="21"/>
          <w:highlight w:val="none"/>
        </w:rPr>
        <w:t>确定水准点与坐标控制点，以书面形式交给承包人，进行现场交验；</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(7) </w:t>
      </w:r>
      <w:r>
        <w:rPr>
          <w:rFonts w:hint="eastAsia" w:ascii="宋体" w:hAnsi="宋体"/>
          <w:color w:val="auto"/>
          <w:szCs w:val="21"/>
          <w:highlight w:val="none"/>
        </w:rPr>
        <w:t>组织承包人和设计单位进行图纸会审和设计交底；</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(8) 协调管理施工场地周围地下管线和邻近建筑物、构筑物（包括文物保护建筑）、古树名木的保护工作，承担有关费用；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(9) 发包人应做的其他工作，双方在专用条款内约定。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8.2 发包人未履行8.1款各项义务，导致工期延误或给承包人造成损失的，发包人赔偿承包人有关损失，顺延延误的工期。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9、承包人工作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9.1 承包人按专用条款约定的内容和时间完成以下工作：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根据发包人委托，在其设计资质等级和业务允许的范围内，完成施工图设计或与工程配套的设计，经工程师确认后使用，发包人承担由此发生的费用；</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向工程师提供年、季、月度工程进度计划及相应进度统计报表；</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根据工程需要，提供和维修非夜间施工使用的照明、围栏设施，并负责安全保卫；</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按专用条款约定的数量和要求，向发包人提供施工场地办公和生活的房屋及设施，发包人承担由此发生的费用；</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遵守政府有关主管部门对施工场地交通、施工噪音以及环境保护和安全生产等的管理规定，按规定办理有关手续，并以书面形式通知发包人，发包人承担由此发生的费用，因承包人责任造成的罚款除外；</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按专用条款约定做好施工场地地下管线和邻近建筑物、构筑物（包括文物保护建筑）、古树名木的保护工作；</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保证施工场地清洁符合环境卫生管理的有关规定，交工前清理现场达到专用条款约定的要求，承担因自身原因违反有关规定造成的损失和罚款；</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(9)</w:t>
      </w:r>
      <w:r>
        <w:rPr>
          <w:rFonts w:hint="eastAsia" w:ascii="宋体" w:hAnsi="宋体"/>
          <w:color w:val="auto"/>
          <w:spacing w:val="-6"/>
          <w:szCs w:val="21"/>
          <w:highlight w:val="none"/>
        </w:rPr>
        <w:t>办理施工许可证及施工所需证件、批件和临时用地、停水、停电、中断</w:t>
      </w:r>
      <w:r>
        <w:rPr>
          <w:rFonts w:hint="eastAsia" w:ascii="宋体" w:hAnsi="宋体"/>
          <w:color w:val="auto"/>
          <w:szCs w:val="21"/>
          <w:highlight w:val="none"/>
        </w:rPr>
        <w:t>道路交通、爆破作业等的申请批准手续（证明承包人自身资质的证件除外）；</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(10)承包人应做的其他工作，双方在专用条款内约定。</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9.2承包人未能履行9.1款各项义务，造成发包人损失的，承包人赔偿发包人有关损失。</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三、施工组织设计和工期</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10、进度计划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10.1 承包人应按专用条款约定的日期，将施工组织设计和工程进度计划提交工程师，工程师按专用条款约定的时间予以确认或提出修改意见，逾期不确认也不提出书面意见的，视为同意。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10.2群体工程中单位工程分期进行施工的，承包人应按照发包人提供图纸及有关资料的时间，按单位工程编制进度计划，其具体内容双方在专用条款中约定。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11、开工及延期开工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11.2因发包人原因不能按照协议书约定的开工日期开工，工程师应以书面形式通知承</w:t>
      </w:r>
      <w:r>
        <w:rPr>
          <w:rFonts w:hint="eastAsia" w:ascii="宋体" w:hAnsi="宋体"/>
          <w:color w:val="auto"/>
          <w:szCs w:val="21"/>
          <w:highlight w:val="none"/>
        </w:rPr>
        <w:t>包人，推迟开工日期。发包人赔偿承包人因延期开工造成的损失，并相应顺延工期。</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12、暂停施工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工程师认为确有必要暂停施工时，应当以书面形式要求承包人暂停施工，并在提出要求后</w:t>
      </w:r>
      <w:r>
        <w:rPr>
          <w:rFonts w:ascii="宋体" w:hAnsi="宋体"/>
          <w:color w:val="auto"/>
          <w:szCs w:val="21"/>
          <w:highlight w:val="none"/>
        </w:rPr>
        <w:t xml:space="preserve">48小时内提出书面处理意见。承包人应当按工程师要求停止施工，并妥善保护已完工程。承包人实施工程师做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13、工期延误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13.1因以下原因造成工期延误，经工程师确认工期相应顺延；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 发包人未能按专用条款的约定提供图纸及开工条件；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 </w:t>
      </w:r>
      <w:r>
        <w:rPr>
          <w:rFonts w:hint="eastAsia" w:ascii="宋体" w:hAnsi="宋体"/>
          <w:color w:val="auto"/>
          <w:szCs w:val="21"/>
          <w:highlight w:val="none"/>
        </w:rPr>
        <w:t>发包人未能按约定日期支付工程预付款、进度款，致使施工不能正常进行；</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 </w:t>
      </w:r>
      <w:r>
        <w:rPr>
          <w:rFonts w:hint="eastAsia" w:ascii="宋体" w:hAnsi="宋体"/>
          <w:color w:val="auto"/>
          <w:szCs w:val="21"/>
          <w:highlight w:val="none"/>
        </w:rPr>
        <w:t>工程师未按合同约定提供所需指令、批准等，致使施工不能正常进行；</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 设计变更和工程量增加；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(5) </w:t>
      </w:r>
      <w:r>
        <w:rPr>
          <w:rFonts w:hint="eastAsia" w:ascii="宋体" w:hAnsi="宋体"/>
          <w:color w:val="auto"/>
          <w:szCs w:val="21"/>
          <w:highlight w:val="none"/>
        </w:rPr>
        <w:t>一周内非承包人原因停水、停电、停气造成停工累计超过</w:t>
      </w:r>
      <w:r>
        <w:rPr>
          <w:rFonts w:ascii="宋体" w:hAnsi="宋体"/>
          <w:color w:val="auto"/>
          <w:szCs w:val="21"/>
          <w:highlight w:val="none"/>
        </w:rPr>
        <w:t>8小时；</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(6) </w:t>
      </w:r>
      <w:r>
        <w:rPr>
          <w:rFonts w:hint="eastAsia" w:ascii="宋体" w:hAnsi="宋体"/>
          <w:color w:val="auto"/>
          <w:szCs w:val="21"/>
          <w:highlight w:val="none"/>
        </w:rPr>
        <w:t>不可抗力；</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(7) </w:t>
      </w:r>
      <w:r>
        <w:rPr>
          <w:rFonts w:hint="eastAsia" w:ascii="宋体" w:hAnsi="宋体"/>
          <w:color w:val="auto"/>
          <w:szCs w:val="21"/>
          <w:highlight w:val="none"/>
        </w:rPr>
        <w:t>专用条款中约定或工程师同意工期顺延的其他情况。</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13.2承包人在13.1款情况发生后14天内，就延误的工期以书面形式向工程师提出报告。工程师在收到报告后14天内予以确认，逾期不予确认也不提出修改意见，视为同意顺延工期。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14、工程竣工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14.1 承包人必须按照协议书约定的竣工日期或工程师同意顺延的工期竣工。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14.2 因承包人原因不能按照协议书约定的竣工日期或工程师同意顺延的工期竣工的，承包人承担违约责任。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14.3 施工中发包人如需提前竣工，双方协商一致后就应签订提前竣工协议，作为合同文件组成部分。提前竣工协议应包括承包人为保证工程质量和安全采取的措施、发包人为提前竣工提供的条件以及提前竣工所需的追加合同价款等内容。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四、质量与检验</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15、工程质量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1</w:t>
      </w:r>
      <w:r>
        <w:rPr>
          <w:rFonts w:ascii="宋体" w:hAnsi="宋体"/>
          <w:color w:val="auto"/>
          <w:spacing w:val="6"/>
          <w:szCs w:val="21"/>
          <w:highlight w:val="none"/>
        </w:rPr>
        <w:t xml:space="preserve">5.1 </w:t>
      </w:r>
      <w:r>
        <w:rPr>
          <w:rFonts w:hint="eastAsia" w:ascii="宋体" w:hAnsi="宋体"/>
          <w:color w:val="auto"/>
          <w:spacing w:val="6"/>
          <w:szCs w:val="21"/>
          <w:highlight w:val="none"/>
        </w:rPr>
        <w:t>工程质量应当达到协议书约定的质量标准，质量标准的评定以国家或</w:t>
      </w:r>
      <w:r>
        <w:rPr>
          <w:rFonts w:hint="eastAsia" w:ascii="宋体" w:hAnsi="宋体"/>
          <w:color w:val="auto"/>
          <w:szCs w:val="21"/>
          <w:highlight w:val="none"/>
        </w:rPr>
        <w:t>行业的质量检验评定标准为依据。因承包人原因工程质量达不到约定的质量标准，承包人承担违约责任。</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15.2 双方对工程质量有争议，由双方同意的工程质量检测机构鉴定，所需费用及因此造成的损失，由责任方承担。双方均有责任，由双方根据其责任分别承担。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16、检查和返工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16.1 承包人应认真按照标准、规范和设计图纸要求以及工程师依据合同发出的指令施工，随时接受工程师的检查检验，为检查检验提供便利条件。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16.3 工程师的检查检验不应影响施工正常进行。如影响施工正常进行，检查检验不合格时，影响正常施工的费用由承包人承担。除此之外影响正常施工的追加合同价款由发包人承担，相应顺延工期。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16.4 因工程师指令失误或其他非承包人原因发生的追加合同价款，由发包人承担。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17、隐蔽工程和中间验收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17.1 </w:t>
      </w:r>
      <w:r>
        <w:rPr>
          <w:rFonts w:hint="eastAsia" w:ascii="宋体" w:hAnsi="宋体"/>
          <w:color w:val="auto"/>
          <w:szCs w:val="21"/>
          <w:highlight w:val="none"/>
        </w:rPr>
        <w:t>工程具备隐蔽条件或达到专用条款约定的中间验收部位，承包人进行自检，并在隐蔽或中间验收前</w:t>
      </w:r>
      <w:r>
        <w:rPr>
          <w:rFonts w:ascii="宋体" w:hAnsi="宋体"/>
          <w:color w:val="auto"/>
          <w:szCs w:val="21"/>
          <w:highlight w:val="none"/>
        </w:rPr>
        <w:t>48小时以书面形式通知工程师验收。通知包括隐蔽和中间验收的内容、验收时间和地点。承包人准备验收记录，验收合格，</w:t>
      </w:r>
      <w:r>
        <w:rPr>
          <w:rFonts w:hint="eastAsia" w:ascii="宋体" w:hAnsi="宋体"/>
          <w:color w:val="auto"/>
          <w:spacing w:val="4"/>
          <w:szCs w:val="21"/>
          <w:highlight w:val="none"/>
        </w:rPr>
        <w:t>工程师在验收记录上签字后，承包人可进行隐蔽和继续施工。验收不合格</w:t>
      </w:r>
      <w:r>
        <w:rPr>
          <w:rFonts w:hint="eastAsia" w:ascii="宋体" w:hAnsi="宋体"/>
          <w:color w:val="auto"/>
          <w:szCs w:val="21"/>
          <w:highlight w:val="none"/>
        </w:rPr>
        <w:t>，承包人在工程师限定的时间内修改后重新验收。</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17.2 工程师不能按时进行验收，应在验收前24小时以书面形式向承包人提出延期要求，延期不能超过48小时。工程师未能按以上时间提出延期要求，不进行验收，承包人可自行组织验收，工程师应承认验收记录。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17.3 </w:t>
      </w:r>
      <w:r>
        <w:rPr>
          <w:rFonts w:hint="eastAsia" w:ascii="宋体" w:hAnsi="宋体"/>
          <w:color w:val="auto"/>
          <w:szCs w:val="21"/>
          <w:highlight w:val="none"/>
        </w:rPr>
        <w:t>经工程师验收，工程质量符合标准、规范和设计图纸等要求，验收</w:t>
      </w:r>
      <w:r>
        <w:rPr>
          <w:rFonts w:ascii="宋体" w:hAnsi="宋体"/>
          <w:color w:val="auto"/>
          <w:szCs w:val="21"/>
          <w:highlight w:val="none"/>
        </w:rPr>
        <w:t>24</w:t>
      </w:r>
      <w:r>
        <w:rPr>
          <w:rFonts w:hint="eastAsia" w:ascii="宋体" w:hAnsi="宋体"/>
          <w:color w:val="auto"/>
          <w:spacing w:val="4"/>
          <w:szCs w:val="21"/>
          <w:highlight w:val="none"/>
        </w:rPr>
        <w:t>小时后，工程师不在验收记录上签字，视为工程师已经认可验收记录，承包</w:t>
      </w:r>
      <w:r>
        <w:rPr>
          <w:rFonts w:hint="eastAsia" w:ascii="宋体" w:hAnsi="宋体"/>
          <w:color w:val="auto"/>
          <w:szCs w:val="21"/>
          <w:highlight w:val="none"/>
        </w:rPr>
        <w:t>人可进行隐蔽或继续施工。</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18、重新检验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19、工程试车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19.1 双方约定需要试车的，试车内容应与承包人承包的安装范围相一致。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19.3 工程师不能按时参加试车，须在开始试车前24小时以书面形式向承包人提出延期要求，延期不能超过48小时。工程师未能按以上时间提出延期要求，不参加试车，应承认试车记录。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19.4 设备安装工程具备无负荷联动试车条件，发包人组织试车，并在试车前48小时以书面形式通知承包人。通知包括试车内容、时间、地点和对承包人的要求，承包人按要求做好准备工作。试车合格，双方在试车记录上签字。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19.5双方责任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 由于设计原因试车达不到验收要求，发包人应要求设计单位修改设计，承包人按修改后的设计重新安装。发包人承担修改设计、拆除及重新安装的全部费用和追加合同价款，工期相应顺延。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 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 由于承包人施工原因试车达不到验收要求，承包人按工程师要求重新安装和试车，并承担重新安装和试车的费用，工期不予顺延。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 </w:t>
      </w:r>
      <w:r>
        <w:rPr>
          <w:rFonts w:hint="eastAsia" w:ascii="宋体" w:hAnsi="宋体"/>
          <w:color w:val="auto"/>
          <w:szCs w:val="21"/>
          <w:highlight w:val="none"/>
        </w:rPr>
        <w:t>试车费用除已包括在合同价款之内或专用条款另有约定外，均由发包人承担。</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(5) 工程师在试车合格后不在试车记录上签字，试车结束24小时后，视为工程师已经认可试车记录，承包人可继续施工或办理竣工手续。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19.6 投料试车应在工程竣工验收后由发包人负责，如发包人要求在工程竣工验收前进行或需要承包人配合时，应征得承包人同意，另行签订补充协议。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五、安全施工</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20、安全施工与检查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20.1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20.2发包人应对其在施工场地的工作人员进行安全教育，并对他们的安全负责。发包人不得要求承包人违反安全管理的规定进行施工。因发包人原因导致的安全事故，由发包人承担相应责任及发生的费用。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21、安全防护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21.1承包人在动力设备、输电线路、地下管道、密封防震车间、易燃易爆地段以及临街交通要道附近施工时，施工开始前应向工程师提出安全防护措施，经工程师认可后实施，防护措施费用由发包人承担。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21.2实施爆破作业，在放射、毒害性环境中施工（含储存、运输、使用）及使用毒害性、腐蚀性物品施工时，承包人应在施工前14天以书面形式通知工</w:t>
      </w:r>
      <w:r>
        <w:rPr>
          <w:rFonts w:hint="eastAsia" w:ascii="宋体" w:hAnsi="宋体"/>
          <w:color w:val="auto"/>
          <w:spacing w:val="2"/>
          <w:szCs w:val="21"/>
          <w:highlight w:val="none"/>
        </w:rPr>
        <w:t>程师，并提出相应的安全防护措施，经工程师认可后实施</w:t>
      </w:r>
      <w:r>
        <w:rPr>
          <w:rFonts w:ascii="宋体" w:hAnsi="宋体"/>
          <w:color w:val="auto"/>
          <w:spacing w:val="2"/>
          <w:szCs w:val="21"/>
          <w:highlight w:val="none"/>
        </w:rPr>
        <w:t>,由发包人承担安全</w:t>
      </w:r>
      <w:r>
        <w:rPr>
          <w:rFonts w:hint="eastAsia" w:ascii="宋体" w:hAnsi="宋体"/>
          <w:color w:val="auto"/>
          <w:szCs w:val="21"/>
          <w:highlight w:val="none"/>
        </w:rPr>
        <w:t>防护措施费用。</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22、事故处理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22.1发生重大伤亡及其他安全事故，承包人应按有关规定立即上报有关部门并通知工程师，同时按政府有关部门要求处理，由事故责任方承担发生的费用。</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22.2发包人承包人对事故责任有争议时，应按政府有关部门的认定处理。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六、合同价款与支付</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23、合同价款及调整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23.1招标工程的合同价款由发包人承包人依据中标通知书中的中标价格在协议书内约定。非招标工程的合同价款由发包人承包人依据工程预算书在协议书内约定。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23.2合同价款在协议书内约定后，任何一方不得擅自改变。下列三种确定合同价款的方式，双方可在专用条款内约定采用其中一种：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 固定价格合同。双方在专用条款内约定合同价款包含的风险范围和风险费用的计算方法，在约定的风险范围内合同价款不再调整。风险范围以外的合同价款调整方法，应当在专用条款内约定。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 </w:t>
      </w:r>
      <w:r>
        <w:rPr>
          <w:rFonts w:hint="eastAsia" w:ascii="宋体" w:hAnsi="宋体"/>
          <w:color w:val="auto"/>
          <w:szCs w:val="21"/>
          <w:highlight w:val="none"/>
        </w:rPr>
        <w:t>可调价格合同。合同价款可根据双方的约定而调整，双方在专用条款内约定合同价款调整方法。</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 成本加酬金合同。合同价款包括成本和酬金两部分，双方在专用条款内约定成本构成和酬金的计算方法。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23.3可调价格合同中合同价款的调整因素包括：</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 法律、行政法规和国家有关政策变化影响合同价款；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 工程造价管理部门公布的价格调整；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 一周内非承包人原因停水、停电、停气造成的停工累计超过8小时；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 双方约定的其他因素。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23.4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24、工程预付款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实行工程预付款的，双方应当在专用条款内约定发包人向承包人预付工程款的时间和数额，开工后按约定的时间和比例逐次扣回。预付时间应不迟于约定的开工日期前</w:t>
      </w:r>
      <w:r>
        <w:rPr>
          <w:rFonts w:ascii="宋体" w:hAnsi="宋体"/>
          <w:color w:val="auto"/>
          <w:szCs w:val="21"/>
          <w:highlight w:val="none"/>
        </w:rPr>
        <w:t xml:space="preserve">7天。发包人不按约定预付，承包人在约定预付时间7天后向发包人发出要求预付的通知，发包人收到通知后仍不能按要求预付，承包人可在发出通告后7天停止施工，发包人应从约定应付之日起向承包人支付应付款的贷款利息，并承担违约责任。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25、工程量的确认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25.1 承包人应按专用条款约定的时间，向工程师提交已完工程量的报告。工程师接到报告后7天内按设计图纸核实已完工程量（以下称计量），并在计量前24小时通知承包人，承包人应为计量提供便利条件并派人参加。承包人收到通知后不参加计量，计量结果有效，作为工程价款支付的依据。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25.2 工程师收到承包人报告后7天内未进行计量，从第8天起，承包人报告中开列的工程量即视为被确认，作为工程价款支付的依据。工程师不按约定时间通知承包人，致使承包人未能参加计量，计量结果无效。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25.3对承包人超出设计图纸范围和因承包人原因造成返工的工程量，工程师不予计量。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26、工程款（进度款）支付。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26.1 在确认计量结果后14天内，发包人应向承包人支付工程款（进度款）。按约定时间发包人应扣回的预付款，与工程款（进度款）同期结算。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26.2 本通用条款第23条确定调整的合同价款，第31条工程变更调整的合同价款及其他条款中约定的追加合同价款，应与工程款（进度款）同期调整支付。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26.4 发包人不按合同约定支付工程款（进度款），双方又未达成延期付款协议，导致施工无法进行，承包人可停止施工，由发包人承担违约责任。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七、材料设备供应</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27、发包人供应材料设备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27.1 实行发包人供应材料设备的，双方应当约定发包人供应材料设备的一览表，作为本合同附件（附件2）。一览表包括发包人供应材料设备的品种、规格、型号、数量、单价、质量等级、提供时间和地点。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27.2 发包人按一览表约定的内容提供材料设备，并向承包人提供产品合格证明，对其质量负责。发包人在所供材料设备到货前24小时，以书面形式通知承包人，由承包人派人与发包人共同清点。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27.3 发包人供应的材料设备，承包人派人参加清点后由承包人妥善保管，发包人支付相应保管费用。因承包人原因发生丢失损坏，由承包人负责赔偿。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发包人未通知承包人清点，承包人不负责材料设备的保管，丢失损坏由发包人负责。</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27.4发包人供应的材料设备与一览表不符时，发包人承担有关责任。发包人应承担责任的具体内容，双方根据下列情况在专用条款内约定。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 材料设备单价与一览表不符，由发包人承担所有价差；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 材料设备的品种、规格、型号、质量等级与一览表不符，承包人可拒绝接收保管，由发包人运出施工场地并重新采购；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 发包人供应的材料规格、型号与一览表不符，经发包人同意，承包人可代为调剂串换，由发包人承担相应费用；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 到货地点与一览表不符，由发包人负责运至一览表指定地点：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(5) 供应数量少于一览表约定的数量时，由发包人补齐，多于一览表约定数量时，发包人负责将多出部分运出施工场地；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(6) 到货时间早于一览表约定时间，由发包人承担因此发生的保管费用；到货时间迟于一览表约定的供应时间，发包人赔偿由此造成的承包人损失，造成工期延误的，相应顺延工期。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27.5发包人供应的材料设备使用前，由承包人负责检验或试验，不合格的不得使用，检验或试验费用由发包人承担。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27.6发包人供应材料设备的结算方法，双方在专用条款内约定。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28、承包人采购材料设备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28.1 </w:t>
      </w:r>
      <w:r>
        <w:rPr>
          <w:rFonts w:hint="eastAsia" w:ascii="宋体" w:hAnsi="宋体"/>
          <w:color w:val="auto"/>
          <w:szCs w:val="21"/>
          <w:highlight w:val="none"/>
        </w:rPr>
        <w:t>承包人负责采购材料设备的，应按照专用条款约定及设计和有关标准要求采购，并提供产品合格证明，对材料设备质量负责。承包人在材料设备到货前</w:t>
      </w:r>
      <w:r>
        <w:rPr>
          <w:rFonts w:ascii="宋体" w:hAnsi="宋体"/>
          <w:color w:val="auto"/>
          <w:szCs w:val="21"/>
          <w:highlight w:val="none"/>
        </w:rPr>
        <w:t>24小时通知工程师清点。</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28.2</w:t>
      </w:r>
      <w:r>
        <w:rPr>
          <w:rFonts w:ascii="宋体" w:hAnsi="宋体"/>
          <w:color w:val="auto"/>
          <w:spacing w:val="8"/>
          <w:szCs w:val="21"/>
          <w:highlight w:val="none"/>
        </w:rPr>
        <w:t xml:space="preserve"> 承包人采购的材料设备与设计或标准要求不符时，承包人应按工程师要</w:t>
      </w:r>
      <w:r>
        <w:rPr>
          <w:rFonts w:hint="eastAsia" w:ascii="宋体" w:hAnsi="宋体"/>
          <w:color w:val="auto"/>
          <w:szCs w:val="21"/>
          <w:highlight w:val="none"/>
        </w:rPr>
        <w:t>求的时间运出施工场地，重新采购符合要求的产品，承担由此发生的费用，由此延误的工期不予顺延。</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28.3 承包人采购的材料设备在使用前，承包人应按工程师的要求进行检验或试验，不合格的不得使用，检验或试验费用由承包人承担。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28.4 工程师发现承包人采购并使用不符合设计或标准要求的材料设备时，应要求由承包人负责修复、拆除或重新采购，并承担发生的费用，由此延误的工期不予顺延。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28.5 承包人需要使用代用材料时，应经工程师认可后才能使用，由此增减的合同价款双方以书面形式议定。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28.6 由承包人采购的材料设备，发包人不得指定生产厂或供应商。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八、工程变更</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29、工程设计变更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29.1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 更改工程有关部分的标高、基线、位置和尺寸；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 增减合同中约定的工程量；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 改变有关工程的施工时间和顺序；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 其他有关工程变更需要的附加工作。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因变更导致合同价款的增减及造成的承包人损失，由发包人承担，延误的工期相应顺延。</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29.2施工中承包人不得对原工程设计进行变更。因承包人擅自变更设计发生的费用和由此导致发包人的直接损失，由承包人承担，延误的工期不予顺延。</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29.3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工程师同意采用承包人合理化建议，所发生的费用和获得的收益，发包人承包人另行约定分担或分享。</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30、其他变更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合同履行中发包人要求变更工程质量标准及发生其他实质性变更，由双方协商解决。</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31、确定变更价款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31.1承包人在工程变更确定后14天内，提出变更工程价款的报告，经工程师确认后调整合同价款。变更合同价款按下列方法进行：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 合同中已有适用于变更工程的价格，按合同已有的价格变更合同价款；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 合同中只有类似于变更工程的价格，可以参照类似价格变更合同价款；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 合同中没有适用或类似于变更工程的价格，由承包人提出适当的变更价格，经工程师确认后执行。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31.2承包人在双方确定变更后14天内不向工程师提出变更工程价款报告时，视为该项变更不涉及合同价款的变更。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31.3工程师应在收到变更工程价款报告之日起14天内予以确认，工程师无正当理由不确认时，自变更工程价款报告送达之日起14天后视为变更工程价款报告已被确认。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31.4工程师不同意承包人提出的变更价款，按本通用条款第37条关于争议的约定处理。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31.5工程师确认增加的工程变更价款作为追加合同价款，与工程款同期支付。</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31.6因承包人自身原因导致的工程变更，承包人无权要求追加合同价款。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九、竣工验收与结算</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32、竣工验收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32.1 </w:t>
      </w:r>
      <w:r>
        <w:rPr>
          <w:rFonts w:hint="eastAsia" w:ascii="宋体" w:hAnsi="宋体"/>
          <w:color w:val="auto"/>
          <w:szCs w:val="21"/>
          <w:highlight w:val="none"/>
        </w:rPr>
        <w:t>工程具备竣工验收条件，承包人按国家工程竣工验收有关规定，向发包人提供完整竣工资料及竣工验收报告。双方约定由承包人提供竣工图的，应当在专用条款内约定提供的日期和份数。</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32.2 </w:t>
      </w:r>
      <w:r>
        <w:rPr>
          <w:rFonts w:hint="eastAsia" w:ascii="宋体" w:hAnsi="宋体"/>
          <w:color w:val="auto"/>
          <w:szCs w:val="21"/>
          <w:highlight w:val="none"/>
        </w:rPr>
        <w:t>发包人收到竣工验收报告后</w:t>
      </w:r>
      <w:r>
        <w:rPr>
          <w:rFonts w:ascii="宋体" w:hAnsi="宋体"/>
          <w:color w:val="auto"/>
          <w:szCs w:val="21"/>
          <w:highlight w:val="none"/>
        </w:rPr>
        <w:t>28天内组织有关单位验收，并在验收后14天内给予认可或提出修改意见。承包人按要求修改，并承担由自身原因造成修改的费用。</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32.3 发包人收到承包人送交的竣工验收报告后28天内不组织验收，或验收后14天内不提出修改意见，视为竣工验收报告已被认可。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32.4 工程竣工验收通过，承包人送交竣工验收报告的日期为实际竣工日期。工程按发包人要求修改后通过竣工验收的，实际竣工日期为承包人修改后提请发包人验收的日期。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32.5 发包人收到承包人竣工验收报告后28天内不组织验收，从第29天起承担工程保管及一切意外责任。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32.6 中间交工工程的范围和竣工时间，双方在专用条款内约定，其验收程序按本通用条款32.1款至32.4款办理。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32.7 因特殊原因，发包人要求部分单位工程或工程部位甩项竣工的，双方另行签订甩项竣工协议，明确双方责任和工程价款支付方法。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32.8 工程未经竣工验收或竣工验收未通过的，发包人不得使用。发包人强行使用时，由此发生的质量问题及其他问题，由发包人承担责任。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33、竣工结算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33.1 工程竣工验收报告经发包人认可后28天内，承包人向发包人递交竣工结算报告及完整的结算资料，双方按照协议书约定的合同价款及专用条款约定的合同价款调整内容，进行工程竣工结算。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33.2 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33.3 </w:t>
      </w:r>
      <w:r>
        <w:rPr>
          <w:rFonts w:hint="eastAsia" w:ascii="宋体" w:hAnsi="宋体"/>
          <w:color w:val="auto"/>
          <w:szCs w:val="21"/>
          <w:highlight w:val="none"/>
        </w:rPr>
        <w:t>发包人收到竣工结算报告及结算资料后</w:t>
      </w:r>
      <w:r>
        <w:rPr>
          <w:rFonts w:ascii="宋体" w:hAnsi="宋体"/>
          <w:color w:val="auto"/>
          <w:szCs w:val="21"/>
          <w:highlight w:val="none"/>
        </w:rPr>
        <w:t>28天内无正当理由不支付工程竣工结算价款，从第29天起按承包人同期向银行贷款利率支付拖欠工程价款的利息，并承担违约责任。</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33.4 </w:t>
      </w:r>
      <w:r>
        <w:rPr>
          <w:rFonts w:hint="eastAsia" w:ascii="宋体" w:hAnsi="宋体"/>
          <w:color w:val="auto"/>
          <w:szCs w:val="21"/>
          <w:highlight w:val="none"/>
        </w:rPr>
        <w:t>发包人收到竣工结算报告及结算资料后</w:t>
      </w:r>
      <w:r>
        <w:rPr>
          <w:rFonts w:ascii="宋体" w:hAnsi="宋体"/>
          <w:color w:val="auto"/>
          <w:szCs w:val="21"/>
          <w:highlight w:val="none"/>
        </w:rPr>
        <w:t>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33.5 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33.6 发包人承包人对工程竣工结算价款发生争议时，按本通用条款37条关于争议的约定处理。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34、质量保修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34.1 承包人应按法律、行政法规或国家关于工程质量保修的有关规定，对交付发包人使用的工程在质量保修期内承担质量保修责任。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34.2 质量保修工作的实施。承包人应在工程竣工验收之前，与发包人签订质量保修书，作为本合同附件（附件3）。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34.3 质量保修书的主要内容包括：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 质量保修项目内容及范围；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 质量保修期；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 质量保修责任；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 质量保修金的支付方法。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十、违约、索赔和争议</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35、违约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35.1发包人违约。当发生下列情况时：</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 本通用条款第24条提到的发包人不按时支付工程预付款；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 本通用条款第26.4款提到的发包人不按合同约定支付工程款，导致施工无法进行；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 </w:t>
      </w:r>
      <w:r>
        <w:rPr>
          <w:rFonts w:hint="eastAsia" w:ascii="宋体" w:hAnsi="宋体"/>
          <w:color w:val="auto"/>
          <w:szCs w:val="21"/>
          <w:highlight w:val="none"/>
        </w:rPr>
        <w:t>本通用条款第</w:t>
      </w:r>
      <w:r>
        <w:rPr>
          <w:rFonts w:ascii="宋体" w:hAnsi="宋体"/>
          <w:color w:val="auto"/>
          <w:szCs w:val="21"/>
          <w:highlight w:val="none"/>
        </w:rPr>
        <w:t>33.3款提到的发包人无正当理由不支付工程竣工结算价款；</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 发包人不履行合同义务或不按合同约定履行义务的其他情况。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发包人承担违约责任，赔偿因其违约给承包人造成的经济损失，顺延延误的工期。双方在专用条款内约定发包人赔偿承包人损失的计算方法或者发包人应当支付违约金的数额或计算方法。</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35.2承包人违约。当发生下列情况时：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 本通用条款第14.2款提到的因承包人原因不能按照协议书约定的竣工日期或工程师同意顺延的工期竣工；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 本通用条款第15.1款提到的因承包人原因工程质量达不到协议书约定的质量标准；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 承包人不履行合同义务或不按合同约定履行义务的其他情况。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承包人承担违约责任，赔偿因其违约给发包人造成的损失。双方在专用条款内约定承包人赔偿发包人损失的计算方法或者承包人应当支付违约金的数额或计算方法。</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35.3一方违约后，另一方要求违约方继续履行合同时，违约方承担上述违约责任后仍应继续履行合同。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36、索赔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36.1当</w:t>
      </w:r>
      <w:r>
        <w:rPr>
          <w:rFonts w:hint="eastAsia" w:ascii="宋体" w:hAnsi="宋体"/>
          <w:color w:val="auto"/>
          <w:szCs w:val="21"/>
          <w:highlight w:val="none"/>
        </w:rPr>
        <w:t>一方向另一方提出索赔时，要有正当索赔理由，且有索赔事件发生时的有效证据。</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36.2发包人未能按合同约定履行自己的各项义务或发生错误以及应由发包人承担责任的其他情况，造成工期延误和（或）承包人不能及时得到合同价款及承包人的其他经济损失，承包人可按下列程序以书面形式向发包人索赔：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 索赔事件发生后28天内，向工程师发出索赔意向通知；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 发出索赔意向通知后28天内，向工程师提出延长工期和（或）补偿经济损失的索赔报告及有关资料；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 工程师在收到承包人送交的索赔报告及有关资料后，于28天内给予答复，或要求承包人进一步补充索赔理由和证据；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 工程师在收到承包人送交的索赔报告和有关资料后28天内未予答复或未对承包人作进一步要求，视为该项索赔已经认可；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(5) 当该索赔事件持续进行时，承包人应当阶段性向工程师发出索赔意向，在索赔事件终了后28天内，向工程师送交索赔的有关资料和最终索赔报告。索赔答复程序与（3）、（4）规定相同。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36.3承包人未能按合同约定履行自己的各项义务或发生错误，给发包人造成经济损失，发包人可按36.2款确定的时限向承包人提出索赔。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37、争议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37.1发包人承包人在履行合同时发生争议，可以和解或者要求有关主管部门调解。当事人不愿和解、调解或者和解、调解不成的，双方可以在专用条款内约定以下一种方式解决争议：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第一种解决方式：双方达成仲裁协议，向约定的仲裁委员会申请仲裁；</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第二种解决方式：向有管辖权的人民法院起诉。</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37.2发生争议后，除非出现下列情况的，双方都应继续履行合同，保持施工连续，保护好已完工程：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 单方违约导致合同确已无法履行，双方协议停止施工；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 调解要求停止施工，且为双方接受；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 仲裁机构要求停止施工；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 法院要求停止施工。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十一、其他</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38、工程分包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38.1 承包人按专用条款的约定分包所承包的部分工程，并与分包单位签订分包合同。非经发包人同意，承包人不得将承包工程的任何部分分包。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38.2 承包人不得将其承包的全部工程转包给他人，也不得将其承包的全部工程肢解以后以分包的名义分别转包给他人。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38.3 工程分包不能解除承包人任何责任与义务。承包人应在分包场地派驻相应管理人员，保证本合同的履行。分包单位的任何违约行为或疏忽导致工程损害或给发包人造成其他损失，承包人承担连带责任。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38.4分包工程价款由承包人与分包单位结算。发包人未经承包人同意不得以任何形式向分包单位支付各种工程款项。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39、不可抗力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39.1 </w:t>
      </w:r>
      <w:r>
        <w:rPr>
          <w:rFonts w:hint="eastAsia" w:ascii="宋体" w:hAnsi="宋体"/>
          <w:color w:val="auto"/>
          <w:szCs w:val="21"/>
          <w:highlight w:val="none"/>
        </w:rPr>
        <w:t>不可抗力包括因战争、动乱、空中飞行物体坠落或其他非发包人承包人责任造成的爆炸、火灾，以及专用条款约定的风、雨、雪、洪、震等自然灾害。</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39.2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39.3 </w:t>
      </w:r>
      <w:r>
        <w:rPr>
          <w:rFonts w:hint="eastAsia" w:ascii="宋体" w:hAnsi="宋体"/>
          <w:color w:val="auto"/>
          <w:szCs w:val="21"/>
          <w:highlight w:val="none"/>
        </w:rPr>
        <w:t>因不可抗力事件导致的费用及延误的工期由双方按以下方法分别承担：</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 </w:t>
      </w:r>
      <w:r>
        <w:rPr>
          <w:rFonts w:hint="eastAsia" w:ascii="宋体" w:hAnsi="宋体"/>
          <w:color w:val="auto"/>
          <w:szCs w:val="21"/>
          <w:highlight w:val="none"/>
        </w:rPr>
        <w:t>工程本身的损害、因工程损害导致第三人人员伤亡和财产损失以及运至施工场地用于施工的材料和待安装的设备的损害，由发包人承担；</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 发包人承包人人员伤亡由其所在单位负责，并承担相应费用；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 承包人机械设备损坏及停工损失，由承包人承担；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 停工期间，承包人应工程师要求留在施工场地的必要的管理人员及保卫人员的费用由发包人承担；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(5) 工程所需清理、修复费用，由发包人承担；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(6) 延误的工期相应顺延。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39.4因合同一方迟延履行合同后发生不可抗力的，不能免除迟延履行方的相应责任。</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40、保险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40.1工程开工前，发包人为建设工程和施工场地内的自有人员及第三</w:t>
      </w:r>
      <w:r>
        <w:rPr>
          <w:rFonts w:hint="eastAsia" w:ascii="宋体" w:hAnsi="宋体"/>
          <w:color w:val="auto"/>
          <w:szCs w:val="21"/>
          <w:highlight w:val="none"/>
        </w:rPr>
        <w:t>人人员生命财产办理保险，支付保险费用。</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40.2运至施工场内用于工程的材料和待安装设备，由发包人办理保险，并支付保险费用。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40.3发包人可以将有关保险事项委托承包人办理，费用由发包人承担。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40.4承包人必须为从事危险作业的职工办理意外伤害保险，并为施工场地内自有人员生命财产和施工机械设备办理保险，支付保险费用。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40.5保险事故发生时，发包人承包人有责任尽力采取必要的措施，防止或者减少损失。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40.6具体投保内容和相关责任，发包人承包人在专用条款中约定。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41、担保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41.1发包人、承包人为了全面履行合同，应互相提供以下担保：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 发包人向承包人提供履约担保，按合同约定支付工程价款及履行合同约定的其他义务。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 承包人向发包人提供履约担保，按合同约定履行自己的各项义务。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41.2 一方违约后，另一方可要求提供担保的第三人承担相应责任。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41.3 提供担保的内容、方式和相关责任，发包人承包人除在专用条款中约定外，被担保方与担保方还应签订担保合同，作为本合同附件。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42、专利技术及特殊工艺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42.1 </w:t>
      </w:r>
      <w:r>
        <w:rPr>
          <w:rFonts w:hint="eastAsia" w:ascii="宋体" w:hAnsi="宋体"/>
          <w:color w:val="auto"/>
          <w:szCs w:val="21"/>
          <w:highlight w:val="none"/>
        </w:rPr>
        <w:t>发包人要求使用专利技术或特殊工艺，应负责办理相应的申报手续，承担申报、试验、使用等费用；承包人提出使用专利技术或特殊工艺，应取得工程师认可，承包人负责办理申报手续并承担有关费用。</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42.2 擅自使用专利技术侵犯他人专利权的，责任者依法承担相应责任。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43、文物和地下障碍物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43.1 </w:t>
      </w:r>
      <w:r>
        <w:rPr>
          <w:rFonts w:hint="eastAsia" w:ascii="宋体" w:hAnsi="宋体"/>
          <w:color w:val="auto"/>
          <w:szCs w:val="21"/>
          <w:highlight w:val="none"/>
        </w:rPr>
        <w:t>在施工中发现古墓、古建筑遗址等文物及化石或其他有考古、地质研究等价值的物品时，承包人应立即保护好现场并于</w:t>
      </w:r>
      <w:r>
        <w:rPr>
          <w:rFonts w:ascii="宋体" w:hAnsi="宋体"/>
          <w:color w:val="auto"/>
          <w:szCs w:val="21"/>
          <w:highlight w:val="none"/>
        </w:rPr>
        <w:t>4小时内以书面形式通知工程师，工程师应于收到书面通知后24小时内报告当地文物管理部门，发包人承包人按文物管理部门的要求采取妥善保护措施。发包人承担由此发生的费用，顺延延误的工期。</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如发现后隐瞒不报，致使文物遭受破坏，责任者依法承担相应责任。</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43.2 </w:t>
      </w:r>
      <w:r>
        <w:rPr>
          <w:rFonts w:hint="eastAsia" w:ascii="宋体" w:hAnsi="宋体"/>
          <w:color w:val="auto"/>
          <w:szCs w:val="21"/>
          <w:highlight w:val="none"/>
        </w:rPr>
        <w:t>施工中发现影响施工的地下障碍物时，承包人应于</w:t>
      </w:r>
      <w:r>
        <w:rPr>
          <w:rFonts w:ascii="宋体" w:hAnsi="宋体"/>
          <w:color w:val="auto"/>
          <w:szCs w:val="21"/>
          <w:highlight w:val="none"/>
        </w:rPr>
        <w:t>8小时内以书面形式通知工程师，同时提出处置</w:t>
      </w:r>
      <w:r>
        <w:rPr>
          <w:rFonts w:hint="eastAsia" w:ascii="宋体" w:hAnsi="宋体"/>
          <w:color w:val="auto"/>
          <w:szCs w:val="21"/>
          <w:highlight w:val="none"/>
        </w:rPr>
        <w:t>方案，工程师收到</w:t>
      </w:r>
      <w:r>
        <w:rPr>
          <w:rFonts w:ascii="宋体" w:hAnsi="宋体"/>
          <w:color w:val="auto"/>
          <w:szCs w:val="21"/>
          <w:highlight w:val="none"/>
        </w:rPr>
        <w:t>处置</w:t>
      </w:r>
      <w:r>
        <w:rPr>
          <w:rFonts w:hint="eastAsia" w:ascii="宋体" w:hAnsi="宋体"/>
          <w:color w:val="auto"/>
          <w:szCs w:val="21"/>
          <w:highlight w:val="none"/>
        </w:rPr>
        <w:t>方案后</w:t>
      </w:r>
      <w:r>
        <w:rPr>
          <w:rFonts w:ascii="宋体" w:hAnsi="宋体"/>
          <w:color w:val="auto"/>
          <w:szCs w:val="21"/>
          <w:highlight w:val="none"/>
        </w:rPr>
        <w:t>24小时内予以认可或提出修正方案。发包人承担由此发生的费用，顺延延误的工期。</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所发现的地下障碍物有归属单位时，发包人应报请有关部门协同处置。</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44、合同解除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44.1 发包人承包人协商一致，可以解除合同。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44.2 发生本通用条款第26.4款情况，停止施工超过56天，发包人仍不支付工程款（进度款），承包人有权解除合同。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44.3 发生本通用条款第38.2款禁止的情况，承包人将其承包的全部工程转包给他人或者肢解以后以分包的名义分别转包给他人，发包人有权解除合同。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44.4 有下列情形之一的，发包人承包人可以解除合同：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 因不可抗力致使合同无法履行；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 </w:t>
      </w:r>
      <w:r>
        <w:rPr>
          <w:rFonts w:hint="eastAsia" w:ascii="宋体" w:hAnsi="宋体"/>
          <w:color w:val="auto"/>
          <w:szCs w:val="21"/>
          <w:highlight w:val="none"/>
        </w:rPr>
        <w:t>因一方违约（包括因发包人原因造成工程停建或缓建）致使合同无法履行。</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44.5一方依据44.2、44.3、44.4款约定要求解除合同的，应以书面形式向对方发出解除合同的通知，并在发出通知前7天告知对方，通知到达对方时合同解除。对解除合同有争议的，按本通用条款第37条关于争议的约定处理。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44.6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w:t>
      </w:r>
      <w:r>
        <w:rPr>
          <w:rFonts w:hint="eastAsia" w:ascii="宋体" w:hAnsi="宋体"/>
          <w:color w:val="auto"/>
          <w:szCs w:val="21"/>
          <w:highlight w:val="none"/>
        </w:rPr>
        <w:t>合同解除给对方造成的损失。</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44.7合同解除后，不影响双方在合同中约定的结算和清理条款的效力。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45、合同生效与终止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45.1双方在协议书中约定合同生效方式。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45.2除本通用条款第34条外，发包人承包人履行合同全部义务，竣工结算价款支付完毕，承包人向发包人交付竣工工程后，本合同即告终止。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45.3合同的权利义务终止后，发包人承包人应当遵循诚实信用原则，履行通知、协助、保密等义务。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46、合同份数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46.1本合同正本两份，具有同等效力，由发包人承包人分别保存一份。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46.2本合同副本份数，由双方根据需要在专用条款内约定。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47、补充条款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双方根据有关法律、行政法规规定，结合工程实际，经协商一致后，可对本通用条款内容具体化，补充或修改，在专用条款内约定。</w:t>
      </w:r>
    </w:p>
    <w:p>
      <w:pPr>
        <w:spacing w:line="440" w:lineRule="exact"/>
        <w:ind w:firstLine="359" w:firstLineChars="171"/>
        <w:jc w:val="center"/>
        <w:rPr>
          <w:rFonts w:ascii="宋体" w:hAnsi="宋体"/>
          <w:b/>
          <w:color w:val="auto"/>
          <w:sz w:val="24"/>
          <w:highlight w:val="none"/>
        </w:rPr>
      </w:pPr>
      <w:r>
        <w:rPr>
          <w:rFonts w:ascii="宋体" w:hAnsi="宋体"/>
          <w:color w:val="auto"/>
          <w:szCs w:val="21"/>
          <w:highlight w:val="none"/>
        </w:rPr>
        <w:br w:type="page"/>
      </w:r>
      <w:r>
        <w:rPr>
          <w:rFonts w:hint="eastAsia" w:ascii="宋体" w:hAnsi="宋体"/>
          <w:b/>
          <w:color w:val="auto"/>
          <w:sz w:val="24"/>
          <w:highlight w:val="none"/>
        </w:rPr>
        <w:t>第三部分</w:t>
      </w:r>
      <w:r>
        <w:rPr>
          <w:rFonts w:ascii="宋体" w:hAnsi="宋体"/>
          <w:b/>
          <w:color w:val="auto"/>
          <w:sz w:val="24"/>
          <w:highlight w:val="none"/>
        </w:rPr>
        <w:t xml:space="preserve">  </w:t>
      </w:r>
      <w:r>
        <w:rPr>
          <w:rFonts w:hint="eastAsia" w:ascii="宋体" w:hAnsi="宋体"/>
          <w:b/>
          <w:color w:val="auto"/>
          <w:sz w:val="24"/>
          <w:highlight w:val="none"/>
        </w:rPr>
        <w:t>专用条款</w:t>
      </w:r>
    </w:p>
    <w:p>
      <w:pPr>
        <w:snapToGrid w:val="0"/>
        <w:spacing w:line="440" w:lineRule="exact"/>
        <w:ind w:firstLine="397"/>
        <w:rPr>
          <w:rFonts w:ascii="宋体" w:hAnsi="宋体"/>
          <w:b/>
          <w:color w:val="auto"/>
          <w:sz w:val="24"/>
          <w:highlight w:val="none"/>
        </w:rPr>
      </w:pPr>
    </w:p>
    <w:p>
      <w:pPr>
        <w:snapToGrid w:val="0"/>
        <w:spacing w:line="440" w:lineRule="exact"/>
        <w:ind w:firstLine="397"/>
        <w:rPr>
          <w:rFonts w:ascii="宋体" w:hAnsi="宋体"/>
          <w:b/>
          <w:color w:val="auto"/>
          <w:sz w:val="24"/>
          <w:highlight w:val="none"/>
        </w:rPr>
      </w:pPr>
      <w:r>
        <w:rPr>
          <w:rFonts w:hint="eastAsia" w:ascii="宋体" w:hAnsi="宋体"/>
          <w:b/>
          <w:color w:val="auto"/>
          <w:sz w:val="24"/>
          <w:highlight w:val="none"/>
        </w:rPr>
        <w:t>一、词语定义及合同文件</w:t>
      </w:r>
    </w:p>
    <w:p>
      <w:pPr>
        <w:snapToGrid w:val="0"/>
        <w:spacing w:line="440" w:lineRule="exact"/>
        <w:ind w:firstLine="482" w:firstLineChars="200"/>
        <w:rPr>
          <w:rFonts w:ascii="宋体" w:hAnsi="宋体"/>
          <w:color w:val="auto"/>
          <w:szCs w:val="21"/>
          <w:highlight w:val="none"/>
        </w:rPr>
      </w:pPr>
      <w:r>
        <w:rPr>
          <w:rFonts w:ascii="宋体" w:hAnsi="宋体"/>
          <w:b/>
          <w:bCs/>
          <w:color w:val="auto"/>
          <w:sz w:val="24"/>
          <w:highlight w:val="none"/>
        </w:rPr>
        <w:t>1.词语定义</w:t>
      </w:r>
    </w:p>
    <w:p>
      <w:pPr>
        <w:snapToGrid w:val="0"/>
        <w:spacing w:line="440" w:lineRule="exact"/>
        <w:ind w:firstLine="420" w:firstLineChars="200"/>
        <w:rPr>
          <w:rFonts w:ascii="宋体" w:hAnsi="宋体"/>
          <w:color w:val="auto"/>
          <w:szCs w:val="21"/>
          <w:highlight w:val="none"/>
        </w:rPr>
      </w:pPr>
      <w:r>
        <w:rPr>
          <w:rFonts w:ascii="宋体" w:hAnsi="宋体"/>
          <w:color w:val="auto"/>
          <w:szCs w:val="21"/>
          <w:highlight w:val="none"/>
        </w:rPr>
        <w:t>1.6</w:t>
      </w:r>
      <w:r>
        <w:rPr>
          <w:rFonts w:hint="eastAsia" w:ascii="宋体" w:hAnsi="宋体"/>
          <w:color w:val="auto"/>
          <w:szCs w:val="21"/>
          <w:highlight w:val="none"/>
        </w:rPr>
        <w:t>设计单位</w:t>
      </w:r>
    </w:p>
    <w:p>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本合同工程的设计单位是：</w:t>
      </w:r>
      <w:r>
        <w:rPr>
          <w:rFonts w:ascii="宋体" w:hAnsi="宋体"/>
          <w:color w:val="auto"/>
          <w:szCs w:val="21"/>
          <w:highlight w:val="none"/>
          <w:u w:val="single"/>
        </w:rPr>
        <w:t xml:space="preserve">                      </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rPr>
      </w:pPr>
      <w:r>
        <w:rPr>
          <w:rFonts w:ascii="宋体" w:hAnsi="宋体"/>
          <w:color w:val="auto"/>
          <w:szCs w:val="21"/>
          <w:highlight w:val="none"/>
        </w:rPr>
        <w:t>1.7</w:t>
      </w:r>
      <w:r>
        <w:rPr>
          <w:rFonts w:hint="eastAsia" w:ascii="宋体" w:hAnsi="宋体"/>
          <w:color w:val="auto"/>
          <w:szCs w:val="21"/>
          <w:highlight w:val="none"/>
        </w:rPr>
        <w:t>监理单位</w:t>
      </w:r>
    </w:p>
    <w:p>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本合同工程的监理单位是：</w:t>
      </w:r>
      <w:r>
        <w:rPr>
          <w:rFonts w:ascii="宋体" w:hAnsi="宋体"/>
          <w:color w:val="auto"/>
          <w:szCs w:val="21"/>
          <w:highlight w:val="none"/>
          <w:u w:val="single"/>
        </w:rPr>
        <w:t xml:space="preserve">                       </w:t>
      </w:r>
      <w:r>
        <w:rPr>
          <w:rFonts w:ascii="宋体" w:hAnsi="宋体"/>
          <w:color w:val="auto"/>
          <w:szCs w:val="21"/>
          <w:highlight w:val="none"/>
        </w:rPr>
        <w:t>。</w:t>
      </w:r>
    </w:p>
    <w:p>
      <w:pPr>
        <w:snapToGrid w:val="0"/>
        <w:spacing w:line="440" w:lineRule="exact"/>
        <w:ind w:firstLine="420" w:firstLineChars="200"/>
        <w:rPr>
          <w:rFonts w:ascii="宋体" w:hAnsi="宋体"/>
          <w:color w:val="auto"/>
          <w:szCs w:val="21"/>
          <w:highlight w:val="none"/>
        </w:rPr>
      </w:pPr>
      <w:r>
        <w:rPr>
          <w:rFonts w:ascii="宋体" w:hAnsi="宋体"/>
          <w:color w:val="auto"/>
          <w:szCs w:val="21"/>
          <w:highlight w:val="none"/>
        </w:rPr>
        <w:t>1.24招标控制价：</w:t>
      </w:r>
      <w:r>
        <w:rPr>
          <w:rFonts w:hint="eastAsia" w:ascii="宋体" w:hAnsi="宋体"/>
          <w:color w:val="auto"/>
          <w:szCs w:val="21"/>
          <w:highlight w:val="none"/>
          <w:u w:val="single"/>
        </w:rPr>
        <w:t>指经招标人确定的最高投标限价，并在广州公共资源交易中心开发区、黄埔区交易部公示</w:t>
      </w:r>
      <w:r>
        <w:rPr>
          <w:rFonts w:hint="eastAsia" w:ascii="宋体" w:hAnsi="宋体"/>
          <w:color w:val="auto"/>
          <w:szCs w:val="21"/>
          <w:highlight w:val="none"/>
        </w:rPr>
        <w:t>。</w:t>
      </w:r>
    </w:p>
    <w:p>
      <w:pPr>
        <w:snapToGrid w:val="0"/>
        <w:spacing w:line="440" w:lineRule="exact"/>
        <w:ind w:firstLine="420" w:firstLineChars="200"/>
        <w:rPr>
          <w:rFonts w:hint="eastAsia" w:ascii="宋体" w:hAnsi="宋体"/>
          <w:color w:val="auto"/>
          <w:szCs w:val="21"/>
          <w:highlight w:val="none"/>
          <w:u w:val="single"/>
        </w:rPr>
      </w:pPr>
      <w:r>
        <w:rPr>
          <w:rFonts w:ascii="宋体" w:hAnsi="宋体"/>
          <w:color w:val="auto"/>
          <w:szCs w:val="21"/>
          <w:highlight w:val="none"/>
        </w:rPr>
        <w:t>1.25中标下浮率：</w:t>
      </w:r>
      <w:r>
        <w:rPr>
          <w:rFonts w:hint="eastAsia" w:ascii="宋体" w:hAnsi="宋体"/>
          <w:color w:val="auto"/>
          <w:szCs w:val="21"/>
          <w:highlight w:val="none"/>
          <w:u w:val="single"/>
        </w:rPr>
        <w:t>中标下浮率</w:t>
      </w:r>
      <w:r>
        <w:rPr>
          <w:rFonts w:ascii="宋体" w:hAnsi="宋体"/>
          <w:color w:val="auto"/>
          <w:szCs w:val="21"/>
          <w:highlight w:val="none"/>
          <w:u w:val="single"/>
        </w:rPr>
        <w:t>=</w:t>
      </w:r>
      <w:r>
        <w:rPr>
          <w:rFonts w:hint="eastAsia" w:ascii="宋体" w:hAnsi="宋体"/>
          <w:color w:val="auto"/>
          <w:szCs w:val="21"/>
          <w:highlight w:val="none"/>
          <w:u w:val="single"/>
        </w:rPr>
        <w:t>（</w:t>
      </w:r>
      <w:r>
        <w:rPr>
          <w:rFonts w:ascii="宋体" w:hAnsi="宋体"/>
          <w:color w:val="auto"/>
          <w:szCs w:val="21"/>
          <w:highlight w:val="none"/>
          <w:u w:val="single"/>
        </w:rPr>
        <w:t>1-中标价格÷招标控制价</w:t>
      </w:r>
      <w:r>
        <w:rPr>
          <w:rFonts w:hint="eastAsia" w:ascii="宋体" w:hAnsi="宋体"/>
          <w:color w:val="auto"/>
          <w:szCs w:val="21"/>
          <w:highlight w:val="none"/>
          <w:u w:val="single"/>
        </w:rPr>
        <w:t>）×</w:t>
      </w:r>
      <w:r>
        <w:rPr>
          <w:rFonts w:ascii="宋体" w:hAnsi="宋体"/>
          <w:color w:val="auto"/>
          <w:szCs w:val="21"/>
          <w:highlight w:val="none"/>
          <w:u w:val="single"/>
        </w:rPr>
        <w:t>100%</w:t>
      </w:r>
      <w:r>
        <w:rPr>
          <w:rFonts w:hint="eastAsia" w:ascii="宋体" w:hAnsi="宋体"/>
          <w:color w:val="auto"/>
          <w:szCs w:val="21"/>
          <w:highlight w:val="none"/>
          <w:u w:val="single"/>
        </w:rPr>
        <w:t>,式中的中标价格及招标控制价均不含不可竞争的绿色施工安全防护措施费及暂列金额。</w:t>
      </w:r>
    </w:p>
    <w:p>
      <w:pPr>
        <w:snapToGrid w:val="0"/>
        <w:spacing w:line="44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1.26工人工资比例=中标通知书规定的人工费金额</w:t>
      </w:r>
      <w:r>
        <w:rPr>
          <w:rFonts w:ascii="宋体" w:hAnsi="宋体"/>
          <w:color w:val="auto"/>
          <w:szCs w:val="21"/>
          <w:highlight w:val="none"/>
        </w:rPr>
        <w:t>÷</w:t>
      </w:r>
      <w:r>
        <w:rPr>
          <w:rFonts w:hint="eastAsia" w:ascii="宋体" w:hAnsi="宋体"/>
          <w:color w:val="auto"/>
          <w:szCs w:val="21"/>
          <w:highlight w:val="none"/>
        </w:rPr>
        <w:t>中标价格</w:t>
      </w:r>
    </w:p>
    <w:p>
      <w:pPr>
        <w:snapToGrid w:val="0"/>
        <w:spacing w:line="440" w:lineRule="exact"/>
        <w:ind w:firstLine="482" w:firstLineChars="200"/>
        <w:rPr>
          <w:rFonts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、合同文件及解释顺序</w:t>
      </w:r>
    </w:p>
    <w:p>
      <w:pPr>
        <w:snapToGrid w:val="0"/>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2.1</w:t>
      </w:r>
      <w:r>
        <w:rPr>
          <w:rFonts w:hint="eastAsia" w:ascii="宋体" w:hAnsi="宋体"/>
          <w:color w:val="auto"/>
          <w:szCs w:val="21"/>
          <w:highlight w:val="none"/>
        </w:rPr>
        <w:t>合同文件组成及解释顺序：</w:t>
      </w:r>
      <w:r>
        <w:rPr>
          <w:rFonts w:ascii="宋体" w:hAnsi="宋体"/>
          <w:color w:val="auto"/>
          <w:szCs w:val="21"/>
          <w:highlight w:val="none"/>
          <w:u w:val="single"/>
        </w:rPr>
        <w:t>1.</w:t>
      </w:r>
      <w:r>
        <w:rPr>
          <w:rFonts w:hint="eastAsia" w:ascii="宋体" w:hAnsi="宋体"/>
          <w:color w:val="auto"/>
          <w:szCs w:val="21"/>
          <w:highlight w:val="none"/>
          <w:u w:val="single"/>
        </w:rPr>
        <w:t>本合同履行期间发包人与承包人双方签订的补充合同（协议）或修正文件；</w:t>
      </w:r>
      <w:r>
        <w:rPr>
          <w:rFonts w:ascii="宋体" w:hAnsi="宋体"/>
          <w:color w:val="auto"/>
          <w:szCs w:val="21"/>
          <w:highlight w:val="none"/>
          <w:u w:val="single"/>
        </w:rPr>
        <w:t>2.</w:t>
      </w:r>
      <w:r>
        <w:rPr>
          <w:rFonts w:hint="eastAsia" w:ascii="宋体" w:hAnsi="宋体"/>
          <w:color w:val="auto"/>
          <w:szCs w:val="21"/>
          <w:highlight w:val="none"/>
          <w:u w:val="single"/>
        </w:rPr>
        <w:t>本合同协议书；</w:t>
      </w:r>
      <w:r>
        <w:rPr>
          <w:rFonts w:ascii="宋体" w:hAnsi="宋体"/>
          <w:color w:val="auto"/>
          <w:szCs w:val="21"/>
          <w:highlight w:val="none"/>
          <w:u w:val="single"/>
        </w:rPr>
        <w:t>3.</w:t>
      </w:r>
      <w:r>
        <w:rPr>
          <w:rFonts w:hint="eastAsia" w:ascii="宋体" w:hAnsi="宋体"/>
          <w:color w:val="auto"/>
          <w:szCs w:val="21"/>
          <w:highlight w:val="none"/>
          <w:u w:val="single"/>
        </w:rPr>
        <w:t>国家、广东省、广州市、广州开发区黄埔区关于本工程施工的有关文件（发包人在收到后尽快通报给承包人）；</w:t>
      </w:r>
      <w:r>
        <w:rPr>
          <w:rFonts w:ascii="宋体" w:hAnsi="宋体"/>
          <w:color w:val="auto"/>
          <w:szCs w:val="21"/>
          <w:highlight w:val="none"/>
          <w:u w:val="single"/>
        </w:rPr>
        <w:t>4.</w:t>
      </w:r>
      <w:r>
        <w:rPr>
          <w:rFonts w:hint="eastAsia" w:ascii="宋体" w:hAnsi="宋体"/>
          <w:color w:val="auto"/>
          <w:szCs w:val="21"/>
          <w:highlight w:val="none"/>
          <w:u w:val="single"/>
        </w:rPr>
        <w:t>发包人针对本工程建设管理的各项制度、规定；</w:t>
      </w:r>
      <w:r>
        <w:rPr>
          <w:rFonts w:ascii="宋体" w:hAnsi="宋体"/>
          <w:color w:val="auto"/>
          <w:szCs w:val="21"/>
          <w:highlight w:val="none"/>
          <w:u w:val="single"/>
        </w:rPr>
        <w:t>5.</w:t>
      </w:r>
      <w:r>
        <w:rPr>
          <w:rFonts w:hint="eastAsia" w:ascii="宋体" w:hAnsi="宋体"/>
          <w:color w:val="auto"/>
          <w:szCs w:val="21"/>
          <w:highlight w:val="none"/>
          <w:u w:val="single"/>
        </w:rPr>
        <w:t>中标通知书；</w:t>
      </w:r>
      <w:r>
        <w:rPr>
          <w:rFonts w:ascii="宋体" w:hAnsi="宋体"/>
          <w:color w:val="auto"/>
          <w:szCs w:val="21"/>
          <w:highlight w:val="none"/>
          <w:u w:val="single"/>
        </w:rPr>
        <w:t>6.</w:t>
      </w:r>
      <w:r>
        <w:rPr>
          <w:rFonts w:hint="eastAsia" w:ascii="宋体" w:hAnsi="宋体"/>
          <w:color w:val="auto"/>
          <w:szCs w:val="21"/>
          <w:highlight w:val="none"/>
          <w:u w:val="single"/>
        </w:rPr>
        <w:t>本合同专用条款；</w:t>
      </w:r>
      <w:r>
        <w:rPr>
          <w:rFonts w:ascii="宋体" w:hAnsi="宋体"/>
          <w:color w:val="auto"/>
          <w:szCs w:val="21"/>
          <w:highlight w:val="none"/>
          <w:u w:val="single"/>
        </w:rPr>
        <w:t>7.</w:t>
      </w:r>
      <w:r>
        <w:rPr>
          <w:rFonts w:hint="eastAsia" w:ascii="宋体" w:hAnsi="宋体"/>
          <w:color w:val="auto"/>
          <w:szCs w:val="21"/>
          <w:highlight w:val="none"/>
          <w:u w:val="single"/>
        </w:rPr>
        <w:t>招标文件及附件（包括补充、修改、澄清文件及答疑纪要等）；</w:t>
      </w:r>
      <w:r>
        <w:rPr>
          <w:rFonts w:ascii="宋体" w:hAnsi="宋体"/>
          <w:color w:val="auto"/>
          <w:szCs w:val="21"/>
          <w:highlight w:val="none"/>
          <w:u w:val="single"/>
        </w:rPr>
        <w:t>8.</w:t>
      </w:r>
      <w:r>
        <w:rPr>
          <w:rFonts w:hint="eastAsia" w:ascii="宋体" w:hAnsi="宋体"/>
          <w:color w:val="auto"/>
          <w:szCs w:val="21"/>
          <w:highlight w:val="none"/>
          <w:u w:val="single"/>
        </w:rPr>
        <w:t>本合同通用条款；</w:t>
      </w:r>
      <w:r>
        <w:rPr>
          <w:rFonts w:ascii="宋体" w:hAnsi="宋体"/>
          <w:color w:val="auto"/>
          <w:szCs w:val="21"/>
          <w:highlight w:val="none"/>
          <w:u w:val="single"/>
        </w:rPr>
        <w:t>9.</w:t>
      </w:r>
      <w:r>
        <w:rPr>
          <w:rFonts w:hint="eastAsia" w:ascii="宋体" w:hAnsi="宋体"/>
          <w:color w:val="auto"/>
          <w:szCs w:val="21"/>
          <w:highlight w:val="none"/>
          <w:u w:val="single"/>
        </w:rPr>
        <w:t>投标文件及附件；</w:t>
      </w:r>
      <w:r>
        <w:rPr>
          <w:rFonts w:ascii="宋体" w:hAnsi="宋体"/>
          <w:color w:val="auto"/>
          <w:szCs w:val="21"/>
          <w:highlight w:val="none"/>
          <w:u w:val="single"/>
        </w:rPr>
        <w:t>10.</w:t>
      </w:r>
      <w:r>
        <w:rPr>
          <w:rFonts w:hint="eastAsia" w:ascii="宋体" w:hAnsi="宋体"/>
          <w:color w:val="auto"/>
          <w:szCs w:val="21"/>
          <w:highlight w:val="none"/>
          <w:u w:val="single"/>
        </w:rPr>
        <w:t>标准、规范和其他有关技术文件；</w:t>
      </w:r>
      <w:r>
        <w:rPr>
          <w:rFonts w:ascii="宋体" w:hAnsi="宋体"/>
          <w:color w:val="auto"/>
          <w:szCs w:val="21"/>
          <w:highlight w:val="none"/>
          <w:u w:val="single"/>
        </w:rPr>
        <w:t>11.</w:t>
      </w:r>
      <w:r>
        <w:rPr>
          <w:rFonts w:hint="eastAsia" w:ascii="宋体" w:hAnsi="宋体"/>
          <w:color w:val="auto"/>
          <w:szCs w:val="21"/>
          <w:highlight w:val="none"/>
          <w:u w:val="single"/>
        </w:rPr>
        <w:t>图纸；</w:t>
      </w:r>
      <w:r>
        <w:rPr>
          <w:rFonts w:ascii="宋体" w:hAnsi="宋体"/>
          <w:color w:val="auto"/>
          <w:szCs w:val="21"/>
          <w:highlight w:val="none"/>
          <w:u w:val="single"/>
        </w:rPr>
        <w:t>12.</w:t>
      </w:r>
      <w:r>
        <w:rPr>
          <w:rFonts w:hint="eastAsia" w:ascii="宋体" w:hAnsi="宋体"/>
          <w:color w:val="auto"/>
          <w:szCs w:val="21"/>
          <w:highlight w:val="none"/>
          <w:u w:val="single"/>
        </w:rPr>
        <w:t>工程量清单；</w:t>
      </w:r>
      <w:r>
        <w:rPr>
          <w:rFonts w:ascii="宋体" w:hAnsi="宋体"/>
          <w:color w:val="auto"/>
          <w:szCs w:val="21"/>
          <w:highlight w:val="none"/>
          <w:u w:val="single"/>
        </w:rPr>
        <w:t>13.</w:t>
      </w:r>
      <w:r>
        <w:rPr>
          <w:rFonts w:hint="eastAsia" w:ascii="宋体" w:hAnsi="宋体"/>
          <w:color w:val="auto"/>
          <w:szCs w:val="21"/>
          <w:highlight w:val="none"/>
          <w:u w:val="single"/>
        </w:rPr>
        <w:t>合同附件（工程质量保修责任书、标函承诺书、项目负责人驻场承诺书</w:t>
      </w:r>
      <w:r>
        <w:rPr>
          <w:rFonts w:hint="eastAsia" w:ascii="宋体" w:hAnsi="宋体"/>
          <w:color w:val="auto"/>
          <w:sz w:val="28"/>
          <w:szCs w:val="28"/>
          <w:highlight w:val="none"/>
          <w:u w:val="single"/>
        </w:rPr>
        <w:t>、</w:t>
      </w:r>
      <w:r>
        <w:rPr>
          <w:rFonts w:hint="eastAsia" w:ascii="宋体" w:hAnsi="宋体"/>
          <w:color w:val="auto"/>
          <w:szCs w:val="21"/>
          <w:highlight w:val="none"/>
          <w:u w:val="single"/>
        </w:rPr>
        <w:t>工程建设廉政协议书等）</w:t>
      </w:r>
      <w:r>
        <w:rPr>
          <w:rFonts w:hint="eastAsia" w:ascii="宋体" w:hAnsi="宋体"/>
          <w:color w:val="auto"/>
          <w:szCs w:val="21"/>
          <w:highlight w:val="none"/>
        </w:rPr>
        <w:t>。</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、语言文字和适用法律、标准及规范</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3.1</w:t>
      </w:r>
      <w:r>
        <w:rPr>
          <w:rFonts w:hint="eastAsia" w:ascii="宋体" w:hAnsi="宋体"/>
          <w:color w:val="auto"/>
          <w:szCs w:val="21"/>
          <w:highlight w:val="none"/>
        </w:rPr>
        <w:t>本合同除使用汉语外，还使用</w:t>
      </w:r>
      <w:r>
        <w:rPr>
          <w:rFonts w:ascii="宋体" w:hAnsi="宋体"/>
          <w:color w:val="auto"/>
          <w:szCs w:val="21"/>
          <w:highlight w:val="none"/>
          <w:u w:val="single"/>
        </w:rPr>
        <w:t xml:space="preserve">   /   </w:t>
      </w:r>
      <w:r>
        <w:rPr>
          <w:rFonts w:hint="eastAsia" w:ascii="宋体" w:hAnsi="宋体"/>
          <w:color w:val="auto"/>
          <w:szCs w:val="21"/>
          <w:highlight w:val="none"/>
        </w:rPr>
        <w:t>语言文字。</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3.2</w:t>
      </w:r>
      <w:r>
        <w:rPr>
          <w:rFonts w:hint="eastAsia" w:ascii="宋体" w:hAnsi="宋体"/>
          <w:color w:val="auto"/>
          <w:szCs w:val="21"/>
          <w:highlight w:val="none"/>
        </w:rPr>
        <w:t>适用法律和法规</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rPr>
        <w:t>需要明示的法律、行政法规：</w:t>
      </w:r>
      <w:r>
        <w:rPr>
          <w:rFonts w:hint="eastAsia" w:ascii="宋体" w:hAnsi="宋体"/>
          <w:color w:val="auto"/>
          <w:szCs w:val="21"/>
          <w:highlight w:val="none"/>
          <w:u w:val="single"/>
        </w:rPr>
        <w:t>按照现行的法律、法规</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3.3</w:t>
      </w:r>
      <w:r>
        <w:rPr>
          <w:rFonts w:hint="eastAsia" w:ascii="宋体" w:hAnsi="宋体"/>
          <w:color w:val="auto"/>
          <w:szCs w:val="21"/>
          <w:highlight w:val="none"/>
        </w:rPr>
        <w:t>适用标准、规范</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适用标准、规范的名称：</w:t>
      </w:r>
      <w:r>
        <w:rPr>
          <w:rFonts w:hint="eastAsia" w:ascii="宋体" w:hAnsi="宋体"/>
          <w:color w:val="auto"/>
          <w:szCs w:val="21"/>
          <w:highlight w:val="none"/>
          <w:u w:val="single"/>
        </w:rPr>
        <w:t>相应工种现行施工规范</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发包人提供标准、规范的时间：</w:t>
      </w:r>
      <w:r>
        <w:rPr>
          <w:rFonts w:ascii="宋体" w:hAnsi="宋体"/>
          <w:color w:val="auto"/>
          <w:szCs w:val="21"/>
          <w:highlight w:val="none"/>
          <w:u w:val="single"/>
        </w:rPr>
        <w:t xml:space="preserve">   /   </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rPr>
        <w:t>国内没有相应标准、规范时的约定：</w:t>
      </w:r>
      <w:r>
        <w:rPr>
          <w:rFonts w:hint="eastAsia" w:ascii="宋体" w:hAnsi="宋体"/>
          <w:color w:val="auto"/>
          <w:szCs w:val="21"/>
          <w:highlight w:val="none"/>
          <w:u w:val="single"/>
        </w:rPr>
        <w:t>按施工图纸，招标文件和广州开发区相关规定及答疑纪要的要求执行</w:t>
      </w:r>
      <w:r>
        <w:rPr>
          <w:rFonts w:hint="eastAsia" w:ascii="宋体" w:hAnsi="宋体"/>
          <w:color w:val="auto"/>
          <w:szCs w:val="21"/>
          <w:highlight w:val="none"/>
        </w:rPr>
        <w:t>。</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4</w:t>
      </w:r>
      <w:r>
        <w:rPr>
          <w:rFonts w:hint="eastAsia" w:ascii="宋体" w:hAnsi="宋体"/>
          <w:b/>
          <w:color w:val="auto"/>
          <w:sz w:val="24"/>
          <w:highlight w:val="none"/>
        </w:rPr>
        <w:t>、图纸</w:t>
      </w:r>
    </w:p>
    <w:p>
      <w:pPr>
        <w:snapToGrid w:val="0"/>
        <w:spacing w:line="440" w:lineRule="exact"/>
        <w:ind w:firstLine="315"/>
        <w:rPr>
          <w:rFonts w:ascii="宋体" w:hAnsi="宋体"/>
          <w:color w:val="auto"/>
          <w:szCs w:val="21"/>
          <w:highlight w:val="none"/>
          <w:u w:val="single"/>
        </w:rPr>
      </w:pPr>
      <w:r>
        <w:rPr>
          <w:rFonts w:ascii="宋体" w:hAnsi="宋体"/>
          <w:color w:val="auto"/>
          <w:szCs w:val="21"/>
          <w:highlight w:val="none"/>
        </w:rPr>
        <w:t>4.1</w:t>
      </w:r>
      <w:r>
        <w:rPr>
          <w:rFonts w:hint="eastAsia" w:ascii="宋体" w:hAnsi="宋体"/>
          <w:color w:val="auto"/>
          <w:szCs w:val="21"/>
          <w:highlight w:val="none"/>
        </w:rPr>
        <w:t>发包人向承包人提供图纸日期和套数：</w:t>
      </w:r>
      <w:r>
        <w:rPr>
          <w:rFonts w:hint="eastAsia" w:ascii="宋体" w:hAnsi="宋体"/>
          <w:color w:val="auto"/>
          <w:szCs w:val="21"/>
          <w:highlight w:val="none"/>
          <w:u w:val="single"/>
        </w:rPr>
        <w:t>开工前提供肆套图纸</w:t>
      </w:r>
      <w:r>
        <w:rPr>
          <w:rFonts w:hint="eastAsia" w:ascii="宋体" w:hAnsi="宋体"/>
          <w:color w:val="auto"/>
          <w:szCs w:val="21"/>
          <w:highlight w:val="none"/>
        </w:rPr>
        <w:t>。</w:t>
      </w:r>
    </w:p>
    <w:p>
      <w:pPr>
        <w:snapToGrid w:val="0"/>
        <w:spacing w:line="440" w:lineRule="exact"/>
        <w:ind w:left="907" w:leftChars="132" w:hanging="630" w:hangingChars="300"/>
        <w:rPr>
          <w:rFonts w:ascii="宋体" w:hAnsi="宋体"/>
          <w:color w:val="auto"/>
          <w:szCs w:val="21"/>
          <w:highlight w:val="none"/>
          <w:u w:val="single"/>
        </w:rPr>
      </w:pPr>
      <w:r>
        <w:rPr>
          <w:rFonts w:hint="eastAsia" w:ascii="宋体" w:hAnsi="宋体"/>
          <w:color w:val="auto"/>
          <w:szCs w:val="21"/>
          <w:highlight w:val="none"/>
        </w:rPr>
        <w:t>发包人对图纸的保密要求：</w:t>
      </w:r>
      <w:r>
        <w:rPr>
          <w:rFonts w:hint="eastAsia" w:ascii="宋体" w:hAnsi="宋体"/>
          <w:color w:val="auto"/>
          <w:szCs w:val="21"/>
          <w:highlight w:val="none"/>
          <w:u w:val="single"/>
        </w:rPr>
        <w:t>按本合同通用条款</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使用国外图纸的要求及费用承担：</w:t>
      </w:r>
      <w:r>
        <w:rPr>
          <w:rFonts w:ascii="宋体" w:hAnsi="宋体"/>
          <w:color w:val="auto"/>
          <w:szCs w:val="21"/>
          <w:highlight w:val="none"/>
          <w:u w:val="single"/>
        </w:rPr>
        <w:t xml:space="preserve">   /   </w:t>
      </w:r>
      <w:r>
        <w:rPr>
          <w:rFonts w:hint="eastAsia" w:ascii="宋体" w:hAnsi="宋体"/>
          <w:color w:val="auto"/>
          <w:szCs w:val="21"/>
          <w:highlight w:val="none"/>
        </w:rPr>
        <w:t>。</w:t>
      </w:r>
    </w:p>
    <w:p>
      <w:pPr>
        <w:snapToGrid w:val="0"/>
        <w:spacing w:line="440" w:lineRule="exact"/>
        <w:ind w:firstLine="397"/>
        <w:rPr>
          <w:rFonts w:ascii="宋体" w:hAnsi="宋体"/>
          <w:b/>
          <w:color w:val="auto"/>
          <w:sz w:val="24"/>
          <w:highlight w:val="none"/>
        </w:rPr>
      </w:pPr>
      <w:r>
        <w:rPr>
          <w:rFonts w:hint="eastAsia" w:ascii="宋体" w:hAnsi="宋体"/>
          <w:b/>
          <w:color w:val="auto"/>
          <w:sz w:val="24"/>
          <w:highlight w:val="none"/>
        </w:rPr>
        <w:t>二、双方一般权利和义务</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5</w:t>
      </w:r>
      <w:r>
        <w:rPr>
          <w:rFonts w:hint="eastAsia" w:ascii="宋体" w:hAnsi="宋体"/>
          <w:b/>
          <w:color w:val="auto"/>
          <w:sz w:val="24"/>
          <w:highlight w:val="none"/>
        </w:rPr>
        <w:t>、工程师</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5.2</w:t>
      </w:r>
      <w:r>
        <w:rPr>
          <w:rFonts w:hint="eastAsia" w:ascii="宋体" w:hAnsi="宋体"/>
          <w:color w:val="auto"/>
          <w:szCs w:val="21"/>
          <w:highlight w:val="none"/>
        </w:rPr>
        <w:t>监理单位委派的工程师</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rPr>
        <w:t>姓名：</w:t>
      </w:r>
      <w:r>
        <w:rPr>
          <w:rFonts w:ascii="宋体" w:hAnsi="宋体"/>
          <w:color w:val="auto"/>
          <w:szCs w:val="21"/>
          <w:highlight w:val="none"/>
          <w:u w:val="single"/>
        </w:rPr>
        <w:t xml:space="preserve">        </w:t>
      </w:r>
      <w:r>
        <w:rPr>
          <w:rFonts w:hint="eastAsia" w:ascii="宋体" w:hAnsi="宋体"/>
          <w:color w:val="auto"/>
          <w:szCs w:val="21"/>
          <w:highlight w:val="none"/>
        </w:rPr>
        <w:t>，职务：</w:t>
      </w:r>
      <w:r>
        <w:rPr>
          <w:rFonts w:hint="eastAsia" w:ascii="宋体" w:hAnsi="宋体"/>
          <w:color w:val="auto"/>
          <w:szCs w:val="21"/>
          <w:highlight w:val="none"/>
          <w:u w:val="single"/>
        </w:rPr>
        <w:t>总监理工程师</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rPr>
        <w:t>发包人委托的职权：</w:t>
      </w:r>
      <w:r>
        <w:rPr>
          <w:rFonts w:hint="eastAsia" w:ascii="宋体" w:hAnsi="宋体"/>
          <w:color w:val="auto"/>
          <w:szCs w:val="21"/>
          <w:highlight w:val="none"/>
          <w:u w:val="single"/>
        </w:rPr>
        <w:t>对本工程进行全过程的监理</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rPr>
        <w:t>需要取得发包人批准才能行使的职权：</w:t>
      </w:r>
      <w:r>
        <w:rPr>
          <w:rFonts w:hint="eastAsia" w:ascii="宋体" w:hAnsi="宋体"/>
          <w:color w:val="auto"/>
          <w:szCs w:val="21"/>
          <w:highlight w:val="none"/>
          <w:u w:val="single"/>
        </w:rPr>
        <w:t>按发包人与监理单位签订的监理合同有关规定执行，涉及变更签证或费用</w:t>
      </w:r>
      <w:r>
        <w:rPr>
          <w:rFonts w:hint="eastAsia" w:ascii="宋体" w:hAnsi="宋体"/>
          <w:color w:val="auto"/>
          <w:szCs w:val="21"/>
          <w:highlight w:val="none"/>
        </w:rPr>
        <w:t>调整、发布开工、停工、复工令等均需经</w:t>
      </w:r>
      <w:r>
        <w:rPr>
          <w:rFonts w:hint="eastAsia" w:ascii="宋体" w:hAnsi="宋体"/>
          <w:color w:val="auto"/>
          <w:szCs w:val="21"/>
          <w:highlight w:val="none"/>
          <w:u w:val="single"/>
        </w:rPr>
        <w:t>发包人书面认可</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rPr>
        <w:t>义务：</w:t>
      </w:r>
      <w:r>
        <w:rPr>
          <w:rFonts w:hint="eastAsia" w:ascii="宋体" w:hAnsi="宋体"/>
          <w:color w:val="auto"/>
          <w:szCs w:val="21"/>
          <w:highlight w:val="none"/>
          <w:u w:val="single"/>
        </w:rPr>
        <w:t>常驻现场，代表监理单位履行与发包人签订的监理合同</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5.3</w:t>
      </w:r>
      <w:r>
        <w:rPr>
          <w:rFonts w:hint="eastAsia" w:ascii="宋体" w:hAnsi="宋体"/>
          <w:color w:val="auto"/>
          <w:szCs w:val="21"/>
          <w:highlight w:val="none"/>
        </w:rPr>
        <w:t>发包人派驻的工程师</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rPr>
        <w:t>姓名：</w:t>
      </w:r>
      <w:r>
        <w:rPr>
          <w:rFonts w:ascii="宋体" w:hAnsi="宋体"/>
          <w:color w:val="auto"/>
          <w:szCs w:val="21"/>
          <w:highlight w:val="none"/>
          <w:u w:val="single"/>
        </w:rPr>
        <w:t xml:space="preserve">       </w:t>
      </w:r>
      <w:r>
        <w:rPr>
          <w:rFonts w:hint="eastAsia" w:ascii="宋体" w:hAnsi="宋体"/>
          <w:color w:val="auto"/>
          <w:szCs w:val="21"/>
          <w:highlight w:val="none"/>
        </w:rPr>
        <w:t>，职务：</w:t>
      </w:r>
      <w:r>
        <w:rPr>
          <w:rFonts w:hint="eastAsia" w:ascii="宋体" w:hAnsi="宋体"/>
          <w:color w:val="auto"/>
          <w:szCs w:val="21"/>
          <w:highlight w:val="none"/>
          <w:u w:val="single"/>
        </w:rPr>
        <w:t>工程师</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rPr>
        <w:t>职权：</w:t>
      </w:r>
      <w:r>
        <w:rPr>
          <w:rFonts w:hint="eastAsia" w:ascii="宋体" w:hAnsi="宋体"/>
          <w:color w:val="auto"/>
          <w:szCs w:val="21"/>
          <w:highlight w:val="none"/>
          <w:u w:val="single"/>
        </w:rPr>
        <w:t>发包人代表，行使发包人的权利</w:t>
      </w:r>
      <w:r>
        <w:rPr>
          <w:rFonts w:hint="eastAsia" w:ascii="宋体" w:hAnsi="宋体"/>
          <w:color w:val="auto"/>
          <w:szCs w:val="21"/>
          <w:highlight w:val="none"/>
        </w:rPr>
        <w:t>。</w:t>
      </w:r>
    </w:p>
    <w:p>
      <w:pPr>
        <w:snapToGrid w:val="0"/>
        <w:spacing w:line="440" w:lineRule="exact"/>
        <w:ind w:firstLine="397"/>
        <w:rPr>
          <w:rFonts w:ascii="宋体" w:hAnsi="宋体"/>
          <w:color w:val="auto"/>
          <w:spacing w:val="-8"/>
          <w:szCs w:val="21"/>
          <w:highlight w:val="none"/>
          <w:u w:val="single"/>
        </w:rPr>
      </w:pPr>
      <w:r>
        <w:rPr>
          <w:rFonts w:hint="eastAsia" w:ascii="宋体" w:hAnsi="宋体"/>
          <w:color w:val="auto"/>
          <w:spacing w:val="-8"/>
          <w:szCs w:val="21"/>
          <w:highlight w:val="none"/>
        </w:rPr>
        <w:t>义务：</w:t>
      </w:r>
      <w:r>
        <w:rPr>
          <w:rFonts w:hint="eastAsia" w:ascii="宋体" w:hAnsi="宋体"/>
          <w:color w:val="auto"/>
          <w:spacing w:val="-8"/>
          <w:szCs w:val="21"/>
          <w:highlight w:val="none"/>
          <w:u w:val="single"/>
        </w:rPr>
        <w:t>常驻现场，代表发包人负责工程质量、进度、技术、投资控制等施工期间的日常管理工作，履行与承包人签订的本建设工程施工合同。</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5.6</w:t>
      </w:r>
      <w:r>
        <w:rPr>
          <w:rFonts w:hint="eastAsia" w:ascii="宋体" w:hAnsi="宋体"/>
          <w:color w:val="auto"/>
          <w:szCs w:val="21"/>
          <w:highlight w:val="none"/>
        </w:rPr>
        <w:t>不实行监理的，工程师的职权：</w:t>
      </w:r>
      <w:r>
        <w:rPr>
          <w:rFonts w:ascii="宋体" w:hAnsi="宋体"/>
          <w:color w:val="auto"/>
          <w:szCs w:val="21"/>
          <w:highlight w:val="none"/>
          <w:u w:val="single"/>
        </w:rPr>
        <w:t xml:space="preserve">   /   </w:t>
      </w:r>
      <w:r>
        <w:rPr>
          <w:rFonts w:hint="eastAsia" w:ascii="宋体" w:hAnsi="宋体"/>
          <w:color w:val="auto"/>
          <w:szCs w:val="21"/>
          <w:highlight w:val="none"/>
        </w:rPr>
        <w:t>。</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7</w:t>
      </w:r>
      <w:r>
        <w:rPr>
          <w:rFonts w:hint="eastAsia" w:ascii="宋体" w:hAnsi="宋体"/>
          <w:b/>
          <w:color w:val="auto"/>
          <w:sz w:val="24"/>
          <w:highlight w:val="none"/>
        </w:rPr>
        <w:t>、项目负责人</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7.1</w:t>
      </w: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项目负责人</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rPr>
        <w:t>姓名：</w:t>
      </w:r>
      <w:r>
        <w:rPr>
          <w:rFonts w:ascii="宋体" w:hAnsi="宋体"/>
          <w:color w:val="auto"/>
          <w:szCs w:val="21"/>
          <w:highlight w:val="none"/>
          <w:u w:val="single"/>
        </w:rPr>
        <w:t xml:space="preserve">        </w:t>
      </w:r>
      <w:r>
        <w:rPr>
          <w:rFonts w:hint="eastAsia" w:ascii="宋体" w:hAnsi="宋体"/>
          <w:color w:val="auto"/>
          <w:szCs w:val="21"/>
          <w:highlight w:val="none"/>
        </w:rPr>
        <w:t>，职权：</w:t>
      </w:r>
      <w:r>
        <w:rPr>
          <w:rFonts w:hint="eastAsia" w:ascii="宋体" w:hAnsi="宋体"/>
          <w:color w:val="auto"/>
          <w:szCs w:val="21"/>
          <w:highlight w:val="none"/>
          <w:u w:val="single"/>
        </w:rPr>
        <w:t>代表承包人全权处理本工程的一切事务</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义务：</w:t>
      </w:r>
      <w:r>
        <w:rPr>
          <w:rFonts w:hint="eastAsia" w:ascii="宋体" w:hAnsi="宋体"/>
          <w:color w:val="auto"/>
          <w:szCs w:val="21"/>
          <w:highlight w:val="none"/>
          <w:u w:val="single"/>
        </w:rPr>
        <w:t>按照在投标文件中签署的（或在签订本合同前补充签署的）《项目负责人驻场承诺书》中的承诺常驻现场，代表承包人履行与发包人签订的本建设工程施工合同</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7.4</w:t>
      </w:r>
      <w:r>
        <w:rPr>
          <w:rFonts w:hint="eastAsia" w:ascii="宋体" w:hAnsi="宋体"/>
          <w:color w:val="auto"/>
          <w:szCs w:val="21"/>
          <w:highlight w:val="none"/>
          <w:u w:val="single"/>
        </w:rPr>
        <w:t>承包人如需更换项目负责人或技术负责人，按有关规定执行，后任继续行使合同文件约定的前任的职权，履行前任的义务。未征得发包人书面同意，承包人不得更换项目负责人</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7.5</w:t>
      </w:r>
      <w:r>
        <w:rPr>
          <w:rFonts w:hint="eastAsia" w:ascii="宋体" w:hAnsi="宋体"/>
          <w:color w:val="auto"/>
          <w:szCs w:val="21"/>
          <w:highlight w:val="none"/>
          <w:u w:val="single"/>
        </w:rPr>
        <w:t>发包人可以与承包人协商，建议更换其认为不称职的项目负责人，承包人应及时采纳发包人的建议予以更换，新更换的项目负责人应满足招标文件及本项目相应的资质要求并能胜任本项目的项目负责人工作</w:t>
      </w:r>
      <w:r>
        <w:rPr>
          <w:rFonts w:hint="eastAsia" w:ascii="宋体" w:hAnsi="宋体"/>
          <w:color w:val="auto"/>
          <w:szCs w:val="21"/>
          <w:highlight w:val="none"/>
        </w:rPr>
        <w:t>。</w:t>
      </w:r>
    </w:p>
    <w:p>
      <w:pPr>
        <w:snapToGrid w:val="0"/>
        <w:spacing w:line="440" w:lineRule="exact"/>
        <w:ind w:firstLine="397"/>
        <w:rPr>
          <w:rFonts w:hint="eastAsia" w:ascii="宋体" w:hAnsi="宋体"/>
          <w:color w:val="auto"/>
          <w:szCs w:val="21"/>
          <w:highlight w:val="none"/>
        </w:rPr>
      </w:pPr>
      <w:r>
        <w:rPr>
          <w:rFonts w:ascii="宋体" w:hAnsi="宋体"/>
          <w:color w:val="auto"/>
          <w:szCs w:val="21"/>
          <w:highlight w:val="none"/>
        </w:rPr>
        <w:t>7.6</w:t>
      </w:r>
      <w:r>
        <w:rPr>
          <w:rFonts w:hint="eastAsia" w:ascii="宋体" w:hAnsi="宋体"/>
          <w:color w:val="auto"/>
          <w:szCs w:val="21"/>
          <w:highlight w:val="none"/>
          <w:u w:val="single"/>
        </w:rPr>
        <w:t>承包人项目负责人不得兼任其他工程项目负责人，否则发包人可按单方面终止合同处理</w:t>
      </w:r>
      <w:r>
        <w:rPr>
          <w:rFonts w:hint="eastAsia" w:ascii="宋体" w:hAnsi="宋体"/>
          <w:color w:val="auto"/>
          <w:szCs w:val="21"/>
          <w:highlight w:val="none"/>
        </w:rPr>
        <w:t>。</w:t>
      </w:r>
    </w:p>
    <w:p>
      <w:pPr>
        <w:adjustRightInd w:val="0"/>
        <w:snapToGrid w:val="0"/>
        <w:spacing w:line="360" w:lineRule="auto"/>
        <w:ind w:right="11" w:firstLine="315" w:firstLineChars="150"/>
        <w:outlineLvl w:val="3"/>
        <w:rPr>
          <w:rFonts w:hint="eastAsia" w:ascii="宋体" w:hAnsi="宋体"/>
          <w:color w:val="auto"/>
          <w:szCs w:val="21"/>
          <w:highlight w:val="none"/>
        </w:rPr>
      </w:pPr>
      <w:r>
        <w:rPr>
          <w:rFonts w:hint="eastAsia" w:ascii="宋体" w:hAnsi="宋体"/>
          <w:color w:val="auto"/>
          <w:szCs w:val="21"/>
          <w:highlight w:val="none"/>
        </w:rPr>
        <w:t xml:space="preserve"> 7.7现场管理机构</w:t>
      </w:r>
    </w:p>
    <w:p>
      <w:pPr>
        <w:adjustRightInd w:val="0"/>
        <w:snapToGrid w:val="0"/>
        <w:spacing w:line="360" w:lineRule="auto"/>
        <w:ind w:firstLine="480"/>
        <w:rPr>
          <w:rFonts w:hint="eastAsia" w:ascii="宋体" w:hAnsi="宋体"/>
          <w:color w:val="auto"/>
          <w:szCs w:val="21"/>
          <w:highlight w:val="none"/>
        </w:rPr>
      </w:pPr>
      <w:r>
        <w:rPr>
          <w:rFonts w:hint="eastAsia" w:ascii="宋体" w:hAnsi="宋体"/>
          <w:color w:val="auto"/>
          <w:szCs w:val="21"/>
          <w:highlight w:val="none"/>
        </w:rPr>
        <w:t>（1）承包人必须按照投标文件的承诺建立现场管理机构，严格执行现行建设工程项目管理规范，并积极主动接受建设行政主管部门的监督和检查。</w:t>
      </w:r>
    </w:p>
    <w:p>
      <w:pPr>
        <w:adjustRightInd w:val="0"/>
        <w:snapToGrid w:val="0"/>
        <w:spacing w:line="360" w:lineRule="auto"/>
        <w:ind w:right="11" w:firstLine="403" w:firstLineChars="192"/>
        <w:rPr>
          <w:rFonts w:hint="eastAsia" w:ascii="宋体" w:hAnsi="宋体"/>
          <w:color w:val="auto"/>
          <w:szCs w:val="21"/>
          <w:highlight w:val="none"/>
        </w:rPr>
      </w:pPr>
      <w:r>
        <w:rPr>
          <w:rFonts w:hint="eastAsia" w:ascii="宋体" w:hAnsi="宋体"/>
          <w:color w:val="auto"/>
          <w:szCs w:val="21"/>
          <w:highlight w:val="none"/>
        </w:rPr>
        <w:t>（2）现场管理机构各部主要组织管理人员在开工前必须全部到位，并接受总监理工程师和发包人代表的查验。承包人委派的现场管理机构各部主要组织管理人员不得有兼职情况存在，并需接受监理单位的监督。</w:t>
      </w:r>
    </w:p>
    <w:p>
      <w:pPr>
        <w:snapToGrid w:val="0"/>
        <w:spacing w:line="360" w:lineRule="auto"/>
        <w:ind w:firstLine="397"/>
        <w:rPr>
          <w:rFonts w:hint="eastAsia" w:ascii="宋体" w:hAnsi="宋体"/>
          <w:color w:val="auto"/>
          <w:szCs w:val="21"/>
          <w:highlight w:val="none"/>
        </w:rPr>
      </w:pPr>
      <w:r>
        <w:rPr>
          <w:rFonts w:hint="eastAsia" w:ascii="宋体" w:hAnsi="宋体"/>
          <w:color w:val="auto"/>
          <w:szCs w:val="21"/>
          <w:highlight w:val="none"/>
        </w:rPr>
        <w:t>7.8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7.9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pPr>
        <w:snapToGrid w:val="0"/>
        <w:spacing w:line="360" w:lineRule="auto"/>
        <w:ind w:firstLine="397"/>
        <w:rPr>
          <w:rFonts w:hint="eastAsia" w:ascii="宋体" w:hAnsi="宋体"/>
          <w:color w:val="auto"/>
          <w:szCs w:val="21"/>
          <w:highlight w:val="none"/>
        </w:rPr>
      </w:pPr>
      <w:r>
        <w:rPr>
          <w:rFonts w:hint="eastAsia" w:ascii="宋体" w:hAnsi="宋体"/>
          <w:color w:val="auto"/>
          <w:szCs w:val="21"/>
          <w:highlight w:val="none"/>
        </w:rPr>
        <w:t>7.10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8</w:t>
      </w:r>
      <w:r>
        <w:rPr>
          <w:rFonts w:hint="eastAsia" w:ascii="宋体" w:hAnsi="宋体"/>
          <w:b/>
          <w:color w:val="auto"/>
          <w:sz w:val="24"/>
          <w:highlight w:val="none"/>
        </w:rPr>
        <w:t>、发包人工作</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8.1</w:t>
      </w:r>
      <w:r>
        <w:rPr>
          <w:rFonts w:hint="eastAsia" w:ascii="宋体" w:hAnsi="宋体"/>
          <w:color w:val="auto"/>
          <w:szCs w:val="21"/>
          <w:highlight w:val="none"/>
        </w:rPr>
        <w:t>发包人应按约定的时间和要求完成以下工作：</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）施工场地具备施工条件的要求及完成的时间：</w:t>
      </w:r>
      <w:r>
        <w:rPr>
          <w:rFonts w:hint="eastAsia" w:ascii="宋体" w:hAnsi="宋体"/>
          <w:color w:val="auto"/>
          <w:szCs w:val="21"/>
          <w:highlight w:val="none"/>
          <w:u w:val="single"/>
        </w:rPr>
        <w:t>土地征收、拆迁补偿工作完成时间原则上在开工前；因土地征收和拆迁补偿进度原因不能按时移交场地的，可采取分段逐步方式移交施工场地</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）将施工所需的水、电、电讯线路接至施工场地的时间、地点和供应要求：</w:t>
      </w:r>
      <w:r>
        <w:rPr>
          <w:rFonts w:hint="eastAsia" w:ascii="宋体" w:hAnsi="宋体"/>
          <w:color w:val="auto"/>
          <w:szCs w:val="21"/>
          <w:highlight w:val="none"/>
          <w:u w:val="single"/>
        </w:rPr>
        <w:t>由承包人自行解决，费用已包在本工程中标总造价中</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）施工场地与公共道路的通道开通时间和要求：</w:t>
      </w:r>
      <w:r>
        <w:rPr>
          <w:rFonts w:hint="eastAsia" w:ascii="宋体" w:hAnsi="宋体"/>
          <w:color w:val="auto"/>
          <w:szCs w:val="21"/>
          <w:highlight w:val="none"/>
          <w:u w:val="single"/>
        </w:rPr>
        <w:t>通道按现状，不论满足施工要求与否，该通道及施工便道均由承包人自行解决，费用已包在本工程中标总造价中</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）工程地质和地下管线资料的提供时间：</w:t>
      </w:r>
      <w:r>
        <w:rPr>
          <w:rFonts w:hint="eastAsia" w:ascii="宋体" w:hAnsi="宋体"/>
          <w:color w:val="auto"/>
          <w:szCs w:val="21"/>
          <w:highlight w:val="none"/>
          <w:u w:val="single"/>
        </w:rPr>
        <w:t>根据施工计划提前提供</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）由发包人办理的施工所需证件、批件的名称和完成时间：</w:t>
      </w:r>
      <w:r>
        <w:rPr>
          <w:rFonts w:ascii="宋体" w:hAnsi="宋体"/>
          <w:color w:val="auto"/>
          <w:szCs w:val="21"/>
          <w:highlight w:val="none"/>
          <w:u w:val="single"/>
        </w:rPr>
        <w:t xml:space="preserve">   /   </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）水准点与坐标控制点交验要求：</w:t>
      </w:r>
      <w:r>
        <w:rPr>
          <w:rFonts w:hint="eastAsia" w:ascii="宋体" w:hAnsi="宋体"/>
          <w:color w:val="auto"/>
          <w:szCs w:val="21"/>
          <w:highlight w:val="none"/>
          <w:u w:val="single"/>
        </w:rPr>
        <w:t>开工前交验</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）图纸会审和设计交底时间：</w:t>
      </w:r>
      <w:r>
        <w:rPr>
          <w:rFonts w:hint="eastAsia" w:ascii="宋体" w:hAnsi="宋体"/>
          <w:color w:val="auto"/>
          <w:szCs w:val="21"/>
          <w:highlight w:val="none"/>
          <w:u w:val="single"/>
        </w:rPr>
        <w:t>工程施工前</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8</w:t>
      </w:r>
      <w:r>
        <w:rPr>
          <w:rFonts w:hint="eastAsia" w:ascii="宋体" w:hAnsi="宋体"/>
          <w:color w:val="auto"/>
          <w:szCs w:val="21"/>
          <w:highlight w:val="none"/>
        </w:rPr>
        <w:t>）协调处理施工场地周围地下管线和邻近建筑物、构筑物（含文物保护建筑）、古树名木的保护工作：</w:t>
      </w:r>
      <w:r>
        <w:rPr>
          <w:rFonts w:ascii="宋体" w:hAnsi="宋体"/>
          <w:color w:val="auto"/>
          <w:szCs w:val="21"/>
          <w:highlight w:val="none"/>
          <w:u w:val="single"/>
        </w:rPr>
        <w:t xml:space="preserve">      /     </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9</w:t>
      </w:r>
      <w:r>
        <w:rPr>
          <w:rFonts w:hint="eastAsia" w:ascii="宋体" w:hAnsi="宋体"/>
          <w:color w:val="auto"/>
          <w:szCs w:val="21"/>
          <w:highlight w:val="none"/>
        </w:rPr>
        <w:t>）双方约定发包人应做的其他工作：</w:t>
      </w:r>
      <w:r>
        <w:rPr>
          <w:rFonts w:ascii="宋体" w:hAnsi="宋体"/>
          <w:color w:val="auto"/>
          <w:szCs w:val="21"/>
          <w:highlight w:val="none"/>
          <w:u w:val="single"/>
        </w:rPr>
        <w:t xml:space="preserve">  </w:t>
      </w:r>
      <w:r>
        <w:rPr>
          <w:rFonts w:hint="eastAsia" w:ascii="宋体" w:hAnsi="宋体"/>
          <w:color w:val="auto"/>
          <w:szCs w:val="21"/>
          <w:highlight w:val="none"/>
          <w:u w:val="single"/>
        </w:rPr>
        <w:t>发包人按现有场地移交给承包人，承包人应无条件接受。</w:t>
      </w:r>
      <w:r>
        <w:rPr>
          <w:rFonts w:ascii="宋体" w:hAnsi="宋体"/>
          <w:color w:val="auto"/>
          <w:szCs w:val="21"/>
          <w:highlight w:val="none"/>
          <w:u w:val="single"/>
        </w:rPr>
        <w:t xml:space="preserve">   </w:t>
      </w:r>
    </w:p>
    <w:p>
      <w:pPr>
        <w:snapToGrid w:val="0"/>
        <w:spacing w:line="440" w:lineRule="exact"/>
        <w:ind w:firstLine="397"/>
        <w:rPr>
          <w:rFonts w:hint="eastAsia" w:ascii="宋体" w:hAnsi="宋体"/>
          <w:color w:val="auto"/>
          <w:szCs w:val="21"/>
          <w:highlight w:val="none"/>
          <w:u w:val="single"/>
        </w:rPr>
      </w:pPr>
      <w:r>
        <w:rPr>
          <w:rFonts w:ascii="宋体" w:hAnsi="宋体"/>
          <w:color w:val="auto"/>
          <w:szCs w:val="21"/>
          <w:highlight w:val="none"/>
        </w:rPr>
        <w:t>8.2</w:t>
      </w:r>
      <w:r>
        <w:rPr>
          <w:rFonts w:hint="eastAsia" w:ascii="宋体" w:hAnsi="宋体"/>
          <w:color w:val="auto"/>
          <w:szCs w:val="21"/>
          <w:highlight w:val="none"/>
        </w:rPr>
        <w:t>发包人委托承包人办理的工作：</w:t>
      </w:r>
      <w:r>
        <w:rPr>
          <w:rFonts w:hint="eastAsia" w:ascii="宋体" w:hAnsi="宋体"/>
          <w:color w:val="auto"/>
          <w:szCs w:val="21"/>
          <w:highlight w:val="none"/>
          <w:u w:val="single"/>
        </w:rPr>
        <w:t>工程质监登记、合同鉴证、施工许可证、购买印花税等一切施工所需的审批、申领手续以及规划验收、消防验收、环保验收、防雷报建及验收、永久用水接驳及验收等工作。费用按政策规定各自承担相应部分。</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9</w:t>
      </w:r>
      <w:r>
        <w:rPr>
          <w:rFonts w:hint="eastAsia" w:ascii="宋体" w:hAnsi="宋体"/>
          <w:b/>
          <w:color w:val="auto"/>
          <w:sz w:val="24"/>
          <w:highlight w:val="none"/>
        </w:rPr>
        <w:t>、承包人工作</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9.1</w:t>
      </w:r>
      <w:r>
        <w:rPr>
          <w:rFonts w:hint="eastAsia" w:ascii="宋体" w:hAnsi="宋体"/>
          <w:color w:val="auto"/>
          <w:szCs w:val="21"/>
          <w:highlight w:val="none"/>
        </w:rPr>
        <w:t>承包人应按约定时间和要求，完成以下工作：</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）需由设计资质等级和业务范围允许的承包人完成的设计文件提交时间：</w:t>
      </w:r>
      <w:r>
        <w:rPr>
          <w:rFonts w:ascii="宋体" w:hAnsi="宋体"/>
          <w:color w:val="auto"/>
          <w:szCs w:val="21"/>
          <w:highlight w:val="none"/>
          <w:u w:val="single"/>
        </w:rPr>
        <w:t xml:space="preserve">   /   </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）应提供计划、报表的名称及完成时间：</w:t>
      </w:r>
      <w:r>
        <w:rPr>
          <w:rFonts w:hint="eastAsia" w:ascii="宋体" w:hAnsi="宋体"/>
          <w:color w:val="auto"/>
          <w:szCs w:val="21"/>
          <w:highlight w:val="none"/>
          <w:u w:val="single"/>
        </w:rPr>
        <w:t>施工组织设计、管理人员架构表，于开工前三天报。提交工程年、季、月度计划及进度统计报表</w:t>
      </w:r>
      <w:r>
        <w:rPr>
          <w:rFonts w:hint="eastAsia" w:ascii="宋体" w:hAnsi="宋体"/>
          <w:color w:val="auto"/>
          <w:szCs w:val="21"/>
          <w:highlight w:val="none"/>
        </w:rPr>
        <w:t>。</w:t>
      </w:r>
    </w:p>
    <w:p>
      <w:pPr>
        <w:snapToGrid w:val="0"/>
        <w:spacing w:line="52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3）承担施工安全保卫工作及非夜间施工照明的责任和要求：</w:t>
      </w:r>
      <w:r>
        <w:rPr>
          <w:rFonts w:hint="eastAsia" w:ascii="宋体" w:hAnsi="宋体"/>
          <w:color w:val="auto"/>
          <w:szCs w:val="21"/>
          <w:highlight w:val="none"/>
          <w:u w:val="single"/>
        </w:rPr>
        <w:t>按招标文件要求及国家、省、市、区相关规定执行，并满足本工程需要</w:t>
      </w:r>
      <w:r>
        <w:rPr>
          <w:rFonts w:hint="eastAsia" w:ascii="宋体" w:hAnsi="宋体"/>
          <w:color w:val="auto"/>
          <w:szCs w:val="21"/>
          <w:highlight w:val="none"/>
        </w:rPr>
        <w:t>。</w:t>
      </w:r>
      <w:r>
        <w:rPr>
          <w:rFonts w:hint="eastAsia" w:ascii="宋体" w:hAnsi="宋体"/>
          <w:color w:val="auto"/>
          <w:szCs w:val="21"/>
          <w:highlight w:val="none"/>
          <w:u w:val="single"/>
        </w:rPr>
        <w:t>根据工程需要，提供和维护施工使用的照明、围栏设施和警卫，并负责整个现场的安全生产和绿色施工、安全保卫。</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承包人自行解决办公、交通、生活及通讯等设施，费用已包含在本工程中标总造价中；</w:t>
      </w:r>
      <w:r>
        <w:rPr>
          <w:rFonts w:ascii="宋体" w:hAnsi="宋体"/>
          <w:color w:val="auto"/>
          <w:szCs w:val="21"/>
          <w:highlight w:val="none"/>
        </w:rPr>
        <w:t>向发包人或监理工程师提供的办公、交通和生活、通讯设施的要求：</w:t>
      </w:r>
      <w:r>
        <w:rPr>
          <w:rFonts w:ascii="宋体" w:hAnsi="宋体"/>
          <w:color w:val="auto"/>
          <w:szCs w:val="21"/>
          <w:highlight w:val="none"/>
          <w:u w:val="single"/>
        </w:rPr>
        <w:t xml:space="preserve">   /   </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5）需承包人办理有关施工场地交通、环卫和施工噪音管理等手续：</w:t>
      </w:r>
      <w:r>
        <w:rPr>
          <w:rFonts w:hint="eastAsia" w:ascii="宋体" w:hAnsi="宋体"/>
          <w:color w:val="auto"/>
          <w:szCs w:val="21"/>
          <w:highlight w:val="none"/>
          <w:u w:val="single"/>
        </w:rPr>
        <w:t>承包人按本合同通用条款要求执行，并承担相关费用</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）已完工程成品保护的特殊要求及费用承担：</w:t>
      </w:r>
      <w:r>
        <w:rPr>
          <w:rFonts w:hint="eastAsia" w:ascii="宋体" w:hAnsi="宋体"/>
          <w:color w:val="auto"/>
          <w:szCs w:val="21"/>
          <w:highlight w:val="none"/>
          <w:u w:val="single"/>
        </w:rPr>
        <w:t>按本合同通用条款执行</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）施工场地周围地下管线和邻近建筑物、构筑物（含文物保护建筑）、古树名木的保护要求及费用承担：</w:t>
      </w:r>
      <w:r>
        <w:rPr>
          <w:rFonts w:hint="eastAsia" w:ascii="宋体" w:hAnsi="宋体"/>
          <w:color w:val="auto"/>
          <w:szCs w:val="21"/>
          <w:highlight w:val="none"/>
          <w:u w:val="single"/>
        </w:rPr>
        <w:t>除文物保护外的保护费全部由承包人承担</w:t>
      </w:r>
      <w:r>
        <w:rPr>
          <w:rFonts w:hint="eastAsia" w:ascii="宋体" w:hAnsi="宋体"/>
          <w:color w:val="auto"/>
          <w:szCs w:val="21"/>
          <w:highlight w:val="none"/>
        </w:rPr>
        <w:t>。</w:t>
      </w:r>
    </w:p>
    <w:p>
      <w:pPr>
        <w:snapToGrid w:val="0"/>
        <w:spacing w:line="440" w:lineRule="exact"/>
        <w:ind w:left="397"/>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8）</w:t>
      </w:r>
      <w:r>
        <w:rPr>
          <w:rFonts w:hint="eastAsia" w:ascii="宋体" w:hAnsi="宋体"/>
          <w:color w:val="auto"/>
          <w:szCs w:val="21"/>
          <w:highlight w:val="none"/>
        </w:rPr>
        <w:t>施工场地清洁卫生的要求：</w:t>
      </w:r>
      <w:r>
        <w:rPr>
          <w:rFonts w:hint="eastAsia" w:ascii="宋体" w:hAnsi="宋体"/>
          <w:color w:val="auto"/>
          <w:szCs w:val="21"/>
          <w:highlight w:val="none"/>
          <w:u w:val="single"/>
        </w:rPr>
        <w:t>满足</w:t>
      </w:r>
      <w:r>
        <w:rPr>
          <w:rFonts w:hint="eastAsia" w:ascii="宋体" w:hAnsi="宋体"/>
          <w:color w:val="auto"/>
          <w:spacing w:val="-10"/>
          <w:szCs w:val="21"/>
          <w:highlight w:val="none"/>
          <w:u w:val="single"/>
        </w:rPr>
        <w:t>文明施工要求及广州市、黄埔区关于扬尘治理的有关要求</w:t>
      </w:r>
      <w:r>
        <w:rPr>
          <w:rFonts w:hint="eastAsia" w:ascii="宋体" w:hAnsi="宋体"/>
          <w:color w:val="auto"/>
          <w:spacing w:val="-10"/>
          <w:szCs w:val="21"/>
          <w:highlight w:val="none"/>
        </w:rPr>
        <w:t>。</w:t>
      </w:r>
      <w:r>
        <w:rPr>
          <w:rFonts w:hint="eastAsia" w:ascii="宋体" w:hAnsi="宋体"/>
          <w:color w:val="auto"/>
          <w:szCs w:val="21"/>
          <w:highlight w:val="none"/>
          <w:u w:val="single"/>
        </w:rPr>
        <w:t>保证施工场地清洁符合环境卫生管理的有关规定，交工前清理现场达到合同约定的要求（包括建筑物周围余土、垃圾、生产和生活临时设施拆除），并将门窗、玻璃、地面擦扫干净，厕所厨房的排水和给水管道清理干净、畅通，做到工完场清。承担因自身原因违反有关规定造成的损失和罚款。</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9）双方约定承包人应做的其他工作：</w:t>
      </w:r>
    </w:p>
    <w:p>
      <w:pPr>
        <w:snapToGrid w:val="0"/>
        <w:spacing w:line="440" w:lineRule="exact"/>
        <w:rPr>
          <w:rFonts w:hint="eastAsia" w:ascii="宋体" w:hAnsi="宋体"/>
          <w:color w:val="auto"/>
          <w:szCs w:val="21"/>
          <w:highlight w:val="none"/>
          <w:u w:val="single"/>
        </w:rPr>
      </w:pPr>
      <w:r>
        <w:rPr>
          <w:rFonts w:hint="eastAsia" w:ascii="宋体" w:hAnsi="宋体"/>
          <w:color w:val="auto"/>
          <w:szCs w:val="21"/>
          <w:highlight w:val="none"/>
          <w:u w:val="single"/>
        </w:rPr>
        <w:t xml:space="preserve">     ①承包人应根据相关规定及发包人的要求、合同约定对发包人另行发包的专业承包单位进行统一管理和配合服务。包括但不限于：项目总进度计划协调管理；公共临时设施管理；公共文明施工和安全生产设施管理；现场综合管理；内部沟通与外部协调；总体设计与技术督导的协调配合；为发包人另行发包的专业承包单位提供标高、基准点与平面控制、轴线；提供工作面（含基础、预埋件、预留孔洞）；提供施工用水、用电的接驳点；成品保护；协助发包人办理项目竣工验收、竣工资料和竣工备案；为发包人另行发包的专业承包单位提供生产、生活用场地；提供公共运输道路和通道；提供公共水平、垂直运输设施；提供公共外排栅、外脚手架；负责组织整体竣工验收及整体工程资料汇总及整理工作以及其它管理和配合服务。承包人应按照《广州市住房和城乡建设局关于规范房屋建筑工程施工承发包管理的通知》(穗建规字〔2019〕10号)的规定，对本工程所有专业承包工程负全面管理责任，对施工现场的安全生产、文明施工等工作负总责。承包人对发包人单独发包的专业工程的安全生产、文明施工等工作承担连带责任。承包人应主动配合发包人单独发包的其他专业承包工程的施工，承担由于自身管理、配合服务和协调不到位而导致的违约责任和连带违约责任。（注：总承包工程适用本条款）</w:t>
      </w:r>
    </w:p>
    <w:p>
      <w:pPr>
        <w:snapToGrid w:val="0"/>
        <w:spacing w:line="440" w:lineRule="exact"/>
        <w:ind w:firstLine="397"/>
        <w:rPr>
          <w:rFonts w:hint="eastAsia" w:ascii="宋体" w:hAnsi="宋体"/>
          <w:color w:val="auto"/>
          <w:szCs w:val="21"/>
          <w:highlight w:val="none"/>
        </w:rPr>
      </w:pPr>
      <w:r>
        <w:rPr>
          <w:rFonts w:hint="eastAsia" w:ascii="宋体" w:hAnsi="宋体"/>
          <w:color w:val="auto"/>
          <w:szCs w:val="21"/>
          <w:highlight w:val="none"/>
        </w:rPr>
        <w:t>　②承包人应按照《广州市建筑施工实名制管理办法》的规定，进场施工前在市建设领域管理应用信息平台上进行实名制登记并安排专职人员进行动态维护，实名制信息内容包含但不限以下内容：建筑从业人员基本信息、作业工人考勤与工资支付信息、施工进度情况信息等。承包人应对依法分包的专业工程和劳务工程的承包人实施统一管理，督促落实实名制管理。发包人及监理单位将不定期抽查承包人实名制管理的执行情况，如发现违反本合同有关约定的，将追究承包人相应违约责任。</w:t>
      </w:r>
    </w:p>
    <w:p>
      <w:pPr>
        <w:snapToGrid w:val="0"/>
        <w:spacing w:line="440" w:lineRule="exact"/>
        <w:ind w:firstLine="397"/>
        <w:rPr>
          <w:rFonts w:hint="eastAsia" w:ascii="宋体" w:hAnsi="宋体"/>
          <w:color w:val="auto"/>
          <w:szCs w:val="21"/>
          <w:highlight w:val="none"/>
        </w:rPr>
      </w:pPr>
      <w:r>
        <w:rPr>
          <w:rFonts w:hint="eastAsia" w:ascii="宋体" w:hAnsi="宋体"/>
          <w:color w:val="auto"/>
          <w:szCs w:val="21"/>
          <w:highlight w:val="none"/>
        </w:rPr>
        <w:t>③承包人应按照《广州市建设领域工人工资支付分账管理实施细则》的规定选择商业银行开立工人工资支付专用账户，在用工之日起15日内为每个工人办理工人工资个人账户，保证按时足额支付工人工资。承包人应对依法分包的专业工程和劳务工程的承包人实施统一管理，严格按国家、省、市关于农民工工资实施总承包单位代发制度的相关规定代发分包单位工人工资。</w:t>
      </w:r>
    </w:p>
    <w:p>
      <w:pPr>
        <w:snapToGrid w:val="0"/>
        <w:spacing w:line="440" w:lineRule="exact"/>
        <w:ind w:firstLine="397"/>
        <w:rPr>
          <w:rFonts w:hint="eastAsia" w:ascii="宋体" w:hAnsi="宋体"/>
          <w:color w:val="auto"/>
          <w:szCs w:val="21"/>
          <w:highlight w:val="none"/>
        </w:rPr>
      </w:pPr>
      <w:r>
        <w:rPr>
          <w:rFonts w:hint="eastAsia" w:ascii="宋体" w:hAnsi="宋体"/>
          <w:color w:val="auto"/>
          <w:szCs w:val="21"/>
          <w:highlight w:val="none"/>
        </w:rPr>
        <w:t>④承包人应当建立工人考勤、工资结算和支付等管理台账，存档备查，并将相关信息按月报送发包人及监理单位。</w:t>
      </w:r>
    </w:p>
    <w:p>
      <w:pPr>
        <w:snapToGrid w:val="0"/>
        <w:spacing w:line="440" w:lineRule="exact"/>
        <w:ind w:firstLine="397"/>
        <w:rPr>
          <w:rFonts w:ascii="宋体" w:hAnsi="宋体"/>
          <w:b/>
          <w:color w:val="auto"/>
          <w:sz w:val="24"/>
          <w:highlight w:val="none"/>
        </w:rPr>
      </w:pPr>
      <w:r>
        <w:rPr>
          <w:rFonts w:hint="eastAsia" w:ascii="宋体" w:hAnsi="宋体"/>
          <w:b/>
          <w:color w:val="auto"/>
          <w:sz w:val="24"/>
          <w:highlight w:val="none"/>
        </w:rPr>
        <w:t>三、施工组织设计和工期</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10</w:t>
      </w:r>
      <w:r>
        <w:rPr>
          <w:rFonts w:hint="eastAsia" w:ascii="宋体" w:hAnsi="宋体"/>
          <w:b/>
          <w:color w:val="auto"/>
          <w:sz w:val="24"/>
          <w:highlight w:val="none"/>
        </w:rPr>
        <w:t>、进度计划</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10.1</w:t>
      </w:r>
      <w:r>
        <w:rPr>
          <w:rFonts w:hint="eastAsia" w:ascii="宋体" w:hAnsi="宋体"/>
          <w:color w:val="auto"/>
          <w:szCs w:val="21"/>
          <w:highlight w:val="none"/>
        </w:rPr>
        <w:t>承包人提供施工组织设计</w:t>
      </w:r>
      <w:r>
        <w:rPr>
          <w:rFonts w:ascii="宋体" w:hAnsi="宋体"/>
          <w:color w:val="auto"/>
          <w:szCs w:val="21"/>
          <w:highlight w:val="none"/>
        </w:rPr>
        <w:t>(施工方案)和进度计划时间：</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u w:val="single"/>
        </w:rPr>
        <w:t>承包人应于接到中标通知书后</w:t>
      </w:r>
      <w:r>
        <w:rPr>
          <w:rFonts w:ascii="宋体" w:hAnsi="宋体"/>
          <w:color w:val="auto"/>
          <w:szCs w:val="21"/>
          <w:highlight w:val="none"/>
          <w:u w:val="single"/>
        </w:rPr>
        <w:t>4天内向发包人提交总体工程进度计划（网络计划），并</w:t>
      </w:r>
      <w:r>
        <w:rPr>
          <w:rFonts w:hint="eastAsia" w:ascii="宋体" w:hAnsi="宋体"/>
          <w:color w:val="auto"/>
          <w:szCs w:val="21"/>
          <w:highlight w:val="none"/>
          <w:u w:val="single"/>
        </w:rPr>
        <w:t>于开工前</w:t>
      </w:r>
      <w:r>
        <w:rPr>
          <w:rFonts w:ascii="宋体" w:hAnsi="宋体"/>
          <w:color w:val="auto"/>
          <w:szCs w:val="21"/>
          <w:highlight w:val="none"/>
          <w:u w:val="single"/>
        </w:rPr>
        <w:t>3天内提交施工组织设计（施工方案）给发包人</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u w:val="single"/>
        </w:rPr>
        <w:t>承包人提交的施工组织设计应当按监理工程师及国家、省、市及广州开发区关于施工承包管理的要求编制</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u w:val="single"/>
        </w:rPr>
        <w:t>承包人编制的工程进度计划内容应全面详实，且应针对承包管理范围内的各专业承包工程及建筑工程的全部或分项施工作业和特点提出施工方法、施工穿插顺序及时间安排，并在各节点位置标注相应的工程量、资金使用计划、人机组织及材料消耗量</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u w:val="single"/>
        </w:rPr>
        <w:t>总监理工程师在接到承包人提交的施工组织设计和工程进度计划后，予以确认或提出修改意见</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rPr>
        <w:t>工程师确认的时间：</w:t>
      </w:r>
      <w:r>
        <w:rPr>
          <w:rFonts w:hint="eastAsia" w:ascii="宋体" w:hAnsi="宋体"/>
          <w:color w:val="auto"/>
          <w:szCs w:val="21"/>
          <w:highlight w:val="none"/>
          <w:u w:val="single"/>
        </w:rPr>
        <w:t>开工前</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10.2</w:t>
      </w:r>
      <w:r>
        <w:rPr>
          <w:rFonts w:hint="eastAsia" w:ascii="宋体" w:hAnsi="宋体"/>
          <w:color w:val="auto"/>
          <w:szCs w:val="21"/>
          <w:highlight w:val="none"/>
          <w:u w:val="single"/>
        </w:rPr>
        <w:t>为便于总监理工程师掌握和控制工期，承包人应于每周一及每月底向总监理工程师填报各专业工程（含各分部、分项工程及专业承包工程）的周计划完成情况及当月进度计划完成情况（没完成计划的必须说明原因），并在此基础上更新工程进度计划、资金计划和其它工作计划。总监理工程师在接到报告后予以确认或提出书面意见，承包人必须按照总监理工程师的确认或者书面意见执行。（报监理工程师的同时，抄送一份给发包人。）</w:t>
      </w:r>
    </w:p>
    <w:p>
      <w:pPr>
        <w:snapToGrid w:val="0"/>
        <w:spacing w:line="440" w:lineRule="exact"/>
        <w:ind w:firstLine="420" w:firstLineChars="200"/>
        <w:rPr>
          <w:rFonts w:ascii="宋体" w:hAnsi="宋体"/>
          <w:color w:val="auto"/>
          <w:szCs w:val="21"/>
          <w:highlight w:val="none"/>
        </w:rPr>
      </w:pPr>
      <w:r>
        <w:rPr>
          <w:rFonts w:ascii="宋体" w:hAnsi="宋体"/>
          <w:color w:val="auto"/>
          <w:szCs w:val="21"/>
          <w:highlight w:val="none"/>
        </w:rPr>
        <w:t>10.3</w:t>
      </w:r>
      <w:r>
        <w:rPr>
          <w:rFonts w:hint="eastAsia" w:ascii="宋体" w:hAnsi="宋体"/>
          <w:color w:val="auto"/>
          <w:szCs w:val="21"/>
          <w:highlight w:val="none"/>
          <w:u w:val="single"/>
        </w:rPr>
        <w:t>工程实际进度与经总监理工程师确认的进度计划或者更新进度计划不符时，总监理工程师认为本工程或其中任何部分工程进度滞后而不能按预定工期完工，则应将此情况通知承包人，承包人应据此编制修改工程进度计划，采取总监理工程师同意的必要措施加快工程进度，属承包人原因，则承包人无权要求发包人支付任何附加费用。如承包人未能在工程师发布指令后</w:t>
      </w:r>
      <w:r>
        <w:rPr>
          <w:rFonts w:ascii="宋体" w:hAnsi="宋体"/>
          <w:color w:val="auto"/>
          <w:szCs w:val="21"/>
          <w:highlight w:val="none"/>
          <w:u w:val="single"/>
        </w:rPr>
        <w:t>10天内采取有效措施，工程进度仍然无明显改进，发包人有权解除部分或全部合同，将未完工程另行发包给其他有能力的第三方，承包人必须无条件服从，由此所造成的全部损失由承包人承担，并追究承包人的违约赔偿责任</w:t>
      </w:r>
      <w:r>
        <w:rPr>
          <w:rFonts w:hint="eastAsia" w:ascii="宋体" w:hAnsi="宋体"/>
          <w:color w:val="auto"/>
          <w:szCs w:val="21"/>
          <w:highlight w:val="none"/>
        </w:rPr>
        <w:t>。</w:t>
      </w:r>
    </w:p>
    <w:p>
      <w:pPr>
        <w:snapToGrid w:val="0"/>
        <w:spacing w:line="440" w:lineRule="exact"/>
        <w:ind w:firstLine="482" w:firstLineChars="200"/>
        <w:rPr>
          <w:rFonts w:ascii="宋体" w:hAnsi="宋体"/>
          <w:b/>
          <w:color w:val="auto"/>
          <w:sz w:val="24"/>
          <w:highlight w:val="none"/>
        </w:rPr>
      </w:pPr>
      <w:r>
        <w:rPr>
          <w:rFonts w:ascii="宋体" w:hAnsi="宋体"/>
          <w:b/>
          <w:color w:val="auto"/>
          <w:sz w:val="24"/>
          <w:highlight w:val="none"/>
        </w:rPr>
        <w:t>11、开工及延期开工</w:t>
      </w:r>
    </w:p>
    <w:p>
      <w:pPr>
        <w:snapToGrid w:val="0"/>
        <w:spacing w:line="440" w:lineRule="exact"/>
        <w:ind w:firstLine="420" w:firstLineChars="200"/>
        <w:rPr>
          <w:rFonts w:ascii="宋体" w:hAnsi="宋体"/>
          <w:color w:val="auto"/>
          <w:szCs w:val="21"/>
          <w:highlight w:val="none"/>
        </w:rPr>
      </w:pPr>
      <w:r>
        <w:rPr>
          <w:rFonts w:ascii="宋体" w:hAnsi="宋体"/>
          <w:color w:val="auto"/>
          <w:szCs w:val="21"/>
          <w:highlight w:val="none"/>
        </w:rPr>
        <w:t>11.1</w:t>
      </w:r>
      <w:r>
        <w:rPr>
          <w:rFonts w:hint="eastAsia" w:ascii="宋体" w:hAnsi="宋体"/>
          <w:color w:val="auto"/>
          <w:szCs w:val="21"/>
          <w:highlight w:val="none"/>
        </w:rPr>
        <w:t>开工日期和竣工日期</w:t>
      </w:r>
    </w:p>
    <w:p>
      <w:pPr>
        <w:snapToGrid w:val="0"/>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11.1.1</w:t>
      </w:r>
      <w:r>
        <w:rPr>
          <w:rFonts w:hint="eastAsia" w:ascii="宋体" w:hAnsi="宋体"/>
          <w:color w:val="auto"/>
          <w:szCs w:val="21"/>
          <w:highlight w:val="none"/>
        </w:rPr>
        <w:t>本工程工期为</w:t>
      </w:r>
      <w:r>
        <w:rPr>
          <w:rFonts w:ascii="宋体" w:hAnsi="宋体"/>
          <w:color w:val="auto"/>
          <w:szCs w:val="21"/>
          <w:highlight w:val="none"/>
          <w:u w:val="single"/>
        </w:rPr>
        <w:t xml:space="preserve">   </w:t>
      </w:r>
      <w:r>
        <w:rPr>
          <w:rFonts w:hint="eastAsia" w:ascii="宋体" w:hAnsi="宋体"/>
          <w:color w:val="auto"/>
          <w:szCs w:val="21"/>
          <w:highlight w:val="none"/>
        </w:rPr>
        <w:t>日历天。其中开工时间初定为</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日。（具体开工日期以发包人或监理单位开工令或批准的开工报告日期为准）</w:t>
      </w:r>
    </w:p>
    <w:p>
      <w:pPr>
        <w:snapToGrid w:val="0"/>
        <w:spacing w:line="440" w:lineRule="exact"/>
        <w:ind w:firstLine="420" w:firstLineChars="200"/>
        <w:rPr>
          <w:rFonts w:ascii="宋体" w:hAnsi="宋体"/>
          <w:color w:val="auto"/>
          <w:szCs w:val="21"/>
          <w:highlight w:val="none"/>
        </w:rPr>
      </w:pPr>
      <w:r>
        <w:rPr>
          <w:rFonts w:ascii="宋体" w:hAnsi="宋体"/>
          <w:color w:val="auto"/>
          <w:szCs w:val="21"/>
          <w:highlight w:val="none"/>
        </w:rPr>
        <w:t>11.1.2</w:t>
      </w:r>
      <w:r>
        <w:rPr>
          <w:rFonts w:hint="eastAsia" w:ascii="宋体" w:hAnsi="宋体"/>
          <w:color w:val="auto"/>
          <w:szCs w:val="21"/>
          <w:highlight w:val="none"/>
        </w:rPr>
        <w:t>承包人必须采取一切有效措施保证竣工日期，不得延误。除非发生了以下情形：</w:t>
      </w:r>
    </w:p>
    <w:p>
      <w:pPr>
        <w:snapToGrid w:val="0"/>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u w:val="single"/>
        </w:rPr>
        <w:t>政府对本工程建设项目作出停建、缓建的决定</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u w:val="single"/>
        </w:rPr>
        <w:t>重大设计变更导致本工程在规划、使用、功能方面有重大调整</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u w:val="single"/>
        </w:rPr>
        <w:t>不可抗力持续影响而延误工期超过</w:t>
      </w:r>
      <w:r>
        <w:rPr>
          <w:rFonts w:ascii="宋体" w:hAnsi="宋体"/>
          <w:color w:val="auto"/>
          <w:szCs w:val="21"/>
          <w:highlight w:val="none"/>
          <w:u w:val="single"/>
        </w:rPr>
        <w:t>12</w:t>
      </w:r>
      <w:r>
        <w:rPr>
          <w:rFonts w:hint="eastAsia" w:ascii="宋体" w:hAnsi="宋体"/>
          <w:color w:val="auto"/>
          <w:szCs w:val="21"/>
          <w:highlight w:val="none"/>
          <w:u w:val="single"/>
        </w:rPr>
        <w:t>天以上</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u w:val="single"/>
        </w:rPr>
        <w:t>本合同专用条款约定的其他非承包人原因导致的工期延误</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rPr>
      </w:pPr>
      <w:r>
        <w:rPr>
          <w:rFonts w:ascii="宋体" w:hAnsi="宋体"/>
          <w:color w:val="auto"/>
          <w:szCs w:val="21"/>
          <w:highlight w:val="none"/>
        </w:rPr>
        <w:t>11.2</w:t>
      </w:r>
      <w:r>
        <w:rPr>
          <w:rFonts w:hint="eastAsia" w:ascii="宋体" w:hAnsi="宋体"/>
          <w:color w:val="auto"/>
          <w:szCs w:val="21"/>
          <w:highlight w:val="none"/>
        </w:rPr>
        <w:t>延期开工：</w:t>
      </w:r>
    </w:p>
    <w:p>
      <w:pPr>
        <w:adjustRightInd w:val="0"/>
        <w:snapToGrid w:val="0"/>
        <w:spacing w:line="440" w:lineRule="exact"/>
        <w:ind w:right="11" w:firstLine="367" w:firstLineChars="175"/>
        <w:rPr>
          <w:rFonts w:ascii="宋体" w:hAnsi="宋体"/>
          <w:color w:val="auto"/>
          <w:szCs w:val="21"/>
          <w:highlight w:val="none"/>
          <w:u w:val="single"/>
        </w:rPr>
      </w:pPr>
      <w:r>
        <w:rPr>
          <w:rFonts w:ascii="宋体" w:hAnsi="宋体"/>
          <w:color w:val="auto"/>
          <w:szCs w:val="21"/>
          <w:highlight w:val="none"/>
        </w:rPr>
        <w:t>11.2.1</w:t>
      </w:r>
      <w:r>
        <w:rPr>
          <w:rFonts w:hint="eastAsia" w:ascii="宋体" w:hAnsi="宋体"/>
          <w:color w:val="auto"/>
          <w:szCs w:val="21"/>
          <w:highlight w:val="none"/>
          <w:u w:val="single"/>
        </w:rPr>
        <w:t>因发包人原因不能按照协议书约定的开工日期开工或暂停施工的，总监理工程师应通知承包人推迟开工日期，经监理单位、发包人确认后，工期可相应顺延，但不作费用补偿</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11.2.2</w:t>
      </w:r>
      <w:r>
        <w:rPr>
          <w:rFonts w:hint="eastAsia" w:ascii="宋体" w:hAnsi="宋体"/>
          <w:color w:val="auto"/>
          <w:szCs w:val="21"/>
          <w:highlight w:val="none"/>
          <w:u w:val="single"/>
        </w:rPr>
        <w:t>承包人未能主动及时地履行其协调、配合服务义务而造成专业承包单位无法开工，由此产生的工期延误等损失由承包人承担，并承担违约责任</w:t>
      </w:r>
      <w:r>
        <w:rPr>
          <w:rFonts w:hint="eastAsia" w:ascii="宋体" w:hAnsi="宋体"/>
          <w:color w:val="auto"/>
          <w:szCs w:val="21"/>
          <w:highlight w:val="none"/>
        </w:rPr>
        <w:t>。</w:t>
      </w:r>
    </w:p>
    <w:p>
      <w:pPr>
        <w:snapToGrid w:val="0"/>
        <w:spacing w:line="440" w:lineRule="exact"/>
        <w:ind w:firstLine="482" w:firstLineChars="200"/>
        <w:rPr>
          <w:rFonts w:ascii="宋体" w:hAnsi="宋体"/>
          <w:b/>
          <w:color w:val="auto"/>
          <w:sz w:val="24"/>
          <w:highlight w:val="none"/>
        </w:rPr>
      </w:pPr>
      <w:r>
        <w:rPr>
          <w:rFonts w:ascii="宋体" w:hAnsi="宋体"/>
          <w:b/>
          <w:color w:val="auto"/>
          <w:sz w:val="24"/>
          <w:highlight w:val="none"/>
        </w:rPr>
        <w:t>12、暂停施工</w:t>
      </w:r>
    </w:p>
    <w:p>
      <w:pPr>
        <w:snapToGrid w:val="0"/>
        <w:spacing w:line="440" w:lineRule="exact"/>
        <w:ind w:firstLine="420" w:firstLineChars="200"/>
        <w:rPr>
          <w:rFonts w:ascii="宋体" w:hAnsi="宋体"/>
          <w:color w:val="auto"/>
          <w:szCs w:val="21"/>
          <w:highlight w:val="none"/>
        </w:rPr>
      </w:pPr>
      <w:r>
        <w:rPr>
          <w:rFonts w:ascii="宋体" w:hAnsi="宋体"/>
          <w:color w:val="auto"/>
          <w:szCs w:val="21"/>
          <w:highlight w:val="none"/>
        </w:rPr>
        <w:t>12.1因下列原因，总监理工程师报经发包人同意，可通知承包人暂停施工：</w:t>
      </w:r>
    </w:p>
    <w:p>
      <w:pPr>
        <w:snapToGrid w:val="0"/>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u w:val="single"/>
        </w:rPr>
        <w:t>工程设计发生重大变更</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u w:val="single"/>
        </w:rPr>
        <w:t>不可抗力</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u w:val="single"/>
        </w:rPr>
        <w:t>质量事故</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u w:val="single"/>
        </w:rPr>
        <w:t>安全生产事故</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u w:val="single"/>
        </w:rPr>
        <w:t>因承包人管理不善，可能导致现场混乱</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u w:val="single"/>
        </w:rPr>
        <w:t>承包人违规施工，经监理工程师通知改正但仍不执行</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承包人不得以与发包人有争议为由或者以争议未解决为由而单方面停工。否则，应按约定承担工期延误的违约责任</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因发生上述第（</w:t>
      </w:r>
      <w:r>
        <w:rPr>
          <w:rFonts w:ascii="宋体" w:hAnsi="宋体"/>
          <w:color w:val="auto"/>
          <w:szCs w:val="21"/>
          <w:highlight w:val="none"/>
          <w:u w:val="single"/>
        </w:rPr>
        <w:t>1）、（2）项原因而暂停施工</w:t>
      </w:r>
      <w:r>
        <w:rPr>
          <w:rFonts w:hint="eastAsia" w:ascii="宋体" w:hAnsi="宋体"/>
          <w:color w:val="auto"/>
          <w:szCs w:val="21"/>
          <w:highlight w:val="none"/>
          <w:u w:val="single"/>
        </w:rPr>
        <w:t>的，工期可协商调整，因发生上述第（</w:t>
      </w:r>
      <w:r>
        <w:rPr>
          <w:rFonts w:ascii="宋体" w:hAnsi="宋体"/>
          <w:color w:val="auto"/>
          <w:szCs w:val="21"/>
          <w:highlight w:val="none"/>
          <w:u w:val="single"/>
        </w:rPr>
        <w:t>3）、（4）、（5）、（6）项原因而暂停施工</w:t>
      </w:r>
      <w:r>
        <w:rPr>
          <w:rFonts w:hint="eastAsia" w:ascii="宋体" w:hAnsi="宋体"/>
          <w:color w:val="auto"/>
          <w:szCs w:val="21"/>
          <w:highlight w:val="none"/>
          <w:u w:val="single"/>
        </w:rPr>
        <w:t>的，工期不予顺延</w:t>
      </w:r>
      <w:r>
        <w:rPr>
          <w:rFonts w:ascii="宋体" w:hAnsi="宋体"/>
          <w:color w:val="auto"/>
          <w:szCs w:val="21"/>
          <w:highlight w:val="none"/>
          <w:u w:val="single"/>
        </w:rPr>
        <w:t>,承包人必须承担由此发生的费用并向发包人承担违约责任</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rPr>
      </w:pPr>
      <w:r>
        <w:rPr>
          <w:rFonts w:ascii="宋体" w:hAnsi="宋体"/>
          <w:color w:val="auto"/>
          <w:szCs w:val="21"/>
          <w:highlight w:val="none"/>
        </w:rPr>
        <w:t>12.2为了保证工程质量安全，凡</w:t>
      </w:r>
      <w:r>
        <w:rPr>
          <w:rFonts w:hint="eastAsia" w:ascii="宋体" w:hAnsi="宋体"/>
          <w:color w:val="auto"/>
          <w:szCs w:val="21"/>
          <w:highlight w:val="none"/>
        </w:rPr>
        <w:t>承包人出现下列情况之一（不限于此）的，总监理工程师有权下达停工令，责令承包人停工整改，由此造成的损失由承包人自行承担，工期不予顺延，如果造成工期延误的，承包人还应承担违约责任。</w:t>
      </w:r>
    </w:p>
    <w:p>
      <w:pPr>
        <w:snapToGrid w:val="0"/>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(1)</w:t>
      </w:r>
      <w:r>
        <w:rPr>
          <w:rFonts w:hint="eastAsia" w:ascii="宋体" w:hAnsi="宋体"/>
          <w:color w:val="auto"/>
          <w:szCs w:val="21"/>
          <w:highlight w:val="none"/>
          <w:u w:val="single"/>
        </w:rPr>
        <w:t>拒绝监理单位管理</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(2)</w:t>
      </w:r>
      <w:r>
        <w:rPr>
          <w:rFonts w:hint="eastAsia" w:ascii="宋体" w:hAnsi="宋体"/>
          <w:color w:val="auto"/>
          <w:szCs w:val="21"/>
          <w:highlight w:val="none"/>
          <w:u w:val="single"/>
        </w:rPr>
        <w:t>施工组织设计（方案）未获总监理工程师批准而进行施工</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(3)</w:t>
      </w:r>
      <w:r>
        <w:rPr>
          <w:rFonts w:hint="eastAsia" w:ascii="宋体" w:hAnsi="宋体"/>
          <w:color w:val="auto"/>
          <w:szCs w:val="21"/>
          <w:highlight w:val="none"/>
          <w:u w:val="single"/>
        </w:rPr>
        <w:t>未经监理单位检验而进行下一道工序作业者</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w:t>
      </w:r>
      <w:r>
        <w:rPr>
          <w:rFonts w:hint="eastAsia" w:ascii="宋体" w:hAnsi="宋体"/>
          <w:color w:val="auto"/>
          <w:szCs w:val="21"/>
          <w:highlight w:val="none"/>
          <w:u w:val="single"/>
        </w:rPr>
        <w:t>擅自采用未经监理单位及发包人认可或批准的材料的，或者使用的原材料、构配件不合格或未经检查确认的，或者擅自采用未经认可的代用材料的</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(5)</w:t>
      </w:r>
      <w:r>
        <w:rPr>
          <w:rFonts w:hint="eastAsia" w:ascii="宋体" w:hAnsi="宋体"/>
          <w:color w:val="auto"/>
          <w:szCs w:val="21"/>
          <w:highlight w:val="none"/>
          <w:u w:val="single"/>
        </w:rPr>
        <w:t>擅自变更设计图纸的要求</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(6)</w:t>
      </w:r>
      <w:r>
        <w:rPr>
          <w:rFonts w:hint="eastAsia" w:ascii="宋体" w:hAnsi="宋体"/>
          <w:color w:val="auto"/>
          <w:szCs w:val="21"/>
          <w:highlight w:val="none"/>
          <w:u w:val="single"/>
        </w:rPr>
        <w:t>转包工程</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(7)</w:t>
      </w:r>
      <w:r>
        <w:rPr>
          <w:rFonts w:hint="eastAsia" w:ascii="宋体" w:hAnsi="宋体"/>
          <w:color w:val="auto"/>
          <w:szCs w:val="21"/>
          <w:highlight w:val="none"/>
          <w:u w:val="single"/>
        </w:rPr>
        <w:t>擅自让未经总监理工程师批准的专业承包单位进场作业</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(8)</w:t>
      </w:r>
      <w:r>
        <w:rPr>
          <w:rFonts w:hint="eastAsia" w:ascii="宋体" w:hAnsi="宋体"/>
          <w:color w:val="auto"/>
          <w:szCs w:val="21"/>
          <w:highlight w:val="none"/>
          <w:u w:val="single"/>
        </w:rPr>
        <w:t>存在安全隐患，未按监理单位要求及时进行整改</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(9)</w:t>
      </w:r>
      <w:r>
        <w:rPr>
          <w:rFonts w:hint="eastAsia" w:ascii="宋体" w:hAnsi="宋体"/>
          <w:color w:val="auto"/>
          <w:szCs w:val="21"/>
          <w:highlight w:val="none"/>
          <w:u w:val="single"/>
        </w:rPr>
        <w:t>未按双方约定的资料上报要求上报所需资料的</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rPr>
      </w:pPr>
      <w:r>
        <w:rPr>
          <w:rFonts w:ascii="宋体" w:hAnsi="宋体"/>
          <w:color w:val="auto"/>
          <w:szCs w:val="21"/>
          <w:highlight w:val="none"/>
        </w:rPr>
        <w:t>12.3因不可抗力引起工程停工，工期按</w:t>
      </w:r>
      <w:r>
        <w:rPr>
          <w:rFonts w:hint="eastAsia" w:ascii="宋体" w:hAnsi="宋体"/>
          <w:color w:val="auto"/>
          <w:szCs w:val="21"/>
          <w:highlight w:val="none"/>
          <w:u w:val="single"/>
        </w:rPr>
        <w:t>专用条款</w:t>
      </w:r>
      <w:r>
        <w:rPr>
          <w:rFonts w:ascii="宋体" w:hAnsi="宋体"/>
          <w:color w:val="auto"/>
          <w:szCs w:val="21"/>
          <w:highlight w:val="none"/>
          <w:u w:val="single"/>
        </w:rPr>
        <w:t>第12.1款</w:t>
      </w:r>
      <w:r>
        <w:rPr>
          <w:rFonts w:hint="eastAsia" w:ascii="宋体" w:hAnsi="宋体"/>
          <w:color w:val="auto"/>
          <w:szCs w:val="21"/>
          <w:highlight w:val="none"/>
        </w:rPr>
        <w:t>约定执行，费用承担按以下原则：</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u w:val="single"/>
        </w:rPr>
        <w:t>因工程损害导致第三方人员伤亡和财产损失，如系在工程竣工验收合格移交给发包人使用前造成的，费用由承包人承担；如系在工程竣工验收合格移交给发包人使用后发生的，费用由发包人承担</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u w:val="single"/>
        </w:rPr>
        <w:t>运至施工场地用于施工的材料和待安装的设备的损害，属发包人供应的由发包人承担；属承包人采购的由承包人承担</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u w:val="single"/>
        </w:rPr>
        <w:t>发包人承包人人员伤亡由其所在单位负责，并承担相应费用</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u w:val="single"/>
        </w:rPr>
        <w:t>承包人机械设备损坏及停工损失由承包人承担</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u w:val="single"/>
        </w:rPr>
        <w:t>停工期间，承包人应总监理工程师要求留在施工场地的必要的管理人员及保卫人员的费用由承包人承担</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u w:val="single"/>
        </w:rPr>
        <w:t>工程所需清理、修复费用由发包人承担</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rPr>
      </w:pPr>
      <w:r>
        <w:rPr>
          <w:rFonts w:ascii="宋体" w:hAnsi="宋体"/>
          <w:color w:val="auto"/>
          <w:szCs w:val="21"/>
          <w:highlight w:val="none"/>
        </w:rPr>
        <w:t>12.4</w:t>
      </w:r>
      <w:r>
        <w:rPr>
          <w:rFonts w:hint="eastAsia" w:ascii="宋体" w:hAnsi="宋体"/>
          <w:color w:val="auto"/>
          <w:szCs w:val="21"/>
          <w:highlight w:val="none"/>
          <w:u w:val="single"/>
        </w:rPr>
        <w:t>由于承包人自身原因或施工承包管理、配合及协调不力，而导致专业承包工程停工，产生的费用由承包人承担</w:t>
      </w:r>
      <w:r>
        <w:rPr>
          <w:rFonts w:hint="eastAsia" w:ascii="宋体" w:hAnsi="宋体"/>
          <w:color w:val="auto"/>
          <w:szCs w:val="21"/>
          <w:highlight w:val="none"/>
        </w:rPr>
        <w:t>。</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13、工期延误</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13.2</w:t>
      </w:r>
      <w:r>
        <w:rPr>
          <w:rFonts w:hint="eastAsia" w:ascii="宋体" w:hAnsi="宋体"/>
          <w:color w:val="auto"/>
          <w:szCs w:val="21"/>
          <w:highlight w:val="none"/>
          <w:u w:val="single"/>
        </w:rPr>
        <w:t>对于非因承包人原因发生的工期延误，承包人应当在工期延误事件发生后</w:t>
      </w:r>
      <w:r>
        <w:rPr>
          <w:rFonts w:ascii="宋体" w:hAnsi="宋体"/>
          <w:color w:val="auto"/>
          <w:szCs w:val="21"/>
          <w:highlight w:val="none"/>
          <w:u w:val="single"/>
        </w:rPr>
        <w:t>7天内就延误的内容经总监理工程师向发包人提出书面报告，逾期不报告，发包人不予确认；发包人在收到经总监理工程师确认报告后15个工作日内予以答复，逾期不予答复，承包人即可视为延期要求已被确认。经确认同意延期，可顺延工期，但不作费用补偿</w:t>
      </w:r>
      <w:r>
        <w:rPr>
          <w:rFonts w:hint="eastAsia" w:ascii="宋体" w:hAnsi="宋体"/>
          <w:color w:val="auto"/>
          <w:szCs w:val="21"/>
          <w:highlight w:val="none"/>
        </w:rPr>
        <w:t>。</w:t>
      </w:r>
    </w:p>
    <w:p>
      <w:pPr>
        <w:snapToGrid w:val="0"/>
        <w:spacing w:line="440" w:lineRule="exact"/>
        <w:ind w:firstLine="397"/>
        <w:rPr>
          <w:rFonts w:ascii="宋体" w:hAnsi="宋体"/>
          <w:b/>
          <w:color w:val="auto"/>
          <w:sz w:val="24"/>
          <w:highlight w:val="none"/>
        </w:rPr>
      </w:pPr>
      <w:r>
        <w:rPr>
          <w:rFonts w:hint="eastAsia" w:ascii="宋体" w:hAnsi="宋体"/>
          <w:b/>
          <w:color w:val="auto"/>
          <w:sz w:val="24"/>
          <w:highlight w:val="none"/>
        </w:rPr>
        <w:t>四、质量与验收</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15、工程质量</w:t>
      </w:r>
    </w:p>
    <w:p>
      <w:pPr>
        <w:snapToGrid w:val="0"/>
        <w:spacing w:line="440" w:lineRule="exact"/>
        <w:ind w:firstLine="397"/>
        <w:rPr>
          <w:rFonts w:ascii="宋体" w:hAnsi="宋体"/>
          <w:bCs/>
          <w:color w:val="auto"/>
          <w:szCs w:val="21"/>
          <w:highlight w:val="none"/>
        </w:rPr>
      </w:pPr>
      <w:r>
        <w:rPr>
          <w:rFonts w:ascii="宋体" w:hAnsi="宋体"/>
          <w:bCs/>
          <w:color w:val="auto"/>
          <w:szCs w:val="21"/>
          <w:highlight w:val="none"/>
        </w:rPr>
        <w:t>15.3</w:t>
      </w:r>
      <w:r>
        <w:rPr>
          <w:rFonts w:hint="eastAsia" w:ascii="宋体" w:hAnsi="宋体"/>
          <w:bCs/>
          <w:color w:val="auto"/>
          <w:szCs w:val="21"/>
          <w:highlight w:val="none"/>
          <w:u w:val="single"/>
        </w:rPr>
        <w:t>承包人必须严格按照设计施工图和国家及行业颁发的现行有关设计、施工及验收规范的要求进行施工，确保工程质量，</w:t>
      </w:r>
      <w:r>
        <w:rPr>
          <w:rFonts w:ascii="Times New Roman" w:hAnsi="Times New Roman"/>
          <w:bCs/>
          <w:color w:val="auto"/>
          <w:highlight w:val="none"/>
        </w:rPr>
        <w:t>工程的质量标准要求合格，且达到投标承诺的质量标准</w:t>
      </w:r>
      <w:r>
        <w:rPr>
          <w:rFonts w:hint="eastAsia" w:ascii="宋体" w:hAnsi="宋体"/>
          <w:bCs/>
          <w:color w:val="auto"/>
          <w:szCs w:val="21"/>
          <w:highlight w:val="none"/>
          <w:u w:val="single"/>
        </w:rPr>
        <w:t>。承包人对图纸中存在的问题有责任和义务提前以书面形式报告工程师及发包人，以供发包人同监理人核实并及时要求设计方修改设计图纸</w:t>
      </w:r>
      <w:r>
        <w:rPr>
          <w:rFonts w:hint="eastAsia" w:ascii="宋体" w:hAnsi="宋体"/>
          <w:bCs/>
          <w:color w:val="auto"/>
          <w:szCs w:val="21"/>
          <w:highlight w:val="none"/>
        </w:rPr>
        <w:t>。</w:t>
      </w:r>
    </w:p>
    <w:p>
      <w:pPr>
        <w:snapToGrid w:val="0"/>
        <w:spacing w:line="440" w:lineRule="exact"/>
        <w:ind w:firstLine="397"/>
        <w:rPr>
          <w:rFonts w:ascii="宋体" w:hAnsi="宋体"/>
          <w:bCs/>
          <w:color w:val="auto"/>
          <w:szCs w:val="21"/>
          <w:highlight w:val="none"/>
        </w:rPr>
      </w:pPr>
      <w:r>
        <w:rPr>
          <w:rFonts w:ascii="宋体" w:hAnsi="宋体"/>
          <w:bCs/>
          <w:color w:val="auto"/>
          <w:szCs w:val="21"/>
          <w:highlight w:val="none"/>
        </w:rPr>
        <w:t>15.4</w:t>
      </w:r>
      <w:r>
        <w:rPr>
          <w:rFonts w:hint="eastAsia" w:ascii="宋体" w:hAnsi="宋体"/>
          <w:bCs/>
          <w:color w:val="auto"/>
          <w:szCs w:val="21"/>
          <w:highlight w:val="none"/>
          <w:u w:val="single"/>
        </w:rPr>
        <w:t>本工程项目的所有材料、设备及配件须达到现行中华人民共和国以及省、自治区、直辖市或行业的工程建设标准、规范的要求，产品应有生产许可证书、出厂合格证书，经监理工程师和发包人代表认可后方可使用</w:t>
      </w:r>
      <w:r>
        <w:rPr>
          <w:rFonts w:hint="eastAsia" w:ascii="宋体" w:hAnsi="宋体"/>
          <w:bCs/>
          <w:color w:val="auto"/>
          <w:szCs w:val="21"/>
          <w:highlight w:val="none"/>
        </w:rPr>
        <w:t>。</w:t>
      </w:r>
    </w:p>
    <w:p>
      <w:pPr>
        <w:snapToGrid w:val="0"/>
        <w:spacing w:line="440" w:lineRule="exact"/>
        <w:ind w:firstLine="397"/>
        <w:rPr>
          <w:rFonts w:ascii="宋体" w:hAnsi="宋体"/>
          <w:bCs/>
          <w:color w:val="auto"/>
          <w:szCs w:val="21"/>
          <w:highlight w:val="none"/>
        </w:rPr>
      </w:pPr>
      <w:r>
        <w:rPr>
          <w:rFonts w:ascii="宋体" w:hAnsi="宋体"/>
          <w:bCs/>
          <w:color w:val="auto"/>
          <w:szCs w:val="21"/>
          <w:highlight w:val="none"/>
        </w:rPr>
        <w:t>15.5</w:t>
      </w:r>
      <w:r>
        <w:rPr>
          <w:rFonts w:hint="eastAsia" w:ascii="宋体" w:hAnsi="宋体"/>
          <w:bCs/>
          <w:color w:val="auto"/>
          <w:szCs w:val="21"/>
          <w:highlight w:val="none"/>
          <w:u w:val="single"/>
        </w:rPr>
        <w:t>工程质量不符合设计要求、质量不合格者，监理工程师可指令承包人停工或返工，返工费用由承包人承担，工期不予顺延</w:t>
      </w:r>
      <w:r>
        <w:rPr>
          <w:rFonts w:hint="eastAsia" w:ascii="宋体" w:hAnsi="宋体"/>
          <w:bCs/>
          <w:color w:val="auto"/>
          <w:szCs w:val="21"/>
          <w:highlight w:val="none"/>
        </w:rPr>
        <w:t>。</w:t>
      </w:r>
    </w:p>
    <w:p>
      <w:pPr>
        <w:snapToGrid w:val="0"/>
        <w:spacing w:line="440" w:lineRule="exact"/>
        <w:ind w:firstLine="397"/>
        <w:rPr>
          <w:rFonts w:ascii="宋体" w:hAnsi="宋体"/>
          <w:bCs/>
          <w:color w:val="auto"/>
          <w:szCs w:val="21"/>
          <w:highlight w:val="none"/>
        </w:rPr>
      </w:pPr>
      <w:r>
        <w:rPr>
          <w:rFonts w:ascii="宋体" w:hAnsi="宋体"/>
          <w:bCs/>
          <w:color w:val="auto"/>
          <w:szCs w:val="21"/>
          <w:highlight w:val="none"/>
        </w:rPr>
        <w:t>15.6</w:t>
      </w:r>
      <w:r>
        <w:rPr>
          <w:rFonts w:hint="eastAsia" w:ascii="宋体" w:hAnsi="宋体"/>
          <w:bCs/>
          <w:color w:val="auto"/>
          <w:szCs w:val="21"/>
          <w:highlight w:val="none"/>
          <w:u w:val="single"/>
        </w:rPr>
        <w:t>发生须紧急抢修事故，承包人接到通知后，应立即到达事故现场抢修；否则，发包人可以另委托单位抢修，属承包人施工质量问题造成的修复等费用全部由承包人承担</w:t>
      </w:r>
      <w:r>
        <w:rPr>
          <w:rFonts w:hint="eastAsia" w:ascii="宋体" w:hAnsi="宋体"/>
          <w:bCs/>
          <w:color w:val="auto"/>
          <w:szCs w:val="21"/>
          <w:highlight w:val="none"/>
        </w:rPr>
        <w:t>。</w:t>
      </w:r>
    </w:p>
    <w:p>
      <w:pPr>
        <w:snapToGrid w:val="0"/>
        <w:spacing w:line="440" w:lineRule="exact"/>
        <w:ind w:firstLine="397"/>
        <w:rPr>
          <w:rFonts w:ascii="宋体" w:hAnsi="宋体"/>
          <w:bCs/>
          <w:color w:val="auto"/>
          <w:szCs w:val="21"/>
          <w:highlight w:val="none"/>
        </w:rPr>
      </w:pPr>
      <w:r>
        <w:rPr>
          <w:rFonts w:ascii="宋体" w:hAnsi="宋体"/>
          <w:bCs/>
          <w:color w:val="auto"/>
          <w:szCs w:val="21"/>
          <w:highlight w:val="none"/>
        </w:rPr>
        <w:t>15.7</w:t>
      </w:r>
      <w:r>
        <w:rPr>
          <w:rFonts w:hint="eastAsia" w:ascii="宋体" w:hAnsi="宋体"/>
          <w:bCs/>
          <w:color w:val="auto"/>
          <w:szCs w:val="21"/>
          <w:highlight w:val="none"/>
          <w:u w:val="single"/>
        </w:rPr>
        <w:t>本工程按照本合同专用条款</w:t>
      </w:r>
      <w:r>
        <w:rPr>
          <w:rFonts w:ascii="宋体" w:hAnsi="宋体"/>
          <w:bCs/>
          <w:color w:val="auto"/>
          <w:szCs w:val="21"/>
          <w:highlight w:val="none"/>
          <w:u w:val="single"/>
        </w:rPr>
        <w:t>3.3的约定进行质量验收。若承包人有违反操作规程和标准或施工质量不符合规定的，发包人及监理工程师有权令其停止（或暂停）施工，由此造成的损失均由承包人负责。如在施工过程中颁发新的</w:t>
      </w:r>
      <w:r>
        <w:rPr>
          <w:rFonts w:hint="eastAsia" w:ascii="宋体" w:hAnsi="宋体"/>
          <w:bCs/>
          <w:color w:val="auto"/>
          <w:szCs w:val="21"/>
          <w:highlight w:val="none"/>
          <w:u w:val="single"/>
        </w:rPr>
        <w:t>质量标准规范版本的，是否采用新版本规定，由监理工程师与有关各方洽商决定</w:t>
      </w:r>
      <w:r>
        <w:rPr>
          <w:rFonts w:hint="eastAsia" w:ascii="宋体" w:hAnsi="宋体"/>
          <w:bCs/>
          <w:color w:val="auto"/>
          <w:szCs w:val="21"/>
          <w:highlight w:val="none"/>
        </w:rPr>
        <w:t>。</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16、检查和返工</w:t>
      </w:r>
    </w:p>
    <w:p>
      <w:pPr>
        <w:snapToGrid w:val="0"/>
        <w:spacing w:line="440" w:lineRule="exact"/>
        <w:ind w:firstLine="397"/>
        <w:rPr>
          <w:rFonts w:ascii="宋体" w:hAnsi="宋体"/>
          <w:bCs/>
          <w:color w:val="auto"/>
          <w:szCs w:val="21"/>
          <w:highlight w:val="none"/>
        </w:rPr>
      </w:pPr>
      <w:r>
        <w:rPr>
          <w:rFonts w:ascii="宋体" w:hAnsi="宋体"/>
          <w:bCs/>
          <w:color w:val="auto"/>
          <w:szCs w:val="21"/>
          <w:highlight w:val="none"/>
        </w:rPr>
        <w:t>16.3工程师的检查检验：</w:t>
      </w:r>
      <w:r>
        <w:rPr>
          <w:rFonts w:hint="eastAsia" w:ascii="宋体" w:hAnsi="宋体"/>
          <w:bCs/>
          <w:color w:val="auto"/>
          <w:szCs w:val="21"/>
          <w:highlight w:val="none"/>
          <w:u w:val="single"/>
        </w:rPr>
        <w:t>工程师按规范、标准、设计图纸要求和频率所进行的检查检测不应成为承包人工期顺延的理由</w:t>
      </w:r>
      <w:r>
        <w:rPr>
          <w:rFonts w:hint="eastAsia" w:ascii="宋体" w:hAnsi="宋体"/>
          <w:bCs/>
          <w:color w:val="auto"/>
          <w:szCs w:val="21"/>
          <w:highlight w:val="none"/>
        </w:rPr>
        <w:t>。</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17</w:t>
      </w:r>
      <w:r>
        <w:rPr>
          <w:rFonts w:hint="eastAsia" w:ascii="宋体" w:hAnsi="宋体"/>
          <w:b/>
          <w:color w:val="auto"/>
          <w:sz w:val="24"/>
          <w:highlight w:val="none"/>
        </w:rPr>
        <w:t>、隐蔽工程和中间验收</w:t>
      </w: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17.1</w:t>
      </w:r>
      <w:r>
        <w:rPr>
          <w:rFonts w:hint="eastAsia" w:ascii="宋体" w:hAnsi="宋体"/>
          <w:color w:val="auto"/>
          <w:szCs w:val="21"/>
          <w:highlight w:val="none"/>
        </w:rPr>
        <w:t>双方约定中间验收部位：</w:t>
      </w:r>
      <w:r>
        <w:rPr>
          <w:rFonts w:hint="eastAsia" w:ascii="宋体" w:hAnsi="宋体"/>
          <w:color w:val="auto"/>
          <w:szCs w:val="21"/>
          <w:highlight w:val="none"/>
          <w:u w:val="single"/>
        </w:rPr>
        <w:t>按相应工程施工及验收规范要求执行</w:t>
      </w:r>
      <w:r>
        <w:rPr>
          <w:rFonts w:hint="eastAsia" w:ascii="宋体" w:hAnsi="宋体"/>
          <w:color w:val="auto"/>
          <w:szCs w:val="21"/>
          <w:highlight w:val="none"/>
        </w:rPr>
        <w:t>。</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19</w:t>
      </w:r>
      <w:r>
        <w:rPr>
          <w:rFonts w:hint="eastAsia" w:ascii="宋体" w:hAnsi="宋体"/>
          <w:b/>
          <w:color w:val="auto"/>
          <w:sz w:val="24"/>
          <w:highlight w:val="none"/>
        </w:rPr>
        <w:t>、工程试车</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19.5</w:t>
      </w:r>
      <w:r>
        <w:rPr>
          <w:rFonts w:hint="eastAsia" w:ascii="宋体" w:hAnsi="宋体"/>
          <w:color w:val="auto"/>
          <w:szCs w:val="21"/>
          <w:highlight w:val="none"/>
        </w:rPr>
        <w:t>试车费用的承担：</w:t>
      </w:r>
      <w:r>
        <w:rPr>
          <w:rFonts w:ascii="宋体" w:hAnsi="宋体"/>
          <w:color w:val="auto"/>
          <w:szCs w:val="21"/>
          <w:highlight w:val="none"/>
          <w:u w:val="single"/>
        </w:rPr>
        <w:t xml:space="preserve">     /     </w:t>
      </w:r>
      <w:r>
        <w:rPr>
          <w:rFonts w:hint="eastAsia" w:ascii="宋体" w:hAnsi="宋体"/>
          <w:color w:val="auto"/>
          <w:szCs w:val="21"/>
          <w:highlight w:val="none"/>
        </w:rPr>
        <w:t>。</w:t>
      </w:r>
    </w:p>
    <w:p>
      <w:pPr>
        <w:snapToGrid w:val="0"/>
        <w:spacing w:line="440" w:lineRule="exact"/>
        <w:ind w:firstLine="397"/>
        <w:rPr>
          <w:rFonts w:ascii="宋体" w:hAnsi="宋体"/>
          <w:color w:val="auto"/>
          <w:sz w:val="24"/>
          <w:highlight w:val="none"/>
        </w:rPr>
      </w:pPr>
      <w:r>
        <w:rPr>
          <w:rFonts w:hint="eastAsia" w:ascii="宋体" w:hAnsi="宋体"/>
          <w:b/>
          <w:color w:val="auto"/>
          <w:sz w:val="24"/>
          <w:highlight w:val="none"/>
        </w:rPr>
        <w:t>五、安全施工</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20、安全施工与检查</w:t>
      </w: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20.3</w:t>
      </w:r>
      <w:r>
        <w:rPr>
          <w:rFonts w:hint="eastAsia" w:ascii="宋体" w:hAnsi="宋体"/>
          <w:color w:val="auto"/>
          <w:szCs w:val="21"/>
          <w:highlight w:val="none"/>
          <w:u w:val="single"/>
        </w:rPr>
        <w:t>承包人应建立安全责任制，明确各部门安全工作的岗位责任人，建立健全正常运转的各种安全工作保证体系和规章制度，将安全生产目标分解落实到实处</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20.4</w:t>
      </w:r>
      <w:r>
        <w:rPr>
          <w:rFonts w:hint="eastAsia" w:ascii="宋体" w:hAnsi="宋体"/>
          <w:color w:val="auto"/>
          <w:szCs w:val="21"/>
          <w:highlight w:val="none"/>
          <w:u w:val="single"/>
        </w:rPr>
        <w:t>承包人按规定数量配置安全员</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20.5</w:t>
      </w:r>
      <w:r>
        <w:rPr>
          <w:rFonts w:hint="eastAsia" w:ascii="宋体" w:hAnsi="宋体"/>
          <w:color w:val="auto"/>
          <w:szCs w:val="21"/>
          <w:highlight w:val="none"/>
          <w:u w:val="single"/>
        </w:rPr>
        <w:t>承包人在开工前须向质量安全监督机构提交备案的书面资料</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20.6</w:t>
      </w:r>
      <w:r>
        <w:rPr>
          <w:rFonts w:hint="eastAsia" w:ascii="宋体" w:hAnsi="宋体"/>
          <w:color w:val="auto"/>
          <w:szCs w:val="21"/>
          <w:highlight w:val="none"/>
          <w:u w:val="single"/>
        </w:rPr>
        <w:t>承包人在编制施工组织设计时，应当根据工程的特点编制相应的安全技术措施</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20.7</w:t>
      </w:r>
      <w:r>
        <w:rPr>
          <w:rFonts w:hint="eastAsia" w:ascii="宋体" w:hAnsi="宋体"/>
          <w:color w:val="auto"/>
          <w:szCs w:val="21"/>
          <w:highlight w:val="none"/>
          <w:u w:val="single"/>
        </w:rPr>
        <w:t>承包人按有关安全和防护的规定组织施工生产，不得使用不合标准的防护器材、机具和材料</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rPr>
      </w:pPr>
      <w:r>
        <w:rPr>
          <w:rFonts w:ascii="宋体" w:hAnsi="宋体"/>
          <w:color w:val="auto"/>
          <w:szCs w:val="21"/>
          <w:highlight w:val="none"/>
        </w:rPr>
        <w:t>20.8</w:t>
      </w:r>
      <w:r>
        <w:rPr>
          <w:rFonts w:hint="eastAsia" w:ascii="宋体" w:hAnsi="宋体"/>
          <w:color w:val="auto"/>
          <w:szCs w:val="21"/>
          <w:highlight w:val="none"/>
          <w:u w:val="single"/>
        </w:rPr>
        <w:t>在工程实施期间，施工场地一经移交给承包人，承包人即对自身施工场地负有全过程、全面的管理责任，必须对自身施工场地范围内的治安秩序、安全保卫、环境卫生以及周围房屋、市政设施等负全责，对自身施工场地范围内的交通道路、用水、用电、场地内的协调进行的管理和协调。承包人需对其施工场地布置、人员的管理、交通组织制订详细的方案，对施工时段作出合理安排，必须采用全封闭施工方案，确保不对周边环境、道路、行人和相邻施工现场造成不利影响，不得干扰周围居民的正常生活，不得影响学生的上课及正常的活动</w:t>
      </w:r>
      <w:r>
        <w:rPr>
          <w:rFonts w:hint="eastAsia" w:ascii="宋体" w:hAnsi="宋体"/>
          <w:color w:val="auto"/>
          <w:szCs w:val="21"/>
          <w:highlight w:val="none"/>
        </w:rPr>
        <w:t>。</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21、安全防护</w:t>
      </w:r>
    </w:p>
    <w:p>
      <w:pPr>
        <w:spacing w:line="440" w:lineRule="exact"/>
        <w:ind w:firstLine="420" w:firstLineChars="200"/>
        <w:rPr>
          <w:rFonts w:hint="eastAsia" w:ascii="宋体" w:hAnsi="宋体"/>
          <w:color w:val="auto"/>
          <w:szCs w:val="21"/>
          <w:highlight w:val="none"/>
        </w:rPr>
      </w:pPr>
      <w:r>
        <w:rPr>
          <w:rFonts w:ascii="宋体" w:hAnsi="宋体"/>
          <w:color w:val="auto"/>
          <w:szCs w:val="21"/>
          <w:highlight w:val="none"/>
        </w:rPr>
        <w:t>21.3</w:t>
      </w:r>
      <w:r>
        <w:rPr>
          <w:rFonts w:hint="eastAsia" w:ascii="宋体" w:hAnsi="宋体"/>
          <w:color w:val="auto"/>
          <w:szCs w:val="21"/>
          <w:highlight w:val="none"/>
          <w:u w:val="single"/>
        </w:rPr>
        <w:t>承包人应在施工现场采取维护安全、防范危险、预防火灾等措施，在特殊作业环境应对作业人员采取劳动保护措施</w:t>
      </w:r>
      <w:r>
        <w:rPr>
          <w:rFonts w:hint="eastAsia" w:ascii="宋体" w:hAnsi="宋体"/>
          <w:color w:val="auto"/>
          <w:szCs w:val="21"/>
          <w:highlight w:val="none"/>
        </w:rPr>
        <w:t>。</w:t>
      </w:r>
    </w:p>
    <w:p>
      <w:pPr>
        <w:tabs>
          <w:tab w:val="left" w:pos="2340"/>
        </w:tabs>
        <w:spacing w:line="560" w:lineRule="exact"/>
        <w:jc w:val="left"/>
        <w:rPr>
          <w:rFonts w:ascii="宋体" w:hAnsi="宋体"/>
          <w:color w:val="auto"/>
          <w:szCs w:val="21"/>
          <w:highlight w:val="none"/>
          <w:u w:val="single"/>
        </w:rPr>
      </w:pPr>
      <w:r>
        <w:rPr>
          <w:rFonts w:hint="eastAsia" w:ascii="宋体" w:hAnsi="宋体"/>
          <w:color w:val="auto"/>
          <w:szCs w:val="21"/>
          <w:highlight w:val="none"/>
        </w:rPr>
        <w:t xml:space="preserve">   </w:t>
      </w:r>
      <w:r>
        <w:rPr>
          <w:rFonts w:ascii="宋体" w:hAnsi="宋体"/>
          <w:color w:val="auto"/>
          <w:szCs w:val="21"/>
          <w:highlight w:val="none"/>
        </w:rPr>
        <w:t>21.4</w:t>
      </w:r>
      <w:r>
        <w:rPr>
          <w:rFonts w:hint="eastAsia" w:ascii="宋体" w:hAnsi="宋体" w:cs="宋体"/>
          <w:color w:val="auto"/>
          <w:szCs w:val="21"/>
          <w:highlight w:val="none"/>
          <w:u w:val="single"/>
        </w:rPr>
        <w:t>承包人应加强周边学校、居民住宅的环境保护，制定绿色施工安全防护措施（包括防尘、防噪音、施工围蔽等），施工现场严格按照《广州市建设工程文明施工管理规定》（广州市人民政府令第62号）、《广州市建设工程现场文明施工管理办法》（</w:t>
      </w:r>
      <w:r>
        <w:rPr>
          <w:rFonts w:hint="eastAsia" w:ascii="宋体" w:hAnsi="宋体" w:cs="宋体"/>
          <w:bCs/>
          <w:smallCaps/>
          <w:color w:val="auto"/>
          <w:szCs w:val="21"/>
          <w:highlight w:val="none"/>
          <w:u w:val="single"/>
        </w:rPr>
        <w:t>穗建质</w:t>
      </w:r>
      <w:r>
        <w:rPr>
          <w:rFonts w:hint="eastAsia" w:ascii="宋体" w:hAnsi="宋体" w:cs="宋体"/>
          <w:color w:val="auto"/>
          <w:szCs w:val="21"/>
          <w:highlight w:val="none"/>
          <w:u w:val="single"/>
        </w:rPr>
        <w:t>〔2008〕</w:t>
      </w:r>
      <w:r>
        <w:rPr>
          <w:rFonts w:hint="eastAsia" w:ascii="宋体" w:hAnsi="宋体" w:cs="宋体"/>
          <w:bCs/>
          <w:smallCaps/>
          <w:color w:val="auto"/>
          <w:szCs w:val="21"/>
          <w:highlight w:val="none"/>
          <w:u w:val="single"/>
        </w:rPr>
        <w:t>937号）</w:t>
      </w:r>
      <w:r>
        <w:rPr>
          <w:rFonts w:hint="eastAsia" w:ascii="宋体" w:hAnsi="宋体" w:cs="宋体"/>
          <w:color w:val="auto"/>
          <w:szCs w:val="21"/>
          <w:highlight w:val="none"/>
          <w:u w:val="single"/>
        </w:rPr>
        <w:t>、《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加强规范建设施工现场围蔽的通知》（穗建质〔2018〕1008号）、《广州市建设工程绿色施工围蔽指导图集（V2.0版）》(穗建质〔2020〕1号）、《关于进一步落实我区市政建设项目施工围蔽提升工作的通知》（穗埔建[2019]123号）及</w:t>
      </w:r>
      <w:r>
        <w:rPr>
          <w:rFonts w:hint="eastAsia" w:ascii="宋体" w:hAnsi="宋体"/>
          <w:color w:val="auto"/>
          <w:szCs w:val="21"/>
          <w:highlight w:val="none"/>
          <w:u w:val="single"/>
        </w:rPr>
        <w:t>《黄埔区住房和城乡建设局 广州开发区建设和交通局关于进一步规范全区建设工程施工围蔽标准的通知》（穗埔建﹝2020﹞183号）实施。</w:t>
      </w:r>
      <w:r>
        <w:rPr>
          <w:rFonts w:ascii="宋体" w:hAnsi="宋体" w:cs="宋体"/>
          <w:color w:val="auto"/>
          <w:szCs w:val="21"/>
          <w:highlight w:val="none"/>
        </w:rPr>
        <w:t>以上文件要求不一致的，以后发布文件为准，若相关部门发布有关施工围蔽新文件规定的，按新规定执行。</w:t>
      </w:r>
      <w:r>
        <w:rPr>
          <w:rFonts w:hint="eastAsia" w:ascii="宋体" w:hAnsi="宋体"/>
          <w:color w:val="auto"/>
          <w:szCs w:val="21"/>
          <w:highlight w:val="none"/>
          <w:u w:val="single"/>
        </w:rPr>
        <w:t>如承包人未及时按要求做好围蔽、落实工地扬尘防治等绿色施工安全防护措施，业主可另行委托单位实施，业主在工程款中扣减相应措施费用。承包人应当在项目施工前编制扬尘污染防治专项方案和扬尘污染防治费用使用计划，明确扬尘控制目标、防治部位、控制措施，并将扬尘污染防治费用专项使用。</w:t>
      </w:r>
    </w:p>
    <w:p>
      <w:pPr>
        <w:tabs>
          <w:tab w:val="left" w:pos="2340"/>
        </w:tabs>
        <w:spacing w:line="560" w:lineRule="exact"/>
        <w:jc w:val="left"/>
        <w:rPr>
          <w:rFonts w:hint="eastAsia" w:ascii="宋体" w:hAnsi="宋体" w:cs="宋体"/>
          <w:color w:val="auto"/>
          <w:sz w:val="24"/>
          <w:szCs w:val="24"/>
          <w:highlight w:val="none"/>
        </w:rPr>
      </w:pP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21.5</w:t>
      </w:r>
      <w:r>
        <w:rPr>
          <w:rFonts w:hint="eastAsia" w:ascii="宋体" w:hAnsi="宋体"/>
          <w:color w:val="auto"/>
          <w:szCs w:val="21"/>
          <w:highlight w:val="none"/>
          <w:u w:val="single"/>
        </w:rPr>
        <w:t>承包人应按规定对工程施工人员进行安全教育和管理</w:t>
      </w:r>
      <w:r>
        <w:rPr>
          <w:rFonts w:hint="eastAsia" w:ascii="宋体" w:hAnsi="宋体"/>
          <w:color w:val="auto"/>
          <w:szCs w:val="21"/>
          <w:highlight w:val="none"/>
        </w:rPr>
        <w:t>。</w:t>
      </w:r>
    </w:p>
    <w:p>
      <w:pPr>
        <w:snapToGrid w:val="0"/>
        <w:spacing w:line="440" w:lineRule="exact"/>
        <w:ind w:firstLine="397"/>
        <w:rPr>
          <w:rFonts w:hint="eastAsia" w:ascii="宋体" w:hAnsi="宋体"/>
          <w:color w:val="auto"/>
          <w:szCs w:val="21"/>
          <w:highlight w:val="none"/>
        </w:rPr>
      </w:pPr>
      <w:r>
        <w:rPr>
          <w:rFonts w:ascii="宋体" w:hAnsi="宋体"/>
          <w:color w:val="auto"/>
          <w:szCs w:val="21"/>
          <w:highlight w:val="none"/>
        </w:rPr>
        <w:t>21.6</w:t>
      </w:r>
      <w:r>
        <w:rPr>
          <w:rFonts w:hint="eastAsia" w:ascii="宋体" w:hAnsi="宋体"/>
          <w:color w:val="auto"/>
          <w:szCs w:val="21"/>
          <w:highlight w:val="none"/>
          <w:u w:val="single"/>
        </w:rPr>
        <w:t>承包人应书面记录专项安全施工组织设计方案审查、安全检查、安全技术交底、安全隐患整改、安全教育等重要安全管理活动</w:t>
      </w:r>
      <w:r>
        <w:rPr>
          <w:rFonts w:hint="eastAsia" w:ascii="宋体" w:hAnsi="宋体"/>
          <w:color w:val="auto"/>
          <w:szCs w:val="21"/>
          <w:highlight w:val="none"/>
        </w:rPr>
        <w:t>。</w:t>
      </w:r>
    </w:p>
    <w:p>
      <w:pPr>
        <w:spacing w:line="520" w:lineRule="exact"/>
        <w:ind w:firstLine="315" w:firstLineChars="150"/>
        <w:rPr>
          <w:rFonts w:hint="eastAsia" w:ascii="宋体" w:hAnsi="宋体"/>
          <w:color w:val="auto"/>
          <w:szCs w:val="21"/>
          <w:highlight w:val="none"/>
          <w:u w:val="single"/>
        </w:rPr>
      </w:pPr>
      <w:r>
        <w:rPr>
          <w:rFonts w:hint="eastAsia" w:ascii="宋体" w:hAnsi="宋体"/>
          <w:color w:val="auto"/>
          <w:szCs w:val="21"/>
          <w:highlight w:val="none"/>
          <w:u w:val="single"/>
        </w:rPr>
        <w:t>21.7承包人用于本项目的非标起重机械设备须严格执行《关于印发&lt;广州市非标建筑起重机械管理办法&gt;的通知》(穗建质[2010]999号)的相关规定，非标起重机械设备是指没有国家或行业制造标准的各类起重机械设备，如非标架桥设备、 竖井提升设备、非标龙门吊、贝雷架式或扒杆式起重装置等。</w:t>
      </w:r>
    </w:p>
    <w:p>
      <w:pPr>
        <w:spacing w:line="520" w:lineRule="exact"/>
        <w:ind w:firstLine="315" w:firstLineChars="150"/>
        <w:rPr>
          <w:rFonts w:hint="eastAsia" w:ascii="宋体" w:hAnsi="宋体"/>
          <w:color w:val="auto"/>
          <w:szCs w:val="21"/>
          <w:highlight w:val="none"/>
          <w:u w:val="single"/>
        </w:rPr>
      </w:pPr>
      <w:r>
        <w:rPr>
          <w:rFonts w:hint="eastAsia" w:ascii="宋体" w:hAnsi="宋体"/>
          <w:color w:val="auto"/>
          <w:szCs w:val="21"/>
          <w:highlight w:val="none"/>
          <w:u w:val="single"/>
        </w:rPr>
        <w:t>21.8承包人用于本项目的起重设备须严格执行《关于建筑起重机械设备安全监督管理的通知》【穗建安监字[2006]24号】、《关于加强建设工地塔式起重机安全管理的若干规定》【穗建安监字[2006]5号】、</w:t>
      </w:r>
      <w:r>
        <w:rPr>
          <w:rFonts w:ascii="宋体" w:hAnsi="宋体"/>
          <w:color w:val="auto"/>
          <w:szCs w:val="21"/>
          <w:highlight w:val="none"/>
          <w:u w:val="single"/>
        </w:rPr>
        <w:t>《关于加强塔式起重机等垂直运输设备及附着升降脚手架施工安全监督管理的通知》</w:t>
      </w:r>
      <w:r>
        <w:rPr>
          <w:rFonts w:hint="eastAsia" w:ascii="宋体" w:hAnsi="宋体"/>
          <w:color w:val="auto"/>
          <w:szCs w:val="21"/>
          <w:highlight w:val="none"/>
          <w:u w:val="single"/>
        </w:rPr>
        <w:t>【</w:t>
      </w:r>
      <w:r>
        <w:rPr>
          <w:rFonts w:ascii="宋体" w:hAnsi="宋体"/>
          <w:color w:val="auto"/>
          <w:szCs w:val="21"/>
          <w:highlight w:val="none"/>
          <w:u w:val="single"/>
        </w:rPr>
        <w:t>穗建筑[2003]84号</w:t>
      </w:r>
      <w:r>
        <w:rPr>
          <w:rFonts w:hint="eastAsia" w:ascii="宋体" w:hAnsi="宋体"/>
          <w:color w:val="auto"/>
          <w:szCs w:val="21"/>
          <w:highlight w:val="none"/>
          <w:u w:val="single"/>
        </w:rPr>
        <w:t>】等相关规定。</w:t>
      </w:r>
    </w:p>
    <w:p>
      <w:pPr>
        <w:spacing w:line="520" w:lineRule="exact"/>
        <w:ind w:firstLine="315" w:firstLineChars="150"/>
        <w:rPr>
          <w:rFonts w:hint="eastAsia" w:ascii="宋体" w:hAnsi="宋体"/>
          <w:color w:val="auto"/>
          <w:szCs w:val="21"/>
          <w:highlight w:val="none"/>
          <w:u w:val="single"/>
        </w:rPr>
      </w:pPr>
      <w:r>
        <w:rPr>
          <w:rFonts w:hint="eastAsia" w:ascii="宋体" w:hAnsi="宋体"/>
          <w:color w:val="auto"/>
          <w:szCs w:val="21"/>
          <w:highlight w:val="none"/>
          <w:u w:val="single"/>
        </w:rPr>
        <w:t>21.9承包人在工程实施过程中，按照国家、省、市的相关规定制定相关的专项安全施工方案（如高支模、基坑支护、沉井等），组织专家评审通过后，报监理人、发包人审批后方可开展专项工程的施工。</w:t>
      </w:r>
    </w:p>
    <w:p>
      <w:pPr>
        <w:ind w:firstLine="420" w:firstLineChars="200"/>
        <w:rPr>
          <w:rFonts w:hint="eastAsia" w:ascii="宋体" w:hAnsi="宋体"/>
          <w:color w:val="auto"/>
          <w:szCs w:val="21"/>
          <w:highlight w:val="none"/>
        </w:rPr>
      </w:pPr>
      <w:r>
        <w:rPr>
          <w:rFonts w:hint="eastAsia" w:ascii="宋体" w:hAnsi="宋体"/>
          <w:color w:val="auto"/>
          <w:szCs w:val="21"/>
          <w:highlight w:val="none"/>
        </w:rPr>
        <w:t>21.10根据《广州市城乡建设委员会关于印发广州市建设工程施工机械设备环保管理整治联合行动工作方案的函》（穗建质函[2014]2763号）要求，承包人应按上述文件规定执行，确保所有在用施工机械设备整洁、安全、有效，防止尾气污染的超标排放。所有施工机械必须具有出厂合格证明文件或进口设备检测证明文件，机械设备必须使用广州市推广使用的车用燃油。承包人应对正使用的机械设备定期维护保养并采取有效措施减少污染排放。承包人未按上述要求执行的，视为未按约定投入机械设备，按35.2.6款（2）项承担违约责任。</w:t>
      </w:r>
    </w:p>
    <w:p>
      <w:pPr>
        <w:ind w:firstLine="420" w:firstLineChars="200"/>
        <w:rPr>
          <w:rFonts w:hint="eastAsia" w:ascii="宋体" w:hAnsi="宋体"/>
          <w:color w:val="auto"/>
          <w:szCs w:val="21"/>
          <w:highlight w:val="none"/>
        </w:rPr>
      </w:pPr>
      <w:r>
        <w:rPr>
          <w:rFonts w:hint="eastAsia" w:ascii="宋体" w:hAnsi="宋体"/>
          <w:color w:val="auto"/>
          <w:szCs w:val="21"/>
          <w:highlight w:val="none"/>
        </w:rPr>
        <w:t>21.11承包人在施工期间要确保工程外场地清洁及道路畅通，如须使用他方道路，则还必须负责养护、保洁责任，否则责任自负。施工和警示标志明显，因施工造成人身损害和财产损失的，由承包人承担责任。</w:t>
      </w:r>
    </w:p>
    <w:p>
      <w:pPr>
        <w:ind w:firstLine="420" w:firstLineChars="200"/>
        <w:rPr>
          <w:rFonts w:hint="eastAsia" w:ascii="宋体" w:hAnsi="宋体"/>
          <w:color w:val="auto"/>
          <w:szCs w:val="21"/>
          <w:highlight w:val="none"/>
        </w:rPr>
      </w:pPr>
      <w:r>
        <w:rPr>
          <w:rFonts w:hint="eastAsia" w:ascii="宋体" w:hAnsi="宋体"/>
          <w:color w:val="auto"/>
          <w:szCs w:val="21"/>
          <w:highlight w:val="none"/>
        </w:rPr>
        <w:t>21.12承包人必须考虑安全、环保等因素在局部施工范围进行施工，现场围蔽不符合国家有关安全措施及技术要求的，不得开展施工作业，由此造成的工期延长，由承包人自己负责，当作延误工期处理。</w:t>
      </w:r>
    </w:p>
    <w:p>
      <w:pPr>
        <w:ind w:firstLine="420" w:firstLineChars="200"/>
        <w:rPr>
          <w:rFonts w:hint="eastAsia" w:ascii="宋体" w:hAnsi="宋体"/>
          <w:color w:val="auto"/>
          <w:szCs w:val="21"/>
          <w:highlight w:val="none"/>
        </w:rPr>
      </w:pPr>
      <w:r>
        <w:rPr>
          <w:rFonts w:hint="eastAsia" w:ascii="宋体" w:hAnsi="宋体"/>
          <w:color w:val="auto"/>
          <w:szCs w:val="21"/>
          <w:highlight w:val="none"/>
        </w:rPr>
        <w:t>21.13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pPr>
        <w:ind w:firstLine="420" w:firstLineChars="200"/>
        <w:rPr>
          <w:rFonts w:hint="eastAsia" w:ascii="宋体" w:hAnsi="宋体"/>
          <w:color w:val="auto"/>
          <w:szCs w:val="21"/>
          <w:highlight w:val="none"/>
        </w:rPr>
      </w:pPr>
      <w:r>
        <w:rPr>
          <w:rFonts w:hint="eastAsia" w:ascii="宋体" w:hAnsi="宋体"/>
          <w:color w:val="auto"/>
          <w:szCs w:val="21"/>
          <w:highlight w:val="none"/>
        </w:rPr>
        <w:t>21.14承包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计入措施项目费中，结算时按发包人批准的实施方案，按合同约定结算。如果承包人不及时按要求设置，发包人可以另行委托实施。发包人按实际发生的费用在工程款中扣除，承包人不得有任何异议。</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22、事故处理</w:t>
      </w: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22.3</w:t>
      </w:r>
      <w:r>
        <w:rPr>
          <w:rFonts w:hint="eastAsia" w:ascii="宋体" w:hAnsi="宋体"/>
          <w:color w:val="auto"/>
          <w:szCs w:val="21"/>
          <w:highlight w:val="none"/>
        </w:rPr>
        <w:t>如发生安全事故，除按法定程序办理有关事宜外，还必须按以下程序进行处理：</w:t>
      </w: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22.3.1</w:t>
      </w:r>
      <w:r>
        <w:rPr>
          <w:rFonts w:hint="eastAsia" w:ascii="宋体" w:hAnsi="宋体"/>
          <w:color w:val="auto"/>
          <w:szCs w:val="21"/>
          <w:highlight w:val="none"/>
          <w:u w:val="single"/>
        </w:rPr>
        <w:t>报告安全事故：安全事故发生后，承包人应在</w:t>
      </w:r>
      <w:r>
        <w:rPr>
          <w:rFonts w:ascii="宋体" w:hAnsi="宋体"/>
          <w:color w:val="auto"/>
          <w:szCs w:val="21"/>
          <w:highlight w:val="none"/>
          <w:u w:val="single"/>
        </w:rPr>
        <w:t>1小时内用最快的信息传递手段，将发生事故的时间、地点、伤亡人数、事故原因等情况，报工程师和发包人</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22.3.2</w:t>
      </w:r>
      <w:r>
        <w:rPr>
          <w:rFonts w:hint="eastAsia" w:ascii="宋体" w:hAnsi="宋体"/>
          <w:color w:val="auto"/>
          <w:szCs w:val="21"/>
          <w:highlight w:val="none"/>
          <w:u w:val="single"/>
        </w:rPr>
        <w:t>事故处理：承包人负责抢救伤员、排除险情，防止事故扩大蔓延，保护好现场，并做好标志，启动保险理赔程序</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22.3.3</w:t>
      </w:r>
      <w:r>
        <w:rPr>
          <w:rFonts w:hint="eastAsia" w:ascii="宋体" w:hAnsi="宋体"/>
          <w:color w:val="auto"/>
          <w:szCs w:val="21"/>
          <w:highlight w:val="none"/>
          <w:u w:val="single"/>
        </w:rPr>
        <w:t>事故调查：承包人应组织内部技术安全、质量部门的人员组成调查组，开展调查，并配合做好发包人或政府有关部门组织的调查工作</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22.3.4</w:t>
      </w:r>
      <w:r>
        <w:rPr>
          <w:rFonts w:hint="eastAsia" w:ascii="宋体" w:hAnsi="宋体"/>
          <w:color w:val="auto"/>
          <w:szCs w:val="21"/>
          <w:highlight w:val="none"/>
          <w:u w:val="single"/>
        </w:rPr>
        <w:t>调查报告：承包人应把事故发生经过、原因、性质、损失、责任、处理意见、纠正和预防措施撰写成调查报告，送工程师会审后报发包人</w:t>
      </w:r>
      <w:r>
        <w:rPr>
          <w:rFonts w:hint="eastAsia" w:ascii="宋体" w:hAnsi="宋体"/>
          <w:color w:val="auto"/>
          <w:szCs w:val="21"/>
          <w:highlight w:val="none"/>
        </w:rPr>
        <w:t>。</w:t>
      </w:r>
    </w:p>
    <w:p>
      <w:pPr>
        <w:snapToGrid w:val="0"/>
        <w:spacing w:line="440" w:lineRule="exact"/>
        <w:ind w:firstLine="397"/>
        <w:rPr>
          <w:rFonts w:ascii="宋体" w:hAnsi="宋体"/>
          <w:b/>
          <w:color w:val="auto"/>
          <w:sz w:val="24"/>
          <w:highlight w:val="none"/>
        </w:rPr>
      </w:pPr>
      <w:r>
        <w:rPr>
          <w:rFonts w:hint="eastAsia" w:ascii="宋体" w:hAnsi="宋体"/>
          <w:b/>
          <w:color w:val="auto"/>
          <w:sz w:val="24"/>
          <w:highlight w:val="none"/>
        </w:rPr>
        <w:t>六、合同价款与支付</w:t>
      </w:r>
    </w:p>
    <w:p>
      <w:pPr>
        <w:snapToGrid w:val="0"/>
        <w:spacing w:line="440" w:lineRule="exact"/>
        <w:ind w:firstLine="397"/>
        <w:rPr>
          <w:rFonts w:ascii="宋体" w:hAnsi="宋体"/>
          <w:color w:val="auto"/>
          <w:sz w:val="24"/>
          <w:highlight w:val="none"/>
          <w:u w:val="single"/>
        </w:rPr>
      </w:pPr>
      <w:r>
        <w:rPr>
          <w:rFonts w:ascii="宋体" w:hAnsi="宋体"/>
          <w:b/>
          <w:color w:val="auto"/>
          <w:sz w:val="24"/>
          <w:highlight w:val="none"/>
        </w:rPr>
        <w:t>23</w:t>
      </w:r>
      <w:r>
        <w:rPr>
          <w:rFonts w:hint="eastAsia" w:ascii="宋体" w:hAnsi="宋体"/>
          <w:b/>
          <w:color w:val="auto"/>
          <w:sz w:val="24"/>
          <w:highlight w:val="none"/>
        </w:rPr>
        <w:t>、合同价款及调整</w:t>
      </w:r>
    </w:p>
    <w:p>
      <w:pPr>
        <w:snapToGrid w:val="0"/>
        <w:spacing w:line="440" w:lineRule="exact"/>
        <w:ind w:firstLine="315" w:firstLineChars="150"/>
        <w:rPr>
          <w:rFonts w:ascii="宋体" w:hAnsi="宋体"/>
          <w:color w:val="auto"/>
          <w:szCs w:val="21"/>
          <w:highlight w:val="none"/>
        </w:rPr>
      </w:pPr>
      <w:r>
        <w:rPr>
          <w:rFonts w:ascii="宋体" w:hAnsi="宋体"/>
          <w:color w:val="auto"/>
          <w:szCs w:val="21"/>
          <w:highlight w:val="none"/>
        </w:rPr>
        <w:t>23.2</w:t>
      </w:r>
      <w:r>
        <w:rPr>
          <w:rFonts w:hint="eastAsia" w:ascii="宋体" w:hAnsi="宋体"/>
          <w:color w:val="auto"/>
          <w:szCs w:val="21"/>
          <w:highlight w:val="none"/>
        </w:rPr>
        <w:t>本合同价款按照</w:t>
      </w:r>
      <w:r>
        <w:rPr>
          <w:rFonts w:hint="eastAsia" w:ascii="宋体" w:hAnsi="宋体"/>
          <w:color w:val="auto"/>
          <w:szCs w:val="21"/>
          <w:highlight w:val="none"/>
          <w:u w:val="single"/>
        </w:rPr>
        <w:t>协议书第五条、专用条款</w:t>
      </w:r>
      <w:r>
        <w:rPr>
          <w:rFonts w:ascii="宋体" w:hAnsi="宋体"/>
          <w:color w:val="auto"/>
          <w:szCs w:val="21"/>
          <w:highlight w:val="none"/>
          <w:u w:val="single"/>
        </w:rPr>
        <w:t>23.3款</w:t>
      </w:r>
      <w:r>
        <w:rPr>
          <w:rFonts w:hint="eastAsia" w:ascii="宋体" w:hAnsi="宋体"/>
          <w:color w:val="auto"/>
          <w:szCs w:val="21"/>
          <w:highlight w:val="none"/>
          <w:u w:val="single"/>
        </w:rPr>
        <w:t>和专用条款</w:t>
      </w:r>
      <w:r>
        <w:rPr>
          <w:rFonts w:ascii="宋体" w:hAnsi="宋体"/>
          <w:color w:val="auto"/>
          <w:szCs w:val="21"/>
          <w:highlight w:val="none"/>
          <w:u w:val="single"/>
        </w:rPr>
        <w:t>23.5款</w:t>
      </w:r>
      <w:r>
        <w:rPr>
          <w:rFonts w:ascii="宋体" w:hAnsi="宋体"/>
          <w:color w:val="auto"/>
          <w:szCs w:val="21"/>
          <w:highlight w:val="none"/>
        </w:rPr>
        <w:t>约定</w:t>
      </w:r>
      <w:r>
        <w:rPr>
          <w:rFonts w:hint="eastAsia" w:ascii="宋体" w:hAnsi="宋体"/>
          <w:color w:val="auto"/>
          <w:szCs w:val="21"/>
          <w:highlight w:val="none"/>
        </w:rPr>
        <w:t>执行，最终按结算终审部门审定价结算。</w:t>
      </w:r>
    </w:p>
    <w:p>
      <w:pPr>
        <w:snapToGrid w:val="0"/>
        <w:spacing w:line="440" w:lineRule="exact"/>
        <w:ind w:firstLine="315" w:firstLineChars="150"/>
        <w:rPr>
          <w:rFonts w:ascii="宋体" w:hAnsi="宋体"/>
          <w:color w:val="auto"/>
          <w:szCs w:val="21"/>
          <w:highlight w:val="none"/>
        </w:rPr>
      </w:pPr>
      <w:r>
        <w:rPr>
          <w:rFonts w:hint="eastAsia" w:ascii="宋体" w:hAnsi="宋体"/>
          <w:color w:val="auto"/>
          <w:szCs w:val="21"/>
          <w:highlight w:val="none"/>
        </w:rPr>
        <w:t>本合同价款采用分部分项工程量清单固定综合单价方式确定，具体办法如下：</w:t>
      </w:r>
    </w:p>
    <w:p>
      <w:pPr>
        <w:snapToGrid w:val="0"/>
        <w:spacing w:line="440" w:lineRule="exact"/>
        <w:ind w:firstLine="315" w:firstLineChars="15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分部分项工程量清单费：</w:t>
      </w:r>
      <w:r>
        <w:rPr>
          <w:rFonts w:hint="eastAsia" w:ascii="宋体" w:hAnsi="宋体"/>
          <w:color w:val="auto"/>
          <w:szCs w:val="21"/>
          <w:highlight w:val="none"/>
          <w:u w:val="single"/>
        </w:rPr>
        <w:t>除专用条款</w:t>
      </w:r>
      <w:r>
        <w:rPr>
          <w:rFonts w:ascii="宋体" w:hAnsi="宋体"/>
          <w:color w:val="auto"/>
          <w:szCs w:val="21"/>
          <w:highlight w:val="none"/>
          <w:u w:val="single"/>
        </w:rPr>
        <w:t>23.5.1及</w:t>
      </w:r>
      <w:r>
        <w:rPr>
          <w:rFonts w:hint="eastAsia" w:ascii="宋体" w:hAnsi="宋体"/>
          <w:color w:val="auto"/>
          <w:szCs w:val="21"/>
          <w:highlight w:val="none"/>
          <w:u w:val="single"/>
        </w:rPr>
        <w:t>专用条款</w:t>
      </w:r>
      <w:r>
        <w:rPr>
          <w:rFonts w:ascii="宋体" w:hAnsi="宋体"/>
          <w:color w:val="auto"/>
          <w:szCs w:val="21"/>
          <w:highlight w:val="none"/>
          <w:u w:val="single"/>
        </w:rPr>
        <w:t>23.5.2规定情况外，分部分项工程量清单综合单价固定不变，工程量按实计量</w:t>
      </w:r>
      <w:r>
        <w:rPr>
          <w:rFonts w:hint="eastAsia" w:ascii="宋体" w:hAnsi="宋体"/>
          <w:color w:val="auto"/>
          <w:szCs w:val="21"/>
          <w:highlight w:val="none"/>
        </w:rPr>
        <w:t>。</w:t>
      </w:r>
    </w:p>
    <w:p>
      <w:pPr>
        <w:snapToGrid w:val="0"/>
        <w:spacing w:line="440" w:lineRule="exact"/>
        <w:ind w:firstLine="315" w:firstLineChars="15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措施项目费：</w:t>
      </w:r>
      <w:r>
        <w:rPr>
          <w:rFonts w:hint="eastAsia" w:ascii="宋体" w:hAnsi="宋体"/>
          <w:color w:val="auto"/>
          <w:szCs w:val="21"/>
          <w:highlight w:val="none"/>
          <w:u w:val="single"/>
        </w:rPr>
        <w:t>措施项目费（除施工围蔽费用外）固定不变，包干使用，结算时不予调整，施工围蔽清单综合单价固定不变，工程量按实计量</w:t>
      </w:r>
      <w:r>
        <w:rPr>
          <w:rFonts w:hint="eastAsia" w:ascii="宋体" w:hAnsi="宋体"/>
          <w:color w:val="auto"/>
          <w:szCs w:val="21"/>
          <w:highlight w:val="none"/>
        </w:rPr>
        <w:t>。</w:t>
      </w:r>
    </w:p>
    <w:p>
      <w:pPr>
        <w:snapToGrid w:val="0"/>
        <w:spacing w:line="440" w:lineRule="exact"/>
        <w:ind w:firstLine="315" w:firstLineChars="15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其他项目部分：</w:t>
      </w:r>
    </w:p>
    <w:p>
      <w:pPr>
        <w:snapToGrid w:val="0"/>
        <w:spacing w:line="440" w:lineRule="exact"/>
        <w:ind w:firstLine="315" w:firstLineChars="150"/>
        <w:rPr>
          <w:rFonts w:ascii="宋体" w:hAnsi="宋体"/>
          <w:color w:val="auto"/>
          <w:szCs w:val="21"/>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w:instrText>
      </w:r>
      <w:r>
        <w:rPr>
          <w:rFonts w:hint="eastAsia" w:ascii="宋体" w:hAnsi="宋体"/>
          <w:color w:val="auto"/>
          <w:szCs w:val="21"/>
          <w:highlight w:val="none"/>
        </w:rPr>
        <w:instrText xml:space="preserve">eq \o\ac(</w:instrText>
      </w:r>
      <w:r>
        <w:rPr>
          <w:rFonts w:hint="eastAsia" w:ascii="宋体" w:hAnsi="宋体"/>
          <w:color w:val="auto"/>
          <w:position w:val="-4"/>
          <w:sz w:val="31"/>
          <w:szCs w:val="21"/>
          <w:highlight w:val="none"/>
        </w:rPr>
        <w:instrText xml:space="preserve">○</w:instrText>
      </w:r>
      <w:r>
        <w:rPr>
          <w:rFonts w:hint="eastAsia" w:ascii="宋体" w:hAnsi="宋体"/>
          <w:color w:val="auto"/>
          <w:szCs w:val="21"/>
          <w:highlight w:val="none"/>
        </w:rPr>
        <w:instrText xml:space="preserve">,1)</w:instrText>
      </w:r>
      <w:r>
        <w:rPr>
          <w:rFonts w:ascii="宋体" w:hAnsi="宋体"/>
          <w:color w:val="auto"/>
          <w:szCs w:val="21"/>
          <w:highlight w:val="none"/>
        </w:rPr>
        <w:fldChar w:fldCharType="end"/>
      </w:r>
      <w:r>
        <w:rPr>
          <w:rFonts w:hint="eastAsia" w:ascii="宋体" w:hAnsi="宋体"/>
          <w:color w:val="auto"/>
          <w:szCs w:val="21"/>
          <w:highlight w:val="none"/>
          <w:u w:val="single"/>
        </w:rPr>
        <w:t>招标人部分为暂定价，按实际签订的专业承包合同或预留金使用情况进行调整和结算</w:t>
      </w:r>
      <w:r>
        <w:rPr>
          <w:rFonts w:hint="eastAsia" w:ascii="宋体" w:hAnsi="宋体"/>
          <w:color w:val="auto"/>
          <w:szCs w:val="21"/>
          <w:highlight w:val="none"/>
        </w:rPr>
        <w:t>；</w:t>
      </w:r>
    </w:p>
    <w:p>
      <w:pPr>
        <w:snapToGrid w:val="0"/>
        <w:spacing w:line="440" w:lineRule="exact"/>
        <w:ind w:firstLine="315" w:firstLineChars="150"/>
        <w:rPr>
          <w:rFonts w:hint="eastAsia" w:ascii="宋体" w:hAnsi="宋体"/>
          <w:color w:val="auto"/>
          <w:szCs w:val="21"/>
          <w:highlight w:val="none"/>
          <w:u w:val="single"/>
        </w:rPr>
      </w:pPr>
      <w:r>
        <w:rPr>
          <w:rFonts w:ascii="宋体" w:hAnsi="宋体"/>
          <w:color w:val="auto"/>
          <w:szCs w:val="21"/>
          <w:highlight w:val="none"/>
        </w:rPr>
        <w:fldChar w:fldCharType="begin"/>
      </w:r>
      <w:r>
        <w:rPr>
          <w:rFonts w:ascii="宋体" w:hAnsi="宋体"/>
          <w:color w:val="auto"/>
          <w:szCs w:val="21"/>
          <w:highlight w:val="none"/>
        </w:rPr>
        <w:instrText xml:space="preserve"> </w:instrText>
      </w:r>
      <w:r>
        <w:rPr>
          <w:rFonts w:hint="eastAsia" w:ascii="宋体" w:hAnsi="宋体"/>
          <w:color w:val="auto"/>
          <w:szCs w:val="21"/>
          <w:highlight w:val="none"/>
        </w:rPr>
        <w:instrText xml:space="preserve">eq \o\ac(</w:instrText>
      </w:r>
      <w:r>
        <w:rPr>
          <w:rFonts w:hint="eastAsia" w:ascii="宋体" w:hAnsi="宋体"/>
          <w:color w:val="auto"/>
          <w:position w:val="-4"/>
          <w:sz w:val="31"/>
          <w:szCs w:val="21"/>
          <w:highlight w:val="none"/>
        </w:rPr>
        <w:instrText xml:space="preserve">○</w:instrText>
      </w:r>
      <w:r>
        <w:rPr>
          <w:rFonts w:hint="eastAsia" w:ascii="宋体" w:hAnsi="宋体"/>
          <w:color w:val="auto"/>
          <w:szCs w:val="21"/>
          <w:highlight w:val="none"/>
        </w:rPr>
        <w:instrText xml:space="preserve">,2)</w:instrText>
      </w:r>
      <w:r>
        <w:rPr>
          <w:rFonts w:ascii="宋体" w:hAnsi="宋体"/>
          <w:color w:val="auto"/>
          <w:szCs w:val="21"/>
          <w:highlight w:val="none"/>
        </w:rPr>
        <w:fldChar w:fldCharType="end"/>
      </w:r>
      <w:r>
        <w:rPr>
          <w:rFonts w:hint="eastAsia" w:ascii="宋体" w:hAnsi="宋体"/>
          <w:color w:val="auto"/>
          <w:szCs w:val="21"/>
          <w:highlight w:val="none"/>
          <w:u w:val="single"/>
        </w:rPr>
        <w:t>投标人部分为固定价格，结算时不作调整。（若实际没有发生，在结算时扣除未发生项目的费用）</w:t>
      </w:r>
    </w:p>
    <w:p>
      <w:pPr>
        <w:snapToGrid w:val="0"/>
        <w:spacing w:line="440" w:lineRule="exact"/>
        <w:ind w:firstLine="360" w:firstLineChars="150"/>
        <w:rPr>
          <w:rFonts w:hint="eastAsia" w:ascii="宋体" w:hAnsi="宋体"/>
          <w:color w:val="auto"/>
          <w:szCs w:val="21"/>
          <w:highlight w:val="none"/>
        </w:rPr>
      </w:pPr>
      <w:r>
        <w:rPr>
          <w:rFonts w:hint="eastAsia" w:ascii="宋体" w:hAnsi="宋体"/>
          <w:color w:val="auto"/>
          <w:sz w:val="24"/>
          <w:szCs w:val="24"/>
          <w:highlight w:val="none"/>
        </w:rPr>
        <w:t>③</w:t>
      </w:r>
      <w:r>
        <w:rPr>
          <w:rFonts w:hint="eastAsia" w:ascii="宋体" w:hAnsi="宋体"/>
          <w:color w:val="auto"/>
          <w:szCs w:val="21"/>
          <w:highlight w:val="none"/>
          <w:u w:val="single"/>
        </w:rPr>
        <w:t>投标人预算包干费部分按投标人报价中的费率取费，费率结算时不作调整。</w:t>
      </w:r>
    </w:p>
    <w:p>
      <w:pPr>
        <w:snapToGrid w:val="0"/>
        <w:spacing w:line="440" w:lineRule="exact"/>
        <w:ind w:firstLine="315" w:firstLineChars="15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u w:val="single"/>
        </w:rPr>
        <w:t>税金：税金按实计取，费率固定不变</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23.3</w:t>
      </w:r>
      <w:r>
        <w:rPr>
          <w:rFonts w:hint="eastAsia" w:ascii="宋体" w:hAnsi="宋体"/>
          <w:color w:val="auto"/>
          <w:szCs w:val="21"/>
          <w:highlight w:val="none"/>
        </w:rPr>
        <w:t>双方约定合同价款的调整因素：</w:t>
      </w:r>
    </w:p>
    <w:p>
      <w:pPr>
        <w:numPr>
          <w:ilvl w:val="0"/>
          <w:numId w:val="3"/>
        </w:numPr>
        <w:snapToGrid w:val="0"/>
        <w:spacing w:line="440" w:lineRule="exact"/>
        <w:ind w:firstLine="397"/>
        <w:rPr>
          <w:rFonts w:ascii="宋体" w:hAnsi="宋体"/>
          <w:color w:val="auto"/>
          <w:szCs w:val="21"/>
          <w:highlight w:val="none"/>
        </w:rPr>
      </w:pPr>
      <w:r>
        <w:rPr>
          <w:rFonts w:hint="eastAsia" w:ascii="宋体" w:hAnsi="宋体"/>
          <w:color w:val="auto"/>
          <w:szCs w:val="21"/>
          <w:highlight w:val="none"/>
          <w:u w:val="single"/>
        </w:rPr>
        <w:t>发包人及监理单位共同确认工程量偏差</w:t>
      </w:r>
      <w:r>
        <w:rPr>
          <w:rFonts w:hint="eastAsia" w:ascii="宋体" w:hAnsi="宋体"/>
          <w:color w:val="auto"/>
          <w:szCs w:val="21"/>
          <w:highlight w:val="none"/>
        </w:rPr>
        <w:t>；</w:t>
      </w:r>
    </w:p>
    <w:p>
      <w:pPr>
        <w:numPr>
          <w:ilvl w:val="0"/>
          <w:numId w:val="3"/>
        </w:numPr>
        <w:snapToGrid w:val="0"/>
        <w:spacing w:line="440" w:lineRule="exact"/>
        <w:ind w:firstLine="397"/>
        <w:rPr>
          <w:rFonts w:ascii="宋体" w:hAnsi="宋体"/>
          <w:color w:val="auto"/>
          <w:szCs w:val="21"/>
          <w:highlight w:val="none"/>
        </w:rPr>
      </w:pPr>
      <w:r>
        <w:rPr>
          <w:rFonts w:hint="eastAsia" w:ascii="宋体" w:hAnsi="宋体"/>
          <w:color w:val="auto"/>
          <w:szCs w:val="21"/>
          <w:highlight w:val="none"/>
          <w:u w:val="single"/>
        </w:rPr>
        <w:t>发包人及监理单位共同确认工程变更、签证和新增工程</w:t>
      </w:r>
      <w:r>
        <w:rPr>
          <w:rFonts w:hint="eastAsia" w:ascii="宋体" w:hAnsi="宋体"/>
          <w:color w:val="auto"/>
          <w:szCs w:val="21"/>
          <w:highlight w:val="none"/>
        </w:rPr>
        <w:t>；</w:t>
      </w:r>
    </w:p>
    <w:p>
      <w:pPr>
        <w:numPr>
          <w:ilvl w:val="0"/>
          <w:numId w:val="3"/>
        </w:numPr>
        <w:snapToGrid w:val="0"/>
        <w:spacing w:line="440" w:lineRule="exact"/>
        <w:ind w:firstLine="397"/>
        <w:rPr>
          <w:rFonts w:ascii="宋体" w:hAnsi="宋体"/>
          <w:color w:val="auto"/>
          <w:szCs w:val="21"/>
          <w:highlight w:val="none"/>
        </w:rPr>
      </w:pPr>
      <w:r>
        <w:rPr>
          <w:rFonts w:hint="eastAsia" w:ascii="宋体" w:hAnsi="宋体"/>
          <w:color w:val="auto"/>
          <w:szCs w:val="21"/>
          <w:highlight w:val="none"/>
          <w:u w:val="single"/>
        </w:rPr>
        <w:t>物价变化</w:t>
      </w:r>
      <w:r>
        <w:rPr>
          <w:rFonts w:hint="eastAsia" w:ascii="宋体" w:hAnsi="宋体"/>
          <w:color w:val="auto"/>
          <w:szCs w:val="21"/>
          <w:highlight w:val="none"/>
        </w:rPr>
        <w:t>；</w:t>
      </w:r>
    </w:p>
    <w:p>
      <w:pPr>
        <w:numPr>
          <w:ilvl w:val="0"/>
          <w:numId w:val="3"/>
        </w:numPr>
        <w:snapToGrid w:val="0"/>
        <w:spacing w:line="440" w:lineRule="exact"/>
        <w:ind w:firstLine="397"/>
        <w:rPr>
          <w:rFonts w:ascii="宋体" w:hAnsi="宋体"/>
          <w:color w:val="auto"/>
          <w:szCs w:val="21"/>
          <w:highlight w:val="none"/>
        </w:rPr>
      </w:pPr>
      <w:r>
        <w:rPr>
          <w:rFonts w:hint="eastAsia" w:ascii="宋体" w:hAnsi="宋体"/>
          <w:color w:val="auto"/>
          <w:szCs w:val="21"/>
          <w:highlight w:val="none"/>
          <w:u w:val="single"/>
        </w:rPr>
        <w:t>费用索赔事件或发包人负责的其他情况</w:t>
      </w:r>
      <w:r>
        <w:rPr>
          <w:rFonts w:hint="eastAsia" w:ascii="宋体" w:hAnsi="宋体"/>
          <w:color w:val="auto"/>
          <w:szCs w:val="21"/>
          <w:highlight w:val="none"/>
        </w:rPr>
        <w:t>。</w:t>
      </w:r>
    </w:p>
    <w:p>
      <w:pPr>
        <w:snapToGrid w:val="0"/>
        <w:spacing w:line="440" w:lineRule="exact"/>
        <w:ind w:firstLine="315" w:firstLineChars="150"/>
        <w:rPr>
          <w:rFonts w:ascii="宋体" w:hAnsi="宋体"/>
          <w:color w:val="auto"/>
          <w:szCs w:val="21"/>
          <w:highlight w:val="none"/>
        </w:rPr>
      </w:pPr>
      <w:r>
        <w:rPr>
          <w:rFonts w:hint="eastAsia" w:ascii="宋体" w:hAnsi="宋体"/>
          <w:color w:val="auto"/>
          <w:szCs w:val="21"/>
          <w:highlight w:val="none"/>
        </w:rPr>
        <w:t>以上调整事项涉及的价款计价原则按专用条款</w:t>
      </w:r>
      <w:r>
        <w:rPr>
          <w:rFonts w:ascii="宋体" w:hAnsi="宋体"/>
          <w:color w:val="auto"/>
          <w:szCs w:val="21"/>
          <w:highlight w:val="none"/>
        </w:rPr>
        <w:t>2</w:t>
      </w:r>
      <w:r>
        <w:rPr>
          <w:rFonts w:hint="eastAsia" w:ascii="宋体" w:hAnsi="宋体"/>
          <w:color w:val="auto"/>
          <w:szCs w:val="21"/>
          <w:highlight w:val="none"/>
        </w:rPr>
        <w:t>3</w:t>
      </w:r>
      <w:r>
        <w:rPr>
          <w:rFonts w:ascii="宋体" w:hAnsi="宋体"/>
          <w:color w:val="auto"/>
          <w:szCs w:val="21"/>
          <w:highlight w:val="none"/>
        </w:rPr>
        <w:t>.5款约定执行。</w:t>
      </w:r>
    </w:p>
    <w:p>
      <w:pPr>
        <w:snapToGrid w:val="0"/>
        <w:spacing w:line="520" w:lineRule="exact"/>
        <w:ind w:firstLine="296" w:firstLineChars="141"/>
        <w:rPr>
          <w:rFonts w:ascii="宋体" w:hAnsi="宋体"/>
          <w:color w:val="auto"/>
          <w:szCs w:val="21"/>
          <w:highlight w:val="none"/>
        </w:rPr>
      </w:pPr>
      <w:r>
        <w:rPr>
          <w:rFonts w:ascii="宋体" w:hAnsi="宋体"/>
          <w:color w:val="auto"/>
          <w:szCs w:val="21"/>
          <w:highlight w:val="none"/>
        </w:rPr>
        <w:t>23.4</w:t>
      </w:r>
      <w:r>
        <w:rPr>
          <w:rFonts w:hint="eastAsia" w:ascii="宋体" w:hAnsi="宋体"/>
          <w:color w:val="auto"/>
          <w:szCs w:val="21"/>
          <w:highlight w:val="none"/>
        </w:rPr>
        <w:t>承包人应在专用条款</w:t>
      </w:r>
      <w:r>
        <w:rPr>
          <w:rFonts w:ascii="宋体" w:hAnsi="宋体"/>
          <w:color w:val="auto"/>
          <w:szCs w:val="21"/>
          <w:highlight w:val="none"/>
        </w:rPr>
        <w:t>23.3款情况发生后</w:t>
      </w:r>
      <w:r>
        <w:rPr>
          <w:rFonts w:ascii="宋体" w:hAnsi="宋体"/>
          <w:color w:val="auto"/>
          <w:szCs w:val="21"/>
          <w:highlight w:val="none"/>
          <w:u w:val="single"/>
        </w:rPr>
        <w:t>3天</w:t>
      </w:r>
      <w:r>
        <w:rPr>
          <w:rFonts w:ascii="宋体" w:hAnsi="宋体"/>
          <w:color w:val="auto"/>
          <w:szCs w:val="21"/>
          <w:highlight w:val="none"/>
        </w:rPr>
        <w:t>内，将调整原因、金额以书面形式通知监理单位，必须经监理单位和发包人书面批准后作为调整合同价款的依据</w:t>
      </w:r>
      <w:r>
        <w:rPr>
          <w:rFonts w:hint="eastAsia" w:ascii="宋体" w:hAnsi="宋体"/>
          <w:color w:val="auto"/>
          <w:szCs w:val="21"/>
          <w:highlight w:val="none"/>
        </w:rPr>
        <w:t>。对承包人在没有得到发包人的同意和正式盖章书面函件的前提下进行的调整，发包人不予认可，一切责任和后果由承包人承担。</w:t>
      </w:r>
    </w:p>
    <w:p>
      <w:pPr>
        <w:snapToGrid w:val="0"/>
        <w:spacing w:line="440" w:lineRule="exact"/>
        <w:ind w:firstLine="296" w:firstLineChars="141"/>
        <w:rPr>
          <w:rFonts w:hint="eastAsia" w:ascii="宋体" w:hAnsi="宋体"/>
          <w:color w:val="auto"/>
          <w:szCs w:val="21"/>
          <w:highlight w:val="none"/>
        </w:rPr>
      </w:pPr>
      <w:r>
        <w:rPr>
          <w:rFonts w:hint="eastAsia" w:ascii="宋体" w:hAnsi="宋体"/>
          <w:color w:val="auto"/>
          <w:szCs w:val="21"/>
          <w:highlight w:val="none"/>
        </w:rPr>
        <w:t>23.5</w:t>
      </w:r>
      <w:r>
        <w:rPr>
          <w:rFonts w:hint="eastAsia" w:ascii="宋体" w:hAnsi="宋体"/>
          <w:color w:val="auto"/>
          <w:szCs w:val="21"/>
          <w:highlight w:val="none"/>
          <w:u w:val="single"/>
        </w:rPr>
        <w:t>合同价款调整原则</w:t>
      </w:r>
    </w:p>
    <w:p>
      <w:pPr>
        <w:snapToGrid w:val="0"/>
        <w:spacing w:line="440" w:lineRule="exact"/>
        <w:ind w:firstLine="296" w:firstLineChars="141"/>
        <w:rPr>
          <w:rFonts w:hint="eastAsia" w:ascii="宋体" w:hAnsi="宋体"/>
          <w:color w:val="auto"/>
          <w:szCs w:val="21"/>
          <w:highlight w:val="none"/>
        </w:rPr>
      </w:pPr>
      <w:r>
        <w:rPr>
          <w:rFonts w:hint="eastAsia" w:ascii="宋体" w:hAnsi="宋体"/>
          <w:color w:val="auto"/>
          <w:szCs w:val="21"/>
          <w:highlight w:val="none"/>
        </w:rPr>
        <w:t>23.5.1</w:t>
      </w:r>
      <w:r>
        <w:rPr>
          <w:rFonts w:hint="eastAsia" w:ascii="宋体" w:hAnsi="宋体"/>
          <w:color w:val="auto"/>
          <w:szCs w:val="21"/>
          <w:highlight w:val="none"/>
          <w:u w:val="single"/>
        </w:rPr>
        <w:t>变更、签证工程和新增工程：工程项目实施期间和结算时，招标文件工程量清单中漏列而由监理单位和招标人现场签证确认的工程项目；由于设计需要或项目建设实际需要，会引致工程量清单内数量发生变化、或工程量清单内项目的局部内容发生变化、或新增了工程量清单内没有的项目；原设计没有而由招标人批准设计变更产生的工程项目及经监理单位和招标人现场签证确认的工程项目；合同所确定的工程内容以外，非施工单位原因造成而施工过程中实际发生且需支付工程费用的，并经监理单位和招标人现场签证确认工程实际内容。变更、签证工程和新增工程按以下办法确定价格</w:t>
      </w:r>
      <w:r>
        <w:rPr>
          <w:rFonts w:hint="eastAsia" w:ascii="宋体" w:hAnsi="宋体"/>
          <w:color w:val="auto"/>
          <w:szCs w:val="21"/>
          <w:highlight w:val="none"/>
        </w:rPr>
        <w:t>。</w:t>
      </w:r>
    </w:p>
    <w:p>
      <w:pPr>
        <w:snapToGrid w:val="0"/>
        <w:spacing w:line="440" w:lineRule="exact"/>
        <w:ind w:firstLine="296" w:firstLineChars="141"/>
        <w:rPr>
          <w:rFonts w:hint="eastAsia" w:ascii="宋体" w:hAnsi="宋体"/>
          <w:color w:val="auto"/>
          <w:szCs w:val="21"/>
          <w:highlight w:val="none"/>
          <w:u w:val="single"/>
        </w:rPr>
      </w:pPr>
      <w:r>
        <w:rPr>
          <w:rFonts w:hint="eastAsia" w:ascii="宋体" w:hAnsi="宋体"/>
          <w:color w:val="auto"/>
          <w:szCs w:val="21"/>
          <w:highlight w:val="none"/>
        </w:rPr>
        <w:t>（1）</w:t>
      </w:r>
      <w:r>
        <w:rPr>
          <w:rFonts w:hint="eastAsia" w:ascii="宋体" w:hAnsi="宋体"/>
          <w:color w:val="auto"/>
          <w:szCs w:val="21"/>
          <w:highlight w:val="none"/>
          <w:u w:val="single"/>
        </w:rPr>
        <w:t>合同工程量清单中有相同适用项目的，则采用该项目投标综合单价；合同工程量清单中相同适用项目有多个的，取最有利于发包人的相同适用项目的投标综合单价。但新增工程量超过15%的，比较招标控制价对应的综合单价并执行中标下浮率和投标综合单价，取两者的较小值作为超出15%的新增工程量的综合单价</w:t>
      </w:r>
      <w:r>
        <w:rPr>
          <w:rFonts w:hint="eastAsia" w:ascii="宋体" w:hAnsi="宋体"/>
          <w:color w:val="auto"/>
          <w:szCs w:val="21"/>
          <w:highlight w:val="none"/>
        </w:rPr>
        <w:t>。</w:t>
      </w:r>
    </w:p>
    <w:p>
      <w:pPr>
        <w:snapToGrid w:val="0"/>
        <w:spacing w:line="440" w:lineRule="exact"/>
        <w:ind w:firstLine="296" w:firstLineChars="141"/>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合同工程量清单中无相同适用项目、只有类似适用项目的，则按类似项目的综合单价对相应子目、消耗量、材料设备价格等进行调整换算，原管理费、利润水平不变，仅调整主材和主要设备价格。如合同工程量清单中类似项目的综合单价有两个以上，则由发包人按消耗量最少、管理费和利润取费最低的优先顺序选择类似项目综合单价进行换算。所换算主材及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w:t>
      </w:r>
      <w:r>
        <w:rPr>
          <w:rFonts w:hint="eastAsia" w:ascii="Times New Roman" w:hAnsi="Times New Roman"/>
          <w:color w:val="auto"/>
          <w:highlight w:val="none"/>
        </w:rPr>
        <w:t>且需</w:t>
      </w:r>
      <w:r>
        <w:rPr>
          <w:rFonts w:ascii="Times New Roman" w:hAnsi="Times New Roman"/>
          <w:color w:val="auto"/>
          <w:highlight w:val="none"/>
        </w:rPr>
        <w:t>对选用的厂商价格信息重新进行市场调研询价</w:t>
      </w:r>
      <w:r>
        <w:rPr>
          <w:rFonts w:hint="eastAsia" w:ascii="Times New Roman" w:hAnsi="Times New Roman"/>
          <w:color w:val="auto"/>
          <w:highlight w:val="none"/>
        </w:rPr>
        <w:t>后</w:t>
      </w:r>
      <w:r>
        <w:rPr>
          <w:rFonts w:ascii="Times New Roman" w:hAnsi="Times New Roman"/>
          <w:color w:val="auto"/>
          <w:highlight w:val="none"/>
        </w:rPr>
        <w:t>方可使用</w:t>
      </w:r>
      <w:r>
        <w:rPr>
          <w:rFonts w:hint="eastAsia" w:ascii="Times New Roman" w:hAnsi="Times New Roman"/>
          <w:color w:val="auto"/>
          <w:highlight w:val="none"/>
        </w:rPr>
        <w:t>。</w:t>
      </w:r>
      <w:r>
        <w:rPr>
          <w:rFonts w:hint="eastAsia" w:ascii="宋体" w:hAnsi="宋体"/>
          <w:color w:val="auto"/>
          <w:szCs w:val="21"/>
          <w:highlight w:val="none"/>
          <w:u w:val="single"/>
        </w:rPr>
        <w:t>《广州地区建设工程常用材料税前综合价格》及《广州地区建设工程材料（设备）厂商价格信息》均没有的材料、设备价格，由发包人、监理单位、承包人结合市场价共同协商确定。按上述原则调整后的换算综合单价最终均应执行中标下浮率</w:t>
      </w:r>
      <w:r>
        <w:rPr>
          <w:rFonts w:hint="eastAsia" w:ascii="宋体" w:hAnsi="宋体"/>
          <w:color w:val="auto"/>
          <w:szCs w:val="21"/>
          <w:highlight w:val="none"/>
        </w:rPr>
        <w:t>。</w:t>
      </w:r>
    </w:p>
    <w:p>
      <w:pPr>
        <w:snapToGrid w:val="0"/>
        <w:spacing w:line="440" w:lineRule="exact"/>
        <w:ind w:firstLine="296" w:firstLineChars="141"/>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u w:val="single"/>
        </w:rPr>
        <w:t>合同工程量清单报价中没有相同或类似适用项目的，按以下原则计价</w:t>
      </w:r>
      <w:r>
        <w:rPr>
          <w:rFonts w:hint="eastAsia" w:ascii="宋体" w:hAnsi="宋体"/>
          <w:color w:val="auto"/>
          <w:szCs w:val="21"/>
          <w:highlight w:val="none"/>
        </w:rPr>
        <w:t>：</w:t>
      </w:r>
    </w:p>
    <w:p>
      <w:pPr>
        <w:snapToGrid w:val="0"/>
        <w:spacing w:line="440" w:lineRule="exact"/>
        <w:ind w:firstLine="296" w:firstLineChars="141"/>
        <w:rPr>
          <w:rFonts w:hint="eastAsia" w:ascii="Times New Roman" w:hAnsi="宋体"/>
          <w:color w:val="auto"/>
          <w:szCs w:val="21"/>
          <w:highlight w:val="none"/>
        </w:rPr>
      </w:pPr>
      <w:r>
        <w:rPr>
          <w:rFonts w:hint="eastAsia" w:ascii="宋体" w:hAnsi="宋体"/>
          <w:color w:val="auto"/>
          <w:szCs w:val="21"/>
          <w:highlight w:val="none"/>
        </w:rPr>
        <w:t xml:space="preserve">① </w:t>
      </w:r>
      <w:r>
        <w:rPr>
          <w:rFonts w:hint="eastAsia" w:ascii="宋体" w:hAnsi="宋体"/>
          <w:color w:val="auto"/>
          <w:szCs w:val="21"/>
          <w:highlight w:val="none"/>
          <w:u w:val="single"/>
        </w:rPr>
        <w:t>由承包人依据变更工程资料，计量原则，按《广东省市政工程综合定额》（2018年）、《广东省房屋建筑与装饰工程综合定额》（2018年）、《广东省通用安装工程综合定额》（2018年）、《广东省园林绿化工程综合定额》（2018年）、《广东省建设工程施工机具台班费用编制规则（2018）等相关定额标准及工程实施期工程造价管理机构发布的材料设备参考价格编制综合单价并执行中标下浮率。其中材料、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w:t>
      </w:r>
      <w:r>
        <w:rPr>
          <w:rFonts w:hint="eastAsia" w:ascii="Times New Roman" w:hAnsi="Times New Roman"/>
          <w:color w:val="auto"/>
          <w:highlight w:val="none"/>
        </w:rPr>
        <w:t>，且需</w:t>
      </w:r>
      <w:r>
        <w:rPr>
          <w:rFonts w:ascii="Times New Roman" w:hAnsi="Times New Roman"/>
          <w:color w:val="auto"/>
          <w:highlight w:val="none"/>
        </w:rPr>
        <w:t>对选用的厂商价格信息重新进行市场调研询价</w:t>
      </w:r>
      <w:r>
        <w:rPr>
          <w:rFonts w:hint="eastAsia" w:ascii="Times New Roman" w:hAnsi="Times New Roman"/>
          <w:color w:val="auto"/>
          <w:highlight w:val="none"/>
        </w:rPr>
        <w:t>后</w:t>
      </w:r>
      <w:r>
        <w:rPr>
          <w:rFonts w:ascii="Times New Roman" w:hAnsi="Times New Roman"/>
          <w:color w:val="auto"/>
          <w:highlight w:val="none"/>
        </w:rPr>
        <w:t>方可使用</w:t>
      </w:r>
      <w:r>
        <w:rPr>
          <w:rFonts w:hint="eastAsia" w:ascii="Times New Roman" w:hAnsi="Times New Roman"/>
          <w:color w:val="auto"/>
          <w:highlight w:val="none"/>
        </w:rPr>
        <w:t>。</w:t>
      </w:r>
      <w:r>
        <w:rPr>
          <w:rFonts w:hint="eastAsia" w:ascii="宋体" w:hAnsi="宋体"/>
          <w:color w:val="auto"/>
          <w:szCs w:val="21"/>
          <w:highlight w:val="none"/>
          <w:u w:val="single"/>
        </w:rPr>
        <w:t>《广州地区建设工程常用材料税前综合价格》及《广州地区建设工程材料（设备）厂商价格信息》均没有的相关价格的，由发包人、监理单位、承包人结合市场价共同协商确定</w:t>
      </w:r>
      <w:r>
        <w:rPr>
          <w:rFonts w:hint="eastAsia" w:ascii="宋体" w:hAnsi="宋体"/>
          <w:color w:val="auto"/>
          <w:szCs w:val="21"/>
          <w:highlight w:val="none"/>
        </w:rPr>
        <w:t>。</w:t>
      </w:r>
    </w:p>
    <w:p>
      <w:pPr>
        <w:snapToGrid w:val="0"/>
        <w:spacing w:line="440" w:lineRule="exact"/>
        <w:ind w:firstLine="296" w:firstLineChars="141"/>
        <w:rPr>
          <w:rFonts w:hint="eastAsia" w:ascii="Times New Roman" w:hAnsi="宋体"/>
          <w:color w:val="auto"/>
          <w:szCs w:val="21"/>
          <w:highlight w:val="none"/>
        </w:rPr>
      </w:pPr>
      <w:r>
        <w:rPr>
          <w:rFonts w:hint="eastAsia" w:ascii="Times New Roman" w:hAnsi="宋体"/>
          <w:color w:val="auto"/>
          <w:szCs w:val="21"/>
          <w:highlight w:val="none"/>
        </w:rPr>
        <w:t xml:space="preserve">② </w:t>
      </w:r>
      <w:r>
        <w:rPr>
          <w:rFonts w:hint="eastAsia" w:ascii="Times New Roman" w:hAnsi="宋体"/>
          <w:color w:val="auto"/>
          <w:szCs w:val="21"/>
          <w:highlight w:val="none"/>
          <w:u w:val="single"/>
        </w:rPr>
        <w:t>合同工程量清单没有相同或相类似且无相关定额的项目，承包人参照</w:t>
      </w:r>
      <w:r>
        <w:rPr>
          <w:rFonts w:hint="eastAsia" w:ascii="宋体" w:hAnsi="宋体"/>
          <w:color w:val="auto"/>
          <w:szCs w:val="21"/>
          <w:highlight w:val="none"/>
          <w:u w:val="single"/>
        </w:rPr>
        <w:t>《广东省市政工程综合定额》（2018年）、《广东省房屋建筑与装饰工程综合定额》（2018年）、《广东省通用安装工程综合定额》（2018年）、《广东省园林绿化工程综合定额》（2018年）、《广东省建设工程施工机具台班费用编制规则（2018</w:t>
      </w:r>
      <w:r>
        <w:rPr>
          <w:rFonts w:hint="eastAsia" w:ascii="Times New Roman" w:hAnsi="宋体"/>
          <w:color w:val="auto"/>
          <w:szCs w:val="21"/>
          <w:highlight w:val="none"/>
          <w:u w:val="single"/>
        </w:rPr>
        <w:t>）等相关定额编制原则（上述定额查找不到的可参考其它相关定额或由发包人与承包人协商确定）及工程实施期工程造价管理机构发布的材料设备参考价格编制综合单价并执行中标下浮率。其中材料、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w:t>
      </w:r>
      <w:r>
        <w:rPr>
          <w:rFonts w:hint="eastAsia" w:ascii="宋体" w:hAnsi="宋体"/>
          <w:color w:val="auto"/>
          <w:szCs w:val="21"/>
          <w:highlight w:val="none"/>
          <w:u w:val="single"/>
        </w:rPr>
        <w:t>计算税前价格</w:t>
      </w:r>
      <w:r>
        <w:rPr>
          <w:rFonts w:hint="eastAsia" w:ascii="Times New Roman" w:hAnsi="宋体"/>
          <w:color w:val="auto"/>
          <w:szCs w:val="21"/>
          <w:highlight w:val="none"/>
          <w:u w:val="single"/>
        </w:rPr>
        <w:t>（实际施工跨月份的，则按监理单位确认的各月施工完成的工程量为基础分别进行计算）</w:t>
      </w:r>
      <w:r>
        <w:rPr>
          <w:rFonts w:hint="eastAsia" w:ascii="Times New Roman" w:hAnsi="Times New Roman"/>
          <w:color w:val="auto"/>
          <w:highlight w:val="none"/>
        </w:rPr>
        <w:t>，且需</w:t>
      </w:r>
      <w:r>
        <w:rPr>
          <w:rFonts w:ascii="Times New Roman" w:hAnsi="Times New Roman"/>
          <w:color w:val="auto"/>
          <w:highlight w:val="none"/>
        </w:rPr>
        <w:t>对选用的厂商价格信息重新进行市场调研询价</w:t>
      </w:r>
      <w:r>
        <w:rPr>
          <w:rFonts w:hint="eastAsia" w:ascii="Times New Roman" w:hAnsi="Times New Roman"/>
          <w:color w:val="auto"/>
          <w:highlight w:val="none"/>
        </w:rPr>
        <w:t>后</w:t>
      </w:r>
      <w:r>
        <w:rPr>
          <w:rFonts w:ascii="Times New Roman" w:hAnsi="Times New Roman"/>
          <w:color w:val="auto"/>
          <w:highlight w:val="none"/>
        </w:rPr>
        <w:t>方可使用</w:t>
      </w:r>
      <w:r>
        <w:rPr>
          <w:rFonts w:hint="eastAsia" w:ascii="Times New Roman" w:hAnsi="Times New Roman"/>
          <w:color w:val="auto"/>
          <w:highlight w:val="none"/>
        </w:rPr>
        <w:t>。</w:t>
      </w:r>
      <w:r>
        <w:rPr>
          <w:rFonts w:hint="eastAsia" w:ascii="Times New Roman" w:hAnsi="宋体"/>
          <w:color w:val="auto"/>
          <w:szCs w:val="21"/>
          <w:highlight w:val="none"/>
          <w:u w:val="single"/>
        </w:rPr>
        <w:t>《广州地区建设工程常用材料税前综合价格》及《广州地区建设工程材料（设备）厂商价格信息》均没有的相关价格的，由发包人、监理单位、承包人结合市场价共同协商确定</w:t>
      </w:r>
      <w:r>
        <w:rPr>
          <w:rFonts w:hint="eastAsia" w:ascii="Times New Roman" w:hAnsi="宋体"/>
          <w:color w:val="auto"/>
          <w:szCs w:val="21"/>
          <w:highlight w:val="none"/>
        </w:rPr>
        <w:t>。</w:t>
      </w:r>
    </w:p>
    <w:p>
      <w:pPr>
        <w:adjustRightInd w:val="0"/>
        <w:snapToGrid w:val="0"/>
        <w:spacing w:line="360" w:lineRule="auto"/>
        <w:ind w:right="11" w:firstLine="315" w:firstLineChars="150"/>
        <w:rPr>
          <w:rFonts w:hint="eastAsia" w:ascii="宋体" w:hAnsi="宋体"/>
          <w:color w:val="auto"/>
          <w:szCs w:val="21"/>
          <w:highlight w:val="none"/>
        </w:rPr>
      </w:pPr>
      <w:r>
        <w:rPr>
          <w:rFonts w:hint="eastAsia" w:ascii="Times New Roman" w:hAnsi="宋体"/>
          <w:color w:val="auto"/>
          <w:szCs w:val="21"/>
          <w:highlight w:val="none"/>
        </w:rPr>
        <w:t>（4）</w:t>
      </w:r>
      <w:r>
        <w:rPr>
          <w:rFonts w:hint="eastAsia" w:ascii="Times New Roman" w:hAnsi="宋体"/>
          <w:color w:val="auto"/>
          <w:szCs w:val="21"/>
          <w:highlight w:val="none"/>
          <w:u w:val="single"/>
        </w:rPr>
        <w:t>按上述原则确定价格时，措施项目费用（除施工围蔽外）不计取,清单计价及税金的计取，应符合《广东省住房和城乡建设厅关于营业税改征增值税后调整广东省建设工程计价依据的通知》（粤建市【2016】1113号）、《广州市住房和城乡建设委员会转发关于营业税改增值税后调整广东省建设工程计价依据有关事项的通知》（穗建筑【2016】744号）及《广州市建设工程造价管理站关于营业税改征增值税后广州市建设工程计价有关问题的通知》（穗建造价【2016】31号）、</w:t>
      </w:r>
      <w:r>
        <w:rPr>
          <w:rFonts w:hint="eastAsia" w:ascii="宋体" w:hAnsi="宋体"/>
          <w:color w:val="auto"/>
          <w:szCs w:val="21"/>
          <w:highlight w:val="none"/>
          <w:u w:val="single"/>
        </w:rPr>
        <w:t>《广东省住房和城乡建设厅关于印发&lt;广东省建设工程计价依据（2018)&gt;的通知》（穗建市〔2019〕6号）</w:t>
      </w:r>
      <w:r>
        <w:rPr>
          <w:rFonts w:hint="eastAsia" w:ascii="Times New Roman" w:hAnsi="宋体"/>
          <w:color w:val="auto"/>
          <w:szCs w:val="21"/>
          <w:highlight w:val="none"/>
          <w:u w:val="single"/>
        </w:rPr>
        <w:t>等相关文件的规定。</w:t>
      </w:r>
    </w:p>
    <w:p>
      <w:pPr>
        <w:snapToGrid w:val="0"/>
        <w:spacing w:line="440" w:lineRule="exact"/>
        <w:ind w:firstLine="296" w:firstLineChars="141"/>
        <w:rPr>
          <w:rFonts w:hint="eastAsia" w:ascii="宋体" w:hAnsi="宋体"/>
          <w:color w:val="auto"/>
          <w:szCs w:val="21"/>
          <w:highlight w:val="none"/>
        </w:rPr>
      </w:pPr>
      <w:r>
        <w:rPr>
          <w:rFonts w:hint="eastAsia" w:ascii="宋体" w:hAnsi="宋体"/>
          <w:color w:val="auto"/>
          <w:szCs w:val="21"/>
          <w:highlight w:val="none"/>
        </w:rPr>
        <w:t xml:space="preserve">23.5.2 </w:t>
      </w:r>
      <w:r>
        <w:rPr>
          <w:rFonts w:hint="eastAsia" w:ascii="宋体" w:hAnsi="宋体"/>
          <w:color w:val="auto"/>
          <w:szCs w:val="21"/>
          <w:highlight w:val="none"/>
          <w:u w:val="single"/>
        </w:rPr>
        <w:t>工程量发生变化时，如项目综合单价与招标控制价对应的综合单价×（1-中标下浮率)（下称基价）偏差超过一定幅度时，相应调整项目综合单价。其中项目综合单价＞（1+15%）×基价且工程量增加的，增加部分工程量的综合单价按基价执行；项目综合单价＜（1-15%）×基价且工程量减少的，减少部分工程量的综合单价按基价执行，并从合同价款中扣除</w:t>
      </w:r>
      <w:r>
        <w:rPr>
          <w:rFonts w:hint="eastAsia" w:ascii="宋体" w:hAnsi="宋体"/>
          <w:color w:val="auto"/>
          <w:szCs w:val="21"/>
          <w:highlight w:val="none"/>
        </w:rPr>
        <w:t>。</w:t>
      </w:r>
    </w:p>
    <w:p>
      <w:pPr>
        <w:snapToGrid w:val="0"/>
        <w:spacing w:line="440" w:lineRule="exact"/>
        <w:ind w:firstLine="296" w:firstLineChars="141"/>
        <w:rPr>
          <w:rFonts w:hint="eastAsia" w:ascii="宋体" w:hAnsi="宋体"/>
          <w:color w:val="auto"/>
          <w:szCs w:val="21"/>
          <w:highlight w:val="none"/>
        </w:rPr>
      </w:pPr>
      <w:r>
        <w:rPr>
          <w:rFonts w:hint="eastAsia" w:ascii="宋体" w:hAnsi="宋体"/>
          <w:color w:val="auto"/>
          <w:szCs w:val="21"/>
          <w:highlight w:val="none"/>
        </w:rPr>
        <w:t>23.5.3</w:t>
      </w:r>
      <w:r>
        <w:rPr>
          <w:rFonts w:hint="eastAsia" w:ascii="宋体" w:hAnsi="宋体"/>
          <w:color w:val="auto"/>
          <w:szCs w:val="21"/>
          <w:highlight w:val="none"/>
          <w:u w:val="single"/>
        </w:rPr>
        <w:t>物价涨跌的价格调整</w:t>
      </w:r>
    </w:p>
    <w:p>
      <w:pPr>
        <w:snapToGrid w:val="0"/>
        <w:spacing w:line="440" w:lineRule="exact"/>
        <w:ind w:firstLine="296" w:firstLineChars="141"/>
        <w:rPr>
          <w:rFonts w:hint="eastAsia" w:ascii="宋体" w:hAnsi="宋体"/>
          <w:color w:val="auto"/>
          <w:szCs w:val="21"/>
          <w:highlight w:val="none"/>
          <w:u w:val="single"/>
        </w:rPr>
      </w:pPr>
      <w:r>
        <w:rPr>
          <w:rFonts w:hint="eastAsia" w:ascii="宋体" w:hAnsi="宋体"/>
          <w:color w:val="auto"/>
          <w:szCs w:val="21"/>
          <w:highlight w:val="none"/>
          <w:u w:val="single"/>
        </w:rPr>
        <w:t>（1）合同履行期间，出现工程造价管理机构发布的人工、材料、工程设备和施工设备、机械台班单价涨跌超过本工程招标文件规定的投标截止日期前第28天时广州市建设工程造价管理部门发布的人工、材料、工程设备和施工设备、机械台班相应单价且符合以下规定的，应调整合同价款。</w:t>
      </w:r>
    </w:p>
    <w:p>
      <w:pPr>
        <w:snapToGrid w:val="0"/>
        <w:spacing w:line="440" w:lineRule="exact"/>
        <w:ind w:firstLine="296" w:firstLineChars="141"/>
        <w:rPr>
          <w:rFonts w:hint="eastAsia" w:ascii="宋体" w:hAnsi="宋体"/>
          <w:color w:val="auto"/>
          <w:szCs w:val="21"/>
          <w:highlight w:val="none"/>
          <w:u w:val="single"/>
        </w:rPr>
      </w:pPr>
      <w:r>
        <w:rPr>
          <w:rFonts w:hint="eastAsia" w:ascii="宋体" w:hAnsi="宋体"/>
          <w:color w:val="auto"/>
          <w:szCs w:val="21"/>
          <w:highlight w:val="none"/>
          <w:u w:val="single"/>
        </w:rPr>
        <w:t>承包人承担工料机价格涨跌幅度在10%以内（含10%）的风险，不予调整合同价款；工料机价格涨跌幅度超过10%时，可以调整合同价款, 调整范围为人工、机械台班、砂、碎石、石屑，及《印发&lt;关于区财政投资工程人工、材料（设备）、机械价格调整的意见&gt;的通知》（穗开环建〔2008〕59号）附件《各类工程可调价差材料（设备）清单》中对应工程类别规定的可调价材料（设备）且属《广州地区建设工程常用材料税前综合价格》（以下简称“综合价格”）包含的材料、设备；“综合价格”中没有的材料、设备均不予调整。</w:t>
      </w:r>
    </w:p>
    <w:p>
      <w:pPr>
        <w:snapToGrid w:val="0"/>
        <w:spacing w:line="440" w:lineRule="exact"/>
        <w:ind w:firstLine="296" w:firstLineChars="141"/>
        <w:rPr>
          <w:rFonts w:hint="eastAsia" w:ascii="宋体" w:hAnsi="宋体"/>
          <w:color w:val="auto"/>
          <w:szCs w:val="21"/>
          <w:highlight w:val="none"/>
          <w:u w:val="single"/>
        </w:rPr>
      </w:pPr>
      <w:r>
        <w:rPr>
          <w:rFonts w:hint="eastAsia" w:ascii="宋体" w:hAnsi="宋体"/>
          <w:color w:val="auto"/>
          <w:szCs w:val="21"/>
          <w:highlight w:val="none"/>
          <w:u w:val="single"/>
        </w:rPr>
        <w:t>（2）价款调整的方法</w:t>
      </w:r>
    </w:p>
    <w:p>
      <w:pPr>
        <w:snapToGrid w:val="0"/>
        <w:spacing w:line="440" w:lineRule="exact"/>
        <w:ind w:firstLine="296" w:firstLineChars="141"/>
        <w:rPr>
          <w:rFonts w:hint="eastAsia" w:ascii="宋体" w:hAnsi="宋体"/>
          <w:color w:val="auto"/>
          <w:szCs w:val="21"/>
          <w:highlight w:val="none"/>
          <w:u w:val="single"/>
        </w:rPr>
      </w:pPr>
      <w:r>
        <w:rPr>
          <w:rFonts w:hint="eastAsia" w:ascii="宋体" w:hAnsi="宋体"/>
          <w:color w:val="auto"/>
          <w:szCs w:val="21"/>
          <w:highlight w:val="none"/>
          <w:u w:val="single"/>
        </w:rPr>
        <w:t>①当人工、机械台班、可调价格的材料设备价格上涨幅度超过10%时，超出10%的部分由发包人承担；当人工、机械台班、可调价格的材料设备价格下跌幅度超过10%时，超出10%的部分由承包人退回发包人。人工、机械台班价格按实际发生的数量调整，材料（设备）按各类工程消耗的主要材料（设备）进行调整。</w:t>
      </w:r>
    </w:p>
    <w:p>
      <w:pPr>
        <w:snapToGrid w:val="0"/>
        <w:spacing w:line="440" w:lineRule="exact"/>
        <w:ind w:firstLine="296" w:firstLineChars="141"/>
        <w:rPr>
          <w:rFonts w:hint="eastAsia" w:ascii="宋体" w:hAnsi="宋体"/>
          <w:color w:val="auto"/>
          <w:szCs w:val="21"/>
          <w:highlight w:val="none"/>
          <w:u w:val="single"/>
        </w:rPr>
      </w:pPr>
      <w:r>
        <w:rPr>
          <w:rFonts w:hint="eastAsia" w:ascii="宋体" w:hAnsi="宋体"/>
          <w:color w:val="auto"/>
          <w:szCs w:val="21"/>
          <w:highlight w:val="none"/>
          <w:u w:val="single"/>
        </w:rPr>
        <w:t>② 价款调整以各调价工料机的数量乘以单价价差，再乘以（1-中标下浮率）计算。各工料机的数量按该当期实际完成的适用投标单价项目的工程量计取，各调价工料机的单价价差以广州市建设工程造价管理部门发布的价格信息为依据，按施工当月信息价格与招标文件规定的投标截止日期前第28天时广州市建设工程造价管理部门发布的人工、材料、工程设备和施工设备、机械台班信息价格差值计取。</w:t>
      </w:r>
    </w:p>
    <w:p>
      <w:pPr>
        <w:snapToGrid w:val="0"/>
        <w:spacing w:line="440" w:lineRule="exact"/>
        <w:ind w:firstLine="296" w:firstLineChars="141"/>
        <w:rPr>
          <w:rFonts w:hint="eastAsia" w:ascii="宋体" w:hAnsi="宋体"/>
          <w:color w:val="auto"/>
          <w:szCs w:val="21"/>
          <w:highlight w:val="none"/>
          <w:u w:val="single"/>
        </w:rPr>
      </w:pPr>
      <w:r>
        <w:rPr>
          <w:rFonts w:hint="eastAsia" w:ascii="宋体" w:hAnsi="宋体"/>
          <w:color w:val="auto"/>
          <w:szCs w:val="21"/>
          <w:highlight w:val="none"/>
          <w:u w:val="single"/>
        </w:rPr>
        <w:t>③ 价款调整以月为单位计算，结算时一次性调整，如施工期间需调整价款的，经发包人、承包人协商一致后可签订价差补充协议，作为追加（减）合同价款和支付工程进度款的依据。</w:t>
      </w:r>
    </w:p>
    <w:p>
      <w:pPr>
        <w:snapToGrid w:val="0"/>
        <w:spacing w:line="440" w:lineRule="exact"/>
        <w:ind w:firstLine="296" w:firstLineChars="141"/>
        <w:rPr>
          <w:rFonts w:hint="eastAsia" w:ascii="宋体" w:hAnsi="宋体"/>
          <w:color w:val="auto"/>
          <w:szCs w:val="21"/>
          <w:highlight w:val="none"/>
          <w:u w:val="single"/>
        </w:rPr>
      </w:pPr>
      <w:r>
        <w:rPr>
          <w:rFonts w:hint="eastAsia" w:ascii="宋体" w:hAnsi="宋体"/>
          <w:color w:val="auto"/>
          <w:szCs w:val="21"/>
          <w:highlight w:val="none"/>
          <w:u w:val="single"/>
        </w:rPr>
        <w:t>④ 各调价材料、设备的信息价格按广州市建设工程造价管理部门发布的当月 “综合价格”计取，综合价格中没有的材料、设备单价，价差不予调整。</w:t>
      </w:r>
    </w:p>
    <w:p>
      <w:pPr>
        <w:snapToGrid w:val="0"/>
        <w:spacing w:line="440" w:lineRule="exact"/>
        <w:ind w:firstLine="296" w:firstLineChars="141"/>
        <w:rPr>
          <w:rFonts w:hint="eastAsia" w:ascii="宋体" w:hAnsi="宋体"/>
          <w:color w:val="auto"/>
          <w:szCs w:val="21"/>
          <w:highlight w:val="none"/>
          <w:u w:val="single"/>
        </w:rPr>
      </w:pPr>
      <w:r>
        <w:rPr>
          <w:rFonts w:hint="eastAsia" w:ascii="宋体" w:hAnsi="宋体"/>
          <w:color w:val="auto"/>
          <w:szCs w:val="21"/>
          <w:highlight w:val="none"/>
          <w:u w:val="single"/>
        </w:rPr>
        <w:t>（3）由于承包人原因导致工期延误的，所延误时段内物价上涨的风险全部由承包人承担，不予调整；如物价下跌，则仍按第（2）款约定计算及扣回相应价款。</w:t>
      </w:r>
    </w:p>
    <w:p>
      <w:pPr>
        <w:snapToGrid w:val="0"/>
        <w:spacing w:line="440" w:lineRule="exact"/>
        <w:ind w:firstLine="338" w:firstLineChars="141"/>
        <w:rPr>
          <w:rFonts w:hint="eastAsia" w:ascii="宋体" w:hAnsi="宋体"/>
          <w:b/>
          <w:color w:val="auto"/>
          <w:sz w:val="24"/>
          <w:highlight w:val="none"/>
        </w:rPr>
      </w:pPr>
      <w:r>
        <w:rPr>
          <w:rFonts w:ascii="宋体" w:hAnsi="宋体"/>
          <w:color w:val="auto"/>
          <w:sz w:val="24"/>
          <w:highlight w:val="none"/>
        </w:rPr>
        <w:t>24</w:t>
      </w:r>
      <w:r>
        <w:rPr>
          <w:rFonts w:hint="eastAsia" w:ascii="宋体" w:hAnsi="宋体"/>
          <w:b/>
          <w:color w:val="auto"/>
          <w:sz w:val="24"/>
          <w:highlight w:val="none"/>
        </w:rPr>
        <w:t>、工程预付款、工人工资</w:t>
      </w:r>
    </w:p>
    <w:p>
      <w:pPr>
        <w:snapToGrid w:val="0"/>
        <w:spacing w:line="440" w:lineRule="exact"/>
        <w:ind w:firstLine="296" w:firstLineChars="141"/>
        <w:rPr>
          <w:rFonts w:hint="eastAsia" w:ascii="宋体" w:hAnsi="宋体"/>
          <w:color w:val="auto"/>
          <w:szCs w:val="21"/>
          <w:highlight w:val="none"/>
        </w:rPr>
      </w:pPr>
      <w:r>
        <w:rPr>
          <w:rFonts w:hint="eastAsia" w:ascii="宋体" w:hAnsi="宋体"/>
          <w:color w:val="auto"/>
          <w:szCs w:val="21"/>
          <w:highlight w:val="none"/>
        </w:rPr>
        <w:t>24.1工程预付款</w:t>
      </w:r>
    </w:p>
    <w:p>
      <w:pPr>
        <w:snapToGrid w:val="0"/>
        <w:spacing w:line="440" w:lineRule="exact"/>
        <w:ind w:firstLine="296" w:firstLineChars="141"/>
        <w:rPr>
          <w:rFonts w:hint="eastAsia" w:ascii="宋体" w:hAnsi="宋体"/>
          <w:color w:val="auto"/>
          <w:szCs w:val="21"/>
          <w:highlight w:val="none"/>
        </w:rPr>
      </w:pPr>
      <w:r>
        <w:rPr>
          <w:rFonts w:hint="eastAsia" w:ascii="宋体" w:hAnsi="宋体"/>
          <w:color w:val="auto"/>
          <w:szCs w:val="21"/>
          <w:highlight w:val="none"/>
        </w:rPr>
        <w:t>24.1.1发包人向承包人预付工程款的时间和金额或占合同价款总额的比例：按广州开发区财政投资建设项目管理中心 《关于加强建设工程预付款管理的通知》及相关规定核查，承包人相关情况符合要求，且合同生效及财政拨款到位后，发包人预付合同价【扣除绿色施工安全防护措施费，若工程量清单中有暂定金则扣除暂定金（含暂列金额和暂估价）部分】的  30 %作为预付款，但最高不超过1000万元。预付款中，（预付款×工人工资比例）的部分需支付至工人工资专用账户。</w:t>
      </w:r>
    </w:p>
    <w:p>
      <w:pPr>
        <w:snapToGrid w:val="0"/>
        <w:spacing w:line="440" w:lineRule="exact"/>
        <w:ind w:firstLine="296" w:firstLineChars="141"/>
        <w:rPr>
          <w:rFonts w:hint="eastAsia" w:ascii="宋体" w:hAnsi="宋体"/>
          <w:color w:val="auto"/>
          <w:szCs w:val="21"/>
          <w:highlight w:val="none"/>
        </w:rPr>
      </w:pPr>
      <w:r>
        <w:rPr>
          <w:rFonts w:hint="eastAsia" w:ascii="宋体" w:hAnsi="宋体"/>
          <w:color w:val="auto"/>
          <w:szCs w:val="21"/>
          <w:highlight w:val="none"/>
        </w:rPr>
        <w:t xml:space="preserve"> 24.1.2承包人收取预付款后，应优先用于按有关规定缴纳工伤保险和办理建筑意外伤害险，专款专用。</w:t>
      </w:r>
    </w:p>
    <w:p>
      <w:pPr>
        <w:snapToGrid w:val="0"/>
        <w:spacing w:line="440" w:lineRule="exact"/>
        <w:ind w:firstLine="296" w:firstLineChars="141"/>
        <w:rPr>
          <w:rFonts w:hint="eastAsia" w:ascii="宋体" w:hAnsi="宋体"/>
          <w:color w:val="auto"/>
          <w:szCs w:val="21"/>
          <w:highlight w:val="none"/>
        </w:rPr>
      </w:pPr>
      <w:r>
        <w:rPr>
          <w:rFonts w:hint="eastAsia" w:ascii="宋体" w:hAnsi="宋体"/>
          <w:color w:val="auto"/>
          <w:szCs w:val="21"/>
          <w:highlight w:val="none"/>
        </w:rPr>
        <w:t xml:space="preserve"> 24.1.3扣回预付款的时间、比例：按本合同专用条款26条约定执行。</w:t>
      </w:r>
    </w:p>
    <w:p>
      <w:pPr>
        <w:snapToGrid w:val="0"/>
        <w:spacing w:line="440" w:lineRule="exact"/>
        <w:ind w:firstLine="296" w:firstLineChars="141"/>
        <w:rPr>
          <w:rFonts w:hint="eastAsia" w:ascii="宋体" w:hAnsi="宋体"/>
          <w:color w:val="auto"/>
          <w:szCs w:val="21"/>
          <w:highlight w:val="none"/>
        </w:rPr>
      </w:pPr>
      <w:r>
        <w:rPr>
          <w:rFonts w:hint="eastAsia" w:ascii="宋体" w:hAnsi="宋体"/>
          <w:color w:val="auto"/>
          <w:szCs w:val="21"/>
          <w:highlight w:val="none"/>
        </w:rPr>
        <w:t>24.2工人工资</w:t>
      </w:r>
    </w:p>
    <w:p>
      <w:pPr>
        <w:snapToGrid w:val="0"/>
        <w:spacing w:line="440" w:lineRule="exact"/>
        <w:ind w:firstLine="296" w:firstLineChars="141"/>
        <w:rPr>
          <w:rFonts w:hint="eastAsia" w:ascii="宋体" w:hAnsi="宋体"/>
          <w:color w:val="auto"/>
          <w:szCs w:val="21"/>
          <w:highlight w:val="none"/>
        </w:rPr>
      </w:pPr>
      <w:r>
        <w:rPr>
          <w:rFonts w:hint="eastAsia" w:ascii="宋体" w:hAnsi="宋体"/>
          <w:color w:val="auto"/>
          <w:szCs w:val="21"/>
          <w:highlight w:val="none"/>
        </w:rPr>
        <w:t>24.2.1承包人需按有关规定与商业银行另行签订广州市建设领域工人工资支付专用账户管理协议、开设专用账户并报发包人备案,工人工资支付至专用账户。</w:t>
      </w:r>
    </w:p>
    <w:p>
      <w:pPr>
        <w:snapToGrid w:val="0"/>
        <w:spacing w:line="440" w:lineRule="exact"/>
        <w:ind w:firstLine="296" w:firstLineChars="141"/>
        <w:rPr>
          <w:rFonts w:hint="eastAsia" w:ascii="宋体" w:hAnsi="宋体"/>
          <w:color w:val="auto"/>
          <w:szCs w:val="21"/>
          <w:highlight w:val="none"/>
        </w:rPr>
      </w:pPr>
      <w:r>
        <w:rPr>
          <w:rFonts w:hint="eastAsia" w:ascii="宋体" w:hAnsi="宋体"/>
          <w:color w:val="auto"/>
          <w:szCs w:val="21"/>
          <w:highlight w:val="none"/>
        </w:rPr>
        <w:t>24.2.2工人工资进度款与工程进度款同步支付，其中每期需支付的工程进度款×工人工资比例为该期工人工资进度款，支付至工人工资专用账户。</w:t>
      </w:r>
    </w:p>
    <w:p>
      <w:pPr>
        <w:snapToGrid w:val="0"/>
        <w:spacing w:line="440" w:lineRule="exact"/>
        <w:ind w:firstLine="360" w:firstLineChars="150"/>
        <w:rPr>
          <w:rFonts w:ascii="宋体" w:hAnsi="宋体"/>
          <w:color w:val="auto"/>
          <w:sz w:val="24"/>
          <w:highlight w:val="none"/>
        </w:rPr>
      </w:pPr>
      <w:r>
        <w:rPr>
          <w:rFonts w:ascii="宋体" w:hAnsi="宋体"/>
          <w:color w:val="auto"/>
          <w:sz w:val="24"/>
          <w:highlight w:val="none"/>
        </w:rPr>
        <w:t>25</w:t>
      </w:r>
      <w:r>
        <w:rPr>
          <w:rFonts w:hint="eastAsia" w:ascii="宋体" w:hAnsi="宋体"/>
          <w:b/>
          <w:color w:val="auto"/>
          <w:sz w:val="24"/>
          <w:highlight w:val="none"/>
        </w:rPr>
        <w:t>、工程量确认</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25.1</w:t>
      </w:r>
      <w:r>
        <w:rPr>
          <w:rFonts w:hint="eastAsia" w:ascii="宋体" w:hAnsi="宋体"/>
          <w:color w:val="auto"/>
          <w:szCs w:val="21"/>
          <w:highlight w:val="none"/>
        </w:rPr>
        <w:t>承包人向工程师提交已完工程量报告的时间：</w:t>
      </w:r>
      <w:r>
        <w:rPr>
          <w:rFonts w:hint="eastAsia" w:ascii="宋体" w:hAnsi="宋体"/>
          <w:color w:val="auto"/>
          <w:szCs w:val="21"/>
          <w:highlight w:val="none"/>
          <w:u w:val="single"/>
        </w:rPr>
        <w:t>自开工之日起每周及每月报告已完成工程状况</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25.2双方一致同意不适用通用条款25.2款</w:t>
      </w:r>
      <w:r>
        <w:rPr>
          <w:rFonts w:hint="eastAsia" w:ascii="宋体" w:hAnsi="宋体"/>
          <w:color w:val="auto"/>
          <w:szCs w:val="21"/>
          <w:highlight w:val="none"/>
        </w:rPr>
        <w:t>，承包人完成工程量必须经发包人书面确认。</w:t>
      </w:r>
    </w:p>
    <w:p>
      <w:pPr>
        <w:snapToGrid w:val="0"/>
        <w:spacing w:line="440" w:lineRule="exact"/>
        <w:ind w:firstLine="397"/>
        <w:rPr>
          <w:rFonts w:ascii="宋体" w:hAnsi="宋体"/>
          <w:color w:val="auto"/>
          <w:sz w:val="24"/>
          <w:highlight w:val="none"/>
        </w:rPr>
      </w:pPr>
      <w:r>
        <w:rPr>
          <w:rFonts w:ascii="宋体" w:hAnsi="宋体"/>
          <w:color w:val="auto"/>
          <w:sz w:val="24"/>
          <w:highlight w:val="none"/>
        </w:rPr>
        <w:t>26</w:t>
      </w:r>
      <w:r>
        <w:rPr>
          <w:rFonts w:hint="eastAsia" w:ascii="宋体" w:hAnsi="宋体"/>
          <w:color w:val="auto"/>
          <w:sz w:val="24"/>
          <w:highlight w:val="none"/>
        </w:rPr>
        <w:t>、</w:t>
      </w:r>
      <w:r>
        <w:rPr>
          <w:rFonts w:hint="eastAsia" w:ascii="宋体" w:hAnsi="宋体"/>
          <w:b/>
          <w:color w:val="auto"/>
          <w:sz w:val="24"/>
          <w:highlight w:val="none"/>
        </w:rPr>
        <w:t>工程款（进度款）支付</w:t>
      </w:r>
    </w:p>
    <w:p>
      <w:pPr>
        <w:snapToGrid w:val="0"/>
        <w:spacing w:line="440" w:lineRule="exact"/>
        <w:ind w:firstLine="480"/>
        <w:rPr>
          <w:rFonts w:ascii="宋体" w:hAnsi="宋体"/>
          <w:color w:val="auto"/>
          <w:szCs w:val="21"/>
          <w:highlight w:val="none"/>
        </w:rPr>
      </w:pPr>
      <w:r>
        <w:rPr>
          <w:rFonts w:ascii="宋体" w:hAnsi="宋体"/>
          <w:color w:val="auto"/>
          <w:szCs w:val="21"/>
          <w:highlight w:val="none"/>
        </w:rPr>
        <w:t>26.1双方约定的工程款（进度款）支付采取如下的</w:t>
      </w:r>
      <w:r>
        <w:rPr>
          <w:rFonts w:ascii="宋体" w:hAnsi="宋体"/>
          <w:color w:val="auto"/>
          <w:szCs w:val="21"/>
          <w:highlight w:val="none"/>
          <w:u w:val="single"/>
        </w:rPr>
        <w:t xml:space="preserve"> 26.1.2</w:t>
      </w:r>
      <w:r>
        <w:rPr>
          <w:rFonts w:hint="eastAsia" w:ascii="宋体" w:hAnsi="宋体"/>
          <w:color w:val="auto"/>
          <w:szCs w:val="21"/>
          <w:highlight w:val="none"/>
          <w:u w:val="single"/>
        </w:rPr>
        <w:t xml:space="preserve"> </w:t>
      </w:r>
      <w:r>
        <w:rPr>
          <w:rFonts w:hint="eastAsia" w:ascii="宋体" w:hAnsi="宋体"/>
          <w:color w:val="auto"/>
          <w:szCs w:val="21"/>
          <w:highlight w:val="none"/>
        </w:rPr>
        <w:t>方式进行：</w:t>
      </w:r>
    </w:p>
    <w:p>
      <w:pPr>
        <w:snapToGrid w:val="0"/>
        <w:spacing w:line="440" w:lineRule="exact"/>
        <w:ind w:firstLine="480"/>
        <w:rPr>
          <w:rFonts w:ascii="宋体" w:hAnsi="宋体"/>
          <w:color w:val="auto"/>
          <w:szCs w:val="21"/>
          <w:highlight w:val="none"/>
        </w:rPr>
      </w:pPr>
      <w:r>
        <w:rPr>
          <w:rFonts w:ascii="宋体" w:hAnsi="宋体"/>
          <w:color w:val="auto"/>
          <w:szCs w:val="21"/>
          <w:highlight w:val="none"/>
        </w:rPr>
        <w:t>26.1.1</w:t>
      </w:r>
      <w:r>
        <w:rPr>
          <w:rFonts w:hint="eastAsia" w:ascii="宋体" w:hAnsi="宋体"/>
          <w:color w:val="auto"/>
          <w:szCs w:val="21"/>
          <w:highlight w:val="none"/>
        </w:rPr>
        <w:t>按累计完成工作量百分率支付工程款（进度款）方式：</w:t>
      </w:r>
    </w:p>
    <w:p>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u w:val="single"/>
        </w:rPr>
        <w:t>当完成工作量达到</w:t>
      </w:r>
      <w:r>
        <w:rPr>
          <w:rFonts w:ascii="宋体" w:hAnsi="宋体"/>
          <w:color w:val="auto"/>
          <w:szCs w:val="21"/>
          <w:highlight w:val="none"/>
          <w:u w:val="single"/>
        </w:rPr>
        <w:t>60%</w:t>
      </w:r>
      <w:r>
        <w:rPr>
          <w:rFonts w:hint="eastAsia" w:ascii="宋体" w:hAnsi="宋体"/>
          <w:color w:val="auto"/>
          <w:szCs w:val="21"/>
          <w:highlight w:val="none"/>
          <w:u w:val="single"/>
        </w:rPr>
        <w:t xml:space="preserve">时，支付工程进度款   </w:t>
      </w:r>
      <w:r>
        <w:rPr>
          <w:rFonts w:ascii="宋体" w:hAnsi="宋体"/>
          <w:color w:val="auto"/>
          <w:szCs w:val="21"/>
          <w:highlight w:val="none"/>
          <w:u w:val="single"/>
        </w:rPr>
        <w:t>%</w:t>
      </w:r>
      <w:r>
        <w:rPr>
          <w:rFonts w:hint="eastAsia" w:ascii="宋体" w:hAnsi="宋体"/>
          <w:color w:val="auto"/>
          <w:szCs w:val="21"/>
          <w:highlight w:val="none"/>
          <w:u w:val="single"/>
        </w:rPr>
        <w:t>【</w:t>
      </w:r>
      <w:r>
        <w:rPr>
          <w:rFonts w:ascii="宋体" w:hAnsi="宋体"/>
          <w:color w:val="auto"/>
          <w:szCs w:val="21"/>
          <w:highlight w:val="none"/>
          <w:u w:val="single"/>
        </w:rPr>
        <w:t>累计付款</w:t>
      </w:r>
      <w:r>
        <w:rPr>
          <w:rFonts w:hint="eastAsia" w:ascii="宋体" w:hAnsi="宋体"/>
          <w:color w:val="auto"/>
          <w:szCs w:val="21"/>
          <w:highlight w:val="none"/>
          <w:u w:val="single"/>
        </w:rPr>
        <w:t>(含已支付的绿色施工安全防护措施费)</w:t>
      </w:r>
      <w:r>
        <w:rPr>
          <w:rFonts w:ascii="宋体" w:hAnsi="宋体"/>
          <w:color w:val="auto"/>
          <w:szCs w:val="21"/>
          <w:highlight w:val="none"/>
          <w:u w:val="single"/>
        </w:rPr>
        <w:t>至合同价款</w:t>
      </w:r>
      <w:r>
        <w:rPr>
          <w:rFonts w:hint="eastAsia" w:ascii="宋体" w:hAnsi="宋体"/>
          <w:color w:val="auto"/>
          <w:szCs w:val="21"/>
          <w:highlight w:val="none"/>
          <w:u w:val="single"/>
        </w:rPr>
        <w:t>若有暂定金(含暂列金额和暂估价)扣除未计量部分暂定金(含暂列金额和暂估价)后的</w:t>
      </w:r>
      <w:r>
        <w:rPr>
          <w:rFonts w:ascii="宋体" w:hAnsi="宋体"/>
          <w:color w:val="auto"/>
          <w:szCs w:val="21"/>
          <w:highlight w:val="none"/>
          <w:u w:val="single"/>
        </w:rPr>
        <w:t>55%</w:t>
      </w:r>
      <w:r>
        <w:rPr>
          <w:rFonts w:hint="eastAsia" w:ascii="宋体" w:hAnsi="宋体"/>
          <w:color w:val="auto"/>
          <w:szCs w:val="21"/>
          <w:highlight w:val="none"/>
          <w:u w:val="single"/>
        </w:rPr>
        <w:t>】</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u w:val="single"/>
        </w:rPr>
        <w:t>工程完工，并通过初验后支付合同价款</w:t>
      </w:r>
      <w:r>
        <w:rPr>
          <w:rFonts w:ascii="宋体" w:hAnsi="宋体"/>
          <w:color w:val="auto"/>
          <w:szCs w:val="21"/>
          <w:highlight w:val="none"/>
          <w:u w:val="single"/>
        </w:rPr>
        <w:t>30%</w:t>
      </w:r>
      <w:r>
        <w:rPr>
          <w:rFonts w:hint="eastAsia" w:ascii="宋体" w:hAnsi="宋体"/>
          <w:color w:val="auto"/>
          <w:szCs w:val="21"/>
          <w:highlight w:val="none"/>
          <w:u w:val="single"/>
        </w:rPr>
        <w:t>【</w:t>
      </w:r>
      <w:r>
        <w:rPr>
          <w:rFonts w:ascii="宋体" w:hAnsi="宋体"/>
          <w:color w:val="auto"/>
          <w:szCs w:val="21"/>
          <w:highlight w:val="none"/>
          <w:u w:val="single"/>
        </w:rPr>
        <w:t>累计付款</w:t>
      </w:r>
      <w:r>
        <w:rPr>
          <w:rFonts w:hint="eastAsia" w:ascii="宋体" w:hAnsi="宋体"/>
          <w:color w:val="auto"/>
          <w:szCs w:val="21"/>
          <w:highlight w:val="none"/>
          <w:u w:val="single"/>
        </w:rPr>
        <w:t>(含绿色施工安全防护措施费）</w:t>
      </w:r>
      <w:r>
        <w:rPr>
          <w:rFonts w:ascii="宋体" w:hAnsi="宋体"/>
          <w:color w:val="auto"/>
          <w:szCs w:val="21"/>
          <w:highlight w:val="none"/>
          <w:u w:val="single"/>
        </w:rPr>
        <w:t>至合同价款</w:t>
      </w:r>
      <w:r>
        <w:rPr>
          <w:rFonts w:hint="eastAsia" w:ascii="宋体" w:hAnsi="宋体"/>
          <w:color w:val="auto"/>
          <w:szCs w:val="21"/>
          <w:highlight w:val="none"/>
          <w:u w:val="single"/>
        </w:rPr>
        <w:t>若有暂定金(含暂列金额和暂估价)扣除未计量部分暂定金(含暂列金额和暂估价)后的</w:t>
      </w:r>
      <w:r>
        <w:rPr>
          <w:rFonts w:ascii="宋体" w:hAnsi="宋体"/>
          <w:color w:val="auto"/>
          <w:szCs w:val="21"/>
          <w:highlight w:val="none"/>
          <w:u w:val="single"/>
        </w:rPr>
        <w:t>85%</w:t>
      </w:r>
      <w:r>
        <w:rPr>
          <w:rFonts w:hint="eastAsia" w:ascii="宋体" w:hAnsi="宋体"/>
          <w:color w:val="auto"/>
          <w:szCs w:val="21"/>
          <w:highlight w:val="none"/>
          <w:u w:val="single"/>
        </w:rPr>
        <w:t>】</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u w:val="single"/>
        </w:rPr>
        <w:t>工程通过验收并经广州开发区财政局审定施工结算后支付工程款(含绿色施工安全防护措施费）至结算价的</w:t>
      </w:r>
      <w:r>
        <w:rPr>
          <w:rFonts w:ascii="宋体" w:hAnsi="宋体"/>
          <w:color w:val="auto"/>
          <w:szCs w:val="21"/>
          <w:highlight w:val="none"/>
          <w:u w:val="single"/>
        </w:rPr>
        <w:t>9</w:t>
      </w:r>
      <w:r>
        <w:rPr>
          <w:rFonts w:hint="eastAsia" w:ascii="宋体" w:hAnsi="宋体"/>
          <w:color w:val="auto"/>
          <w:szCs w:val="21"/>
          <w:highlight w:val="none"/>
          <w:u w:val="single"/>
        </w:rPr>
        <w:t>7</w:t>
      </w:r>
      <w:r>
        <w:rPr>
          <w:rFonts w:ascii="宋体" w:hAnsi="宋体"/>
          <w:color w:val="auto"/>
          <w:szCs w:val="21"/>
          <w:highlight w:val="none"/>
          <w:u w:val="single"/>
        </w:rPr>
        <w:t>%；工程结算价款额度的</w:t>
      </w:r>
      <w:r>
        <w:rPr>
          <w:rFonts w:hint="eastAsia" w:ascii="宋体" w:hAnsi="宋体"/>
          <w:color w:val="auto"/>
          <w:szCs w:val="21"/>
          <w:highlight w:val="none"/>
          <w:u w:val="single"/>
        </w:rPr>
        <w:t>3</w:t>
      </w:r>
      <w:r>
        <w:rPr>
          <w:rFonts w:ascii="宋体" w:hAnsi="宋体"/>
          <w:color w:val="auto"/>
          <w:szCs w:val="21"/>
          <w:highlight w:val="none"/>
          <w:u w:val="single"/>
        </w:rPr>
        <w:t>%作为</w:t>
      </w:r>
      <w:r>
        <w:rPr>
          <w:rFonts w:hint="eastAsia" w:ascii="宋体" w:hAnsi="宋体"/>
          <w:color w:val="auto"/>
          <w:szCs w:val="21"/>
          <w:highlight w:val="none"/>
          <w:u w:val="single"/>
        </w:rPr>
        <w:t>质量</w:t>
      </w:r>
      <w:r>
        <w:rPr>
          <w:rFonts w:ascii="宋体" w:hAnsi="宋体"/>
          <w:color w:val="auto"/>
          <w:szCs w:val="21"/>
          <w:highlight w:val="none"/>
          <w:u w:val="single"/>
        </w:rPr>
        <w:t>保修金，待</w:t>
      </w:r>
      <w:r>
        <w:rPr>
          <w:rFonts w:hint="eastAsia" w:ascii="宋体" w:hAnsi="宋体"/>
          <w:color w:val="auto"/>
          <w:szCs w:val="21"/>
          <w:highlight w:val="none"/>
          <w:u w:val="single"/>
        </w:rPr>
        <w:t>缺陷责任</w:t>
      </w:r>
      <w:r>
        <w:rPr>
          <w:rFonts w:ascii="宋体" w:hAnsi="宋体"/>
          <w:color w:val="auto"/>
          <w:szCs w:val="21"/>
          <w:highlight w:val="none"/>
          <w:u w:val="single"/>
        </w:rPr>
        <w:t>期结束后结清（不计利息）</w:t>
      </w:r>
      <w:r>
        <w:rPr>
          <w:rFonts w:hint="eastAsia" w:ascii="宋体" w:hAnsi="宋体"/>
          <w:color w:val="auto"/>
          <w:szCs w:val="21"/>
          <w:highlight w:val="none"/>
        </w:rPr>
        <w:t>。</w:t>
      </w:r>
    </w:p>
    <w:p>
      <w:pPr>
        <w:snapToGrid w:val="0"/>
        <w:spacing w:line="440" w:lineRule="exact"/>
        <w:ind w:firstLine="296" w:firstLineChars="141"/>
        <w:rPr>
          <w:rFonts w:ascii="宋体" w:hAnsi="宋体"/>
          <w:color w:val="auto"/>
          <w:szCs w:val="21"/>
          <w:highlight w:val="none"/>
        </w:rPr>
      </w:pPr>
      <w:r>
        <w:rPr>
          <w:rFonts w:hint="eastAsia" w:ascii="宋体" w:hAnsi="宋体"/>
          <w:color w:val="auto"/>
          <w:szCs w:val="21"/>
          <w:highlight w:val="none"/>
        </w:rPr>
        <w:t>上述所有款项均在广州开发区财政局审定该专项资金并拨款到位后支付，每期需支付的工程进度款×工人工资比例为该期工人工资进度款，支付至工人工资专用账户。办理工程款财政请款手续的时间不计入付款期限。</w:t>
      </w:r>
    </w:p>
    <w:p>
      <w:pPr>
        <w:snapToGrid w:val="0"/>
        <w:spacing w:line="440" w:lineRule="exact"/>
        <w:ind w:firstLine="420" w:firstLineChars="200"/>
        <w:rPr>
          <w:rFonts w:ascii="宋体" w:hAnsi="宋体"/>
          <w:color w:val="auto"/>
          <w:szCs w:val="21"/>
          <w:highlight w:val="none"/>
        </w:rPr>
      </w:pPr>
      <w:r>
        <w:rPr>
          <w:rFonts w:ascii="宋体" w:hAnsi="宋体"/>
          <w:color w:val="auto"/>
          <w:szCs w:val="21"/>
          <w:highlight w:val="none"/>
        </w:rPr>
        <w:t>26.1.2按月度支付工程款（进度款）</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u w:val="single"/>
        </w:rPr>
        <w:t>承包人每月上报完成工程量报表，经监理审核及发包人确认后，发包人按经审定月度完成工程量的</w:t>
      </w:r>
      <w:r>
        <w:rPr>
          <w:rFonts w:ascii="宋体" w:hAnsi="宋体"/>
          <w:color w:val="auto"/>
          <w:szCs w:val="21"/>
          <w:highlight w:val="none"/>
          <w:u w:val="single"/>
        </w:rPr>
        <w:t>85%支付工程进度款</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u w:val="single"/>
        </w:rPr>
        <w:t>从本工程发生的第一次进度款支付起，发包人每次按审定月度完成工程量的</w:t>
      </w:r>
      <w:r>
        <w:rPr>
          <w:rFonts w:ascii="宋体" w:hAnsi="宋体"/>
          <w:color w:val="auto"/>
          <w:szCs w:val="21"/>
          <w:highlight w:val="none"/>
          <w:u w:val="single"/>
        </w:rPr>
        <w:t>85%中之50%扣回预付款，每次按审定月度完成工程量的85%扣除应扣回的预付款后支付承包人当次的工程进度款，直至预付款全部扣回完毕止。预付款扣回完毕后，发包人按审定月度完成工程量的85%支付工程进度款；工程完工，累计支付</w:t>
      </w:r>
      <w:r>
        <w:rPr>
          <w:rFonts w:hint="eastAsia" w:ascii="宋体" w:hAnsi="宋体"/>
          <w:color w:val="auto"/>
          <w:szCs w:val="21"/>
          <w:highlight w:val="none"/>
          <w:u w:val="single"/>
        </w:rPr>
        <w:t>工程款（含绿色施工安全防护措施费）至合同价若有暂定金（含暂列金额及暂估价）则扣除未计量部分暂定金后的</w:t>
      </w:r>
      <w:r>
        <w:rPr>
          <w:rFonts w:ascii="宋体" w:hAnsi="宋体"/>
          <w:color w:val="auto"/>
          <w:szCs w:val="21"/>
          <w:highlight w:val="none"/>
          <w:u w:val="single"/>
        </w:rPr>
        <w:t>85%</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u w:val="single"/>
        </w:rPr>
        <w:t>工程通过验收并经广州开发区财政局审定施工结算后支付工程款（含绿色施工安全防护措施费）至结算价的</w:t>
      </w:r>
      <w:r>
        <w:rPr>
          <w:rFonts w:ascii="宋体" w:hAnsi="宋体"/>
          <w:color w:val="auto"/>
          <w:szCs w:val="21"/>
          <w:highlight w:val="none"/>
          <w:u w:val="single"/>
        </w:rPr>
        <w:t>9</w:t>
      </w:r>
      <w:r>
        <w:rPr>
          <w:rFonts w:hint="eastAsia" w:ascii="宋体" w:hAnsi="宋体"/>
          <w:color w:val="auto"/>
          <w:szCs w:val="21"/>
          <w:highlight w:val="none"/>
          <w:u w:val="single"/>
        </w:rPr>
        <w:t>7</w:t>
      </w:r>
      <w:r>
        <w:rPr>
          <w:rFonts w:ascii="宋体" w:hAnsi="宋体"/>
          <w:color w:val="auto"/>
          <w:szCs w:val="21"/>
          <w:highlight w:val="none"/>
          <w:u w:val="single"/>
        </w:rPr>
        <w:t>%；工程结算价款额度的</w:t>
      </w:r>
      <w:r>
        <w:rPr>
          <w:rFonts w:hint="eastAsia" w:ascii="宋体" w:hAnsi="宋体"/>
          <w:color w:val="auto"/>
          <w:szCs w:val="21"/>
          <w:highlight w:val="none"/>
          <w:u w:val="single"/>
        </w:rPr>
        <w:t>3</w:t>
      </w:r>
      <w:r>
        <w:rPr>
          <w:rFonts w:ascii="宋体" w:hAnsi="宋体"/>
          <w:color w:val="auto"/>
          <w:szCs w:val="21"/>
          <w:highlight w:val="none"/>
          <w:u w:val="single"/>
        </w:rPr>
        <w:t>%作为</w:t>
      </w:r>
      <w:r>
        <w:rPr>
          <w:rFonts w:hint="eastAsia" w:ascii="宋体" w:hAnsi="宋体"/>
          <w:color w:val="auto"/>
          <w:szCs w:val="21"/>
          <w:highlight w:val="none"/>
          <w:u w:val="single"/>
        </w:rPr>
        <w:t>质量</w:t>
      </w:r>
      <w:r>
        <w:rPr>
          <w:rFonts w:ascii="宋体" w:hAnsi="宋体"/>
          <w:color w:val="auto"/>
          <w:szCs w:val="21"/>
          <w:highlight w:val="none"/>
          <w:u w:val="single"/>
        </w:rPr>
        <w:t>保修金，待</w:t>
      </w:r>
      <w:r>
        <w:rPr>
          <w:rFonts w:hint="eastAsia" w:ascii="宋体" w:hAnsi="宋体"/>
          <w:color w:val="auto"/>
          <w:szCs w:val="21"/>
          <w:highlight w:val="none"/>
          <w:u w:val="single"/>
        </w:rPr>
        <w:t>缺陷责任</w:t>
      </w:r>
      <w:r>
        <w:rPr>
          <w:rFonts w:ascii="宋体" w:hAnsi="宋体"/>
          <w:color w:val="auto"/>
          <w:szCs w:val="21"/>
          <w:highlight w:val="none"/>
          <w:u w:val="single"/>
        </w:rPr>
        <w:t>期结束后结清（不计利息）</w:t>
      </w:r>
      <w:r>
        <w:rPr>
          <w:rFonts w:hint="eastAsia" w:ascii="宋体" w:hAnsi="宋体"/>
          <w:color w:val="auto"/>
          <w:szCs w:val="21"/>
          <w:highlight w:val="none"/>
        </w:rPr>
        <w:t>。</w:t>
      </w:r>
    </w:p>
    <w:p>
      <w:pPr>
        <w:snapToGrid w:val="0"/>
        <w:spacing w:line="440" w:lineRule="exact"/>
        <w:ind w:firstLine="296" w:firstLineChars="141"/>
        <w:rPr>
          <w:rFonts w:ascii="宋体" w:hAnsi="宋体"/>
          <w:color w:val="auto"/>
          <w:szCs w:val="21"/>
          <w:highlight w:val="none"/>
        </w:rPr>
      </w:pPr>
      <w:r>
        <w:rPr>
          <w:rFonts w:hint="eastAsia" w:ascii="宋体" w:hAnsi="宋体"/>
          <w:color w:val="auto"/>
          <w:szCs w:val="21"/>
          <w:highlight w:val="none"/>
        </w:rPr>
        <w:t>上述所有款项均在广州开发区财政局审定该专项资金并拨款到位后支付，每期需支付的工程进度款×工人工资比例为该期工人工资进度款，支付至工人工资专用账户。办理工程款财政请款手续的时间不计入付款期限。</w:t>
      </w:r>
    </w:p>
    <w:p>
      <w:pPr>
        <w:adjustRightInd w:val="0"/>
        <w:snapToGrid w:val="0"/>
        <w:spacing w:line="440" w:lineRule="exact"/>
        <w:ind w:right="11" w:firstLine="367" w:firstLineChars="175"/>
        <w:rPr>
          <w:rFonts w:ascii="宋体" w:hAnsi="宋体"/>
          <w:color w:val="auto"/>
          <w:szCs w:val="21"/>
          <w:highlight w:val="none"/>
        </w:rPr>
      </w:pPr>
      <w:r>
        <w:rPr>
          <w:rFonts w:ascii="宋体" w:hAnsi="宋体"/>
          <w:color w:val="auto"/>
          <w:szCs w:val="21"/>
          <w:highlight w:val="none"/>
        </w:rPr>
        <w:t>26.2所有因变更、签证及价格调整等原因所调整增加的工程价款均应由承包人按广州开发区、</w:t>
      </w:r>
      <w:r>
        <w:rPr>
          <w:rFonts w:hint="eastAsia" w:ascii="宋体" w:hAnsi="宋体"/>
          <w:color w:val="auto"/>
          <w:szCs w:val="21"/>
          <w:highlight w:val="none"/>
        </w:rPr>
        <w:t>黄埔</w:t>
      </w:r>
      <w:r>
        <w:rPr>
          <w:rFonts w:ascii="宋体" w:hAnsi="宋体"/>
          <w:color w:val="auto"/>
          <w:szCs w:val="21"/>
          <w:highlight w:val="none"/>
        </w:rPr>
        <w:t>区及发包人相关规定程序，报监理初审，并经发包人审批同意后，按审定金额另行签订补充协议支付，或在工程结算中一并支付。</w:t>
      </w:r>
    </w:p>
    <w:p>
      <w:pPr>
        <w:snapToGrid w:val="0"/>
        <w:spacing w:line="440" w:lineRule="exact"/>
        <w:ind w:firstLine="420" w:firstLineChars="200"/>
        <w:rPr>
          <w:rFonts w:ascii="宋体" w:hAnsi="宋体"/>
          <w:color w:val="auto"/>
          <w:szCs w:val="21"/>
          <w:highlight w:val="none"/>
        </w:rPr>
      </w:pPr>
      <w:r>
        <w:rPr>
          <w:rFonts w:ascii="宋体" w:hAnsi="宋体"/>
          <w:color w:val="auto"/>
          <w:szCs w:val="21"/>
          <w:highlight w:val="none"/>
        </w:rPr>
        <w:t>26.4</w:t>
      </w:r>
      <w:r>
        <w:rPr>
          <w:rFonts w:hint="eastAsia" w:ascii="宋体" w:hAnsi="宋体"/>
          <w:color w:val="auto"/>
          <w:szCs w:val="21"/>
          <w:highlight w:val="none"/>
        </w:rPr>
        <w:t>工程价款的支付条件：</w:t>
      </w:r>
    </w:p>
    <w:p>
      <w:pPr>
        <w:snapToGrid w:val="0"/>
        <w:spacing w:line="440" w:lineRule="exact"/>
        <w:ind w:firstLine="480"/>
        <w:rPr>
          <w:rFonts w:hint="eastAsia" w:ascii="宋体" w:hAnsi="宋体" w:eastAsia="宋体"/>
          <w:color w:val="auto"/>
          <w:szCs w:val="21"/>
          <w:highlight w:val="none"/>
          <w:u w:val="single"/>
          <w:lang w:val="en-US" w:eastAsia="zh-CN"/>
        </w:rPr>
      </w:pPr>
      <w:r>
        <w:rPr>
          <w:rFonts w:hint="eastAsia" w:ascii="宋体" w:hAnsi="宋体"/>
          <w:color w:val="auto"/>
          <w:szCs w:val="21"/>
          <w:highlight w:val="none"/>
        </w:rPr>
        <w:t>（</w:t>
      </w:r>
      <w:r>
        <w:rPr>
          <w:rFonts w:ascii="宋体" w:hAnsi="宋体"/>
          <w:color w:val="auto"/>
          <w:szCs w:val="21"/>
          <w:highlight w:val="none"/>
        </w:rPr>
        <w:t>1）支付</w:t>
      </w:r>
      <w:r>
        <w:rPr>
          <w:rFonts w:hint="eastAsia" w:ascii="宋体" w:hAnsi="宋体"/>
          <w:color w:val="auto"/>
          <w:szCs w:val="21"/>
          <w:highlight w:val="none"/>
        </w:rPr>
        <w:t>预付</w:t>
      </w:r>
      <w:r>
        <w:rPr>
          <w:rFonts w:ascii="宋体" w:hAnsi="宋体"/>
          <w:color w:val="auto"/>
          <w:szCs w:val="21"/>
          <w:highlight w:val="none"/>
        </w:rPr>
        <w:t>款：</w:t>
      </w:r>
      <w:r>
        <w:rPr>
          <w:rFonts w:hint="eastAsia" w:ascii="宋体" w:hAnsi="宋体"/>
          <w:color w:val="auto"/>
          <w:szCs w:val="21"/>
          <w:highlight w:val="none"/>
          <w:u w:val="single"/>
        </w:rPr>
        <w:t>承包人已与发包人签订工程施工合同，承包人承诺的项目管理人员、机械设备到位。已生效的履约担保已按发包人要求准时提交发包人，且财政拨款已到位</w:t>
      </w:r>
      <w:r>
        <w:rPr>
          <w:rFonts w:hint="eastAsia" w:ascii="宋体" w:hAnsi="宋体"/>
          <w:color w:val="auto"/>
          <w:szCs w:val="21"/>
          <w:highlight w:val="none"/>
          <w:u w:val="single"/>
          <w:lang w:eastAsia="zh-CN"/>
        </w:rPr>
        <w:t>。</w:t>
      </w:r>
    </w:p>
    <w:p>
      <w:pPr>
        <w:snapToGrid w:val="0"/>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2）支付工程款（进度款）：</w:t>
      </w:r>
      <w:r>
        <w:rPr>
          <w:rFonts w:hint="eastAsia" w:ascii="宋体" w:hAnsi="宋体"/>
          <w:color w:val="auto"/>
          <w:szCs w:val="21"/>
          <w:highlight w:val="none"/>
          <w:u w:val="single"/>
        </w:rPr>
        <w:t>承包人必须及时向监理工程师提供其完成工作量的计量支付汇总报表和相应的分项工程计量支付报表。完成的全部分项工程数量均需有监理工程师的签认手续，计算依据和相关的质量合格证明资料，需通过测量确定数量的必须附有完整的测量资料且有监理工程师的签认</w:t>
      </w:r>
      <w:r>
        <w:rPr>
          <w:rFonts w:hint="eastAsia" w:ascii="宋体" w:hAnsi="宋体"/>
          <w:color w:val="auto"/>
          <w:szCs w:val="21"/>
          <w:highlight w:val="none"/>
        </w:rPr>
        <w:t>。</w:t>
      </w:r>
    </w:p>
    <w:p>
      <w:pPr>
        <w:snapToGrid w:val="0"/>
        <w:spacing w:line="360" w:lineRule="auto"/>
        <w:ind w:firstLine="420" w:firstLineChars="200"/>
        <w:rPr>
          <w:rFonts w:hint="eastAsia" w:ascii="宋体" w:hAnsi="宋体" w:eastAsia="楷体_GB2312" w:cs="宋体"/>
          <w:color w:val="auto"/>
          <w:kern w:val="0"/>
          <w:szCs w:val="21"/>
          <w:highlight w:val="none"/>
        </w:rPr>
      </w:pPr>
    </w:p>
    <w:p>
      <w:pPr>
        <w:snapToGrid w:val="0"/>
        <w:spacing w:line="360" w:lineRule="auto"/>
        <w:ind w:firstLine="420" w:firstLineChars="200"/>
        <w:rPr>
          <w:rFonts w:hint="eastAsia" w:ascii="宋体" w:hAnsi="宋体" w:eastAsia="楷体_GB2312" w:cs="宋体"/>
          <w:color w:val="auto"/>
          <w:kern w:val="0"/>
          <w:szCs w:val="21"/>
          <w:highlight w:val="none"/>
        </w:rPr>
      </w:pPr>
      <w:r>
        <w:rPr>
          <w:rFonts w:hint="eastAsia" w:ascii="宋体" w:hAnsi="宋体" w:eastAsia="楷体_GB2312" w:cs="宋体"/>
          <w:color w:val="auto"/>
          <w:kern w:val="0"/>
          <w:szCs w:val="21"/>
          <w:highlight w:val="none"/>
        </w:rPr>
        <w:t>26.5</w:t>
      </w:r>
      <w:r>
        <w:rPr>
          <w:rFonts w:hint="eastAsia" w:ascii="宋体" w:hAnsi="宋体" w:eastAsia="楷体_GB2312"/>
          <w:color w:val="auto"/>
          <w:kern w:val="0"/>
          <w:szCs w:val="21"/>
          <w:highlight w:val="none"/>
          <w:u w:val="single"/>
        </w:rPr>
        <w:t>绿色施工安全防护措施费</w:t>
      </w:r>
      <w:r>
        <w:rPr>
          <w:rFonts w:hint="eastAsia" w:ascii="宋体" w:hAnsi="宋体" w:eastAsia="楷体_GB2312" w:cs="宋体"/>
          <w:color w:val="auto"/>
          <w:kern w:val="0"/>
          <w:szCs w:val="21"/>
          <w:highlight w:val="none"/>
        </w:rPr>
        <w:t>支付的支付条件：</w:t>
      </w:r>
    </w:p>
    <w:p>
      <w:pPr>
        <w:snapToGrid w:val="0"/>
        <w:spacing w:line="360" w:lineRule="auto"/>
        <w:ind w:firstLine="420" w:firstLineChars="200"/>
        <w:rPr>
          <w:rFonts w:hint="eastAsia" w:ascii="宋体" w:hAnsi="宋体" w:eastAsia="楷体_GB2312" w:cs="宋体"/>
          <w:color w:val="auto"/>
          <w:kern w:val="0"/>
          <w:szCs w:val="21"/>
          <w:highlight w:val="none"/>
        </w:rPr>
      </w:pPr>
      <w:r>
        <w:rPr>
          <w:rFonts w:hint="eastAsia" w:ascii="宋体" w:hAnsi="宋体" w:eastAsia="楷体_GB2312"/>
          <w:color w:val="auto"/>
          <w:kern w:val="0"/>
          <w:szCs w:val="21"/>
          <w:highlight w:val="none"/>
          <w:u w:val="single"/>
        </w:rPr>
        <w:t>绿色施工安全防护措施费</w:t>
      </w:r>
      <w:r>
        <w:rPr>
          <w:rFonts w:hint="eastAsia" w:ascii="宋体" w:hAnsi="宋体" w:eastAsia="楷体_GB2312" w:cs="宋体"/>
          <w:color w:val="auto"/>
          <w:kern w:val="0"/>
          <w:szCs w:val="21"/>
          <w:highlight w:val="none"/>
        </w:rPr>
        <w:t>按在工程投标最高报价中的</w:t>
      </w:r>
      <w:r>
        <w:rPr>
          <w:rFonts w:hint="eastAsia" w:ascii="宋体" w:hAnsi="宋体" w:eastAsia="楷体_GB2312"/>
          <w:color w:val="auto"/>
          <w:kern w:val="0"/>
          <w:szCs w:val="21"/>
          <w:highlight w:val="none"/>
          <w:u w:val="single"/>
        </w:rPr>
        <w:t>绿色施工安全防护措施费</w:t>
      </w:r>
      <w:r>
        <w:rPr>
          <w:rFonts w:hint="eastAsia" w:ascii="宋体" w:hAnsi="宋体" w:eastAsia="楷体_GB2312" w:cs="宋体"/>
          <w:color w:val="auto"/>
          <w:kern w:val="0"/>
          <w:szCs w:val="21"/>
          <w:highlight w:val="none"/>
        </w:rPr>
        <w:t>用计取，专款专用，并从本施工合同价款中提取（</w:t>
      </w:r>
      <w:r>
        <w:rPr>
          <w:rFonts w:hint="eastAsia" w:ascii="宋体" w:hAnsi="宋体" w:eastAsia="楷体_GB2312"/>
          <w:color w:val="auto"/>
          <w:kern w:val="0"/>
          <w:szCs w:val="21"/>
          <w:highlight w:val="none"/>
          <w:u w:val="single"/>
        </w:rPr>
        <w:t>绿色施工安全防护措施费</w:t>
      </w:r>
      <w:r>
        <w:rPr>
          <w:rFonts w:hint="eastAsia" w:ascii="宋体" w:hAnsi="宋体" w:eastAsia="楷体_GB2312" w:cs="宋体"/>
          <w:color w:val="auto"/>
          <w:kern w:val="0"/>
          <w:szCs w:val="21"/>
          <w:highlight w:val="none"/>
        </w:rPr>
        <w:t>已包含在本工程中标价即施工合同价中）。该费用根据《关于加强安全文明施工管理及措施费支付管理的通知》（穗开建管〔2015〕7号）及“穗建筑【2008】967号及“穗建筑【2018】981号”文规定，分阶段支付</w:t>
      </w:r>
      <w:r>
        <w:rPr>
          <w:rFonts w:hint="eastAsia" w:ascii="宋体" w:hAnsi="宋体" w:eastAsia="楷体_GB2312"/>
          <w:color w:val="auto"/>
          <w:kern w:val="0"/>
          <w:szCs w:val="21"/>
          <w:highlight w:val="none"/>
          <w:u w:val="single"/>
        </w:rPr>
        <w:t>绿色施工安全防护措施费</w:t>
      </w:r>
      <w:r>
        <w:rPr>
          <w:rFonts w:hint="eastAsia" w:ascii="宋体" w:hAnsi="宋体" w:eastAsia="楷体_GB2312" w:cs="宋体"/>
          <w:color w:val="auto"/>
          <w:kern w:val="0"/>
          <w:szCs w:val="21"/>
          <w:highlight w:val="none"/>
        </w:rPr>
        <w:t>：</w:t>
      </w:r>
    </w:p>
    <w:p>
      <w:pPr>
        <w:rPr>
          <w:rFonts w:ascii="Times New Roman" w:hAnsi="Times New Roman"/>
          <w:color w:val="auto"/>
          <w:sz w:val="22"/>
          <w:szCs w:val="28"/>
          <w:highlight w:val="none"/>
        </w:rPr>
      </w:pPr>
      <w:r>
        <w:rPr>
          <w:rFonts w:hint="eastAsia"/>
          <w:color w:val="auto"/>
          <w:sz w:val="22"/>
          <w:szCs w:val="28"/>
          <w:highlight w:val="none"/>
          <w:lang w:bidi="ar"/>
        </w:rPr>
        <w:t xml:space="preserve">   </w:t>
      </w:r>
      <w:r>
        <w:rPr>
          <w:color w:val="auto"/>
          <w:sz w:val="22"/>
          <w:szCs w:val="28"/>
          <w:highlight w:val="none"/>
          <w:lang w:bidi="ar"/>
        </w:rPr>
        <w:t>1</w:t>
      </w:r>
      <w:r>
        <w:rPr>
          <w:rFonts w:hint="eastAsia" w:cs="宋体"/>
          <w:color w:val="auto"/>
          <w:sz w:val="22"/>
          <w:szCs w:val="28"/>
          <w:highlight w:val="none"/>
          <w:lang w:bidi="ar"/>
        </w:rPr>
        <w:t>、施工单位进场完成工地围墙、大门、临时设施、洗车槽、水枪、场内道路硬化、绿化、钢筋堆放点及加工场、垃圾收集点等部位的建设或布置后，由广州开发区安监机构、建设业主、代建单位（如有）、监理单位根据《广州市建设工程文明施工管理规定》、《广州市建设工程文明施工标准》等有关规定，对施工现场进行现场验收并拍照留存，《建设工程项目申办施工许可证安全文明施工现场查勘表》或者《建设工程项目安全生产及文明施工检查记录表》评为合格或以上且财政拨款到位后，支付绿色施工安全防护措施费的</w:t>
      </w:r>
      <w:r>
        <w:rPr>
          <w:color w:val="auto"/>
          <w:sz w:val="22"/>
          <w:szCs w:val="28"/>
          <w:highlight w:val="none"/>
          <w:lang w:bidi="ar"/>
        </w:rPr>
        <w:t>50%</w:t>
      </w:r>
      <w:r>
        <w:rPr>
          <w:rFonts w:hint="eastAsia" w:cs="宋体"/>
          <w:color w:val="auto"/>
          <w:sz w:val="22"/>
          <w:szCs w:val="28"/>
          <w:highlight w:val="none"/>
          <w:lang w:bidi="ar"/>
        </w:rPr>
        <w:t>。</w:t>
      </w:r>
    </w:p>
    <w:p>
      <w:pPr>
        <w:rPr>
          <w:rFonts w:ascii="Times New Roman" w:hAnsi="Times New Roman"/>
          <w:color w:val="auto"/>
          <w:sz w:val="22"/>
          <w:szCs w:val="28"/>
          <w:highlight w:val="none"/>
        </w:rPr>
      </w:pPr>
      <w:r>
        <w:rPr>
          <w:rFonts w:hint="eastAsia"/>
          <w:color w:val="auto"/>
          <w:sz w:val="22"/>
          <w:szCs w:val="28"/>
          <w:highlight w:val="none"/>
          <w:lang w:bidi="ar"/>
        </w:rPr>
        <w:t xml:space="preserve">   </w:t>
      </w:r>
      <w:r>
        <w:rPr>
          <w:color w:val="auto"/>
          <w:sz w:val="22"/>
          <w:szCs w:val="28"/>
          <w:highlight w:val="none"/>
          <w:lang w:bidi="ar"/>
        </w:rPr>
        <w:t>2</w:t>
      </w:r>
      <w:r>
        <w:rPr>
          <w:rFonts w:hint="eastAsia" w:cs="宋体"/>
          <w:color w:val="auto"/>
          <w:sz w:val="22"/>
          <w:szCs w:val="28"/>
          <w:highlight w:val="none"/>
          <w:lang w:bidi="ar"/>
        </w:rPr>
        <w:t>、房建工程完成主体结构封顶、市政工程完成路基工作、其它工程完成合同约定工程量的</w:t>
      </w:r>
      <w:r>
        <w:rPr>
          <w:color w:val="auto"/>
          <w:sz w:val="22"/>
          <w:szCs w:val="28"/>
          <w:highlight w:val="none"/>
          <w:lang w:bidi="ar"/>
        </w:rPr>
        <w:t>60%</w:t>
      </w:r>
      <w:r>
        <w:rPr>
          <w:rFonts w:hint="eastAsia" w:cs="宋体"/>
          <w:color w:val="auto"/>
          <w:sz w:val="22"/>
          <w:szCs w:val="28"/>
          <w:highlight w:val="none"/>
          <w:lang w:bidi="ar"/>
        </w:rPr>
        <w:t>后，再次按上述要求进行现场验收并拍照留存，《建筑工程安全中间检查评价表》或者《建设工程项目安全生产及文明施工检查记录表》评为合格或以上且财政拨款到位后，再支付绿色施工安全防护措施费的</w:t>
      </w:r>
      <w:r>
        <w:rPr>
          <w:color w:val="auto"/>
          <w:sz w:val="22"/>
          <w:szCs w:val="28"/>
          <w:highlight w:val="none"/>
          <w:lang w:bidi="ar"/>
        </w:rPr>
        <w:t>40%</w:t>
      </w:r>
      <w:r>
        <w:rPr>
          <w:rFonts w:hint="eastAsia" w:cs="宋体"/>
          <w:color w:val="auto"/>
          <w:sz w:val="22"/>
          <w:szCs w:val="28"/>
          <w:highlight w:val="none"/>
          <w:lang w:bidi="ar"/>
        </w:rPr>
        <w:t>。</w:t>
      </w:r>
    </w:p>
    <w:p>
      <w:pPr>
        <w:rPr>
          <w:rFonts w:ascii="Times New Roman" w:hAnsi="Times New Roman"/>
          <w:color w:val="auto"/>
          <w:sz w:val="22"/>
          <w:szCs w:val="28"/>
          <w:highlight w:val="none"/>
        </w:rPr>
      </w:pPr>
      <w:r>
        <w:rPr>
          <w:rFonts w:hint="eastAsia"/>
          <w:color w:val="auto"/>
          <w:sz w:val="22"/>
          <w:szCs w:val="28"/>
          <w:highlight w:val="none"/>
          <w:lang w:bidi="ar"/>
        </w:rPr>
        <w:t xml:space="preserve">    </w:t>
      </w:r>
      <w:r>
        <w:rPr>
          <w:color w:val="auto"/>
          <w:sz w:val="22"/>
          <w:szCs w:val="28"/>
          <w:highlight w:val="none"/>
          <w:lang w:bidi="ar"/>
        </w:rPr>
        <w:t>3</w:t>
      </w:r>
      <w:r>
        <w:rPr>
          <w:rFonts w:hint="eastAsia" w:cs="宋体"/>
          <w:color w:val="auto"/>
          <w:sz w:val="22"/>
          <w:szCs w:val="28"/>
          <w:highlight w:val="none"/>
          <w:lang w:bidi="ar"/>
        </w:rPr>
        <w:t>、工程完工，《建设工程施工安全评价书》评为合格或以上后，再支付相应绿色施工安全防护措施费的</w:t>
      </w:r>
      <w:r>
        <w:rPr>
          <w:color w:val="auto"/>
          <w:sz w:val="22"/>
          <w:szCs w:val="28"/>
          <w:highlight w:val="none"/>
          <w:lang w:bidi="ar"/>
        </w:rPr>
        <w:t>10%</w:t>
      </w:r>
      <w:r>
        <w:rPr>
          <w:rFonts w:hint="eastAsia" w:cs="宋体"/>
          <w:color w:val="auto"/>
          <w:sz w:val="22"/>
          <w:szCs w:val="28"/>
          <w:highlight w:val="none"/>
          <w:lang w:bidi="ar"/>
        </w:rPr>
        <w:t>。</w:t>
      </w:r>
    </w:p>
    <w:p>
      <w:pPr>
        <w:ind w:firstLine="420" w:firstLineChars="200"/>
        <w:outlineLvl w:val="1"/>
        <w:rPr>
          <w:rFonts w:hint="eastAsia" w:ascii="宋体" w:hAnsi="宋体" w:cs="宋体"/>
          <w:color w:val="auto"/>
          <w:szCs w:val="21"/>
          <w:highlight w:val="none"/>
        </w:rPr>
      </w:pPr>
      <w:r>
        <w:rPr>
          <w:rFonts w:hint="eastAsia" w:ascii="宋体" w:hAnsi="宋体" w:cs="宋体"/>
          <w:color w:val="auto"/>
          <w:szCs w:val="21"/>
          <w:highlight w:val="none"/>
        </w:rPr>
        <w:t>26.6根据广州市环境保护局《关于开展建筑施工扬尘排污费征收工作的通知》（穗环〔2015〕114号）及广州开发区建设和环境保护局《关于开展建筑施工扬尘排污费征收工作的通知》（穗开环〔2015〕20号）规定，本工程需向环保部门交纳建筑施工扬尘排污费，该费用由环保部门根据《广州市建筑施工扬尘排放量核算办法》和《排污费征收标准及计算方法》核定。根据环保部门开具的《排放污染物与排污费缴纳金额核定表》，超标及落后产能部分由承包人承担，其余部分由发包人承担。缴纳方式如下：由承包人以发包人名义先行垫付资金向环保部门缴纳，并在10个工作日内凭缴费凭证就除超标及落后产能外的费用向发包人提交报销申请，逾期未提出申请视为放弃相关权利。</w:t>
      </w:r>
    </w:p>
    <w:p>
      <w:pPr>
        <w:snapToGrid w:val="0"/>
        <w:ind w:firstLine="420" w:firstLineChars="200"/>
        <w:rPr>
          <w:rFonts w:hint="eastAsia" w:ascii="宋体" w:hAnsi="宋体" w:cs="宋体"/>
          <w:color w:val="auto"/>
          <w:szCs w:val="21"/>
          <w:highlight w:val="none"/>
        </w:rPr>
      </w:pPr>
    </w:p>
    <w:p>
      <w:pPr>
        <w:snapToGrid w:val="0"/>
        <w:spacing w:line="440" w:lineRule="exact"/>
        <w:ind w:firstLine="397"/>
        <w:rPr>
          <w:rFonts w:ascii="宋体" w:hAnsi="宋体"/>
          <w:b/>
          <w:color w:val="auto"/>
          <w:sz w:val="24"/>
          <w:highlight w:val="none"/>
        </w:rPr>
      </w:pPr>
      <w:r>
        <w:rPr>
          <w:rFonts w:hint="eastAsia" w:ascii="宋体" w:hAnsi="宋体"/>
          <w:b/>
          <w:color w:val="auto"/>
          <w:sz w:val="24"/>
          <w:highlight w:val="none"/>
        </w:rPr>
        <w:t>七、材料设备供应</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27</w:t>
      </w:r>
      <w:r>
        <w:rPr>
          <w:rFonts w:hint="eastAsia" w:ascii="宋体" w:hAnsi="宋体"/>
          <w:b/>
          <w:color w:val="auto"/>
          <w:sz w:val="24"/>
          <w:highlight w:val="none"/>
        </w:rPr>
        <w:t>、发包人供应材料设备</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27.4</w:t>
      </w:r>
      <w:r>
        <w:rPr>
          <w:rFonts w:hint="eastAsia" w:ascii="宋体" w:hAnsi="宋体"/>
          <w:color w:val="auto"/>
          <w:szCs w:val="21"/>
          <w:highlight w:val="none"/>
        </w:rPr>
        <w:t>发包人供应的材料设备与一览表不符时，双方约定发包人承担责任如下：</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材料设备单价与一览表不符：</w:t>
      </w:r>
      <w:r>
        <w:rPr>
          <w:rFonts w:ascii="宋体" w:hAnsi="宋体"/>
          <w:color w:val="auto"/>
          <w:szCs w:val="21"/>
          <w:highlight w:val="none"/>
          <w:u w:val="single"/>
        </w:rPr>
        <mc:AlternateContent>
          <mc:Choice Requires="wps">
            <w:drawing>
              <wp:anchor distT="0" distB="0" distL="114300" distR="114300" simplePos="0" relativeHeight="251663360" behindDoc="0" locked="0" layoutInCell="0" allowOverlap="1">
                <wp:simplePos x="0" y="0"/>
                <wp:positionH relativeFrom="column">
                  <wp:posOffset>3556000</wp:posOffset>
                </wp:positionH>
                <wp:positionV relativeFrom="paragraph">
                  <wp:posOffset>0</wp:posOffset>
                </wp:positionV>
                <wp:extent cx="635" cy="0"/>
                <wp:effectExtent l="0" t="0" r="0" b="0"/>
                <wp:wrapNone/>
                <wp:docPr id="5" name="直线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280pt;margin-top:0pt;height:0pt;width:0.05pt;z-index:251663360;mso-width-relative:page;mso-height-relative:page;" filled="f" stroked="t" coordsize="21600,21600" o:allowincell="f" o:gfxdata="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85eQQ0wAAAAUBAAAP&#10;AAAAAAAAAAEAIAAAACIAAABkcnMvZG93bnJldi54bWxQSwECFAAUAAAACACHTuJArZO3yuQBAADX&#10;AwAADgAAAAAAAAABACAAAAAiAQAAZHJzL2Uyb0RvYy54bWxQSwUGAAAAAAYABgBZAQAAeAUAAAAA&#10;">
                <v:fill on="f" focussize="0,0"/>
                <v:stroke color="#000000" joinstyle="round"/>
                <v:imagedata o:title=""/>
                <o:lock v:ext="edit" aspectratio="f"/>
              </v:line>
            </w:pict>
          </mc:Fallback>
        </mc:AlternateContent>
      </w:r>
      <w:r>
        <w:rPr>
          <w:rFonts w:ascii="宋体" w:hAnsi="宋体"/>
          <w:color w:val="auto"/>
          <w:szCs w:val="21"/>
          <w:highlight w:val="none"/>
          <w:u w:val="single"/>
        </w:rPr>
        <w:t xml:space="preserve">    /     </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材料设备的品种、规格、型号、质量等级与一览表不符：</w:t>
      </w:r>
      <w:r>
        <w:rPr>
          <w:rFonts w:ascii="宋体" w:hAnsi="宋体"/>
          <w:color w:val="auto"/>
          <w:szCs w:val="21"/>
          <w:highlight w:val="none"/>
          <w:u w:val="single"/>
        </w:rPr>
        <w:t xml:space="preserve">  /  </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承包人可代为调剂串换的材料：</w:t>
      </w:r>
      <w:r>
        <w:rPr>
          <w:rFonts w:ascii="宋体" w:hAnsi="宋体"/>
          <w:color w:val="auto"/>
          <w:szCs w:val="21"/>
          <w:highlight w:val="none"/>
          <w:u w:val="single"/>
        </w:rPr>
        <w:t xml:space="preserve">    /   </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到货地点与一览表不符：</w:t>
      </w:r>
      <w:r>
        <w:rPr>
          <w:rFonts w:ascii="宋体" w:hAnsi="宋体"/>
          <w:color w:val="auto"/>
          <w:szCs w:val="21"/>
          <w:highlight w:val="none"/>
          <w:u w:val="single"/>
        </w:rPr>
        <w:t xml:space="preserve">   /   </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供应数量与一览表不符：</w:t>
      </w:r>
      <w:r>
        <w:rPr>
          <w:rFonts w:ascii="宋体" w:hAnsi="宋体"/>
          <w:color w:val="auto"/>
          <w:szCs w:val="21"/>
          <w:highlight w:val="none"/>
          <w:u w:val="single"/>
        </w:rPr>
        <w:t xml:space="preserve">   /   </w:t>
      </w:r>
      <w:r>
        <w:rPr>
          <w:rFonts w:hint="eastAsia" w:ascii="宋体" w:hAnsi="宋体"/>
          <w:color w:val="auto"/>
          <w:szCs w:val="21"/>
          <w:highlight w:val="none"/>
        </w:rPr>
        <w:t>。</w:t>
      </w:r>
    </w:p>
    <w:p>
      <w:pPr>
        <w:tabs>
          <w:tab w:val="left" w:pos="700"/>
        </w:tabs>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）到货时间与一览表不符；</w:t>
      </w:r>
      <w:r>
        <w:rPr>
          <w:rFonts w:ascii="宋体" w:hAnsi="宋体"/>
          <w:color w:val="auto"/>
          <w:szCs w:val="21"/>
          <w:highlight w:val="none"/>
          <w:u w:val="single"/>
        </w:rPr>
        <w:t xml:space="preserve">   /   </w:t>
      </w:r>
      <w:r>
        <w:rPr>
          <w:rFonts w:hint="eastAsia" w:ascii="宋体" w:hAnsi="宋体"/>
          <w:color w:val="auto"/>
          <w:szCs w:val="21"/>
          <w:highlight w:val="none"/>
        </w:rPr>
        <w:t>。</w:t>
      </w:r>
    </w:p>
    <w:p>
      <w:pPr>
        <w:tabs>
          <w:tab w:val="left" w:pos="700"/>
        </w:tabs>
        <w:snapToGrid w:val="0"/>
        <w:spacing w:line="440" w:lineRule="exact"/>
        <w:ind w:firstLine="397"/>
        <w:rPr>
          <w:rFonts w:ascii="宋体" w:hAnsi="宋体"/>
          <w:color w:val="auto"/>
          <w:szCs w:val="21"/>
          <w:highlight w:val="none"/>
        </w:rPr>
      </w:pPr>
      <w:r>
        <w:rPr>
          <w:rFonts w:ascii="宋体" w:hAnsi="宋体"/>
          <w:color w:val="auto"/>
          <w:szCs w:val="21"/>
          <w:highlight w:val="none"/>
        </w:rPr>
        <w:t>27.6</w:t>
      </w:r>
      <w:r>
        <w:rPr>
          <w:rFonts w:hint="eastAsia" w:ascii="宋体" w:hAnsi="宋体"/>
          <w:color w:val="auto"/>
          <w:szCs w:val="21"/>
          <w:highlight w:val="none"/>
        </w:rPr>
        <w:t>发包人供应材料设备的结算方法：</w:t>
      </w:r>
      <w:r>
        <w:rPr>
          <w:rFonts w:ascii="宋体" w:hAnsi="宋体"/>
          <w:color w:val="auto"/>
          <w:szCs w:val="21"/>
          <w:highlight w:val="none"/>
          <w:u w:val="single"/>
        </w:rPr>
        <w:t xml:space="preserve">    /    </w:t>
      </w:r>
      <w:r>
        <w:rPr>
          <w:rFonts w:hint="eastAsia" w:ascii="宋体" w:hAnsi="宋体"/>
          <w:color w:val="auto"/>
          <w:szCs w:val="21"/>
          <w:highlight w:val="none"/>
        </w:rPr>
        <w:t>。</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28</w:t>
      </w:r>
      <w:r>
        <w:rPr>
          <w:rFonts w:hint="eastAsia" w:ascii="宋体" w:hAnsi="宋体"/>
          <w:b/>
          <w:color w:val="auto"/>
          <w:sz w:val="24"/>
          <w:highlight w:val="none"/>
        </w:rPr>
        <w:t>、承包人采购材料设备</w:t>
      </w:r>
    </w:p>
    <w:p>
      <w:pPr>
        <w:spacing w:line="500" w:lineRule="exact"/>
        <w:rPr>
          <w:rFonts w:hint="eastAsia" w:ascii="宋体" w:hAnsi="宋体"/>
          <w:color w:val="auto"/>
          <w:szCs w:val="21"/>
          <w:highlight w:val="none"/>
          <w:u w:val="single"/>
        </w:rPr>
      </w:pPr>
      <w:r>
        <w:rPr>
          <w:rFonts w:ascii="宋体" w:hAnsi="宋体"/>
          <w:color w:val="auto"/>
          <w:szCs w:val="21"/>
          <w:highlight w:val="none"/>
        </w:rPr>
        <w:t>28.1</w:t>
      </w:r>
      <w:r>
        <w:rPr>
          <w:rFonts w:hint="eastAsia" w:ascii="宋体" w:hAnsi="宋体"/>
          <w:color w:val="auto"/>
          <w:szCs w:val="21"/>
          <w:highlight w:val="none"/>
        </w:rPr>
        <w:t>承包人采购材料设备的约定：</w:t>
      </w:r>
      <w:r>
        <w:rPr>
          <w:rFonts w:hint="eastAsia" w:ascii="宋体" w:hAnsi="宋体"/>
          <w:color w:val="auto"/>
          <w:szCs w:val="21"/>
          <w:highlight w:val="none"/>
          <w:u w:val="single"/>
        </w:rPr>
        <w:t>由承包人负责采购材料设备的，按招标文件规定和本合同专用条款第47.28条约定、工程设计的有关标准并以符合相关行政主管部门颁发的环保标准或要求进行采购，对材料设备质量负责。承包人应将各项材料设备的供货人及品种、规格、数量和供货时间等报送监理人审批，并向监理人提交其负责提供材料设备的合格证明和质量证明文件，满足合同约定的质量标准，承包人在材料设备到货前24小时通知工程师清点。</w:t>
      </w:r>
    </w:p>
    <w:p>
      <w:pPr>
        <w:spacing w:line="500" w:lineRule="exact"/>
        <w:rPr>
          <w:rFonts w:hint="eastAsia" w:ascii="宋体" w:hAnsi="宋体"/>
          <w:color w:val="auto"/>
          <w:szCs w:val="21"/>
          <w:highlight w:val="none"/>
          <w:u w:val="single"/>
        </w:rPr>
      </w:pPr>
      <w:r>
        <w:rPr>
          <w:rFonts w:hint="eastAsia" w:ascii="宋体" w:hAnsi="宋体"/>
          <w:color w:val="auto"/>
          <w:szCs w:val="21"/>
          <w:highlight w:val="none"/>
          <w:u w:val="single"/>
        </w:rPr>
        <w:t>28.2对承包人提供的材料和设备，承包人应会同监理人、发包人进行检验和交货验收，查验材料合格证明和产品合格证书，并按合同约定和监理人或发包人的指示，进行材料的抽样检验和工程设备的检验检测，检验检测结果提交监理人。不合格的不得使用，检验或试验费用由承包人承担。</w:t>
      </w:r>
    </w:p>
    <w:p>
      <w:pPr>
        <w:spacing w:line="500" w:lineRule="exact"/>
        <w:rPr>
          <w:rFonts w:hint="eastAsia" w:ascii="宋体" w:hAnsi="宋体"/>
          <w:color w:val="auto"/>
          <w:szCs w:val="21"/>
          <w:highlight w:val="none"/>
          <w:u w:val="single"/>
        </w:rPr>
      </w:pPr>
      <w:r>
        <w:rPr>
          <w:rFonts w:hint="eastAsia" w:ascii="宋体" w:hAnsi="宋体"/>
          <w:color w:val="auto"/>
          <w:szCs w:val="21"/>
          <w:highlight w:val="none"/>
          <w:u w:val="single"/>
        </w:rPr>
        <w:t>28.3所有材料、设备报价必须报监理、业主同意后方可使用。</w:t>
      </w:r>
    </w:p>
    <w:p>
      <w:pPr>
        <w:snapToGrid w:val="0"/>
        <w:spacing w:line="440" w:lineRule="exact"/>
        <w:ind w:firstLine="397"/>
        <w:rPr>
          <w:rFonts w:ascii="宋体" w:hAnsi="宋体"/>
          <w:b/>
          <w:color w:val="auto"/>
          <w:sz w:val="24"/>
          <w:highlight w:val="none"/>
        </w:rPr>
      </w:pPr>
      <w:r>
        <w:rPr>
          <w:rFonts w:hint="eastAsia" w:ascii="宋体" w:hAnsi="宋体"/>
          <w:b/>
          <w:color w:val="auto"/>
          <w:sz w:val="24"/>
          <w:highlight w:val="none"/>
        </w:rPr>
        <w:t>八、工程变更</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29、工程设计变更</w:t>
      </w:r>
    </w:p>
    <w:p>
      <w:pPr>
        <w:snapToGrid w:val="0"/>
        <w:spacing w:line="440" w:lineRule="exact"/>
        <w:ind w:firstLine="397"/>
        <w:rPr>
          <w:rFonts w:hint="eastAsia" w:ascii="宋体" w:hAnsi="宋体"/>
          <w:color w:val="auto"/>
          <w:szCs w:val="21"/>
          <w:highlight w:val="none"/>
          <w:u w:val="single"/>
        </w:rPr>
      </w:pPr>
      <w:r>
        <w:rPr>
          <w:rFonts w:ascii="宋体" w:hAnsi="宋体"/>
          <w:color w:val="auto"/>
          <w:szCs w:val="21"/>
          <w:highlight w:val="none"/>
        </w:rPr>
        <w:t>29.4</w:t>
      </w:r>
      <w:r>
        <w:rPr>
          <w:rFonts w:hint="eastAsia" w:ascii="宋体" w:hAnsi="宋体"/>
          <w:color w:val="auto"/>
          <w:szCs w:val="21"/>
          <w:highlight w:val="none"/>
          <w:u w:val="single"/>
        </w:rPr>
        <w:t>开工前，发包人组织承包人、监理单位、设计单位对施工图纸进行会审。如需实施工程变更签证，承包人需在实施相应变更签证2个月前向发包人提出（确属不可预见因素除外）。否则工程实施过程中每实施一项变更签证，承包人须按该变更签证工程价款的3%向发包人支付违约金，引起的工期延误不予顺延</w:t>
      </w:r>
      <w:r>
        <w:rPr>
          <w:rFonts w:hint="eastAsia" w:ascii="宋体" w:hAnsi="宋体"/>
          <w:color w:val="auto"/>
          <w:szCs w:val="21"/>
          <w:highlight w:val="none"/>
        </w:rPr>
        <w:t>。</w:t>
      </w:r>
      <w:r>
        <w:rPr>
          <w:rFonts w:hint="eastAsia" w:ascii="宋体" w:hAnsi="宋体"/>
          <w:i/>
          <w:color w:val="auto"/>
          <w:szCs w:val="21"/>
          <w:highlight w:val="none"/>
        </w:rPr>
        <w:t>（注：涂色部分为3000万以上项目适用，3000万以下项目请删除）</w:t>
      </w:r>
    </w:p>
    <w:p>
      <w:pPr>
        <w:snapToGrid w:val="0"/>
        <w:spacing w:line="440" w:lineRule="exact"/>
        <w:ind w:firstLine="397"/>
        <w:rPr>
          <w:rFonts w:hint="eastAsia" w:ascii="宋体" w:hAnsi="宋体"/>
          <w:color w:val="auto"/>
          <w:szCs w:val="21"/>
          <w:highlight w:val="none"/>
          <w:u w:val="single"/>
        </w:rPr>
      </w:pPr>
      <w:r>
        <w:rPr>
          <w:rFonts w:hint="eastAsia" w:ascii="宋体" w:hAnsi="宋体"/>
          <w:color w:val="auto"/>
          <w:szCs w:val="21"/>
          <w:highlight w:val="none"/>
          <w:u w:val="single"/>
        </w:rPr>
        <w:t>同时，如实施工程变更，承包人应以书面形式通知发包人和监理工程师，经监理工程师审查并报发包人同意后，由发包人与设计单位商定修改或变更设计方案进行实施</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rPr>
        <w:t>29.5</w:t>
      </w:r>
      <w:r>
        <w:rPr>
          <w:rFonts w:hint="eastAsia" w:ascii="宋体" w:hAnsi="宋体"/>
          <w:color w:val="auto"/>
          <w:szCs w:val="21"/>
          <w:highlight w:val="none"/>
          <w:u w:val="single"/>
        </w:rPr>
        <w:t>变更应由监理工程师发出变更指令，没有监理工程师的指令，承包人不得进行上述变更</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29.6</w:t>
      </w:r>
      <w:r>
        <w:rPr>
          <w:rFonts w:hint="eastAsia" w:ascii="宋体" w:hAnsi="宋体"/>
          <w:color w:val="auto"/>
          <w:szCs w:val="21"/>
          <w:highlight w:val="none"/>
          <w:u w:val="single"/>
        </w:rPr>
        <w:t>按施工图纸实施使得工程量少于施工合同工程量清单中已确定或有规定的数量的，则该项工程量减少不需要任何指令</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29.7</w:t>
      </w:r>
      <w:r>
        <w:rPr>
          <w:rFonts w:hint="eastAsia" w:ascii="宋体" w:hAnsi="宋体"/>
          <w:color w:val="auto"/>
          <w:szCs w:val="21"/>
          <w:highlight w:val="none"/>
          <w:u w:val="single"/>
        </w:rPr>
        <w:t>所有涉及工期和工程量的变更均应获得发包人书面批准才能生效</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29.8</w:t>
      </w:r>
      <w:r>
        <w:rPr>
          <w:rFonts w:hint="eastAsia" w:ascii="宋体" w:hAnsi="宋体"/>
          <w:color w:val="auto"/>
          <w:szCs w:val="21"/>
          <w:highlight w:val="none"/>
          <w:u w:val="single"/>
        </w:rPr>
        <w:t>当发包人提出变更通知，承包人认为产生了增加费用，承包人应在发包人提出通知要求后</w:t>
      </w:r>
      <w:r>
        <w:rPr>
          <w:rFonts w:ascii="宋体" w:hAnsi="宋体"/>
          <w:color w:val="auto"/>
          <w:szCs w:val="21"/>
          <w:highlight w:val="none"/>
          <w:u w:val="single"/>
        </w:rPr>
        <w:t>3-7天（时间视变更大小而定）内向发包人提交增加费用报告，报告内应说明变更原因、增加费用金额、增加费用计算书，若承包人不在规定的时间内提供增加费用报告，该类变更所涉及的增加费用视为包括在合同价款中。发包人提出变更通知的时间是指承包人收取变更通知时进行登记交接的时间</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29.9</w:t>
      </w:r>
      <w:r>
        <w:rPr>
          <w:rFonts w:hint="eastAsia" w:ascii="宋体" w:hAnsi="宋体"/>
          <w:color w:val="auto"/>
          <w:szCs w:val="21"/>
          <w:highlight w:val="none"/>
          <w:u w:val="single"/>
        </w:rPr>
        <w:t>工程变更申报程序按广州开发区、黄埔区以及建设业主的有关规定执行</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29.10</w:t>
      </w:r>
      <w:r>
        <w:rPr>
          <w:rFonts w:ascii="宋体" w:hAnsi="宋体"/>
          <w:color w:val="auto"/>
          <w:szCs w:val="21"/>
          <w:highlight w:val="none"/>
          <w:u w:val="single"/>
        </w:rPr>
        <w:t>工程实施过程中发包人有权对承包内容和范围进行调整，如实际工程量相对施工图纸及施工合同工程量发生变化，承包人不得有任何异议，且承包人不得以任何理由要求发包人补偿任何费用（承包人要充分考虑最不利因素影响）。涉及本合同约定的合同价款调整的，按相关约定处理</w:t>
      </w:r>
      <w:r>
        <w:rPr>
          <w:rFonts w:hint="eastAsia" w:ascii="宋体" w:hAnsi="宋体"/>
          <w:color w:val="auto"/>
          <w:szCs w:val="21"/>
          <w:highlight w:val="none"/>
        </w:rPr>
        <w:t>。</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30、其它变更</w:t>
      </w:r>
    </w:p>
    <w:p>
      <w:pPr>
        <w:snapToGrid w:val="0"/>
        <w:spacing w:line="440" w:lineRule="exact"/>
        <w:ind w:firstLine="397"/>
        <w:rPr>
          <w:rFonts w:hint="eastAsia" w:ascii="宋体" w:hAnsi="宋体"/>
          <w:color w:val="auto"/>
          <w:szCs w:val="21"/>
          <w:highlight w:val="none"/>
        </w:rPr>
      </w:pPr>
      <w:r>
        <w:rPr>
          <w:rFonts w:ascii="宋体" w:hAnsi="宋体"/>
          <w:color w:val="auto"/>
          <w:szCs w:val="21"/>
          <w:highlight w:val="none"/>
        </w:rPr>
        <w:t>30.1工程现场签证：</w:t>
      </w:r>
      <w:r>
        <w:rPr>
          <w:rFonts w:hint="eastAsia" w:ascii="宋体" w:hAnsi="宋体"/>
          <w:color w:val="auto"/>
          <w:szCs w:val="21"/>
          <w:highlight w:val="none"/>
          <w:u w:val="single"/>
        </w:rPr>
        <w:t>工程现场签证是指施工生产活动中用以证实在施工中遇到的某些特殊情况的一种书面证明资料，一般指按承发包合同约定，由承发包双方代表就施工过程中涉及合同价款之外的责任事件所作的签认证明</w:t>
      </w:r>
      <w:r>
        <w:rPr>
          <w:rFonts w:hint="eastAsia" w:ascii="宋体" w:hAnsi="宋体"/>
          <w:color w:val="auto"/>
          <w:szCs w:val="21"/>
          <w:highlight w:val="none"/>
        </w:rPr>
        <w:t>。</w:t>
      </w:r>
    </w:p>
    <w:p>
      <w:pPr>
        <w:snapToGrid w:val="0"/>
        <w:spacing w:line="440" w:lineRule="exact"/>
        <w:ind w:firstLine="397"/>
        <w:rPr>
          <w:rFonts w:hint="eastAsia" w:ascii="宋体" w:hAnsi="宋体"/>
          <w:color w:val="auto"/>
          <w:szCs w:val="21"/>
          <w:highlight w:val="none"/>
        </w:rPr>
      </w:pPr>
      <w:r>
        <w:rPr>
          <w:rFonts w:hint="eastAsia" w:ascii="宋体" w:hAnsi="宋体"/>
          <w:color w:val="auto"/>
          <w:szCs w:val="21"/>
          <w:highlight w:val="none"/>
          <w:u w:val="single"/>
        </w:rPr>
        <w:t>承包人需对施工图纸进行会审，如需对施工图纸工程量清单错漏申报进行确认，承包人需在前四分之一工期阶段内且最长不得超过中标通知书发出之日起6个月内向发包人提出，并按《广州开发区财政投资建设项目管理中心工程量清单错漏申报管理办法（2021年）》（穗开建管[2021]78号）办理申报手续，同时需配合发包人的复核工作，双方对复核结果盖章签名后方可作为最终结算依据；如因特殊原因，承包人无法在规定时间内申报的，经发包人同意后方可申报。承包人未按上述规定进行申报的，发包人对应申报而未办理申报手续的漏量漏项不予确认。</w:t>
      </w: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30.2签证的计价：</w:t>
      </w:r>
      <w:r>
        <w:rPr>
          <w:rFonts w:hint="eastAsia" w:ascii="宋体" w:hAnsi="宋体"/>
          <w:color w:val="auto"/>
          <w:szCs w:val="21"/>
          <w:highlight w:val="none"/>
          <w:u w:val="single"/>
        </w:rPr>
        <w:t>按招标文件及合同中关于工程变更的计价有关规定执行</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30.3签证实施前所需的施工方案：</w:t>
      </w:r>
      <w:r>
        <w:rPr>
          <w:rFonts w:hint="eastAsia" w:ascii="宋体" w:hAnsi="宋体"/>
          <w:color w:val="auto"/>
          <w:szCs w:val="21"/>
          <w:highlight w:val="none"/>
          <w:u w:val="single"/>
        </w:rPr>
        <w:t>若签证事件发生时，需使用没有被监理工程师批准过的施工方案，则必须将该施工方案提前报监理工程师和发包人批准，经批准后才能实施，否则发包人将按最经济的施工方案对该签证进行计价</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30.4</w:t>
      </w:r>
      <w:r>
        <w:rPr>
          <w:rFonts w:hint="eastAsia" w:ascii="宋体" w:hAnsi="宋体"/>
          <w:color w:val="auto"/>
          <w:szCs w:val="21"/>
          <w:highlight w:val="none"/>
          <w:u w:val="single"/>
        </w:rPr>
        <w:t>工程现场签证申报程序按广州开发区、黄埔区以及建设业主的有关规定执行</w:t>
      </w:r>
      <w:r>
        <w:rPr>
          <w:rFonts w:hint="eastAsia" w:ascii="宋体" w:hAnsi="宋体"/>
          <w:color w:val="auto"/>
          <w:szCs w:val="21"/>
          <w:highlight w:val="none"/>
        </w:rPr>
        <w:t>。</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31、确定变更价款</w:t>
      </w: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31.1</w:t>
      </w:r>
      <w:r>
        <w:rPr>
          <w:rFonts w:ascii="宋体" w:hAnsi="宋体"/>
          <w:color w:val="auto"/>
          <w:szCs w:val="21"/>
          <w:highlight w:val="none"/>
          <w:u w:val="single"/>
        </w:rPr>
        <w:t>承包人在工程变更确定后14天内，提出变更工程价款的报告，经工程师确认后调整合同价款。</w:t>
      </w:r>
      <w:r>
        <w:rPr>
          <w:rFonts w:hint="eastAsia" w:ascii="宋体" w:hAnsi="宋体"/>
          <w:color w:val="auto"/>
          <w:szCs w:val="21"/>
          <w:highlight w:val="none"/>
          <w:u w:val="single"/>
        </w:rPr>
        <w:t>变更合同价款确定原则按本合同相关约定执行</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31.3</w:t>
      </w:r>
      <w:r>
        <w:rPr>
          <w:rFonts w:ascii="宋体" w:hAnsi="宋体"/>
          <w:color w:val="auto"/>
          <w:szCs w:val="21"/>
          <w:highlight w:val="none"/>
          <w:u w:val="single"/>
        </w:rPr>
        <w:t>所有变更工程价款的报告必须按规定程序报发包人审核确认</w:t>
      </w:r>
      <w:r>
        <w:rPr>
          <w:rFonts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31.5</w:t>
      </w:r>
      <w:r>
        <w:rPr>
          <w:rFonts w:ascii="宋体" w:hAnsi="宋体"/>
          <w:color w:val="auto"/>
          <w:szCs w:val="21"/>
          <w:highlight w:val="none"/>
          <w:u w:val="single"/>
        </w:rPr>
        <w:t>工程变更价款的支付按本合同相关约定支付</w:t>
      </w:r>
      <w:r>
        <w:rPr>
          <w:rFonts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31.7</w:t>
      </w:r>
      <w:r>
        <w:rPr>
          <w:rFonts w:hint="eastAsia" w:ascii="宋体" w:hAnsi="宋体"/>
          <w:color w:val="auto"/>
          <w:szCs w:val="21"/>
          <w:highlight w:val="none"/>
          <w:u w:val="single"/>
        </w:rPr>
        <w:t>发生上述规定的变更后，承包人在收到发包人变更通知的</w:t>
      </w:r>
      <w:r>
        <w:rPr>
          <w:rFonts w:ascii="宋体" w:hAnsi="宋体"/>
          <w:color w:val="auto"/>
          <w:szCs w:val="21"/>
          <w:highlight w:val="none"/>
          <w:u w:val="single"/>
        </w:rPr>
        <w:t>7天内按合同文件规定的计价方式内容编出变更工程建议送交监理单位</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31.8</w:t>
      </w:r>
      <w:r>
        <w:rPr>
          <w:rFonts w:hint="eastAsia" w:ascii="宋体" w:hAnsi="宋体"/>
          <w:color w:val="auto"/>
          <w:szCs w:val="21"/>
          <w:highlight w:val="none"/>
          <w:u w:val="single"/>
        </w:rPr>
        <w:t>在工程变更价款计算时，承包人应按招标文件相关规定编制变更工程的预算，提供变更依据及详细的计算资料，报监理单位和发包人批准</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31.9</w:t>
      </w:r>
      <w:r>
        <w:rPr>
          <w:rFonts w:hint="eastAsia" w:ascii="宋体" w:hAnsi="宋体"/>
          <w:color w:val="auto"/>
          <w:szCs w:val="21"/>
          <w:highlight w:val="none"/>
          <w:u w:val="single"/>
        </w:rPr>
        <w:t>工程变更、签证申报程序按广州开发区、黄埔区以及建设业主的有关规定执行</w:t>
      </w:r>
      <w:r>
        <w:rPr>
          <w:rFonts w:hint="eastAsia" w:ascii="宋体" w:hAnsi="宋体"/>
          <w:color w:val="auto"/>
          <w:szCs w:val="21"/>
          <w:highlight w:val="none"/>
        </w:rPr>
        <w:t>。</w:t>
      </w:r>
    </w:p>
    <w:p>
      <w:pPr>
        <w:snapToGrid w:val="0"/>
        <w:spacing w:line="440" w:lineRule="exact"/>
        <w:ind w:firstLine="397"/>
        <w:rPr>
          <w:rFonts w:ascii="宋体" w:hAnsi="宋体"/>
          <w:b/>
          <w:color w:val="auto"/>
          <w:sz w:val="24"/>
          <w:highlight w:val="none"/>
        </w:rPr>
      </w:pPr>
      <w:r>
        <w:rPr>
          <w:rFonts w:hint="eastAsia" w:ascii="宋体" w:hAnsi="宋体"/>
          <w:b/>
          <w:color w:val="auto"/>
          <w:sz w:val="24"/>
          <w:highlight w:val="none"/>
        </w:rPr>
        <w:t>九、竣工验收与结算</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32</w:t>
      </w:r>
      <w:r>
        <w:rPr>
          <w:rFonts w:hint="eastAsia" w:ascii="宋体" w:hAnsi="宋体"/>
          <w:b/>
          <w:color w:val="auto"/>
          <w:sz w:val="24"/>
          <w:highlight w:val="none"/>
        </w:rPr>
        <w:t>、竣工验收</w:t>
      </w: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32.1</w:t>
      </w:r>
      <w:r>
        <w:rPr>
          <w:rFonts w:hint="eastAsia" w:ascii="宋体" w:hAnsi="宋体"/>
          <w:color w:val="auto"/>
          <w:szCs w:val="21"/>
          <w:highlight w:val="none"/>
        </w:rPr>
        <w:t>承包人提供竣工图纸的约定：</w:t>
      </w:r>
      <w:r>
        <w:rPr>
          <w:rFonts w:hint="eastAsia" w:ascii="宋体" w:hAnsi="宋体"/>
          <w:color w:val="auto"/>
          <w:szCs w:val="21"/>
          <w:highlight w:val="none"/>
          <w:u w:val="single"/>
        </w:rPr>
        <w:t>承包人工程竣工资料必须按照国家及广州市、开发区有关工程竣工资料档案管理的要求进行整理归档。承包人在工程竣工验收合格后四十五个日历天内，向建设单位提供符合要求按规格编制成册的工程竣工图及有关的技术档案资料一式伍份</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32.6</w:t>
      </w:r>
      <w:r>
        <w:rPr>
          <w:rFonts w:hint="eastAsia" w:ascii="宋体" w:hAnsi="宋体"/>
          <w:color w:val="auto"/>
          <w:szCs w:val="21"/>
          <w:highlight w:val="none"/>
        </w:rPr>
        <w:t>中间交工工程的范围和竣工时间：</w:t>
      </w:r>
      <w:r>
        <w:rPr>
          <w:rFonts w:ascii="宋体" w:hAnsi="宋体"/>
          <w:color w:val="auto"/>
          <w:szCs w:val="21"/>
          <w:highlight w:val="none"/>
          <w:u w:val="single"/>
        </w:rPr>
        <w:t xml:space="preserve">   /   </w:t>
      </w:r>
      <w:r>
        <w:rPr>
          <w:rFonts w:hint="eastAsia" w:ascii="宋体" w:hAnsi="宋体"/>
          <w:color w:val="auto"/>
          <w:szCs w:val="21"/>
          <w:highlight w:val="none"/>
        </w:rPr>
        <w:t>。</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33、竣工结算</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承发包双方一致同意不适用</w:t>
      </w:r>
      <w:r>
        <w:rPr>
          <w:rFonts w:hint="eastAsia" w:ascii="宋体" w:hAnsi="宋体"/>
          <w:color w:val="auto"/>
          <w:szCs w:val="21"/>
          <w:highlight w:val="none"/>
          <w:u w:val="single"/>
        </w:rPr>
        <w:t>通用条款</w:t>
      </w:r>
      <w:r>
        <w:rPr>
          <w:rFonts w:ascii="宋体" w:hAnsi="宋体"/>
          <w:color w:val="auto"/>
          <w:szCs w:val="21"/>
          <w:highlight w:val="none"/>
          <w:u w:val="single"/>
        </w:rPr>
        <w:t>33.2款、33.3款、33.4款</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竣工结算办法：</w:t>
      </w:r>
      <w:r>
        <w:rPr>
          <w:rFonts w:hint="eastAsia" w:ascii="宋体" w:hAnsi="宋体"/>
          <w:color w:val="auto"/>
          <w:szCs w:val="21"/>
          <w:highlight w:val="none"/>
          <w:u w:val="single"/>
        </w:rPr>
        <w:t>所有工程量（含暂定工程量的结算）的结算均以广州开发区财政局审定的金额为准。工程竣工后，承包人编制本工程的结算书送监理单位审核，经监理单位审核后送发包人复审，按规定送广州开发区财政局审核，并以区财政局审定本工程的结算为准</w:t>
      </w:r>
      <w:r>
        <w:rPr>
          <w:rFonts w:hint="eastAsia" w:ascii="宋体" w:hAnsi="宋体"/>
          <w:color w:val="auto"/>
          <w:szCs w:val="21"/>
          <w:highlight w:val="none"/>
        </w:rPr>
        <w:t>。</w:t>
      </w:r>
    </w:p>
    <w:p>
      <w:pPr>
        <w:snapToGrid w:val="0"/>
        <w:spacing w:line="440" w:lineRule="exact"/>
        <w:ind w:firstLine="397"/>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竣工结算提交时间：</w:t>
      </w:r>
      <w:r>
        <w:rPr>
          <w:rFonts w:hint="eastAsia" w:ascii="宋体" w:hAnsi="宋体"/>
          <w:color w:val="auto"/>
          <w:szCs w:val="21"/>
          <w:highlight w:val="none"/>
          <w:u w:val="single"/>
        </w:rPr>
        <w:t>承包人须按《广州开发区财政投资建设项目管理中心施工类合同结算编审指引（试行）》及区有关规定编制及办理建设项目工程结算</w:t>
      </w:r>
      <w:r>
        <w:rPr>
          <w:rFonts w:hint="eastAsia" w:ascii="宋体" w:hAnsi="宋体"/>
          <w:color w:val="auto"/>
          <w:szCs w:val="21"/>
          <w:highlight w:val="none"/>
        </w:rPr>
        <w:t>。</w:t>
      </w:r>
    </w:p>
    <w:p>
      <w:pPr>
        <w:rPr>
          <w:rFonts w:hint="eastAsia" w:ascii="宋体" w:hAnsi="宋体" w:eastAsia="楷体_GB2312"/>
          <w:color w:val="auto"/>
          <w:szCs w:val="21"/>
          <w:highlight w:val="none"/>
        </w:rPr>
      </w:pPr>
      <w:r>
        <w:rPr>
          <w:rFonts w:hint="eastAsia" w:ascii="Times New Roman" w:hAnsi="Times New Roman" w:eastAsia="楷体_GB2312"/>
          <w:b/>
          <w:bCs/>
          <w:color w:val="auto"/>
          <w:szCs w:val="20"/>
          <w:highlight w:val="none"/>
        </w:rPr>
        <w:t xml:space="preserve">    </w:t>
      </w:r>
      <w:r>
        <w:rPr>
          <w:rFonts w:hint="eastAsia" w:ascii="宋体" w:hAnsi="宋体" w:eastAsia="楷体_GB2312"/>
          <w:color w:val="auto"/>
          <w:szCs w:val="21"/>
          <w:highlight w:val="none"/>
          <w:u w:val="single"/>
        </w:rPr>
        <w:t>承包人未按前款规定的期限和内容编制及办理建设项目工程结算（非承包人原因无法办理工程结算的情况除外），经发包人或代建单位或监理人书面通知之日起2个月内（最长期限不得超过6个月）仍未提交编制及办理建设项目工程结算的相关文件的，监理人和发包人有权根据发包人已有资料进行审核，并报区财政局审定，区财政局审定的竣工结算合同总价视同是经承包人认可的工程竣工结算合同总价。</w:t>
      </w:r>
    </w:p>
    <w:p>
      <w:pPr>
        <w:snapToGrid w:val="0"/>
        <w:spacing w:line="440" w:lineRule="exact"/>
        <w:ind w:firstLine="397"/>
        <w:rPr>
          <w:rFonts w:ascii="宋体" w:hAnsi="宋体"/>
          <w:b/>
          <w:color w:val="auto"/>
          <w:sz w:val="24"/>
          <w:highlight w:val="none"/>
        </w:rPr>
      </w:pPr>
      <w:r>
        <w:rPr>
          <w:rFonts w:hint="eastAsia" w:ascii="宋体" w:hAnsi="宋体"/>
          <w:b/>
          <w:color w:val="auto"/>
          <w:sz w:val="24"/>
          <w:highlight w:val="none"/>
        </w:rPr>
        <w:t>十、违约、索赔和争议</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35</w:t>
      </w:r>
      <w:r>
        <w:rPr>
          <w:rFonts w:hint="eastAsia" w:ascii="宋体" w:hAnsi="宋体"/>
          <w:b/>
          <w:color w:val="auto"/>
          <w:sz w:val="24"/>
          <w:highlight w:val="none"/>
        </w:rPr>
        <w:t>、违约</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35.1</w:t>
      </w:r>
      <w:r>
        <w:rPr>
          <w:rFonts w:hint="eastAsia" w:ascii="宋体" w:hAnsi="宋体"/>
          <w:color w:val="auto"/>
          <w:szCs w:val="21"/>
          <w:highlight w:val="none"/>
        </w:rPr>
        <w:t>本合同中关于发包人违约的具体责任如下：</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rPr>
        <w:t>本合同通用条款第</w:t>
      </w:r>
      <w:r>
        <w:rPr>
          <w:rFonts w:ascii="宋体" w:hAnsi="宋体"/>
          <w:color w:val="auto"/>
          <w:szCs w:val="21"/>
          <w:highlight w:val="none"/>
        </w:rPr>
        <w:t>35.1条约定发包人违约应承担的责任：</w:t>
      </w:r>
      <w:r>
        <w:rPr>
          <w:rFonts w:hint="eastAsia" w:ascii="宋体" w:hAnsi="宋体"/>
          <w:color w:val="auto"/>
          <w:szCs w:val="21"/>
          <w:highlight w:val="none"/>
          <w:u w:val="single"/>
        </w:rPr>
        <w:t>顺延工期，但不作费用赔偿</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rPr>
        <w:t>双方约定的发包人其他违约责任：</w:t>
      </w:r>
      <w:r>
        <w:rPr>
          <w:rFonts w:ascii="宋体" w:hAnsi="宋体"/>
          <w:color w:val="auto"/>
          <w:szCs w:val="21"/>
          <w:highlight w:val="none"/>
          <w:u w:val="single"/>
        </w:rPr>
        <w:t xml:space="preserve">   /    </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35.2</w:t>
      </w:r>
      <w:r>
        <w:rPr>
          <w:rFonts w:hint="eastAsia" w:ascii="宋体" w:hAnsi="宋体"/>
          <w:color w:val="auto"/>
          <w:szCs w:val="21"/>
          <w:highlight w:val="none"/>
        </w:rPr>
        <w:t>本合同中关于承包人违约的具体责任如下：</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35.2.1工期延误的违约责任</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u w:val="single"/>
        </w:rPr>
        <w:t>承包人未按发包人或监理单位开工令要求时间开工的，每迟延开工</w:t>
      </w:r>
      <w:r>
        <w:rPr>
          <w:rFonts w:ascii="宋体" w:hAnsi="宋体"/>
          <w:color w:val="auto"/>
          <w:szCs w:val="21"/>
          <w:highlight w:val="none"/>
          <w:u w:val="single"/>
        </w:rPr>
        <w:t>1</w:t>
      </w:r>
      <w:r>
        <w:rPr>
          <w:rFonts w:hint="eastAsia" w:ascii="宋体" w:hAnsi="宋体"/>
          <w:color w:val="auto"/>
          <w:szCs w:val="21"/>
          <w:highlight w:val="none"/>
          <w:u w:val="single"/>
        </w:rPr>
        <w:t>天，应向发包人支付违约金</w:t>
      </w:r>
      <w:r>
        <w:rPr>
          <w:rFonts w:ascii="宋体" w:hAnsi="宋体"/>
          <w:color w:val="auto"/>
          <w:szCs w:val="21"/>
          <w:highlight w:val="none"/>
          <w:u w:val="single"/>
        </w:rPr>
        <w:t>5000元；迟延开工超过20</w:t>
      </w:r>
      <w:r>
        <w:rPr>
          <w:rFonts w:hint="eastAsia" w:ascii="宋体" w:hAnsi="宋体"/>
          <w:color w:val="auto"/>
          <w:szCs w:val="21"/>
          <w:highlight w:val="none"/>
          <w:u w:val="single"/>
        </w:rPr>
        <w:t>天的，发包人有权根据实际情况单方面解除合同</w:t>
      </w:r>
      <w:r>
        <w:rPr>
          <w:rFonts w:hint="eastAsia" w:ascii="宋体" w:hAnsi="宋体"/>
          <w:color w:val="auto"/>
          <w:szCs w:val="21"/>
          <w:highlight w:val="none"/>
        </w:rPr>
        <w:t>。</w:t>
      </w:r>
    </w:p>
    <w:p>
      <w:pPr>
        <w:spacing w:line="520" w:lineRule="exact"/>
        <w:ind w:firstLine="56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w:t>
      </w:r>
      <w:r>
        <w:rPr>
          <w:rFonts w:hint="eastAsia" w:ascii="宋体" w:hAnsi="宋体"/>
          <w:color w:val="auto"/>
          <w:szCs w:val="21"/>
          <w:highlight w:val="none"/>
          <w:u w:val="single"/>
        </w:rPr>
        <w:t>因承包人的原因造成工期延误，其中属节点工期延误，从延误的第一天起，每天支付违约金</w:t>
      </w:r>
      <w:r>
        <w:rPr>
          <w:rFonts w:ascii="宋体" w:hAnsi="宋体"/>
          <w:color w:val="auto"/>
          <w:szCs w:val="21"/>
          <w:highlight w:val="none"/>
          <w:u w:val="single"/>
        </w:rPr>
        <w:t>5000</w:t>
      </w:r>
      <w:r>
        <w:rPr>
          <w:rFonts w:hint="eastAsia" w:ascii="宋体" w:hAnsi="宋体"/>
          <w:color w:val="auto"/>
          <w:szCs w:val="21"/>
          <w:highlight w:val="none"/>
          <w:u w:val="single"/>
        </w:rPr>
        <w:t>元，如在下一个节点赶回工期，可免除上述违约金。属总工期延误，从总工期延误的第一天起，每天支付违约金</w:t>
      </w:r>
      <w:r>
        <w:rPr>
          <w:rFonts w:ascii="宋体" w:hAnsi="宋体"/>
          <w:color w:val="auto"/>
          <w:szCs w:val="21"/>
          <w:highlight w:val="none"/>
          <w:u w:val="single"/>
        </w:rPr>
        <w:t>20000元</w:t>
      </w:r>
      <w:r>
        <w:rPr>
          <w:rFonts w:hint="eastAsia" w:ascii="宋体" w:hAnsi="宋体"/>
          <w:color w:val="auto"/>
          <w:szCs w:val="21"/>
          <w:highlight w:val="none"/>
        </w:rPr>
        <w:t>。</w:t>
      </w:r>
      <w:r>
        <w:rPr>
          <w:rFonts w:hint="eastAsia" w:ascii="宋体" w:hAnsi="宋体"/>
          <w:color w:val="auto"/>
          <w:szCs w:val="21"/>
          <w:highlight w:val="none"/>
          <w:u w:val="single"/>
        </w:rPr>
        <w:t>延误工期超过20天的，发包人可视情况终止合同。</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hint="eastAsia" w:ascii="宋体" w:hAnsi="宋体"/>
          <w:color w:val="auto"/>
          <w:szCs w:val="21"/>
          <w:highlight w:val="none"/>
          <w:u w:val="single"/>
        </w:rPr>
        <w:t>承包人必须按期完成主要工序的施工任务，若属承包人原因逾期达</w:t>
      </w:r>
      <w:r>
        <w:rPr>
          <w:rFonts w:ascii="宋体" w:hAnsi="宋体"/>
          <w:color w:val="auto"/>
          <w:szCs w:val="21"/>
          <w:highlight w:val="none"/>
          <w:u w:val="single"/>
        </w:rPr>
        <w:t>10天未完成主要节点的施工任务时，</w:t>
      </w:r>
      <w:r>
        <w:rPr>
          <w:rFonts w:hint="eastAsia" w:ascii="宋体" w:hAnsi="宋体"/>
          <w:color w:val="auto"/>
          <w:szCs w:val="21"/>
          <w:highlight w:val="none"/>
          <w:u w:val="single"/>
        </w:rPr>
        <w:t>除按第（2</w:t>
      </w:r>
      <w:r>
        <w:rPr>
          <w:rFonts w:ascii="宋体" w:hAnsi="宋体"/>
          <w:color w:val="auto"/>
          <w:szCs w:val="21"/>
          <w:highlight w:val="none"/>
          <w:u w:val="single"/>
        </w:rPr>
        <w:t>）项约定承担违约责任外，</w:t>
      </w:r>
      <w:r>
        <w:rPr>
          <w:rFonts w:hint="eastAsia" w:ascii="宋体" w:hAnsi="宋体"/>
          <w:color w:val="auto"/>
          <w:szCs w:val="21"/>
          <w:highlight w:val="none"/>
          <w:u w:val="single"/>
        </w:rPr>
        <w:t>发包人可要求撤换项目负责人，承包人应予以执行，并在总工期不调整的前提下自行消化节点工期的延误。逾期</w:t>
      </w:r>
      <w:r>
        <w:rPr>
          <w:rFonts w:ascii="宋体" w:hAnsi="宋体"/>
          <w:color w:val="auto"/>
          <w:szCs w:val="21"/>
          <w:highlight w:val="none"/>
          <w:u w:val="single"/>
        </w:rPr>
        <w:t>20天未完成主要节点的施工任务时，属承包人进度严重违约行为，发包人可</w:t>
      </w:r>
      <w:r>
        <w:rPr>
          <w:rFonts w:hint="eastAsia" w:ascii="宋体" w:hAnsi="宋体"/>
          <w:color w:val="auto"/>
          <w:szCs w:val="21"/>
          <w:highlight w:val="none"/>
          <w:u w:val="single"/>
        </w:rPr>
        <w:t>单方面终止合同，将承包人作不良纪录报区建设行政主管部门备案。并由承包人承担相应的进度严重违约责任</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w:t>
      </w:r>
      <w:r>
        <w:rPr>
          <w:rFonts w:hint="eastAsia" w:ascii="宋体" w:hAnsi="宋体"/>
          <w:color w:val="auto"/>
          <w:szCs w:val="21"/>
          <w:highlight w:val="none"/>
          <w:u w:val="single"/>
        </w:rPr>
        <w:t>承包人承担的进度严重违约责任为：如果承包人出现进度严重违约事件，则须无条件接受发包人终止合同，并在接到终止合同通知书之日起</w:t>
      </w:r>
      <w:r>
        <w:rPr>
          <w:rFonts w:ascii="宋体" w:hAnsi="宋体"/>
          <w:color w:val="auto"/>
          <w:szCs w:val="21"/>
          <w:highlight w:val="none"/>
          <w:u w:val="single"/>
        </w:rPr>
        <w:t>5个</w:t>
      </w:r>
      <w:r>
        <w:rPr>
          <w:rFonts w:hint="eastAsia" w:ascii="宋体" w:hAnsi="宋体"/>
          <w:color w:val="auto"/>
          <w:szCs w:val="21"/>
          <w:highlight w:val="none"/>
          <w:u w:val="single"/>
        </w:rPr>
        <w:t>日历天内（发包人应予以配合），在监理工程师的监督下退场完毕。退场完毕后由监理工程师出具《退出完结证明书》，并据此进行相关结算。承包人按履约担保金额支付违约金。给发包人造成的损失超过履约担保金额的部分，承包人还应承担赔偿责任</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w:t>
      </w:r>
      <w:r>
        <w:rPr>
          <w:rFonts w:hint="eastAsia" w:ascii="宋体" w:hAnsi="宋体"/>
          <w:color w:val="auto"/>
          <w:szCs w:val="21"/>
          <w:highlight w:val="none"/>
          <w:u w:val="single"/>
        </w:rPr>
        <w:t>工程施工过程中（竣工验收前），承包人必须按发包人、监理人的要求及时为专业工程（电信、电力管线、电力走廊、煤气、道路绿化、路灯、交通设施等）提供工作面及为专业工程穿插施工所需各项配合工作给予方便，承包人应在施工方案中充分考虑专业工程穿插施工所需的穿插工作面及工期，由于承包人未能给予专业工程穿插施工，造成总施工工期的延误，施工工期不予顺延，承包人承担由于工期延误所产生的损失。因承包人原因造成其他专业工程工期延误的，从延误其他专业工程工期第一天起，每延误一天，承包人支付</w:t>
      </w:r>
      <w:r>
        <w:rPr>
          <w:rFonts w:ascii="宋体" w:hAnsi="宋体"/>
          <w:color w:val="auto"/>
          <w:szCs w:val="21"/>
          <w:highlight w:val="none"/>
          <w:u w:val="single"/>
        </w:rPr>
        <w:t>5000元违约金</w:t>
      </w:r>
      <w:r>
        <w:rPr>
          <w:rFonts w:hint="eastAsia" w:ascii="宋体" w:hAnsi="宋体"/>
          <w:color w:val="auto"/>
          <w:szCs w:val="21"/>
          <w:highlight w:val="none"/>
        </w:rPr>
        <w:t>。</w:t>
      </w:r>
    </w:p>
    <w:p>
      <w:pPr>
        <w:snapToGrid w:val="0"/>
        <w:spacing w:line="440" w:lineRule="exact"/>
        <w:ind w:firstLine="397"/>
        <w:rPr>
          <w:rFonts w:ascii="宋体" w:hAnsi="宋体"/>
          <w:snapToGrid w:val="0"/>
          <w:color w:val="auto"/>
          <w:kern w:val="0"/>
          <w:szCs w:val="21"/>
          <w:highlight w:val="none"/>
        </w:rPr>
      </w:pPr>
      <w:r>
        <w:rPr>
          <w:rFonts w:hint="eastAsia" w:ascii="宋体" w:hAnsi="宋体"/>
          <w:snapToGrid w:val="0"/>
          <w:color w:val="auto"/>
          <w:kern w:val="0"/>
          <w:szCs w:val="21"/>
          <w:highlight w:val="none"/>
        </w:rPr>
        <w:t>（</w:t>
      </w:r>
      <w:r>
        <w:rPr>
          <w:rFonts w:ascii="宋体" w:hAnsi="宋体"/>
          <w:snapToGrid w:val="0"/>
          <w:color w:val="auto"/>
          <w:kern w:val="0"/>
          <w:szCs w:val="21"/>
          <w:highlight w:val="none"/>
        </w:rPr>
        <w:t>6</w:t>
      </w:r>
      <w:r>
        <w:rPr>
          <w:rFonts w:hint="eastAsia" w:ascii="宋体" w:hAnsi="宋体"/>
          <w:snapToGrid w:val="0"/>
          <w:color w:val="auto"/>
          <w:kern w:val="0"/>
          <w:szCs w:val="21"/>
          <w:highlight w:val="none"/>
        </w:rPr>
        <w:t>）</w:t>
      </w:r>
      <w:r>
        <w:rPr>
          <w:rFonts w:hint="eastAsia" w:ascii="宋体" w:hAnsi="宋体"/>
          <w:snapToGrid w:val="0"/>
          <w:color w:val="auto"/>
          <w:kern w:val="0"/>
          <w:szCs w:val="21"/>
          <w:highlight w:val="none"/>
          <w:u w:val="single"/>
        </w:rPr>
        <w:t>承包人违反合同专用条款的约定和发包人的规定，逾期完成竣工档案的整理、移交、送审备案工作的，每逾期</w:t>
      </w:r>
      <w:r>
        <w:rPr>
          <w:rFonts w:ascii="宋体" w:hAnsi="宋体"/>
          <w:snapToGrid w:val="0"/>
          <w:color w:val="auto"/>
          <w:kern w:val="0"/>
          <w:szCs w:val="21"/>
          <w:highlight w:val="none"/>
          <w:u w:val="single"/>
        </w:rPr>
        <w:t>1天，承包人支付违约金5000元</w:t>
      </w:r>
      <w:r>
        <w:rPr>
          <w:rFonts w:hint="eastAsia" w:ascii="宋体" w:hAnsi="宋体"/>
          <w:snapToGrid w:val="0"/>
          <w:color w:val="auto"/>
          <w:kern w:val="0"/>
          <w:szCs w:val="21"/>
          <w:highlight w:val="none"/>
        </w:rPr>
        <w:t>。</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35.2.2</w:t>
      </w:r>
      <w:r>
        <w:rPr>
          <w:rFonts w:hint="eastAsia" w:ascii="宋体" w:hAnsi="宋体"/>
          <w:color w:val="auto"/>
          <w:szCs w:val="21"/>
          <w:highlight w:val="none"/>
        </w:rPr>
        <w:t>安全、文明施工要求及违约处理：</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w:t>
      </w:r>
      <w:r>
        <w:rPr>
          <w:rFonts w:hint="eastAsia" w:ascii="宋体" w:hAnsi="宋体"/>
          <w:color w:val="auto"/>
          <w:szCs w:val="21"/>
          <w:highlight w:val="none"/>
          <w:u w:val="single"/>
        </w:rPr>
        <w:t>承包人必须按本合同的约定编制施工组织设计（施工方案、包括安全文明施工措施），经过监理人和发包人审核确认后按其施工，不得随意更改。如果根据实际情况确需修改，则需经工程师及发包人审批同意。如果未经工程师及发包人审批同意而擅自更改施工组织设计（施工方案，包括安全文明施工措施）或不按照施工组织设计（施工方案，包括安全文明施工措施）施工，则发包人将扣减更改部分的造价（该造价按广东省相关综合定额和取费标准计算，不下浮）；同时，每擅自更改一次，承包人需支付</w:t>
      </w:r>
      <w:r>
        <w:rPr>
          <w:rFonts w:ascii="宋体" w:hAnsi="宋体"/>
          <w:color w:val="auto"/>
          <w:szCs w:val="21"/>
          <w:highlight w:val="none"/>
          <w:u w:val="single"/>
        </w:rPr>
        <w:t>10000</w:t>
      </w:r>
      <w:r>
        <w:rPr>
          <w:rFonts w:hint="eastAsia" w:ascii="宋体" w:hAnsi="宋体"/>
          <w:color w:val="auto"/>
          <w:szCs w:val="21"/>
          <w:highlight w:val="none"/>
          <w:u w:val="single"/>
        </w:rPr>
        <w:t>元人民币违约金给发包人</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w:t>
      </w:r>
      <w:r>
        <w:rPr>
          <w:rFonts w:hint="eastAsia" w:ascii="宋体" w:hAnsi="宋体"/>
          <w:color w:val="auto"/>
          <w:szCs w:val="21"/>
          <w:highlight w:val="none"/>
          <w:u w:val="single"/>
        </w:rPr>
        <w:t>承包人应严格遵守国家、省、市及开发区有关防火、爆破和施工安全以及文明施工、深夜施工、环卫和城市管理等规定，建立规章制度和防护措施，并组织施工。在相关部门的检查中，承包人施工场地被评为不合格工地或被通报批评或者被新闻媒体曝光的，每发生一次，承包人支付10000</w:t>
      </w:r>
      <w:r>
        <w:rPr>
          <w:rFonts w:ascii="宋体" w:hAnsi="宋体"/>
          <w:color w:val="auto"/>
          <w:szCs w:val="21"/>
          <w:highlight w:val="none"/>
          <w:u w:val="single"/>
        </w:rPr>
        <w:t>元违约金</w:t>
      </w:r>
      <w:r>
        <w:rPr>
          <w:rFonts w:hint="eastAsia" w:ascii="宋体" w:hAnsi="宋体"/>
          <w:color w:val="auto"/>
          <w:szCs w:val="21"/>
          <w:highlight w:val="none"/>
          <w:u w:val="single"/>
        </w:rPr>
        <w:t>，如发包人因此被相关部门处罚的，罚金由承包人承担</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u w:val="single"/>
        </w:rPr>
        <w:t>如果承包人未按招投标文件及本合同要求做好安全、文明施工相关措施，经监理工程师或发包人检查发现的，每发现一次，承包人支付</w:t>
      </w:r>
      <w:r>
        <w:rPr>
          <w:rFonts w:ascii="宋体" w:hAnsi="宋体"/>
          <w:color w:val="auto"/>
          <w:szCs w:val="21"/>
          <w:highlight w:val="none"/>
          <w:u w:val="single"/>
        </w:rPr>
        <w:t>5000元违约金，并按发包人或监理单位要求限期整改，未在限期内完成整改的，每延期一天，承包人支付</w:t>
      </w:r>
      <w:r>
        <w:rPr>
          <w:rFonts w:hint="eastAsia" w:ascii="宋体" w:hAnsi="宋体"/>
          <w:color w:val="auto"/>
          <w:szCs w:val="21"/>
          <w:highlight w:val="none"/>
          <w:u w:val="single"/>
        </w:rPr>
        <w:t>10000</w:t>
      </w:r>
      <w:r>
        <w:rPr>
          <w:rFonts w:ascii="宋体" w:hAnsi="宋体"/>
          <w:color w:val="auto"/>
          <w:szCs w:val="21"/>
          <w:highlight w:val="none"/>
          <w:u w:val="single"/>
        </w:rPr>
        <w:t>元违约金</w:t>
      </w:r>
      <w:r>
        <w:rPr>
          <w:rFonts w:hint="eastAsia" w:ascii="宋体" w:hAnsi="宋体"/>
          <w:color w:val="auto"/>
          <w:szCs w:val="21"/>
          <w:highlight w:val="none"/>
        </w:rPr>
        <w:t>。</w:t>
      </w:r>
    </w:p>
    <w:p>
      <w:pPr>
        <w:snapToGrid w:val="0"/>
        <w:spacing w:line="440" w:lineRule="exact"/>
        <w:ind w:firstLine="397"/>
        <w:rPr>
          <w:rFonts w:ascii="宋体" w:hAnsi="宋体"/>
          <w:snapToGrid w:val="0"/>
          <w:color w:val="auto"/>
          <w:kern w:val="0"/>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u w:val="single"/>
        </w:rPr>
        <w:t>在施工过程中发生安全事故的，除按照国家、省、市规定进行处理外。若导致人员伤亡的，承包人按下列办法支付违约金：如发生死亡事故，死亡</w:t>
      </w:r>
      <w:r>
        <w:rPr>
          <w:rFonts w:ascii="宋体" w:hAnsi="宋体"/>
          <w:color w:val="auto"/>
          <w:szCs w:val="21"/>
          <w:highlight w:val="none"/>
          <w:u w:val="single"/>
        </w:rPr>
        <w:t>1人，</w:t>
      </w:r>
      <w:r>
        <w:rPr>
          <w:rFonts w:hint="eastAsia" w:ascii="宋体" w:hAnsi="宋体"/>
          <w:color w:val="auto"/>
          <w:szCs w:val="21"/>
          <w:highlight w:val="none"/>
          <w:u w:val="single"/>
        </w:rPr>
        <w:t>支付</w:t>
      </w:r>
      <w:r>
        <w:rPr>
          <w:rFonts w:ascii="宋体" w:hAnsi="宋体"/>
          <w:color w:val="auto"/>
          <w:szCs w:val="21"/>
          <w:highlight w:val="none"/>
          <w:u w:val="single"/>
        </w:rPr>
        <w:t>20万元；死亡2人，</w:t>
      </w:r>
      <w:r>
        <w:rPr>
          <w:rFonts w:hint="eastAsia" w:ascii="宋体" w:hAnsi="宋体"/>
          <w:color w:val="auto"/>
          <w:szCs w:val="21"/>
          <w:highlight w:val="none"/>
          <w:u w:val="single"/>
        </w:rPr>
        <w:t>支付</w:t>
      </w:r>
      <w:r>
        <w:rPr>
          <w:rFonts w:ascii="宋体" w:hAnsi="宋体"/>
          <w:color w:val="auto"/>
          <w:szCs w:val="21"/>
          <w:highlight w:val="none"/>
          <w:u w:val="single"/>
        </w:rPr>
        <w:t>40万元；死亡3人或以上，</w:t>
      </w:r>
      <w:r>
        <w:rPr>
          <w:rFonts w:hint="eastAsia" w:ascii="宋体" w:hAnsi="宋体"/>
          <w:color w:val="auto"/>
          <w:szCs w:val="21"/>
          <w:highlight w:val="none"/>
          <w:u w:val="single"/>
        </w:rPr>
        <w:t>支付</w:t>
      </w:r>
      <w:r>
        <w:rPr>
          <w:rFonts w:ascii="宋体" w:hAnsi="宋体"/>
          <w:color w:val="auto"/>
          <w:szCs w:val="21"/>
          <w:highlight w:val="none"/>
          <w:u w:val="single"/>
        </w:rPr>
        <w:t>80万元。如发生重伤事故，重伤1人，</w:t>
      </w:r>
      <w:r>
        <w:rPr>
          <w:rFonts w:hint="eastAsia" w:ascii="宋体" w:hAnsi="宋体"/>
          <w:color w:val="auto"/>
          <w:szCs w:val="21"/>
          <w:highlight w:val="none"/>
          <w:u w:val="single"/>
        </w:rPr>
        <w:t>支付</w:t>
      </w:r>
      <w:r>
        <w:rPr>
          <w:rFonts w:ascii="宋体" w:hAnsi="宋体"/>
          <w:color w:val="auto"/>
          <w:szCs w:val="21"/>
          <w:highlight w:val="none"/>
          <w:u w:val="single"/>
        </w:rPr>
        <w:t>10万元；重伤2人，</w:t>
      </w:r>
      <w:r>
        <w:rPr>
          <w:rFonts w:hint="eastAsia" w:ascii="宋体" w:hAnsi="宋体"/>
          <w:color w:val="auto"/>
          <w:szCs w:val="21"/>
          <w:highlight w:val="none"/>
          <w:u w:val="single"/>
        </w:rPr>
        <w:t>支付</w:t>
      </w:r>
      <w:r>
        <w:rPr>
          <w:rFonts w:ascii="宋体" w:hAnsi="宋体"/>
          <w:color w:val="auto"/>
          <w:szCs w:val="21"/>
          <w:highlight w:val="none"/>
          <w:u w:val="single"/>
        </w:rPr>
        <w:t>20万元；重伤3人或以上，</w:t>
      </w:r>
      <w:r>
        <w:rPr>
          <w:rFonts w:hint="eastAsia" w:ascii="宋体" w:hAnsi="宋体"/>
          <w:color w:val="auto"/>
          <w:szCs w:val="21"/>
          <w:highlight w:val="none"/>
          <w:u w:val="single"/>
        </w:rPr>
        <w:t>支付</w:t>
      </w:r>
      <w:r>
        <w:rPr>
          <w:rFonts w:ascii="宋体" w:hAnsi="宋体"/>
          <w:color w:val="auto"/>
          <w:szCs w:val="21"/>
          <w:highlight w:val="none"/>
          <w:u w:val="single"/>
        </w:rPr>
        <w:t>40万元。因承包人原因发生一般安全事故，未造成人员伤亡</w:t>
      </w:r>
      <w:r>
        <w:rPr>
          <w:rFonts w:hint="eastAsia" w:ascii="宋体" w:hAnsi="宋体"/>
          <w:color w:val="auto"/>
          <w:szCs w:val="21"/>
          <w:highlight w:val="none"/>
          <w:u w:val="single"/>
        </w:rPr>
        <w:t>或造成人员轻伤及轻微财产损失的，每发生一次，承包人支付违约金</w:t>
      </w:r>
      <w:r>
        <w:rPr>
          <w:rFonts w:ascii="宋体" w:hAnsi="宋体"/>
          <w:color w:val="auto"/>
          <w:szCs w:val="21"/>
          <w:highlight w:val="none"/>
          <w:u w:val="single"/>
        </w:rPr>
        <w:t>5000元</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w:t>
      </w:r>
      <w:r>
        <w:rPr>
          <w:rFonts w:hint="eastAsia" w:ascii="宋体" w:hAnsi="宋体"/>
          <w:color w:val="auto"/>
          <w:szCs w:val="21"/>
          <w:highlight w:val="none"/>
          <w:u w:val="single"/>
        </w:rPr>
        <w:t>在本工程余泥渣土清运施工和建筑垃圾排放运输时，承包人必须严格执行《广州市建筑废弃物管理条例（2015年修正本）》、《广州市市容环境卫生管理规定》、《广州市建设工程现场文明施工管理办法》《关于加强施工现场余泥渣土排放管理工作的通知》（穗建筑【</w:t>
      </w:r>
      <w:r>
        <w:rPr>
          <w:rFonts w:ascii="宋体" w:hAnsi="宋体"/>
          <w:color w:val="auto"/>
          <w:szCs w:val="21"/>
          <w:highlight w:val="none"/>
          <w:u w:val="single"/>
        </w:rPr>
        <w:t>2008】60号）等广州市、</w:t>
      </w:r>
      <w:r>
        <w:rPr>
          <w:rFonts w:hint="eastAsia" w:ascii="宋体" w:hAnsi="宋体"/>
          <w:color w:val="auto"/>
          <w:szCs w:val="21"/>
          <w:highlight w:val="none"/>
          <w:u w:val="single"/>
        </w:rPr>
        <w:t>黄埔</w:t>
      </w:r>
      <w:r>
        <w:rPr>
          <w:rFonts w:ascii="宋体" w:hAnsi="宋体"/>
          <w:color w:val="auto"/>
          <w:szCs w:val="21"/>
          <w:highlight w:val="none"/>
          <w:u w:val="single"/>
        </w:rPr>
        <w:t>区相关管理规定的标准和要求，保证落实“</w:t>
      </w:r>
      <w:r>
        <w:rPr>
          <w:rFonts w:hint="eastAsia" w:ascii="宋体" w:hAnsi="宋体"/>
          <w:color w:val="auto"/>
          <w:szCs w:val="21"/>
          <w:highlight w:val="none"/>
          <w:u w:val="single"/>
        </w:rPr>
        <w:t>一不准进，三不准出”规定，办齐排放有关证照，雇请有合格准运证车辆和具备资质的运输企业，设立专职人员管理余泥渣土、建筑垃圾的运输工作，并对分包单位依法排放余泥渣土、建筑垃圾进行监管。承包人因违反本款约定所造成的一切责任后果全部由承包人承担。经发包人或相关部门检查发现承包人未执行本款约定的，每发现一次，承包人支付</w:t>
      </w:r>
      <w:r>
        <w:rPr>
          <w:rFonts w:ascii="宋体" w:hAnsi="宋体"/>
          <w:color w:val="auto"/>
          <w:szCs w:val="21"/>
          <w:highlight w:val="none"/>
          <w:u w:val="single"/>
        </w:rPr>
        <w:t>5000元违约金。同时，发包人将根据承包人</w:t>
      </w:r>
      <w:r>
        <w:rPr>
          <w:rFonts w:hint="eastAsia" w:ascii="宋体" w:hAnsi="宋体"/>
          <w:color w:val="auto"/>
          <w:szCs w:val="21"/>
          <w:highlight w:val="none"/>
          <w:u w:val="single"/>
        </w:rPr>
        <w:t>违反余泥渣土运输管理有关规定而造成的不良后果的严重程度，上报区建设行政主管部门进行处理</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35.2.3工程质量方面的违约责任</w:t>
      </w:r>
      <w:r>
        <w:rPr>
          <w:rFonts w:hint="eastAsia" w:ascii="宋体" w:hAnsi="宋体"/>
          <w:color w:val="auto"/>
          <w:szCs w:val="21"/>
          <w:highlight w:val="none"/>
        </w:rPr>
        <w:t>：</w:t>
      </w:r>
    </w:p>
    <w:p>
      <w:pPr>
        <w:snapToGrid w:val="0"/>
        <w:spacing w:line="440" w:lineRule="exact"/>
        <w:ind w:firstLine="397"/>
        <w:rPr>
          <w:rFonts w:hint="eastAsia" w:ascii="宋体" w:hAnsi="宋体"/>
          <w:color w:val="auto"/>
          <w:szCs w:val="21"/>
          <w:highlight w:val="none"/>
        </w:rPr>
      </w:pPr>
      <w:r>
        <w:rPr>
          <w:rFonts w:hint="eastAsia" w:ascii="宋体" w:hAnsi="宋体"/>
          <w:color w:val="auto"/>
          <w:szCs w:val="21"/>
          <w:highlight w:val="none"/>
          <w:u w:val="single"/>
        </w:rPr>
        <w:t>（1）承包人必须保证用于本合同工程所有的材料设备的品牌、型号、规格、质量等符合本合同及招投标文件的要求，严禁假冒伪劣产品，严禁以次充好，严禁未经发包人批准即以其他产品（包括承包人的产品）顶替本合同及招投标文件中规定的产品。承包人在施工中偷工减料、使用不合格的建筑材料、建筑构配件或设备、不按照工程设计图纸、施工技术标准施工，或者未对建筑材料、建筑构配件、设备、商品混凝土进行检验，或者未对涉及结构安全的试块、试件以及有关材料取样送检的，应负责无偿修理或返工，并应支付合同价款百分之二的违约金给发包人</w:t>
      </w:r>
      <w:r>
        <w:rPr>
          <w:rFonts w:hint="eastAsia" w:ascii="宋体" w:hAnsi="宋体"/>
          <w:color w:val="auto"/>
          <w:szCs w:val="21"/>
          <w:highlight w:val="none"/>
        </w:rPr>
        <w:t>。</w:t>
      </w:r>
    </w:p>
    <w:p>
      <w:pPr>
        <w:snapToGrid w:val="0"/>
        <w:spacing w:line="440" w:lineRule="exact"/>
        <w:ind w:firstLine="397"/>
        <w:rPr>
          <w:rFonts w:hint="eastAsia" w:ascii="宋体" w:hAnsi="宋体"/>
          <w:color w:val="auto"/>
          <w:szCs w:val="21"/>
          <w:highlight w:val="none"/>
          <w:u w:val="single"/>
        </w:rPr>
      </w:pPr>
      <w:r>
        <w:rPr>
          <w:rFonts w:hint="eastAsia" w:ascii="宋体" w:hAnsi="宋体"/>
          <w:color w:val="auto"/>
          <w:szCs w:val="21"/>
          <w:highlight w:val="none"/>
          <w:u w:val="single"/>
        </w:rPr>
        <w:t>（2）承包人在缺陷责任期内，未能对工程接收证书所列的缺陷清单的内容或缺陷责任期内发生的缺陷进行修复，而又拒绝按监理人指示再进行修复，发包人可委托其他单位修复，所需费用由承包人承担，发包人可在工程质量保修金中抵扣，保修金不足抵扣的，由承包人另行支付。</w:t>
      </w:r>
    </w:p>
    <w:p>
      <w:pPr>
        <w:snapToGrid w:val="0"/>
        <w:spacing w:line="440" w:lineRule="exact"/>
        <w:ind w:firstLine="397"/>
        <w:rPr>
          <w:rFonts w:hint="eastAsia" w:ascii="宋体" w:hAnsi="宋体"/>
          <w:color w:val="auto"/>
          <w:szCs w:val="21"/>
          <w:highlight w:val="none"/>
          <w:u w:val="single"/>
        </w:rPr>
      </w:pPr>
      <w:r>
        <w:rPr>
          <w:rFonts w:hint="eastAsia" w:ascii="宋体" w:hAnsi="宋体"/>
          <w:color w:val="auto"/>
          <w:szCs w:val="21"/>
          <w:highlight w:val="none"/>
          <w:u w:val="single"/>
        </w:rPr>
        <w:t>（3）对施工质量问题存在争议，应请国家认可的第三方机构出具检测报告，检测费用由责任方承担。</w:t>
      </w:r>
    </w:p>
    <w:p>
      <w:pPr>
        <w:snapToGrid w:val="0"/>
        <w:spacing w:line="440" w:lineRule="exact"/>
        <w:ind w:firstLine="397"/>
        <w:rPr>
          <w:rFonts w:hint="eastAsia" w:ascii="宋体" w:hAnsi="宋体"/>
          <w:color w:val="auto"/>
          <w:szCs w:val="21"/>
          <w:highlight w:val="none"/>
          <w:u w:val="single"/>
        </w:rPr>
      </w:pPr>
      <w:r>
        <w:rPr>
          <w:rFonts w:hint="eastAsia" w:ascii="宋体" w:hAnsi="宋体"/>
          <w:color w:val="auto"/>
          <w:szCs w:val="21"/>
          <w:highlight w:val="none"/>
          <w:u w:val="single"/>
          <w:lang w:bidi="ar"/>
        </w:rPr>
        <w:t>35.2.4关于第三方质量安全评估的违约责任：</w:t>
      </w:r>
    </w:p>
    <w:p>
      <w:pPr>
        <w:snapToGrid w:val="0"/>
        <w:spacing w:line="440" w:lineRule="exact"/>
        <w:ind w:firstLine="397"/>
        <w:rPr>
          <w:rFonts w:hint="eastAsia" w:ascii="宋体" w:hAnsi="宋体"/>
          <w:color w:val="auto"/>
          <w:szCs w:val="21"/>
          <w:highlight w:val="none"/>
          <w:u w:val="single"/>
        </w:rPr>
      </w:pPr>
      <w:r>
        <w:rPr>
          <w:rFonts w:hint="eastAsia" w:ascii="宋体" w:hAnsi="宋体"/>
          <w:color w:val="auto"/>
          <w:szCs w:val="21"/>
          <w:highlight w:val="none"/>
          <w:u w:val="single"/>
          <w:lang w:bidi="ar"/>
        </w:rPr>
        <w:t>承包人应严格遵守中心制定的建设工程第三方质量安全评估服务相关管理办法，配合完成第三方质量安全评估工作。根据每次评估结果，经评估确定为一般违约情况的，承包人每次应支付10000元违约金给发包人；经评估确定为严重违约情况的，承包人每次应支付50000元违约金给发包人。</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35.2.</w:t>
      </w:r>
      <w:r>
        <w:rPr>
          <w:rFonts w:hint="eastAsia" w:ascii="宋体" w:hAnsi="宋体"/>
          <w:color w:val="auto"/>
          <w:szCs w:val="21"/>
          <w:highlight w:val="none"/>
        </w:rPr>
        <w:t>5</w:t>
      </w:r>
      <w:r>
        <w:rPr>
          <w:rFonts w:ascii="宋体" w:hAnsi="宋体"/>
          <w:color w:val="auto"/>
          <w:szCs w:val="21"/>
          <w:highlight w:val="none"/>
        </w:rPr>
        <w:t>关于农民工工资支付的违约责任</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u w:val="single"/>
        </w:rPr>
        <w:t>承包人拖欠农民工工资（含代发的分包单位工人工资），被农民工投诉属实的，承包人必须在</w:t>
      </w:r>
      <w:r>
        <w:rPr>
          <w:rFonts w:ascii="宋体" w:hAnsi="宋体"/>
          <w:color w:val="auto"/>
          <w:szCs w:val="21"/>
          <w:highlight w:val="none"/>
          <w:u w:val="single"/>
        </w:rPr>
        <w:t>3天内发放拖欠的款项。若继续拖延被投诉2次及以上，经查实，承包人除应立即支付拖欠款项外，还应支付10000</w:t>
      </w:r>
      <w:r>
        <w:rPr>
          <w:rFonts w:hint="eastAsia" w:ascii="宋体" w:hAnsi="宋体"/>
          <w:color w:val="auto"/>
          <w:szCs w:val="21"/>
          <w:highlight w:val="none"/>
          <w:u w:val="single"/>
        </w:rPr>
        <w:t>违约金给发包人。因承包人拖欠农民工工资，导致农民工采取停工、集聚围阻发包人办公地点甚至政府办公部门等过激行动的，承包人应支付</w:t>
      </w:r>
      <w:r>
        <w:rPr>
          <w:rFonts w:ascii="宋体" w:hAnsi="宋体"/>
          <w:color w:val="auto"/>
          <w:szCs w:val="21"/>
          <w:highlight w:val="none"/>
          <w:u w:val="single"/>
        </w:rPr>
        <w:t>50000</w:t>
      </w:r>
      <w:r>
        <w:rPr>
          <w:rFonts w:hint="eastAsia" w:ascii="宋体" w:hAnsi="宋体"/>
          <w:color w:val="auto"/>
          <w:szCs w:val="21"/>
          <w:highlight w:val="none"/>
          <w:u w:val="single"/>
        </w:rPr>
        <w:t>元违约金，并立即采取切实有效措施予以整改；拒不采取切实有效措施整改的，或整改效果不明显的，发包人可用承包人工程款垫付。若承包人在本工程内发生无故拖欠农民工工资现象，将被作不良记录，上报区建设行政主管部门</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35.2.</w:t>
      </w:r>
      <w:r>
        <w:rPr>
          <w:rFonts w:hint="eastAsia" w:ascii="宋体" w:hAnsi="宋体"/>
          <w:color w:val="auto"/>
          <w:szCs w:val="21"/>
          <w:highlight w:val="none"/>
        </w:rPr>
        <w:t>6项目管理机构人员、机械设备、劳动力到位方面的违约责任：</w:t>
      </w:r>
    </w:p>
    <w:p>
      <w:pPr>
        <w:numPr>
          <w:ilvl w:val="0"/>
          <w:numId w:val="4"/>
        </w:numPr>
        <w:snapToGrid w:val="0"/>
        <w:spacing w:line="440" w:lineRule="exact"/>
        <w:ind w:firstLine="397"/>
        <w:rPr>
          <w:rFonts w:hint="eastAsia" w:ascii="宋体" w:hAnsi="宋体"/>
          <w:color w:val="auto"/>
          <w:szCs w:val="21"/>
          <w:highlight w:val="none"/>
          <w:u w:val="single"/>
        </w:rPr>
      </w:pPr>
      <w:r>
        <w:rPr>
          <w:rFonts w:hint="eastAsia" w:ascii="宋体" w:hAnsi="宋体"/>
          <w:color w:val="auto"/>
          <w:szCs w:val="21"/>
          <w:highlight w:val="none"/>
          <w:u w:val="single"/>
        </w:rPr>
        <w:t>承包人必须保证投标文件中确定的项目负责人及其项目技术负责人、主要施工管理人员能及时地、始终地参与本工程施工管理，在未征得发包人书面同意之前不得更换。如未征得发包人书面同意，擅自更换项目负责人或项目技术负责人的，承包人每更换一人次，需支付50000元违约金给发包人，擅自更换主要施工管理人员的，每更换一人次，承包人需支付30000元违约金给发包人</w:t>
      </w:r>
      <w:r>
        <w:rPr>
          <w:rFonts w:hint="eastAsia" w:ascii="宋体" w:hAnsi="宋体"/>
          <w:color w:val="auto"/>
          <w:szCs w:val="21"/>
          <w:highlight w:val="none"/>
        </w:rPr>
        <w:t>。但征得</w:t>
      </w:r>
      <w:r>
        <w:rPr>
          <w:rFonts w:hint="eastAsia" w:ascii="宋体" w:hAnsi="宋体"/>
          <w:color w:val="auto"/>
          <w:szCs w:val="21"/>
          <w:highlight w:val="none"/>
          <w:u w:val="single"/>
        </w:rPr>
        <w:t>发包人书面同意更换或因发包人按本协议要求更换仍需支付违约金，具体为：更换项目负责人或项目技术负责人的，承包人每更换一人次，需支付30000元违约金给发包人，更换主要施工管理人员的，每更换一人次，承包人需支付10000元违约金给发包人</w:t>
      </w:r>
    </w:p>
    <w:p>
      <w:pPr>
        <w:snapToGrid w:val="0"/>
        <w:spacing w:line="440" w:lineRule="exact"/>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2</w:t>
      </w:r>
      <w:r>
        <w:rPr>
          <w:rFonts w:hint="eastAsia" w:ascii="宋体" w:hAnsi="宋体"/>
          <w:color w:val="auto"/>
          <w:szCs w:val="21"/>
          <w:highlight w:val="none"/>
        </w:rPr>
        <w:t>）</w:t>
      </w:r>
      <w:r>
        <w:rPr>
          <w:rFonts w:hint="eastAsia" w:ascii="宋体" w:hAnsi="宋体"/>
          <w:color w:val="auto"/>
          <w:szCs w:val="21"/>
          <w:highlight w:val="none"/>
          <w:u w:val="single"/>
        </w:rPr>
        <w:t>如果承包人未按投标文件中的机械设备投入计划投入机械设备，经监理工程师或发包人代表检查发现的，将书面告知限期整改，未在限期内完成整改的，每延期一天，承包人需支付10000</w:t>
      </w:r>
      <w:r>
        <w:rPr>
          <w:rFonts w:ascii="宋体" w:hAnsi="宋体"/>
          <w:color w:val="auto"/>
          <w:szCs w:val="21"/>
          <w:highlight w:val="none"/>
          <w:u w:val="single"/>
        </w:rPr>
        <w:t>元违约金给发包人</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hint="eastAsia" w:ascii="宋体" w:hAnsi="宋体"/>
          <w:color w:val="auto"/>
          <w:szCs w:val="21"/>
          <w:highlight w:val="none"/>
          <w:u w:val="single"/>
        </w:rPr>
        <w:t>如果承包人未投标文件中的人力投入计划投入人力，经监理工程师和发包人代表检查发现的，每发现一次，承包人支付10000</w:t>
      </w:r>
      <w:r>
        <w:rPr>
          <w:rFonts w:ascii="宋体" w:hAnsi="宋体"/>
          <w:color w:val="auto"/>
          <w:szCs w:val="21"/>
          <w:highlight w:val="none"/>
          <w:u w:val="single"/>
        </w:rPr>
        <w:t>元违约金给发包人</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w:t>
      </w:r>
      <w:r>
        <w:rPr>
          <w:rFonts w:hint="eastAsia" w:ascii="宋体" w:hAnsi="宋体"/>
          <w:color w:val="auto"/>
          <w:szCs w:val="21"/>
          <w:highlight w:val="none"/>
          <w:u w:val="single"/>
        </w:rPr>
        <w:t>如果检查发现承包人超过三次未按承诺投入的人力、机械、物力组织施工，发包人将作为不良纪录报区建设行政主管部门备案。如果检查发现承包人没有按施工组织设计的进度安排推进工程建设，使主要工序的工期延误超过</w:t>
      </w:r>
      <w:r>
        <w:rPr>
          <w:rFonts w:ascii="宋体" w:hAnsi="宋体"/>
          <w:color w:val="auto"/>
          <w:szCs w:val="21"/>
          <w:highlight w:val="none"/>
          <w:u w:val="single"/>
        </w:rPr>
        <w:t>10天，没有按发包人的意见撤换现场负责人；或者按发包人的意见撤换现场负责人后，仍然无法有效控制工程进度，</w:t>
      </w:r>
      <w:r>
        <w:rPr>
          <w:rFonts w:hint="eastAsia" w:ascii="宋体" w:hAnsi="宋体"/>
          <w:color w:val="auto"/>
          <w:szCs w:val="21"/>
          <w:highlight w:val="none"/>
          <w:u w:val="single"/>
        </w:rPr>
        <w:t>承包人除需按本条第（1）项支付违约金外，</w:t>
      </w:r>
      <w:r>
        <w:rPr>
          <w:rFonts w:ascii="宋体" w:hAnsi="宋体"/>
          <w:color w:val="auto"/>
          <w:szCs w:val="21"/>
          <w:highlight w:val="none"/>
          <w:u w:val="single"/>
        </w:rPr>
        <w:t>发包人将发出书面警告，警告发出后15</w:t>
      </w:r>
      <w:r>
        <w:rPr>
          <w:rFonts w:hint="eastAsia" w:ascii="宋体" w:hAnsi="宋体"/>
          <w:color w:val="auto"/>
          <w:szCs w:val="21"/>
          <w:highlight w:val="none"/>
          <w:u w:val="single"/>
        </w:rPr>
        <w:t>天内，主要工序的工期延误仍然超过</w:t>
      </w:r>
      <w:r>
        <w:rPr>
          <w:rFonts w:ascii="宋体" w:hAnsi="宋体"/>
          <w:color w:val="auto"/>
          <w:szCs w:val="21"/>
          <w:highlight w:val="none"/>
          <w:u w:val="single"/>
        </w:rPr>
        <w:t>10天，发包人将作为不良纪录报区建</w:t>
      </w:r>
      <w:r>
        <w:rPr>
          <w:rFonts w:hint="eastAsia" w:ascii="宋体" w:hAnsi="宋体"/>
          <w:color w:val="auto"/>
          <w:szCs w:val="21"/>
          <w:highlight w:val="none"/>
          <w:u w:val="single"/>
        </w:rPr>
        <w:t>设行政主管部门备案。对此，承包人不得有异议</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w:t>
      </w:r>
      <w:r>
        <w:rPr>
          <w:rFonts w:hint="eastAsia" w:ascii="宋体" w:hAnsi="宋体"/>
          <w:color w:val="auto"/>
          <w:szCs w:val="21"/>
          <w:highlight w:val="none"/>
          <w:u w:val="single"/>
        </w:rPr>
        <w:t>承包人的项目负责人、技术负责人、安全负责人、质量负责人、防火负责人等必须常驻施工现场，且须无条件参加每周的工地例会以及发包人书面通知的其它会议，如有缺席，则每人每缺席一次，承包人需支付5000</w:t>
      </w:r>
      <w:r>
        <w:rPr>
          <w:rFonts w:ascii="宋体" w:hAnsi="宋体"/>
          <w:color w:val="auto"/>
          <w:szCs w:val="21"/>
          <w:highlight w:val="none"/>
          <w:u w:val="single"/>
        </w:rPr>
        <w:t>元人民币违约金</w:t>
      </w:r>
      <w:r>
        <w:rPr>
          <w:rFonts w:hint="eastAsia" w:ascii="宋体" w:hAnsi="宋体"/>
          <w:color w:val="auto"/>
          <w:szCs w:val="21"/>
          <w:highlight w:val="none"/>
        </w:rPr>
        <w:t>。</w:t>
      </w:r>
    </w:p>
    <w:p>
      <w:pPr>
        <w:snapToGrid w:val="0"/>
        <w:spacing w:line="440" w:lineRule="exact"/>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35.2.</w:t>
      </w:r>
      <w:r>
        <w:rPr>
          <w:rFonts w:hint="eastAsia" w:ascii="宋体" w:hAnsi="宋体"/>
          <w:color w:val="auto"/>
          <w:szCs w:val="21"/>
          <w:highlight w:val="none"/>
        </w:rPr>
        <w:t>7</w:t>
      </w:r>
      <w:r>
        <w:rPr>
          <w:rFonts w:ascii="宋体" w:hAnsi="宋体"/>
          <w:color w:val="auto"/>
          <w:szCs w:val="21"/>
          <w:highlight w:val="none"/>
        </w:rPr>
        <w:t>工程转包违约责任</w:t>
      </w:r>
      <w:r>
        <w:rPr>
          <w:rFonts w:hint="eastAsia" w:ascii="宋体" w:hAnsi="宋体"/>
          <w:color w:val="auto"/>
          <w:szCs w:val="21"/>
          <w:highlight w:val="none"/>
        </w:rPr>
        <w:t>：</w:t>
      </w:r>
    </w:p>
    <w:p>
      <w:pPr>
        <w:snapToGrid w:val="0"/>
        <w:spacing w:line="440" w:lineRule="exact"/>
        <w:ind w:firstLine="397"/>
        <w:rPr>
          <w:rFonts w:hint="eastAsia" w:ascii="宋体" w:hAnsi="宋体"/>
          <w:color w:val="auto"/>
          <w:szCs w:val="21"/>
          <w:highlight w:val="none"/>
        </w:rPr>
      </w:pPr>
      <w:r>
        <w:rPr>
          <w:rFonts w:hint="eastAsia" w:ascii="宋体" w:hAnsi="宋体"/>
          <w:color w:val="auto"/>
          <w:szCs w:val="21"/>
          <w:highlight w:val="none"/>
          <w:u w:val="single"/>
        </w:rPr>
        <w:t>合同约定的工程项目承包人不得转包，必须分包的少量子项工程和专业工程，事先需取得监理人、发包人的审查同意后方可进场施工。否则，发包人有权单方面终止合同，并令其立即退场，工程项目另行处理，承包人还应按履约担保金额支付违约金，发包人的损失超过履约担保金额的部分，承包人还应承担赔偿责任</w:t>
      </w:r>
      <w:r>
        <w:rPr>
          <w:rFonts w:hint="eastAsia" w:ascii="宋体" w:hAnsi="宋体"/>
          <w:color w:val="auto"/>
          <w:szCs w:val="21"/>
          <w:highlight w:val="none"/>
        </w:rPr>
        <w:t>。</w:t>
      </w:r>
    </w:p>
    <w:p>
      <w:pPr>
        <w:snapToGrid w:val="0"/>
        <w:spacing w:line="440" w:lineRule="exact"/>
        <w:ind w:firstLine="397"/>
        <w:rPr>
          <w:rFonts w:hint="eastAsia" w:ascii="宋体" w:hAnsi="宋体"/>
          <w:color w:val="auto"/>
          <w:szCs w:val="21"/>
          <w:highlight w:val="none"/>
          <w:u w:val="single"/>
        </w:rPr>
      </w:pPr>
      <w:r>
        <w:rPr>
          <w:rFonts w:hint="eastAsia" w:ascii="宋体" w:hAnsi="宋体"/>
          <w:color w:val="auto"/>
          <w:szCs w:val="21"/>
          <w:highlight w:val="none"/>
          <w:u w:val="single"/>
        </w:rPr>
        <w:t>承包人在本工程中有转包、转让、出借资质证书或者以其他方式允许他人以本企业的名义承揽工程的，发包人将解除合同，承包人按合同价的10%承担违约金。因此导致发包人损失超出违约金的部分，承包人应负责赔偿。</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35.2.</w:t>
      </w:r>
      <w:r>
        <w:rPr>
          <w:rFonts w:hint="eastAsia" w:ascii="宋体" w:hAnsi="宋体"/>
          <w:color w:val="auto"/>
          <w:szCs w:val="21"/>
          <w:highlight w:val="none"/>
        </w:rPr>
        <w:t>8</w:t>
      </w:r>
      <w:r>
        <w:rPr>
          <w:rFonts w:ascii="宋体" w:hAnsi="宋体"/>
          <w:color w:val="auto"/>
          <w:szCs w:val="21"/>
          <w:highlight w:val="none"/>
        </w:rPr>
        <w:t>解除合同的违约责任</w:t>
      </w:r>
      <w:r>
        <w:rPr>
          <w:rFonts w:hint="eastAsia" w:ascii="宋体" w:hAnsi="宋体"/>
          <w:color w:val="auto"/>
          <w:szCs w:val="21"/>
          <w:highlight w:val="none"/>
        </w:rPr>
        <w:t>：</w:t>
      </w:r>
    </w:p>
    <w:p>
      <w:pPr>
        <w:snapToGrid w:val="0"/>
        <w:spacing w:line="440" w:lineRule="exact"/>
        <w:ind w:firstLine="397"/>
        <w:rPr>
          <w:rFonts w:hint="eastAsia" w:ascii="宋体" w:hAnsi="宋体"/>
          <w:color w:val="auto"/>
          <w:szCs w:val="21"/>
          <w:highlight w:val="none"/>
          <w:u w:val="single"/>
        </w:rPr>
      </w:pPr>
      <w:r>
        <w:rPr>
          <w:rFonts w:hint="eastAsia" w:ascii="宋体" w:hAnsi="宋体"/>
          <w:color w:val="auto"/>
          <w:szCs w:val="21"/>
          <w:highlight w:val="none"/>
          <w:u w:val="single"/>
        </w:rPr>
        <w:t>35.2.8.1因承包人严重违约导致发包人单方面解除合同或承包人违约擅自解除合同的，承包人应向发包人支付本合同价款10%的违约金，因解除合同导致发包人的损失超过违约金的部分，承包人还应承担赔偿责任。合同解除后，承包人应妥善做好已完工程和已购材料、设备的保护和移交工作。发包人可派员进驻施工场地，另行组织人员或委托其他承包人施工。发包人因继续完成该工程的需要，有权扣留使用承包人在现场的材料、设备和临时设施，也可要求承包人自行将自有机械设备和人员撤出施工场地，但发包人的这一行为不免除承包人应承担的违约责任，也不影响发包人根据合同约定享有的索赔权利。</w:t>
      </w:r>
    </w:p>
    <w:p>
      <w:pPr>
        <w:snapToGrid w:val="0"/>
        <w:spacing w:line="440" w:lineRule="exact"/>
        <w:ind w:firstLine="397"/>
        <w:rPr>
          <w:rFonts w:hint="eastAsia" w:ascii="宋体" w:hAnsi="宋体"/>
          <w:color w:val="auto"/>
          <w:szCs w:val="21"/>
          <w:highlight w:val="none"/>
          <w:u w:val="single"/>
        </w:rPr>
      </w:pPr>
      <w:r>
        <w:rPr>
          <w:rFonts w:hint="eastAsia" w:ascii="宋体" w:hAnsi="宋体"/>
          <w:color w:val="auto"/>
          <w:szCs w:val="21"/>
          <w:highlight w:val="none"/>
          <w:u w:val="single"/>
        </w:rPr>
        <w:t>35.2.8.2不适用通用条款44.6条的约定。</w:t>
      </w:r>
    </w:p>
    <w:p>
      <w:pPr>
        <w:tabs>
          <w:tab w:val="left" w:pos="8280"/>
        </w:tabs>
        <w:snapToGrid w:val="0"/>
        <w:spacing w:line="440" w:lineRule="exact"/>
        <w:ind w:firstLine="397"/>
        <w:rPr>
          <w:rFonts w:hint="eastAsia" w:ascii="宋体" w:hAnsi="宋体"/>
          <w:color w:val="auto"/>
          <w:szCs w:val="21"/>
          <w:highlight w:val="none"/>
        </w:rPr>
      </w:pPr>
      <w:r>
        <w:rPr>
          <w:rFonts w:hint="eastAsia" w:ascii="宋体" w:hAnsi="宋体"/>
          <w:color w:val="auto"/>
          <w:szCs w:val="21"/>
          <w:highlight w:val="none"/>
        </w:rPr>
        <w:t>35.2.9办理结算的违约责任：</w:t>
      </w:r>
    </w:p>
    <w:p>
      <w:pPr>
        <w:tabs>
          <w:tab w:val="left" w:pos="8280"/>
        </w:tabs>
        <w:snapToGrid w:val="0"/>
        <w:spacing w:line="440" w:lineRule="exact"/>
        <w:ind w:firstLine="397"/>
        <w:rPr>
          <w:rFonts w:hint="eastAsia" w:ascii="宋体" w:hAnsi="宋体"/>
          <w:color w:val="auto"/>
          <w:szCs w:val="21"/>
          <w:highlight w:val="none"/>
          <w:u w:val="single"/>
        </w:rPr>
      </w:pPr>
      <w:r>
        <w:rPr>
          <w:rFonts w:hint="eastAsia" w:ascii="宋体" w:hAnsi="宋体"/>
          <w:color w:val="auto"/>
          <w:szCs w:val="21"/>
          <w:highlight w:val="none"/>
          <w:u w:val="single"/>
        </w:rPr>
        <w:t>承包人不执行《广州开发区财政投资建设项目管理中心施工类合同结算编审指引（试行）》有关规定的，须按该指引有关规定承担违约责任</w:t>
      </w:r>
      <w:r>
        <w:rPr>
          <w:rFonts w:hint="eastAsia" w:ascii="宋体" w:hAnsi="宋体"/>
          <w:color w:val="auto"/>
          <w:szCs w:val="21"/>
          <w:highlight w:val="none"/>
        </w:rPr>
        <w:t>。</w:t>
      </w:r>
    </w:p>
    <w:p>
      <w:pPr>
        <w:snapToGrid w:val="0"/>
        <w:spacing w:line="440" w:lineRule="exact"/>
        <w:ind w:firstLine="397"/>
        <w:rPr>
          <w:rFonts w:hint="eastAsia" w:ascii="宋体" w:hAnsi="宋体"/>
          <w:color w:val="auto"/>
          <w:szCs w:val="21"/>
          <w:highlight w:val="none"/>
        </w:rPr>
      </w:pPr>
      <w:r>
        <w:rPr>
          <w:rFonts w:hint="eastAsia" w:ascii="宋体" w:hAnsi="宋体"/>
          <w:color w:val="auto"/>
          <w:szCs w:val="21"/>
          <w:highlight w:val="none"/>
        </w:rPr>
        <w:t>35.2.10</w:t>
      </w:r>
      <w:r>
        <w:rPr>
          <w:rFonts w:hint="eastAsia" w:ascii="宋体" w:hAnsi="宋体"/>
          <w:color w:val="auto"/>
          <w:szCs w:val="21"/>
          <w:highlight w:val="none"/>
          <w:u w:val="single"/>
        </w:rPr>
        <w:t>除上述违约责任外，因承包人履行本合同不符合约定或相关规定，发包人可根据实际情况，给予承包人通报批评及作不良记录等处罚措施；情节严重的，可报请上级行政主管部门给予相应处罚</w:t>
      </w:r>
      <w:r>
        <w:rPr>
          <w:rFonts w:hint="eastAsia" w:ascii="宋体" w:hAnsi="宋体"/>
          <w:color w:val="auto"/>
          <w:szCs w:val="21"/>
          <w:highlight w:val="none"/>
        </w:rPr>
        <w:t>。</w:t>
      </w:r>
    </w:p>
    <w:p>
      <w:pPr>
        <w:snapToGrid w:val="0"/>
        <w:spacing w:line="440" w:lineRule="exact"/>
        <w:ind w:firstLine="397"/>
        <w:rPr>
          <w:rFonts w:hint="eastAsia" w:ascii="宋体" w:hAnsi="宋体"/>
          <w:color w:val="auto"/>
          <w:szCs w:val="21"/>
          <w:highlight w:val="none"/>
          <w:u w:val="single"/>
        </w:rPr>
      </w:pPr>
      <w:r>
        <w:rPr>
          <w:rFonts w:hint="eastAsia" w:ascii="宋体" w:hAnsi="宋体"/>
          <w:color w:val="auto"/>
          <w:szCs w:val="21"/>
          <w:highlight w:val="none"/>
          <w:u w:val="single"/>
        </w:rPr>
        <w:t>35.2.11承包人违约责任的认定方式、送达程序及违约金的处理</w:t>
      </w:r>
    </w:p>
    <w:p>
      <w:pPr>
        <w:snapToGrid w:val="0"/>
        <w:spacing w:line="440" w:lineRule="exact"/>
        <w:ind w:firstLine="397"/>
        <w:rPr>
          <w:rFonts w:hint="eastAsia" w:ascii="宋体" w:hAnsi="宋体"/>
          <w:color w:val="auto"/>
          <w:szCs w:val="21"/>
          <w:highlight w:val="none"/>
          <w:u w:val="single"/>
        </w:rPr>
      </w:pPr>
      <w:r>
        <w:rPr>
          <w:rFonts w:hint="eastAsia" w:ascii="宋体" w:hAnsi="宋体"/>
          <w:color w:val="auto"/>
          <w:szCs w:val="21"/>
          <w:highlight w:val="none"/>
          <w:u w:val="single"/>
        </w:rPr>
        <w:t>（1）认定方式：以发包人发出的通知、通报、会议纪要等书面文件确定的内容为准。</w:t>
      </w:r>
    </w:p>
    <w:p>
      <w:pPr>
        <w:snapToGrid w:val="0"/>
        <w:spacing w:line="440" w:lineRule="exact"/>
        <w:ind w:firstLine="397"/>
        <w:rPr>
          <w:rFonts w:hint="eastAsia" w:ascii="宋体" w:hAnsi="宋体"/>
          <w:color w:val="auto"/>
          <w:szCs w:val="21"/>
          <w:highlight w:val="none"/>
          <w:u w:val="single"/>
        </w:rPr>
      </w:pPr>
      <w:r>
        <w:rPr>
          <w:rFonts w:hint="eastAsia" w:ascii="宋体" w:hAnsi="宋体"/>
          <w:color w:val="auto"/>
          <w:szCs w:val="21"/>
          <w:highlight w:val="none"/>
          <w:u w:val="single"/>
        </w:rPr>
        <w:t>（2）送达程序：发包人以下列方式之一将书面违约处理决定送达承包人：</w:t>
      </w:r>
    </w:p>
    <w:p>
      <w:pPr>
        <w:snapToGrid w:val="0"/>
        <w:spacing w:line="440" w:lineRule="exact"/>
        <w:ind w:firstLine="397"/>
        <w:rPr>
          <w:rFonts w:hint="eastAsia" w:ascii="宋体" w:hAnsi="宋体"/>
          <w:color w:val="auto"/>
          <w:szCs w:val="21"/>
          <w:highlight w:val="none"/>
          <w:u w:val="single"/>
        </w:rPr>
      </w:pPr>
      <w:r>
        <w:rPr>
          <w:rFonts w:hint="eastAsia" w:ascii="宋体" w:hAnsi="宋体"/>
          <w:color w:val="auto"/>
          <w:szCs w:val="21"/>
          <w:highlight w:val="none"/>
          <w:u w:val="single"/>
        </w:rPr>
        <w:t>1）承包人现场管理机构工作人员签收。</w:t>
      </w:r>
    </w:p>
    <w:p>
      <w:pPr>
        <w:snapToGrid w:val="0"/>
        <w:spacing w:line="440" w:lineRule="exact"/>
        <w:ind w:firstLine="397"/>
        <w:rPr>
          <w:rFonts w:hint="eastAsia" w:ascii="宋体" w:hAnsi="宋体"/>
          <w:color w:val="auto"/>
          <w:szCs w:val="21"/>
          <w:highlight w:val="none"/>
          <w:u w:val="single"/>
        </w:rPr>
      </w:pPr>
      <w:r>
        <w:rPr>
          <w:rFonts w:hint="eastAsia" w:ascii="宋体" w:hAnsi="宋体"/>
          <w:color w:val="auto"/>
          <w:szCs w:val="21"/>
          <w:highlight w:val="none"/>
          <w:u w:val="single"/>
        </w:rPr>
        <w:t>2）承包人其他工作人员签收。</w:t>
      </w:r>
    </w:p>
    <w:p>
      <w:pPr>
        <w:snapToGrid w:val="0"/>
        <w:spacing w:line="440" w:lineRule="exact"/>
        <w:ind w:firstLine="397"/>
        <w:rPr>
          <w:rFonts w:hint="eastAsia" w:ascii="宋体" w:hAnsi="宋体"/>
          <w:color w:val="auto"/>
          <w:szCs w:val="21"/>
          <w:highlight w:val="none"/>
          <w:u w:val="single"/>
        </w:rPr>
      </w:pPr>
      <w:r>
        <w:rPr>
          <w:rFonts w:hint="eastAsia" w:ascii="宋体" w:hAnsi="宋体"/>
          <w:color w:val="auto"/>
          <w:szCs w:val="21"/>
          <w:highlight w:val="none"/>
          <w:u w:val="single"/>
        </w:rPr>
        <w:t>3）发包人邮寄送达。</w:t>
      </w:r>
    </w:p>
    <w:p>
      <w:pPr>
        <w:snapToGrid w:val="0"/>
        <w:spacing w:line="440" w:lineRule="exact"/>
        <w:ind w:firstLine="397"/>
        <w:rPr>
          <w:rFonts w:hint="eastAsia" w:ascii="宋体" w:hAnsi="宋体"/>
          <w:color w:val="auto"/>
          <w:szCs w:val="21"/>
          <w:highlight w:val="none"/>
          <w:u w:val="single"/>
        </w:rPr>
      </w:pPr>
      <w:r>
        <w:rPr>
          <w:rFonts w:hint="eastAsia" w:ascii="宋体" w:hAnsi="宋体"/>
          <w:color w:val="auto"/>
          <w:szCs w:val="21"/>
          <w:highlight w:val="none"/>
          <w:u w:val="single"/>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个工作日内审核完毕且作出书面决定并通知承包人。在异议审核期间，承包人须正常施工，不得以审核未确定为由拖延或者中止工程施工。</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37</w:t>
      </w:r>
      <w:r>
        <w:rPr>
          <w:rFonts w:hint="eastAsia" w:ascii="宋体" w:hAnsi="宋体"/>
          <w:b/>
          <w:color w:val="auto"/>
          <w:sz w:val="24"/>
          <w:highlight w:val="none"/>
        </w:rPr>
        <w:t>、争议</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37.1</w:t>
      </w:r>
      <w:r>
        <w:rPr>
          <w:rFonts w:hint="eastAsia" w:ascii="宋体" w:hAnsi="宋体"/>
          <w:color w:val="auto"/>
          <w:szCs w:val="21"/>
          <w:highlight w:val="none"/>
        </w:rPr>
        <w:t>双方约定，在履行合同过程中产生争议时：</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）由双方协商解决；</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）协商不成的，向</w:t>
      </w:r>
      <w:r>
        <w:rPr>
          <w:rFonts w:hint="eastAsia" w:ascii="宋体" w:hAnsi="宋体"/>
          <w:color w:val="auto"/>
          <w:szCs w:val="21"/>
          <w:highlight w:val="none"/>
          <w:u w:val="single"/>
        </w:rPr>
        <w:t>工程所在地</w:t>
      </w:r>
      <w:r>
        <w:rPr>
          <w:rFonts w:hint="eastAsia" w:ascii="宋体" w:hAnsi="宋体"/>
          <w:color w:val="auto"/>
          <w:szCs w:val="21"/>
          <w:highlight w:val="none"/>
        </w:rPr>
        <w:t>人民法院提起诉讼。</w:t>
      </w:r>
    </w:p>
    <w:p>
      <w:pPr>
        <w:snapToGrid w:val="0"/>
        <w:spacing w:line="440" w:lineRule="exact"/>
        <w:ind w:firstLine="397"/>
        <w:rPr>
          <w:rFonts w:ascii="宋体" w:hAnsi="宋体"/>
          <w:b/>
          <w:color w:val="auto"/>
          <w:sz w:val="24"/>
          <w:highlight w:val="none"/>
        </w:rPr>
      </w:pPr>
      <w:r>
        <w:rPr>
          <w:rFonts w:hint="eastAsia" w:ascii="宋体" w:hAnsi="宋体"/>
          <w:b/>
          <w:color w:val="auto"/>
          <w:sz w:val="24"/>
          <w:highlight w:val="none"/>
        </w:rPr>
        <w:t>十一、其他</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38</w:t>
      </w:r>
      <w:r>
        <w:rPr>
          <w:rFonts w:hint="eastAsia" w:ascii="宋体" w:hAnsi="宋体"/>
          <w:b/>
          <w:color w:val="auto"/>
          <w:sz w:val="24"/>
          <w:highlight w:val="none"/>
        </w:rPr>
        <w:t>、工程分包</w:t>
      </w:r>
    </w:p>
    <w:p>
      <w:pPr>
        <w:snapToGrid w:val="0"/>
        <w:spacing w:line="440" w:lineRule="exact"/>
        <w:ind w:firstLine="397"/>
        <w:rPr>
          <w:rFonts w:hint="eastAsia" w:ascii="宋体" w:hAnsi="宋体"/>
          <w:color w:val="auto"/>
          <w:szCs w:val="21"/>
          <w:highlight w:val="none"/>
        </w:rPr>
      </w:pPr>
      <w:r>
        <w:rPr>
          <w:rFonts w:hint="eastAsia" w:ascii="宋体" w:hAnsi="宋体"/>
          <w:color w:val="auto"/>
          <w:szCs w:val="21"/>
          <w:highlight w:val="none"/>
        </w:rPr>
        <w:t>38.1（1）本工程发包人同意承包人分包的工程：非主体非关键工程。承包人分包工程的，需先报发包人同意，分包合同签订后必须报发包人备案。承包人与分包单位签订的分包合同中应明确工人工资比例及支付期限。</w:t>
      </w:r>
    </w:p>
    <w:p>
      <w:pPr>
        <w:snapToGrid w:val="0"/>
        <w:spacing w:line="440" w:lineRule="exact"/>
        <w:ind w:firstLine="397"/>
        <w:rPr>
          <w:rFonts w:hint="eastAsia" w:ascii="宋体" w:hAnsi="宋体"/>
          <w:color w:val="auto"/>
          <w:sz w:val="28"/>
          <w:szCs w:val="28"/>
          <w:highlight w:val="none"/>
        </w:rPr>
      </w:pPr>
      <w:r>
        <w:rPr>
          <w:rFonts w:hint="eastAsia" w:ascii="宋体" w:hAnsi="宋体"/>
          <w:color w:val="auto"/>
          <w:szCs w:val="21"/>
          <w:highlight w:val="none"/>
        </w:rPr>
        <w:t>劳务分包必须严格执行广州市相关规定，禁止分包劳务给无资质单位或个人。在发包人同意承包人进行劳务分包的情况下，劳务分包单位须与向政府相关部门备案的劳务分包的单位一致，不得私自变更劳务分包单位。</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39</w:t>
      </w:r>
      <w:r>
        <w:rPr>
          <w:rFonts w:hint="eastAsia" w:ascii="宋体" w:hAnsi="宋体"/>
          <w:b/>
          <w:color w:val="auto"/>
          <w:sz w:val="24"/>
          <w:highlight w:val="none"/>
        </w:rPr>
        <w:t>、不可抗力</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39.1</w:t>
      </w:r>
      <w:r>
        <w:rPr>
          <w:rFonts w:hint="eastAsia" w:ascii="宋体" w:hAnsi="宋体"/>
          <w:color w:val="auto"/>
          <w:szCs w:val="21"/>
          <w:highlight w:val="none"/>
        </w:rPr>
        <w:t>双方关于不可抗力的约定：按本合同通用条款执行，自然灾害的范围及其认定方式，按下述约定执行：</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u w:val="single"/>
        </w:rPr>
        <w:t>异常天气：仅指</w:t>
      </w:r>
      <w:r>
        <w:rPr>
          <w:rFonts w:ascii="宋体" w:hAnsi="宋体"/>
          <w:color w:val="auto"/>
          <w:szCs w:val="21"/>
          <w:highlight w:val="none"/>
          <w:u w:val="single"/>
        </w:rPr>
        <w:t>50年一遇以上（含50年）的洪水、10级（含本数）以上台风，因异常天气袭击工地为确保安全而停工的，承包人应于台风、洪水天气结束之日起七日内，向当地气象部门索取工程所在地台风、暴雨天气资料或报告（含气象实况及对此分析的内容），连同施工日志、现场照片办理证据保全公证，方可认定为是不可抗力</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u w:val="single"/>
        </w:rPr>
        <w:t>里氏</w:t>
      </w:r>
      <w:r>
        <w:rPr>
          <w:rFonts w:ascii="宋体" w:hAnsi="宋体"/>
          <w:color w:val="auto"/>
          <w:szCs w:val="21"/>
          <w:highlight w:val="none"/>
          <w:u w:val="single"/>
        </w:rPr>
        <w:t>5级（含本数）以上地震</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39.3双方关于不可抗力事件导致的</w:t>
      </w:r>
      <w:r>
        <w:rPr>
          <w:rFonts w:hint="eastAsia" w:ascii="宋体" w:hAnsi="宋体"/>
          <w:color w:val="auto"/>
          <w:szCs w:val="21"/>
          <w:highlight w:val="none"/>
        </w:rPr>
        <w:t>费用承担</w:t>
      </w:r>
      <w:r>
        <w:rPr>
          <w:rFonts w:hint="eastAsia" w:ascii="宋体" w:hAnsi="宋体"/>
          <w:color w:val="auto"/>
          <w:szCs w:val="21"/>
          <w:highlight w:val="none"/>
          <w:u w:val="single"/>
        </w:rPr>
        <w:t>按本专用条款</w:t>
      </w:r>
      <w:r>
        <w:rPr>
          <w:rFonts w:ascii="宋体" w:hAnsi="宋体"/>
          <w:color w:val="auto"/>
          <w:szCs w:val="21"/>
          <w:highlight w:val="none"/>
          <w:u w:val="single"/>
        </w:rPr>
        <w:t>12.3款约定</w:t>
      </w:r>
      <w:r>
        <w:rPr>
          <w:rFonts w:ascii="宋体" w:hAnsi="宋体"/>
          <w:color w:val="auto"/>
          <w:szCs w:val="21"/>
          <w:highlight w:val="none"/>
        </w:rPr>
        <w:t>执行</w:t>
      </w:r>
      <w:r>
        <w:rPr>
          <w:rFonts w:hint="eastAsia" w:ascii="宋体" w:hAnsi="宋体"/>
          <w:color w:val="auto"/>
          <w:szCs w:val="21"/>
          <w:highlight w:val="none"/>
        </w:rPr>
        <w:t>。</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40</w:t>
      </w:r>
      <w:r>
        <w:rPr>
          <w:rFonts w:hint="eastAsia" w:ascii="宋体" w:hAnsi="宋体"/>
          <w:b/>
          <w:color w:val="auto"/>
          <w:sz w:val="24"/>
          <w:highlight w:val="none"/>
        </w:rPr>
        <w:t>、保险</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40.2承包人对其运至施工场地内用于工程的材料和待安装设备办理保险并支付保险费</w:t>
      </w:r>
      <w:r>
        <w:rPr>
          <w:rFonts w:hint="eastAsia" w:ascii="宋体" w:hAnsi="宋体"/>
          <w:color w:val="auto"/>
          <w:szCs w:val="21"/>
          <w:highlight w:val="none"/>
        </w:rPr>
        <w:t>用。</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40.6</w:t>
      </w:r>
      <w:r>
        <w:rPr>
          <w:rFonts w:hint="eastAsia" w:ascii="宋体" w:hAnsi="宋体"/>
          <w:color w:val="auto"/>
          <w:szCs w:val="21"/>
          <w:highlight w:val="none"/>
        </w:rPr>
        <w:t>本工程双方约定投保内容如下：</w:t>
      </w:r>
    </w:p>
    <w:p>
      <w:pPr>
        <w:snapToGrid w:val="0"/>
        <w:spacing w:line="440" w:lineRule="exact"/>
        <w:ind w:left="397"/>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发包人投保内容：</w:t>
      </w:r>
      <w:r>
        <w:rPr>
          <w:rFonts w:hint="eastAsia" w:ascii="宋体" w:hAnsi="宋体"/>
          <w:color w:val="auto"/>
          <w:szCs w:val="21"/>
          <w:highlight w:val="none"/>
          <w:u w:val="single"/>
        </w:rPr>
        <w:t>按广州市建设项目劳动保险相关规定投保</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发包人委托承包人办理的保险事项：</w:t>
      </w:r>
      <w:r>
        <w:rPr>
          <w:rFonts w:ascii="宋体" w:hAnsi="宋体"/>
          <w:color w:val="auto"/>
          <w:szCs w:val="21"/>
          <w:highlight w:val="none"/>
          <w:u w:val="single"/>
        </w:rPr>
        <w:t xml:space="preserve">       /           </w:t>
      </w:r>
      <w:r>
        <w:rPr>
          <w:rFonts w:hint="eastAsia" w:ascii="宋体" w:hAnsi="宋体"/>
          <w:color w:val="auto"/>
          <w:szCs w:val="21"/>
          <w:highlight w:val="none"/>
        </w:rPr>
        <w:t>。</w:t>
      </w:r>
    </w:p>
    <w:p>
      <w:pPr>
        <w:snapToGrid w:val="0"/>
        <w:spacing w:line="440" w:lineRule="exact"/>
        <w:ind w:left="397"/>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承包人投保内容：</w:t>
      </w:r>
      <w:r>
        <w:rPr>
          <w:rFonts w:hint="eastAsia" w:ascii="宋体" w:hAnsi="宋体"/>
          <w:color w:val="auto"/>
          <w:szCs w:val="21"/>
          <w:highlight w:val="none"/>
          <w:u w:val="single"/>
        </w:rPr>
        <w:t>开工前承包人应当投保安全生产责任保险，且该保险保障场所应包含本项目，合同价视作已含该项费用。承包人未按规定购买安全生产责任保险，发包人可视严重程度拒绝该单位一定时期内参与后续工程投标</w:t>
      </w:r>
      <w:r>
        <w:rPr>
          <w:rFonts w:hint="eastAsia" w:ascii="宋体" w:hAnsi="宋体"/>
          <w:color w:val="auto"/>
          <w:szCs w:val="21"/>
          <w:highlight w:val="none"/>
        </w:rPr>
        <w:t>。</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41</w:t>
      </w:r>
      <w:r>
        <w:rPr>
          <w:rFonts w:hint="eastAsia" w:ascii="宋体" w:hAnsi="宋体"/>
          <w:b/>
          <w:color w:val="auto"/>
          <w:sz w:val="24"/>
          <w:highlight w:val="none"/>
        </w:rPr>
        <w:t>、担保</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41.1</w:t>
      </w:r>
      <w:r>
        <w:rPr>
          <w:rFonts w:hint="eastAsia" w:ascii="宋体" w:hAnsi="宋体"/>
          <w:color w:val="auto"/>
          <w:szCs w:val="21"/>
          <w:highlight w:val="none"/>
        </w:rPr>
        <w:t>本工程双方约定担保事项如下：</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发包人向承包人提供履约担保，担保方式为：</w:t>
      </w:r>
      <w:r>
        <w:rPr>
          <w:rFonts w:ascii="宋体" w:hAnsi="宋体"/>
          <w:color w:val="auto"/>
          <w:szCs w:val="21"/>
          <w:highlight w:val="none"/>
          <w:u w:val="single"/>
        </w:rPr>
        <w:t xml:space="preserve">   /   </w:t>
      </w:r>
      <w:r>
        <w:rPr>
          <w:rFonts w:hint="eastAsia" w:ascii="宋体" w:hAnsi="宋体"/>
          <w:color w:val="auto"/>
          <w:szCs w:val="21"/>
          <w:highlight w:val="none"/>
        </w:rPr>
        <w:t>，担保合同作为本合同附件。</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承包人按如下方式向发包人提供履约担保：</w:t>
      </w:r>
    </w:p>
    <w:p>
      <w:pPr>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① 履约担保：</w:t>
      </w:r>
      <w:r>
        <w:rPr>
          <w:rFonts w:hint="eastAsia" w:ascii="宋体" w:hAnsi="宋体"/>
          <w:color w:val="auto"/>
          <w:szCs w:val="21"/>
          <w:highlight w:val="none"/>
          <w:u w:val="single"/>
        </w:rPr>
        <w:t>承包人向发包人提交担保金额为中标价</w:t>
      </w:r>
      <w:r>
        <w:rPr>
          <w:rFonts w:ascii="宋体" w:hAnsi="宋体"/>
          <w:color w:val="auto"/>
          <w:szCs w:val="21"/>
          <w:highlight w:val="none"/>
          <w:u w:val="single"/>
        </w:rPr>
        <w:t>10%</w:t>
      </w:r>
      <w:r>
        <w:rPr>
          <w:rFonts w:hint="eastAsia" w:ascii="宋体" w:hAnsi="宋体"/>
          <w:color w:val="auto"/>
          <w:szCs w:val="21"/>
          <w:highlight w:val="none"/>
          <w:u w:val="single"/>
        </w:rPr>
        <w:t>的履约担保，以银行保函形式提交。履约担保为银行保函的，须广州市内分行以上的银行开具的无条件、不可撤销的保函，保函有效期至工程竣工验收合格之日。履约银行保函到期但工程尚未竣工的，承包人应自觉办理保函延期手续，确保担保期限不出现空缺，否则，发包人不予支付工程款</w:t>
      </w:r>
      <w:r>
        <w:rPr>
          <w:rFonts w:hint="eastAsia" w:ascii="宋体" w:hAnsi="宋体"/>
          <w:color w:val="auto"/>
          <w:szCs w:val="21"/>
          <w:highlight w:val="none"/>
        </w:rPr>
        <w:t>。</w:t>
      </w:r>
    </w:p>
    <w:p>
      <w:pPr>
        <w:snapToGrid w:val="0"/>
        <w:spacing w:line="440" w:lineRule="exact"/>
        <w:ind w:firstLine="296" w:firstLineChars="141"/>
        <w:rPr>
          <w:rFonts w:hint="eastAsia" w:ascii="宋体" w:hAnsi="宋体"/>
          <w:color w:val="auto"/>
          <w:szCs w:val="21"/>
          <w:highlight w:val="none"/>
        </w:rPr>
      </w:pPr>
      <w:r>
        <w:rPr>
          <w:rFonts w:hint="eastAsia" w:ascii="宋体" w:hAnsi="宋体"/>
          <w:color w:val="auto"/>
          <w:szCs w:val="21"/>
          <w:highlight w:val="none"/>
        </w:rPr>
        <w:t>首次办理履约保函，如合同工期低于1年的，担保期限可按合同工期，如合同工期高于1年的，担保期限不低于1年。</w:t>
      </w:r>
    </w:p>
    <w:p>
      <w:pPr>
        <w:snapToGrid w:val="0"/>
        <w:spacing w:line="440" w:lineRule="exact"/>
        <w:ind w:firstLine="296" w:firstLineChars="141"/>
        <w:rPr>
          <w:rFonts w:hint="eastAsia" w:ascii="宋体" w:hAnsi="宋体"/>
          <w:color w:val="auto"/>
          <w:szCs w:val="21"/>
          <w:highlight w:val="none"/>
        </w:rPr>
      </w:pPr>
      <w:r>
        <w:rPr>
          <w:rFonts w:hint="eastAsia" w:ascii="宋体" w:hAnsi="宋体"/>
          <w:color w:val="auto"/>
          <w:szCs w:val="21"/>
          <w:highlight w:val="none"/>
        </w:rPr>
        <w:t>履约保函</w:t>
      </w:r>
      <w:r>
        <w:rPr>
          <w:rFonts w:hint="eastAsia" w:ascii="宋体" w:hAnsi="宋体"/>
          <w:color w:val="auto"/>
          <w:szCs w:val="21"/>
          <w:highlight w:val="none"/>
          <w:u w:val="single"/>
        </w:rPr>
        <w:t>办理延期手续</w:t>
      </w:r>
      <w:r>
        <w:rPr>
          <w:rFonts w:hint="eastAsia" w:ascii="宋体" w:hAnsi="宋体"/>
          <w:color w:val="auto"/>
          <w:szCs w:val="21"/>
          <w:highlight w:val="none"/>
        </w:rPr>
        <w:t>时，若项目的完成工程量不足一半，担保金额按中标价的10%；若项目的完成工程量超过一半，担保金额可按中标价的5%；其他特殊情况需调整的，需报发包人审议同意。</w:t>
      </w:r>
    </w:p>
    <w:p>
      <w:pPr>
        <w:snapToGrid w:val="0"/>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rPr>
        <w:t>② 履约担保的返还方式：</w:t>
      </w:r>
      <w:r>
        <w:rPr>
          <w:rFonts w:ascii="宋体" w:hAnsi="宋体"/>
          <w:color w:val="auto"/>
          <w:szCs w:val="21"/>
          <w:highlight w:val="none"/>
          <w:u w:val="single"/>
        </w:rPr>
        <w:t>履约担保为银行保函的，在工程验收合格</w:t>
      </w:r>
      <w:r>
        <w:rPr>
          <w:rFonts w:hint="eastAsia" w:ascii="宋体" w:hAnsi="宋体"/>
          <w:color w:val="auto"/>
          <w:szCs w:val="21"/>
          <w:highlight w:val="none"/>
          <w:u w:val="single"/>
        </w:rPr>
        <w:t>后返还承包人</w:t>
      </w:r>
      <w:r>
        <w:rPr>
          <w:rFonts w:hint="eastAsia" w:ascii="宋体" w:hAnsi="宋体"/>
          <w:color w:val="auto"/>
          <w:szCs w:val="21"/>
          <w:highlight w:val="none"/>
        </w:rPr>
        <w:t>。</w:t>
      </w:r>
    </w:p>
    <w:p>
      <w:pPr>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u w:val="single"/>
        </w:rPr>
        <w:t>银行保函的管理和格式按《广州开发区财政投资建设项目管理中心建设工程保函管理细则》执行</w:t>
      </w:r>
      <w:r>
        <w:rPr>
          <w:rFonts w:hint="eastAsia" w:ascii="宋体" w:hAnsi="宋体"/>
          <w:color w:val="auto"/>
          <w:szCs w:val="21"/>
          <w:highlight w:val="none"/>
        </w:rPr>
        <w:t>。</w:t>
      </w:r>
    </w:p>
    <w:p>
      <w:pPr>
        <w:adjustRightInd w:val="0"/>
        <w:snapToGrid w:val="0"/>
        <w:spacing w:line="360" w:lineRule="auto"/>
        <w:ind w:right="11" w:firstLine="420" w:firstLineChars="200"/>
        <w:outlineLvl w:val="3"/>
        <w:rPr>
          <w:rFonts w:hint="eastAsia" w:ascii="宋体" w:hAnsi="宋体"/>
          <w:color w:val="auto"/>
          <w:szCs w:val="21"/>
          <w:highlight w:val="none"/>
        </w:rPr>
      </w:pPr>
      <w:r>
        <w:rPr>
          <w:rFonts w:hint="eastAsia" w:ascii="宋体" w:hAnsi="宋体"/>
          <w:color w:val="auto"/>
          <w:szCs w:val="21"/>
          <w:highlight w:val="none"/>
        </w:rPr>
        <w:t>（3）承包人提交的履约担保是对本合同约定的承包人的全部义务（包括但不限于承包人违约后应支付的违约金和赔偿金）的担保，承包人的任何一次不履行或不完全履行合同义务的行为，发包人均有权提出索赔。</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46</w:t>
      </w:r>
      <w:r>
        <w:rPr>
          <w:rFonts w:hint="eastAsia" w:ascii="宋体" w:hAnsi="宋体"/>
          <w:b/>
          <w:color w:val="auto"/>
          <w:sz w:val="24"/>
          <w:highlight w:val="none"/>
        </w:rPr>
        <w:t>、合同份数</w:t>
      </w: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46.1</w:t>
      </w:r>
      <w:r>
        <w:rPr>
          <w:rFonts w:hint="eastAsia" w:ascii="宋体" w:hAnsi="宋体"/>
          <w:color w:val="auto"/>
          <w:szCs w:val="21"/>
          <w:highlight w:val="none"/>
        </w:rPr>
        <w:t>双方约定合同正副本份数：</w:t>
      </w:r>
      <w:r>
        <w:rPr>
          <w:rFonts w:hint="eastAsia" w:ascii="宋体" w:hAnsi="宋体"/>
          <w:color w:val="auto"/>
          <w:szCs w:val="21"/>
          <w:highlight w:val="none"/>
          <w:u w:val="single"/>
        </w:rPr>
        <w:t>共拾份，正本一式贰份，发包人承包人各执壹份；副本捌份，发包人肆份，承包人叁份，监理人壹份</w:t>
      </w:r>
      <w:r>
        <w:rPr>
          <w:rFonts w:hint="eastAsia" w:ascii="宋体" w:hAnsi="宋体"/>
          <w:color w:val="auto"/>
          <w:szCs w:val="21"/>
          <w:highlight w:val="none"/>
        </w:rPr>
        <w:t>。</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47</w:t>
      </w:r>
      <w:r>
        <w:rPr>
          <w:rFonts w:hint="eastAsia" w:ascii="宋体" w:hAnsi="宋体"/>
          <w:b/>
          <w:color w:val="auto"/>
          <w:sz w:val="24"/>
          <w:highlight w:val="none"/>
        </w:rPr>
        <w:t>、补充条款</w:t>
      </w:r>
    </w:p>
    <w:p>
      <w:pPr>
        <w:spacing w:line="440" w:lineRule="exact"/>
        <w:ind w:firstLine="420" w:firstLineChars="200"/>
        <w:rPr>
          <w:rFonts w:ascii="仿宋_GB2312" w:hAnsi="宋体" w:eastAsia="仿宋_GB2312"/>
          <w:color w:val="auto"/>
          <w:szCs w:val="21"/>
          <w:highlight w:val="none"/>
        </w:rPr>
      </w:pPr>
      <w:r>
        <w:rPr>
          <w:rFonts w:hint="eastAsia" w:ascii="仿宋_GB2312" w:hAnsi="宋体" w:eastAsia="仿宋_GB2312"/>
          <w:color w:val="auto"/>
          <w:szCs w:val="21"/>
          <w:highlight w:val="none"/>
        </w:rPr>
        <w:t>（</w:t>
      </w:r>
      <w:r>
        <w:rPr>
          <w:rFonts w:hint="eastAsia" w:ascii="仿宋_GB2312" w:hAnsi="宋体" w:eastAsia="仿宋_GB2312"/>
          <w:b/>
          <w:color w:val="auto"/>
          <w:szCs w:val="21"/>
          <w:highlight w:val="none"/>
        </w:rPr>
        <w:t>安全、文明、科学、规范的施工要求</w:t>
      </w:r>
      <w:r>
        <w:rPr>
          <w:rFonts w:hint="eastAsia" w:ascii="仿宋_GB2312" w:hAnsi="宋体" w:eastAsia="仿宋_GB2312"/>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47.1</w:t>
      </w:r>
      <w:r>
        <w:rPr>
          <w:rFonts w:hint="eastAsia" w:ascii="宋体" w:hAnsi="宋体"/>
          <w:color w:val="auto"/>
          <w:szCs w:val="21"/>
          <w:highlight w:val="none"/>
          <w:u w:val="single"/>
        </w:rPr>
        <w:t>承包人在开工前，必须按照广州市、开发区有关要求办理好相应的施工手续方可开工</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47.2</w:t>
      </w:r>
      <w:r>
        <w:rPr>
          <w:rFonts w:hint="eastAsia" w:ascii="宋体" w:hAnsi="宋体"/>
          <w:color w:val="auto"/>
          <w:szCs w:val="21"/>
          <w:highlight w:val="none"/>
          <w:u w:val="single"/>
        </w:rPr>
        <w:t>施工范围的具体位置及可交付承包人施工安排的用地范围，由承包人根据现场勘察情况报发包人同意确定，建筑轴线控制基点由承包人联系规划局提供</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47.3</w:t>
      </w:r>
      <w:r>
        <w:rPr>
          <w:rFonts w:hint="eastAsia" w:ascii="宋体" w:hAnsi="宋体"/>
          <w:color w:val="auto"/>
          <w:szCs w:val="21"/>
          <w:highlight w:val="none"/>
          <w:u w:val="single"/>
        </w:rPr>
        <w:t>承包人必须保证在收到中标通知书后五天内进场作好施工准备，十五天内提交有关开工报告、施工组织设计、主要材料厂家、材料品牌的选择报验，完成本工程所需的相关工作（如配合比试验、土工试验、场地原地面标高测量、导线放线及复测工作、水准点加密、现场临时设施建设等工作），经监理工程师批准开工或下达开工令后正式施工</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rPr>
      </w:pPr>
      <w:r>
        <w:rPr>
          <w:rFonts w:ascii="宋体" w:hAnsi="宋体"/>
          <w:color w:val="auto"/>
          <w:szCs w:val="21"/>
          <w:highlight w:val="none"/>
        </w:rPr>
        <w:t>47.4</w:t>
      </w:r>
      <w:r>
        <w:rPr>
          <w:rFonts w:hint="eastAsia" w:ascii="宋体" w:hAnsi="宋体"/>
          <w:color w:val="auto"/>
          <w:szCs w:val="21"/>
          <w:highlight w:val="none"/>
          <w:u w:val="single"/>
        </w:rPr>
        <w:t>承包人在施工期间要确保工程外场地清洁及道路畅通，如须使用他方道路，则还必须负责养护、保洁责任，否则责任自负。施工和警示标志明显，因施工造成人身损害和财产损失的，由承包人承担责任</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rPr>
      </w:pPr>
      <w:r>
        <w:rPr>
          <w:rFonts w:ascii="宋体" w:hAnsi="宋体"/>
          <w:color w:val="auto"/>
          <w:szCs w:val="21"/>
          <w:highlight w:val="none"/>
        </w:rPr>
        <w:t>47.5</w:t>
      </w:r>
      <w:r>
        <w:rPr>
          <w:rFonts w:hint="eastAsia" w:ascii="宋体" w:hAnsi="宋体"/>
          <w:color w:val="auto"/>
          <w:szCs w:val="21"/>
          <w:highlight w:val="none"/>
          <w:u w:val="single"/>
        </w:rPr>
        <w:t>承包人必须考虑安全、环保等因素在局部施工范围进行围蔽施工，现场围蔽不符合国家有关安全措施及技术要求的，不得开展施工作业，由此造成的工期延长，由承包人自己负责，当作延误工期处理</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47.6</w:t>
      </w:r>
      <w:r>
        <w:rPr>
          <w:rFonts w:hint="eastAsia" w:ascii="宋体" w:hAnsi="宋体"/>
          <w:color w:val="auto"/>
          <w:szCs w:val="21"/>
          <w:highlight w:val="none"/>
          <w:u w:val="single"/>
        </w:rPr>
        <w:t>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47.7</w:t>
      </w:r>
      <w:r>
        <w:rPr>
          <w:rFonts w:hint="eastAsia" w:ascii="宋体" w:hAnsi="宋体"/>
          <w:color w:val="auto"/>
          <w:szCs w:val="21"/>
          <w:highlight w:val="none"/>
          <w:u w:val="single"/>
        </w:rPr>
        <w:t>场内土方开挖时，承包人向发包人书面申请，并按发包人的书面批复进行调配平衡，不得任意处置，多余土方由承包人自行安排外运，竣工退场时必须清理施工现场，并达到发包人要求；若承包人未及时外运，则由发包人另行委托其他单位外运，所需费用从承包人工程款中扣付</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47.8</w:t>
      </w:r>
      <w:r>
        <w:rPr>
          <w:rFonts w:hint="eastAsia" w:ascii="宋体" w:hAnsi="宋体"/>
          <w:color w:val="auto"/>
          <w:szCs w:val="21"/>
          <w:highlight w:val="none"/>
          <w:u w:val="single"/>
        </w:rPr>
        <w:t>若遇阻碍施工需拆迁的旧建（构）筑物、地下孤石等障碍物，由承包人负责清障，所需清障费用经监理、发包人现场签证调整</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rPr>
      </w:pPr>
      <w:r>
        <w:rPr>
          <w:rFonts w:ascii="宋体" w:hAnsi="宋体"/>
          <w:color w:val="auto"/>
          <w:szCs w:val="21"/>
          <w:highlight w:val="none"/>
        </w:rPr>
        <w:t>47.9</w:t>
      </w:r>
      <w:r>
        <w:rPr>
          <w:rFonts w:hint="eastAsia" w:ascii="宋体" w:hAnsi="宋体"/>
          <w:color w:val="auto"/>
          <w:szCs w:val="21"/>
          <w:highlight w:val="none"/>
          <w:u w:val="single"/>
        </w:rPr>
        <w:t>在工程完成初验及工程实物移交给发包人或开发区有关的接收单位或部门后一个月内，承包人必须拆除本工程全部的施工临时设施，做到工完场清；否则，发包人有权安排清拆，由此所发生的一切费用在承包人的结算工程款中扣除</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rPr>
        <w:t>47.10</w:t>
      </w:r>
      <w:r>
        <w:rPr>
          <w:rFonts w:hint="eastAsia" w:ascii="宋体" w:hAnsi="宋体"/>
          <w:color w:val="auto"/>
          <w:szCs w:val="21"/>
          <w:highlight w:val="none"/>
          <w:u w:val="single"/>
        </w:rPr>
        <w:t>双方根据国家有关规定，结合具体工程约定质量缺陷责任期如下</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1、</w:t>
      </w:r>
      <w:r>
        <w:rPr>
          <w:rFonts w:hint="eastAsia" w:ascii="宋体" w:hAnsi="宋体"/>
          <w:color w:val="auto"/>
          <w:szCs w:val="21"/>
          <w:highlight w:val="none"/>
          <w:u w:val="single"/>
        </w:rPr>
        <w:t>基础设施工程、房屋建筑的地基基础工程和主体结构工程为</w:t>
      </w:r>
      <w:r>
        <w:rPr>
          <w:rFonts w:ascii="宋体" w:hAnsi="宋体"/>
          <w:color w:val="auto"/>
          <w:szCs w:val="21"/>
          <w:highlight w:val="none"/>
          <w:u w:val="single"/>
        </w:rPr>
        <w:t>2年</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2、</w:t>
      </w:r>
      <w:r>
        <w:rPr>
          <w:rFonts w:hint="eastAsia" w:ascii="宋体" w:hAnsi="宋体"/>
          <w:color w:val="auto"/>
          <w:szCs w:val="21"/>
          <w:highlight w:val="none"/>
          <w:u w:val="single"/>
        </w:rPr>
        <w:t>屋面防水工程为</w:t>
      </w:r>
      <w:r>
        <w:rPr>
          <w:rFonts w:ascii="宋体" w:hAnsi="宋体"/>
          <w:color w:val="auto"/>
          <w:szCs w:val="21"/>
          <w:highlight w:val="none"/>
          <w:u w:val="single"/>
        </w:rPr>
        <w:t xml:space="preserve"> 2 </w:t>
      </w:r>
      <w:r>
        <w:rPr>
          <w:rFonts w:hint="eastAsia" w:ascii="宋体" w:hAnsi="宋体"/>
          <w:color w:val="auto"/>
          <w:szCs w:val="21"/>
          <w:highlight w:val="none"/>
          <w:u w:val="single"/>
        </w:rPr>
        <w:t>年，室外装饰工程为</w:t>
      </w:r>
      <w:r>
        <w:rPr>
          <w:rFonts w:ascii="宋体" w:hAnsi="宋体"/>
          <w:color w:val="auto"/>
          <w:szCs w:val="21"/>
          <w:highlight w:val="none"/>
          <w:u w:val="single"/>
        </w:rPr>
        <w:t xml:space="preserve"> 2</w:t>
      </w:r>
      <w:r>
        <w:rPr>
          <w:rFonts w:hint="eastAsia" w:ascii="宋体" w:hAnsi="宋体"/>
          <w:color w:val="auto"/>
          <w:szCs w:val="21"/>
          <w:highlight w:val="none"/>
          <w:u w:val="single"/>
        </w:rPr>
        <w:t xml:space="preserve"> 年</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3、</w:t>
      </w:r>
      <w:r>
        <w:rPr>
          <w:rFonts w:hint="eastAsia" w:ascii="宋体" w:hAnsi="宋体"/>
          <w:color w:val="auto"/>
          <w:szCs w:val="21"/>
          <w:highlight w:val="none"/>
          <w:u w:val="single"/>
        </w:rPr>
        <w:t>电力管线、上下水管线安装工程为</w:t>
      </w:r>
      <w:r>
        <w:rPr>
          <w:rFonts w:ascii="宋体" w:hAnsi="宋体"/>
          <w:color w:val="auto"/>
          <w:szCs w:val="21"/>
          <w:highlight w:val="none"/>
          <w:u w:val="single"/>
        </w:rPr>
        <w:t xml:space="preserve"> 2 </w:t>
      </w:r>
      <w:r>
        <w:rPr>
          <w:rFonts w:hint="eastAsia" w:ascii="宋体" w:hAnsi="宋体"/>
          <w:color w:val="auto"/>
          <w:szCs w:val="21"/>
          <w:highlight w:val="none"/>
          <w:u w:val="single"/>
        </w:rPr>
        <w:t>年</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w:t>
      </w:r>
      <w:r>
        <w:rPr>
          <w:rFonts w:hint="eastAsia" w:ascii="宋体" w:hAnsi="宋体"/>
          <w:color w:val="auto"/>
          <w:szCs w:val="21"/>
          <w:highlight w:val="none"/>
          <w:u w:val="single"/>
        </w:rPr>
        <w:t>供热及供冷为</w:t>
      </w:r>
      <w:r>
        <w:rPr>
          <w:rFonts w:ascii="宋体" w:hAnsi="宋体"/>
          <w:color w:val="auto"/>
          <w:szCs w:val="21"/>
          <w:highlight w:val="none"/>
          <w:u w:val="single"/>
        </w:rPr>
        <w:t xml:space="preserve"> </w:t>
      </w:r>
      <w:r>
        <w:rPr>
          <w:rFonts w:hint="eastAsia" w:ascii="宋体" w:hAnsi="宋体"/>
          <w:color w:val="auto"/>
          <w:szCs w:val="21"/>
          <w:highlight w:val="none"/>
          <w:u w:val="single"/>
        </w:rPr>
        <w:t>2</w:t>
      </w:r>
      <w:r>
        <w:rPr>
          <w:rFonts w:ascii="宋体" w:hAnsi="宋体"/>
          <w:color w:val="auto"/>
          <w:szCs w:val="21"/>
          <w:highlight w:val="none"/>
          <w:u w:val="single"/>
        </w:rPr>
        <w:t xml:space="preserve"> </w:t>
      </w:r>
      <w:r>
        <w:rPr>
          <w:rFonts w:hint="eastAsia" w:ascii="宋体" w:hAnsi="宋体"/>
          <w:color w:val="auto"/>
          <w:szCs w:val="21"/>
          <w:highlight w:val="none"/>
          <w:u w:val="single"/>
        </w:rPr>
        <w:t>个采暖期及供冷期</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5、</w:t>
      </w:r>
      <w:r>
        <w:rPr>
          <w:rFonts w:hint="eastAsia" w:ascii="宋体" w:hAnsi="宋体"/>
          <w:color w:val="auto"/>
          <w:szCs w:val="21"/>
          <w:highlight w:val="none"/>
          <w:u w:val="single"/>
        </w:rPr>
        <w:t>室外的上下水和小区道路等市政公用工程为</w:t>
      </w:r>
      <w:r>
        <w:rPr>
          <w:rFonts w:ascii="宋体" w:hAnsi="宋体"/>
          <w:color w:val="auto"/>
          <w:szCs w:val="21"/>
          <w:highlight w:val="none"/>
          <w:u w:val="single"/>
        </w:rPr>
        <w:t xml:space="preserve"> </w:t>
      </w:r>
      <w:r>
        <w:rPr>
          <w:rFonts w:hint="eastAsia" w:ascii="宋体" w:hAnsi="宋体"/>
          <w:color w:val="auto"/>
          <w:szCs w:val="21"/>
          <w:highlight w:val="none"/>
          <w:u w:val="single"/>
        </w:rPr>
        <w:t>2</w:t>
      </w:r>
      <w:r>
        <w:rPr>
          <w:rFonts w:ascii="宋体" w:hAnsi="宋体"/>
          <w:color w:val="auto"/>
          <w:szCs w:val="21"/>
          <w:highlight w:val="none"/>
          <w:u w:val="single"/>
        </w:rPr>
        <w:t xml:space="preserve"> 年</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6、</w:t>
      </w:r>
      <w:r>
        <w:rPr>
          <w:rFonts w:hint="eastAsia" w:ascii="宋体" w:hAnsi="宋体"/>
          <w:color w:val="auto"/>
          <w:szCs w:val="21"/>
          <w:highlight w:val="none"/>
          <w:u w:val="single"/>
        </w:rPr>
        <w:t>市政道路排水工程为</w:t>
      </w:r>
      <w:r>
        <w:rPr>
          <w:rFonts w:ascii="宋体" w:hAnsi="宋体"/>
          <w:color w:val="auto"/>
          <w:szCs w:val="21"/>
          <w:highlight w:val="none"/>
          <w:u w:val="single"/>
        </w:rPr>
        <w:t xml:space="preserve"> 2 年，市政供水工程为 2 年</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7、</w:t>
      </w:r>
      <w:r>
        <w:rPr>
          <w:rFonts w:hint="eastAsia" w:ascii="宋体" w:hAnsi="宋体"/>
          <w:color w:val="auto"/>
          <w:szCs w:val="21"/>
          <w:highlight w:val="none"/>
          <w:u w:val="single"/>
        </w:rPr>
        <w:t>市政供电工程为</w:t>
      </w:r>
      <w:r>
        <w:rPr>
          <w:rFonts w:ascii="宋体" w:hAnsi="宋体"/>
          <w:color w:val="auto"/>
          <w:szCs w:val="21"/>
          <w:highlight w:val="none"/>
          <w:u w:val="single"/>
        </w:rPr>
        <w:t xml:space="preserve"> </w:t>
      </w:r>
      <w:r>
        <w:rPr>
          <w:rFonts w:hint="eastAsia" w:ascii="宋体" w:hAnsi="宋体"/>
          <w:color w:val="auto"/>
          <w:szCs w:val="21"/>
          <w:highlight w:val="none"/>
          <w:u w:val="single"/>
        </w:rPr>
        <w:t>2</w:t>
      </w:r>
      <w:r>
        <w:rPr>
          <w:rFonts w:ascii="宋体" w:hAnsi="宋体"/>
          <w:color w:val="auto"/>
          <w:szCs w:val="21"/>
          <w:highlight w:val="none"/>
          <w:u w:val="single"/>
        </w:rPr>
        <w:t xml:space="preserve"> 年，市政道路照明工程 </w:t>
      </w:r>
      <w:r>
        <w:rPr>
          <w:rFonts w:hint="eastAsia" w:ascii="宋体" w:hAnsi="宋体"/>
          <w:color w:val="auto"/>
          <w:szCs w:val="21"/>
          <w:highlight w:val="none"/>
          <w:u w:val="single"/>
        </w:rPr>
        <w:t>2</w:t>
      </w:r>
      <w:r>
        <w:rPr>
          <w:rFonts w:ascii="宋体" w:hAnsi="宋体"/>
          <w:color w:val="auto"/>
          <w:szCs w:val="21"/>
          <w:highlight w:val="none"/>
          <w:u w:val="single"/>
        </w:rPr>
        <w:t xml:space="preserve"> 年，市政交通设施工程为 </w:t>
      </w:r>
      <w:r>
        <w:rPr>
          <w:rFonts w:hint="eastAsia" w:ascii="宋体" w:hAnsi="宋体"/>
          <w:color w:val="auto"/>
          <w:szCs w:val="21"/>
          <w:highlight w:val="none"/>
          <w:u w:val="single"/>
        </w:rPr>
        <w:t>2</w:t>
      </w:r>
      <w:r>
        <w:rPr>
          <w:rFonts w:ascii="宋体" w:hAnsi="宋体"/>
          <w:color w:val="auto"/>
          <w:szCs w:val="21"/>
          <w:highlight w:val="none"/>
          <w:u w:val="single"/>
        </w:rPr>
        <w:t xml:space="preserve"> 年</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8、</w:t>
      </w:r>
      <w:r>
        <w:rPr>
          <w:rFonts w:hint="eastAsia" w:ascii="宋体" w:hAnsi="宋体"/>
          <w:color w:val="auto"/>
          <w:szCs w:val="21"/>
          <w:highlight w:val="none"/>
          <w:u w:val="single"/>
        </w:rPr>
        <w:t>园林建筑工程为</w:t>
      </w:r>
      <w:r>
        <w:rPr>
          <w:rFonts w:ascii="宋体" w:hAnsi="宋体"/>
          <w:color w:val="auto"/>
          <w:szCs w:val="21"/>
          <w:highlight w:val="none"/>
          <w:u w:val="single"/>
        </w:rPr>
        <w:t>1年，喷淋工程为2年，胸径15cm</w:t>
      </w:r>
      <w:r>
        <w:rPr>
          <w:rFonts w:hint="eastAsia" w:ascii="宋体" w:hAnsi="宋体"/>
          <w:color w:val="auto"/>
          <w:szCs w:val="21"/>
          <w:highlight w:val="none"/>
          <w:u w:val="single"/>
        </w:rPr>
        <w:t>以内（含</w:t>
      </w:r>
      <w:r>
        <w:rPr>
          <w:rFonts w:ascii="宋体" w:hAnsi="宋体"/>
          <w:color w:val="auto"/>
          <w:szCs w:val="21"/>
          <w:highlight w:val="none"/>
          <w:u w:val="single"/>
        </w:rPr>
        <w:t>15cm</w:t>
      </w:r>
      <w:r>
        <w:rPr>
          <w:rFonts w:hint="eastAsia" w:ascii="宋体" w:hAnsi="宋体"/>
          <w:color w:val="auto"/>
          <w:szCs w:val="21"/>
          <w:highlight w:val="none"/>
          <w:u w:val="single"/>
        </w:rPr>
        <w:t>）的苗木养护期为</w:t>
      </w:r>
      <w:r>
        <w:rPr>
          <w:rFonts w:ascii="宋体" w:hAnsi="宋体"/>
          <w:color w:val="auto"/>
          <w:szCs w:val="21"/>
          <w:highlight w:val="none"/>
          <w:u w:val="single"/>
        </w:rPr>
        <w:t>3个月，胸径15cm</w:t>
      </w:r>
      <w:r>
        <w:rPr>
          <w:rFonts w:hint="eastAsia" w:ascii="宋体" w:hAnsi="宋体"/>
          <w:color w:val="auto"/>
          <w:szCs w:val="21"/>
          <w:highlight w:val="none"/>
          <w:u w:val="single"/>
        </w:rPr>
        <w:t>以上的苗木养护期为</w:t>
      </w:r>
      <w:r>
        <w:rPr>
          <w:rFonts w:ascii="宋体" w:hAnsi="宋体"/>
          <w:color w:val="auto"/>
          <w:szCs w:val="21"/>
          <w:highlight w:val="none"/>
          <w:u w:val="single"/>
        </w:rPr>
        <w:t>1年</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9、</w:t>
      </w:r>
      <w:r>
        <w:rPr>
          <w:rFonts w:hint="eastAsia" w:ascii="宋体" w:hAnsi="宋体"/>
          <w:color w:val="auto"/>
          <w:szCs w:val="21"/>
          <w:highlight w:val="none"/>
          <w:u w:val="single"/>
        </w:rPr>
        <w:t>除上述专业工程外其它工程的质量缺陷责任期按相关规定或经双方另行协商确定</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本工程质量缺陷责任期从广州开发区管委会或其相关职能部门批准的提前移交之日或者正式通过竣工验收之日（以先发生日期为准）算起。缺陷责任期内，由承包人原因造成的缺陷，承包人应负责维修，并承担鉴定及维修费用。如承包人不维修也不承担费用，发包人可按合同约定扣除质量保修金，并由承包人承担违约责任。承包人维修并承担相应费用后，不免除对工程的一般损失赔偿责任</w:t>
      </w:r>
      <w:r>
        <w:rPr>
          <w:rFonts w:hint="eastAsia" w:ascii="宋体" w:hAnsi="宋体"/>
          <w:color w:val="auto"/>
          <w:szCs w:val="21"/>
          <w:highlight w:val="none"/>
        </w:rPr>
        <w:t>。</w:t>
      </w:r>
    </w:p>
    <w:p>
      <w:pPr>
        <w:spacing w:line="440" w:lineRule="exact"/>
        <w:ind w:firstLine="420" w:firstLineChars="200"/>
        <w:rPr>
          <w:rFonts w:hint="eastAsia" w:ascii="宋体" w:hAnsi="宋体"/>
          <w:color w:val="auto"/>
          <w:szCs w:val="21"/>
          <w:highlight w:val="none"/>
        </w:rPr>
      </w:pPr>
      <w:r>
        <w:rPr>
          <w:rFonts w:ascii="宋体" w:hAnsi="宋体"/>
          <w:color w:val="auto"/>
          <w:szCs w:val="21"/>
          <w:highlight w:val="none"/>
        </w:rPr>
        <w:t>47.1</w:t>
      </w:r>
      <w:r>
        <w:rPr>
          <w:rFonts w:hint="eastAsia" w:ascii="宋体" w:hAnsi="宋体"/>
          <w:color w:val="auto"/>
          <w:szCs w:val="21"/>
          <w:highlight w:val="none"/>
        </w:rPr>
        <w:t>1</w:t>
      </w:r>
      <w:r>
        <w:rPr>
          <w:rFonts w:hint="eastAsia" w:ascii="宋体" w:hAnsi="宋体"/>
          <w:color w:val="auto"/>
          <w:szCs w:val="21"/>
          <w:highlight w:val="none"/>
          <w:u w:val="single"/>
        </w:rPr>
        <w:t>本工程的保修期按本合同《工程质量保修责任书》规定的保修期限实行。在保修期内因施工质量而造成返修，其费用由承包人负责。工程质量按市政工程现行验评标准组织验收认定</w:t>
      </w:r>
      <w:r>
        <w:rPr>
          <w:rFonts w:hint="eastAsia" w:ascii="宋体" w:hAnsi="宋体"/>
          <w:color w:val="auto"/>
          <w:szCs w:val="21"/>
          <w:highlight w:val="none"/>
        </w:rPr>
        <w:t>。</w:t>
      </w:r>
    </w:p>
    <w:p>
      <w:pPr>
        <w:spacing w:line="44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47.12施工现场生活区应设置信息公示栏，每月10日前将上月作业工人考勤和工资结算和支付信息在信息公示栏进行公示，公示期不少于5天。</w:t>
      </w:r>
    </w:p>
    <w:p>
      <w:pPr>
        <w:spacing w:line="440" w:lineRule="exact"/>
        <w:ind w:firstLine="420" w:firstLineChars="200"/>
        <w:rPr>
          <w:rFonts w:ascii="仿宋_GB2312" w:hAnsi="宋体" w:eastAsia="仿宋_GB2312"/>
          <w:color w:val="auto"/>
          <w:szCs w:val="21"/>
          <w:highlight w:val="none"/>
          <w:u w:val="single"/>
        </w:rPr>
      </w:pPr>
      <w:r>
        <w:rPr>
          <w:rFonts w:hint="eastAsia" w:ascii="仿宋_GB2312" w:hAnsi="宋体" w:eastAsia="仿宋_GB2312"/>
          <w:color w:val="auto"/>
          <w:szCs w:val="21"/>
          <w:highlight w:val="none"/>
        </w:rPr>
        <w:t>（</w:t>
      </w:r>
      <w:r>
        <w:rPr>
          <w:rFonts w:hint="eastAsia" w:ascii="仿宋_GB2312" w:hAnsi="宋体" w:eastAsia="仿宋_GB2312"/>
          <w:b/>
          <w:color w:val="auto"/>
          <w:szCs w:val="21"/>
          <w:highlight w:val="none"/>
        </w:rPr>
        <w:t>农民工佣工要求</w:t>
      </w:r>
      <w:r>
        <w:rPr>
          <w:rFonts w:hint="eastAsia" w:ascii="仿宋_GB2312" w:hAnsi="宋体" w:eastAsia="仿宋_GB2312"/>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47.1</w:t>
      </w:r>
      <w:r>
        <w:rPr>
          <w:rFonts w:hint="eastAsia" w:ascii="宋体" w:hAnsi="宋体"/>
          <w:color w:val="auto"/>
          <w:szCs w:val="21"/>
          <w:highlight w:val="none"/>
        </w:rPr>
        <w:t>3</w:t>
      </w:r>
      <w:r>
        <w:rPr>
          <w:rFonts w:hint="eastAsia" w:ascii="宋体" w:hAnsi="宋体"/>
          <w:color w:val="auto"/>
          <w:szCs w:val="21"/>
          <w:highlight w:val="none"/>
          <w:u w:val="single"/>
        </w:rPr>
        <w:t>承包人必须按照穗开规『</w:t>
      </w:r>
      <w:r>
        <w:rPr>
          <w:rFonts w:ascii="宋体" w:hAnsi="宋体"/>
          <w:color w:val="auto"/>
          <w:szCs w:val="21"/>
          <w:highlight w:val="none"/>
          <w:u w:val="single"/>
        </w:rPr>
        <w:t>2004』58号文的有关要求及规定优先使用广州开发区的农民工</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47.1</w:t>
      </w:r>
      <w:r>
        <w:rPr>
          <w:rFonts w:hint="eastAsia" w:ascii="宋体" w:hAnsi="宋体"/>
          <w:color w:val="auto"/>
          <w:szCs w:val="21"/>
          <w:highlight w:val="none"/>
        </w:rPr>
        <w:t>4</w:t>
      </w:r>
      <w:r>
        <w:rPr>
          <w:rFonts w:hint="eastAsia" w:ascii="宋体" w:hAnsi="宋体"/>
          <w:color w:val="auto"/>
          <w:szCs w:val="21"/>
          <w:highlight w:val="none"/>
          <w:u w:val="single"/>
        </w:rPr>
        <w:t>承包人必须严格执行穗开纪</w:t>
      </w:r>
      <w:r>
        <w:rPr>
          <w:rFonts w:ascii="宋体" w:hAnsi="宋体"/>
          <w:color w:val="auto"/>
          <w:szCs w:val="21"/>
          <w:highlight w:val="none"/>
          <w:u w:val="single"/>
        </w:rPr>
        <w:t>[2005]10号文的规定和要求，在本工程施工中使用劳工时，一律由承包人签订用工合同，建立工资直接支付制度，承包人每月按时发放劳工工资，自觉接受发包人和主管部门的监督，不论何种原因决不拖欠或克扣劳工工资。否则，可由员工代表知会有关部门，或拨打投诉电话。承包人必须将上述内容在本工程开工的十日内向全体员工张榜公开。如承包人违约，发包人有权解除合同，并追究承包人由此给发包人造成的一切损失</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rPr>
      </w:pPr>
      <w:r>
        <w:rPr>
          <w:rFonts w:ascii="宋体" w:hAnsi="宋体"/>
          <w:color w:val="auto"/>
          <w:szCs w:val="21"/>
          <w:highlight w:val="none"/>
        </w:rPr>
        <w:t>47.1</w:t>
      </w:r>
      <w:r>
        <w:rPr>
          <w:rFonts w:hint="eastAsia" w:ascii="宋体" w:hAnsi="宋体"/>
          <w:color w:val="auto"/>
          <w:szCs w:val="21"/>
          <w:highlight w:val="none"/>
        </w:rPr>
        <w:t>5</w:t>
      </w:r>
      <w:r>
        <w:rPr>
          <w:rFonts w:hint="eastAsia" w:ascii="宋体" w:hAnsi="宋体"/>
          <w:color w:val="auto"/>
          <w:szCs w:val="21"/>
          <w:highlight w:val="none"/>
          <w:u w:val="single"/>
        </w:rPr>
        <w:t>承包人应按照《广州市住房和城乡建设委员会关于印发&lt;广州市建筑施工实名制管理办法&gt;的通知》（穗建规字[2017]4号）、《关于印发广州市建设领域工人工资支付分帐管理实施细则的通知》（穗建规字[2020]37号）、《广州市根治拖欠农民工工资工作领导小组办公室关于广州市建设领域工程项目全面实施农民工工资总包代发制度的通知》及广州市黄埔区、开发区对应出台的相关文件规定办理建筑工地实名制管理和工人工资支付分帐管理事宜；防止出现拖欠工人工资情况。承包人违法转包、分包工程的或其他承包人原因导致相应工程出现拖欠工人工资情况的，承包人对拖欠工人工资承担清偿责任，对此引起的纠纷负全责，造成发包人损失（包括但不限于发包人因此而支付的赔偿款、律师费、诉讼费、保全费、公证费、鉴定费等）的，承包人须承担全部责任。</w:t>
      </w:r>
    </w:p>
    <w:p>
      <w:pPr>
        <w:spacing w:line="440" w:lineRule="exact"/>
        <w:ind w:firstLine="420" w:firstLineChars="200"/>
        <w:rPr>
          <w:rFonts w:ascii="宋体" w:hAnsi="宋体"/>
          <w:b/>
          <w:color w:val="auto"/>
          <w:szCs w:val="21"/>
          <w:highlight w:val="none"/>
        </w:rPr>
      </w:pPr>
      <w:r>
        <w:rPr>
          <w:rFonts w:ascii="宋体" w:hAnsi="宋体"/>
          <w:color w:val="auto"/>
          <w:szCs w:val="21"/>
          <w:highlight w:val="none"/>
        </w:rPr>
        <w:t>47.1</w:t>
      </w:r>
      <w:r>
        <w:rPr>
          <w:rFonts w:hint="eastAsia" w:ascii="宋体" w:hAnsi="宋体"/>
          <w:color w:val="auto"/>
          <w:szCs w:val="21"/>
          <w:highlight w:val="none"/>
        </w:rPr>
        <w:t>6</w:t>
      </w:r>
      <w:r>
        <w:rPr>
          <w:rFonts w:hint="eastAsia" w:ascii="宋体" w:hAnsi="宋体"/>
          <w:color w:val="auto"/>
          <w:szCs w:val="21"/>
          <w:highlight w:val="none"/>
          <w:u w:val="single"/>
        </w:rPr>
        <w:t>若承包人在本工程内发生无故拖欠农民工工资现象，将被作不良记录，上报区建设行政主管部门</w:t>
      </w:r>
      <w:r>
        <w:rPr>
          <w:rFonts w:hint="eastAsia" w:ascii="宋体" w:hAnsi="宋体"/>
          <w:color w:val="auto"/>
          <w:szCs w:val="21"/>
          <w:highlight w:val="none"/>
        </w:rPr>
        <w:t>。</w:t>
      </w:r>
      <w:r>
        <w:rPr>
          <w:rFonts w:hint="eastAsia" w:ascii="宋体" w:hAnsi="宋体"/>
          <w:color w:val="auto"/>
          <w:szCs w:val="21"/>
          <w:highlight w:val="none"/>
          <w:u w:val="single"/>
        </w:rPr>
        <w:t>若承包人转包或者违法分包造成拖欠工人工资的，除上报区建设行政主管部门外，还将提请省建设行业主管部门禁止在广东省行政区域范围内承包工程。</w:t>
      </w:r>
    </w:p>
    <w:p>
      <w:pPr>
        <w:snapToGrid w:val="0"/>
        <w:spacing w:line="440" w:lineRule="exact"/>
        <w:ind w:firstLine="480"/>
        <w:rPr>
          <w:rFonts w:ascii="宋体" w:hAnsi="宋体"/>
          <w:color w:val="auto"/>
          <w:szCs w:val="21"/>
          <w:highlight w:val="none"/>
        </w:rPr>
      </w:pPr>
      <w:r>
        <w:rPr>
          <w:rFonts w:hint="eastAsia" w:ascii="仿宋_GB2312" w:hAnsi="宋体" w:eastAsia="仿宋_GB2312"/>
          <w:color w:val="auto"/>
          <w:szCs w:val="21"/>
          <w:highlight w:val="none"/>
        </w:rPr>
        <w:t>（</w:t>
      </w:r>
      <w:r>
        <w:rPr>
          <w:rFonts w:hint="eastAsia" w:ascii="仿宋_GB2312" w:hAnsi="宋体" w:eastAsia="仿宋_GB2312"/>
          <w:b/>
          <w:color w:val="auto"/>
          <w:szCs w:val="21"/>
          <w:highlight w:val="none"/>
        </w:rPr>
        <w:t>项目管理机构人员、机械设备、劳动力到位方面的要求</w:t>
      </w:r>
      <w:r>
        <w:rPr>
          <w:rFonts w:hint="eastAsia" w:ascii="仿宋_GB2312" w:hAnsi="宋体" w:eastAsia="仿宋_GB2312"/>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47.1</w:t>
      </w:r>
      <w:r>
        <w:rPr>
          <w:rFonts w:hint="eastAsia" w:ascii="宋体" w:hAnsi="宋体"/>
          <w:color w:val="auto"/>
          <w:szCs w:val="21"/>
          <w:highlight w:val="none"/>
        </w:rPr>
        <w:t>7</w:t>
      </w:r>
      <w:r>
        <w:rPr>
          <w:rFonts w:hint="eastAsia" w:ascii="宋体" w:hAnsi="宋体"/>
          <w:color w:val="auto"/>
          <w:szCs w:val="21"/>
          <w:highlight w:val="none"/>
          <w:u w:val="single"/>
        </w:rPr>
        <w:t>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47.1</w:t>
      </w:r>
      <w:r>
        <w:rPr>
          <w:rFonts w:hint="eastAsia" w:ascii="宋体" w:hAnsi="宋体"/>
          <w:color w:val="auto"/>
          <w:szCs w:val="21"/>
          <w:highlight w:val="none"/>
        </w:rPr>
        <w:t>8</w:t>
      </w:r>
      <w:r>
        <w:rPr>
          <w:rFonts w:hint="eastAsia" w:ascii="宋体" w:hAnsi="宋体"/>
          <w:color w:val="auto"/>
          <w:szCs w:val="21"/>
          <w:highlight w:val="none"/>
          <w:u w:val="single"/>
        </w:rPr>
        <w:t>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47.1</w:t>
      </w:r>
      <w:r>
        <w:rPr>
          <w:rFonts w:hint="eastAsia" w:ascii="宋体" w:hAnsi="宋体"/>
          <w:color w:val="auto"/>
          <w:szCs w:val="21"/>
          <w:highlight w:val="none"/>
        </w:rPr>
        <w:t>9</w:t>
      </w:r>
      <w:r>
        <w:rPr>
          <w:rFonts w:hint="eastAsia" w:ascii="宋体" w:hAnsi="宋体"/>
          <w:color w:val="auto"/>
          <w:szCs w:val="21"/>
          <w:highlight w:val="none"/>
          <w:u w:val="single"/>
        </w:rPr>
        <w:t>现场施工时，施工员（技术员）不在施工现场不得施工，否则发包人可随时要求停工，工期延误由承包人负责</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47.</w:t>
      </w:r>
      <w:r>
        <w:rPr>
          <w:rFonts w:hint="eastAsia" w:ascii="宋体" w:hAnsi="宋体"/>
          <w:color w:val="auto"/>
          <w:szCs w:val="21"/>
          <w:highlight w:val="none"/>
        </w:rPr>
        <w:t>20</w:t>
      </w:r>
      <w:r>
        <w:rPr>
          <w:rFonts w:hint="eastAsia" w:ascii="宋体" w:hAnsi="宋体"/>
          <w:color w:val="auto"/>
          <w:szCs w:val="21"/>
          <w:highlight w:val="none"/>
          <w:u w:val="single"/>
        </w:rPr>
        <w:t>承包人派往现场的管理人员若因不负责任、或玩忽职守、或严重失职等给发包人造成经济损失，承包人承担相应的经济责任和连带法律责任</w:t>
      </w:r>
      <w:r>
        <w:rPr>
          <w:rFonts w:hint="eastAsia" w:ascii="宋体" w:hAnsi="宋体"/>
          <w:color w:val="auto"/>
          <w:szCs w:val="21"/>
          <w:highlight w:val="none"/>
        </w:rPr>
        <w:t>。</w:t>
      </w:r>
    </w:p>
    <w:p>
      <w:pPr>
        <w:snapToGrid w:val="0"/>
        <w:spacing w:line="440" w:lineRule="exact"/>
        <w:ind w:firstLine="420" w:firstLineChars="200"/>
        <w:rPr>
          <w:rFonts w:ascii="仿宋_GB2312" w:hAnsi="宋体" w:eastAsia="仿宋_GB2312"/>
          <w:color w:val="auto"/>
          <w:szCs w:val="21"/>
          <w:highlight w:val="none"/>
        </w:rPr>
      </w:pPr>
      <w:r>
        <w:rPr>
          <w:rFonts w:hint="eastAsia" w:ascii="仿宋_GB2312" w:hAnsi="宋体" w:eastAsia="仿宋_GB2312"/>
          <w:color w:val="auto"/>
          <w:szCs w:val="21"/>
          <w:highlight w:val="none"/>
        </w:rPr>
        <w:t>（</w:t>
      </w:r>
      <w:r>
        <w:rPr>
          <w:rFonts w:hint="eastAsia" w:ascii="仿宋_GB2312" w:hAnsi="宋体" w:eastAsia="仿宋_GB2312"/>
          <w:b/>
          <w:color w:val="auto"/>
          <w:szCs w:val="21"/>
          <w:highlight w:val="none"/>
        </w:rPr>
        <w:t>投标报价及造价承包和变更结算方式的要求</w:t>
      </w:r>
      <w:r>
        <w:rPr>
          <w:rFonts w:hint="eastAsia" w:ascii="仿宋_GB2312" w:hAnsi="宋体" w:eastAsia="仿宋_GB2312"/>
          <w:color w:val="auto"/>
          <w:szCs w:val="21"/>
          <w:highlight w:val="none"/>
        </w:rPr>
        <w:t>）</w:t>
      </w:r>
    </w:p>
    <w:p>
      <w:pPr>
        <w:spacing w:line="440" w:lineRule="exact"/>
        <w:ind w:firstLine="420" w:firstLineChars="200"/>
        <w:rPr>
          <w:rFonts w:hint="eastAsia" w:ascii="宋体" w:hAnsi="宋体"/>
          <w:color w:val="auto"/>
          <w:szCs w:val="21"/>
          <w:highlight w:val="none"/>
          <w:u w:val="single"/>
        </w:rPr>
      </w:pPr>
      <w:r>
        <w:rPr>
          <w:rFonts w:ascii="宋体" w:hAnsi="宋体"/>
          <w:color w:val="auto"/>
          <w:szCs w:val="21"/>
          <w:highlight w:val="none"/>
        </w:rPr>
        <w:t>47.</w:t>
      </w:r>
      <w:r>
        <w:rPr>
          <w:rFonts w:hint="eastAsia" w:ascii="宋体" w:hAnsi="宋体"/>
          <w:color w:val="auto"/>
          <w:szCs w:val="21"/>
          <w:highlight w:val="none"/>
        </w:rPr>
        <w:t>21</w:t>
      </w:r>
      <w:r>
        <w:rPr>
          <w:rFonts w:hint="eastAsia" w:ascii="宋体" w:hAnsi="宋体"/>
          <w:color w:val="auto"/>
          <w:szCs w:val="21"/>
          <w:highlight w:val="none"/>
          <w:u w:val="single"/>
        </w:rPr>
        <w:t>工程量清单报价中有关问题的说明：</w:t>
      </w:r>
    </w:p>
    <w:p>
      <w:pPr>
        <w:spacing w:line="44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 xml:space="preserve">① </w:t>
      </w:r>
      <w:r>
        <w:rPr>
          <w:rFonts w:hint="eastAsia" w:ascii="宋体" w:hAnsi="宋体"/>
          <w:color w:val="auto"/>
          <w:szCs w:val="21"/>
          <w:highlight w:val="none"/>
          <w:u w:val="single"/>
        </w:rPr>
        <w:t>工程量清单中的标志杆基础中的土方开挖、运输、外运等费用包含在相应项目中，不包含在土石方工程的相关项目中</w:t>
      </w:r>
      <w:r>
        <w:rPr>
          <w:rFonts w:hint="eastAsia" w:ascii="宋体" w:hAnsi="宋体"/>
          <w:color w:val="auto"/>
          <w:szCs w:val="21"/>
          <w:highlight w:val="none"/>
        </w:rPr>
        <w:t>；</w:t>
      </w:r>
    </w:p>
    <w:p>
      <w:pPr>
        <w:spacing w:line="44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 xml:space="preserve">② </w:t>
      </w:r>
      <w:r>
        <w:rPr>
          <w:rFonts w:hint="eastAsia" w:ascii="宋体" w:hAnsi="宋体"/>
          <w:color w:val="auto"/>
          <w:szCs w:val="21"/>
          <w:highlight w:val="none"/>
          <w:u w:val="single"/>
        </w:rPr>
        <w:t>投标时</w:t>
      </w:r>
      <w:r>
        <w:rPr>
          <w:rFonts w:ascii="宋体" w:hAnsi="宋体"/>
          <w:color w:val="auto"/>
          <w:szCs w:val="21"/>
          <w:highlight w:val="none"/>
          <w:u w:val="single"/>
        </w:rPr>
        <w:t>,土方</w:t>
      </w:r>
      <w:r>
        <w:rPr>
          <w:rFonts w:hint="eastAsia" w:ascii="宋体" w:hAnsi="宋体"/>
          <w:color w:val="auto"/>
          <w:szCs w:val="21"/>
          <w:highlight w:val="none"/>
          <w:u w:val="single"/>
        </w:rPr>
        <w:t>的弃运距离暂按</w:t>
      </w:r>
      <w:r>
        <w:rPr>
          <w:rFonts w:ascii="宋体" w:hAnsi="宋体"/>
          <w:color w:val="auto"/>
          <w:szCs w:val="21"/>
          <w:highlight w:val="none"/>
          <w:u w:val="single"/>
        </w:rPr>
        <w:t>15km</w:t>
      </w:r>
      <w:r>
        <w:rPr>
          <w:rFonts w:hint="eastAsia" w:ascii="宋体" w:hAnsi="宋体"/>
          <w:color w:val="auto"/>
          <w:szCs w:val="21"/>
          <w:highlight w:val="none"/>
          <w:u w:val="single"/>
        </w:rPr>
        <w:t>内考虑，超过</w:t>
      </w:r>
      <w:r>
        <w:rPr>
          <w:rFonts w:ascii="宋体" w:hAnsi="宋体"/>
          <w:color w:val="auto"/>
          <w:szCs w:val="21"/>
          <w:highlight w:val="none"/>
          <w:u w:val="single"/>
        </w:rPr>
        <w:t>15km</w:t>
      </w:r>
      <w:r>
        <w:rPr>
          <w:rFonts w:hint="eastAsia" w:ascii="宋体" w:hAnsi="宋体"/>
          <w:color w:val="auto"/>
          <w:szCs w:val="21"/>
          <w:highlight w:val="none"/>
          <w:u w:val="single"/>
        </w:rPr>
        <w:t>按</w:t>
      </w:r>
      <w:r>
        <w:rPr>
          <w:rFonts w:ascii="宋体" w:hAnsi="宋体"/>
          <w:color w:val="auto"/>
          <w:szCs w:val="21"/>
          <w:highlight w:val="none"/>
          <w:u w:val="single"/>
        </w:rPr>
        <w:t>15km</w:t>
      </w:r>
      <w:r>
        <w:rPr>
          <w:rFonts w:hint="eastAsia" w:ascii="宋体" w:hAnsi="宋体"/>
          <w:color w:val="auto"/>
          <w:szCs w:val="21"/>
          <w:highlight w:val="none"/>
          <w:u w:val="single"/>
        </w:rPr>
        <w:t>计算，结算时按招标人确认的实际运距计算</w:t>
      </w:r>
      <w:r>
        <w:rPr>
          <w:rFonts w:ascii="宋体" w:hAnsi="宋体"/>
          <w:color w:val="auto"/>
          <w:szCs w:val="21"/>
          <w:highlight w:val="none"/>
          <w:u w:val="single"/>
        </w:rPr>
        <w:t>,实际运距超过15公里</w:t>
      </w:r>
      <w:r>
        <w:rPr>
          <w:rFonts w:hint="eastAsia" w:ascii="宋体" w:hAnsi="宋体"/>
          <w:color w:val="auto"/>
          <w:szCs w:val="21"/>
          <w:highlight w:val="none"/>
          <w:u w:val="single"/>
        </w:rPr>
        <w:t>时按</w:t>
      </w:r>
      <w:r>
        <w:rPr>
          <w:rFonts w:ascii="宋体" w:hAnsi="宋体"/>
          <w:color w:val="auto"/>
          <w:szCs w:val="21"/>
          <w:highlight w:val="none"/>
          <w:u w:val="single"/>
        </w:rPr>
        <w:t>15公里</w:t>
      </w:r>
      <w:r>
        <w:rPr>
          <w:rFonts w:hint="eastAsia" w:ascii="宋体" w:hAnsi="宋体"/>
          <w:color w:val="auto"/>
          <w:szCs w:val="21"/>
          <w:highlight w:val="none"/>
          <w:u w:val="single"/>
        </w:rPr>
        <w:t>包干</w:t>
      </w:r>
      <w:r>
        <w:rPr>
          <w:rFonts w:ascii="宋体" w:hAnsi="宋体"/>
          <w:color w:val="auto"/>
          <w:szCs w:val="21"/>
          <w:highlight w:val="none"/>
          <w:u w:val="single"/>
        </w:rPr>
        <w:t>,</w:t>
      </w:r>
      <w:r>
        <w:rPr>
          <w:rFonts w:hint="eastAsia" w:ascii="宋体" w:hAnsi="宋体"/>
          <w:color w:val="auto"/>
          <w:szCs w:val="21"/>
          <w:highlight w:val="none"/>
          <w:u w:val="single"/>
        </w:rPr>
        <w:t>弃运的土方单价按定额计算。</w:t>
      </w:r>
    </w:p>
    <w:p>
      <w:pPr>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rPr>
        <w:t>③</w:t>
      </w:r>
      <w:r>
        <w:rPr>
          <w:rFonts w:hint="eastAsia" w:ascii="宋体" w:hAnsi="宋体"/>
          <w:color w:val="auto"/>
          <w:szCs w:val="21"/>
          <w:highlight w:val="none"/>
          <w:u w:val="single"/>
        </w:rPr>
        <w:t xml:space="preserve"> 工程量清单中措施项目清单费计价表中的绿色施工安全防护措施费执行《广东省住房和城乡建设厅关于印发&lt;广东省建设工程计价依据（2018)&gt;的通知》（穗建市〔2019〕6号）文</w:t>
      </w:r>
      <w:r>
        <w:rPr>
          <w:rFonts w:ascii="宋体" w:hAnsi="宋体"/>
          <w:color w:val="auto"/>
          <w:szCs w:val="21"/>
          <w:highlight w:val="none"/>
          <w:u w:val="single"/>
        </w:rPr>
        <w:t>，</w:t>
      </w:r>
      <w:r>
        <w:rPr>
          <w:rFonts w:hint="eastAsia" w:ascii="宋体" w:hAnsi="宋体"/>
          <w:color w:val="auto"/>
          <w:szCs w:val="21"/>
          <w:highlight w:val="none"/>
          <w:u w:val="single"/>
        </w:rPr>
        <w:t>绿色施工安全防护措施费</w:t>
      </w:r>
      <w:r>
        <w:rPr>
          <w:rFonts w:ascii="宋体" w:hAnsi="宋体"/>
          <w:color w:val="auto"/>
          <w:szCs w:val="21"/>
          <w:highlight w:val="none"/>
          <w:u w:val="single"/>
        </w:rPr>
        <w:t>按</w:t>
      </w:r>
      <w:r>
        <w:rPr>
          <w:rFonts w:hint="eastAsia" w:ascii="宋体" w:hAnsi="宋体"/>
          <w:color w:val="auto"/>
          <w:szCs w:val="21"/>
          <w:highlight w:val="none"/>
          <w:u w:val="single"/>
        </w:rPr>
        <w:t>发包人公布的本工程招标控制价中的绿色施工安全防护措施费计取，作为非竞争费用，在投标报价中单列，不参与投标竞价，该费用从工程施工中标价中提取，专款专用</w:t>
      </w:r>
      <w:r>
        <w:rPr>
          <w:rFonts w:hint="eastAsia" w:ascii="宋体" w:hAnsi="宋体"/>
          <w:color w:val="auto"/>
          <w:szCs w:val="21"/>
          <w:highlight w:val="none"/>
        </w:rPr>
        <w:t>。</w:t>
      </w:r>
    </w:p>
    <w:p>
      <w:pPr>
        <w:spacing w:line="440" w:lineRule="exact"/>
        <w:ind w:firstLine="420" w:firstLineChars="200"/>
        <w:rPr>
          <w:rFonts w:hint="eastAsia" w:ascii="宋体" w:hAnsi="宋体"/>
          <w:color w:val="auto"/>
          <w:szCs w:val="21"/>
          <w:highlight w:val="none"/>
        </w:rPr>
      </w:pPr>
      <w:r>
        <w:rPr>
          <w:rFonts w:ascii="宋体" w:hAnsi="宋体"/>
          <w:color w:val="auto"/>
          <w:szCs w:val="21"/>
          <w:highlight w:val="none"/>
        </w:rPr>
        <w:t>47.2</w:t>
      </w:r>
      <w:r>
        <w:rPr>
          <w:rFonts w:hint="eastAsia" w:ascii="宋体" w:hAnsi="宋体"/>
          <w:color w:val="auto"/>
          <w:szCs w:val="21"/>
          <w:highlight w:val="none"/>
        </w:rPr>
        <w:t>2</w:t>
      </w:r>
      <w:r>
        <w:rPr>
          <w:rFonts w:hint="eastAsia" w:ascii="宋体" w:hAnsi="宋体"/>
          <w:color w:val="auto"/>
          <w:szCs w:val="21"/>
          <w:highlight w:val="none"/>
          <w:u w:val="single"/>
        </w:rPr>
        <w:t>本工程承包人通过现场考察，提出具体施工方案，无论在工程施工期间或是在质量保修期内，若因施工而引起的一切索赔、赔偿、诉讼费用和其他开支，由承包人承担全部责任。该项费用在措施项目费中设有独立单项项目，该费用包干使用（施工围蔽费用除外），且承包人不得以任何理由要求发包人另行增加该部分费用（承包人要充分考虑最不利因素影响而采用的施工方案所需的费用）</w:t>
      </w:r>
      <w:r>
        <w:rPr>
          <w:rFonts w:hint="eastAsia" w:ascii="宋体" w:hAnsi="宋体"/>
          <w:color w:val="auto"/>
          <w:szCs w:val="21"/>
          <w:highlight w:val="none"/>
        </w:rPr>
        <w:t>。</w:t>
      </w:r>
    </w:p>
    <w:p>
      <w:pPr>
        <w:pBdr>
          <w:top w:val="single" w:color="auto" w:sz="4" w:space="1"/>
          <w:bottom w:val="single" w:color="auto" w:sz="6" w:space="1"/>
        </w:pBdr>
        <w:spacing w:line="44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47.23承包人应结合本工程招标内容对现场进行充分的调查，充分考虑工程招标内容及施工组织方案，承包单位应与相关管理部门（如铁路管理部门）协商，取得同意协调，按要求完成工程招标内容，工程及相关费用包含在合同价中，不另行计费。如果承包人不及时按要求完成，发包人可以另行委托实施，发包人按实际发生的费用在工程款中扣除，承包人不得有任何异议。</w:t>
      </w:r>
    </w:p>
    <w:p>
      <w:pPr>
        <w:spacing w:line="44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47.24承包人应根据区相关主管部门批复的水土保持实施方案及相关规定完成本工程的水土保持工作，承担防止水土流失职责，相关费用包含在合同价中，不另行计费。如果承包人不及时按要求完成上述工作，发包人可以另行委托实施，发包人按实际发生的费用在工程款中扣除，承包人不得有任何异议。</w:t>
      </w:r>
    </w:p>
    <w:p>
      <w:pPr>
        <w:spacing w:line="44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47.25承包人应使用绿色生产达标企业生产的混凝土，若不遵守承诺，自愿按不履行合同约定处理。</w:t>
      </w:r>
    </w:p>
    <w:p>
      <w:pPr>
        <w:spacing w:line="44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47.26承包人人应按有关规定协助发包人完成公共排水设施竣工图纸备案工作。</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47.2</w:t>
      </w:r>
      <w:r>
        <w:rPr>
          <w:rFonts w:hint="eastAsia" w:ascii="宋体" w:hAnsi="宋体"/>
          <w:color w:val="auto"/>
          <w:szCs w:val="21"/>
          <w:highlight w:val="none"/>
        </w:rPr>
        <w:t>7</w:t>
      </w:r>
      <w:r>
        <w:rPr>
          <w:rFonts w:hint="eastAsia" w:ascii="宋体" w:hAnsi="宋体"/>
          <w:color w:val="auto"/>
          <w:szCs w:val="21"/>
          <w:highlight w:val="none"/>
          <w:u w:val="single"/>
        </w:rPr>
        <w:t>在整个合同执行期间发包人如发现有不合理投标报价的，发包人有权按有关规定和合同约定进行调整，并将书面通知承包人，并以此作为结算依据</w:t>
      </w:r>
      <w:r>
        <w:rPr>
          <w:rFonts w:hint="eastAsia" w:ascii="宋体" w:hAnsi="宋体"/>
          <w:color w:val="auto"/>
          <w:szCs w:val="21"/>
          <w:highlight w:val="none"/>
        </w:rPr>
        <w:t>。</w:t>
      </w:r>
    </w:p>
    <w:p>
      <w:pPr>
        <w:spacing w:line="440" w:lineRule="exact"/>
        <w:ind w:firstLine="420" w:firstLineChars="200"/>
        <w:rPr>
          <w:rFonts w:hint="eastAsia" w:ascii="宋体" w:hAnsi="宋体"/>
          <w:color w:val="auto"/>
          <w:szCs w:val="21"/>
          <w:highlight w:val="none"/>
          <w:u w:val="single"/>
        </w:rPr>
      </w:pPr>
      <w:r>
        <w:rPr>
          <w:rFonts w:ascii="宋体" w:hAnsi="宋体"/>
          <w:color w:val="auto"/>
          <w:szCs w:val="21"/>
          <w:highlight w:val="none"/>
        </w:rPr>
        <w:t>47.2</w:t>
      </w:r>
      <w:r>
        <w:rPr>
          <w:rFonts w:hint="eastAsia" w:ascii="宋体" w:hAnsi="宋体"/>
          <w:color w:val="auto"/>
          <w:szCs w:val="21"/>
          <w:highlight w:val="none"/>
        </w:rPr>
        <w:t>8</w:t>
      </w:r>
      <w:r>
        <w:rPr>
          <w:rFonts w:hint="eastAsia" w:ascii="宋体" w:hAnsi="宋体"/>
          <w:color w:val="auto"/>
          <w:szCs w:val="21"/>
          <w:highlight w:val="none"/>
          <w:u w:val="single"/>
        </w:rPr>
        <w:t>本工程所有材料品牌选择均须报发包人、监理工程师确认，且经检验合格后方能使用。</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47.2</w:t>
      </w:r>
      <w:r>
        <w:rPr>
          <w:rFonts w:hint="eastAsia" w:ascii="宋体" w:hAnsi="宋体"/>
          <w:color w:val="auto"/>
          <w:szCs w:val="21"/>
          <w:highlight w:val="none"/>
        </w:rPr>
        <w:t>9</w:t>
      </w:r>
      <w:r>
        <w:rPr>
          <w:rFonts w:hint="eastAsia" w:ascii="宋体" w:hAnsi="宋体"/>
          <w:color w:val="auto"/>
          <w:szCs w:val="21"/>
          <w:highlight w:val="none"/>
          <w:u w:val="single"/>
        </w:rPr>
        <w:t>在本工程实施过程中，若与其他工程发生重叠情况或因征地拆迁问题而无法实施的工程，发包人有权取消重叠部分及无法实施部分的工程量，并按照减少的工程量扣除相应的工程款，承包人不得有异议。另外，由于前述原因造成的工程损失，发包人不予赔偿</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rPr>
      </w:pPr>
      <w:r>
        <w:rPr>
          <w:rFonts w:ascii="宋体" w:hAnsi="宋体"/>
          <w:color w:val="auto"/>
          <w:szCs w:val="21"/>
          <w:highlight w:val="none"/>
        </w:rPr>
        <w:t>47.</w:t>
      </w:r>
      <w:r>
        <w:rPr>
          <w:rFonts w:hint="eastAsia" w:ascii="宋体" w:hAnsi="宋体"/>
          <w:color w:val="auto"/>
          <w:szCs w:val="21"/>
          <w:highlight w:val="none"/>
        </w:rPr>
        <w:t>30</w:t>
      </w:r>
      <w:r>
        <w:rPr>
          <w:rFonts w:hint="eastAsia" w:ascii="宋体" w:hAnsi="宋体"/>
          <w:color w:val="auto"/>
          <w:szCs w:val="21"/>
          <w:highlight w:val="none"/>
          <w:u w:val="single"/>
        </w:rPr>
        <w:t>在承包人严重违约、不可抗力或政府政策性调整情况下或根据工程实施实际情况，发包人可对本合同承包范围和承包内容进行调整，发包人对承包人的损失不予补偿（本合同其他条款约定可进行造价调整的除外）</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47.</w:t>
      </w:r>
      <w:r>
        <w:rPr>
          <w:rFonts w:hint="eastAsia" w:ascii="宋体" w:hAnsi="宋体"/>
          <w:color w:val="auto"/>
          <w:szCs w:val="21"/>
          <w:highlight w:val="none"/>
        </w:rPr>
        <w:t>31</w:t>
      </w:r>
      <w:r>
        <w:rPr>
          <w:rFonts w:hint="eastAsia" w:ascii="宋体" w:hAnsi="宋体"/>
          <w:color w:val="auto"/>
          <w:szCs w:val="21"/>
          <w:highlight w:val="none"/>
          <w:u w:val="single"/>
        </w:rPr>
        <w:t>承包人须按照发包人与监理人签订的委托监理合同接受监理人的全过程监理</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47.</w:t>
      </w:r>
      <w:r>
        <w:rPr>
          <w:rFonts w:hint="eastAsia" w:ascii="宋体" w:hAnsi="宋体"/>
          <w:color w:val="auto"/>
          <w:szCs w:val="21"/>
          <w:highlight w:val="none"/>
        </w:rPr>
        <w:t>32</w:t>
      </w:r>
      <w:r>
        <w:rPr>
          <w:rFonts w:hint="eastAsia" w:ascii="宋体" w:hAnsi="宋体"/>
          <w:color w:val="auto"/>
          <w:szCs w:val="21"/>
          <w:highlight w:val="none"/>
          <w:u w:val="single"/>
        </w:rPr>
        <w:t>如广州开发区、黄埔区对工程竣工验收及备案有相关规定，则本合同执行该规定</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47.</w:t>
      </w:r>
      <w:r>
        <w:rPr>
          <w:rFonts w:hint="eastAsia" w:ascii="宋体" w:hAnsi="宋体"/>
          <w:color w:val="auto"/>
          <w:szCs w:val="21"/>
          <w:highlight w:val="none"/>
        </w:rPr>
        <w:t>33</w:t>
      </w:r>
      <w:r>
        <w:rPr>
          <w:rFonts w:hint="eastAsia" w:ascii="宋体" w:hAnsi="宋体"/>
          <w:color w:val="auto"/>
          <w:szCs w:val="21"/>
          <w:highlight w:val="none"/>
          <w:u w:val="single"/>
        </w:rPr>
        <w:t>如果审计机关依法对本工程实施审计，发包人、承包人及监理单位应积极配合</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47.</w:t>
      </w:r>
      <w:r>
        <w:rPr>
          <w:rFonts w:hint="eastAsia" w:ascii="宋体" w:hAnsi="宋体"/>
          <w:color w:val="auto"/>
          <w:szCs w:val="21"/>
          <w:highlight w:val="none"/>
        </w:rPr>
        <w:t>34</w:t>
      </w:r>
      <w:r>
        <w:rPr>
          <w:rFonts w:hint="eastAsia" w:ascii="宋体" w:hAnsi="宋体"/>
          <w:color w:val="auto"/>
          <w:szCs w:val="21"/>
          <w:highlight w:val="none"/>
          <w:u w:val="single"/>
        </w:rPr>
        <w:t>本合同在实施过程中所发生的文件来往，双方不得拒绝签收。如果发生类似事件，发文一方可以监理工程师签收为准，视为送达</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47.3</w:t>
      </w:r>
      <w:r>
        <w:rPr>
          <w:rFonts w:hint="eastAsia" w:ascii="宋体" w:hAnsi="宋体"/>
          <w:color w:val="auto"/>
          <w:szCs w:val="21"/>
          <w:highlight w:val="none"/>
        </w:rPr>
        <w:t>5</w:t>
      </w:r>
      <w:r>
        <w:rPr>
          <w:rFonts w:hint="eastAsia" w:ascii="宋体" w:hAnsi="宋体"/>
          <w:color w:val="auto"/>
          <w:szCs w:val="21"/>
          <w:highlight w:val="none"/>
          <w:u w:val="single"/>
        </w:rPr>
        <w:t>关于现场文件送达后的时效约定：如果涉及到安全、质量、工期（或进度）、经济、技术方案等的报审文件，在发往现场项目部的同时，抄送一份给对方公司，按约定的时效执行；如果属于一般性文件，就直接发往对方现场项目部，项目部如果在约定的时效内未作答复，发文一方再追加一份给对方公司并重新约定答复时效，如果对方公司仍然没有答复，则按重新约定的时效执行</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47.3</w:t>
      </w:r>
      <w:r>
        <w:rPr>
          <w:rFonts w:hint="eastAsia" w:ascii="宋体" w:hAnsi="宋体"/>
          <w:color w:val="auto"/>
          <w:szCs w:val="21"/>
          <w:highlight w:val="none"/>
        </w:rPr>
        <w:t>6</w:t>
      </w:r>
      <w:r>
        <w:rPr>
          <w:rFonts w:hint="eastAsia" w:ascii="宋体" w:hAnsi="宋体"/>
          <w:color w:val="auto"/>
          <w:szCs w:val="21"/>
          <w:highlight w:val="none"/>
          <w:u w:val="single"/>
        </w:rPr>
        <w:t>在本合同实施过程中所发生的违约金、罚款、扣款等费用，经监理工程师核实并通知承包人后直接作为财务扣款依据（无需承包人签认或同意），可由发包人在履约担保中主张或在工程款中扣除，承包人对此无异议</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47.3</w:t>
      </w:r>
      <w:r>
        <w:rPr>
          <w:rFonts w:hint="eastAsia" w:ascii="宋体" w:hAnsi="宋体"/>
          <w:color w:val="auto"/>
          <w:szCs w:val="21"/>
          <w:highlight w:val="none"/>
        </w:rPr>
        <w:t>7</w:t>
      </w:r>
      <w:r>
        <w:rPr>
          <w:rFonts w:hint="eastAsia" w:ascii="宋体" w:hAnsi="宋体"/>
          <w:color w:val="auto"/>
          <w:szCs w:val="21"/>
          <w:highlight w:val="none"/>
          <w:u w:val="single"/>
        </w:rPr>
        <w:t>承包人施工过程中不得侵犯他人的专利权或者其他合法权益，否则由承包人承担相关责任，并保证不因该侵权行为影响工程建设</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47.3</w:t>
      </w:r>
      <w:r>
        <w:rPr>
          <w:rFonts w:hint="eastAsia" w:ascii="宋体" w:hAnsi="宋体"/>
          <w:color w:val="auto"/>
          <w:szCs w:val="21"/>
          <w:highlight w:val="none"/>
        </w:rPr>
        <w:t>8</w:t>
      </w:r>
      <w:r>
        <w:rPr>
          <w:rFonts w:hint="eastAsia" w:ascii="宋体" w:hAnsi="宋体"/>
          <w:color w:val="auto"/>
          <w:szCs w:val="21"/>
          <w:highlight w:val="none"/>
          <w:u w:val="single"/>
        </w:rPr>
        <w:t>承包人与发包人签订合同时所提供的开户银行名称及帐号不得擅自变更，如需变更必须征得发包人的书面同意，否则发包人有权停止工程款的拨付，所造成的一切后果由承包人承担</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rPr>
      </w:pPr>
      <w:r>
        <w:rPr>
          <w:rFonts w:ascii="宋体" w:hAnsi="宋体"/>
          <w:color w:val="auto"/>
          <w:szCs w:val="21"/>
          <w:highlight w:val="none"/>
        </w:rPr>
        <w:t>47.3</w:t>
      </w:r>
      <w:r>
        <w:rPr>
          <w:rFonts w:hint="eastAsia" w:ascii="宋体" w:hAnsi="宋体"/>
          <w:color w:val="auto"/>
          <w:szCs w:val="21"/>
          <w:highlight w:val="none"/>
        </w:rPr>
        <w:t>9</w:t>
      </w:r>
      <w:r>
        <w:rPr>
          <w:rFonts w:hint="eastAsia" w:ascii="宋体" w:hAnsi="宋体"/>
          <w:color w:val="auto"/>
          <w:szCs w:val="21"/>
          <w:highlight w:val="none"/>
          <w:u w:val="single"/>
        </w:rPr>
        <w:t>如发包人为本工程的代建单位，则本工程建设业主同时享有本合同项下属发包人的权利，并且合同中约定需发包人审批的事项，必须经建设业主审批同意后方可实施</w:t>
      </w:r>
      <w:r>
        <w:rPr>
          <w:rFonts w:hint="eastAsia" w:ascii="宋体" w:hAnsi="宋体"/>
          <w:color w:val="auto"/>
          <w:szCs w:val="21"/>
          <w:highlight w:val="none"/>
        </w:rPr>
        <w:t>。</w:t>
      </w:r>
    </w:p>
    <w:p>
      <w:pPr>
        <w:spacing w:line="440" w:lineRule="exact"/>
        <w:ind w:firstLine="420" w:firstLineChars="200"/>
        <w:rPr>
          <w:rFonts w:ascii="宋体" w:hAnsi="宋体"/>
          <w:i/>
          <w:color w:val="auto"/>
          <w:szCs w:val="21"/>
          <w:highlight w:val="none"/>
        </w:rPr>
      </w:pPr>
      <w:r>
        <w:rPr>
          <w:rFonts w:hint="eastAsia" w:ascii="宋体" w:hAnsi="宋体"/>
          <w:color w:val="auto"/>
          <w:szCs w:val="21"/>
          <w:highlight w:val="none"/>
        </w:rPr>
        <w:t>47.40</w:t>
      </w:r>
      <w:r>
        <w:rPr>
          <w:rFonts w:hint="eastAsia" w:ascii="宋体" w:hAnsi="宋体"/>
          <w:color w:val="auto"/>
          <w:szCs w:val="21"/>
          <w:highlight w:val="none"/>
          <w:u w:val="single"/>
        </w:rPr>
        <w:t>《广州开发区财政投资建设项目管理中心 绿化景观工程计量管理办法》将作为合同附件，各相关单位须遵照执行</w:t>
      </w:r>
      <w:r>
        <w:rPr>
          <w:rFonts w:hint="eastAsia" w:ascii="宋体" w:hAnsi="宋体"/>
          <w:color w:val="auto"/>
          <w:szCs w:val="21"/>
          <w:highlight w:val="none"/>
        </w:rPr>
        <w:t>。</w:t>
      </w:r>
      <w:r>
        <w:rPr>
          <w:rFonts w:ascii="宋体" w:hAnsi="宋体"/>
          <w:i/>
          <w:color w:val="auto"/>
          <w:szCs w:val="21"/>
          <w:highlight w:val="none"/>
        </w:rPr>
        <w:t>(</w:t>
      </w:r>
      <w:r>
        <w:rPr>
          <w:rFonts w:hint="eastAsia" w:ascii="宋体" w:hAnsi="宋体"/>
          <w:i/>
          <w:color w:val="auto"/>
          <w:szCs w:val="21"/>
          <w:highlight w:val="none"/>
        </w:rPr>
        <w:t>注：该条款适用于绿化施工工程</w:t>
      </w:r>
      <w:r>
        <w:rPr>
          <w:rFonts w:ascii="宋体" w:hAnsi="宋体"/>
          <w:i/>
          <w:color w:val="auto"/>
          <w:szCs w:val="21"/>
          <w:highlight w:val="none"/>
        </w:rPr>
        <w:t>)</w:t>
      </w:r>
    </w:p>
    <w:p>
      <w:pPr>
        <w:spacing w:line="44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47.41</w:t>
      </w:r>
      <w:r>
        <w:rPr>
          <w:rFonts w:hint="eastAsia" w:ascii="宋体" w:hAnsi="宋体"/>
          <w:color w:val="auto"/>
          <w:szCs w:val="21"/>
          <w:highlight w:val="none"/>
          <w:u w:val="single"/>
        </w:rPr>
        <w:t>工程获得国家、省级、市级所发奖项的，可给予通报表彰，但不给予任何物质奖励</w:t>
      </w:r>
      <w:r>
        <w:rPr>
          <w:rFonts w:hint="eastAsia" w:ascii="宋体" w:hAnsi="宋体"/>
          <w:color w:val="auto"/>
          <w:szCs w:val="21"/>
          <w:highlight w:val="none"/>
        </w:rPr>
        <w:t>。</w:t>
      </w:r>
    </w:p>
    <w:p>
      <w:pPr>
        <w:spacing w:line="44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47.42</w:t>
      </w:r>
      <w:r>
        <w:rPr>
          <w:rFonts w:hint="eastAsia" w:ascii="宋体" w:hAnsi="宋体"/>
          <w:color w:val="auto"/>
          <w:szCs w:val="21"/>
          <w:highlight w:val="none"/>
          <w:u w:val="single"/>
        </w:rPr>
        <w:t>如本合同需缴纳合同印花税，承包人需在有关税务部门规定期限及结清本合同费用前，代缴按规定属发包人缴纳的部分，代缴后发包人按代缴金额实报实销。承包人未按规定期限代缴印花税的，因此产生的滞纳金由承包人承担。</w:t>
      </w:r>
    </w:p>
    <w:p>
      <w:pPr>
        <w:spacing w:line="44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47.43如承包人为联合体的，本合同由联合体的主办方负责签订。并由联合体主办方负责开具合同价款全额发票、收取合同款项，联合体主办方收取合同款项后由联合体各方自行分配相应款项，或由联合体各方负责开具其对应价款的全额发票，具体分配事宜与发包人无关。</w:t>
      </w:r>
    </w:p>
    <w:p>
      <w:pPr>
        <w:spacing w:line="44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47.44如承包人及承包人的项目负责人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经发包人核实，发包人有权终止合同。</w:t>
      </w:r>
    </w:p>
    <w:p>
      <w:pPr>
        <w:spacing w:line="44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47.45如承包人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的，经发包人核实，发包人有权终止合同。</w:t>
      </w:r>
    </w:p>
    <w:p>
      <w:pPr>
        <w:spacing w:line="440" w:lineRule="exact"/>
        <w:ind w:firstLine="420" w:firstLineChars="200"/>
        <w:rPr>
          <w:rFonts w:hint="eastAsia" w:ascii="宋体" w:hAnsi="宋体"/>
          <w:color w:val="auto"/>
          <w:szCs w:val="21"/>
          <w:highlight w:val="none"/>
          <w:u w:val="single"/>
        </w:rPr>
      </w:pPr>
      <w:r>
        <w:rPr>
          <w:rFonts w:ascii="宋体" w:hAnsi="宋体"/>
          <w:color w:val="auto"/>
          <w:szCs w:val="21"/>
          <w:highlight w:val="none"/>
          <w:u w:val="single"/>
        </w:rPr>
        <w:t>47.4</w:t>
      </w:r>
      <w:r>
        <w:rPr>
          <w:rFonts w:hint="eastAsia" w:ascii="宋体" w:hAnsi="宋体"/>
          <w:color w:val="auto"/>
          <w:szCs w:val="21"/>
          <w:highlight w:val="none"/>
          <w:u w:val="single"/>
        </w:rPr>
        <w:t>6</w:t>
      </w:r>
      <w:r>
        <w:rPr>
          <w:rFonts w:ascii="宋体" w:hAnsi="宋体"/>
          <w:color w:val="auto"/>
          <w:szCs w:val="21"/>
          <w:highlight w:val="none"/>
          <w:u w:val="single"/>
        </w:rPr>
        <w:t>开工前中标人应当投保安全生产责任保险，且该保险保障场所应包含中标项目。投标人的投标报价视为包含该项目费用。中标人未按规定购买安全生产责任保险，招标人可视严重程度拒绝该单位一定时期内参与后续工程投标。</w:t>
      </w:r>
    </w:p>
    <w:p>
      <w:pPr>
        <w:spacing w:line="44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47.47 承包人在施工过程中应严格执行《城市绿化条例》、《广东省城市绿化条例》、《广州市绿化条例》、《广州市城市树木保护管理规定（试行）》（穗林业园林规字〔2022〕1号）等法规规定。不得破坏树木和树木立地生境，不得随意更改树木根颈处的地形标高。对可能影响绿地使用功能或树木正常生长的，应采取避让和保护措施。涉及树木周边环境施工时，承包人应对可能受损的树木采取保护措施，包括设立保护区域、使用保护物料包裹树干、设置临时支撑、定期检查树木健康状况等。工程建设应符合相关规划和标准，保证树木的生长空间。相关费用包含在合同价中，不另行计费。如果承包人不及时按要求完成，发包人可以另行委托实施，发包人按实际发生的费用在工程款中扣除，承包人不得有任何异议。</w:t>
      </w:r>
    </w:p>
    <w:p>
      <w:pPr>
        <w:spacing w:line="44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47.48 承包人应严格保护古树名木、古树后续资源、行道树、大树等树木，禁止擅自砍伐树木，禁止擅自迁移树木。如承包人未经批准擅自砍伐树木、损害绿化、损害树木及绿化保护设施的，发包人将上报绿化行政主管部门，视情节轻重给予相应处罚，构成犯罪的将依法移交相关机关追究刑事责任。</w:t>
      </w:r>
    </w:p>
    <w:p>
      <w:pPr>
        <w:spacing w:line="440" w:lineRule="exact"/>
        <w:ind w:firstLine="420" w:firstLineChars="200"/>
        <w:rPr>
          <w:rFonts w:hint="eastAsia" w:ascii="宋体" w:hAnsi="宋体"/>
          <w:color w:val="auto"/>
          <w:sz w:val="21"/>
          <w:szCs w:val="21"/>
          <w:highlight w:val="none"/>
          <w:u w:val="single"/>
        </w:rPr>
      </w:pPr>
      <w:r>
        <w:rPr>
          <w:rFonts w:hint="eastAsia" w:ascii="宋体" w:hAnsi="宋体"/>
          <w:color w:val="auto"/>
          <w:sz w:val="21"/>
          <w:szCs w:val="21"/>
          <w:highlight w:val="none"/>
          <w:u w:val="single"/>
        </w:rPr>
        <w:t xml:space="preserve">47.49 </w:t>
      </w:r>
      <w:r>
        <w:rPr>
          <w:rFonts w:ascii="宋体" w:hAnsi="宋体"/>
          <w:color w:val="auto"/>
          <w:sz w:val="21"/>
          <w:szCs w:val="21"/>
          <w:highlight w:val="none"/>
          <w:u w:val="single"/>
        </w:rPr>
        <w:t>承包人应切实遵守《中华人民共和国文物保护法》、《中华人民共和国文物保护法实施条例》、《广州市文物保护规定》等文物保护相关法律、法规规定，在工程施工前，协助发包人按规定履行文物保护相关审批手续，及配合相关单位完成考古调查、勘探相关工作。不得因施工发生损毁文物的情况。承包人应加强对其施工队伍及分包单位（如有）关于文物保护相关法律、法规的宣传教育，保证施工全过程不违反文物保护相关规定。如因承包人原因发生未履行文物考古调查、勘探等前置工作擅自开工建设的，由承包人承担全部法律责任，发包人将上报文物行政主管部门，视情节轻重给予相应处罚，构成犯罪的将依法移交相关机关追究刑事责任。</w:t>
      </w:r>
    </w:p>
    <w:p>
      <w:pPr>
        <w:spacing w:line="440" w:lineRule="exact"/>
        <w:ind w:firstLine="420" w:firstLineChars="200"/>
        <w:rPr>
          <w:rFonts w:hint="eastAsia" w:ascii="宋体" w:hAnsi="宋体"/>
          <w:color w:val="auto"/>
          <w:sz w:val="21"/>
          <w:szCs w:val="21"/>
          <w:highlight w:val="none"/>
          <w:u w:val="single"/>
        </w:rPr>
      </w:pPr>
      <w:r>
        <w:rPr>
          <w:rFonts w:hint="eastAsia" w:ascii="宋体" w:hAnsi="宋体"/>
          <w:color w:val="auto"/>
          <w:sz w:val="21"/>
          <w:szCs w:val="21"/>
          <w:highlight w:val="none"/>
          <w:u w:val="single"/>
        </w:rPr>
        <w:t>47.50 未尽事宜，经双方友好协商解决。</w:t>
      </w:r>
    </w:p>
    <w:p>
      <w:pPr>
        <w:spacing w:line="440" w:lineRule="exact"/>
        <w:ind w:firstLine="420" w:firstLineChars="200"/>
        <w:rPr>
          <w:rFonts w:hint="eastAsia" w:ascii="宋体" w:hAnsi="宋体"/>
          <w:color w:val="auto"/>
          <w:szCs w:val="21"/>
          <w:highlight w:val="none"/>
          <w:u w:val="single"/>
        </w:rPr>
      </w:pPr>
    </w:p>
    <w:p>
      <w:pPr>
        <w:spacing w:line="440" w:lineRule="exact"/>
        <w:ind w:firstLine="420" w:firstLineChars="200"/>
        <w:rPr>
          <w:rFonts w:hint="eastAsia" w:ascii="宋体" w:hAnsi="宋体"/>
          <w:color w:val="auto"/>
          <w:szCs w:val="21"/>
          <w:highlight w:val="none"/>
          <w:u w:val="single"/>
        </w:rPr>
      </w:pPr>
    </w:p>
    <w:p>
      <w:pPr>
        <w:spacing w:line="440" w:lineRule="exact"/>
        <w:ind w:firstLine="420" w:firstLineChars="200"/>
        <w:rPr>
          <w:rFonts w:hint="eastAsia" w:ascii="宋体" w:hAnsi="宋体"/>
          <w:color w:val="auto"/>
          <w:szCs w:val="21"/>
          <w:highlight w:val="none"/>
          <w:u w:val="single"/>
        </w:rPr>
      </w:pPr>
    </w:p>
    <w:p>
      <w:pPr>
        <w:spacing w:line="440" w:lineRule="exact"/>
        <w:ind w:firstLine="420" w:firstLineChars="200"/>
        <w:rPr>
          <w:rFonts w:hint="eastAsia" w:ascii="宋体" w:hAnsi="宋体"/>
          <w:color w:val="auto"/>
          <w:szCs w:val="21"/>
          <w:highlight w:val="none"/>
          <w:u w:val="single"/>
        </w:rPr>
      </w:pPr>
    </w:p>
    <w:p>
      <w:pPr>
        <w:spacing w:line="440" w:lineRule="exact"/>
        <w:rPr>
          <w:rFonts w:hint="eastAsia" w:ascii="宋体" w:hAnsi="宋体"/>
          <w:color w:val="auto"/>
          <w:szCs w:val="21"/>
          <w:highlight w:val="none"/>
        </w:rPr>
      </w:pPr>
      <w:r>
        <w:rPr>
          <w:rFonts w:hint="eastAsia" w:ascii="宋体" w:hAnsi="宋体"/>
          <w:color w:val="auto"/>
          <w:szCs w:val="21"/>
          <w:highlight w:val="none"/>
        </w:rPr>
        <w:t xml:space="preserve">                           </w:t>
      </w:r>
    </w:p>
    <w:p>
      <w:pPr>
        <w:spacing w:line="440" w:lineRule="exact"/>
        <w:jc w:val="center"/>
        <w:rPr>
          <w:rFonts w:ascii="宋体" w:hAnsi="宋体"/>
          <w:b/>
          <w:color w:val="auto"/>
          <w:sz w:val="24"/>
          <w:highlight w:val="none"/>
        </w:rPr>
      </w:pPr>
      <w:r>
        <w:rPr>
          <w:rFonts w:hint="eastAsia" w:ascii="宋体" w:hAnsi="宋体"/>
          <w:color w:val="auto"/>
          <w:szCs w:val="21"/>
          <w:highlight w:val="none"/>
        </w:rPr>
        <w:br w:type="page"/>
      </w:r>
      <w:r>
        <w:rPr>
          <w:rFonts w:hint="eastAsia" w:ascii="宋体" w:hAnsi="宋体"/>
          <w:b/>
          <w:color w:val="auto"/>
          <w:sz w:val="24"/>
          <w:highlight w:val="none"/>
        </w:rPr>
        <w:t>第四部分</w:t>
      </w:r>
      <w:r>
        <w:rPr>
          <w:rFonts w:ascii="宋体" w:hAnsi="宋体"/>
          <w:b/>
          <w:color w:val="auto"/>
          <w:sz w:val="24"/>
          <w:highlight w:val="none"/>
        </w:rPr>
        <w:t xml:space="preserve">  </w:t>
      </w:r>
      <w:r>
        <w:rPr>
          <w:rFonts w:hint="eastAsia" w:ascii="宋体" w:hAnsi="宋体"/>
          <w:b/>
          <w:color w:val="auto"/>
          <w:sz w:val="24"/>
          <w:highlight w:val="none"/>
        </w:rPr>
        <w:t>工程质量保修责任书</w:t>
      </w:r>
    </w:p>
    <w:p>
      <w:pPr>
        <w:snapToGrid w:val="0"/>
        <w:spacing w:line="440" w:lineRule="exact"/>
        <w:rPr>
          <w:rFonts w:ascii="宋体" w:hAnsi="宋体"/>
          <w:color w:val="auto"/>
          <w:sz w:val="24"/>
          <w:highlight w:val="none"/>
        </w:rPr>
      </w:pPr>
      <w:r>
        <w:rPr>
          <w:rFonts w:hint="eastAsia" w:ascii="宋体" w:hAnsi="宋体"/>
          <w:color w:val="auto"/>
          <w:sz w:val="24"/>
          <w:highlight w:val="none"/>
        </w:rPr>
        <w:t>发包人（全称）：</w:t>
      </w:r>
      <w:r>
        <w:rPr>
          <w:rFonts w:ascii="宋体" w:hAnsi="宋体"/>
          <w:color w:val="auto"/>
          <w:sz w:val="24"/>
          <w:highlight w:val="none"/>
          <w:u w:val="single"/>
        </w:rPr>
        <w:t xml:space="preserve">                             </w:t>
      </w:r>
      <w:r>
        <w:rPr>
          <w:rFonts w:hint="eastAsia" w:ascii="宋体" w:hAnsi="宋体"/>
          <w:color w:val="auto"/>
          <w:sz w:val="24"/>
          <w:highlight w:val="none"/>
        </w:rPr>
        <w:t>。</w:t>
      </w:r>
    </w:p>
    <w:p>
      <w:pPr>
        <w:snapToGrid w:val="0"/>
        <w:spacing w:line="440" w:lineRule="exact"/>
        <w:rPr>
          <w:rFonts w:ascii="宋体" w:hAnsi="宋体"/>
          <w:color w:val="auto"/>
          <w:sz w:val="24"/>
          <w:highlight w:val="none"/>
        </w:rPr>
      </w:pPr>
      <w:r>
        <w:rPr>
          <w:rFonts w:hint="eastAsia" w:ascii="宋体" w:hAnsi="宋体"/>
          <w:color w:val="auto"/>
          <w:sz w:val="24"/>
          <w:highlight w:val="none"/>
        </w:rPr>
        <w:t>承包人（全称）：</w:t>
      </w:r>
      <w:r>
        <w:rPr>
          <w:rFonts w:ascii="宋体" w:hAnsi="宋体"/>
          <w:color w:val="auto"/>
          <w:sz w:val="24"/>
          <w:highlight w:val="none"/>
          <w:u w:val="single"/>
        </w:rPr>
        <w:t xml:space="preserve">                             </w:t>
      </w:r>
      <w:r>
        <w:rPr>
          <w:rFonts w:hint="eastAsia" w:ascii="宋体" w:hAnsi="宋体"/>
          <w:color w:val="auto"/>
          <w:sz w:val="24"/>
          <w:highlight w:val="none"/>
        </w:rPr>
        <w:t>。</w:t>
      </w:r>
    </w:p>
    <w:p>
      <w:pPr>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为保证</w:t>
      </w:r>
      <w:r>
        <w:rPr>
          <w:rFonts w:ascii="宋体" w:hAnsi="宋体"/>
          <w:color w:val="auto"/>
          <w:sz w:val="24"/>
          <w:highlight w:val="none"/>
          <w:u w:val="single"/>
        </w:rPr>
        <w:t xml:space="preserve">                工程</w:t>
      </w:r>
      <w:r>
        <w:rPr>
          <w:rFonts w:hint="eastAsia" w:ascii="宋体" w:hAnsi="宋体"/>
          <w:color w:val="auto"/>
          <w:sz w:val="24"/>
          <w:highlight w:val="none"/>
        </w:rPr>
        <w:t>在合理使用期限内正常使用，发包人承包人协商一致签订工程质量保修责任书。承包人在质量保修期内按照有关管理规定及双方约定承担本工程质量保修责任。</w:t>
      </w:r>
    </w:p>
    <w:p>
      <w:pPr>
        <w:numPr>
          <w:ilvl w:val="0"/>
          <w:numId w:val="5"/>
        </w:numPr>
        <w:tabs>
          <w:tab w:val="left" w:pos="1120"/>
        </w:tabs>
        <w:snapToGrid w:val="0"/>
        <w:spacing w:line="440" w:lineRule="exact"/>
        <w:ind w:hanging="240"/>
        <w:rPr>
          <w:rFonts w:ascii="宋体" w:hAnsi="宋体"/>
          <w:b/>
          <w:bCs/>
          <w:color w:val="auto"/>
          <w:sz w:val="24"/>
          <w:highlight w:val="none"/>
        </w:rPr>
      </w:pPr>
      <w:r>
        <w:rPr>
          <w:rFonts w:hint="eastAsia" w:ascii="宋体" w:hAnsi="宋体"/>
          <w:b/>
          <w:bCs/>
          <w:color w:val="auto"/>
          <w:sz w:val="24"/>
          <w:highlight w:val="none"/>
        </w:rPr>
        <w:t>工程质量保修范围和内容</w:t>
      </w:r>
    </w:p>
    <w:p>
      <w:pPr>
        <w:snapToGrid w:val="0"/>
        <w:spacing w:line="440" w:lineRule="exact"/>
        <w:ind w:firstLine="578" w:firstLineChars="241"/>
        <w:rPr>
          <w:rFonts w:ascii="宋体" w:hAnsi="宋体"/>
          <w:color w:val="auto"/>
          <w:sz w:val="24"/>
          <w:highlight w:val="none"/>
        </w:rPr>
      </w:pPr>
      <w:r>
        <w:rPr>
          <w:rFonts w:hint="eastAsia" w:ascii="宋体" w:hAnsi="宋体"/>
          <w:color w:val="auto"/>
          <w:sz w:val="24"/>
          <w:highlight w:val="none"/>
        </w:rPr>
        <w:t>质量保修范围包括基础工程、主体路基、路面、桥涵构造物工程、给排水、防护工程以及本建设工程施工合同中所含的其它项目。具体质量保修内容双方约定如下：</w:t>
      </w:r>
    </w:p>
    <w:p>
      <w:pPr>
        <w:snapToGrid w:val="0"/>
        <w:spacing w:line="440" w:lineRule="exact"/>
        <w:ind w:firstLine="578" w:firstLineChars="241"/>
        <w:rPr>
          <w:rFonts w:ascii="宋体" w:hAnsi="宋体"/>
          <w:color w:val="auto"/>
          <w:sz w:val="24"/>
          <w:highlight w:val="none"/>
          <w:u w:val="single"/>
        </w:rPr>
      </w:pPr>
      <w:r>
        <w:rPr>
          <w:rFonts w:hint="eastAsia" w:ascii="宋体" w:hAnsi="宋体"/>
          <w:color w:val="auto"/>
          <w:sz w:val="24"/>
          <w:highlight w:val="none"/>
          <w:u w:val="single"/>
        </w:rPr>
        <w:t>按施工合同约定的承包范围内的全部工程内容</w:t>
      </w:r>
      <w:r>
        <w:rPr>
          <w:rFonts w:hint="eastAsia" w:ascii="宋体" w:hAnsi="宋体"/>
          <w:color w:val="auto"/>
          <w:sz w:val="24"/>
          <w:highlight w:val="none"/>
        </w:rPr>
        <w:t>。</w:t>
      </w:r>
    </w:p>
    <w:p>
      <w:pPr>
        <w:numPr>
          <w:ilvl w:val="0"/>
          <w:numId w:val="5"/>
        </w:numPr>
        <w:tabs>
          <w:tab w:val="left" w:pos="1120"/>
        </w:tabs>
        <w:snapToGrid w:val="0"/>
        <w:spacing w:line="440" w:lineRule="exact"/>
        <w:ind w:hanging="240"/>
        <w:rPr>
          <w:rFonts w:ascii="宋体" w:hAnsi="宋体"/>
          <w:b/>
          <w:bCs/>
          <w:color w:val="auto"/>
          <w:sz w:val="24"/>
          <w:highlight w:val="none"/>
        </w:rPr>
      </w:pPr>
      <w:r>
        <w:rPr>
          <w:rFonts w:hint="eastAsia" w:ascii="宋体" w:hAnsi="宋体"/>
          <w:b/>
          <w:bCs/>
          <w:color w:val="auto"/>
          <w:sz w:val="24"/>
          <w:highlight w:val="none"/>
        </w:rPr>
        <w:t>质量保修期</w:t>
      </w:r>
    </w:p>
    <w:p>
      <w:pPr>
        <w:snapToGrid w:val="0"/>
        <w:spacing w:line="440" w:lineRule="exact"/>
        <w:ind w:firstLine="578" w:firstLineChars="241"/>
        <w:rPr>
          <w:rFonts w:ascii="宋体" w:hAnsi="宋体"/>
          <w:color w:val="auto"/>
          <w:sz w:val="24"/>
          <w:highlight w:val="none"/>
        </w:rPr>
      </w:pPr>
      <w:r>
        <w:rPr>
          <w:rFonts w:hint="eastAsia" w:ascii="宋体" w:hAnsi="宋体"/>
          <w:color w:val="auto"/>
          <w:sz w:val="24"/>
          <w:highlight w:val="none"/>
        </w:rPr>
        <w:t>质量保修期从广州开发区管委会或其相关职能部门批准的提前移交之日或者正式通过竣工验收之日（以先发生日期为准）算起。</w:t>
      </w:r>
    </w:p>
    <w:p>
      <w:pPr>
        <w:snapToGrid w:val="0"/>
        <w:spacing w:line="440" w:lineRule="exact"/>
        <w:ind w:firstLine="578" w:firstLineChars="241"/>
        <w:rPr>
          <w:rFonts w:ascii="宋体" w:hAnsi="宋体"/>
          <w:color w:val="auto"/>
          <w:sz w:val="24"/>
          <w:highlight w:val="none"/>
        </w:rPr>
      </w:pPr>
      <w:r>
        <w:rPr>
          <w:rFonts w:hint="eastAsia" w:ascii="宋体" w:hAnsi="宋体"/>
          <w:color w:val="auto"/>
          <w:sz w:val="24"/>
          <w:highlight w:val="none"/>
        </w:rPr>
        <w:t>双方根据国家有关规定，结合具体工程约定质量保修期如下：</w:t>
      </w:r>
    </w:p>
    <w:p>
      <w:pPr>
        <w:snapToGrid w:val="0"/>
        <w:spacing w:line="440" w:lineRule="exact"/>
        <w:ind w:firstLine="578" w:firstLineChars="241"/>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基础设施工程、房屋建筑的地基基础和主体结构工程为设计文件规定的该工程合理使用年限；</w:t>
      </w:r>
    </w:p>
    <w:p>
      <w:pPr>
        <w:snapToGrid w:val="0"/>
        <w:spacing w:line="440" w:lineRule="exact"/>
        <w:ind w:firstLine="578" w:firstLineChars="241"/>
        <w:rPr>
          <w:rFonts w:ascii="宋体" w:hAnsi="宋体"/>
          <w:color w:val="auto"/>
          <w:sz w:val="24"/>
          <w:highlight w:val="none"/>
        </w:rPr>
      </w:pPr>
      <w:r>
        <w:rPr>
          <w:rFonts w:hint="eastAsia" w:ascii="宋体" w:hAnsi="宋体"/>
          <w:color w:val="auto"/>
          <w:sz w:val="24"/>
          <w:highlight w:val="none"/>
        </w:rPr>
        <w:t>2、电力管线、上下水管线安装工程为</w:t>
      </w:r>
      <w:r>
        <w:rPr>
          <w:rFonts w:ascii="宋体" w:hAnsi="宋体"/>
          <w:color w:val="auto"/>
          <w:sz w:val="24"/>
          <w:highlight w:val="none"/>
          <w:u w:val="single"/>
        </w:rPr>
        <w:t xml:space="preserve"> 2 </w:t>
      </w:r>
      <w:r>
        <w:rPr>
          <w:rFonts w:hint="eastAsia" w:ascii="宋体" w:hAnsi="宋体"/>
          <w:color w:val="auto"/>
          <w:sz w:val="24"/>
          <w:highlight w:val="none"/>
        </w:rPr>
        <w:t>年；</w:t>
      </w:r>
    </w:p>
    <w:p>
      <w:pPr>
        <w:snapToGrid w:val="0"/>
        <w:spacing w:line="440" w:lineRule="exact"/>
        <w:ind w:firstLine="578" w:firstLineChars="241"/>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、供热及供冷为</w:t>
      </w:r>
      <w:r>
        <w:rPr>
          <w:rFonts w:ascii="宋体" w:hAnsi="宋体"/>
          <w:color w:val="auto"/>
          <w:sz w:val="24"/>
          <w:highlight w:val="none"/>
          <w:u w:val="single"/>
        </w:rPr>
        <w:t xml:space="preserve"> </w:t>
      </w:r>
      <w:r>
        <w:rPr>
          <w:rFonts w:hint="eastAsia" w:ascii="宋体" w:hAnsi="宋体"/>
          <w:color w:val="auto"/>
          <w:sz w:val="24"/>
          <w:highlight w:val="none"/>
          <w:u w:val="single"/>
        </w:rPr>
        <w:t>2</w:t>
      </w:r>
      <w:r>
        <w:rPr>
          <w:rFonts w:ascii="宋体" w:hAnsi="宋体"/>
          <w:color w:val="auto"/>
          <w:sz w:val="24"/>
          <w:highlight w:val="none"/>
          <w:u w:val="single"/>
        </w:rPr>
        <w:t xml:space="preserve"> </w:t>
      </w:r>
      <w:r>
        <w:rPr>
          <w:rFonts w:hint="eastAsia" w:ascii="宋体" w:hAnsi="宋体"/>
          <w:color w:val="auto"/>
          <w:sz w:val="24"/>
          <w:highlight w:val="none"/>
        </w:rPr>
        <w:t>个采暖期及供冷期；</w:t>
      </w:r>
    </w:p>
    <w:p>
      <w:pPr>
        <w:snapToGrid w:val="0"/>
        <w:spacing w:line="440" w:lineRule="exact"/>
        <w:ind w:firstLine="578" w:firstLineChars="241"/>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、室外的上下水和小区道路等市政公用工程为</w:t>
      </w:r>
      <w:r>
        <w:rPr>
          <w:rFonts w:ascii="宋体" w:hAnsi="宋体"/>
          <w:color w:val="auto"/>
          <w:sz w:val="24"/>
          <w:highlight w:val="none"/>
          <w:u w:val="single"/>
        </w:rPr>
        <w:t xml:space="preserve">       </w:t>
      </w:r>
      <w:r>
        <w:rPr>
          <w:rFonts w:hint="eastAsia" w:ascii="宋体" w:hAnsi="宋体"/>
          <w:color w:val="auto"/>
          <w:sz w:val="24"/>
          <w:highlight w:val="none"/>
        </w:rPr>
        <w:t>年；</w:t>
      </w:r>
    </w:p>
    <w:p>
      <w:pPr>
        <w:snapToGrid w:val="0"/>
        <w:spacing w:line="440" w:lineRule="exact"/>
        <w:ind w:firstLine="578" w:firstLineChars="241"/>
        <w:rPr>
          <w:rFonts w:ascii="宋体" w:hAnsi="宋体"/>
          <w:color w:val="auto"/>
          <w:sz w:val="24"/>
          <w:highlight w:val="none"/>
          <w:u w:val="single"/>
        </w:rPr>
      </w:pPr>
      <w:r>
        <w:rPr>
          <w:rFonts w:hint="eastAsia" w:ascii="宋体" w:hAnsi="宋体"/>
          <w:color w:val="auto"/>
          <w:sz w:val="24"/>
          <w:highlight w:val="none"/>
        </w:rPr>
        <w:t>5</w:t>
      </w:r>
      <w:r>
        <w:rPr>
          <w:rFonts w:ascii="宋体" w:hAnsi="宋体"/>
          <w:color w:val="auto"/>
          <w:sz w:val="24"/>
          <w:highlight w:val="none"/>
        </w:rPr>
        <w:t>、市政道</w:t>
      </w:r>
      <w:r>
        <w:rPr>
          <w:rFonts w:hint="eastAsia" w:ascii="宋体" w:hAnsi="宋体"/>
          <w:color w:val="auto"/>
          <w:sz w:val="24"/>
          <w:highlight w:val="none"/>
        </w:rPr>
        <w:t>路</w:t>
      </w:r>
      <w:r>
        <w:rPr>
          <w:rFonts w:ascii="宋体" w:hAnsi="宋体"/>
          <w:color w:val="auto"/>
          <w:sz w:val="24"/>
          <w:highlight w:val="none"/>
        </w:rPr>
        <w:t>排水工程为</w:t>
      </w:r>
      <w:r>
        <w:rPr>
          <w:rFonts w:ascii="宋体" w:hAnsi="宋体"/>
          <w:color w:val="auto"/>
          <w:sz w:val="24"/>
          <w:highlight w:val="none"/>
          <w:u w:val="single"/>
        </w:rPr>
        <w:t xml:space="preserve"> 2 </w:t>
      </w:r>
      <w:r>
        <w:rPr>
          <w:rFonts w:hint="eastAsia" w:ascii="宋体" w:hAnsi="宋体"/>
          <w:color w:val="auto"/>
          <w:sz w:val="24"/>
          <w:highlight w:val="none"/>
        </w:rPr>
        <w:t>年，市政供水工程为</w:t>
      </w:r>
      <w:r>
        <w:rPr>
          <w:rFonts w:ascii="宋体" w:hAnsi="宋体"/>
          <w:color w:val="auto"/>
          <w:sz w:val="24"/>
          <w:highlight w:val="none"/>
          <w:u w:val="single"/>
        </w:rPr>
        <w:t xml:space="preserve"> 2 </w:t>
      </w:r>
      <w:r>
        <w:rPr>
          <w:rFonts w:hint="eastAsia" w:ascii="宋体" w:hAnsi="宋体"/>
          <w:color w:val="auto"/>
          <w:sz w:val="24"/>
          <w:highlight w:val="none"/>
        </w:rPr>
        <w:t>年；</w:t>
      </w:r>
    </w:p>
    <w:p>
      <w:pPr>
        <w:snapToGrid w:val="0"/>
        <w:spacing w:line="440" w:lineRule="exact"/>
        <w:ind w:firstLine="578" w:firstLineChars="241"/>
        <w:rPr>
          <w:rFonts w:ascii="宋体" w:hAnsi="宋体"/>
          <w:color w:val="auto"/>
          <w:sz w:val="24"/>
          <w:highlight w:val="none"/>
        </w:rPr>
      </w:pPr>
      <w:r>
        <w:rPr>
          <w:rFonts w:hint="eastAsia" w:ascii="宋体" w:hAnsi="宋体"/>
          <w:color w:val="auto"/>
          <w:sz w:val="24"/>
          <w:highlight w:val="none"/>
        </w:rPr>
        <w:t>6、市政供电工程为</w:t>
      </w:r>
      <w:r>
        <w:rPr>
          <w:rFonts w:ascii="宋体" w:hAnsi="宋体"/>
          <w:color w:val="auto"/>
          <w:sz w:val="24"/>
          <w:highlight w:val="none"/>
          <w:u w:val="single"/>
        </w:rPr>
        <w:t xml:space="preserve"> 2 </w:t>
      </w:r>
      <w:r>
        <w:rPr>
          <w:rFonts w:hint="eastAsia" w:ascii="宋体" w:hAnsi="宋体"/>
          <w:color w:val="auto"/>
          <w:sz w:val="24"/>
          <w:highlight w:val="none"/>
        </w:rPr>
        <w:t>年，市政道路照明工程</w:t>
      </w:r>
      <w:r>
        <w:rPr>
          <w:rFonts w:ascii="宋体" w:hAnsi="宋体"/>
          <w:color w:val="auto"/>
          <w:sz w:val="24"/>
          <w:highlight w:val="none"/>
          <w:u w:val="single"/>
        </w:rPr>
        <w:t xml:space="preserve"> 2 </w:t>
      </w:r>
      <w:r>
        <w:rPr>
          <w:rFonts w:hint="eastAsia" w:ascii="宋体" w:hAnsi="宋体"/>
          <w:color w:val="auto"/>
          <w:sz w:val="24"/>
          <w:highlight w:val="none"/>
        </w:rPr>
        <w:t>年，市政交通设施工程为</w:t>
      </w:r>
      <w:r>
        <w:rPr>
          <w:rFonts w:ascii="宋体" w:hAnsi="宋体"/>
          <w:color w:val="auto"/>
          <w:sz w:val="24"/>
          <w:highlight w:val="none"/>
          <w:u w:val="single"/>
        </w:rPr>
        <w:t xml:space="preserve">   </w:t>
      </w:r>
      <w:r>
        <w:rPr>
          <w:rFonts w:hint="eastAsia" w:ascii="宋体" w:hAnsi="宋体"/>
          <w:color w:val="auto"/>
          <w:sz w:val="24"/>
          <w:highlight w:val="none"/>
        </w:rPr>
        <w:t>年。</w:t>
      </w:r>
    </w:p>
    <w:p>
      <w:pPr>
        <w:snapToGrid w:val="0"/>
        <w:spacing w:line="440" w:lineRule="exact"/>
        <w:ind w:firstLine="578" w:firstLineChars="241"/>
        <w:rPr>
          <w:rFonts w:ascii="宋体" w:hAnsi="宋体"/>
          <w:color w:val="auto"/>
          <w:sz w:val="24"/>
          <w:highlight w:val="none"/>
        </w:rPr>
      </w:pPr>
      <w:r>
        <w:rPr>
          <w:rFonts w:hint="eastAsia" w:ascii="宋体" w:hAnsi="宋体"/>
          <w:color w:val="auto"/>
          <w:sz w:val="24"/>
          <w:highlight w:val="none"/>
        </w:rPr>
        <w:t>7、园林建筑工程为</w:t>
      </w:r>
      <w:r>
        <w:rPr>
          <w:rFonts w:ascii="宋体" w:hAnsi="宋体"/>
          <w:color w:val="auto"/>
          <w:sz w:val="24"/>
          <w:highlight w:val="none"/>
          <w:u w:val="single"/>
        </w:rPr>
        <w:t xml:space="preserve"> 1 </w:t>
      </w:r>
      <w:r>
        <w:rPr>
          <w:rFonts w:hint="eastAsia" w:ascii="宋体" w:hAnsi="宋体"/>
          <w:color w:val="auto"/>
          <w:sz w:val="24"/>
          <w:highlight w:val="none"/>
        </w:rPr>
        <w:t>年，喷淋工程为</w:t>
      </w:r>
      <w:r>
        <w:rPr>
          <w:rFonts w:ascii="宋体" w:hAnsi="宋体"/>
          <w:color w:val="auto"/>
          <w:sz w:val="24"/>
          <w:highlight w:val="none"/>
          <w:u w:val="single"/>
        </w:rPr>
        <w:t xml:space="preserve"> 2</w:t>
      </w:r>
      <w:r>
        <w:rPr>
          <w:rFonts w:hint="eastAsia" w:ascii="宋体" w:hAnsi="宋体"/>
          <w:color w:val="auto"/>
          <w:sz w:val="24"/>
          <w:highlight w:val="none"/>
          <w:u w:val="single"/>
        </w:rPr>
        <w:t xml:space="preserve"> </w:t>
      </w:r>
      <w:r>
        <w:rPr>
          <w:rFonts w:hint="eastAsia" w:ascii="宋体" w:hAnsi="宋体"/>
          <w:color w:val="auto"/>
          <w:sz w:val="24"/>
          <w:highlight w:val="none"/>
        </w:rPr>
        <w:t>年，胸径</w:t>
      </w:r>
      <w:r>
        <w:rPr>
          <w:rFonts w:ascii="宋体" w:hAnsi="宋体"/>
          <w:color w:val="auto"/>
          <w:sz w:val="24"/>
          <w:highlight w:val="none"/>
        </w:rPr>
        <w:t>15cm</w:t>
      </w:r>
      <w:r>
        <w:rPr>
          <w:rFonts w:hint="eastAsia" w:ascii="宋体" w:hAnsi="宋体"/>
          <w:color w:val="auto"/>
          <w:sz w:val="24"/>
          <w:highlight w:val="none"/>
        </w:rPr>
        <w:t>以内（含</w:t>
      </w:r>
      <w:r>
        <w:rPr>
          <w:rFonts w:ascii="宋体" w:hAnsi="宋体"/>
          <w:color w:val="auto"/>
          <w:sz w:val="24"/>
          <w:highlight w:val="none"/>
        </w:rPr>
        <w:t>15cm</w:t>
      </w:r>
      <w:r>
        <w:rPr>
          <w:rFonts w:hint="eastAsia" w:ascii="宋体" w:hAnsi="宋体"/>
          <w:color w:val="auto"/>
          <w:sz w:val="24"/>
          <w:highlight w:val="none"/>
        </w:rPr>
        <w:t>）的苗木养护期为</w:t>
      </w:r>
      <w:r>
        <w:rPr>
          <w:rFonts w:ascii="宋体" w:hAnsi="宋体"/>
          <w:color w:val="auto"/>
          <w:sz w:val="24"/>
          <w:highlight w:val="none"/>
          <w:u w:val="single"/>
        </w:rPr>
        <w:t xml:space="preserve"> 3</w:t>
      </w:r>
      <w:r>
        <w:rPr>
          <w:rFonts w:hint="eastAsia" w:ascii="宋体" w:hAnsi="宋体"/>
          <w:color w:val="auto"/>
          <w:sz w:val="24"/>
          <w:highlight w:val="none"/>
          <w:u w:val="single"/>
        </w:rPr>
        <w:t xml:space="preserve"> </w:t>
      </w:r>
      <w:r>
        <w:rPr>
          <w:rFonts w:hint="eastAsia" w:ascii="宋体" w:hAnsi="宋体"/>
          <w:color w:val="auto"/>
          <w:sz w:val="24"/>
          <w:highlight w:val="none"/>
        </w:rPr>
        <w:t>个月，胸径</w:t>
      </w:r>
      <w:r>
        <w:rPr>
          <w:rFonts w:ascii="宋体" w:hAnsi="宋体"/>
          <w:color w:val="auto"/>
          <w:sz w:val="24"/>
          <w:highlight w:val="none"/>
        </w:rPr>
        <w:t>15cm</w:t>
      </w:r>
      <w:r>
        <w:rPr>
          <w:rFonts w:hint="eastAsia" w:ascii="宋体" w:hAnsi="宋体"/>
          <w:color w:val="auto"/>
          <w:sz w:val="24"/>
          <w:highlight w:val="none"/>
        </w:rPr>
        <w:t>以上的苗木养护期为</w:t>
      </w:r>
      <w:r>
        <w:rPr>
          <w:rFonts w:ascii="宋体" w:hAnsi="宋体"/>
          <w:color w:val="auto"/>
          <w:sz w:val="24"/>
          <w:highlight w:val="none"/>
          <w:u w:val="single"/>
        </w:rPr>
        <w:t xml:space="preserve"> 1</w:t>
      </w:r>
      <w:r>
        <w:rPr>
          <w:rFonts w:hint="eastAsia" w:ascii="宋体" w:hAnsi="宋体"/>
          <w:color w:val="auto"/>
          <w:sz w:val="24"/>
          <w:highlight w:val="none"/>
          <w:u w:val="single"/>
        </w:rPr>
        <w:t xml:space="preserve"> </w:t>
      </w:r>
      <w:r>
        <w:rPr>
          <w:rFonts w:hint="eastAsia" w:ascii="宋体" w:hAnsi="宋体"/>
          <w:color w:val="auto"/>
          <w:sz w:val="24"/>
          <w:highlight w:val="none"/>
        </w:rPr>
        <w:t>年。</w:t>
      </w:r>
    </w:p>
    <w:p>
      <w:pPr>
        <w:snapToGrid w:val="0"/>
        <w:spacing w:line="440" w:lineRule="exact"/>
        <w:ind w:firstLine="578" w:firstLineChars="241"/>
        <w:rPr>
          <w:rFonts w:ascii="宋体" w:hAnsi="宋体"/>
          <w:color w:val="auto"/>
          <w:sz w:val="24"/>
          <w:highlight w:val="none"/>
        </w:rPr>
      </w:pPr>
      <w:r>
        <w:rPr>
          <w:rFonts w:hint="eastAsia" w:ascii="宋体" w:hAnsi="宋体"/>
          <w:color w:val="auto"/>
          <w:sz w:val="24"/>
          <w:highlight w:val="none"/>
        </w:rPr>
        <w:t>8、其他约定：</w:t>
      </w:r>
      <w:r>
        <w:rPr>
          <w:rFonts w:hint="eastAsia" w:ascii="宋体" w:hAnsi="宋体"/>
          <w:color w:val="auto"/>
          <w:sz w:val="24"/>
          <w:highlight w:val="none"/>
          <w:u w:val="single"/>
        </w:rPr>
        <w:t>按相关规定执行</w:t>
      </w:r>
      <w:r>
        <w:rPr>
          <w:rFonts w:hint="eastAsia" w:ascii="宋体" w:hAnsi="宋体"/>
          <w:color w:val="auto"/>
          <w:sz w:val="24"/>
          <w:highlight w:val="none"/>
        </w:rPr>
        <w:t>。</w:t>
      </w:r>
    </w:p>
    <w:p>
      <w:pPr>
        <w:numPr>
          <w:ilvl w:val="0"/>
          <w:numId w:val="5"/>
        </w:numPr>
        <w:tabs>
          <w:tab w:val="left" w:pos="1120"/>
        </w:tabs>
        <w:snapToGrid w:val="0"/>
        <w:spacing w:line="440" w:lineRule="exact"/>
        <w:ind w:hanging="420"/>
        <w:rPr>
          <w:rFonts w:ascii="宋体" w:hAnsi="宋体"/>
          <w:b/>
          <w:color w:val="auto"/>
          <w:sz w:val="24"/>
          <w:highlight w:val="none"/>
        </w:rPr>
      </w:pPr>
      <w:r>
        <w:rPr>
          <w:rFonts w:hint="eastAsia" w:ascii="宋体" w:hAnsi="宋体"/>
          <w:b/>
          <w:color w:val="auto"/>
          <w:sz w:val="24"/>
          <w:highlight w:val="none"/>
        </w:rPr>
        <w:t>质量保修责任</w:t>
      </w:r>
    </w:p>
    <w:p>
      <w:pPr>
        <w:tabs>
          <w:tab w:val="left" w:pos="980"/>
        </w:tabs>
        <w:snapToGrid w:val="0"/>
        <w:spacing w:line="440" w:lineRule="exact"/>
        <w:ind w:firstLine="480" w:firstLineChars="200"/>
        <w:rPr>
          <w:rFonts w:ascii="宋体" w:hAnsi="宋体"/>
          <w:color w:val="auto"/>
          <w:sz w:val="24"/>
          <w:highlight w:val="none"/>
        </w:rPr>
      </w:pPr>
      <w:r>
        <w:rPr>
          <w:rFonts w:ascii="宋体" w:hAnsi="宋体"/>
          <w:bCs/>
          <w:color w:val="auto"/>
          <w:sz w:val="24"/>
          <w:highlight w:val="none"/>
        </w:rPr>
        <w:t>1、</w:t>
      </w:r>
      <w:r>
        <w:rPr>
          <w:rFonts w:hint="eastAsia" w:ascii="宋体" w:hAnsi="宋体"/>
          <w:color w:val="auto"/>
          <w:sz w:val="24"/>
          <w:highlight w:val="none"/>
        </w:rPr>
        <w:t>属于保修范围的内容项目，承包人应在接到修理通知之日后七天内派人员修理。承包人不在约定期内派人修理，发包人可委托其他人员修理，修理费用从质量保修金内扣除。</w:t>
      </w:r>
    </w:p>
    <w:p>
      <w:pPr>
        <w:tabs>
          <w:tab w:val="left" w:pos="980"/>
        </w:tabs>
        <w:snapToGrid w:val="0"/>
        <w:spacing w:line="440" w:lineRule="exact"/>
        <w:ind w:firstLine="480" w:firstLineChars="200"/>
        <w:rPr>
          <w:rFonts w:ascii="宋体" w:hAnsi="宋体"/>
          <w:color w:val="auto"/>
          <w:sz w:val="24"/>
          <w:highlight w:val="none"/>
        </w:rPr>
      </w:pPr>
      <w:r>
        <w:rPr>
          <w:rFonts w:ascii="宋体" w:hAnsi="宋体"/>
          <w:color w:val="auto"/>
          <w:sz w:val="24"/>
          <w:highlight w:val="none"/>
        </w:rPr>
        <w:t>2、发生须紧急抢修事故（如给水管道破裂，排水管道严重堵塞，构造物破坏、损坏，路面严重坍塌等），承包人接到事故通知后，应立即到达事故现场抢修。非承包人施工质量引起的事故，抢修费用由发包人承担。</w:t>
      </w:r>
    </w:p>
    <w:p>
      <w:pPr>
        <w:tabs>
          <w:tab w:val="left" w:pos="980"/>
        </w:tabs>
        <w:snapToGrid w:val="0"/>
        <w:spacing w:line="440" w:lineRule="exact"/>
        <w:ind w:firstLine="480" w:firstLineChars="200"/>
        <w:rPr>
          <w:rFonts w:ascii="宋体" w:hAnsi="宋体"/>
          <w:color w:val="auto"/>
          <w:sz w:val="24"/>
          <w:highlight w:val="none"/>
        </w:rPr>
      </w:pPr>
      <w:r>
        <w:rPr>
          <w:rFonts w:ascii="宋体" w:hAnsi="宋体"/>
          <w:color w:val="auto"/>
          <w:sz w:val="24"/>
          <w:highlight w:val="none"/>
        </w:rPr>
        <w:t>3、国家规定的土木、土建、市政工程合理使用期限内，承包人确保主体工程和桥涵构造物的质量和安全。因承包人原因致使工程在合理使用期限内因质量或安全方面的缺陷造成人身和财产损害的，承包人应承担损害赔偿责任。</w:t>
      </w:r>
    </w:p>
    <w:p>
      <w:pPr>
        <w:numPr>
          <w:ilvl w:val="0"/>
          <w:numId w:val="5"/>
        </w:numPr>
        <w:tabs>
          <w:tab w:val="left" w:pos="1120"/>
        </w:tabs>
        <w:snapToGrid w:val="0"/>
        <w:spacing w:line="440" w:lineRule="exact"/>
        <w:ind w:hanging="420"/>
        <w:rPr>
          <w:rFonts w:ascii="宋体" w:hAnsi="宋体"/>
          <w:b/>
          <w:bCs/>
          <w:color w:val="auto"/>
          <w:sz w:val="24"/>
          <w:highlight w:val="none"/>
        </w:rPr>
      </w:pPr>
      <w:r>
        <w:rPr>
          <w:rFonts w:hint="eastAsia" w:ascii="宋体" w:hAnsi="宋体"/>
          <w:b/>
          <w:bCs/>
          <w:color w:val="auto"/>
          <w:sz w:val="24"/>
          <w:highlight w:val="none"/>
        </w:rPr>
        <w:t>质量保修金的支付</w:t>
      </w:r>
    </w:p>
    <w:p>
      <w:pPr>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本工程约定的工程质量保修金为施工合同结算总价款的</w:t>
      </w:r>
      <w:r>
        <w:rPr>
          <w:rFonts w:hint="eastAsia" w:ascii="宋体" w:hAnsi="宋体"/>
          <w:color w:val="auto"/>
          <w:sz w:val="24"/>
          <w:highlight w:val="none"/>
          <w:u w:val="single"/>
        </w:rPr>
        <w:t>3</w:t>
      </w:r>
      <w:r>
        <w:rPr>
          <w:rFonts w:ascii="宋体" w:hAnsi="宋体"/>
          <w:color w:val="auto"/>
          <w:sz w:val="24"/>
          <w:highlight w:val="none"/>
        </w:rPr>
        <w:t>%。</w:t>
      </w:r>
    </w:p>
    <w:p>
      <w:pPr>
        <w:snapToGrid w:val="0"/>
        <w:spacing w:line="440" w:lineRule="exact"/>
        <w:ind w:firstLine="520" w:firstLineChars="250"/>
        <w:rPr>
          <w:rFonts w:ascii="宋体" w:hAnsi="宋体"/>
          <w:color w:val="auto"/>
          <w:spacing w:val="-32"/>
          <w:sz w:val="24"/>
          <w:highlight w:val="none"/>
        </w:rPr>
      </w:pPr>
      <w:r>
        <w:rPr>
          <w:rFonts w:hint="eastAsia" w:ascii="宋体" w:hAnsi="宋体"/>
          <w:color w:val="auto"/>
          <w:spacing w:val="-16"/>
          <w:sz w:val="24"/>
          <w:highlight w:val="none"/>
        </w:rPr>
        <w:t>本工程双方约定工程质量保修金金额为</w:t>
      </w:r>
      <w:r>
        <w:rPr>
          <w:rFonts w:ascii="宋体" w:hAnsi="宋体"/>
          <w:color w:val="auto"/>
          <w:sz w:val="24"/>
          <w:highlight w:val="none"/>
          <w:u w:val="single"/>
        </w:rPr>
        <w:t xml:space="preserve">(大写)    /      </w:t>
      </w:r>
      <w:r>
        <w:rPr>
          <w:rFonts w:hint="eastAsia" w:ascii="宋体" w:hAnsi="宋体"/>
          <w:color w:val="auto"/>
          <w:spacing w:val="-32"/>
          <w:sz w:val="24"/>
          <w:highlight w:val="none"/>
        </w:rPr>
        <w:t>。</w:t>
      </w:r>
    </w:p>
    <w:p>
      <w:pPr>
        <w:snapToGrid w:val="0"/>
        <w:spacing w:line="440" w:lineRule="exact"/>
        <w:ind w:firstLine="480" w:firstLineChars="200"/>
        <w:rPr>
          <w:rFonts w:ascii="宋体" w:hAnsi="宋体"/>
          <w:bCs/>
          <w:color w:val="auto"/>
          <w:sz w:val="24"/>
          <w:highlight w:val="none"/>
        </w:rPr>
      </w:pPr>
      <w:r>
        <w:rPr>
          <w:rFonts w:hint="eastAsia" w:ascii="宋体" w:hAnsi="宋体"/>
          <w:color w:val="auto"/>
          <w:sz w:val="24"/>
          <w:highlight w:val="none"/>
        </w:rPr>
        <w:t>质量保修金银行利率为</w:t>
      </w:r>
      <w:r>
        <w:rPr>
          <w:rFonts w:ascii="宋体" w:hAnsi="宋体"/>
          <w:color w:val="auto"/>
          <w:sz w:val="24"/>
          <w:highlight w:val="none"/>
          <w:u w:val="single"/>
        </w:rPr>
        <w:t xml:space="preserve">      /     </w:t>
      </w:r>
      <w:r>
        <w:rPr>
          <w:rFonts w:ascii="宋体" w:hAnsi="宋体"/>
          <w:color w:val="auto"/>
          <w:sz w:val="24"/>
          <w:highlight w:val="none"/>
        </w:rPr>
        <w:t>。</w:t>
      </w:r>
    </w:p>
    <w:p>
      <w:pPr>
        <w:numPr>
          <w:ilvl w:val="0"/>
          <w:numId w:val="5"/>
        </w:numPr>
        <w:tabs>
          <w:tab w:val="left" w:pos="1120"/>
        </w:tabs>
        <w:snapToGrid w:val="0"/>
        <w:spacing w:line="440" w:lineRule="exact"/>
        <w:ind w:hanging="420"/>
        <w:rPr>
          <w:rFonts w:ascii="宋体" w:hAnsi="宋体"/>
          <w:b/>
          <w:color w:val="auto"/>
          <w:sz w:val="24"/>
          <w:highlight w:val="none"/>
        </w:rPr>
      </w:pPr>
      <w:r>
        <w:rPr>
          <w:rFonts w:hint="eastAsia" w:ascii="宋体" w:hAnsi="宋体"/>
          <w:b/>
          <w:color w:val="auto"/>
          <w:sz w:val="24"/>
          <w:highlight w:val="none"/>
        </w:rPr>
        <w:t>其他</w:t>
      </w:r>
    </w:p>
    <w:p>
      <w:pPr>
        <w:tabs>
          <w:tab w:val="left" w:pos="980"/>
        </w:tabs>
        <w:spacing w:line="440" w:lineRule="exact"/>
        <w:ind w:firstLine="480" w:firstLineChars="200"/>
        <w:rPr>
          <w:rFonts w:ascii="宋体" w:hAnsi="宋体"/>
          <w:color w:val="auto"/>
          <w:sz w:val="24"/>
          <w:highlight w:val="none"/>
          <w:u w:val="single"/>
        </w:rPr>
      </w:pPr>
      <w:r>
        <w:rPr>
          <w:rFonts w:hint="eastAsia" w:ascii="宋体" w:hAnsi="宋体"/>
          <w:color w:val="auto"/>
          <w:sz w:val="24"/>
          <w:highlight w:val="none"/>
        </w:rPr>
        <w:t>双方约定的其他工程质量保修事项：</w:t>
      </w:r>
      <w:r>
        <w:rPr>
          <w:rFonts w:hint="eastAsia" w:ascii="宋体" w:hAnsi="宋体"/>
          <w:color w:val="auto"/>
          <w:sz w:val="24"/>
          <w:highlight w:val="none"/>
          <w:u w:val="single"/>
        </w:rPr>
        <w:t>保留经广州开发区财政局核定的结算总造价的3</w:t>
      </w:r>
      <w:r>
        <w:rPr>
          <w:rFonts w:ascii="宋体" w:hAnsi="宋体"/>
          <w:color w:val="auto"/>
          <w:sz w:val="24"/>
          <w:highlight w:val="none"/>
          <w:u w:val="single"/>
        </w:rPr>
        <w:t>%作为保修金，在</w:t>
      </w:r>
      <w:r>
        <w:rPr>
          <w:rFonts w:hint="eastAsia" w:ascii="宋体" w:hAnsi="宋体"/>
          <w:color w:val="auto"/>
          <w:sz w:val="24"/>
          <w:highlight w:val="none"/>
          <w:u w:val="single"/>
        </w:rPr>
        <w:t>质量缺陷责任</w:t>
      </w:r>
      <w:r>
        <w:rPr>
          <w:rFonts w:ascii="宋体" w:hAnsi="宋体"/>
          <w:color w:val="auto"/>
          <w:sz w:val="24"/>
          <w:highlight w:val="none"/>
          <w:u w:val="single"/>
        </w:rPr>
        <w:t>期满后结清（不计利息）。</w:t>
      </w:r>
    </w:p>
    <w:p>
      <w:pPr>
        <w:tabs>
          <w:tab w:val="left" w:pos="980"/>
        </w:tabs>
        <w:spacing w:line="440" w:lineRule="exact"/>
        <w:ind w:firstLine="480" w:firstLineChars="200"/>
        <w:rPr>
          <w:rFonts w:ascii="宋体" w:hAnsi="宋体"/>
          <w:color w:val="auto"/>
          <w:sz w:val="24"/>
          <w:highlight w:val="none"/>
        </w:rPr>
      </w:pPr>
      <w:r>
        <w:rPr>
          <w:rFonts w:hint="eastAsia" w:ascii="宋体" w:hAnsi="宋体"/>
          <w:color w:val="auto"/>
          <w:sz w:val="24"/>
          <w:highlight w:val="none"/>
        </w:rPr>
        <w:t>本工程质量保修责任书作为施工合同附件，由施工合同发包人与承包人双方共同签署。</w:t>
      </w:r>
    </w:p>
    <w:p>
      <w:pPr>
        <w:spacing w:line="440" w:lineRule="exact"/>
        <w:jc w:val="left"/>
        <w:rPr>
          <w:rFonts w:ascii="宋体" w:hAnsi="宋体"/>
          <w:color w:val="auto"/>
          <w:sz w:val="24"/>
          <w:szCs w:val="24"/>
          <w:highlight w:val="none"/>
        </w:rPr>
      </w:pPr>
    </w:p>
    <w:p>
      <w:pPr>
        <w:spacing w:line="440" w:lineRule="exact"/>
        <w:jc w:val="left"/>
        <w:rPr>
          <w:rFonts w:ascii="宋体" w:hAnsi="宋体"/>
          <w:color w:val="auto"/>
          <w:sz w:val="24"/>
          <w:szCs w:val="24"/>
          <w:highlight w:val="none"/>
        </w:rPr>
      </w:pPr>
    </w:p>
    <w:p>
      <w:pPr>
        <w:spacing w:line="440" w:lineRule="exact"/>
        <w:jc w:val="left"/>
        <w:rPr>
          <w:rFonts w:ascii="宋体" w:hAnsi="宋体"/>
          <w:color w:val="auto"/>
          <w:sz w:val="24"/>
          <w:szCs w:val="24"/>
          <w:highlight w:val="none"/>
        </w:rPr>
      </w:pPr>
    </w:p>
    <w:p>
      <w:pPr>
        <w:spacing w:line="440" w:lineRule="exact"/>
        <w:jc w:val="left"/>
        <w:rPr>
          <w:rFonts w:ascii="宋体" w:hAnsi="宋体"/>
          <w:color w:val="auto"/>
          <w:sz w:val="24"/>
          <w:szCs w:val="24"/>
          <w:highlight w:val="none"/>
        </w:rPr>
      </w:pPr>
    </w:p>
    <w:p>
      <w:pPr>
        <w:spacing w:line="440" w:lineRule="exact"/>
        <w:jc w:val="left"/>
        <w:rPr>
          <w:rFonts w:ascii="宋体" w:hAnsi="宋体"/>
          <w:color w:val="auto"/>
          <w:sz w:val="24"/>
          <w:szCs w:val="24"/>
          <w:highlight w:val="none"/>
        </w:rPr>
      </w:pPr>
    </w:p>
    <w:p>
      <w:pPr>
        <w:spacing w:line="440" w:lineRule="exact"/>
        <w:ind w:firstLine="397"/>
        <w:jc w:val="left"/>
        <w:rPr>
          <w:rFonts w:ascii="宋体" w:hAnsi="宋体"/>
          <w:color w:val="auto"/>
          <w:sz w:val="24"/>
          <w:szCs w:val="24"/>
          <w:highlight w:val="none"/>
        </w:rPr>
      </w:pPr>
      <w:r>
        <w:rPr>
          <w:rFonts w:hint="eastAsia" w:ascii="宋体" w:hAnsi="宋体"/>
          <w:color w:val="auto"/>
          <w:sz w:val="24"/>
          <w:szCs w:val="24"/>
          <w:highlight w:val="none"/>
        </w:rPr>
        <w:t>发包人（公章）：</w:t>
      </w:r>
      <w:r>
        <w:rPr>
          <w:rFonts w:ascii="宋体" w:hAnsi="宋体"/>
          <w:color w:val="auto"/>
          <w:sz w:val="24"/>
          <w:szCs w:val="24"/>
          <w:highlight w:val="none"/>
        </w:rPr>
        <w:t xml:space="preserve">                       </w:t>
      </w:r>
      <w:r>
        <w:rPr>
          <w:rFonts w:hint="eastAsia" w:ascii="宋体" w:hAnsi="宋体"/>
          <w:color w:val="auto"/>
          <w:sz w:val="24"/>
          <w:szCs w:val="24"/>
          <w:highlight w:val="none"/>
        </w:rPr>
        <w:t>承包人（公章）：</w:t>
      </w:r>
    </w:p>
    <w:p>
      <w:pPr>
        <w:spacing w:line="440" w:lineRule="exact"/>
        <w:ind w:firstLine="397"/>
        <w:jc w:val="left"/>
        <w:rPr>
          <w:rFonts w:ascii="宋体" w:hAnsi="宋体"/>
          <w:color w:val="auto"/>
          <w:sz w:val="24"/>
          <w:szCs w:val="24"/>
          <w:highlight w:val="none"/>
        </w:rPr>
      </w:pPr>
    </w:p>
    <w:p>
      <w:pPr>
        <w:spacing w:line="440" w:lineRule="exact"/>
        <w:ind w:firstLine="397"/>
        <w:jc w:val="left"/>
        <w:rPr>
          <w:rFonts w:ascii="宋体" w:hAnsi="宋体"/>
          <w:color w:val="auto"/>
          <w:sz w:val="24"/>
          <w:szCs w:val="24"/>
          <w:highlight w:val="none"/>
        </w:rPr>
      </w:pPr>
    </w:p>
    <w:p>
      <w:pPr>
        <w:spacing w:line="440" w:lineRule="exact"/>
        <w:ind w:firstLine="397"/>
        <w:jc w:val="left"/>
        <w:rPr>
          <w:rFonts w:ascii="宋体" w:hAnsi="宋体"/>
          <w:color w:val="auto"/>
          <w:sz w:val="24"/>
          <w:szCs w:val="24"/>
          <w:highlight w:val="none"/>
        </w:rPr>
      </w:pPr>
      <w:r>
        <w:rPr>
          <w:rFonts w:hint="eastAsia" w:ascii="宋体" w:hAnsi="宋体"/>
          <w:color w:val="auto"/>
          <w:sz w:val="24"/>
          <w:szCs w:val="24"/>
          <w:highlight w:val="none"/>
        </w:rPr>
        <w:t>法定代表人：</w:t>
      </w:r>
      <w:r>
        <w:rPr>
          <w:rFonts w:ascii="宋体" w:hAnsi="宋体"/>
          <w:color w:val="auto"/>
          <w:sz w:val="24"/>
          <w:szCs w:val="24"/>
          <w:highlight w:val="none"/>
        </w:rPr>
        <w:t xml:space="preserve">                          </w:t>
      </w:r>
      <w:r>
        <w:rPr>
          <w:rFonts w:hint="eastAsia" w:ascii="宋体" w:hAnsi="宋体"/>
          <w:color w:val="auto"/>
          <w:sz w:val="24"/>
          <w:szCs w:val="24"/>
          <w:highlight w:val="none"/>
        </w:rPr>
        <w:t>法定代表人：</w:t>
      </w:r>
    </w:p>
    <w:p>
      <w:pPr>
        <w:spacing w:line="440" w:lineRule="exact"/>
        <w:ind w:firstLine="397"/>
        <w:jc w:val="left"/>
        <w:rPr>
          <w:rFonts w:ascii="宋体" w:hAnsi="宋体"/>
          <w:color w:val="auto"/>
          <w:sz w:val="24"/>
          <w:szCs w:val="24"/>
          <w:highlight w:val="none"/>
        </w:rPr>
      </w:pPr>
    </w:p>
    <w:p>
      <w:pPr>
        <w:spacing w:line="440" w:lineRule="exact"/>
        <w:ind w:firstLine="397"/>
        <w:jc w:val="left"/>
        <w:rPr>
          <w:rFonts w:ascii="宋体" w:hAnsi="宋体"/>
          <w:color w:val="auto"/>
          <w:sz w:val="24"/>
          <w:szCs w:val="24"/>
          <w:highlight w:val="none"/>
        </w:rPr>
      </w:pPr>
    </w:p>
    <w:p>
      <w:pPr>
        <w:spacing w:line="440" w:lineRule="exact"/>
        <w:ind w:firstLine="397"/>
        <w:jc w:val="left"/>
        <w:rPr>
          <w:rFonts w:ascii="宋体" w:hAnsi="宋体"/>
          <w:color w:val="auto"/>
          <w:sz w:val="24"/>
          <w:szCs w:val="24"/>
          <w:highlight w:val="none"/>
        </w:rPr>
      </w:pPr>
      <w:r>
        <w:rPr>
          <w:rFonts w:hint="eastAsia" w:ascii="宋体" w:hAnsi="宋体"/>
          <w:color w:val="auto"/>
          <w:sz w:val="24"/>
          <w:szCs w:val="24"/>
          <w:highlight w:val="none"/>
        </w:rPr>
        <w:t>委托代理人：</w:t>
      </w:r>
      <w:r>
        <w:rPr>
          <w:rFonts w:ascii="宋体" w:hAnsi="宋体"/>
          <w:color w:val="auto"/>
          <w:sz w:val="24"/>
          <w:szCs w:val="24"/>
          <w:highlight w:val="none"/>
        </w:rPr>
        <w:t xml:space="preserve">                          </w:t>
      </w:r>
      <w:r>
        <w:rPr>
          <w:rFonts w:hint="eastAsia" w:ascii="宋体" w:hAnsi="宋体"/>
          <w:color w:val="auto"/>
          <w:sz w:val="24"/>
          <w:szCs w:val="24"/>
          <w:highlight w:val="none"/>
        </w:rPr>
        <w:t>委托代理人：</w:t>
      </w:r>
    </w:p>
    <w:p>
      <w:pPr>
        <w:spacing w:line="440" w:lineRule="exact"/>
        <w:ind w:firstLine="397"/>
        <w:jc w:val="left"/>
        <w:rPr>
          <w:rFonts w:ascii="宋体" w:hAnsi="宋体"/>
          <w:color w:val="auto"/>
          <w:sz w:val="24"/>
          <w:szCs w:val="24"/>
          <w:highlight w:val="none"/>
        </w:rPr>
      </w:pPr>
    </w:p>
    <w:p>
      <w:pPr>
        <w:spacing w:line="440" w:lineRule="exact"/>
        <w:ind w:firstLine="397"/>
        <w:jc w:val="left"/>
        <w:rPr>
          <w:rFonts w:ascii="宋体" w:hAnsi="宋体"/>
          <w:color w:val="auto"/>
          <w:sz w:val="24"/>
          <w:szCs w:val="24"/>
          <w:highlight w:val="none"/>
        </w:rPr>
      </w:pPr>
    </w:p>
    <w:p>
      <w:pPr>
        <w:spacing w:line="440" w:lineRule="exact"/>
        <w:ind w:firstLine="397"/>
        <w:jc w:val="left"/>
        <w:rPr>
          <w:rFonts w:hint="eastAsia" w:ascii="宋体" w:hAnsi="宋体"/>
          <w:color w:val="auto"/>
          <w:sz w:val="24"/>
          <w:szCs w:val="24"/>
          <w:highlight w:val="none"/>
        </w:rPr>
      </w:pPr>
      <w:r>
        <w:rPr>
          <w:rFonts w:hint="eastAsia" w:ascii="宋体" w:hAnsi="宋体"/>
          <w:color w:val="auto"/>
          <w:sz w:val="24"/>
          <w:szCs w:val="24"/>
          <w:highlight w:val="none"/>
        </w:rPr>
        <w:t>签订时间：</w:t>
      </w:r>
      <w:r>
        <w:rPr>
          <w:rFonts w:ascii="宋体" w:hAnsi="宋体"/>
          <w:color w:val="auto"/>
          <w:sz w:val="24"/>
          <w:szCs w:val="24"/>
          <w:highlight w:val="none"/>
        </w:rPr>
        <w:t xml:space="preserve">   </w:t>
      </w:r>
      <w:r>
        <w:rPr>
          <w:rFonts w:hint="eastAsia" w:ascii="宋体" w:hAnsi="宋体"/>
          <w:color w:val="auto"/>
          <w:sz w:val="24"/>
          <w:szCs w:val="24"/>
          <w:highlight w:val="none"/>
        </w:rPr>
        <w:t>年</w:t>
      </w:r>
      <w:r>
        <w:rPr>
          <w:rFonts w:ascii="宋体" w:hAnsi="宋体"/>
          <w:color w:val="auto"/>
          <w:sz w:val="24"/>
          <w:szCs w:val="24"/>
          <w:highlight w:val="none"/>
        </w:rPr>
        <w:t xml:space="preserve">  </w:t>
      </w:r>
      <w:r>
        <w:rPr>
          <w:rFonts w:hint="eastAsia" w:ascii="宋体" w:hAnsi="宋体"/>
          <w:color w:val="auto"/>
          <w:sz w:val="24"/>
          <w:szCs w:val="24"/>
          <w:highlight w:val="none"/>
        </w:rPr>
        <w:t>月</w:t>
      </w:r>
      <w:r>
        <w:rPr>
          <w:rFonts w:ascii="宋体" w:hAnsi="宋体"/>
          <w:color w:val="auto"/>
          <w:sz w:val="24"/>
          <w:szCs w:val="24"/>
          <w:highlight w:val="none"/>
        </w:rPr>
        <w:t xml:space="preserve">    </w:t>
      </w:r>
      <w:r>
        <w:rPr>
          <w:rFonts w:hint="eastAsia" w:ascii="宋体" w:hAnsi="宋体"/>
          <w:color w:val="auto"/>
          <w:sz w:val="24"/>
          <w:szCs w:val="24"/>
          <w:highlight w:val="none"/>
        </w:rPr>
        <w:t>日</w:t>
      </w:r>
    </w:p>
    <w:p>
      <w:pPr>
        <w:spacing w:line="440" w:lineRule="exact"/>
        <w:ind w:firstLine="397"/>
        <w:jc w:val="left"/>
        <w:rPr>
          <w:rFonts w:hint="eastAsia" w:ascii="宋体" w:hAnsi="宋体"/>
          <w:color w:val="auto"/>
          <w:sz w:val="24"/>
          <w:szCs w:val="24"/>
          <w:highlight w:val="none"/>
        </w:rPr>
      </w:pPr>
    </w:p>
    <w:p>
      <w:pPr>
        <w:spacing w:line="440" w:lineRule="exact"/>
        <w:ind w:firstLine="397"/>
        <w:jc w:val="left"/>
        <w:rPr>
          <w:rFonts w:hint="eastAsia" w:ascii="宋体" w:hAnsi="宋体"/>
          <w:color w:val="auto"/>
          <w:sz w:val="24"/>
          <w:szCs w:val="24"/>
          <w:highlight w:val="none"/>
        </w:rPr>
      </w:pPr>
    </w:p>
    <w:p>
      <w:pPr>
        <w:adjustRightInd w:val="0"/>
        <w:snapToGrid w:val="0"/>
        <w:rPr>
          <w:rFonts w:hint="eastAsia" w:ascii="宋体" w:hAnsi="宋体" w:cs="宋体"/>
          <w:b/>
          <w:bCs/>
          <w:snapToGrid w:val="0"/>
          <w:color w:val="auto"/>
          <w:kern w:val="0"/>
          <w:sz w:val="30"/>
          <w:szCs w:val="30"/>
          <w:highlight w:val="none"/>
        </w:rPr>
      </w:pPr>
      <w:r>
        <w:rPr>
          <w:rFonts w:hint="eastAsia" w:ascii="宋体" w:hAnsi="宋体" w:cs="宋体"/>
          <w:b/>
          <w:bCs/>
          <w:snapToGrid w:val="0"/>
          <w:color w:val="auto"/>
          <w:kern w:val="0"/>
          <w:sz w:val="30"/>
          <w:szCs w:val="30"/>
          <w:highlight w:val="none"/>
        </w:rPr>
        <w:t xml:space="preserve"> 附件：            </w:t>
      </w:r>
      <w:r>
        <w:rPr>
          <w:rFonts w:hint="eastAsia" w:ascii="宋体" w:hAnsi="宋体" w:cs="宋体"/>
          <w:snapToGrid w:val="0"/>
          <w:color w:val="auto"/>
          <w:kern w:val="0"/>
          <w:sz w:val="24"/>
          <w:szCs w:val="32"/>
          <w:highlight w:val="none"/>
        </w:rPr>
        <w:t xml:space="preserve">  </w:t>
      </w:r>
      <w:r>
        <w:rPr>
          <w:rFonts w:hint="eastAsia" w:ascii="宋体" w:hAnsi="宋体" w:cs="宋体"/>
          <w:b/>
          <w:bCs/>
          <w:snapToGrid w:val="0"/>
          <w:color w:val="auto"/>
          <w:kern w:val="0"/>
          <w:sz w:val="30"/>
          <w:szCs w:val="30"/>
          <w:highlight w:val="none"/>
        </w:rPr>
        <w:t>工程建设项目廉政责任书</w:t>
      </w:r>
    </w:p>
    <w:p>
      <w:pPr>
        <w:adjustRightInd w:val="0"/>
        <w:snapToGrid w:val="0"/>
        <w:spacing w:line="400" w:lineRule="exact"/>
        <w:rPr>
          <w:rFonts w:hint="eastAsia" w:ascii="宋体" w:hAnsi="宋体"/>
          <w:snapToGrid w:val="0"/>
          <w:color w:val="auto"/>
          <w:kern w:val="0"/>
          <w:sz w:val="24"/>
          <w:szCs w:val="20"/>
          <w:highlight w:val="none"/>
        </w:rPr>
      </w:pPr>
    </w:p>
    <w:p>
      <w:pPr>
        <w:adjustRightInd w:val="0"/>
        <w:snapToGrid w:val="0"/>
        <w:spacing w:line="400" w:lineRule="exact"/>
        <w:ind w:left="495" w:hanging="495"/>
        <w:rPr>
          <w:rFonts w:hint="eastAsia" w:ascii="宋体" w:hAnsi="宋体" w:cs="宋体"/>
          <w:snapToGrid w:val="0"/>
          <w:color w:val="auto"/>
          <w:kern w:val="0"/>
          <w:sz w:val="24"/>
          <w:szCs w:val="32"/>
          <w:highlight w:val="none"/>
          <w:u w:val="single"/>
        </w:rPr>
      </w:pPr>
      <w:r>
        <w:rPr>
          <w:rFonts w:hint="eastAsia" w:ascii="宋体" w:hAnsi="宋体" w:cs="宋体"/>
          <w:snapToGrid w:val="0"/>
          <w:color w:val="auto"/>
          <w:kern w:val="0"/>
          <w:sz w:val="24"/>
          <w:szCs w:val="32"/>
          <w:highlight w:val="none"/>
        </w:rPr>
        <w:t>工程项目名称：</w:t>
      </w:r>
      <w:r>
        <w:rPr>
          <w:rFonts w:hint="eastAsia" w:ascii="宋体" w:hAnsi="宋体" w:cs="宋体"/>
          <w:snapToGrid w:val="0"/>
          <w:color w:val="auto"/>
          <w:kern w:val="0"/>
          <w:sz w:val="24"/>
          <w:szCs w:val="32"/>
          <w:highlight w:val="none"/>
          <w:u w:val="single"/>
        </w:rPr>
        <w:t xml:space="preserve">                                </w:t>
      </w:r>
    </w:p>
    <w:p>
      <w:pPr>
        <w:adjustRightInd w:val="0"/>
        <w:snapToGrid w:val="0"/>
        <w:spacing w:line="400" w:lineRule="exact"/>
        <w:ind w:left="495" w:hanging="495"/>
        <w:rPr>
          <w:rFonts w:ascii="宋体" w:hAnsi="宋体" w:cs="宋体"/>
          <w:snapToGrid w:val="0"/>
          <w:color w:val="auto"/>
          <w:kern w:val="0"/>
          <w:sz w:val="24"/>
          <w:szCs w:val="32"/>
          <w:highlight w:val="none"/>
        </w:rPr>
      </w:pPr>
      <w:r>
        <w:rPr>
          <w:rFonts w:hint="eastAsia" w:ascii="宋体" w:hAnsi="宋体" w:cs="宋体"/>
          <w:snapToGrid w:val="0"/>
          <w:color w:val="auto"/>
          <w:kern w:val="0"/>
          <w:sz w:val="24"/>
          <w:szCs w:val="32"/>
          <w:highlight w:val="none"/>
        </w:rPr>
        <w:t>工程项目地址：</w:t>
      </w:r>
      <w:r>
        <w:rPr>
          <w:rFonts w:hint="eastAsia" w:ascii="宋体" w:hAnsi="宋体" w:cs="宋体"/>
          <w:snapToGrid w:val="0"/>
          <w:color w:val="auto"/>
          <w:kern w:val="0"/>
          <w:sz w:val="24"/>
          <w:szCs w:val="32"/>
          <w:highlight w:val="none"/>
          <w:u w:val="single"/>
        </w:rPr>
        <w:t xml:space="preserve">                                </w:t>
      </w:r>
    </w:p>
    <w:p>
      <w:pPr>
        <w:adjustRightInd w:val="0"/>
        <w:snapToGrid w:val="0"/>
        <w:spacing w:line="400" w:lineRule="exact"/>
        <w:rPr>
          <w:rFonts w:ascii="宋体" w:hAnsi="宋体" w:cs="宋体"/>
          <w:snapToGrid w:val="0"/>
          <w:color w:val="auto"/>
          <w:kern w:val="0"/>
          <w:sz w:val="24"/>
          <w:szCs w:val="32"/>
          <w:highlight w:val="none"/>
          <w:u w:val="single"/>
        </w:rPr>
      </w:pPr>
      <w:r>
        <w:rPr>
          <w:rFonts w:hint="eastAsia" w:ascii="宋体" w:hAnsi="宋体" w:cs="宋体"/>
          <w:snapToGrid w:val="0"/>
          <w:color w:val="auto"/>
          <w:kern w:val="0"/>
          <w:sz w:val="24"/>
          <w:szCs w:val="32"/>
          <w:highlight w:val="none"/>
        </w:rPr>
        <w:t xml:space="preserve">甲方： </w:t>
      </w:r>
      <w:r>
        <w:rPr>
          <w:rFonts w:hint="eastAsia" w:ascii="宋体" w:hAnsi="宋体" w:cs="宋体"/>
          <w:snapToGrid w:val="0"/>
          <w:color w:val="auto"/>
          <w:kern w:val="0"/>
          <w:sz w:val="24"/>
          <w:szCs w:val="32"/>
          <w:highlight w:val="none"/>
          <w:u w:val="single"/>
        </w:rPr>
        <w:t xml:space="preserve">                                       </w:t>
      </w:r>
    </w:p>
    <w:p>
      <w:pPr>
        <w:adjustRightInd w:val="0"/>
        <w:snapToGrid w:val="0"/>
        <w:spacing w:line="400" w:lineRule="exact"/>
        <w:rPr>
          <w:rFonts w:hint="eastAsia" w:ascii="宋体" w:hAnsi="宋体" w:cs="宋体"/>
          <w:snapToGrid w:val="0"/>
          <w:color w:val="auto"/>
          <w:kern w:val="0"/>
          <w:sz w:val="24"/>
          <w:szCs w:val="32"/>
          <w:highlight w:val="none"/>
        </w:rPr>
      </w:pPr>
      <w:r>
        <w:rPr>
          <w:rFonts w:hint="eastAsia" w:ascii="宋体" w:hAnsi="宋体" w:cs="宋体"/>
          <w:snapToGrid w:val="0"/>
          <w:color w:val="auto"/>
          <w:kern w:val="0"/>
          <w:sz w:val="24"/>
          <w:szCs w:val="32"/>
          <w:highlight w:val="none"/>
        </w:rPr>
        <w:t xml:space="preserve">乙方： </w:t>
      </w:r>
      <w:r>
        <w:rPr>
          <w:rFonts w:hint="eastAsia" w:ascii="宋体" w:hAnsi="宋体" w:cs="宋体"/>
          <w:snapToGrid w:val="0"/>
          <w:color w:val="auto"/>
          <w:kern w:val="0"/>
          <w:sz w:val="24"/>
          <w:szCs w:val="32"/>
          <w:highlight w:val="none"/>
          <w:u w:val="single"/>
        </w:rPr>
        <w:t xml:space="preserve">                                       </w:t>
      </w:r>
    </w:p>
    <w:p>
      <w:pPr>
        <w:adjustRightInd w:val="0"/>
        <w:snapToGrid w:val="0"/>
        <w:spacing w:line="400" w:lineRule="exact"/>
        <w:rPr>
          <w:rFonts w:ascii="宋体" w:hAnsi="宋体" w:cs="宋体"/>
          <w:snapToGrid w:val="0"/>
          <w:color w:val="auto"/>
          <w:kern w:val="0"/>
          <w:sz w:val="24"/>
          <w:szCs w:val="32"/>
          <w:highlight w:val="none"/>
        </w:rPr>
      </w:pPr>
    </w:p>
    <w:p>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pPr>
        <w:adjustRightInd w:val="0"/>
        <w:snapToGrid w:val="0"/>
        <w:spacing w:line="440" w:lineRule="exact"/>
        <w:ind w:firstLine="482"/>
        <w:rPr>
          <w:rFonts w:hint="eastAsia" w:ascii="宋体" w:hAnsi="宋体" w:cs="宋体"/>
          <w:b/>
          <w:color w:val="auto"/>
          <w:kern w:val="0"/>
          <w:sz w:val="24"/>
          <w:highlight w:val="none"/>
        </w:rPr>
      </w:pPr>
      <w:r>
        <w:rPr>
          <w:rFonts w:hint="eastAsia" w:ascii="宋体" w:hAnsi="宋体" w:cs="宋体"/>
          <w:b/>
          <w:snapToGrid w:val="0"/>
          <w:color w:val="auto"/>
          <w:kern w:val="0"/>
          <w:sz w:val="24"/>
          <w:highlight w:val="none"/>
          <w:lang w:bidi="ar"/>
        </w:rPr>
        <w:t>第一条</w:t>
      </w:r>
      <w:r>
        <w:rPr>
          <w:rFonts w:hint="eastAsia" w:ascii="宋体" w:hAnsi="宋体" w:cs="宋体"/>
          <w:snapToGrid w:val="0"/>
          <w:color w:val="auto"/>
          <w:kern w:val="0"/>
          <w:sz w:val="24"/>
          <w:highlight w:val="none"/>
          <w:lang w:bidi="ar"/>
        </w:rPr>
        <w:t>甲、乙双方的责任</w:t>
      </w:r>
    </w:p>
    <w:p>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（一）应严格遵守国家关于市场准入、项目招标投标、</w:t>
      </w:r>
      <w:r>
        <w:rPr>
          <w:rFonts w:hint="eastAsia" w:ascii="宋体" w:hAnsi="宋体" w:cs="宋体"/>
          <w:color w:val="auto"/>
          <w:kern w:val="0"/>
          <w:sz w:val="24"/>
          <w:highlight w:val="none"/>
          <w:lang w:bidi="ar"/>
        </w:rPr>
        <w:t>工程建设和市场活动</w:t>
      </w:r>
      <w:r>
        <w:rPr>
          <w:rFonts w:hint="eastAsia" w:ascii="宋体" w:hAnsi="宋体" w:cs="宋体"/>
          <w:snapToGrid w:val="0"/>
          <w:color w:val="auto"/>
          <w:kern w:val="0"/>
          <w:sz w:val="24"/>
          <w:highlight w:val="none"/>
          <w:lang w:bidi="ar"/>
        </w:rPr>
        <w:t>等有关法律、法规、相关政策，以及廉政建设的各项规定。</w:t>
      </w:r>
    </w:p>
    <w:p>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（二）严格执行建设工程项目承发包合同文件，自觉按合同办事。</w:t>
      </w:r>
    </w:p>
    <w:p>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（三）业务活动必须坚持公开、公平、公正、诚信、透明的原则（除法律法规另有规定者外），不得为获取不正当的利益，损害国家、集体和对方利益，不得</w:t>
      </w:r>
      <w:r>
        <w:rPr>
          <w:rFonts w:hint="eastAsia" w:ascii="宋体" w:hAnsi="宋体" w:cs="宋体"/>
          <w:color w:val="auto"/>
          <w:kern w:val="0"/>
          <w:sz w:val="24"/>
          <w:highlight w:val="none"/>
          <w:lang w:bidi="ar"/>
        </w:rPr>
        <w:t>违反工程建设过程管理的规章制度。</w:t>
      </w:r>
    </w:p>
    <w:p>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（四）发现对方在业务活动中有违规、违纪、违法行为的，应及时提醒对方，情节严重的，应向其上级主管部门或纪检监察、司法等有关机关举报。</w:t>
      </w:r>
    </w:p>
    <w:p>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b/>
          <w:snapToGrid w:val="0"/>
          <w:color w:val="auto"/>
          <w:kern w:val="0"/>
          <w:sz w:val="24"/>
          <w:highlight w:val="none"/>
          <w:lang w:bidi="ar"/>
        </w:rPr>
        <w:t>第二条</w:t>
      </w:r>
      <w:r>
        <w:rPr>
          <w:rFonts w:hint="eastAsia" w:ascii="宋体" w:hAnsi="宋体" w:cs="宋体"/>
          <w:snapToGrid w:val="0"/>
          <w:color w:val="auto"/>
          <w:kern w:val="0"/>
          <w:sz w:val="24"/>
          <w:highlight w:val="none"/>
          <w:lang w:bidi="ar"/>
        </w:rPr>
        <w:t>甲方的责任</w:t>
      </w:r>
    </w:p>
    <w:p>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甲方的领导和从事本建设工程项目的工作人员，在工程建设的事前、事中、事后应遵守以下规定：</w:t>
      </w:r>
    </w:p>
    <w:p>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（一）不准向乙方和相关单位索要或接受回扣、礼金、有价证券、贵重物品和好处费、感谢费等。</w:t>
      </w:r>
    </w:p>
    <w:p>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（二）不准在乙方和相关单位报销任何应由甲方或个人支付的费用。</w:t>
      </w:r>
    </w:p>
    <w:p>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（三）不准要求、暗示或接受乙方和相关单位为个人装修住房、婚丧嫁娶、配偶子女的工作安排以及出国（境）、旅游等提供方便。</w:t>
      </w:r>
    </w:p>
    <w:p>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（四）不准参加有可能影响公正执行公务的乙方及相关单位的宴请、健身、娱乐等活动。</w:t>
      </w:r>
    </w:p>
    <w:p>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（五）不准向乙方介绍或为配偶、子女、亲属参与同甲方项目工程合同有关的设备、材料、工程分包、劳务等经济活动。不得以任何理由向乙方和相关单位推荐分包单位。</w:t>
      </w:r>
    </w:p>
    <w:p>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b/>
          <w:snapToGrid w:val="0"/>
          <w:color w:val="auto"/>
          <w:kern w:val="0"/>
          <w:sz w:val="24"/>
          <w:highlight w:val="none"/>
          <w:lang w:bidi="ar"/>
        </w:rPr>
        <w:t>第三条</w:t>
      </w:r>
      <w:r>
        <w:rPr>
          <w:rFonts w:hint="eastAsia" w:ascii="宋体" w:hAnsi="宋体" w:cs="宋体"/>
          <w:snapToGrid w:val="0"/>
          <w:color w:val="auto"/>
          <w:kern w:val="0"/>
          <w:sz w:val="24"/>
          <w:highlight w:val="none"/>
          <w:lang w:bidi="ar"/>
        </w:rPr>
        <w:t>乙方的责任</w:t>
      </w:r>
    </w:p>
    <w:p>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应与甲方保持正常的业务交往，按照有关法律法规和程序开展业务工作，严格执行</w:t>
      </w:r>
      <w:r>
        <w:rPr>
          <w:rFonts w:hint="eastAsia" w:ascii="宋体" w:hAnsi="宋体" w:cs="宋体"/>
          <w:color w:val="auto"/>
          <w:kern w:val="0"/>
          <w:sz w:val="24"/>
          <w:highlight w:val="none"/>
          <w:lang w:bidi="ar"/>
        </w:rPr>
        <w:t>工程建设过程管理的有关方针、政策，尤其是强制性标准和规范</w:t>
      </w:r>
      <w:r>
        <w:rPr>
          <w:rFonts w:hint="eastAsia" w:ascii="宋体" w:hAnsi="宋体" w:cs="宋体"/>
          <w:snapToGrid w:val="0"/>
          <w:color w:val="auto"/>
          <w:kern w:val="0"/>
          <w:sz w:val="24"/>
          <w:highlight w:val="none"/>
          <w:lang w:bidi="ar"/>
        </w:rPr>
        <w:t>，并遵守以下规定：</w:t>
      </w:r>
    </w:p>
    <w:p>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（一）不准以任何理由向甲方、相关单位及其工作人员索要、接受或赠送礼金、有价证券、贵重物品及回扣、好处费、感谢费等。</w:t>
      </w:r>
    </w:p>
    <w:p>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（二）不准以任何理由为甲方和相关单位报销应由对方或个人支付的费用。</w:t>
      </w:r>
    </w:p>
    <w:p>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（三）不准接受或暗示为甲方、相关单位或个人装修住房、婚丧嫁娶、配偶子女的工作安排以及出国（境）、旅游等提供方便。</w:t>
      </w:r>
    </w:p>
    <w:p>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（四）不准以任何理由为甲方、相关单位或个人组织有可能影响公正执行公务的宴请、健身、娱乐等活动。</w:t>
      </w:r>
    </w:p>
    <w:p>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b/>
          <w:snapToGrid w:val="0"/>
          <w:color w:val="auto"/>
          <w:kern w:val="0"/>
          <w:sz w:val="24"/>
          <w:highlight w:val="none"/>
          <w:lang w:bidi="ar"/>
        </w:rPr>
        <w:t>第四条</w:t>
      </w:r>
      <w:r>
        <w:rPr>
          <w:rFonts w:hint="eastAsia" w:ascii="宋体" w:hAnsi="宋体" w:cs="宋体"/>
          <w:snapToGrid w:val="0"/>
          <w:color w:val="auto"/>
          <w:kern w:val="0"/>
          <w:sz w:val="24"/>
          <w:highlight w:val="none"/>
          <w:lang w:bidi="ar"/>
        </w:rPr>
        <w:t>违约责任</w:t>
      </w:r>
    </w:p>
    <w:p>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pPr>
        <w:adjustRightInd w:val="0"/>
        <w:snapToGrid w:val="0"/>
        <w:spacing w:line="440" w:lineRule="exact"/>
        <w:ind w:firstLine="482"/>
        <w:rPr>
          <w:rFonts w:hint="eastAsia" w:ascii="宋体" w:hAnsi="宋体" w:cs="宋体"/>
          <w:b/>
          <w:color w:val="auto"/>
          <w:kern w:val="0"/>
          <w:sz w:val="24"/>
          <w:highlight w:val="none"/>
        </w:rPr>
      </w:pPr>
      <w:r>
        <w:rPr>
          <w:rFonts w:hint="eastAsia" w:ascii="宋体" w:hAnsi="宋体" w:cs="宋体"/>
          <w:b/>
          <w:snapToGrid w:val="0"/>
          <w:color w:val="auto"/>
          <w:kern w:val="0"/>
          <w:sz w:val="24"/>
          <w:highlight w:val="none"/>
          <w:lang w:bidi="ar"/>
        </w:rPr>
        <w:t>第五条</w:t>
      </w:r>
      <w:r>
        <w:rPr>
          <w:rFonts w:hint="eastAsia" w:ascii="宋体" w:hAnsi="宋体" w:cs="宋体"/>
          <w:snapToGrid w:val="0"/>
          <w:color w:val="auto"/>
          <w:kern w:val="0"/>
          <w:sz w:val="24"/>
          <w:highlight w:val="none"/>
          <w:lang w:bidi="ar"/>
        </w:rPr>
        <w:t>本廉政责任书作为合同的附件，与合同具有同等法律效力。经双方签署后立即生效。</w:t>
      </w:r>
    </w:p>
    <w:p>
      <w:pPr>
        <w:adjustRightInd w:val="0"/>
        <w:snapToGrid w:val="0"/>
        <w:spacing w:line="440" w:lineRule="exact"/>
        <w:ind w:firstLine="482"/>
        <w:rPr>
          <w:rFonts w:hint="eastAsia" w:ascii="宋体" w:hAnsi="宋体" w:cs="宋体"/>
          <w:b/>
          <w:color w:val="auto"/>
          <w:kern w:val="0"/>
          <w:sz w:val="24"/>
          <w:highlight w:val="none"/>
        </w:rPr>
      </w:pPr>
      <w:r>
        <w:rPr>
          <w:rFonts w:hint="eastAsia" w:ascii="宋体" w:hAnsi="宋体" w:cs="宋体"/>
          <w:b/>
          <w:snapToGrid w:val="0"/>
          <w:color w:val="auto"/>
          <w:kern w:val="0"/>
          <w:sz w:val="24"/>
          <w:highlight w:val="none"/>
          <w:lang w:bidi="ar"/>
        </w:rPr>
        <w:t>第六条</w:t>
      </w:r>
      <w:r>
        <w:rPr>
          <w:rFonts w:hint="eastAsia" w:ascii="宋体" w:hAnsi="宋体" w:cs="宋体"/>
          <w:snapToGrid w:val="0"/>
          <w:color w:val="auto"/>
          <w:kern w:val="0"/>
          <w:sz w:val="24"/>
          <w:highlight w:val="none"/>
          <w:lang w:bidi="ar"/>
        </w:rPr>
        <w:t>本廉政责任书的有效期与合同的有效期相同。</w:t>
      </w:r>
    </w:p>
    <w:p>
      <w:pPr>
        <w:adjustRightInd w:val="0"/>
        <w:snapToGrid w:val="0"/>
        <w:spacing w:line="440" w:lineRule="exact"/>
        <w:rPr>
          <w:rFonts w:hint="eastAsia" w:ascii="宋体" w:hAnsi="宋体" w:cs="宋体"/>
          <w:color w:val="auto"/>
          <w:kern w:val="0"/>
          <w:sz w:val="24"/>
          <w:highlight w:val="none"/>
        </w:rPr>
      </w:pPr>
      <w:r>
        <w:rPr>
          <w:rFonts w:hint="eastAsia" w:ascii="宋体" w:hAnsi="宋体" w:cs="宋体"/>
          <w:b/>
          <w:color w:val="auto"/>
          <w:kern w:val="0"/>
          <w:sz w:val="24"/>
          <w:highlight w:val="none"/>
          <w:lang w:bidi="ar"/>
        </w:rPr>
        <w:t xml:space="preserve">    </w:t>
      </w:r>
      <w:r>
        <w:rPr>
          <w:rFonts w:hint="eastAsia" w:ascii="宋体" w:hAnsi="宋体" w:cs="宋体"/>
          <w:b/>
          <w:snapToGrid w:val="0"/>
          <w:color w:val="auto"/>
          <w:kern w:val="0"/>
          <w:sz w:val="24"/>
          <w:highlight w:val="none"/>
          <w:lang w:bidi="ar"/>
        </w:rPr>
        <w:t>第七条</w:t>
      </w:r>
      <w:r>
        <w:rPr>
          <w:rFonts w:hint="eastAsia" w:ascii="宋体" w:hAnsi="宋体" w:cs="宋体"/>
          <w:snapToGrid w:val="0"/>
          <w:color w:val="auto"/>
          <w:kern w:val="0"/>
          <w:sz w:val="24"/>
          <w:highlight w:val="none"/>
          <w:lang w:bidi="ar"/>
        </w:rPr>
        <w:t>本廉政责任书一式十份，</w:t>
      </w:r>
      <w:r>
        <w:rPr>
          <w:rFonts w:hint="eastAsia" w:ascii="宋体" w:hAnsi="宋体" w:cs="宋体"/>
          <w:bCs/>
          <w:color w:val="auto"/>
          <w:kern w:val="0"/>
          <w:sz w:val="24"/>
          <w:highlight w:val="none"/>
          <w:lang w:bidi="ar"/>
        </w:rPr>
        <w:t>甲方执六份，乙方执四份。</w:t>
      </w:r>
    </w:p>
    <w:p>
      <w:pPr>
        <w:adjustRightInd w:val="0"/>
        <w:snapToGrid w:val="0"/>
        <w:spacing w:line="380" w:lineRule="exact"/>
        <w:ind w:right="11"/>
        <w:rPr>
          <w:rFonts w:hint="eastAsia" w:ascii="宋体" w:hAnsi="宋体" w:cs="宋体"/>
          <w:snapToGrid w:val="0"/>
          <w:color w:val="auto"/>
          <w:kern w:val="0"/>
          <w:sz w:val="24"/>
          <w:highlight w:val="none"/>
        </w:rPr>
      </w:pPr>
    </w:p>
    <w:p>
      <w:pPr>
        <w:adjustRightInd w:val="0"/>
        <w:snapToGrid w:val="0"/>
        <w:spacing w:line="360" w:lineRule="auto"/>
        <w:ind w:left="1920" w:right="11" w:hanging="1920" w:hangingChars="800"/>
        <w:rPr>
          <w:rFonts w:hint="eastAsia" w:ascii="宋体" w:hAnsi="宋体" w:cs="宋体"/>
          <w:snapToGrid w:val="0"/>
          <w:color w:val="auto"/>
          <w:kern w:val="0"/>
          <w:sz w:val="24"/>
          <w:szCs w:val="32"/>
          <w:highlight w:val="none"/>
        </w:rPr>
      </w:pPr>
      <w:r>
        <w:rPr>
          <w:rFonts w:hint="eastAsia" w:ascii="宋体" w:hAnsi="宋体" w:cs="宋体"/>
          <w:snapToGrid w:val="0"/>
          <w:color w:val="auto"/>
          <w:kern w:val="0"/>
          <w:sz w:val="24"/>
          <w:szCs w:val="32"/>
          <w:highlight w:val="none"/>
        </w:rPr>
        <w:t xml:space="preserve">甲方：                                 乙方： </w:t>
      </w:r>
    </w:p>
    <w:p>
      <w:pPr>
        <w:adjustRightInd w:val="0"/>
        <w:snapToGrid w:val="0"/>
        <w:spacing w:line="360" w:lineRule="auto"/>
        <w:ind w:left="1917" w:leftChars="513" w:right="11" w:hanging="840" w:hangingChars="350"/>
        <w:rPr>
          <w:rFonts w:hint="eastAsia" w:ascii="宋体" w:hAnsi="宋体" w:cs="宋体"/>
          <w:snapToGrid w:val="0"/>
          <w:color w:val="auto"/>
          <w:kern w:val="0"/>
          <w:sz w:val="24"/>
          <w:szCs w:val="32"/>
          <w:highlight w:val="none"/>
        </w:rPr>
      </w:pPr>
      <w:r>
        <w:rPr>
          <w:rFonts w:hint="eastAsia" w:ascii="宋体" w:hAnsi="宋体" w:cs="宋体"/>
          <w:snapToGrid w:val="0"/>
          <w:color w:val="auto"/>
          <w:kern w:val="0"/>
          <w:sz w:val="24"/>
          <w:szCs w:val="32"/>
          <w:highlight w:val="none"/>
        </w:rPr>
        <w:t xml:space="preserve">                          </w:t>
      </w:r>
    </w:p>
    <w:p>
      <w:pPr>
        <w:adjustRightInd w:val="0"/>
        <w:snapToGrid w:val="0"/>
        <w:spacing w:line="360" w:lineRule="auto"/>
        <w:ind w:right="11"/>
        <w:rPr>
          <w:rFonts w:hint="eastAsia" w:ascii="宋体" w:hAnsi="宋体" w:cs="宋体"/>
          <w:snapToGrid w:val="0"/>
          <w:color w:val="auto"/>
          <w:kern w:val="0"/>
          <w:sz w:val="24"/>
          <w:szCs w:val="32"/>
          <w:highlight w:val="none"/>
        </w:rPr>
      </w:pPr>
      <w:r>
        <w:rPr>
          <w:rFonts w:hint="eastAsia" w:ascii="宋体" w:hAnsi="宋体" w:cs="宋体"/>
          <w:snapToGrid w:val="0"/>
          <w:color w:val="auto"/>
          <w:kern w:val="0"/>
          <w:sz w:val="24"/>
          <w:szCs w:val="32"/>
          <w:highlight w:val="none"/>
        </w:rPr>
        <w:t>法定代表人：                           法定代表人：</w:t>
      </w:r>
    </w:p>
    <w:p>
      <w:pPr>
        <w:tabs>
          <w:tab w:val="left" w:pos="5460"/>
        </w:tabs>
        <w:adjustRightInd w:val="0"/>
        <w:snapToGrid w:val="0"/>
        <w:spacing w:line="360" w:lineRule="auto"/>
        <w:ind w:left="-2" w:leftChars="-1" w:right="11"/>
        <w:rPr>
          <w:rFonts w:hint="eastAsia" w:ascii="宋体" w:hAnsi="宋体" w:cs="宋体"/>
          <w:snapToGrid w:val="0"/>
          <w:color w:val="auto"/>
          <w:kern w:val="0"/>
          <w:sz w:val="24"/>
          <w:szCs w:val="32"/>
          <w:highlight w:val="none"/>
        </w:rPr>
      </w:pPr>
    </w:p>
    <w:p>
      <w:pPr>
        <w:tabs>
          <w:tab w:val="left" w:pos="5460"/>
        </w:tabs>
        <w:adjustRightInd w:val="0"/>
        <w:snapToGrid w:val="0"/>
        <w:spacing w:line="360" w:lineRule="auto"/>
        <w:ind w:left="-2" w:leftChars="-1" w:right="11"/>
        <w:rPr>
          <w:rFonts w:hint="eastAsia" w:ascii="宋体" w:hAnsi="宋体" w:cs="宋体"/>
          <w:snapToGrid w:val="0"/>
          <w:color w:val="auto"/>
          <w:kern w:val="0"/>
          <w:sz w:val="24"/>
          <w:szCs w:val="32"/>
          <w:highlight w:val="none"/>
        </w:rPr>
      </w:pPr>
      <w:r>
        <w:rPr>
          <w:rFonts w:hint="eastAsia" w:ascii="宋体" w:hAnsi="宋体" w:cs="宋体"/>
          <w:snapToGrid w:val="0"/>
          <w:color w:val="auto"/>
          <w:kern w:val="0"/>
          <w:sz w:val="24"/>
          <w:szCs w:val="32"/>
          <w:highlight w:val="none"/>
        </w:rPr>
        <w:t>委托代理人：                           委托代理人：</w:t>
      </w:r>
    </w:p>
    <w:p>
      <w:pPr>
        <w:tabs>
          <w:tab w:val="left" w:pos="5460"/>
        </w:tabs>
        <w:adjustRightInd w:val="0"/>
        <w:snapToGrid w:val="0"/>
        <w:spacing w:line="400" w:lineRule="exact"/>
        <w:ind w:left="-2" w:leftChars="-1" w:right="11"/>
        <w:rPr>
          <w:rFonts w:hint="eastAsia" w:ascii="宋体" w:hAnsi="宋体" w:cs="宋体"/>
          <w:snapToGrid w:val="0"/>
          <w:color w:val="auto"/>
          <w:kern w:val="0"/>
          <w:sz w:val="24"/>
          <w:szCs w:val="32"/>
          <w:highlight w:val="none"/>
        </w:rPr>
      </w:pPr>
    </w:p>
    <w:p>
      <w:pPr>
        <w:tabs>
          <w:tab w:val="left" w:pos="5460"/>
        </w:tabs>
        <w:adjustRightInd w:val="0"/>
        <w:snapToGrid w:val="0"/>
        <w:spacing w:line="400" w:lineRule="exact"/>
        <w:ind w:left="-2" w:leftChars="-1" w:right="11"/>
        <w:rPr>
          <w:rFonts w:hint="eastAsia" w:ascii="宋体" w:hAnsi="宋体" w:cs="宋体"/>
          <w:snapToGrid w:val="0"/>
          <w:color w:val="auto"/>
          <w:kern w:val="0"/>
          <w:sz w:val="24"/>
          <w:szCs w:val="32"/>
          <w:highlight w:val="none"/>
        </w:rPr>
      </w:pPr>
      <w:r>
        <w:rPr>
          <w:rFonts w:hint="eastAsia" w:ascii="宋体" w:hAnsi="宋体" w:cs="宋体"/>
          <w:snapToGrid w:val="0"/>
          <w:color w:val="auto"/>
          <w:kern w:val="0"/>
          <w:sz w:val="24"/>
          <w:szCs w:val="32"/>
          <w:highlight w:val="none"/>
        </w:rPr>
        <w:t>签约日期：</w:t>
      </w:r>
      <w:r>
        <w:rPr>
          <w:rFonts w:hint="eastAsia" w:ascii="宋体" w:hAnsi="宋体" w:cs="宋体"/>
          <w:snapToGrid w:val="0"/>
          <w:color w:val="auto"/>
          <w:kern w:val="0"/>
          <w:sz w:val="24"/>
          <w:szCs w:val="32"/>
          <w:highlight w:val="none"/>
          <w:u w:val="single"/>
        </w:rPr>
        <w:t xml:space="preserve">    </w:t>
      </w:r>
      <w:r>
        <w:rPr>
          <w:rFonts w:hint="eastAsia" w:ascii="宋体" w:hAnsi="宋体" w:cs="宋体"/>
          <w:snapToGrid w:val="0"/>
          <w:color w:val="auto"/>
          <w:kern w:val="0"/>
          <w:sz w:val="24"/>
          <w:szCs w:val="32"/>
          <w:highlight w:val="none"/>
        </w:rPr>
        <w:t>年</w:t>
      </w:r>
      <w:r>
        <w:rPr>
          <w:rFonts w:hint="eastAsia" w:ascii="宋体" w:hAnsi="宋体" w:cs="宋体"/>
          <w:snapToGrid w:val="0"/>
          <w:color w:val="auto"/>
          <w:kern w:val="0"/>
          <w:sz w:val="24"/>
          <w:szCs w:val="32"/>
          <w:highlight w:val="none"/>
          <w:u w:val="single"/>
        </w:rPr>
        <w:t xml:space="preserve">   </w:t>
      </w:r>
      <w:r>
        <w:rPr>
          <w:rFonts w:hint="eastAsia" w:ascii="宋体" w:hAnsi="宋体" w:cs="宋体"/>
          <w:snapToGrid w:val="0"/>
          <w:color w:val="auto"/>
          <w:kern w:val="0"/>
          <w:sz w:val="24"/>
          <w:szCs w:val="32"/>
          <w:highlight w:val="none"/>
        </w:rPr>
        <w:t>月</w:t>
      </w:r>
      <w:r>
        <w:rPr>
          <w:rFonts w:hint="eastAsia" w:ascii="宋体" w:hAnsi="宋体" w:cs="宋体"/>
          <w:snapToGrid w:val="0"/>
          <w:color w:val="auto"/>
          <w:kern w:val="0"/>
          <w:sz w:val="24"/>
          <w:szCs w:val="32"/>
          <w:highlight w:val="none"/>
          <w:u w:val="single"/>
        </w:rPr>
        <w:t xml:space="preserve">   </w:t>
      </w:r>
      <w:r>
        <w:rPr>
          <w:rFonts w:hint="eastAsia" w:ascii="宋体" w:hAnsi="宋体" w:cs="宋体"/>
          <w:snapToGrid w:val="0"/>
          <w:color w:val="auto"/>
          <w:kern w:val="0"/>
          <w:sz w:val="24"/>
          <w:szCs w:val="32"/>
          <w:highlight w:val="none"/>
        </w:rPr>
        <w:t xml:space="preserve">日                      </w:t>
      </w:r>
    </w:p>
    <w:p>
      <w:pPr>
        <w:spacing w:line="400" w:lineRule="exact"/>
        <w:rPr>
          <w:color w:val="auto"/>
          <w:sz w:val="24"/>
          <w:szCs w:val="24"/>
          <w:highlight w:val="none"/>
        </w:rPr>
      </w:pPr>
      <w:r>
        <w:rPr>
          <w:rFonts w:hint="eastAsia" w:ascii="宋体" w:hAnsi="宋体" w:cs="宋体"/>
          <w:snapToGrid w:val="0"/>
          <w:color w:val="auto"/>
          <w:kern w:val="0"/>
          <w:sz w:val="24"/>
          <w:szCs w:val="32"/>
          <w:highlight w:val="none"/>
        </w:rPr>
        <w:t>签约地点：广东省广州市黄埔区。</w:t>
      </w:r>
    </w:p>
    <w:p>
      <w:pPr>
        <w:pStyle w:val="26"/>
        <w:spacing w:line="360" w:lineRule="auto"/>
        <w:rPr>
          <w:color w:val="auto"/>
          <w:sz w:val="24"/>
          <w:szCs w:val="24"/>
          <w:highlight w:val="none"/>
        </w:rPr>
      </w:pPr>
      <w:r>
        <w:rPr>
          <w:color w:val="auto"/>
          <w:sz w:val="24"/>
          <w:szCs w:val="24"/>
          <w:highlight w:val="none"/>
        </w:rPr>
        <w:br w:type="page"/>
      </w:r>
    </w:p>
    <w:p>
      <w:pPr>
        <w:pStyle w:val="3"/>
        <w:rPr>
          <w:color w:val="auto"/>
          <w:highlight w:val="none"/>
        </w:rPr>
      </w:pPr>
      <w:bookmarkStart w:id="44" w:name="_Toc2272567"/>
      <w:bookmarkStart w:id="45" w:name="_Toc21525512"/>
      <w:r>
        <w:rPr>
          <w:rFonts w:hint="eastAsia"/>
          <w:color w:val="auto"/>
          <w:highlight w:val="none"/>
        </w:rPr>
        <w:t>第四章投标文件格式</w:t>
      </w:r>
      <w:bookmarkEnd w:id="44"/>
      <w:bookmarkEnd w:id="45"/>
    </w:p>
    <w:p>
      <w:pPr>
        <w:rPr>
          <w:rFonts w:hint="eastAsia" w:ascii="宋体"/>
          <w:b/>
          <w:color w:val="auto"/>
          <w:sz w:val="24"/>
          <w:szCs w:val="24"/>
          <w:highlight w:val="none"/>
        </w:rPr>
      </w:pPr>
    </w:p>
    <w:p>
      <w:pPr>
        <w:rPr>
          <w:rFonts w:hint="eastAsia" w:ascii="宋体"/>
          <w:b/>
          <w:color w:val="auto"/>
          <w:sz w:val="24"/>
          <w:szCs w:val="24"/>
          <w:highlight w:val="none"/>
        </w:rPr>
      </w:pPr>
    </w:p>
    <w:p>
      <w:pPr>
        <w:rPr>
          <w:rFonts w:hint="eastAsia" w:ascii="宋体"/>
          <w:b/>
          <w:color w:val="auto"/>
          <w:sz w:val="24"/>
          <w:szCs w:val="24"/>
          <w:highlight w:val="none"/>
        </w:rPr>
      </w:pPr>
    </w:p>
    <w:p>
      <w:pPr>
        <w:jc w:val="center"/>
        <w:rPr>
          <w:rFonts w:hint="eastAsia" w:ascii="宋体"/>
          <w:b/>
          <w:color w:val="auto"/>
          <w:sz w:val="24"/>
          <w:szCs w:val="24"/>
          <w:highlight w:val="none"/>
        </w:rPr>
      </w:pPr>
      <w:r>
        <w:rPr>
          <w:rFonts w:ascii="宋体"/>
          <w:color w:val="auto"/>
          <w:sz w:val="32"/>
          <w:szCs w:val="32"/>
          <w:highlight w:val="none"/>
        </w:rPr>
        <w:t>一、投标文件</w:t>
      </w:r>
      <w:r>
        <w:rPr>
          <w:rFonts w:hint="eastAsia" w:ascii="宋体"/>
          <w:color w:val="auto"/>
          <w:sz w:val="32"/>
          <w:szCs w:val="32"/>
          <w:highlight w:val="none"/>
        </w:rPr>
        <w:t>技术标部分（含资格审查文件）</w:t>
      </w:r>
      <w:r>
        <w:rPr>
          <w:rFonts w:ascii="宋体"/>
          <w:color w:val="auto"/>
          <w:sz w:val="32"/>
          <w:szCs w:val="32"/>
          <w:highlight w:val="none"/>
        </w:rPr>
        <w:t>格式</w:t>
      </w:r>
    </w:p>
    <w:p>
      <w:pPr>
        <w:autoSpaceDE w:val="0"/>
        <w:autoSpaceDN w:val="0"/>
        <w:adjustRightInd w:val="0"/>
        <w:rPr>
          <w:bCs/>
          <w:color w:val="auto"/>
          <w:sz w:val="24"/>
          <w:szCs w:val="24"/>
          <w:highlight w:val="none"/>
        </w:rPr>
      </w:pPr>
      <w:r>
        <w:rPr>
          <w:color w:val="auto"/>
          <w:highlight w:val="none"/>
        </w:rPr>
        <w:br w:type="page"/>
      </w:r>
      <w:r>
        <w:rPr>
          <w:rFonts w:hint="eastAsia"/>
          <w:color w:val="auto"/>
          <w:sz w:val="24"/>
          <w:szCs w:val="24"/>
          <w:highlight w:val="none"/>
        </w:rPr>
        <w:t>技术标</w:t>
      </w:r>
      <w:r>
        <w:rPr>
          <w:rFonts w:hint="eastAsia"/>
          <w:bCs/>
          <w:color w:val="auto"/>
          <w:sz w:val="24"/>
          <w:szCs w:val="24"/>
          <w:highlight w:val="none"/>
        </w:rPr>
        <w:t>格式一：</w:t>
      </w:r>
    </w:p>
    <w:p>
      <w:pPr>
        <w:autoSpaceDE w:val="0"/>
        <w:autoSpaceDN w:val="0"/>
        <w:adjustRightInd w:val="0"/>
        <w:ind w:left="-540" w:leftChars="-257" w:firstLine="538" w:firstLineChars="149"/>
        <w:jc w:val="center"/>
        <w:rPr>
          <w:rFonts w:ascii="宋体"/>
          <w:b/>
          <w:bCs/>
          <w:color w:val="auto"/>
          <w:sz w:val="36"/>
          <w:szCs w:val="36"/>
          <w:highlight w:val="none"/>
        </w:rPr>
      </w:pPr>
      <w:r>
        <w:rPr>
          <w:rFonts w:hint="eastAsia" w:ascii="宋体" w:hAnsi="宋体" w:cs="宋体"/>
          <w:b/>
          <w:bCs/>
          <w:color w:val="auto"/>
          <w:sz w:val="36"/>
          <w:szCs w:val="36"/>
          <w:highlight w:val="none"/>
          <w:lang w:val="zh-CN"/>
        </w:rPr>
        <w:t>广州建设工程施工招标投标书（技术标）</w:t>
      </w:r>
    </w:p>
    <w:tbl>
      <w:tblPr>
        <w:tblStyle w:val="48"/>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2211"/>
        <w:gridCol w:w="3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333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工 程 名 称</w:t>
            </w:r>
          </w:p>
        </w:tc>
        <w:tc>
          <w:tcPr>
            <w:tcW w:w="6045"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33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投 标 总工 期</w:t>
            </w:r>
          </w:p>
        </w:tc>
        <w:tc>
          <w:tcPr>
            <w:tcW w:w="6045"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33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color w:val="auto"/>
                <w:sz w:val="24"/>
                <w:szCs w:val="24"/>
                <w:highlight w:val="none"/>
              </w:rPr>
            </w:pPr>
            <w:r>
              <w:rPr>
                <w:rFonts w:hint="eastAsia" w:ascii="宋体" w:hAnsi="宋体" w:cs="宋体"/>
                <w:b/>
                <w:color w:val="auto"/>
                <w:sz w:val="24"/>
                <w:szCs w:val="24"/>
                <w:highlight w:val="none"/>
                <w:lang w:val="zh-CN"/>
              </w:rPr>
              <w:t>工程质量标准</w:t>
            </w:r>
          </w:p>
        </w:tc>
        <w:tc>
          <w:tcPr>
            <w:tcW w:w="6045"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333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保 修 期 限</w:t>
            </w:r>
          </w:p>
        </w:tc>
        <w:tc>
          <w:tcPr>
            <w:tcW w:w="6045"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4" w:type="dxa"/>
            <w:tcBorders>
              <w:top w:val="single" w:color="auto" w:sz="4" w:space="0"/>
              <w:left w:val="single" w:color="auto" w:sz="4" w:space="0"/>
              <w:right w:val="single" w:color="auto" w:sz="4" w:space="0"/>
            </w:tcBorders>
            <w:noWrap w:val="0"/>
            <w:vAlign w:val="center"/>
          </w:tcPr>
          <w:p>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委派的项目负责人</w:t>
            </w:r>
          </w:p>
        </w:tc>
        <w:tc>
          <w:tcPr>
            <w:tcW w:w="221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color w:val="auto"/>
                <w:sz w:val="24"/>
                <w:szCs w:val="24"/>
                <w:highlight w:val="none"/>
              </w:rPr>
            </w:pPr>
            <w:r>
              <w:rPr>
                <w:rFonts w:hint="eastAsia" w:ascii="宋体" w:hAnsi="宋体"/>
                <w:b/>
                <w:color w:val="auto"/>
                <w:sz w:val="24"/>
                <w:szCs w:val="24"/>
                <w:highlight w:val="none"/>
              </w:rPr>
              <w:t>姓   名</w:t>
            </w:r>
          </w:p>
        </w:tc>
        <w:tc>
          <w:tcPr>
            <w:tcW w:w="3834"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eastAsia="等线"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4" w:type="dxa"/>
            <w:tcBorders>
              <w:top w:val="single" w:color="auto" w:sz="4" w:space="0"/>
              <w:left w:val="single" w:color="auto" w:sz="4" w:space="0"/>
              <w:right w:val="single" w:color="auto" w:sz="4" w:space="0"/>
            </w:tcBorders>
            <w:noWrap w:val="0"/>
            <w:vAlign w:val="center"/>
          </w:tcPr>
          <w:p>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委派的专职安全员</w:t>
            </w:r>
          </w:p>
        </w:tc>
        <w:tc>
          <w:tcPr>
            <w:tcW w:w="221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姓   名</w:t>
            </w:r>
          </w:p>
        </w:tc>
        <w:tc>
          <w:tcPr>
            <w:tcW w:w="3834"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eastAsia="等线" w:cs="宋体"/>
                <w:bCs/>
                <w:color w:val="auto"/>
                <w:sz w:val="24"/>
                <w:szCs w:val="24"/>
                <w:highlight w:val="none"/>
                <w:lang w:val="zh-CN"/>
              </w:rPr>
            </w:pPr>
          </w:p>
        </w:tc>
      </w:tr>
    </w:tbl>
    <w:p>
      <w:pPr>
        <w:tabs>
          <w:tab w:val="left" w:pos="720"/>
        </w:tabs>
        <w:snapToGrid w:val="0"/>
        <w:spacing w:line="360" w:lineRule="auto"/>
        <w:rPr>
          <w:color w:val="auto"/>
          <w:sz w:val="24"/>
          <w:szCs w:val="24"/>
          <w:highlight w:val="none"/>
        </w:rPr>
      </w:pPr>
    </w:p>
    <w:p>
      <w:pPr>
        <w:autoSpaceDE w:val="0"/>
        <w:autoSpaceDN w:val="0"/>
        <w:adjustRightInd w:val="0"/>
        <w:spacing w:line="360" w:lineRule="auto"/>
        <w:rPr>
          <w:rFonts w:hint="eastAsia" w:ascii="宋体" w:hAnsi="宋体" w:cs="宋体"/>
          <w:snapToGrid w:val="0"/>
          <w:color w:val="auto"/>
          <w:spacing w:val="4"/>
          <w:kern w:val="0"/>
          <w:sz w:val="24"/>
          <w:szCs w:val="24"/>
          <w:highlight w:val="none"/>
        </w:rPr>
      </w:pPr>
      <w:r>
        <w:rPr>
          <w:color w:val="auto"/>
          <w:sz w:val="24"/>
          <w:szCs w:val="24"/>
          <w:highlight w:val="none"/>
        </w:rPr>
        <w:br w:type="page"/>
      </w:r>
      <w:r>
        <w:rPr>
          <w:rFonts w:hint="eastAsia"/>
          <w:color w:val="auto"/>
          <w:sz w:val="24"/>
          <w:szCs w:val="24"/>
          <w:highlight w:val="none"/>
        </w:rPr>
        <w:t>技术标</w:t>
      </w:r>
      <w:r>
        <w:rPr>
          <w:rFonts w:hint="eastAsia"/>
          <w:bCs/>
          <w:color w:val="auto"/>
          <w:sz w:val="24"/>
          <w:szCs w:val="24"/>
          <w:highlight w:val="none"/>
        </w:rPr>
        <w:t>格式二：</w:t>
      </w:r>
    </w:p>
    <w:p>
      <w:pPr>
        <w:topLinePunct/>
        <w:adjustRightInd w:val="0"/>
        <w:snapToGrid w:val="0"/>
        <w:spacing w:line="360" w:lineRule="auto"/>
        <w:jc w:val="center"/>
        <w:rPr>
          <w:rFonts w:hint="eastAsia" w:ascii="宋体" w:hAnsi="宋体" w:cs="宋体"/>
          <w:b/>
          <w:snapToGrid w:val="0"/>
          <w:color w:val="auto"/>
          <w:spacing w:val="4"/>
          <w:kern w:val="0"/>
          <w:sz w:val="32"/>
          <w:szCs w:val="32"/>
          <w:highlight w:val="none"/>
        </w:rPr>
      </w:pPr>
      <w:r>
        <w:rPr>
          <w:rFonts w:hint="eastAsia" w:ascii="宋体" w:hAnsi="宋体" w:cs="宋体"/>
          <w:b/>
          <w:snapToGrid w:val="0"/>
          <w:color w:val="auto"/>
          <w:spacing w:val="4"/>
          <w:kern w:val="0"/>
          <w:sz w:val="32"/>
          <w:szCs w:val="32"/>
          <w:highlight w:val="none"/>
        </w:rPr>
        <w:t>投 标 函</w:t>
      </w:r>
    </w:p>
    <w:p>
      <w:pPr>
        <w:topLinePunct/>
        <w:adjustRightInd w:val="0"/>
        <w:snapToGrid w:val="0"/>
        <w:spacing w:line="360" w:lineRule="auto"/>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致：</w:t>
      </w:r>
      <w:r>
        <w:rPr>
          <w:rFonts w:hint="eastAsia" w:ascii="宋体" w:hAnsi="宋体" w:cs="宋体"/>
          <w:snapToGrid w:val="0"/>
          <w:color w:val="auto"/>
          <w:spacing w:val="4"/>
          <w:kern w:val="0"/>
          <w:sz w:val="24"/>
          <w:szCs w:val="24"/>
          <w:highlight w:val="none"/>
          <w:u w:val="single"/>
        </w:rPr>
        <w:t>广州开发区财政投资建设项目管理中心</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1.根据已收到贵方的项目编号为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lang w:eastAsia="zh-CN"/>
        </w:rPr>
        <w:t>刘村新村周边市政道路工程施工总承包</w:t>
      </w:r>
      <w:r>
        <w:rPr>
          <w:rFonts w:hint="eastAsia" w:ascii="宋体" w:hAnsi="宋体" w:cs="宋体"/>
          <w:color w:val="auto"/>
          <w:sz w:val="24"/>
          <w:szCs w:val="24"/>
          <w:highlight w:val="none"/>
        </w:rPr>
        <w:t>的招标文件，并已详细审核了全部招标文件及有关附件。</w:t>
      </w:r>
    </w:p>
    <w:p>
      <w:pPr>
        <w:snapToGrid w:val="0"/>
        <w:spacing w:line="360" w:lineRule="auto"/>
        <w:ind w:firstLine="523" w:firstLineChars="218"/>
        <w:rPr>
          <w:rFonts w:hint="eastAsia" w:ascii="宋体" w:hAnsi="宋体" w:cs="宋体"/>
          <w:color w:val="auto"/>
          <w:sz w:val="24"/>
          <w:szCs w:val="24"/>
          <w:highlight w:val="none"/>
        </w:rPr>
      </w:pPr>
      <w:r>
        <w:rPr>
          <w:rFonts w:hint="eastAsia" w:ascii="宋体" w:hAnsi="宋体" w:cs="宋体"/>
          <w:color w:val="auto"/>
          <w:sz w:val="24"/>
          <w:szCs w:val="24"/>
          <w:highlight w:val="none"/>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愿以经济标中的投标报价并按上述合同条款、标准和技术规范、图纸、工程量清单等的要求承包上述工程的施工、竣工并修补其任何缺陷。</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3.我方同意所递交的投标文件在投标须知规定的投标有效期内有效，在此期间内我方的投标有可能中标，我方将受此约束。如果在投标有效期内撤回投标或放弃中标资格，我方的投标担保将不予退还，给贵方造成的损失超过我方投标担保金额的，贵方还有权要求我方对超过部分进行赔偿。</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4.我方理解贵方将不受必须接受你们所收到的最低标价或其它任何投标文件的约束。</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5.如果我方中标，我方保证按招标文件中规定的工期，在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日历天内完成并移交本工程，质量标准达到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要求。</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6.如果我方中标，我方将按照规定递交由招标人认可，并在招标文件中规定金额的履约保函。</w:t>
      </w:r>
    </w:p>
    <w:p>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7.除非另外达成协议并生效，贵方的中标通知书和本投标文件将成为约束双方的合同文件的组成部分。</w:t>
      </w:r>
    </w:p>
    <w:p>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pPr>
        <w:spacing w:line="360" w:lineRule="auto"/>
        <w:ind w:firstLine="481"/>
        <w:rPr>
          <w:rFonts w:hint="eastAsia" w:ascii="宋体" w:hAnsi="宋体" w:cs="宋体"/>
          <w:b/>
          <w:bCs/>
          <w:color w:val="auto"/>
          <w:kern w:val="0"/>
          <w:sz w:val="24"/>
          <w:szCs w:val="24"/>
          <w:highlight w:val="none"/>
        </w:rPr>
      </w:pPr>
      <w:r>
        <w:rPr>
          <w:rFonts w:hint="eastAsia" w:ascii="宋体" w:hAnsi="宋体" w:cs="宋体"/>
          <w:b/>
          <w:bCs/>
          <w:color w:val="auto"/>
          <w:sz w:val="24"/>
          <w:szCs w:val="24"/>
          <w:highlight w:val="none"/>
        </w:rPr>
        <w:t>9.</w:t>
      </w:r>
      <w:r>
        <w:rPr>
          <w:rFonts w:hint="eastAsia" w:ascii="宋体" w:hAnsi="宋体" w:cs="宋体"/>
          <w:b/>
          <w:bCs/>
          <w:color w:val="auto"/>
          <w:kern w:val="0"/>
          <w:sz w:val="24"/>
          <w:szCs w:val="24"/>
          <w:highlight w:val="none"/>
        </w:rPr>
        <w:t>如我方中标,我方承诺：须按《广州开发区财政投资建设项目管理中心施工类合同结算编审指引（试行）》及广州开发区有关规定编制及办理建设项目工程结算。本公司未按上述规定的期限和内容编制及办理建设项目工程结算，经建设业主或代建单位或监理人书面通知之日起2个月内（最长期限不得超过6个月）仍未提交编制及办理建设项目工程结算的相关文件的，监理人和建设业主有权根据建设业主已有资料进行审核并报财政部门审定，财政部门审定的竣工结算合同总价视同是经我方认可的工程竣工结算合同总价。</w:t>
      </w:r>
    </w:p>
    <w:p>
      <w:pPr>
        <w:spacing w:line="360" w:lineRule="auto"/>
        <w:ind w:firstLine="481"/>
        <w:rPr>
          <w:rFonts w:hint="eastAsia" w:ascii="宋体" w:hAnsi="宋体" w:cs="宋体"/>
          <w:snapToGrid w:val="0"/>
          <w:color w:val="auto"/>
          <w:spacing w:val="4"/>
          <w:kern w:val="0"/>
          <w:sz w:val="24"/>
          <w:szCs w:val="24"/>
          <w:highlight w:val="none"/>
        </w:rPr>
      </w:pPr>
    </w:p>
    <w:p>
      <w:pPr>
        <w:topLinePunct/>
        <w:adjustRightInd w:val="0"/>
        <w:snapToGrid w:val="0"/>
        <w:spacing w:line="360" w:lineRule="auto"/>
        <w:ind w:firstLine="691" w:firstLineChars="279"/>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 标 人：    （盖章）</w:t>
      </w:r>
    </w:p>
    <w:p>
      <w:pPr>
        <w:topLinePunct/>
        <w:adjustRightInd w:val="0"/>
        <w:snapToGrid w:val="0"/>
        <w:spacing w:line="360" w:lineRule="auto"/>
        <w:ind w:firstLine="691" w:firstLineChars="279"/>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法定代表人或授权代理人（签字或盖章）：</w:t>
      </w:r>
    </w:p>
    <w:p>
      <w:pPr>
        <w:topLinePunct/>
        <w:adjustRightInd w:val="0"/>
        <w:snapToGrid w:val="0"/>
        <w:spacing w:line="360" w:lineRule="auto"/>
        <w:ind w:firstLine="691" w:firstLineChars="279"/>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 xml:space="preserve">日    期：    年    月    日 </w:t>
      </w:r>
    </w:p>
    <w:p>
      <w:pPr>
        <w:topLinePunct/>
        <w:adjustRightInd w:val="0"/>
        <w:snapToGrid w:val="0"/>
        <w:spacing w:line="360" w:lineRule="auto"/>
        <w:ind w:firstLine="691" w:firstLineChars="279"/>
        <w:rPr>
          <w:rFonts w:hint="eastAsia" w:ascii="宋体" w:hAnsi="宋体" w:cs="宋体"/>
          <w:snapToGrid w:val="0"/>
          <w:color w:val="auto"/>
          <w:spacing w:val="4"/>
          <w:kern w:val="0"/>
          <w:sz w:val="24"/>
          <w:szCs w:val="24"/>
          <w:highlight w:val="none"/>
        </w:rPr>
      </w:pPr>
    </w:p>
    <w:p>
      <w:pPr>
        <w:spacing w:line="360" w:lineRule="auto"/>
        <w:jc w:val="left"/>
        <w:rPr>
          <w:rFonts w:hint="eastAsia" w:ascii="宋体" w:hAnsi="宋体" w:cs="宋体"/>
          <w:color w:val="auto"/>
          <w:sz w:val="24"/>
          <w:szCs w:val="24"/>
          <w:highlight w:val="none"/>
        </w:rPr>
      </w:pPr>
    </w:p>
    <w:p>
      <w:pPr>
        <w:spacing w:line="360" w:lineRule="auto"/>
        <w:jc w:val="left"/>
        <w:rPr>
          <w:rFonts w:hint="eastAsia" w:ascii="宋体" w:hAnsi="宋体" w:cs="宋体"/>
          <w:color w:val="auto"/>
          <w:szCs w:val="21"/>
          <w:highlight w:val="none"/>
        </w:rPr>
      </w:pP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注：《投标函》第5条内容“在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日历天内完成并移交本工程”横线上要求按照本工程《广州建设工程施工招标投标书（技术标）》承诺的投标总工期填写，否则视作未按规定的格式填写，作无效标处理；《投标函》第5条内容“质量标准达到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要求”横线上要求按照本工程《广州建设工程施工招标投标书（技术标）》承诺的质量标准填写，否则视作未按规定的格式填写，作无效标处理。</w:t>
      </w:r>
    </w:p>
    <w:p>
      <w:pPr>
        <w:topLinePunct/>
        <w:adjustRightInd w:val="0"/>
        <w:snapToGrid w:val="0"/>
        <w:spacing w:before="120" w:beforeLines="50" w:after="120" w:afterLines="50" w:line="360" w:lineRule="auto"/>
        <w:jc w:val="left"/>
        <w:outlineLvl w:val="2"/>
        <w:rPr>
          <w:rFonts w:hint="eastAsia" w:ascii="宋体" w:hAnsi="宋体" w:cs="宋体"/>
          <w:snapToGrid w:val="0"/>
          <w:color w:val="auto"/>
          <w:spacing w:val="4"/>
          <w:kern w:val="0"/>
          <w:sz w:val="24"/>
          <w:szCs w:val="24"/>
          <w:highlight w:val="none"/>
        </w:rPr>
      </w:pPr>
      <w:r>
        <w:rPr>
          <w:color w:val="auto"/>
          <w:sz w:val="24"/>
          <w:szCs w:val="24"/>
          <w:highlight w:val="none"/>
        </w:rPr>
        <w:br w:type="page"/>
      </w:r>
      <w:r>
        <w:rPr>
          <w:rFonts w:hint="eastAsia"/>
          <w:color w:val="auto"/>
          <w:sz w:val="24"/>
          <w:szCs w:val="24"/>
          <w:highlight w:val="none"/>
        </w:rPr>
        <w:t>技术标</w:t>
      </w:r>
      <w:r>
        <w:rPr>
          <w:rFonts w:hint="eastAsia"/>
          <w:bCs/>
          <w:color w:val="auto"/>
          <w:sz w:val="24"/>
          <w:szCs w:val="24"/>
          <w:highlight w:val="none"/>
        </w:rPr>
        <w:t>格式三：</w:t>
      </w:r>
    </w:p>
    <w:p>
      <w:pPr>
        <w:tabs>
          <w:tab w:val="left" w:pos="720"/>
        </w:tabs>
        <w:snapToGrid w:val="0"/>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标函承诺书</w:t>
      </w:r>
    </w:p>
    <w:p>
      <w:pPr>
        <w:spacing w:after="120" w:line="360" w:lineRule="auto"/>
        <w:ind w:left="339" w:leftChars="101" w:hanging="127" w:hangingChars="53"/>
        <w:jc w:val="left"/>
        <w:rPr>
          <w:rFonts w:hint="eastAsia" w:ascii="宋体" w:hAnsi="宋体" w:cs="宋体"/>
          <w:color w:val="auto"/>
          <w:sz w:val="24"/>
          <w:szCs w:val="24"/>
          <w:highlight w:val="none"/>
          <w:u w:val="single"/>
        </w:rPr>
      </w:pPr>
    </w:p>
    <w:p>
      <w:pPr>
        <w:spacing w:after="120" w:line="360" w:lineRule="auto"/>
        <w:ind w:left="340" w:leftChars="1" w:hanging="338" w:hangingChars="141"/>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致：</w:t>
      </w:r>
      <w:r>
        <w:rPr>
          <w:rFonts w:hint="eastAsia" w:ascii="宋体" w:hAnsi="宋体"/>
          <w:color w:val="auto"/>
          <w:sz w:val="24"/>
          <w:highlight w:val="none"/>
          <w:u w:val="single"/>
        </w:rPr>
        <w:t>广州开发区财政投资建项目管理中心</w:t>
      </w:r>
    </w:p>
    <w:p>
      <w:pPr>
        <w:spacing w:after="120"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如果在本招标工程中我司中标，我司将积极响应贵单位提出的合同条件及招标文件的要求，并做出如下承诺：</w:t>
      </w:r>
    </w:p>
    <w:p>
      <w:pPr>
        <w:spacing w:after="120"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1、若我公司中标，我公司承诺按时交纳履约保证金。</w:t>
      </w:r>
    </w:p>
    <w:p>
      <w:pPr>
        <w:spacing w:after="120" w:afterLines="50"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2、在本工程施工期间，拟投入的人力不少于下表中的人数</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0"/>
        <w:gridCol w:w="3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工种</w:t>
            </w:r>
          </w:p>
        </w:tc>
        <w:tc>
          <w:tcPr>
            <w:tcW w:w="3783"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r>
              <w:rPr>
                <w:rFonts w:hint="eastAsia" w:ascii="宋体" w:hAnsi="宋体" w:cs="宋体"/>
                <w:color w:val="auto"/>
                <w:szCs w:val="21"/>
                <w:highlight w:val="none"/>
                <w:u w:val="single"/>
              </w:rPr>
              <w:t>施工低峰期数量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pPr>
              <w:ind w:left="-422" w:leftChars="-201" w:firstLine="420" w:firstLineChars="200"/>
              <w:jc w:val="center"/>
              <w:rPr>
                <w:rFonts w:hint="eastAsia" w:ascii="宋体" w:hAnsi="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r>
    </w:tbl>
    <w:p>
      <w:pPr>
        <w:spacing w:before="120" w:beforeLines="50" w:after="120" w:afterLines="50"/>
        <w:ind w:left="441" w:leftChars="210" w:firstLine="480" w:firstLineChars="200"/>
        <w:jc w:val="left"/>
        <w:rPr>
          <w:rFonts w:hint="eastAsia" w:ascii="宋体" w:hAnsi="宋体" w:cs="宋体"/>
          <w:color w:val="auto"/>
          <w:sz w:val="24"/>
          <w:szCs w:val="24"/>
          <w:highlight w:val="none"/>
          <w:u w:val="single"/>
        </w:rPr>
      </w:pPr>
    </w:p>
    <w:p>
      <w:pPr>
        <w:spacing w:before="120" w:beforeLines="50" w:after="120" w:afterLines="50"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3、在工程施工期间，拟投入的主要机械设备按投标文件所附的《拟投入本工程施工的主要机械设备配备表》。</w:t>
      </w:r>
    </w:p>
    <w:p>
      <w:pPr>
        <w:spacing w:after="120"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4、所选用的主要材料符合招标文件的要求。</w:t>
      </w:r>
    </w:p>
    <w:p>
      <w:pPr>
        <w:spacing w:after="120"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5、拟投入到本工程的主要技术人员、经济和管理人员按投标文件所附的《投入主要人员汇总表》。</w:t>
      </w:r>
    </w:p>
    <w:p>
      <w:pPr>
        <w:spacing w:after="120"/>
        <w:ind w:left="420" w:leftChars="200"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br w:type="page"/>
      </w:r>
    </w:p>
    <w:p>
      <w:pPr>
        <w:spacing w:after="120"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6、我公司保证拟派项目负责人符合《广州市住房和城乡建设局关于加强建筑工程项目负责人管理的通知》（穗建规字〔</w:t>
      </w:r>
      <w:r>
        <w:rPr>
          <w:rFonts w:ascii="宋体" w:hAnsi="宋体" w:cs="宋体"/>
          <w:color w:val="auto"/>
          <w:sz w:val="24"/>
          <w:szCs w:val="24"/>
          <w:highlight w:val="none"/>
          <w:u w:val="single"/>
        </w:rPr>
        <w:t>2020〕32号）文的要求，</w:t>
      </w:r>
      <w:r>
        <w:rPr>
          <w:rFonts w:hint="eastAsia" w:ascii="宋体" w:hAnsi="宋体" w:cs="宋体"/>
          <w:color w:val="auto"/>
          <w:sz w:val="24"/>
          <w:szCs w:val="24"/>
          <w:highlight w:val="none"/>
          <w:u w:val="single"/>
        </w:rPr>
        <w:t>并将严格按照招标文件要求，自签订合同之日起至工程竣工验收将常驻现场，严格按照有关工程项目管理的要求进行项目管理，如果不能够按照此要求实施，我方自愿接受贵中心的处罚措施。</w:t>
      </w:r>
    </w:p>
    <w:p>
      <w:pPr>
        <w:spacing w:after="120"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7、本工程施工过程中，我司将严格按照国家、省、市有关施工及验收规范、标准进行施工，确保本工程质量标准达到                   要求。</w:t>
      </w:r>
    </w:p>
    <w:p>
      <w:pPr>
        <w:spacing w:after="120"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8、在确保工程质量的前提下，我司严格控制工程工期，确保工程在    日历天内完成。</w:t>
      </w:r>
    </w:p>
    <w:p>
      <w:pPr>
        <w:spacing w:after="120"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9、严格按照国家、省、市有关安全生产、文明施工要求，积极制定安全生产、文明施工措施，并严格执行，确保施工中符合安全生产、文明施工要求。在施工过程中,若发生重大伤亡事故，我方自愿接受贵中心的经济处罚：如发生死亡事故，死亡1人，支付20万元违约金；死亡2人，支付40万元违约金；死亡3人或以上，支付80万元违约金；如发生重伤事故，重伤1人，支付10万元违约金；重伤2人，支付20万元违约金；重伤3人或以上，支付40万元违约金。以上款项从工程款中扣除，扣除的款项均上缴国库。</w:t>
      </w:r>
    </w:p>
    <w:p>
      <w:pPr>
        <w:spacing w:after="120"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10、按照发包人、监理工程师的要求及时为各专业工程（电信、电力管线、电力走廊、煤气、道路绿化、路灯、交通设施等）提供工作面，并为专业工程穿插施工所需各项配合工作给予方便。</w:t>
      </w:r>
    </w:p>
    <w:p>
      <w:pPr>
        <w:spacing w:line="360" w:lineRule="auto"/>
        <w:ind w:firstLine="566" w:firstLineChars="236"/>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11、将按照招标过程中确定的范围，除了下表所列专业工程外，其余全部工程由我司自行施工。对工程分包，我司承诺按照招标文件的要求和有关规定履行总包单位的职责，在中标后提供分包单位的资质证明材料（如有必须分包的专业工程，请填入下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7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857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必须分包的专业工程内容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pPr>
              <w:ind w:left="-105" w:leftChars="-50" w:firstLine="90" w:firstLineChars="43"/>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序号</w:t>
            </w:r>
          </w:p>
        </w:tc>
        <w:tc>
          <w:tcPr>
            <w:tcW w:w="75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工程内容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u w:val="single"/>
              </w:rPr>
            </w:pPr>
          </w:p>
        </w:tc>
        <w:tc>
          <w:tcPr>
            <w:tcW w:w="752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u w:val="single"/>
              </w:rPr>
            </w:pPr>
          </w:p>
        </w:tc>
        <w:tc>
          <w:tcPr>
            <w:tcW w:w="752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u w:val="single"/>
              </w:rPr>
            </w:pPr>
          </w:p>
        </w:tc>
        <w:tc>
          <w:tcPr>
            <w:tcW w:w="752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u w:val="single"/>
              </w:rPr>
            </w:pPr>
          </w:p>
        </w:tc>
      </w:tr>
    </w:tbl>
    <w:p>
      <w:pPr>
        <w:tabs>
          <w:tab w:val="left" w:pos="315"/>
        </w:tabs>
        <w:spacing w:line="360" w:lineRule="auto"/>
        <w:ind w:left="19" w:leftChars="9" w:firstLine="480" w:firstLineChars="200"/>
        <w:rPr>
          <w:rFonts w:hint="eastAsia" w:ascii="宋体" w:hAnsi="宋体" w:cs="宋体"/>
          <w:color w:val="auto"/>
          <w:sz w:val="24"/>
          <w:szCs w:val="24"/>
          <w:highlight w:val="none"/>
          <w:u w:val="single"/>
        </w:rPr>
      </w:pPr>
      <w:r>
        <w:rPr>
          <w:rFonts w:hint="eastAsia" w:ascii="宋体" w:hAnsi="宋体"/>
          <w:color w:val="auto"/>
          <w:sz w:val="24"/>
          <w:szCs w:val="24"/>
          <w:highlight w:val="none"/>
          <w:u w:val="single"/>
        </w:rPr>
        <w:t>12、我司保证在中标后，严格按照 《广州市住房和城乡建设委员会关于印发&lt;广州市建筑施工实名制管理办法&gt;的通知》（穗建规字[2020]18号）、《关于印发广州市建设领域工人工资支付分帐管理实施细则的通知》（穗建规字[2020]37号）等最新规定及广州市黄埔区、开发区对应出台的相关文件规定办理建筑工地实名制管理和工人工资支付分帐管理事宜；加强对我司承包范围（含其专业分包、劳务分包范围）工人工资支付的管理，并对我司及其分包单位工人工资支付负总责，防止出现拖欠工人工资情况。若因违法转包、分包工程的或其他承包人原因导致相应工程出现拖欠工人工资情况的，我司将对拖欠工人工资承担清偿责任，对此引起的纠纷负全责，造成发包人损失（包括但不限于发包人因此而支付的赔偿款、律师费、诉讼费、保全费、公证费、鉴定费等）的，我司将承担全部责任。</w:t>
      </w:r>
    </w:p>
    <w:p>
      <w:pPr>
        <w:tabs>
          <w:tab w:val="left" w:pos="0"/>
        </w:tabs>
        <w:spacing w:line="360" w:lineRule="auto"/>
        <w:ind w:firstLine="424" w:firstLineChars="177"/>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13、我司保证在中标后，根据工程特点，编制本工程详细的施工组织设计和施工方案，并报监理和发包人审核批准，并严格按审批的意见和要求组织施工。</w:t>
      </w:r>
    </w:p>
    <w:p>
      <w:pPr>
        <w:spacing w:line="360" w:lineRule="auto"/>
        <w:ind w:firstLine="424" w:firstLineChars="177"/>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14、我司承诺积极响应并接受招标文件中合同专用专款关于合同价款的调整办法。</w:t>
      </w:r>
    </w:p>
    <w:p>
      <w:pPr>
        <w:spacing w:line="360" w:lineRule="auto"/>
        <w:ind w:firstLine="480" w:firstLineChars="200"/>
        <w:rPr>
          <w:rFonts w:hint="eastAsia" w:ascii="宋体" w:hAnsi="宋体" w:cs="宋体"/>
          <w:snapToGrid w:val="0"/>
          <w:color w:val="auto"/>
          <w:kern w:val="0"/>
          <w:sz w:val="24"/>
          <w:szCs w:val="24"/>
          <w:highlight w:val="none"/>
          <w:u w:val="single"/>
        </w:rPr>
      </w:pPr>
      <w:r>
        <w:rPr>
          <w:rFonts w:hint="eastAsia" w:ascii="宋体" w:hAnsi="宋体" w:cs="宋体"/>
          <w:snapToGrid w:val="0"/>
          <w:color w:val="auto"/>
          <w:kern w:val="0"/>
          <w:sz w:val="24"/>
          <w:szCs w:val="24"/>
          <w:highlight w:val="none"/>
          <w:u w:val="single"/>
        </w:rPr>
        <w:t>15、我司保证在中标后，施工现场严格按照《广州市建设工程文明施工管理规定》（广州市人民政府令62号）、《广州市建设工程现场文明施工管理办法》（穗建质〔2008〕937号）、《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规范建设工程施工现场围蔽的通知》（穗建质[2008]1008号）、《广州市建设工程绿色施工围蔽指导图集（V2.0版）》(穗建质〔2020〕1号）、《关于进一步落实我区市政建设项目施工围蔽提升工作的通知》（穗埔建[2019]123号）及《黄埔区住房和城乡建设局 广州开发区建设和交通局关于进一步规范全区建设工程施工围蔽标准的通知》（穗埔建﹝2020﹞183号）的相关文件要求的标准实施。以上文件要求不一致的，以后发布文件为准，若相关部门发布有关施工现场管理及施工围蔽新规定的，按新规定执行。我司随时接受监理、业主、安监机构等相关部门监督和检查，对在检查中发现不符合安全文明施工要求的，无条件进行整改。如不及时按要求整改，发包人有权不支付安全文明施工措施费，或另行委托单位实施，所发生的费用在本工程施工措施费中扣除，如不足抵扣可在本工程承包工程款中扣除，同时我司接受发包人根据实际情况对我司作出的其他处罚措施。发包人可将情况上报建设行政主管部门，视情况追究我司有关责任，可对我司或项目责任人作不良行为记录。</w:t>
      </w:r>
    </w:p>
    <w:p>
      <w:pPr>
        <w:spacing w:line="360" w:lineRule="auto"/>
        <w:ind w:left="318"/>
        <w:rPr>
          <w:rFonts w:hint="eastAsia" w:ascii="宋体" w:hAnsi="宋体" w:cs="宋体"/>
          <w:color w:val="auto"/>
          <w:sz w:val="24"/>
          <w:szCs w:val="24"/>
          <w:highlight w:val="none"/>
          <w:u w:val="single"/>
        </w:rPr>
      </w:pPr>
    </w:p>
    <w:p>
      <w:pPr>
        <w:spacing w:after="120" w:line="360" w:lineRule="auto"/>
        <w:ind w:left="420" w:leftChars="200" w:firstLine="3547" w:firstLineChars="1478"/>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投标单位：（公章） </w:t>
      </w:r>
    </w:p>
    <w:p>
      <w:pPr>
        <w:spacing w:after="120" w:line="360" w:lineRule="auto"/>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法人代表或其授权代理人：（签名或盖章）</w:t>
      </w:r>
    </w:p>
    <w:p>
      <w:pPr>
        <w:spacing w:after="120" w:line="360" w:lineRule="auto"/>
        <w:ind w:left="420" w:leftChars="200" w:right="560" w:firstLine="5040" w:firstLineChars="21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pPr>
        <w:spacing w:after="120" w:line="360" w:lineRule="auto"/>
        <w:ind w:left="420" w:leftChars="200"/>
        <w:jc w:val="left"/>
        <w:rPr>
          <w:rFonts w:hint="eastAsia" w:ascii="宋体" w:hAnsi="宋体" w:cs="宋体"/>
          <w:color w:val="auto"/>
          <w:sz w:val="24"/>
          <w:szCs w:val="24"/>
          <w:highlight w:val="none"/>
          <w:u w:val="single"/>
        </w:rPr>
      </w:pPr>
    </w:p>
    <w:p>
      <w:pPr>
        <w:spacing w:line="336" w:lineRule="auto"/>
        <w:ind w:left="-2" w:leftChars="-1"/>
        <w:rPr>
          <w:rFonts w:hint="eastAsia" w:ascii="宋体" w:hAnsi="宋体" w:cs="宋体"/>
          <w:color w:val="auto"/>
          <w:szCs w:val="21"/>
          <w:highlight w:val="none"/>
        </w:rPr>
      </w:pPr>
      <w:r>
        <w:rPr>
          <w:rFonts w:hint="eastAsia" w:ascii="宋体" w:hAnsi="宋体" w:cs="宋体"/>
          <w:color w:val="auto"/>
          <w:szCs w:val="21"/>
          <w:highlight w:val="none"/>
        </w:rPr>
        <w:t>注：</w:t>
      </w:r>
    </w:p>
    <w:p>
      <w:pPr>
        <w:spacing w:line="336" w:lineRule="auto"/>
        <w:ind w:left="-2" w:leftChars="-1"/>
        <w:rPr>
          <w:rFonts w:hint="eastAsia" w:ascii="宋体" w:hAnsi="宋体" w:cs="宋体"/>
          <w:color w:val="auto"/>
          <w:szCs w:val="21"/>
          <w:highlight w:val="none"/>
        </w:rPr>
      </w:pPr>
      <w:r>
        <w:rPr>
          <w:rFonts w:hint="eastAsia" w:ascii="宋体" w:hAnsi="宋体" w:cs="宋体"/>
          <w:color w:val="auto"/>
          <w:szCs w:val="21"/>
          <w:highlight w:val="none"/>
        </w:rPr>
        <w:t>1、《标函承诺书》作为投标文件的“实质性响应”文件，投标人应如实填写，中标后必须按填报内容如期实施，否则按“弄虚作假骗取中标”处理。中标后，工程的监理单位将经常核验投标人是否按填报内容实施，行政管理机构也将随时抽查。</w:t>
      </w:r>
    </w:p>
    <w:p>
      <w:pPr>
        <w:spacing w:line="336" w:lineRule="auto"/>
        <w:ind w:left="-2" w:leftChars="-1"/>
        <w:rPr>
          <w:rFonts w:hint="eastAsia" w:ascii="宋体" w:hAnsi="宋体" w:cs="宋体"/>
          <w:color w:val="auto"/>
          <w:szCs w:val="21"/>
          <w:highlight w:val="none"/>
        </w:rPr>
      </w:pPr>
      <w:r>
        <w:rPr>
          <w:rFonts w:hint="eastAsia" w:ascii="宋体" w:hAnsi="宋体" w:cs="宋体"/>
          <w:color w:val="auto"/>
          <w:szCs w:val="21"/>
          <w:highlight w:val="none"/>
        </w:rPr>
        <w:t>2、《标函承诺书》第7条内容“确保本工程质量达到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要求”</w:t>
      </w:r>
      <w:r>
        <w:rPr>
          <w:rFonts w:hint="eastAsia"/>
          <w:color w:val="auto"/>
          <w:highlight w:val="none"/>
        </w:rPr>
        <w:t xml:space="preserve"> </w:t>
      </w:r>
      <w:r>
        <w:rPr>
          <w:rFonts w:hint="eastAsia" w:ascii="宋体" w:hAnsi="宋体" w:cs="宋体"/>
          <w:color w:val="auto"/>
          <w:szCs w:val="21"/>
          <w:highlight w:val="none"/>
        </w:rPr>
        <w:t>横线上要求按照本工程《广州建设工程施工招标投标书（技术标）》承诺的质量标准填写，否则视作未按规定的格式填写，作无效标处理。</w:t>
      </w:r>
    </w:p>
    <w:p>
      <w:pPr>
        <w:spacing w:line="336" w:lineRule="auto"/>
        <w:ind w:left="-2" w:leftChars="-1"/>
        <w:rPr>
          <w:rFonts w:hint="eastAsia" w:ascii="宋体" w:hAnsi="宋体" w:cs="宋体"/>
          <w:color w:val="auto"/>
          <w:kern w:val="0"/>
          <w:sz w:val="24"/>
          <w:szCs w:val="24"/>
          <w:highlight w:val="none"/>
        </w:rPr>
      </w:pPr>
      <w:r>
        <w:rPr>
          <w:rFonts w:hint="eastAsia" w:ascii="宋体" w:hAnsi="宋体" w:cs="宋体"/>
          <w:color w:val="auto"/>
          <w:szCs w:val="21"/>
          <w:highlight w:val="none"/>
        </w:rPr>
        <w:t>3、《标函承诺书》第8条内容“确保工程在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日历天内完成”横线上要求按照本工程《广州建设工程施工招标投标书（技术标）》承诺的投标总工期填写，否则视作未按规定的格式填写，作无效标处理。</w:t>
      </w:r>
      <w:r>
        <w:rPr>
          <w:color w:val="auto"/>
          <w:sz w:val="24"/>
          <w:szCs w:val="24"/>
          <w:highlight w:val="none"/>
        </w:rPr>
        <w:br w:type="page"/>
      </w:r>
      <w:r>
        <w:rPr>
          <w:rFonts w:hint="eastAsia"/>
          <w:color w:val="auto"/>
          <w:sz w:val="24"/>
          <w:szCs w:val="24"/>
          <w:highlight w:val="none"/>
        </w:rPr>
        <w:t>技术标</w:t>
      </w:r>
      <w:r>
        <w:rPr>
          <w:rFonts w:hint="eastAsia"/>
          <w:bCs/>
          <w:color w:val="auto"/>
          <w:sz w:val="24"/>
          <w:szCs w:val="24"/>
          <w:highlight w:val="none"/>
        </w:rPr>
        <w:t>格式四：</w:t>
      </w:r>
    </w:p>
    <w:p>
      <w:pPr>
        <w:spacing w:line="336" w:lineRule="auto"/>
        <w:ind w:left="-2" w:leftChars="-1" w:firstLine="2"/>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项目负责人驻场承诺书</w:t>
      </w:r>
    </w:p>
    <w:p>
      <w:pPr>
        <w:spacing w:line="336" w:lineRule="auto"/>
        <w:ind w:left="-2" w:leftChars="-1" w:firstLine="420" w:firstLineChars="175"/>
        <w:jc w:val="center"/>
        <w:rPr>
          <w:rFonts w:hint="eastAsia" w:ascii="宋体" w:hAnsi="宋体" w:cs="宋体"/>
          <w:color w:val="auto"/>
          <w:kern w:val="0"/>
          <w:sz w:val="24"/>
          <w:szCs w:val="24"/>
          <w:highlight w:val="none"/>
          <w:u w:val="single"/>
        </w:rPr>
      </w:pPr>
    </w:p>
    <w:p>
      <w:pPr>
        <w:spacing w:line="336"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致（业主/监理）                                           ：</w:t>
      </w:r>
    </w:p>
    <w:p>
      <w:pPr>
        <w:spacing w:line="336" w:lineRule="auto"/>
        <w:ind w:firstLine="523" w:firstLineChars="218"/>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本人（姓名）              ，项目负责人证书注册编号：             </w:t>
      </w:r>
    </w:p>
    <w:p>
      <w:pPr>
        <w:spacing w:line="336" w:lineRule="auto"/>
        <w:ind w:left="1"/>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受（投标人）                                                              委派，拟在（项目名称）                                                   担任项目负责人一职。为加强本工程项目管理，保证我公司在中标后严格履行与业主签定的工程建设承包合同，圆满的完成本项工程，我愿就此做出以下承诺；</w:t>
      </w:r>
    </w:p>
    <w:p>
      <w:pPr>
        <w:spacing w:line="336"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本人作为公司选派的本项目的项目负责人，我保证自即日起至项目竣工并通过验收之日止，自始至终全过程常驻工地现场，代表我公司全面负责本工程现场组织，指挥，管理，协调等工作。并承诺在本项目完成后的合同责任保修期内，根据项目实际保修工作需要也能随时到场负责指挥，安排应做的保修工作。</w:t>
      </w:r>
    </w:p>
    <w:p>
      <w:pPr>
        <w:spacing w:line="336"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2．如果本招标工程我公司中标，我本人保证在工程签订合同之日起至工程竣工验收完成期间只担任此工程的项目经理，不参加其他任何工程的报名和任何工作，不在其他任何工程担任本职务。</w:t>
      </w:r>
    </w:p>
    <w:p>
      <w:pPr>
        <w:spacing w:line="336"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除非征得业主的书面批准，否则如果违背以上承诺，不能常驻施工现场，我自愿接受业主给予我本人的批评和处罚，并同意业主就此作为我个人的不良纪录进一步上报区行业主管部门，项目负责人证书注册、备案、审批机构，直至广州市建委等有关部门并接受上述部门给予的通报和相关职能部门给予的扣证等处罚。</w:t>
      </w:r>
    </w:p>
    <w:p>
      <w:pPr>
        <w:spacing w:line="336"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4．项目负责人本人身份证扫描件和两寸相片扫描件：</w:t>
      </w:r>
    </w:p>
    <w:p>
      <w:pPr>
        <w:spacing w:line="336" w:lineRule="auto"/>
        <w:rPr>
          <w:rFonts w:hint="eastAsia" w:ascii="宋体" w:hAnsi="宋体" w:cs="宋体"/>
          <w:color w:val="auto"/>
          <w:sz w:val="24"/>
          <w:szCs w:val="24"/>
          <w:highlight w:val="none"/>
          <w:u w:val="single"/>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3"/>
        <w:gridCol w:w="2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6043" w:type="dxa"/>
            <w:tcBorders>
              <w:top w:val="single" w:color="auto" w:sz="4" w:space="0"/>
              <w:left w:val="single" w:color="auto" w:sz="4" w:space="0"/>
              <w:bottom w:val="single" w:color="auto" w:sz="4" w:space="0"/>
              <w:right w:val="single" w:color="auto" w:sz="4" w:space="0"/>
            </w:tcBorders>
            <w:noWrap w:val="0"/>
            <w:vAlign w:val="top"/>
          </w:tcPr>
          <w:p>
            <w:pPr>
              <w:spacing w:line="336" w:lineRule="auto"/>
              <w:jc w:val="center"/>
              <w:rPr>
                <w:rFonts w:hint="eastAsia" w:ascii="宋体" w:hAnsi="宋体" w:cs="宋体"/>
                <w:color w:val="auto"/>
                <w:szCs w:val="21"/>
                <w:highlight w:val="none"/>
                <w:u w:val="single"/>
              </w:rPr>
            </w:pPr>
          </w:p>
          <w:p>
            <w:pPr>
              <w:spacing w:line="336" w:lineRule="auto"/>
              <w:jc w:val="center"/>
              <w:rPr>
                <w:rFonts w:hint="eastAsia" w:ascii="宋体" w:hAnsi="宋体" w:cs="宋体"/>
                <w:color w:val="auto"/>
                <w:szCs w:val="21"/>
                <w:highlight w:val="none"/>
                <w:u w:val="single"/>
              </w:rPr>
            </w:pPr>
          </w:p>
          <w:p>
            <w:pPr>
              <w:spacing w:line="336" w:lineRule="auto"/>
              <w:jc w:val="center"/>
              <w:rPr>
                <w:rFonts w:hint="eastAsia" w:ascii="宋体" w:hAnsi="宋体" w:cs="宋体"/>
                <w:color w:val="auto"/>
                <w:szCs w:val="21"/>
                <w:highlight w:val="none"/>
                <w:u w:val="single"/>
              </w:rPr>
            </w:pPr>
          </w:p>
          <w:p>
            <w:pPr>
              <w:spacing w:line="336" w:lineRule="auto"/>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身份证扫描件</w:t>
            </w:r>
          </w:p>
        </w:tc>
        <w:tc>
          <w:tcPr>
            <w:tcW w:w="2492" w:type="dxa"/>
            <w:tcBorders>
              <w:top w:val="single" w:color="auto" w:sz="4" w:space="0"/>
              <w:left w:val="single" w:color="auto" w:sz="4" w:space="0"/>
              <w:bottom w:val="single" w:color="auto" w:sz="4" w:space="0"/>
              <w:right w:val="single" w:color="auto" w:sz="4" w:space="0"/>
            </w:tcBorders>
            <w:noWrap w:val="0"/>
            <w:vAlign w:val="top"/>
          </w:tcPr>
          <w:p>
            <w:pPr>
              <w:spacing w:line="336" w:lineRule="auto"/>
              <w:jc w:val="center"/>
              <w:rPr>
                <w:rFonts w:hint="eastAsia" w:ascii="宋体" w:hAnsi="宋体" w:cs="宋体"/>
                <w:color w:val="auto"/>
                <w:szCs w:val="21"/>
                <w:highlight w:val="none"/>
                <w:u w:val="single"/>
              </w:rPr>
            </w:pPr>
          </w:p>
          <w:p>
            <w:pPr>
              <w:spacing w:line="336" w:lineRule="auto"/>
              <w:jc w:val="center"/>
              <w:rPr>
                <w:rFonts w:hint="eastAsia" w:ascii="宋体" w:hAnsi="宋体" w:cs="宋体"/>
                <w:color w:val="auto"/>
                <w:szCs w:val="21"/>
                <w:highlight w:val="none"/>
                <w:u w:val="single"/>
              </w:rPr>
            </w:pPr>
          </w:p>
          <w:p>
            <w:pPr>
              <w:spacing w:line="336" w:lineRule="auto"/>
              <w:jc w:val="center"/>
              <w:rPr>
                <w:rFonts w:hint="eastAsia" w:ascii="宋体" w:hAnsi="宋体" w:cs="宋体"/>
                <w:color w:val="auto"/>
                <w:szCs w:val="21"/>
                <w:highlight w:val="none"/>
                <w:u w:val="single"/>
              </w:rPr>
            </w:pPr>
          </w:p>
          <w:p>
            <w:pPr>
              <w:spacing w:line="336" w:lineRule="auto"/>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相片扫描件</w:t>
            </w:r>
          </w:p>
        </w:tc>
      </w:tr>
    </w:tbl>
    <w:p>
      <w:pPr>
        <w:spacing w:line="336" w:lineRule="auto"/>
        <w:rPr>
          <w:rFonts w:hint="eastAsia" w:ascii="宋体" w:hAnsi="宋体" w:cs="宋体"/>
          <w:color w:val="auto"/>
          <w:sz w:val="24"/>
          <w:szCs w:val="24"/>
          <w:highlight w:val="none"/>
          <w:u w:val="single"/>
        </w:rPr>
      </w:pPr>
    </w:p>
    <w:p>
      <w:pPr>
        <w:spacing w:line="336" w:lineRule="auto"/>
        <w:ind w:firstLine="3840" w:firstLineChars="16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投标人：（盖章）</w:t>
      </w:r>
    </w:p>
    <w:p>
      <w:pPr>
        <w:spacing w:line="336" w:lineRule="auto"/>
        <w:ind w:firstLine="3840" w:firstLineChars="16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项目负责人签名：                 </w:t>
      </w:r>
    </w:p>
    <w:p>
      <w:pPr>
        <w:autoSpaceDE w:val="0"/>
        <w:autoSpaceDN w:val="0"/>
        <w:adjustRightInd w:val="0"/>
        <w:spacing w:line="360" w:lineRule="auto"/>
        <w:jc w:val="righ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     年   月    日</w:t>
      </w:r>
    </w:p>
    <w:p>
      <w:pPr>
        <w:autoSpaceDE w:val="0"/>
        <w:autoSpaceDN w:val="0"/>
        <w:adjustRightInd w:val="0"/>
        <w:spacing w:line="360" w:lineRule="auto"/>
        <w:jc w:val="left"/>
        <w:rPr>
          <w:rFonts w:hint="eastAsia" w:ascii="宋体" w:hAnsi="宋体" w:cs="宋体"/>
          <w:bCs/>
          <w:color w:val="auto"/>
          <w:sz w:val="24"/>
          <w:szCs w:val="24"/>
          <w:highlight w:val="none"/>
        </w:rPr>
      </w:pPr>
      <w:r>
        <w:rPr>
          <w:color w:val="auto"/>
          <w:sz w:val="24"/>
          <w:szCs w:val="24"/>
          <w:highlight w:val="none"/>
        </w:rPr>
        <w:br w:type="page"/>
      </w:r>
      <w:r>
        <w:rPr>
          <w:rFonts w:hint="eastAsia"/>
          <w:color w:val="auto"/>
          <w:sz w:val="24"/>
          <w:szCs w:val="24"/>
          <w:highlight w:val="none"/>
        </w:rPr>
        <w:t>技术标</w:t>
      </w:r>
      <w:r>
        <w:rPr>
          <w:rFonts w:hint="eastAsia"/>
          <w:bCs/>
          <w:color w:val="auto"/>
          <w:sz w:val="24"/>
          <w:szCs w:val="24"/>
          <w:highlight w:val="none"/>
        </w:rPr>
        <w:t>格式五</w:t>
      </w:r>
      <w:r>
        <w:rPr>
          <w:rFonts w:hint="eastAsia" w:ascii="宋体" w:hAnsi="宋体" w:cs="宋体"/>
          <w:bCs/>
          <w:color w:val="auto"/>
          <w:sz w:val="24"/>
          <w:szCs w:val="24"/>
          <w:highlight w:val="none"/>
        </w:rPr>
        <w:t>：</w:t>
      </w:r>
    </w:p>
    <w:p>
      <w:pPr>
        <w:topLinePunct/>
        <w:adjustRightInd w:val="0"/>
        <w:snapToGrid w:val="0"/>
        <w:spacing w:line="360" w:lineRule="auto"/>
        <w:ind w:firstLine="2001" w:firstLineChars="804"/>
        <w:rPr>
          <w:rFonts w:hint="eastAsia" w:ascii="宋体" w:hAnsi="宋体" w:cs="宋体"/>
          <w:b/>
          <w:snapToGrid w:val="0"/>
          <w:color w:val="auto"/>
          <w:spacing w:val="4"/>
          <w:kern w:val="0"/>
          <w:sz w:val="24"/>
          <w:szCs w:val="24"/>
          <w:highlight w:val="none"/>
        </w:rPr>
      </w:pPr>
      <w:r>
        <w:rPr>
          <w:rFonts w:hint="eastAsia" w:ascii="宋体" w:hAnsi="宋体" w:cs="宋体"/>
          <w:b/>
          <w:snapToGrid w:val="0"/>
          <w:color w:val="auto"/>
          <w:spacing w:val="4"/>
          <w:kern w:val="0"/>
          <w:sz w:val="24"/>
          <w:szCs w:val="24"/>
          <w:highlight w:val="none"/>
        </w:rPr>
        <w:t xml:space="preserve">        投入主要人员汇总表</w:t>
      </w:r>
    </w:p>
    <w:tbl>
      <w:tblPr>
        <w:tblStyle w:val="48"/>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415"/>
        <w:gridCol w:w="703"/>
        <w:gridCol w:w="2066"/>
        <w:gridCol w:w="769"/>
        <w:gridCol w:w="1134"/>
        <w:gridCol w:w="709"/>
        <w:gridCol w:w="1042"/>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blHeader/>
        </w:trPr>
        <w:tc>
          <w:tcPr>
            <w:tcW w:w="4902"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kern w:val="44"/>
                <w:szCs w:val="21"/>
                <w:highlight w:val="none"/>
              </w:rPr>
            </w:pPr>
            <w:r>
              <w:rPr>
                <w:rFonts w:hint="eastAsia" w:ascii="宋体" w:hAnsi="宋体" w:cs="宋体"/>
                <w:b/>
                <w:color w:val="auto"/>
                <w:kern w:val="44"/>
                <w:szCs w:val="21"/>
                <w:highlight w:val="none"/>
              </w:rPr>
              <w:t>招标人要求</w:t>
            </w:r>
          </w:p>
        </w:tc>
        <w:tc>
          <w:tcPr>
            <w:tcW w:w="4382"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kern w:val="44"/>
                <w:szCs w:val="21"/>
                <w:highlight w:val="none"/>
              </w:rPr>
            </w:pPr>
            <w:r>
              <w:rPr>
                <w:rFonts w:hint="eastAsia" w:ascii="宋体" w:hAnsi="宋体" w:cs="宋体"/>
                <w:b/>
                <w:color w:val="auto"/>
                <w:kern w:val="44"/>
                <w:szCs w:val="21"/>
                <w:highlight w:val="none"/>
              </w:rPr>
              <w:t>投标人拟投入情况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blHeader/>
        </w:trPr>
        <w:tc>
          <w:tcPr>
            <w:tcW w:w="7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kern w:val="44"/>
                <w:szCs w:val="21"/>
                <w:highlight w:val="none"/>
              </w:rPr>
            </w:pPr>
            <w:r>
              <w:rPr>
                <w:rFonts w:hint="eastAsia" w:ascii="宋体" w:hAnsi="宋体" w:cs="宋体"/>
                <w:b/>
                <w:color w:val="auto"/>
                <w:kern w:val="44"/>
                <w:szCs w:val="21"/>
                <w:highlight w:val="none"/>
              </w:rPr>
              <w:t>序号</w:t>
            </w:r>
          </w:p>
        </w:tc>
        <w:tc>
          <w:tcPr>
            <w:tcW w:w="14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kern w:val="44"/>
                <w:szCs w:val="21"/>
                <w:highlight w:val="none"/>
              </w:rPr>
            </w:pPr>
            <w:r>
              <w:rPr>
                <w:rFonts w:hint="eastAsia" w:ascii="宋体" w:hAnsi="宋体" w:cs="宋体"/>
                <w:b/>
                <w:color w:val="auto"/>
                <w:kern w:val="44"/>
                <w:szCs w:val="21"/>
                <w:highlight w:val="none"/>
              </w:rPr>
              <w:t>人员类别</w:t>
            </w:r>
          </w:p>
        </w:tc>
        <w:tc>
          <w:tcPr>
            <w:tcW w:w="7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kern w:val="44"/>
                <w:szCs w:val="21"/>
                <w:highlight w:val="none"/>
              </w:rPr>
            </w:pPr>
            <w:r>
              <w:rPr>
                <w:rFonts w:hint="eastAsia" w:ascii="宋体" w:hAnsi="宋体" w:cs="宋体"/>
                <w:b/>
                <w:color w:val="auto"/>
                <w:kern w:val="44"/>
                <w:szCs w:val="21"/>
                <w:highlight w:val="none"/>
              </w:rPr>
              <w:t>数量</w:t>
            </w:r>
          </w:p>
        </w:tc>
        <w:tc>
          <w:tcPr>
            <w:tcW w:w="20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kern w:val="44"/>
                <w:szCs w:val="21"/>
                <w:highlight w:val="none"/>
              </w:rPr>
            </w:pPr>
            <w:r>
              <w:rPr>
                <w:rFonts w:hint="eastAsia" w:ascii="宋体" w:hAnsi="宋体" w:cs="宋体"/>
                <w:b/>
                <w:color w:val="auto"/>
                <w:kern w:val="44"/>
                <w:szCs w:val="21"/>
                <w:highlight w:val="none"/>
              </w:rPr>
              <w:t>基本要求</w:t>
            </w:r>
          </w:p>
        </w:tc>
        <w:tc>
          <w:tcPr>
            <w:tcW w:w="7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kern w:val="44"/>
                <w:szCs w:val="21"/>
                <w:highlight w:val="none"/>
              </w:rPr>
            </w:pPr>
            <w:r>
              <w:rPr>
                <w:rFonts w:hint="eastAsia" w:ascii="宋体" w:hAnsi="宋体" w:cs="宋体"/>
                <w:b/>
                <w:color w:val="auto"/>
                <w:kern w:val="44"/>
                <w:szCs w:val="21"/>
                <w:highlight w:val="none"/>
              </w:rPr>
              <w:t>姓名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kern w:val="44"/>
                <w:szCs w:val="21"/>
                <w:highlight w:val="none"/>
              </w:rPr>
            </w:pPr>
            <w:r>
              <w:rPr>
                <w:rFonts w:hint="eastAsia" w:ascii="宋体" w:hAnsi="宋体" w:cs="宋体"/>
                <w:b/>
                <w:color w:val="auto"/>
                <w:kern w:val="44"/>
                <w:szCs w:val="21"/>
                <w:highlight w:val="none"/>
              </w:rPr>
              <w:t>专业类别</w:t>
            </w:r>
          </w:p>
        </w:tc>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kern w:val="44"/>
                <w:szCs w:val="21"/>
                <w:highlight w:val="none"/>
              </w:rPr>
            </w:pPr>
            <w:r>
              <w:rPr>
                <w:rFonts w:hint="eastAsia" w:ascii="宋体" w:hAnsi="宋体" w:cs="宋体"/>
                <w:b/>
                <w:color w:val="auto"/>
                <w:kern w:val="44"/>
                <w:szCs w:val="21"/>
                <w:highlight w:val="none"/>
              </w:rPr>
              <w:t>职务</w:t>
            </w:r>
          </w:p>
        </w:tc>
        <w:tc>
          <w:tcPr>
            <w:tcW w:w="10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kern w:val="44"/>
                <w:szCs w:val="21"/>
                <w:highlight w:val="none"/>
              </w:rPr>
            </w:pPr>
            <w:r>
              <w:rPr>
                <w:rFonts w:hint="eastAsia" w:ascii="宋体" w:hAnsi="宋体" w:cs="宋体"/>
                <w:b/>
                <w:color w:val="auto"/>
                <w:kern w:val="44"/>
                <w:szCs w:val="21"/>
                <w:highlight w:val="none"/>
              </w:rPr>
              <w:t>人员资格情况</w:t>
            </w:r>
          </w:p>
        </w:tc>
        <w:tc>
          <w:tcPr>
            <w:tcW w:w="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kern w:val="44"/>
                <w:szCs w:val="21"/>
                <w:highlight w:val="none"/>
              </w:rPr>
            </w:pPr>
            <w:r>
              <w:rPr>
                <w:rFonts w:hint="eastAsia" w:ascii="宋体" w:hAnsi="宋体" w:cs="宋体"/>
                <w:b/>
                <w:color w:val="auto"/>
                <w:kern w:val="44"/>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1</w:t>
            </w:r>
          </w:p>
        </w:tc>
        <w:tc>
          <w:tcPr>
            <w:tcW w:w="14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项目负责人</w:t>
            </w:r>
          </w:p>
        </w:tc>
        <w:tc>
          <w:tcPr>
            <w:tcW w:w="7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1</w:t>
            </w:r>
          </w:p>
        </w:tc>
        <w:tc>
          <w:tcPr>
            <w:tcW w:w="20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按招标公告及招标文件要求</w:t>
            </w:r>
          </w:p>
        </w:tc>
        <w:tc>
          <w:tcPr>
            <w:tcW w:w="76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2</w:t>
            </w:r>
          </w:p>
        </w:tc>
        <w:tc>
          <w:tcPr>
            <w:tcW w:w="14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技术负责人</w:t>
            </w:r>
          </w:p>
        </w:tc>
        <w:tc>
          <w:tcPr>
            <w:tcW w:w="7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1</w:t>
            </w:r>
          </w:p>
        </w:tc>
        <w:tc>
          <w:tcPr>
            <w:tcW w:w="20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按招标公告及招标文件要求</w:t>
            </w:r>
          </w:p>
        </w:tc>
        <w:tc>
          <w:tcPr>
            <w:tcW w:w="76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color w:val="auto"/>
                <w:kern w:val="0"/>
                <w:szCs w:val="21"/>
                <w:highlight w:val="none"/>
              </w:rPr>
              <w:t>3</w:t>
            </w:r>
          </w:p>
        </w:tc>
        <w:tc>
          <w:tcPr>
            <w:tcW w:w="14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专职安全员</w:t>
            </w:r>
          </w:p>
        </w:tc>
        <w:tc>
          <w:tcPr>
            <w:tcW w:w="7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1</w:t>
            </w:r>
          </w:p>
        </w:tc>
        <w:tc>
          <w:tcPr>
            <w:tcW w:w="20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按招标公告要求</w:t>
            </w:r>
          </w:p>
        </w:tc>
        <w:tc>
          <w:tcPr>
            <w:tcW w:w="76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left="-361" w:leftChars="-172" w:firstLine="420" w:firstLineChars="20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14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质量负责人</w:t>
            </w:r>
          </w:p>
        </w:tc>
        <w:tc>
          <w:tcPr>
            <w:tcW w:w="7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1</w:t>
            </w:r>
          </w:p>
        </w:tc>
        <w:tc>
          <w:tcPr>
            <w:tcW w:w="20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color w:val="auto"/>
                <w:spacing w:val="6"/>
                <w:kern w:val="0"/>
                <w:szCs w:val="21"/>
                <w:highlight w:val="none"/>
              </w:rPr>
              <w:t>具有相关资格证件</w:t>
            </w:r>
          </w:p>
        </w:tc>
        <w:tc>
          <w:tcPr>
            <w:tcW w:w="76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361" w:leftChars="-172" w:firstLine="420" w:firstLineChars="20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14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安全负责人</w:t>
            </w:r>
          </w:p>
        </w:tc>
        <w:tc>
          <w:tcPr>
            <w:tcW w:w="7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1</w:t>
            </w:r>
          </w:p>
        </w:tc>
        <w:tc>
          <w:tcPr>
            <w:tcW w:w="20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color w:val="auto"/>
                <w:spacing w:val="6"/>
                <w:kern w:val="0"/>
                <w:szCs w:val="21"/>
                <w:highlight w:val="none"/>
              </w:rPr>
              <w:t>具有相关资格证件</w:t>
            </w:r>
          </w:p>
        </w:tc>
        <w:tc>
          <w:tcPr>
            <w:tcW w:w="76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361" w:leftChars="-172" w:firstLine="420" w:firstLineChars="20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14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造价负责人</w:t>
            </w:r>
          </w:p>
        </w:tc>
        <w:tc>
          <w:tcPr>
            <w:tcW w:w="7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1</w:t>
            </w:r>
          </w:p>
        </w:tc>
        <w:tc>
          <w:tcPr>
            <w:tcW w:w="20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color w:val="auto"/>
                <w:spacing w:val="6"/>
                <w:kern w:val="0"/>
                <w:szCs w:val="21"/>
                <w:highlight w:val="none"/>
              </w:rPr>
              <w:t>具有相关资格证件</w:t>
            </w:r>
          </w:p>
        </w:tc>
        <w:tc>
          <w:tcPr>
            <w:tcW w:w="76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361" w:leftChars="-172" w:firstLine="420" w:firstLineChars="20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7</w:t>
            </w:r>
          </w:p>
        </w:tc>
        <w:tc>
          <w:tcPr>
            <w:tcW w:w="14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施工员</w:t>
            </w:r>
          </w:p>
        </w:tc>
        <w:tc>
          <w:tcPr>
            <w:tcW w:w="7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3</w:t>
            </w:r>
          </w:p>
        </w:tc>
        <w:tc>
          <w:tcPr>
            <w:tcW w:w="2066" w:type="dxa"/>
            <w:tcBorders>
              <w:top w:val="single" w:color="auto" w:sz="4" w:space="0"/>
              <w:left w:val="single" w:color="auto" w:sz="4" w:space="0"/>
              <w:bottom w:val="single" w:color="auto" w:sz="4" w:space="0"/>
              <w:right w:val="single" w:color="auto" w:sz="4" w:space="0"/>
            </w:tcBorders>
            <w:noWrap w:val="0"/>
            <w:vAlign w:val="top"/>
          </w:tcPr>
          <w:p>
            <w:pPr>
              <w:jc w:val="center"/>
              <w:rPr>
                <w:color w:val="auto"/>
                <w:highlight w:val="none"/>
              </w:rPr>
            </w:pPr>
            <w:r>
              <w:rPr>
                <w:rFonts w:hint="eastAsia" w:ascii="宋体" w:hAnsi="宋体" w:cs="宋体"/>
                <w:color w:val="auto"/>
                <w:spacing w:val="6"/>
                <w:kern w:val="0"/>
                <w:szCs w:val="21"/>
                <w:highlight w:val="none"/>
              </w:rPr>
              <w:t>具有相关岗位证或培训合格证件</w:t>
            </w:r>
          </w:p>
        </w:tc>
        <w:tc>
          <w:tcPr>
            <w:tcW w:w="76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361" w:leftChars="-172" w:firstLine="444" w:firstLineChars="200"/>
              <w:jc w:val="center"/>
              <w:rPr>
                <w:rFonts w:hint="eastAsia" w:ascii="宋体" w:hAnsi="宋体" w:cs="宋体"/>
                <w:dstrike/>
                <w:color w:val="auto"/>
                <w:spacing w:val="4"/>
                <w:kern w:val="0"/>
                <w:szCs w:val="21"/>
                <w:highlight w:val="none"/>
              </w:rPr>
            </w:pPr>
            <w:r>
              <w:rPr>
                <w:rFonts w:hint="eastAsia" w:ascii="宋体" w:hAnsi="宋体" w:cs="宋体"/>
                <w:color w:val="auto"/>
                <w:spacing w:val="6"/>
                <w:kern w:val="0"/>
                <w:szCs w:val="21"/>
                <w:highlight w:val="none"/>
              </w:rPr>
              <w:t>8</w:t>
            </w:r>
          </w:p>
        </w:tc>
        <w:tc>
          <w:tcPr>
            <w:tcW w:w="14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质检员</w:t>
            </w:r>
          </w:p>
        </w:tc>
        <w:tc>
          <w:tcPr>
            <w:tcW w:w="7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3</w:t>
            </w:r>
          </w:p>
        </w:tc>
        <w:tc>
          <w:tcPr>
            <w:tcW w:w="2066" w:type="dxa"/>
            <w:tcBorders>
              <w:top w:val="single" w:color="auto" w:sz="4" w:space="0"/>
              <w:left w:val="single" w:color="auto" w:sz="4" w:space="0"/>
              <w:bottom w:val="single" w:color="auto" w:sz="4" w:space="0"/>
              <w:right w:val="single" w:color="auto" w:sz="4" w:space="0"/>
            </w:tcBorders>
            <w:noWrap w:val="0"/>
            <w:vAlign w:val="top"/>
          </w:tcPr>
          <w:p>
            <w:pPr>
              <w:jc w:val="center"/>
              <w:rPr>
                <w:color w:val="auto"/>
                <w:highlight w:val="none"/>
              </w:rPr>
            </w:pPr>
            <w:r>
              <w:rPr>
                <w:rFonts w:hint="eastAsia" w:ascii="宋体" w:hAnsi="宋体" w:cs="宋体"/>
                <w:color w:val="auto"/>
                <w:spacing w:val="6"/>
                <w:kern w:val="0"/>
                <w:szCs w:val="21"/>
                <w:highlight w:val="none"/>
              </w:rPr>
              <w:t>具有相关岗位证或培训合格证件</w:t>
            </w:r>
          </w:p>
        </w:tc>
        <w:tc>
          <w:tcPr>
            <w:tcW w:w="76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left="-361" w:leftChars="-172" w:firstLine="420" w:firstLineChars="20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9</w:t>
            </w:r>
          </w:p>
        </w:tc>
        <w:tc>
          <w:tcPr>
            <w:tcW w:w="14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安全员</w:t>
            </w:r>
          </w:p>
        </w:tc>
        <w:tc>
          <w:tcPr>
            <w:tcW w:w="7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3</w:t>
            </w:r>
          </w:p>
        </w:tc>
        <w:tc>
          <w:tcPr>
            <w:tcW w:w="2066" w:type="dxa"/>
            <w:tcBorders>
              <w:top w:val="single" w:color="auto" w:sz="4" w:space="0"/>
              <w:left w:val="single" w:color="auto" w:sz="4" w:space="0"/>
              <w:bottom w:val="single" w:color="auto" w:sz="4" w:space="0"/>
              <w:right w:val="single" w:color="auto" w:sz="4" w:space="0"/>
            </w:tcBorders>
            <w:noWrap w:val="0"/>
            <w:vAlign w:val="top"/>
          </w:tcPr>
          <w:p>
            <w:pPr>
              <w:jc w:val="center"/>
              <w:rPr>
                <w:color w:val="auto"/>
                <w:highlight w:val="none"/>
              </w:rPr>
            </w:pPr>
            <w:r>
              <w:rPr>
                <w:rFonts w:hint="eastAsia" w:ascii="宋体" w:hAnsi="宋体" w:cs="宋体"/>
                <w:color w:val="auto"/>
                <w:spacing w:val="6"/>
                <w:kern w:val="0"/>
                <w:szCs w:val="21"/>
                <w:highlight w:val="none"/>
              </w:rPr>
              <w:t>具有相关岗位证或培训合格证件</w:t>
            </w:r>
          </w:p>
        </w:tc>
        <w:tc>
          <w:tcPr>
            <w:tcW w:w="76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361" w:leftChars="-172" w:firstLine="420" w:firstLineChars="20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w:t>
            </w:r>
          </w:p>
        </w:tc>
        <w:tc>
          <w:tcPr>
            <w:tcW w:w="14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材料员</w:t>
            </w:r>
          </w:p>
        </w:tc>
        <w:tc>
          <w:tcPr>
            <w:tcW w:w="7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2</w:t>
            </w:r>
          </w:p>
        </w:tc>
        <w:tc>
          <w:tcPr>
            <w:tcW w:w="2066" w:type="dxa"/>
            <w:tcBorders>
              <w:top w:val="single" w:color="auto" w:sz="4" w:space="0"/>
              <w:left w:val="single" w:color="auto" w:sz="4" w:space="0"/>
              <w:bottom w:val="single" w:color="auto" w:sz="4" w:space="0"/>
              <w:right w:val="single" w:color="auto" w:sz="4" w:space="0"/>
            </w:tcBorders>
            <w:noWrap w:val="0"/>
            <w:vAlign w:val="top"/>
          </w:tcPr>
          <w:p>
            <w:pPr>
              <w:jc w:val="center"/>
              <w:rPr>
                <w:color w:val="auto"/>
                <w:highlight w:val="none"/>
              </w:rPr>
            </w:pPr>
            <w:r>
              <w:rPr>
                <w:rFonts w:hint="eastAsia" w:ascii="宋体" w:hAnsi="宋体" w:cs="宋体"/>
                <w:color w:val="auto"/>
                <w:spacing w:val="6"/>
                <w:kern w:val="0"/>
                <w:szCs w:val="21"/>
                <w:highlight w:val="none"/>
              </w:rPr>
              <w:t>具有相关岗位证或培训合格证件</w:t>
            </w:r>
          </w:p>
        </w:tc>
        <w:tc>
          <w:tcPr>
            <w:tcW w:w="76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color w:val="auto"/>
                <w:szCs w:val="21"/>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color w:val="auto"/>
                <w:szCs w:val="21"/>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361" w:leftChars="-172" w:firstLine="420" w:firstLineChars="20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11</w:t>
            </w:r>
          </w:p>
        </w:tc>
        <w:tc>
          <w:tcPr>
            <w:tcW w:w="14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资料员</w:t>
            </w:r>
          </w:p>
        </w:tc>
        <w:tc>
          <w:tcPr>
            <w:tcW w:w="7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2</w:t>
            </w:r>
          </w:p>
        </w:tc>
        <w:tc>
          <w:tcPr>
            <w:tcW w:w="2066" w:type="dxa"/>
            <w:tcBorders>
              <w:top w:val="single" w:color="auto" w:sz="4" w:space="0"/>
              <w:left w:val="single" w:color="auto" w:sz="4" w:space="0"/>
              <w:bottom w:val="single" w:color="auto" w:sz="4" w:space="0"/>
              <w:right w:val="single" w:color="auto" w:sz="4" w:space="0"/>
            </w:tcBorders>
            <w:noWrap w:val="0"/>
            <w:vAlign w:val="top"/>
          </w:tcPr>
          <w:p>
            <w:pPr>
              <w:jc w:val="center"/>
              <w:rPr>
                <w:color w:val="auto"/>
                <w:highlight w:val="none"/>
              </w:rPr>
            </w:pPr>
            <w:r>
              <w:rPr>
                <w:rFonts w:hint="eastAsia" w:ascii="宋体" w:hAnsi="宋体" w:cs="宋体"/>
                <w:color w:val="auto"/>
                <w:spacing w:val="6"/>
                <w:kern w:val="0"/>
                <w:szCs w:val="21"/>
                <w:highlight w:val="none"/>
              </w:rPr>
              <w:t>具有相关岗位证或培训合格证件</w:t>
            </w:r>
          </w:p>
        </w:tc>
        <w:tc>
          <w:tcPr>
            <w:tcW w:w="76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361" w:leftChars="-172" w:firstLine="420" w:firstLineChars="200"/>
              <w:jc w:val="center"/>
              <w:rPr>
                <w:rFonts w:hint="eastAsia" w:ascii="宋体" w:hAnsi="宋体" w:cs="宋体"/>
                <w:color w:val="auto"/>
                <w:kern w:val="0"/>
                <w:szCs w:val="21"/>
                <w:highlight w:val="none"/>
              </w:rPr>
            </w:pPr>
          </w:p>
        </w:tc>
        <w:tc>
          <w:tcPr>
            <w:tcW w:w="14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w:t>
            </w:r>
          </w:p>
        </w:tc>
        <w:tc>
          <w:tcPr>
            <w:tcW w:w="7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c>
          <w:tcPr>
            <w:tcW w:w="20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c>
          <w:tcPr>
            <w:tcW w:w="76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kern w:val="0"/>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kern w:val="0"/>
                <w:szCs w:val="21"/>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kern w:val="0"/>
                <w:szCs w:val="21"/>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r>
    </w:tbl>
    <w:p>
      <w:pPr>
        <w:topLinePunct/>
        <w:adjustRightInd w:val="0"/>
        <w:snapToGrid w:val="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注：1、人员类别为：项目负责人、技术负责人、各专业负责人及其他招标人要求配置的人员等；</w:t>
      </w:r>
    </w:p>
    <w:p>
      <w:pPr>
        <w:topLinePunct/>
        <w:adjustRightInd w:val="0"/>
        <w:snapToGrid w:val="0"/>
        <w:ind w:firstLine="436"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2、投入的“主要人员”必须按本表要求填报，投入的“主要人员”岗位、人数及资质均不得低于本表要求。</w:t>
      </w:r>
    </w:p>
    <w:p>
      <w:pPr>
        <w:topLinePunct/>
        <w:adjustRightInd w:val="0"/>
        <w:snapToGrid w:val="0"/>
        <w:ind w:firstLine="420" w:firstLineChars="200"/>
        <w:rPr>
          <w:rFonts w:hint="eastAsia" w:ascii="宋体" w:hAnsi="宋体" w:cs="宋体"/>
          <w:color w:val="auto"/>
          <w:spacing w:val="4"/>
          <w:kern w:val="0"/>
          <w:szCs w:val="21"/>
          <w:highlight w:val="none"/>
        </w:rPr>
      </w:pPr>
      <w:r>
        <w:rPr>
          <w:rFonts w:hint="eastAsia" w:ascii="宋体" w:hAnsi="宋体" w:cs="宋体"/>
          <w:color w:val="auto"/>
          <w:kern w:val="0"/>
          <w:szCs w:val="21"/>
          <w:highlight w:val="none"/>
        </w:rPr>
        <w:t>3、其它人员由投标人视本工程具体情况结</w:t>
      </w:r>
      <w:r>
        <w:rPr>
          <w:rFonts w:hint="eastAsia" w:ascii="宋体" w:hAnsi="宋体" w:cs="宋体"/>
          <w:color w:val="auto"/>
          <w:spacing w:val="4"/>
          <w:kern w:val="0"/>
          <w:szCs w:val="21"/>
          <w:highlight w:val="none"/>
        </w:rPr>
        <w:t>合招标人对本工程的具体要求自行配备；</w:t>
      </w:r>
    </w:p>
    <w:p>
      <w:pPr>
        <w:topLinePunct/>
        <w:adjustRightInd w:val="0"/>
        <w:snapToGrid w:val="0"/>
        <w:ind w:firstLine="436"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4、上述人员须为投标单位人员，并须提供身份证及投标截止前近一个月（202</w:t>
      </w:r>
      <w:r>
        <w:rPr>
          <w:rFonts w:hint="eastAsia" w:ascii="宋体" w:hAnsi="宋体" w:cs="宋体"/>
          <w:color w:val="auto"/>
          <w:spacing w:val="4"/>
          <w:kern w:val="0"/>
          <w:szCs w:val="21"/>
          <w:highlight w:val="none"/>
          <w:lang w:val="en-US" w:eastAsia="zh-CN"/>
        </w:rPr>
        <w:t>3</w:t>
      </w:r>
      <w:r>
        <w:rPr>
          <w:rFonts w:hint="eastAsia" w:ascii="宋体" w:hAnsi="宋体" w:cs="宋体"/>
          <w:color w:val="auto"/>
          <w:spacing w:val="4"/>
          <w:kern w:val="0"/>
          <w:szCs w:val="21"/>
          <w:highlight w:val="none"/>
        </w:rPr>
        <w:t>年</w:t>
      </w:r>
      <w:r>
        <w:rPr>
          <w:rFonts w:hint="eastAsia" w:ascii="宋体" w:hAnsi="宋体" w:cs="宋体"/>
          <w:color w:val="auto"/>
          <w:spacing w:val="4"/>
          <w:kern w:val="0"/>
          <w:szCs w:val="21"/>
          <w:highlight w:val="none"/>
          <w:lang w:val="en-US" w:eastAsia="zh-CN"/>
        </w:rPr>
        <w:t>3</w:t>
      </w:r>
      <w:r>
        <w:rPr>
          <w:rFonts w:hint="eastAsia" w:ascii="宋体" w:hAnsi="宋体" w:cs="宋体"/>
          <w:color w:val="auto"/>
          <w:spacing w:val="4"/>
          <w:kern w:val="0"/>
          <w:szCs w:val="21"/>
          <w:highlight w:val="none"/>
        </w:rPr>
        <w:t>月）有效社保证明，社保缴纳期限包含新冠病毒疫情期的，若当地政府部门允许企业在疫情期间缓缴社会保险费且投标人未缴纳的，投标人可提供当地政府部门允许缓缴社保的相关文件作为缴纳社保的证明。</w:t>
      </w:r>
      <w:r>
        <w:rPr>
          <w:rFonts w:ascii="宋体" w:hAnsi="宋体" w:cs="宋体"/>
          <w:color w:val="auto"/>
          <w:spacing w:val="4"/>
          <w:kern w:val="0"/>
          <w:szCs w:val="21"/>
          <w:highlight w:val="none"/>
        </w:rPr>
        <w:t>确定中标人后，招标人将采取有效措施，核实后续中标人管理团队的社保补缴情况</w:t>
      </w:r>
      <w:r>
        <w:rPr>
          <w:rFonts w:hint="eastAsia" w:ascii="宋体" w:hAnsi="宋体" w:cs="宋体"/>
          <w:color w:val="auto"/>
          <w:spacing w:val="4"/>
          <w:kern w:val="0"/>
          <w:szCs w:val="21"/>
          <w:highlight w:val="none"/>
        </w:rPr>
        <w:t>。</w:t>
      </w:r>
    </w:p>
    <w:p>
      <w:pPr>
        <w:topLinePunct/>
        <w:adjustRightInd w:val="0"/>
        <w:snapToGrid w:val="0"/>
        <w:ind w:firstLine="436"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5、上述人员须按招标公告及《技术标详细审查评分表》相应要求提供职称证、有效期内的注册证、岗位证或培训合格证等相关证明资料。所有资料为原件清晰扫描件并加盖投标人电子印章。</w:t>
      </w:r>
    </w:p>
    <w:p>
      <w:pPr>
        <w:topLinePunct/>
        <w:adjustRightInd w:val="0"/>
        <w:snapToGrid w:val="0"/>
        <w:ind w:firstLine="436"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6、本表投标人可根据企业自身及项目实际情况自行增加人员配置。</w:t>
      </w:r>
    </w:p>
    <w:p>
      <w:pPr>
        <w:topLinePunct/>
        <w:adjustRightInd w:val="0"/>
        <w:snapToGrid w:val="0"/>
        <w:ind w:firstLine="436"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7、本表中填报的所有人员均需按招标文件第四章《主要人员简历表》格式要求编制并提交个人简历。</w:t>
      </w:r>
    </w:p>
    <w:p>
      <w:pPr>
        <w:topLinePunct/>
        <w:adjustRightInd w:val="0"/>
        <w:snapToGrid w:val="0"/>
        <w:spacing w:line="360" w:lineRule="auto"/>
        <w:ind w:firstLine="3161" w:firstLineChars="145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投标人：　　（盖章）</w:t>
      </w:r>
    </w:p>
    <w:p>
      <w:pPr>
        <w:topLinePunct/>
        <w:adjustRightInd w:val="0"/>
        <w:snapToGrid w:val="0"/>
        <w:spacing w:line="360" w:lineRule="auto"/>
        <w:ind w:firstLine="3161" w:firstLineChars="145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法定代表人或授权代理人(签字或盖章)：</w:t>
      </w:r>
    </w:p>
    <w:p>
      <w:pPr>
        <w:wordWrap w:val="0"/>
        <w:autoSpaceDE w:val="0"/>
        <w:autoSpaceDN w:val="0"/>
        <w:adjustRightInd w:val="0"/>
        <w:jc w:val="right"/>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日   期：    年    月    日                   </w:t>
      </w:r>
    </w:p>
    <w:p>
      <w:pPr>
        <w:topLinePunct/>
        <w:adjustRightInd w:val="0"/>
        <w:snapToGrid w:val="0"/>
        <w:spacing w:line="360" w:lineRule="auto"/>
        <w:rPr>
          <w:rFonts w:hint="eastAsia" w:ascii="宋体" w:hAnsi="宋体" w:cs="宋体"/>
          <w:color w:val="auto"/>
          <w:spacing w:val="4"/>
          <w:kern w:val="0"/>
          <w:sz w:val="24"/>
          <w:szCs w:val="24"/>
          <w:highlight w:val="none"/>
        </w:rPr>
      </w:pPr>
      <w:r>
        <w:rPr>
          <w:rFonts w:ascii="宋体" w:hAnsi="宋体" w:cs="宋体"/>
          <w:color w:val="auto"/>
          <w:spacing w:val="4"/>
          <w:kern w:val="0"/>
          <w:sz w:val="24"/>
          <w:szCs w:val="24"/>
          <w:highlight w:val="none"/>
        </w:rPr>
        <w:br w:type="page"/>
      </w:r>
      <w:r>
        <w:rPr>
          <w:rFonts w:hint="eastAsia"/>
          <w:color w:val="auto"/>
          <w:sz w:val="24"/>
          <w:szCs w:val="24"/>
          <w:highlight w:val="none"/>
        </w:rPr>
        <w:t>技术标</w:t>
      </w:r>
      <w:r>
        <w:rPr>
          <w:rFonts w:hint="eastAsia"/>
          <w:bCs/>
          <w:color w:val="auto"/>
          <w:sz w:val="24"/>
          <w:szCs w:val="24"/>
          <w:highlight w:val="none"/>
        </w:rPr>
        <w:t>格式六</w:t>
      </w:r>
      <w:r>
        <w:rPr>
          <w:rFonts w:hint="eastAsia" w:ascii="宋体" w:hAnsi="宋体" w:cs="宋体"/>
          <w:bCs/>
          <w:color w:val="auto"/>
          <w:sz w:val="24"/>
          <w:szCs w:val="24"/>
          <w:highlight w:val="none"/>
        </w:rPr>
        <w:t>：</w:t>
      </w:r>
    </w:p>
    <w:p>
      <w:pPr>
        <w:topLinePunct/>
        <w:adjustRightInd w:val="0"/>
        <w:snapToGrid w:val="0"/>
        <w:spacing w:line="360" w:lineRule="auto"/>
        <w:jc w:val="center"/>
        <w:rPr>
          <w:rFonts w:hint="eastAsia" w:ascii="宋体" w:hAnsi="宋体" w:cs="宋体"/>
          <w:color w:val="auto"/>
          <w:spacing w:val="4"/>
          <w:kern w:val="0"/>
          <w:sz w:val="24"/>
          <w:szCs w:val="24"/>
          <w:highlight w:val="none"/>
        </w:rPr>
      </w:pPr>
    </w:p>
    <w:p>
      <w:pPr>
        <w:topLinePunct/>
        <w:adjustRightInd w:val="0"/>
        <w:snapToGrid w:val="0"/>
        <w:spacing w:line="360" w:lineRule="auto"/>
        <w:jc w:val="center"/>
        <w:rPr>
          <w:rFonts w:hint="eastAsia" w:ascii="宋体" w:hAnsi="宋体" w:cs="宋体"/>
          <w:b/>
          <w:snapToGrid w:val="0"/>
          <w:color w:val="auto"/>
          <w:spacing w:val="4"/>
          <w:kern w:val="0"/>
          <w:sz w:val="24"/>
          <w:szCs w:val="24"/>
          <w:highlight w:val="none"/>
        </w:rPr>
      </w:pPr>
      <w:r>
        <w:rPr>
          <w:rFonts w:hint="eastAsia" w:ascii="宋体" w:hAnsi="宋体" w:cs="宋体"/>
          <w:b/>
          <w:snapToGrid w:val="0"/>
          <w:color w:val="auto"/>
          <w:spacing w:val="4"/>
          <w:kern w:val="0"/>
          <w:sz w:val="24"/>
          <w:szCs w:val="24"/>
          <w:highlight w:val="none"/>
        </w:rPr>
        <w:t>主要人员简历表</w:t>
      </w:r>
    </w:p>
    <w:p>
      <w:pPr>
        <w:topLinePunct/>
        <w:adjustRightInd w:val="0"/>
        <w:snapToGrid w:val="0"/>
        <w:spacing w:line="360" w:lineRule="auto"/>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 xml:space="preserve">工程名称： </w:t>
      </w:r>
    </w:p>
    <w:tbl>
      <w:tblPr>
        <w:tblStyle w:val="48"/>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0" w:type="dxa"/>
          <w:left w:w="60" w:type="dxa"/>
          <w:bottom w:w="60" w:type="dxa"/>
          <w:right w:w="60" w:type="dxa"/>
        </w:tblCellMar>
      </w:tblPr>
      <w:tblGrid>
        <w:gridCol w:w="1224"/>
        <w:gridCol w:w="1650"/>
        <w:gridCol w:w="255"/>
        <w:gridCol w:w="505"/>
        <w:gridCol w:w="762"/>
        <w:gridCol w:w="169"/>
        <w:gridCol w:w="1182"/>
        <w:gridCol w:w="929"/>
        <w:gridCol w:w="319"/>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20" w:hRule="atLeast"/>
          <w:tblCellSpacing w:w="0" w:type="dxa"/>
          <w:jc w:val="center"/>
        </w:trPr>
        <w:tc>
          <w:tcPr>
            <w:tcW w:w="1224" w:type="dxa"/>
            <w:noWrap w:val="0"/>
            <w:vAlign w:val="center"/>
          </w:tcPr>
          <w:p>
            <w:pPr>
              <w:jc w:val="left"/>
              <w:rPr>
                <w:rFonts w:ascii="宋体" w:hAnsi="宋体"/>
                <w:color w:val="auto"/>
                <w:sz w:val="24"/>
                <w:szCs w:val="24"/>
                <w:highlight w:val="none"/>
              </w:rPr>
            </w:pPr>
            <w:r>
              <w:rPr>
                <w:rFonts w:hint="eastAsia" w:ascii="宋体" w:hAnsi="宋体"/>
                <w:color w:val="auto"/>
                <w:sz w:val="24"/>
                <w:szCs w:val="24"/>
                <w:highlight w:val="none"/>
              </w:rPr>
              <w:t>姓名</w:t>
            </w:r>
          </w:p>
        </w:tc>
        <w:tc>
          <w:tcPr>
            <w:tcW w:w="1650" w:type="dxa"/>
            <w:noWrap w:val="0"/>
            <w:vAlign w:val="center"/>
          </w:tcPr>
          <w:p>
            <w:pPr>
              <w:jc w:val="left"/>
              <w:rPr>
                <w:rFonts w:ascii="宋体" w:hAnsi="宋体"/>
                <w:color w:val="auto"/>
                <w:sz w:val="24"/>
                <w:szCs w:val="24"/>
                <w:highlight w:val="none"/>
              </w:rPr>
            </w:pPr>
          </w:p>
        </w:tc>
        <w:tc>
          <w:tcPr>
            <w:tcW w:w="760" w:type="dxa"/>
            <w:gridSpan w:val="2"/>
            <w:noWrap w:val="0"/>
            <w:vAlign w:val="center"/>
          </w:tcPr>
          <w:p>
            <w:pPr>
              <w:jc w:val="left"/>
              <w:rPr>
                <w:rFonts w:ascii="宋体" w:hAnsi="宋体"/>
                <w:color w:val="auto"/>
                <w:sz w:val="24"/>
                <w:szCs w:val="24"/>
                <w:highlight w:val="none"/>
              </w:rPr>
            </w:pPr>
            <w:r>
              <w:rPr>
                <w:rFonts w:hint="eastAsia" w:ascii="宋体" w:hAnsi="宋体"/>
                <w:color w:val="auto"/>
                <w:sz w:val="24"/>
                <w:szCs w:val="24"/>
                <w:highlight w:val="none"/>
              </w:rPr>
              <w:t>性别</w:t>
            </w:r>
          </w:p>
        </w:tc>
        <w:tc>
          <w:tcPr>
            <w:tcW w:w="2113" w:type="dxa"/>
            <w:gridSpan w:val="3"/>
            <w:noWrap w:val="0"/>
            <w:vAlign w:val="center"/>
          </w:tcPr>
          <w:p>
            <w:pPr>
              <w:jc w:val="left"/>
              <w:rPr>
                <w:rFonts w:ascii="宋体" w:hAnsi="宋体"/>
                <w:color w:val="auto"/>
                <w:sz w:val="24"/>
                <w:szCs w:val="24"/>
                <w:highlight w:val="none"/>
              </w:rPr>
            </w:pPr>
          </w:p>
        </w:tc>
        <w:tc>
          <w:tcPr>
            <w:tcW w:w="1248" w:type="dxa"/>
            <w:gridSpan w:val="2"/>
            <w:noWrap w:val="0"/>
            <w:vAlign w:val="center"/>
          </w:tcPr>
          <w:p>
            <w:pPr>
              <w:jc w:val="left"/>
              <w:rPr>
                <w:rFonts w:ascii="宋体" w:hAnsi="宋体"/>
                <w:color w:val="auto"/>
                <w:sz w:val="24"/>
                <w:szCs w:val="24"/>
                <w:highlight w:val="none"/>
              </w:rPr>
            </w:pPr>
            <w:r>
              <w:rPr>
                <w:rFonts w:hint="eastAsia" w:ascii="宋体" w:hAnsi="宋体"/>
                <w:color w:val="auto"/>
                <w:sz w:val="24"/>
                <w:szCs w:val="24"/>
                <w:highlight w:val="none"/>
              </w:rPr>
              <w:t>年龄</w:t>
            </w:r>
          </w:p>
        </w:tc>
        <w:tc>
          <w:tcPr>
            <w:tcW w:w="1451" w:type="dxa"/>
            <w:noWrap w:val="0"/>
            <w:vAlign w:val="center"/>
          </w:tcPr>
          <w:p>
            <w:pPr>
              <w:jc w:val="left"/>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1224" w:type="dxa"/>
            <w:noWrap w:val="0"/>
            <w:vAlign w:val="center"/>
          </w:tcPr>
          <w:p>
            <w:pPr>
              <w:jc w:val="left"/>
              <w:rPr>
                <w:rFonts w:ascii="宋体" w:hAnsi="宋体"/>
                <w:color w:val="auto"/>
                <w:sz w:val="24"/>
                <w:szCs w:val="24"/>
                <w:highlight w:val="none"/>
              </w:rPr>
            </w:pPr>
            <w:r>
              <w:rPr>
                <w:rFonts w:hint="eastAsia" w:ascii="宋体" w:hAnsi="宋体"/>
                <w:color w:val="auto"/>
                <w:sz w:val="24"/>
                <w:szCs w:val="24"/>
                <w:highlight w:val="none"/>
              </w:rPr>
              <w:t>职务</w:t>
            </w:r>
          </w:p>
        </w:tc>
        <w:tc>
          <w:tcPr>
            <w:tcW w:w="1650" w:type="dxa"/>
            <w:noWrap w:val="0"/>
            <w:vAlign w:val="center"/>
          </w:tcPr>
          <w:p>
            <w:pPr>
              <w:jc w:val="left"/>
              <w:rPr>
                <w:rFonts w:ascii="宋体" w:hAnsi="宋体"/>
                <w:color w:val="auto"/>
                <w:sz w:val="24"/>
                <w:szCs w:val="24"/>
                <w:highlight w:val="none"/>
              </w:rPr>
            </w:pPr>
          </w:p>
        </w:tc>
        <w:tc>
          <w:tcPr>
            <w:tcW w:w="760" w:type="dxa"/>
            <w:gridSpan w:val="2"/>
            <w:noWrap w:val="0"/>
            <w:vAlign w:val="center"/>
          </w:tcPr>
          <w:p>
            <w:pPr>
              <w:jc w:val="left"/>
              <w:rPr>
                <w:rFonts w:ascii="宋体" w:hAnsi="宋体"/>
                <w:color w:val="auto"/>
                <w:sz w:val="24"/>
                <w:szCs w:val="24"/>
                <w:highlight w:val="none"/>
              </w:rPr>
            </w:pPr>
            <w:r>
              <w:rPr>
                <w:rFonts w:hint="eastAsia" w:ascii="宋体" w:hAnsi="宋体"/>
                <w:color w:val="auto"/>
                <w:sz w:val="24"/>
                <w:szCs w:val="24"/>
                <w:highlight w:val="none"/>
              </w:rPr>
              <w:t>职称</w:t>
            </w:r>
          </w:p>
        </w:tc>
        <w:tc>
          <w:tcPr>
            <w:tcW w:w="2113" w:type="dxa"/>
            <w:gridSpan w:val="3"/>
            <w:noWrap w:val="0"/>
            <w:vAlign w:val="center"/>
          </w:tcPr>
          <w:p>
            <w:pPr>
              <w:jc w:val="left"/>
              <w:rPr>
                <w:rFonts w:ascii="宋体" w:hAnsi="宋体"/>
                <w:color w:val="auto"/>
                <w:sz w:val="24"/>
                <w:szCs w:val="24"/>
                <w:highlight w:val="none"/>
              </w:rPr>
            </w:pPr>
          </w:p>
        </w:tc>
        <w:tc>
          <w:tcPr>
            <w:tcW w:w="1248" w:type="dxa"/>
            <w:gridSpan w:val="2"/>
            <w:noWrap w:val="0"/>
            <w:vAlign w:val="center"/>
          </w:tcPr>
          <w:p>
            <w:pPr>
              <w:jc w:val="left"/>
              <w:rPr>
                <w:rFonts w:ascii="宋体" w:hAnsi="宋体"/>
                <w:color w:val="auto"/>
                <w:sz w:val="24"/>
                <w:szCs w:val="24"/>
                <w:highlight w:val="none"/>
              </w:rPr>
            </w:pPr>
            <w:r>
              <w:rPr>
                <w:rFonts w:hint="eastAsia" w:ascii="宋体" w:hAnsi="宋体"/>
                <w:color w:val="auto"/>
                <w:sz w:val="24"/>
                <w:szCs w:val="24"/>
                <w:highlight w:val="none"/>
              </w:rPr>
              <w:t>学历</w:t>
            </w:r>
          </w:p>
        </w:tc>
        <w:tc>
          <w:tcPr>
            <w:tcW w:w="1451" w:type="dxa"/>
            <w:noWrap w:val="0"/>
            <w:vAlign w:val="center"/>
          </w:tcPr>
          <w:p>
            <w:pPr>
              <w:jc w:val="left"/>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3129" w:type="dxa"/>
            <w:gridSpan w:val="3"/>
            <w:noWrap w:val="0"/>
            <w:vAlign w:val="center"/>
          </w:tcPr>
          <w:p>
            <w:pPr>
              <w:jc w:val="left"/>
              <w:rPr>
                <w:rFonts w:ascii="宋体" w:hAnsi="宋体"/>
                <w:color w:val="auto"/>
                <w:sz w:val="24"/>
                <w:szCs w:val="24"/>
                <w:highlight w:val="none"/>
              </w:rPr>
            </w:pPr>
            <w:r>
              <w:rPr>
                <w:rFonts w:hint="eastAsia" w:ascii="宋体" w:hAnsi="宋体"/>
                <w:color w:val="auto"/>
                <w:sz w:val="24"/>
                <w:szCs w:val="24"/>
                <w:highlight w:val="none"/>
              </w:rPr>
              <w:t>参加工作时间</w:t>
            </w:r>
          </w:p>
        </w:tc>
        <w:tc>
          <w:tcPr>
            <w:tcW w:w="1436" w:type="dxa"/>
            <w:gridSpan w:val="3"/>
            <w:noWrap w:val="0"/>
            <w:vAlign w:val="center"/>
          </w:tcPr>
          <w:p>
            <w:pPr>
              <w:jc w:val="left"/>
              <w:rPr>
                <w:rFonts w:ascii="宋体" w:hAnsi="宋体"/>
                <w:color w:val="auto"/>
                <w:sz w:val="24"/>
                <w:szCs w:val="24"/>
                <w:highlight w:val="none"/>
              </w:rPr>
            </w:pPr>
          </w:p>
        </w:tc>
        <w:tc>
          <w:tcPr>
            <w:tcW w:w="2111" w:type="dxa"/>
            <w:gridSpan w:val="2"/>
            <w:noWrap w:val="0"/>
            <w:vAlign w:val="center"/>
          </w:tcPr>
          <w:p>
            <w:pPr>
              <w:jc w:val="left"/>
              <w:rPr>
                <w:rFonts w:ascii="宋体" w:hAnsi="宋体"/>
                <w:color w:val="auto"/>
                <w:sz w:val="24"/>
                <w:szCs w:val="24"/>
                <w:highlight w:val="none"/>
              </w:rPr>
            </w:pPr>
            <w:r>
              <w:rPr>
                <w:rFonts w:hint="eastAsia" w:ascii="宋体" w:hAnsi="宋体"/>
                <w:color w:val="auto"/>
                <w:sz w:val="24"/>
                <w:szCs w:val="24"/>
                <w:highlight w:val="none"/>
              </w:rPr>
              <w:t>担任相应职务年限</w:t>
            </w:r>
          </w:p>
        </w:tc>
        <w:tc>
          <w:tcPr>
            <w:tcW w:w="1770" w:type="dxa"/>
            <w:gridSpan w:val="2"/>
            <w:noWrap w:val="0"/>
            <w:vAlign w:val="center"/>
          </w:tcPr>
          <w:p>
            <w:pPr>
              <w:jc w:val="left"/>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3129" w:type="dxa"/>
            <w:gridSpan w:val="3"/>
            <w:noWrap w:val="0"/>
            <w:vAlign w:val="center"/>
          </w:tcPr>
          <w:p>
            <w:pPr>
              <w:jc w:val="left"/>
              <w:rPr>
                <w:rFonts w:hint="eastAsia" w:ascii="宋体" w:hAnsi="宋体"/>
                <w:color w:val="auto"/>
                <w:sz w:val="24"/>
                <w:szCs w:val="24"/>
                <w:highlight w:val="none"/>
              </w:rPr>
            </w:pPr>
            <w:r>
              <w:rPr>
                <w:rFonts w:hint="eastAsia" w:ascii="宋体" w:hAnsi="宋体"/>
                <w:color w:val="auto"/>
                <w:sz w:val="24"/>
                <w:szCs w:val="24"/>
                <w:highlight w:val="none"/>
              </w:rPr>
              <w:t>毕业学校</w:t>
            </w:r>
          </w:p>
        </w:tc>
        <w:tc>
          <w:tcPr>
            <w:tcW w:w="5317" w:type="dxa"/>
            <w:gridSpan w:val="7"/>
            <w:noWrap w:val="0"/>
            <w:vAlign w:val="center"/>
          </w:tcPr>
          <w:p>
            <w:pPr>
              <w:jc w:val="left"/>
              <w:rPr>
                <w:rFonts w:hint="eastAsia" w:ascii="宋体" w:hAnsi="宋体"/>
                <w:color w:val="auto"/>
                <w:sz w:val="24"/>
                <w:szCs w:val="24"/>
                <w:highlight w:val="none"/>
              </w:rPr>
            </w:pPr>
            <w:r>
              <w:rPr>
                <w:rFonts w:hint="eastAsia" w:ascii="宋体" w:hAnsi="宋体"/>
                <w:color w:val="auto"/>
                <w:sz w:val="24"/>
                <w:szCs w:val="24"/>
                <w:highlight w:val="none"/>
              </w:rPr>
              <w:t xml:space="preserve">    年  月毕业于     学校    系，学制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3129" w:type="dxa"/>
            <w:gridSpan w:val="3"/>
            <w:noWrap w:val="0"/>
            <w:vAlign w:val="center"/>
          </w:tcPr>
          <w:p>
            <w:pPr>
              <w:jc w:val="left"/>
              <w:rPr>
                <w:rFonts w:ascii="宋体" w:hAnsi="宋体"/>
                <w:color w:val="auto"/>
                <w:sz w:val="24"/>
                <w:szCs w:val="24"/>
                <w:highlight w:val="none"/>
              </w:rPr>
            </w:pPr>
            <w:r>
              <w:rPr>
                <w:rFonts w:hint="eastAsia" w:ascii="宋体" w:hAnsi="宋体"/>
                <w:color w:val="auto"/>
                <w:sz w:val="24"/>
                <w:szCs w:val="24"/>
                <w:highlight w:val="none"/>
              </w:rPr>
              <w:t>资格证书号</w:t>
            </w:r>
          </w:p>
        </w:tc>
        <w:tc>
          <w:tcPr>
            <w:tcW w:w="5317" w:type="dxa"/>
            <w:gridSpan w:val="7"/>
            <w:noWrap w:val="0"/>
            <w:vAlign w:val="center"/>
          </w:tcPr>
          <w:p>
            <w:pPr>
              <w:jc w:val="left"/>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8446" w:type="dxa"/>
            <w:gridSpan w:val="10"/>
            <w:noWrap w:val="0"/>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业绩简介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1224" w:type="dxa"/>
            <w:noWrap w:val="0"/>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建设单位</w:t>
            </w:r>
          </w:p>
        </w:tc>
        <w:tc>
          <w:tcPr>
            <w:tcW w:w="1905" w:type="dxa"/>
            <w:gridSpan w:val="2"/>
            <w:noWrap w:val="0"/>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项目名称</w:t>
            </w:r>
          </w:p>
        </w:tc>
        <w:tc>
          <w:tcPr>
            <w:tcW w:w="1267" w:type="dxa"/>
            <w:gridSpan w:val="2"/>
            <w:noWrap w:val="0"/>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建设规模</w:t>
            </w:r>
          </w:p>
        </w:tc>
        <w:tc>
          <w:tcPr>
            <w:tcW w:w="1351" w:type="dxa"/>
            <w:gridSpan w:val="2"/>
            <w:noWrap w:val="0"/>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开、竣工日期</w:t>
            </w:r>
          </w:p>
        </w:tc>
        <w:tc>
          <w:tcPr>
            <w:tcW w:w="1248" w:type="dxa"/>
            <w:gridSpan w:val="2"/>
            <w:noWrap w:val="0"/>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在建或已完工程质量</w:t>
            </w:r>
          </w:p>
        </w:tc>
        <w:tc>
          <w:tcPr>
            <w:tcW w:w="1451" w:type="dxa"/>
            <w:noWrap w:val="0"/>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rPr>
              <w:t>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1224" w:type="dxa"/>
            <w:noWrap w:val="0"/>
            <w:vAlign w:val="center"/>
          </w:tcPr>
          <w:p>
            <w:pPr>
              <w:jc w:val="left"/>
              <w:rPr>
                <w:rFonts w:ascii="宋体" w:hAnsi="宋体"/>
                <w:color w:val="auto"/>
                <w:sz w:val="24"/>
                <w:szCs w:val="24"/>
                <w:highlight w:val="none"/>
              </w:rPr>
            </w:pPr>
          </w:p>
        </w:tc>
        <w:tc>
          <w:tcPr>
            <w:tcW w:w="1905" w:type="dxa"/>
            <w:gridSpan w:val="2"/>
            <w:noWrap w:val="0"/>
            <w:vAlign w:val="center"/>
          </w:tcPr>
          <w:p>
            <w:pPr>
              <w:jc w:val="left"/>
              <w:rPr>
                <w:rFonts w:ascii="宋体" w:hAnsi="宋体"/>
                <w:color w:val="auto"/>
                <w:sz w:val="24"/>
                <w:szCs w:val="24"/>
                <w:highlight w:val="none"/>
              </w:rPr>
            </w:pPr>
          </w:p>
        </w:tc>
        <w:tc>
          <w:tcPr>
            <w:tcW w:w="1267" w:type="dxa"/>
            <w:gridSpan w:val="2"/>
            <w:noWrap w:val="0"/>
            <w:vAlign w:val="center"/>
          </w:tcPr>
          <w:p>
            <w:pPr>
              <w:jc w:val="left"/>
              <w:rPr>
                <w:rFonts w:ascii="宋体" w:hAnsi="宋体"/>
                <w:color w:val="auto"/>
                <w:sz w:val="24"/>
                <w:szCs w:val="24"/>
                <w:highlight w:val="none"/>
              </w:rPr>
            </w:pPr>
          </w:p>
        </w:tc>
        <w:tc>
          <w:tcPr>
            <w:tcW w:w="1351" w:type="dxa"/>
            <w:gridSpan w:val="2"/>
            <w:noWrap w:val="0"/>
            <w:vAlign w:val="center"/>
          </w:tcPr>
          <w:p>
            <w:pPr>
              <w:jc w:val="left"/>
              <w:rPr>
                <w:rFonts w:ascii="宋体" w:hAnsi="宋体"/>
                <w:color w:val="auto"/>
                <w:sz w:val="24"/>
                <w:szCs w:val="24"/>
                <w:highlight w:val="none"/>
              </w:rPr>
            </w:pPr>
          </w:p>
        </w:tc>
        <w:tc>
          <w:tcPr>
            <w:tcW w:w="1248" w:type="dxa"/>
            <w:gridSpan w:val="2"/>
            <w:noWrap w:val="0"/>
            <w:vAlign w:val="center"/>
          </w:tcPr>
          <w:p>
            <w:pPr>
              <w:jc w:val="left"/>
              <w:rPr>
                <w:rFonts w:ascii="宋体" w:hAnsi="宋体"/>
                <w:color w:val="auto"/>
                <w:sz w:val="24"/>
                <w:szCs w:val="24"/>
                <w:highlight w:val="none"/>
              </w:rPr>
            </w:pPr>
          </w:p>
        </w:tc>
        <w:tc>
          <w:tcPr>
            <w:tcW w:w="1451" w:type="dxa"/>
            <w:noWrap w:val="0"/>
            <w:vAlign w:val="center"/>
          </w:tcPr>
          <w:p>
            <w:pPr>
              <w:jc w:val="left"/>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1224" w:type="dxa"/>
            <w:noWrap w:val="0"/>
            <w:vAlign w:val="center"/>
          </w:tcPr>
          <w:p>
            <w:pPr>
              <w:jc w:val="left"/>
              <w:rPr>
                <w:rFonts w:ascii="宋体" w:hAnsi="宋体"/>
                <w:color w:val="auto"/>
                <w:sz w:val="24"/>
                <w:szCs w:val="24"/>
                <w:highlight w:val="none"/>
              </w:rPr>
            </w:pPr>
          </w:p>
        </w:tc>
        <w:tc>
          <w:tcPr>
            <w:tcW w:w="1905" w:type="dxa"/>
            <w:gridSpan w:val="2"/>
            <w:noWrap w:val="0"/>
            <w:vAlign w:val="center"/>
          </w:tcPr>
          <w:p>
            <w:pPr>
              <w:jc w:val="left"/>
              <w:rPr>
                <w:rFonts w:ascii="宋体" w:hAnsi="宋体"/>
                <w:color w:val="auto"/>
                <w:sz w:val="24"/>
                <w:szCs w:val="24"/>
                <w:highlight w:val="none"/>
              </w:rPr>
            </w:pPr>
          </w:p>
        </w:tc>
        <w:tc>
          <w:tcPr>
            <w:tcW w:w="1267" w:type="dxa"/>
            <w:gridSpan w:val="2"/>
            <w:noWrap w:val="0"/>
            <w:vAlign w:val="center"/>
          </w:tcPr>
          <w:p>
            <w:pPr>
              <w:jc w:val="left"/>
              <w:rPr>
                <w:rFonts w:ascii="宋体" w:hAnsi="宋体"/>
                <w:color w:val="auto"/>
                <w:sz w:val="24"/>
                <w:szCs w:val="24"/>
                <w:highlight w:val="none"/>
              </w:rPr>
            </w:pPr>
          </w:p>
        </w:tc>
        <w:tc>
          <w:tcPr>
            <w:tcW w:w="1351" w:type="dxa"/>
            <w:gridSpan w:val="2"/>
            <w:noWrap w:val="0"/>
            <w:vAlign w:val="center"/>
          </w:tcPr>
          <w:p>
            <w:pPr>
              <w:jc w:val="left"/>
              <w:rPr>
                <w:rFonts w:ascii="宋体" w:hAnsi="宋体"/>
                <w:color w:val="auto"/>
                <w:sz w:val="24"/>
                <w:szCs w:val="24"/>
                <w:highlight w:val="none"/>
              </w:rPr>
            </w:pPr>
          </w:p>
        </w:tc>
        <w:tc>
          <w:tcPr>
            <w:tcW w:w="1248" w:type="dxa"/>
            <w:gridSpan w:val="2"/>
            <w:noWrap w:val="0"/>
            <w:vAlign w:val="center"/>
          </w:tcPr>
          <w:p>
            <w:pPr>
              <w:jc w:val="left"/>
              <w:rPr>
                <w:rFonts w:ascii="宋体" w:hAnsi="宋体"/>
                <w:color w:val="auto"/>
                <w:sz w:val="24"/>
                <w:szCs w:val="24"/>
                <w:highlight w:val="none"/>
              </w:rPr>
            </w:pPr>
          </w:p>
        </w:tc>
        <w:tc>
          <w:tcPr>
            <w:tcW w:w="1451" w:type="dxa"/>
            <w:noWrap w:val="0"/>
            <w:vAlign w:val="center"/>
          </w:tcPr>
          <w:p>
            <w:pPr>
              <w:jc w:val="left"/>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1224" w:type="dxa"/>
            <w:noWrap w:val="0"/>
            <w:vAlign w:val="center"/>
          </w:tcPr>
          <w:p>
            <w:pPr>
              <w:jc w:val="left"/>
              <w:rPr>
                <w:rFonts w:ascii="宋体" w:hAnsi="宋体"/>
                <w:color w:val="auto"/>
                <w:sz w:val="24"/>
                <w:szCs w:val="24"/>
                <w:highlight w:val="none"/>
              </w:rPr>
            </w:pPr>
          </w:p>
        </w:tc>
        <w:tc>
          <w:tcPr>
            <w:tcW w:w="1905" w:type="dxa"/>
            <w:gridSpan w:val="2"/>
            <w:noWrap w:val="0"/>
            <w:vAlign w:val="center"/>
          </w:tcPr>
          <w:p>
            <w:pPr>
              <w:jc w:val="left"/>
              <w:rPr>
                <w:rFonts w:ascii="宋体" w:hAnsi="宋体"/>
                <w:color w:val="auto"/>
                <w:sz w:val="24"/>
                <w:szCs w:val="24"/>
                <w:highlight w:val="none"/>
              </w:rPr>
            </w:pPr>
          </w:p>
        </w:tc>
        <w:tc>
          <w:tcPr>
            <w:tcW w:w="1267" w:type="dxa"/>
            <w:gridSpan w:val="2"/>
            <w:noWrap w:val="0"/>
            <w:vAlign w:val="center"/>
          </w:tcPr>
          <w:p>
            <w:pPr>
              <w:jc w:val="left"/>
              <w:rPr>
                <w:rFonts w:ascii="宋体" w:hAnsi="宋体"/>
                <w:color w:val="auto"/>
                <w:sz w:val="24"/>
                <w:szCs w:val="24"/>
                <w:highlight w:val="none"/>
              </w:rPr>
            </w:pPr>
          </w:p>
        </w:tc>
        <w:tc>
          <w:tcPr>
            <w:tcW w:w="1351" w:type="dxa"/>
            <w:gridSpan w:val="2"/>
            <w:noWrap w:val="0"/>
            <w:vAlign w:val="center"/>
          </w:tcPr>
          <w:p>
            <w:pPr>
              <w:jc w:val="left"/>
              <w:rPr>
                <w:rFonts w:ascii="宋体" w:hAnsi="宋体"/>
                <w:color w:val="auto"/>
                <w:sz w:val="24"/>
                <w:szCs w:val="24"/>
                <w:highlight w:val="none"/>
              </w:rPr>
            </w:pPr>
          </w:p>
        </w:tc>
        <w:tc>
          <w:tcPr>
            <w:tcW w:w="1248" w:type="dxa"/>
            <w:gridSpan w:val="2"/>
            <w:noWrap w:val="0"/>
            <w:vAlign w:val="center"/>
          </w:tcPr>
          <w:p>
            <w:pPr>
              <w:jc w:val="left"/>
              <w:rPr>
                <w:rFonts w:ascii="宋体" w:hAnsi="宋体"/>
                <w:color w:val="auto"/>
                <w:sz w:val="24"/>
                <w:szCs w:val="24"/>
                <w:highlight w:val="none"/>
              </w:rPr>
            </w:pPr>
          </w:p>
        </w:tc>
        <w:tc>
          <w:tcPr>
            <w:tcW w:w="1451" w:type="dxa"/>
            <w:noWrap w:val="0"/>
            <w:vAlign w:val="center"/>
          </w:tcPr>
          <w:p>
            <w:pPr>
              <w:jc w:val="left"/>
              <w:rPr>
                <w:rFonts w:ascii="宋体" w:hAnsi="宋体"/>
                <w:color w:val="auto"/>
                <w:sz w:val="24"/>
                <w:szCs w:val="24"/>
                <w:highlight w:val="none"/>
              </w:rPr>
            </w:pPr>
          </w:p>
        </w:tc>
      </w:tr>
    </w:tbl>
    <w:p>
      <w:pPr>
        <w:topLinePunct/>
        <w:adjustRightInd w:val="0"/>
        <w:snapToGrid w:val="0"/>
        <w:spacing w:line="360" w:lineRule="auto"/>
        <w:rPr>
          <w:rFonts w:hint="eastAsia" w:ascii="宋体" w:hAnsi="宋体" w:cs="宋体"/>
          <w:color w:val="auto"/>
          <w:spacing w:val="4"/>
          <w:kern w:val="0"/>
          <w:sz w:val="24"/>
          <w:szCs w:val="24"/>
          <w:highlight w:val="none"/>
        </w:rPr>
      </w:pPr>
    </w:p>
    <w:p>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pPr>
        <w:topLinePunct/>
        <w:adjustRightInd w:val="0"/>
        <w:snapToGrid w:val="0"/>
        <w:spacing w:line="360" w:lineRule="auto"/>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 xml:space="preserve">                              投标人：　　（盖章）</w:t>
      </w:r>
    </w:p>
    <w:p>
      <w:pPr>
        <w:topLinePunct/>
        <w:adjustRightInd w:val="0"/>
        <w:snapToGrid w:val="0"/>
        <w:spacing w:line="360" w:lineRule="auto"/>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 xml:space="preserve">                              法定代表人或授权代理人(签字或盖章)：</w:t>
      </w:r>
    </w:p>
    <w:p>
      <w:pPr>
        <w:wordWrap w:val="0"/>
        <w:autoSpaceDE w:val="0"/>
        <w:autoSpaceDN w:val="0"/>
        <w:adjustRightInd w:val="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日   期：    年    月    日           </w:t>
      </w:r>
    </w:p>
    <w:p>
      <w:pPr>
        <w:autoSpaceDE w:val="0"/>
        <w:autoSpaceDN w:val="0"/>
        <w:adjustRightInd w:val="0"/>
        <w:jc w:val="right"/>
        <w:rPr>
          <w:rFonts w:hint="eastAsia" w:ascii="宋体" w:hAnsi="宋体" w:cs="宋体"/>
          <w:color w:val="auto"/>
          <w:sz w:val="24"/>
          <w:szCs w:val="24"/>
          <w:highlight w:val="none"/>
        </w:rPr>
      </w:pPr>
    </w:p>
    <w:p>
      <w:pPr>
        <w:widowControl/>
        <w:snapToGrid w:val="0"/>
        <w:spacing w:line="360" w:lineRule="auto"/>
        <w:ind w:right="102"/>
        <w:jc w:val="left"/>
        <w:rPr>
          <w:rFonts w:hint="eastAsia" w:ascii="宋体" w:hAnsi="宋体" w:cs="宋体"/>
          <w:color w:val="auto"/>
          <w:sz w:val="24"/>
          <w:szCs w:val="24"/>
          <w:highlight w:val="none"/>
        </w:rPr>
      </w:pPr>
      <w:r>
        <w:rPr>
          <w:rFonts w:ascii="宋体" w:hAnsi="宋体" w:cs="宋体"/>
          <w:color w:val="auto"/>
          <w:sz w:val="24"/>
          <w:szCs w:val="24"/>
          <w:highlight w:val="none"/>
        </w:rPr>
        <w:br w:type="page"/>
      </w:r>
      <w:r>
        <w:rPr>
          <w:rFonts w:hint="eastAsia"/>
          <w:color w:val="auto"/>
          <w:sz w:val="24"/>
          <w:szCs w:val="24"/>
          <w:highlight w:val="none"/>
        </w:rPr>
        <w:t>技术标</w:t>
      </w:r>
      <w:r>
        <w:rPr>
          <w:rFonts w:hint="eastAsia"/>
          <w:bCs/>
          <w:color w:val="auto"/>
          <w:sz w:val="24"/>
          <w:szCs w:val="24"/>
          <w:highlight w:val="none"/>
        </w:rPr>
        <w:t>格式七</w:t>
      </w:r>
      <w:r>
        <w:rPr>
          <w:rFonts w:hint="eastAsia" w:ascii="宋体" w:hAnsi="宋体" w:cs="宋体"/>
          <w:color w:val="auto"/>
          <w:sz w:val="24"/>
          <w:szCs w:val="24"/>
          <w:highlight w:val="none"/>
        </w:rPr>
        <w:t>：</w:t>
      </w:r>
    </w:p>
    <w:p>
      <w:pPr>
        <w:spacing w:line="360" w:lineRule="auto"/>
        <w:jc w:val="center"/>
        <w:rPr>
          <w:rFonts w:hint="eastAsia" w:ascii="宋体" w:hAnsi="宋体" w:cs="宋体"/>
          <w:b/>
          <w:color w:val="auto"/>
          <w:sz w:val="24"/>
          <w:szCs w:val="24"/>
          <w:highlight w:val="none"/>
        </w:rPr>
      </w:pPr>
    </w:p>
    <w:p>
      <w:pPr>
        <w:autoSpaceDE w:val="0"/>
        <w:autoSpaceDN w:val="0"/>
        <w:adjustRightInd w:val="0"/>
        <w:jc w:val="center"/>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已竣工验收的类似工程业绩表</w:t>
      </w:r>
    </w:p>
    <w:p>
      <w:pPr>
        <w:autoSpaceDE w:val="0"/>
        <w:autoSpaceDN w:val="0"/>
        <w:adjustRightInd w:val="0"/>
        <w:jc w:val="center"/>
        <w:rPr>
          <w:rFonts w:ascii="宋体" w:hAnsi="宋体" w:cs="宋体"/>
          <w:b/>
          <w:bCs/>
          <w:color w:val="auto"/>
          <w:sz w:val="36"/>
          <w:szCs w:val="36"/>
          <w:highlight w:val="none"/>
          <w:lang w:val="zh-CN"/>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7"/>
        <w:gridCol w:w="2626"/>
        <w:gridCol w:w="1941"/>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23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w:t>
            </w:r>
          </w:p>
        </w:tc>
        <w:tc>
          <w:tcPr>
            <w:tcW w:w="26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9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18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3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工程名称</w:t>
            </w:r>
          </w:p>
        </w:tc>
        <w:tc>
          <w:tcPr>
            <w:tcW w:w="26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18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23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项目概况</w:t>
            </w:r>
          </w:p>
        </w:tc>
        <w:tc>
          <w:tcPr>
            <w:tcW w:w="26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18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3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工程对应的企业资质</w:t>
            </w:r>
          </w:p>
        </w:tc>
        <w:tc>
          <w:tcPr>
            <w:tcW w:w="26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18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trPr>
        <w:tc>
          <w:tcPr>
            <w:tcW w:w="2327" w:type="dxa"/>
            <w:tcBorders>
              <w:top w:val="single" w:color="auto" w:sz="4" w:space="0"/>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中标金额或合同金额 (人民币：万元)</w:t>
            </w:r>
          </w:p>
        </w:tc>
        <w:tc>
          <w:tcPr>
            <w:tcW w:w="2626" w:type="dxa"/>
            <w:tcBorders>
              <w:top w:val="single" w:color="auto" w:sz="4" w:space="0"/>
              <w:left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1941" w:type="dxa"/>
            <w:tcBorders>
              <w:top w:val="single" w:color="auto" w:sz="4" w:space="0"/>
              <w:left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1844" w:type="dxa"/>
            <w:tcBorders>
              <w:top w:val="single" w:color="auto" w:sz="4" w:space="0"/>
              <w:left w:val="single" w:color="auto" w:sz="4" w:space="0"/>
              <w:right w:val="single" w:color="auto" w:sz="4" w:space="0"/>
            </w:tcBorders>
            <w:noWrap w:val="0"/>
            <w:vAlign w:val="center"/>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3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竣工日期</w:t>
            </w:r>
          </w:p>
        </w:tc>
        <w:tc>
          <w:tcPr>
            <w:tcW w:w="26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18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3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项目经理姓名</w:t>
            </w:r>
          </w:p>
        </w:tc>
        <w:tc>
          <w:tcPr>
            <w:tcW w:w="26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18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3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项目业主名称</w:t>
            </w:r>
          </w:p>
        </w:tc>
        <w:tc>
          <w:tcPr>
            <w:tcW w:w="26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18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23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竣工质量评定等级</w:t>
            </w:r>
          </w:p>
        </w:tc>
        <w:tc>
          <w:tcPr>
            <w:tcW w:w="26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18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3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工程获奖情况</w:t>
            </w:r>
          </w:p>
        </w:tc>
        <w:tc>
          <w:tcPr>
            <w:tcW w:w="26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18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r>
    </w:tbl>
    <w:p>
      <w:pPr>
        <w:spacing w:line="360" w:lineRule="auto"/>
        <w:jc w:val="left"/>
        <w:rPr>
          <w:rFonts w:ascii="宋体" w:hAnsi="宋体"/>
          <w:color w:val="auto"/>
          <w:szCs w:val="21"/>
          <w:highlight w:val="none"/>
        </w:rPr>
      </w:pPr>
      <w:r>
        <w:rPr>
          <w:rFonts w:hint="eastAsia" w:ascii="宋体" w:hAnsi="宋体"/>
          <w:color w:val="auto"/>
          <w:szCs w:val="21"/>
          <w:highlight w:val="none"/>
        </w:rPr>
        <w:t xml:space="preserve">注：由投标人按评审要求填写本表，并按《技术标详细审查评分表》要求附相关证明材料。 </w:t>
      </w:r>
    </w:p>
    <w:p>
      <w:pPr>
        <w:spacing w:line="360" w:lineRule="auto"/>
        <w:jc w:val="left"/>
        <w:rPr>
          <w:rFonts w:ascii="宋体" w:hAnsi="宋体"/>
          <w:color w:val="auto"/>
          <w:szCs w:val="21"/>
          <w:highlight w:val="none"/>
        </w:rPr>
      </w:pPr>
    </w:p>
    <w:p>
      <w:pPr>
        <w:topLinePunct/>
        <w:adjustRightInd w:val="0"/>
        <w:snapToGrid w:val="0"/>
        <w:spacing w:line="360" w:lineRule="auto"/>
        <w:ind w:firstLine="3270" w:firstLineChars="15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投标人：　　（盖章）</w:t>
      </w:r>
    </w:p>
    <w:p>
      <w:pPr>
        <w:topLinePunct/>
        <w:adjustRightInd w:val="0"/>
        <w:snapToGrid w:val="0"/>
        <w:spacing w:line="360" w:lineRule="auto"/>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法定代表人或授权代理人(签字或盖章)：</w:t>
      </w:r>
    </w:p>
    <w:p>
      <w:pPr>
        <w:widowControl/>
        <w:snapToGrid w:val="0"/>
        <w:spacing w:line="360" w:lineRule="auto"/>
        <w:ind w:right="102"/>
        <w:jc w:val="left"/>
        <w:rPr>
          <w:rFonts w:hint="eastAsia" w:ascii="宋体" w:hAnsi="宋体" w:cs="宋体"/>
          <w:color w:val="auto"/>
          <w:sz w:val="24"/>
          <w:szCs w:val="24"/>
          <w:highlight w:val="none"/>
        </w:rPr>
      </w:pPr>
      <w:r>
        <w:rPr>
          <w:rFonts w:hint="eastAsia" w:ascii="宋体" w:hAnsi="宋体" w:cs="宋体"/>
          <w:color w:val="auto"/>
          <w:szCs w:val="21"/>
          <w:highlight w:val="none"/>
        </w:rPr>
        <w:t xml:space="preserve">                       　　　　日   期：    年    月    日</w:t>
      </w:r>
      <w:r>
        <w:rPr>
          <w:rFonts w:ascii="宋体" w:hAnsi="宋体" w:cs="宋体"/>
          <w:color w:val="auto"/>
          <w:spacing w:val="4"/>
          <w:kern w:val="0"/>
          <w:sz w:val="24"/>
          <w:szCs w:val="24"/>
          <w:highlight w:val="none"/>
        </w:rPr>
        <w:br w:type="page"/>
      </w:r>
      <w:r>
        <w:rPr>
          <w:rFonts w:hint="eastAsia"/>
          <w:color w:val="auto"/>
          <w:sz w:val="24"/>
          <w:szCs w:val="24"/>
          <w:highlight w:val="none"/>
        </w:rPr>
        <w:t>技术标</w:t>
      </w:r>
      <w:r>
        <w:rPr>
          <w:rFonts w:hint="eastAsia"/>
          <w:bCs/>
          <w:color w:val="auto"/>
          <w:sz w:val="24"/>
          <w:szCs w:val="24"/>
          <w:highlight w:val="none"/>
        </w:rPr>
        <w:t>格式八</w:t>
      </w:r>
      <w:r>
        <w:rPr>
          <w:rFonts w:hint="eastAsia" w:ascii="宋体" w:hAnsi="宋体" w:cs="宋体"/>
          <w:color w:val="auto"/>
          <w:sz w:val="24"/>
          <w:szCs w:val="24"/>
          <w:highlight w:val="none"/>
        </w:rPr>
        <w:t>：</w:t>
      </w:r>
    </w:p>
    <w:p>
      <w:pPr>
        <w:spacing w:line="360" w:lineRule="auto"/>
        <w:jc w:val="center"/>
        <w:rPr>
          <w:rFonts w:hint="eastAsia" w:ascii="宋体" w:hAnsi="宋体" w:cs="宋体"/>
          <w:b/>
          <w:color w:val="auto"/>
          <w:sz w:val="24"/>
          <w:szCs w:val="24"/>
          <w:highlight w:val="none"/>
        </w:rPr>
      </w:pPr>
    </w:p>
    <w:p>
      <w:pPr>
        <w:autoSpaceDE w:val="0"/>
        <w:autoSpaceDN w:val="0"/>
        <w:adjustRightInd w:val="0"/>
        <w:jc w:val="center"/>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企业承建工程获奖情况表</w:t>
      </w:r>
    </w:p>
    <w:p>
      <w:pPr>
        <w:autoSpaceDE w:val="0"/>
        <w:autoSpaceDN w:val="0"/>
        <w:adjustRightInd w:val="0"/>
        <w:jc w:val="center"/>
        <w:rPr>
          <w:rFonts w:ascii="宋体" w:hAnsi="宋体" w:cs="宋体"/>
          <w:b/>
          <w:bCs/>
          <w:color w:val="auto"/>
          <w:sz w:val="36"/>
          <w:szCs w:val="36"/>
          <w:highlight w:val="none"/>
          <w:lang w:val="zh-CN"/>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088"/>
        <w:gridCol w:w="1285"/>
        <w:gridCol w:w="1285"/>
        <w:gridCol w:w="1285"/>
        <w:gridCol w:w="1285"/>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ind w:left="-25" w:leftChars="-12"/>
              <w:jc w:val="center"/>
              <w:rPr>
                <w:rFonts w:ascii="宋体" w:hAnsi="宋体"/>
                <w:color w:val="auto"/>
                <w:highlight w:val="none"/>
              </w:rPr>
            </w:pPr>
            <w:r>
              <w:rPr>
                <w:rFonts w:hint="eastAsia" w:ascii="宋体" w:hAnsi="宋体"/>
                <w:color w:val="auto"/>
                <w:highlight w:val="none"/>
              </w:rPr>
              <w:t>项目名称</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r>
              <w:rPr>
                <w:rFonts w:hint="eastAsia" w:ascii="宋体" w:hAnsi="宋体"/>
                <w:color w:val="auto"/>
                <w:highlight w:val="none"/>
              </w:rPr>
              <w:t>项目概况</w:t>
            </w:r>
          </w:p>
        </w:tc>
        <w:tc>
          <w:tcPr>
            <w:tcW w:w="1285"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r>
              <w:rPr>
                <w:rFonts w:hint="eastAsia" w:ascii="宋体" w:hAnsi="宋体"/>
                <w:color w:val="auto"/>
                <w:highlight w:val="none"/>
              </w:rPr>
              <w:t>业主单位</w:t>
            </w:r>
          </w:p>
        </w:tc>
        <w:tc>
          <w:tcPr>
            <w:tcW w:w="1285"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r>
              <w:rPr>
                <w:rFonts w:hint="eastAsia" w:ascii="宋体" w:hAnsi="宋体"/>
                <w:color w:val="auto"/>
                <w:highlight w:val="none"/>
              </w:rPr>
              <w:t>完成情况</w:t>
            </w:r>
          </w:p>
        </w:tc>
        <w:tc>
          <w:tcPr>
            <w:tcW w:w="1285"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r>
              <w:rPr>
                <w:rFonts w:hint="eastAsia" w:ascii="宋体" w:hAnsi="宋体"/>
                <w:color w:val="auto"/>
                <w:highlight w:val="none"/>
              </w:rPr>
              <w:t>颁发单位</w:t>
            </w:r>
          </w:p>
        </w:tc>
        <w:tc>
          <w:tcPr>
            <w:tcW w:w="1285"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r>
              <w:rPr>
                <w:rFonts w:hint="eastAsia" w:ascii="宋体" w:hAnsi="宋体"/>
                <w:color w:val="auto"/>
                <w:highlight w:val="none"/>
              </w:rPr>
              <w:t>获奖奖项</w:t>
            </w:r>
          </w:p>
        </w:tc>
        <w:tc>
          <w:tcPr>
            <w:tcW w:w="1033"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ind w:left="-99" w:leftChars="-47"/>
              <w:jc w:val="center"/>
              <w:rPr>
                <w:rFonts w:ascii="宋体" w:hAnsi="宋体"/>
                <w:color w:val="auto"/>
                <w:highlight w:val="none"/>
              </w:rPr>
            </w:pPr>
            <w:r>
              <w:rPr>
                <w:rFonts w:hint="eastAsia" w:ascii="宋体" w:hAnsi="宋体"/>
                <w:color w:val="auto"/>
                <w:highlight w:val="none"/>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r>
    </w:tbl>
    <w:p>
      <w:pPr>
        <w:spacing w:line="360" w:lineRule="auto"/>
        <w:jc w:val="left"/>
        <w:rPr>
          <w:rFonts w:ascii="宋体" w:hAnsi="宋体"/>
          <w:color w:val="auto"/>
          <w:szCs w:val="21"/>
          <w:highlight w:val="none"/>
        </w:rPr>
      </w:pPr>
      <w:r>
        <w:rPr>
          <w:rFonts w:hint="eastAsia" w:ascii="宋体" w:hAnsi="宋体"/>
          <w:color w:val="auto"/>
          <w:szCs w:val="21"/>
          <w:highlight w:val="none"/>
        </w:rPr>
        <w:t xml:space="preserve">注：由投标人按评审要求填写本表，并按《技术标详细审查评分表》要求附相关证明材料； </w:t>
      </w:r>
    </w:p>
    <w:p>
      <w:pPr>
        <w:spacing w:line="360" w:lineRule="auto"/>
        <w:jc w:val="left"/>
        <w:rPr>
          <w:rFonts w:ascii="宋体" w:hAnsi="宋体"/>
          <w:color w:val="auto"/>
          <w:szCs w:val="21"/>
          <w:highlight w:val="none"/>
        </w:rPr>
      </w:pPr>
    </w:p>
    <w:p>
      <w:pPr>
        <w:topLinePunct/>
        <w:adjustRightInd w:val="0"/>
        <w:snapToGrid w:val="0"/>
        <w:spacing w:line="360" w:lineRule="auto"/>
        <w:ind w:firstLine="3270" w:firstLineChars="15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投标人：　　（盖章）</w:t>
      </w:r>
    </w:p>
    <w:p>
      <w:pPr>
        <w:topLinePunct/>
        <w:adjustRightInd w:val="0"/>
        <w:snapToGrid w:val="0"/>
        <w:spacing w:line="360" w:lineRule="auto"/>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 xml:space="preserve">                             法定代表人或授权代理人(签字或盖章)：</w:t>
      </w:r>
    </w:p>
    <w:p>
      <w:pPr>
        <w:autoSpaceDE w:val="0"/>
        <w:autoSpaceDN w:val="0"/>
        <w:adjustRightInd w:val="0"/>
        <w:spacing w:line="360" w:lineRule="auto"/>
        <w:rPr>
          <w:rFonts w:hint="eastAsia" w:ascii="宋体" w:hAnsi="宋体" w:cs="宋体"/>
          <w:color w:val="auto"/>
          <w:sz w:val="24"/>
          <w:szCs w:val="24"/>
          <w:highlight w:val="none"/>
        </w:rPr>
      </w:pPr>
      <w:r>
        <w:rPr>
          <w:rFonts w:hint="eastAsia" w:ascii="宋体" w:hAnsi="宋体" w:cs="宋体"/>
          <w:color w:val="auto"/>
          <w:szCs w:val="21"/>
          <w:highlight w:val="none"/>
        </w:rPr>
        <w:t xml:space="preserve">                       　　　　日   期：    年    月    日</w:t>
      </w:r>
      <w:r>
        <w:rPr>
          <w:rFonts w:ascii="宋体" w:hAnsi="宋体" w:cs="宋体"/>
          <w:color w:val="auto"/>
          <w:spacing w:val="4"/>
          <w:kern w:val="0"/>
          <w:sz w:val="24"/>
          <w:szCs w:val="24"/>
          <w:highlight w:val="none"/>
        </w:rPr>
        <w:br w:type="page"/>
      </w:r>
      <w:r>
        <w:rPr>
          <w:rFonts w:hint="eastAsia"/>
          <w:color w:val="auto"/>
          <w:sz w:val="24"/>
          <w:szCs w:val="24"/>
          <w:highlight w:val="none"/>
        </w:rPr>
        <w:t>技术标</w:t>
      </w:r>
      <w:r>
        <w:rPr>
          <w:rFonts w:hint="eastAsia"/>
          <w:bCs/>
          <w:color w:val="auto"/>
          <w:sz w:val="24"/>
          <w:szCs w:val="24"/>
          <w:highlight w:val="none"/>
        </w:rPr>
        <w:t>格式九</w:t>
      </w:r>
      <w:r>
        <w:rPr>
          <w:rFonts w:hint="eastAsia" w:ascii="宋体" w:hAnsi="宋体" w:cs="宋体"/>
          <w:color w:val="auto"/>
          <w:sz w:val="24"/>
          <w:szCs w:val="24"/>
          <w:highlight w:val="none"/>
        </w:rPr>
        <w:t>：</w:t>
      </w:r>
    </w:p>
    <w:p>
      <w:pPr>
        <w:jc w:val="center"/>
        <w:rPr>
          <w:rFonts w:hint="eastAsia" w:ascii="宋体" w:hAnsi="宋体"/>
          <w:b/>
          <w:color w:val="auto"/>
          <w:sz w:val="32"/>
          <w:szCs w:val="32"/>
          <w:highlight w:val="none"/>
        </w:rPr>
      </w:pPr>
    </w:p>
    <w:p>
      <w:pPr>
        <w:jc w:val="center"/>
        <w:rPr>
          <w:rFonts w:hint="eastAsia" w:ascii="宋体" w:hAnsi="宋体"/>
          <w:b/>
          <w:color w:val="auto"/>
          <w:sz w:val="32"/>
          <w:szCs w:val="32"/>
          <w:highlight w:val="none"/>
        </w:rPr>
      </w:pPr>
      <w:r>
        <w:rPr>
          <w:rFonts w:hint="eastAsia" w:ascii="宋体" w:hAnsi="宋体"/>
          <w:b/>
          <w:color w:val="auto"/>
          <w:sz w:val="32"/>
          <w:szCs w:val="32"/>
          <w:highlight w:val="none"/>
        </w:rPr>
        <w:t>响应招标文件所附施工组织设计要点的承诺书</w:t>
      </w:r>
    </w:p>
    <w:p>
      <w:pPr>
        <w:spacing w:line="360" w:lineRule="auto"/>
        <w:rPr>
          <w:rFonts w:hint="eastAsia" w:ascii="宋体" w:hAnsi="宋体"/>
          <w:color w:val="auto"/>
          <w:sz w:val="24"/>
          <w:szCs w:val="20"/>
          <w:highlight w:val="none"/>
        </w:rPr>
      </w:pPr>
    </w:p>
    <w:p>
      <w:pPr>
        <w:spacing w:line="360" w:lineRule="auto"/>
        <w:rPr>
          <w:rFonts w:hint="eastAsia" w:ascii="宋体" w:hAnsi="宋体"/>
          <w:color w:val="auto"/>
          <w:sz w:val="24"/>
          <w:szCs w:val="20"/>
          <w:highlight w:val="none"/>
          <w:u w:val="single"/>
        </w:rPr>
      </w:pPr>
      <w:r>
        <w:rPr>
          <w:rFonts w:hint="eastAsia" w:ascii="宋体" w:hAnsi="宋体"/>
          <w:color w:val="auto"/>
          <w:sz w:val="24"/>
          <w:szCs w:val="24"/>
          <w:highlight w:val="none"/>
          <w:u w:val="single"/>
        </w:rPr>
        <w:t>广州开发区财政投资建设项目管理中心</w:t>
      </w:r>
      <w:r>
        <w:rPr>
          <w:rFonts w:hint="eastAsia" w:ascii="宋体" w:hAnsi="宋体"/>
          <w:color w:val="auto"/>
          <w:sz w:val="24"/>
          <w:szCs w:val="20"/>
          <w:highlight w:val="none"/>
        </w:rPr>
        <w:t>：</w:t>
      </w:r>
    </w:p>
    <w:p>
      <w:pPr>
        <w:spacing w:line="360" w:lineRule="auto"/>
        <w:ind w:firstLine="435"/>
        <w:rPr>
          <w:rFonts w:hint="eastAsia" w:ascii="宋体" w:hAnsi="宋体"/>
          <w:color w:val="auto"/>
          <w:sz w:val="24"/>
          <w:szCs w:val="20"/>
          <w:highlight w:val="none"/>
        </w:rPr>
      </w:pPr>
      <w:r>
        <w:rPr>
          <w:rFonts w:hint="eastAsia" w:ascii="宋体" w:hAnsi="宋体"/>
          <w:color w:val="auto"/>
          <w:sz w:val="24"/>
          <w:szCs w:val="20"/>
          <w:highlight w:val="none"/>
        </w:rPr>
        <w:t>我方承诺，如中标承建</w:t>
      </w:r>
      <w:r>
        <w:rPr>
          <w:rFonts w:hint="eastAsia" w:ascii="宋体" w:hAnsi="宋体"/>
          <w:color w:val="auto"/>
          <w:sz w:val="24"/>
          <w:szCs w:val="24"/>
          <w:highlight w:val="none"/>
          <w:u w:val="single"/>
        </w:rPr>
        <w:t xml:space="preserve">         （项目名称）   </w:t>
      </w:r>
      <w:r>
        <w:rPr>
          <w:rFonts w:hint="eastAsia" w:ascii="宋体" w:hAnsi="宋体"/>
          <w:color w:val="auto"/>
          <w:sz w:val="24"/>
          <w:szCs w:val="20"/>
          <w:highlight w:val="none"/>
        </w:rPr>
        <w:t>，将按招标文件所附的本工程</w:t>
      </w:r>
      <w:r>
        <w:rPr>
          <w:rFonts w:hint="eastAsia" w:ascii="宋体" w:hAnsi="宋体"/>
          <w:color w:val="auto"/>
          <w:sz w:val="24"/>
          <w:szCs w:val="20"/>
          <w:highlight w:val="none"/>
          <w:u w:val="single"/>
        </w:rPr>
        <w:t>施工组织设计要点</w:t>
      </w:r>
      <w:r>
        <w:rPr>
          <w:rFonts w:hint="eastAsia" w:ascii="宋体" w:hAnsi="宋体"/>
          <w:color w:val="auto"/>
          <w:sz w:val="24"/>
          <w:szCs w:val="20"/>
          <w:highlight w:val="none"/>
        </w:rPr>
        <w:t>进行响应的基础上自行组织施工。并承诺在中标后按招标文件所附的</w:t>
      </w:r>
      <w:r>
        <w:rPr>
          <w:rFonts w:hint="eastAsia" w:ascii="宋体" w:hAnsi="宋体"/>
          <w:color w:val="auto"/>
          <w:sz w:val="24"/>
          <w:szCs w:val="20"/>
          <w:highlight w:val="none"/>
          <w:u w:val="single"/>
        </w:rPr>
        <w:t>施工组织设计要点</w:t>
      </w:r>
      <w:r>
        <w:rPr>
          <w:rFonts w:hint="eastAsia" w:ascii="宋体" w:hAnsi="宋体"/>
          <w:color w:val="auto"/>
          <w:sz w:val="24"/>
          <w:szCs w:val="20"/>
          <w:highlight w:val="none"/>
        </w:rPr>
        <w:t>基础上编制详细的施工组织设计，并报经监理单位和建设单位审批后实施。</w:t>
      </w:r>
    </w:p>
    <w:p>
      <w:pPr>
        <w:spacing w:line="360" w:lineRule="auto"/>
        <w:ind w:firstLine="435"/>
        <w:rPr>
          <w:rFonts w:hint="eastAsia" w:ascii="宋体" w:hAnsi="宋体"/>
          <w:color w:val="auto"/>
          <w:sz w:val="24"/>
          <w:szCs w:val="20"/>
          <w:highlight w:val="none"/>
        </w:rPr>
      </w:pPr>
    </w:p>
    <w:p>
      <w:pPr>
        <w:spacing w:line="360" w:lineRule="auto"/>
        <w:ind w:firstLine="435"/>
        <w:rPr>
          <w:rFonts w:hint="eastAsia" w:ascii="宋体" w:hAnsi="宋体"/>
          <w:color w:val="auto"/>
          <w:sz w:val="24"/>
          <w:szCs w:val="20"/>
          <w:highlight w:val="none"/>
        </w:rPr>
      </w:pPr>
    </w:p>
    <w:p>
      <w:pPr>
        <w:spacing w:line="360" w:lineRule="auto"/>
        <w:ind w:firstLine="435"/>
        <w:rPr>
          <w:rFonts w:hint="eastAsia" w:ascii="宋体" w:hAnsi="宋体"/>
          <w:color w:val="auto"/>
          <w:sz w:val="24"/>
          <w:szCs w:val="20"/>
          <w:highlight w:val="none"/>
        </w:rPr>
      </w:pPr>
    </w:p>
    <w:p>
      <w:pPr>
        <w:spacing w:line="360" w:lineRule="auto"/>
        <w:ind w:firstLine="435"/>
        <w:rPr>
          <w:rFonts w:hint="eastAsia" w:ascii="宋体" w:hAnsi="宋体"/>
          <w:color w:val="auto"/>
          <w:sz w:val="24"/>
          <w:szCs w:val="20"/>
          <w:highlight w:val="none"/>
        </w:rPr>
      </w:pPr>
    </w:p>
    <w:p>
      <w:pPr>
        <w:spacing w:line="360" w:lineRule="auto"/>
        <w:ind w:firstLine="435"/>
        <w:rPr>
          <w:rFonts w:hint="eastAsia" w:ascii="宋体" w:hAnsi="宋体"/>
          <w:color w:val="auto"/>
          <w:sz w:val="24"/>
          <w:szCs w:val="20"/>
          <w:highlight w:val="none"/>
        </w:rPr>
      </w:pPr>
    </w:p>
    <w:p>
      <w:pPr>
        <w:spacing w:line="360" w:lineRule="auto"/>
        <w:ind w:firstLine="435"/>
        <w:rPr>
          <w:rFonts w:hint="eastAsia" w:ascii="宋体" w:hAnsi="宋体"/>
          <w:color w:val="auto"/>
          <w:sz w:val="24"/>
          <w:szCs w:val="20"/>
          <w:highlight w:val="none"/>
        </w:rPr>
      </w:pPr>
    </w:p>
    <w:p>
      <w:pPr>
        <w:spacing w:line="360" w:lineRule="auto"/>
        <w:ind w:firstLine="3000" w:firstLineChars="1250"/>
        <w:rPr>
          <w:rFonts w:hint="eastAsia" w:ascii="宋体" w:hAnsi="宋体"/>
          <w:color w:val="auto"/>
          <w:sz w:val="24"/>
          <w:szCs w:val="20"/>
          <w:highlight w:val="none"/>
          <w:u w:val="single"/>
        </w:rPr>
      </w:pPr>
      <w:r>
        <w:rPr>
          <w:rFonts w:hint="eastAsia" w:ascii="宋体" w:hAnsi="宋体"/>
          <w:color w:val="auto"/>
          <w:sz w:val="24"/>
          <w:szCs w:val="20"/>
          <w:highlight w:val="none"/>
        </w:rPr>
        <w:t>投标人名称（盖法人公章）：</w:t>
      </w:r>
      <w:r>
        <w:rPr>
          <w:rFonts w:hint="eastAsia" w:ascii="宋体" w:hAnsi="宋体"/>
          <w:color w:val="auto"/>
          <w:sz w:val="24"/>
          <w:szCs w:val="20"/>
          <w:highlight w:val="none"/>
          <w:u w:val="single"/>
        </w:rPr>
        <w:t xml:space="preserve">                   </w:t>
      </w:r>
    </w:p>
    <w:p>
      <w:pPr>
        <w:spacing w:line="360" w:lineRule="auto"/>
        <w:ind w:firstLine="3000" w:firstLineChars="1250"/>
        <w:rPr>
          <w:rFonts w:hint="eastAsia" w:ascii="宋体" w:hAnsi="宋体"/>
          <w:color w:val="auto"/>
          <w:sz w:val="24"/>
          <w:szCs w:val="20"/>
          <w:highlight w:val="none"/>
          <w:u w:val="single"/>
        </w:rPr>
      </w:pPr>
      <w:r>
        <w:rPr>
          <w:rFonts w:hint="eastAsia" w:ascii="宋体" w:hAnsi="宋体"/>
          <w:color w:val="auto"/>
          <w:sz w:val="24"/>
          <w:szCs w:val="20"/>
          <w:highlight w:val="none"/>
        </w:rPr>
        <w:t>法定代表人或被授权人（签字或盖章）：</w:t>
      </w:r>
      <w:r>
        <w:rPr>
          <w:rFonts w:hint="eastAsia" w:ascii="宋体" w:hAnsi="宋体"/>
          <w:color w:val="auto"/>
          <w:sz w:val="24"/>
          <w:szCs w:val="20"/>
          <w:highlight w:val="none"/>
          <w:u w:val="single"/>
        </w:rPr>
        <w:t xml:space="preserve">         </w:t>
      </w:r>
    </w:p>
    <w:p>
      <w:pPr>
        <w:autoSpaceDE w:val="0"/>
        <w:autoSpaceDN w:val="0"/>
        <w:adjustRightInd w:val="0"/>
        <w:spacing w:line="360" w:lineRule="auto"/>
        <w:jc w:val="center"/>
        <w:rPr>
          <w:rFonts w:hint="eastAsia" w:ascii="宋体" w:hAnsi="宋体" w:cs="宋体"/>
          <w:b/>
          <w:color w:val="auto"/>
          <w:sz w:val="28"/>
          <w:szCs w:val="28"/>
          <w:highlight w:val="none"/>
        </w:rPr>
      </w:pPr>
      <w:r>
        <w:rPr>
          <w:rFonts w:hint="eastAsia" w:ascii="Times New Roman" w:hAnsi="宋体"/>
          <w:color w:val="auto"/>
          <w:sz w:val="24"/>
          <w:highlight w:val="none"/>
        </w:rPr>
        <w:t xml:space="preserve">      日期：</w:t>
      </w:r>
      <w:r>
        <w:rPr>
          <w:rFonts w:hint="eastAsia" w:ascii="Times New Roman" w:hAnsi="宋体"/>
          <w:color w:val="auto"/>
          <w:sz w:val="24"/>
          <w:highlight w:val="none"/>
          <w:u w:val="single"/>
        </w:rPr>
        <w:t xml:space="preserve">      </w:t>
      </w:r>
      <w:r>
        <w:rPr>
          <w:rFonts w:hint="eastAsia" w:ascii="Times New Roman" w:hAnsi="宋体"/>
          <w:color w:val="auto"/>
          <w:sz w:val="24"/>
          <w:highlight w:val="none"/>
        </w:rPr>
        <w:t>年</w:t>
      </w:r>
      <w:r>
        <w:rPr>
          <w:rFonts w:hint="eastAsia" w:ascii="Times New Roman" w:hAnsi="宋体"/>
          <w:color w:val="auto"/>
          <w:sz w:val="24"/>
          <w:highlight w:val="none"/>
          <w:u w:val="single"/>
        </w:rPr>
        <w:t xml:space="preserve">    </w:t>
      </w:r>
      <w:r>
        <w:rPr>
          <w:rFonts w:hint="eastAsia" w:ascii="Times New Roman" w:hAnsi="宋体"/>
          <w:color w:val="auto"/>
          <w:sz w:val="24"/>
          <w:highlight w:val="none"/>
        </w:rPr>
        <w:t>月</w:t>
      </w:r>
      <w:r>
        <w:rPr>
          <w:rFonts w:hint="eastAsia" w:ascii="Times New Roman" w:hAnsi="宋体"/>
          <w:color w:val="auto"/>
          <w:sz w:val="24"/>
          <w:highlight w:val="none"/>
          <w:u w:val="single"/>
        </w:rPr>
        <w:t xml:space="preserve">    </w:t>
      </w:r>
      <w:r>
        <w:rPr>
          <w:rFonts w:hint="eastAsia" w:ascii="Times New Roman" w:hAnsi="宋体"/>
          <w:color w:val="auto"/>
          <w:sz w:val="24"/>
          <w:highlight w:val="none"/>
        </w:rPr>
        <w:t>日</w:t>
      </w:r>
      <w:r>
        <w:rPr>
          <w:rFonts w:ascii="宋体" w:hAnsi="宋体" w:cs="宋体"/>
          <w:b/>
          <w:color w:val="auto"/>
          <w:sz w:val="28"/>
          <w:szCs w:val="28"/>
          <w:highlight w:val="none"/>
        </w:rPr>
        <w:br w:type="page"/>
      </w:r>
    </w:p>
    <w:p>
      <w:pPr>
        <w:autoSpaceDE w:val="0"/>
        <w:autoSpaceDN w:val="0"/>
        <w:adjustRightInd w:val="0"/>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拟投入本工程施工的主要机械设备配备表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0"/>
        <w:gridCol w:w="2856"/>
        <w:gridCol w:w="2024"/>
        <w:gridCol w:w="1559"/>
        <w:gridCol w:w="15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序</w:t>
            </w:r>
          </w:p>
          <w:p>
            <w:pPr>
              <w:spacing w:line="24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号</w:t>
            </w:r>
          </w:p>
        </w:tc>
        <w:tc>
          <w:tcPr>
            <w:tcW w:w="28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设备名称</w:t>
            </w:r>
          </w:p>
        </w:tc>
        <w:tc>
          <w:tcPr>
            <w:tcW w:w="202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投入总数量</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来源</w:t>
            </w:r>
          </w:p>
          <w:p>
            <w:pPr>
              <w:spacing w:line="24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(自有/</w:t>
            </w:r>
          </w:p>
          <w:p>
            <w:pPr>
              <w:spacing w:line="24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租赁)</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28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28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28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28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28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1545" w:type="dxa"/>
            <w:tcBorders>
              <w:top w:val="single" w:color="auto" w:sz="4" w:space="0"/>
              <w:left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r>
    </w:tbl>
    <w:p>
      <w:pPr>
        <w:tabs>
          <w:tab w:val="left" w:pos="720"/>
        </w:tabs>
        <w:snapToGrid w:val="0"/>
        <w:spacing w:line="360" w:lineRule="auto"/>
        <w:rPr>
          <w:rFonts w:hint="eastAsia" w:ascii="Times New Roman" w:hAnsi="Times New Roman"/>
          <w:color w:val="auto"/>
          <w:highlight w:val="none"/>
        </w:rPr>
      </w:pPr>
    </w:p>
    <w:p>
      <w:pPr>
        <w:tabs>
          <w:tab w:val="left" w:pos="720"/>
        </w:tabs>
        <w:snapToGrid w:val="0"/>
        <w:spacing w:line="360" w:lineRule="auto"/>
        <w:rPr>
          <w:rFonts w:hint="eastAsia" w:ascii="Times New Roman" w:hAnsi="Times New Roman"/>
          <w:color w:val="auto"/>
          <w:highlight w:val="none"/>
        </w:rPr>
      </w:pPr>
      <w:r>
        <w:rPr>
          <w:rFonts w:hint="eastAsia" w:ascii="Times New Roman" w:hAnsi="Times New Roman"/>
          <w:color w:val="auto"/>
          <w:highlight w:val="none"/>
        </w:rPr>
        <w:t>注：设备名称及要求数量由投标人视本工程具体情况结合招标人对本工程的具体要求自行配备，一旦中标，必须全部到位，否则按合同相关约定执行。</w:t>
      </w:r>
    </w:p>
    <w:p>
      <w:pPr>
        <w:ind w:right="-130" w:rightChars="-62"/>
        <w:rPr>
          <w:rFonts w:hint="eastAsia" w:ascii="Times New Roman" w:hAnsi="Times New Roman"/>
          <w:color w:val="auto"/>
          <w:highlight w:val="none"/>
        </w:rPr>
      </w:pPr>
    </w:p>
    <w:p>
      <w:pPr>
        <w:topLinePunct/>
        <w:adjustRightInd w:val="0"/>
        <w:snapToGrid w:val="0"/>
        <w:spacing w:line="360" w:lineRule="auto"/>
        <w:ind w:firstLine="3161" w:firstLineChars="1450"/>
        <w:rPr>
          <w:rFonts w:hint="eastAsia" w:ascii="Times New Roman" w:hAnsi="Times New Roman"/>
          <w:snapToGrid w:val="0"/>
          <w:color w:val="auto"/>
          <w:spacing w:val="4"/>
          <w:kern w:val="0"/>
          <w:szCs w:val="21"/>
          <w:highlight w:val="none"/>
        </w:rPr>
      </w:pPr>
    </w:p>
    <w:p>
      <w:pPr>
        <w:topLinePunct/>
        <w:adjustRightInd w:val="0"/>
        <w:snapToGrid w:val="0"/>
        <w:spacing w:line="360" w:lineRule="auto"/>
        <w:ind w:firstLine="3161" w:firstLineChars="1450"/>
        <w:rPr>
          <w:rFonts w:ascii="Times New Roman" w:hAnsi="Times New Roman"/>
          <w:snapToGrid w:val="0"/>
          <w:color w:val="auto"/>
          <w:spacing w:val="4"/>
          <w:kern w:val="0"/>
          <w:szCs w:val="21"/>
          <w:highlight w:val="none"/>
        </w:rPr>
      </w:pPr>
      <w:r>
        <w:rPr>
          <w:rFonts w:hint="eastAsia" w:ascii="Times New Roman" w:hAnsi="Times New Roman"/>
          <w:snapToGrid w:val="0"/>
          <w:color w:val="auto"/>
          <w:spacing w:val="4"/>
          <w:kern w:val="0"/>
          <w:szCs w:val="21"/>
          <w:highlight w:val="none"/>
        </w:rPr>
        <w:t>投标人：　　（盖章）</w:t>
      </w:r>
    </w:p>
    <w:p>
      <w:pPr>
        <w:topLinePunct/>
        <w:adjustRightInd w:val="0"/>
        <w:snapToGrid w:val="0"/>
        <w:spacing w:line="360" w:lineRule="auto"/>
        <w:ind w:firstLine="3161" w:firstLineChars="1450"/>
        <w:rPr>
          <w:rFonts w:ascii="Times New Roman" w:hAnsi="Times New Roman"/>
          <w:snapToGrid w:val="0"/>
          <w:color w:val="auto"/>
          <w:spacing w:val="4"/>
          <w:kern w:val="0"/>
          <w:szCs w:val="21"/>
          <w:highlight w:val="none"/>
        </w:rPr>
      </w:pPr>
      <w:r>
        <w:rPr>
          <w:rFonts w:hint="eastAsia" w:ascii="Times New Roman" w:hAnsi="Times New Roman"/>
          <w:snapToGrid w:val="0"/>
          <w:color w:val="auto"/>
          <w:spacing w:val="4"/>
          <w:kern w:val="0"/>
          <w:szCs w:val="21"/>
          <w:highlight w:val="none"/>
        </w:rPr>
        <w:t>法定代表人或授权代理人（签字或盖章）：</w:t>
      </w:r>
    </w:p>
    <w:p>
      <w:pPr>
        <w:topLinePunct/>
        <w:adjustRightInd w:val="0"/>
        <w:snapToGrid w:val="0"/>
        <w:spacing w:line="360" w:lineRule="auto"/>
        <w:ind w:firstLine="3161" w:firstLineChars="1450"/>
        <w:rPr>
          <w:rFonts w:hint="eastAsia" w:ascii="Times New Roman" w:hAnsi="Times New Roman"/>
          <w:snapToGrid w:val="0"/>
          <w:color w:val="auto"/>
          <w:spacing w:val="4"/>
          <w:kern w:val="0"/>
          <w:szCs w:val="21"/>
          <w:highlight w:val="none"/>
        </w:rPr>
      </w:pPr>
      <w:r>
        <w:rPr>
          <w:rFonts w:hint="eastAsia" w:ascii="Times New Roman" w:hAnsi="Times New Roman"/>
          <w:snapToGrid w:val="0"/>
          <w:color w:val="auto"/>
          <w:spacing w:val="4"/>
          <w:kern w:val="0"/>
          <w:szCs w:val="21"/>
          <w:highlight w:val="none"/>
        </w:rPr>
        <w:t>日期：  年  月  日</w:t>
      </w:r>
    </w:p>
    <w:p>
      <w:pPr>
        <w:autoSpaceDE w:val="0"/>
        <w:autoSpaceDN w:val="0"/>
        <w:adjustRightInd w:val="0"/>
        <w:spacing w:line="360" w:lineRule="auto"/>
        <w:rPr>
          <w:rFonts w:hint="eastAsia" w:ascii="宋体" w:hAnsi="宋体" w:cs="宋体"/>
          <w:color w:val="auto"/>
          <w:spacing w:val="4"/>
          <w:kern w:val="0"/>
          <w:sz w:val="24"/>
          <w:szCs w:val="24"/>
          <w:highlight w:val="none"/>
        </w:rPr>
      </w:pPr>
    </w:p>
    <w:p>
      <w:pPr>
        <w:autoSpaceDE w:val="0"/>
        <w:autoSpaceDN w:val="0"/>
        <w:adjustRightInd w:val="0"/>
        <w:spacing w:line="360" w:lineRule="auto"/>
        <w:rPr>
          <w:rFonts w:hint="eastAsia" w:ascii="宋体" w:hAnsi="宋体" w:cs="宋体"/>
          <w:color w:val="auto"/>
          <w:sz w:val="24"/>
          <w:szCs w:val="24"/>
          <w:highlight w:val="none"/>
        </w:rPr>
      </w:pPr>
      <w:r>
        <w:rPr>
          <w:rFonts w:ascii="宋体" w:hAnsi="宋体" w:cs="宋体"/>
          <w:color w:val="auto"/>
          <w:spacing w:val="4"/>
          <w:kern w:val="0"/>
          <w:sz w:val="24"/>
          <w:szCs w:val="24"/>
          <w:highlight w:val="none"/>
        </w:rPr>
        <w:br w:type="page"/>
      </w:r>
      <w:r>
        <w:rPr>
          <w:rFonts w:hint="eastAsia"/>
          <w:color w:val="auto"/>
          <w:sz w:val="24"/>
          <w:szCs w:val="24"/>
          <w:highlight w:val="none"/>
        </w:rPr>
        <w:t>技术标</w:t>
      </w:r>
      <w:r>
        <w:rPr>
          <w:rFonts w:hint="eastAsia"/>
          <w:bCs/>
          <w:color w:val="auto"/>
          <w:sz w:val="24"/>
          <w:szCs w:val="24"/>
          <w:highlight w:val="none"/>
        </w:rPr>
        <w:t>格式十</w:t>
      </w:r>
      <w:r>
        <w:rPr>
          <w:rFonts w:hint="eastAsia" w:ascii="宋体" w:hAnsi="宋体" w:cs="宋体"/>
          <w:color w:val="auto"/>
          <w:sz w:val="24"/>
          <w:szCs w:val="24"/>
          <w:highlight w:val="none"/>
        </w:rPr>
        <w:t>：</w:t>
      </w:r>
    </w:p>
    <w:p>
      <w:pPr>
        <w:widowControl/>
        <w:autoSpaceDE w:val="0"/>
        <w:autoSpaceDN w:val="0"/>
        <w:adjustRightInd w:val="0"/>
        <w:spacing w:line="360" w:lineRule="auto"/>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危险性较大的分部分项工程安全管理措施</w:t>
      </w:r>
    </w:p>
    <w:p>
      <w:pPr>
        <w:widowControl/>
        <w:numPr>
          <w:ilvl w:val="0"/>
          <w:numId w:val="6"/>
        </w:numPr>
        <w:autoSpaceDE w:val="0"/>
        <w:autoSpaceDN w:val="0"/>
        <w:adjustRightInd w:val="0"/>
        <w:spacing w:line="360" w:lineRule="auto"/>
        <w:jc w:val="left"/>
        <w:rPr>
          <w:rFonts w:ascii="宋体" w:hAnsi="宋体"/>
          <w:snapToGrid w:val="0"/>
          <w:color w:val="auto"/>
          <w:spacing w:val="4"/>
          <w:kern w:val="0"/>
          <w:sz w:val="24"/>
          <w:szCs w:val="24"/>
          <w:highlight w:val="none"/>
        </w:rPr>
      </w:pPr>
      <w:r>
        <w:rPr>
          <w:rFonts w:hint="eastAsia" w:ascii="宋体" w:hAnsi="宋体"/>
          <w:color w:val="auto"/>
          <w:kern w:val="0"/>
          <w:sz w:val="24"/>
          <w:szCs w:val="28"/>
          <w:highlight w:val="none"/>
        </w:rPr>
        <w:t>根据中华人民共和国住房和城乡建设部令第37号《危险性较大的分部分项工程安全管理规定》（以下简称“37号文”），投标人在投标时须补充完善危大工程清单并</w:t>
      </w:r>
      <w:r>
        <w:rPr>
          <w:rFonts w:hint="eastAsia" w:ascii="宋体" w:hAnsi="宋体"/>
          <w:snapToGrid w:val="0"/>
          <w:color w:val="auto"/>
          <w:spacing w:val="4"/>
          <w:kern w:val="0"/>
          <w:sz w:val="24"/>
          <w:szCs w:val="24"/>
          <w:highlight w:val="none"/>
        </w:rPr>
        <w:t>结合本工程的类型和特点，科学、合理地设置本项目的危险性较大的分部分项工程安全管理措施，危险性较大的分部分项工程安全管理措施由投标人结合招标人对本工程的具体要求自行设定。</w:t>
      </w:r>
    </w:p>
    <w:p>
      <w:pPr>
        <w:widowControl/>
        <w:numPr>
          <w:ilvl w:val="0"/>
          <w:numId w:val="6"/>
        </w:numPr>
        <w:autoSpaceDE w:val="0"/>
        <w:autoSpaceDN w:val="0"/>
        <w:adjustRightInd w:val="0"/>
        <w:spacing w:line="360" w:lineRule="auto"/>
        <w:jc w:val="left"/>
        <w:rPr>
          <w:rFonts w:ascii="宋体" w:hAnsi="宋体"/>
          <w:color w:val="auto"/>
          <w:kern w:val="0"/>
          <w:sz w:val="24"/>
          <w:szCs w:val="28"/>
          <w:highlight w:val="none"/>
        </w:rPr>
      </w:pPr>
      <w:r>
        <w:rPr>
          <w:rFonts w:hint="eastAsia" w:ascii="宋体" w:hAnsi="宋体"/>
          <w:color w:val="auto"/>
          <w:kern w:val="0"/>
          <w:sz w:val="24"/>
          <w:szCs w:val="28"/>
          <w:highlight w:val="none"/>
        </w:rPr>
        <w:t>招标人根据设计文件的要求及37号文的规定列出“危险性较大的分部分项工程清单及超过一定规模的危险性较大的分部分项工程清单”中与本招标项目相关的清单项，具体详第5点“打</w:t>
      </w:r>
      <w:r>
        <w:rPr>
          <w:rFonts w:hint="eastAsia" w:ascii="宋体" w:hAnsi="宋体"/>
          <w:color w:val="auto"/>
          <w:kern w:val="0"/>
          <w:sz w:val="24"/>
          <w:szCs w:val="36"/>
          <w:highlight w:val="none"/>
        </w:rPr>
        <w:t>√”标识。</w:t>
      </w:r>
    </w:p>
    <w:p>
      <w:pPr>
        <w:widowControl/>
        <w:numPr>
          <w:ilvl w:val="0"/>
          <w:numId w:val="7"/>
        </w:numPr>
        <w:autoSpaceDE w:val="0"/>
        <w:autoSpaceDN w:val="0"/>
        <w:adjustRightInd w:val="0"/>
        <w:spacing w:line="360" w:lineRule="auto"/>
        <w:jc w:val="left"/>
        <w:rPr>
          <w:rFonts w:ascii="宋体" w:hAnsi="宋体"/>
          <w:color w:val="auto"/>
          <w:kern w:val="0"/>
          <w:sz w:val="24"/>
          <w:szCs w:val="36"/>
          <w:highlight w:val="none"/>
        </w:rPr>
      </w:pPr>
      <w:r>
        <w:rPr>
          <w:rFonts w:hint="eastAsia" w:ascii="宋体" w:hAnsi="宋体"/>
          <w:color w:val="auto"/>
          <w:kern w:val="0"/>
          <w:sz w:val="24"/>
          <w:szCs w:val="28"/>
          <w:highlight w:val="none"/>
        </w:rPr>
        <w:t>投标单位同意建设单位在清单中标识的该项请在对应项打“</w:t>
      </w:r>
      <w:r>
        <w:rPr>
          <w:rFonts w:hint="eastAsia" w:ascii="宋体" w:hAnsi="宋体"/>
          <w:color w:val="auto"/>
          <w:kern w:val="0"/>
          <w:sz w:val="24"/>
          <w:szCs w:val="36"/>
          <w:highlight w:val="none"/>
        </w:rPr>
        <w:t>√”标识，并在投标文件中提供相应的安全管理措施。</w:t>
      </w:r>
    </w:p>
    <w:p>
      <w:pPr>
        <w:widowControl/>
        <w:numPr>
          <w:ilvl w:val="0"/>
          <w:numId w:val="7"/>
        </w:numPr>
        <w:autoSpaceDE w:val="0"/>
        <w:autoSpaceDN w:val="0"/>
        <w:adjustRightInd w:val="0"/>
        <w:spacing w:line="360" w:lineRule="auto"/>
        <w:jc w:val="left"/>
        <w:rPr>
          <w:rFonts w:ascii="宋体" w:hAnsi="宋体"/>
          <w:color w:val="auto"/>
          <w:kern w:val="0"/>
          <w:sz w:val="24"/>
          <w:szCs w:val="36"/>
          <w:highlight w:val="none"/>
        </w:rPr>
      </w:pPr>
      <w:r>
        <w:rPr>
          <w:rFonts w:hint="eastAsia" w:ascii="宋体" w:hAnsi="宋体"/>
          <w:color w:val="auto"/>
          <w:kern w:val="0"/>
          <w:sz w:val="24"/>
          <w:szCs w:val="28"/>
          <w:highlight w:val="none"/>
        </w:rPr>
        <w:t>投标单位对清单中认为需要补充的该项请在对应项打“</w:t>
      </w:r>
      <w:r>
        <w:rPr>
          <w:rFonts w:hint="eastAsia" w:ascii="宋体" w:hAnsi="宋体"/>
          <w:color w:val="auto"/>
          <w:kern w:val="0"/>
          <w:sz w:val="24"/>
          <w:szCs w:val="36"/>
          <w:highlight w:val="none"/>
        </w:rPr>
        <w:t>√”标识，并在投标文件中提供相应的安全管理措施。</w:t>
      </w:r>
    </w:p>
    <w:p>
      <w:pPr>
        <w:widowControl/>
        <w:numPr>
          <w:ilvl w:val="0"/>
          <w:numId w:val="7"/>
        </w:numPr>
        <w:autoSpaceDE w:val="0"/>
        <w:autoSpaceDN w:val="0"/>
        <w:adjustRightInd w:val="0"/>
        <w:spacing w:line="360" w:lineRule="auto"/>
        <w:jc w:val="left"/>
        <w:rPr>
          <w:rFonts w:ascii="宋体" w:hAnsi="宋体"/>
          <w:color w:val="auto"/>
          <w:kern w:val="0"/>
          <w:sz w:val="24"/>
          <w:szCs w:val="28"/>
          <w:highlight w:val="none"/>
        </w:rPr>
      </w:pPr>
      <w:r>
        <w:rPr>
          <w:rFonts w:hint="eastAsia" w:ascii="宋体" w:hAnsi="宋体"/>
          <w:color w:val="auto"/>
          <w:kern w:val="0"/>
          <w:sz w:val="24"/>
          <w:szCs w:val="36"/>
          <w:highlight w:val="none"/>
        </w:rPr>
        <w:t>投标单位不同意建设单位</w:t>
      </w:r>
      <w:r>
        <w:rPr>
          <w:rFonts w:hint="eastAsia" w:ascii="宋体" w:hAnsi="宋体"/>
          <w:color w:val="auto"/>
          <w:kern w:val="0"/>
          <w:sz w:val="24"/>
          <w:szCs w:val="28"/>
          <w:highlight w:val="none"/>
        </w:rPr>
        <w:t>在清单中标识的该项</w:t>
      </w:r>
      <w:r>
        <w:rPr>
          <w:rFonts w:hint="eastAsia" w:ascii="宋体" w:hAnsi="宋体"/>
          <w:color w:val="auto"/>
          <w:kern w:val="0"/>
          <w:sz w:val="24"/>
          <w:szCs w:val="36"/>
          <w:highlight w:val="none"/>
        </w:rPr>
        <w:t>请在对应项打“×”标识，并在备注栏填上相关说明。</w:t>
      </w:r>
    </w:p>
    <w:p>
      <w:pPr>
        <w:widowControl/>
        <w:numPr>
          <w:ilvl w:val="0"/>
          <w:numId w:val="6"/>
        </w:numPr>
        <w:autoSpaceDE w:val="0"/>
        <w:autoSpaceDN w:val="0"/>
        <w:adjustRightInd w:val="0"/>
        <w:spacing w:line="360" w:lineRule="auto"/>
        <w:jc w:val="left"/>
        <w:rPr>
          <w:rFonts w:ascii="宋体" w:hAnsi="宋体"/>
          <w:color w:val="auto"/>
          <w:kern w:val="0"/>
          <w:sz w:val="24"/>
          <w:szCs w:val="28"/>
          <w:highlight w:val="none"/>
        </w:rPr>
      </w:pPr>
      <w:r>
        <w:rPr>
          <w:rFonts w:hint="eastAsia" w:ascii="宋体" w:hAnsi="宋体"/>
          <w:color w:val="auto"/>
          <w:kern w:val="0"/>
          <w:sz w:val="24"/>
          <w:szCs w:val="28"/>
          <w:highlight w:val="none"/>
        </w:rPr>
        <w:t>投标单位应当在投标时根据招标人提供的下述第5点清单，在投标文件中编制专项施工方案。</w:t>
      </w:r>
    </w:p>
    <w:p>
      <w:pPr>
        <w:widowControl/>
        <w:numPr>
          <w:ilvl w:val="0"/>
          <w:numId w:val="6"/>
        </w:numPr>
        <w:autoSpaceDE w:val="0"/>
        <w:autoSpaceDN w:val="0"/>
        <w:adjustRightInd w:val="0"/>
        <w:spacing w:line="360" w:lineRule="auto"/>
        <w:jc w:val="left"/>
        <w:rPr>
          <w:rFonts w:ascii="宋体" w:hAnsi="宋体"/>
          <w:color w:val="auto"/>
          <w:kern w:val="0"/>
          <w:sz w:val="24"/>
          <w:szCs w:val="28"/>
          <w:highlight w:val="none"/>
        </w:rPr>
      </w:pPr>
      <w:r>
        <w:rPr>
          <w:rFonts w:hint="eastAsia" w:ascii="宋体" w:hAnsi="宋体"/>
          <w:color w:val="auto"/>
          <w:kern w:val="0"/>
          <w:sz w:val="24"/>
          <w:szCs w:val="28"/>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widowControl/>
        <w:numPr>
          <w:ilvl w:val="0"/>
          <w:numId w:val="6"/>
        </w:numPr>
        <w:autoSpaceDE w:val="0"/>
        <w:autoSpaceDN w:val="0"/>
        <w:adjustRightInd w:val="0"/>
        <w:spacing w:line="360" w:lineRule="auto"/>
        <w:jc w:val="left"/>
        <w:rPr>
          <w:rFonts w:ascii="宋体" w:hAnsi="宋体"/>
          <w:color w:val="auto"/>
          <w:kern w:val="0"/>
          <w:sz w:val="24"/>
          <w:szCs w:val="28"/>
          <w:highlight w:val="none"/>
        </w:rPr>
      </w:pPr>
      <w:r>
        <w:rPr>
          <w:rFonts w:hint="eastAsia" w:ascii="宋体" w:hAnsi="宋体"/>
          <w:color w:val="auto"/>
          <w:kern w:val="0"/>
          <w:sz w:val="24"/>
          <w:szCs w:val="28"/>
          <w:highlight w:val="none"/>
        </w:rPr>
        <w:t>危险性较大的分部分项工程清单及超过一定规模的危险性较大的分部分项工程清单（参考版）（招标时要请前期部门和项目部核填）：</w:t>
      </w:r>
    </w:p>
    <w:p>
      <w:pPr>
        <w:widowControl/>
        <w:autoSpaceDE w:val="0"/>
        <w:autoSpaceDN w:val="0"/>
        <w:adjustRightInd w:val="0"/>
        <w:spacing w:line="360" w:lineRule="auto"/>
        <w:jc w:val="left"/>
        <w:rPr>
          <w:rFonts w:ascii="宋体" w:hAnsi="宋体"/>
          <w:color w:val="auto"/>
          <w:kern w:val="0"/>
          <w:sz w:val="24"/>
          <w:szCs w:val="28"/>
          <w:highlight w:val="none"/>
        </w:rPr>
        <w:sectPr>
          <w:pgSz w:w="11907" w:h="16840"/>
          <w:pgMar w:top="1440" w:right="1797" w:bottom="1440" w:left="1797" w:header="720" w:footer="720" w:gutter="0"/>
          <w:cols w:space="720" w:num="1"/>
        </w:sectPr>
      </w:pPr>
    </w:p>
    <w:p>
      <w:pPr>
        <w:widowControl/>
        <w:autoSpaceDE w:val="0"/>
        <w:autoSpaceDN w:val="0"/>
        <w:adjustRightInd w:val="0"/>
        <w:spacing w:line="360" w:lineRule="auto"/>
        <w:jc w:val="left"/>
        <w:rPr>
          <w:rFonts w:ascii="宋体" w:hAnsi="宋体"/>
          <w:color w:val="auto"/>
          <w:kern w:val="0"/>
          <w:sz w:val="24"/>
          <w:szCs w:val="28"/>
          <w:highlight w:val="none"/>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9"/>
        <w:gridCol w:w="1353"/>
        <w:gridCol w:w="1353"/>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center"/>
          </w:tcPr>
          <w:p>
            <w:pPr>
              <w:widowControl/>
              <w:jc w:val="center"/>
              <w:rPr>
                <w:rFonts w:ascii="宋体" w:hAnsi="宋体"/>
                <w:b/>
                <w:color w:val="auto"/>
                <w:kern w:val="0"/>
                <w:sz w:val="24"/>
                <w:szCs w:val="20"/>
                <w:highlight w:val="none"/>
              </w:rPr>
            </w:pPr>
            <w:r>
              <w:rPr>
                <w:rFonts w:hint="eastAsia" w:ascii="宋体" w:hAnsi="宋体"/>
                <w:b/>
                <w:color w:val="auto"/>
                <w:kern w:val="0"/>
                <w:sz w:val="24"/>
                <w:szCs w:val="20"/>
                <w:highlight w:val="none"/>
              </w:rPr>
              <w:t>一、危险性较大的分部分项工程清单</w:t>
            </w:r>
          </w:p>
        </w:tc>
        <w:tc>
          <w:tcPr>
            <w:tcW w:w="1353" w:type="dxa"/>
            <w:noWrap w:val="0"/>
            <w:vAlign w:val="center"/>
          </w:tcPr>
          <w:p>
            <w:pPr>
              <w:widowControl/>
              <w:jc w:val="center"/>
              <w:rPr>
                <w:rFonts w:ascii="宋体" w:hAnsi="宋体"/>
                <w:color w:val="auto"/>
                <w:kern w:val="0"/>
                <w:sz w:val="24"/>
                <w:szCs w:val="36"/>
                <w:highlight w:val="none"/>
              </w:rPr>
            </w:pPr>
            <w:r>
              <w:rPr>
                <w:rFonts w:hint="eastAsia" w:ascii="宋体" w:hAnsi="宋体"/>
                <w:color w:val="auto"/>
                <w:kern w:val="0"/>
                <w:sz w:val="24"/>
                <w:szCs w:val="36"/>
                <w:highlight w:val="none"/>
              </w:rPr>
              <w:t>建设单位</w:t>
            </w:r>
          </w:p>
        </w:tc>
        <w:tc>
          <w:tcPr>
            <w:tcW w:w="1353" w:type="dxa"/>
            <w:noWrap w:val="0"/>
            <w:vAlign w:val="center"/>
          </w:tcPr>
          <w:p>
            <w:pPr>
              <w:widowControl/>
              <w:jc w:val="center"/>
              <w:rPr>
                <w:rFonts w:ascii="宋体" w:hAnsi="宋体"/>
                <w:color w:val="auto"/>
                <w:kern w:val="0"/>
                <w:sz w:val="24"/>
                <w:szCs w:val="36"/>
                <w:highlight w:val="none"/>
              </w:rPr>
            </w:pPr>
            <w:r>
              <w:rPr>
                <w:rFonts w:hint="eastAsia" w:ascii="宋体" w:hAnsi="宋体"/>
                <w:color w:val="auto"/>
                <w:kern w:val="0"/>
                <w:sz w:val="24"/>
                <w:szCs w:val="36"/>
                <w:highlight w:val="none"/>
              </w:rPr>
              <w:t>投标单位</w:t>
            </w:r>
          </w:p>
        </w:tc>
        <w:tc>
          <w:tcPr>
            <w:tcW w:w="1057" w:type="dxa"/>
            <w:noWrap w:val="0"/>
            <w:vAlign w:val="center"/>
          </w:tcPr>
          <w:p>
            <w:pPr>
              <w:widowControl/>
              <w:jc w:val="center"/>
              <w:rPr>
                <w:rFonts w:ascii="宋体" w:hAnsi="宋体"/>
                <w:color w:val="auto"/>
                <w:kern w:val="0"/>
                <w:sz w:val="24"/>
                <w:szCs w:val="36"/>
                <w:highlight w:val="none"/>
              </w:rPr>
            </w:pPr>
            <w:r>
              <w:rPr>
                <w:rFonts w:hint="eastAsia" w:ascii="宋体" w:hAnsi="宋体"/>
                <w:color w:val="auto"/>
                <w:kern w:val="0"/>
                <w:sz w:val="24"/>
                <w:szCs w:val="36"/>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pPr>
              <w:widowControl/>
              <w:jc w:val="left"/>
              <w:rPr>
                <w:rFonts w:ascii="宋体" w:hAnsi="宋体"/>
                <w:color w:val="auto"/>
                <w:kern w:val="0"/>
                <w:sz w:val="24"/>
                <w:szCs w:val="20"/>
                <w:highlight w:val="none"/>
              </w:rPr>
            </w:pPr>
            <w:r>
              <w:rPr>
                <w:rFonts w:hint="eastAsia" w:ascii="宋体" w:hAnsi="宋体"/>
                <w:color w:val="auto"/>
                <w:kern w:val="0"/>
                <w:sz w:val="24"/>
                <w:szCs w:val="20"/>
                <w:highlight w:val="none"/>
              </w:rPr>
              <w:t>一、基坑工程</w:t>
            </w:r>
          </w:p>
        </w:tc>
        <w:tc>
          <w:tcPr>
            <w:tcW w:w="1353" w:type="dxa"/>
            <w:noWrap w:val="0"/>
            <w:vAlign w:val="center"/>
          </w:tcPr>
          <w:p>
            <w:pPr>
              <w:widowControl/>
              <w:jc w:val="center"/>
              <w:rPr>
                <w:rFonts w:ascii="宋体" w:hAnsi="宋体"/>
                <w:color w:val="auto"/>
                <w:kern w:val="0"/>
                <w:sz w:val="24"/>
                <w:szCs w:val="36"/>
                <w:highlight w:val="none"/>
              </w:rPr>
            </w:pPr>
          </w:p>
        </w:tc>
        <w:tc>
          <w:tcPr>
            <w:tcW w:w="1353" w:type="dxa"/>
            <w:noWrap w:val="0"/>
            <w:vAlign w:val="center"/>
          </w:tcPr>
          <w:p>
            <w:pPr>
              <w:widowControl/>
              <w:jc w:val="center"/>
              <w:rPr>
                <w:rFonts w:ascii="宋体" w:hAnsi="宋体"/>
                <w:color w:val="auto"/>
                <w:kern w:val="0"/>
                <w:sz w:val="20"/>
                <w:szCs w:val="20"/>
                <w:highlight w:val="none"/>
              </w:rPr>
            </w:pPr>
          </w:p>
        </w:tc>
        <w:tc>
          <w:tcPr>
            <w:tcW w:w="1057" w:type="dxa"/>
            <w:noWrap w:val="0"/>
            <w:vAlign w:val="center"/>
          </w:tcPr>
          <w:p>
            <w:pPr>
              <w:widowControl/>
              <w:jc w:val="center"/>
              <w:rPr>
                <w:rFonts w:ascii="宋体" w:hAnsi="宋体"/>
                <w:color w:val="auto"/>
                <w:kern w:val="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pPr>
              <w:widowControl/>
              <w:jc w:val="left"/>
              <w:rPr>
                <w:rFonts w:ascii="宋体" w:hAnsi="宋体"/>
                <w:color w:val="auto"/>
                <w:kern w:val="0"/>
                <w:sz w:val="24"/>
                <w:szCs w:val="20"/>
                <w:highlight w:val="none"/>
              </w:rPr>
            </w:pPr>
            <w:r>
              <w:rPr>
                <w:rFonts w:hint="eastAsia" w:ascii="宋体" w:hAnsi="宋体"/>
                <w:color w:val="auto"/>
                <w:kern w:val="0"/>
                <w:sz w:val="24"/>
                <w:szCs w:val="20"/>
                <w:highlight w:val="none"/>
              </w:rPr>
              <w:t>（一）开挖深度超过3m（含3m）的基坑（槽）的土方开挖、支护、降水工程。</w:t>
            </w:r>
          </w:p>
        </w:tc>
        <w:tc>
          <w:tcPr>
            <w:tcW w:w="1353" w:type="dxa"/>
            <w:noWrap w:val="0"/>
            <w:vAlign w:val="center"/>
          </w:tcPr>
          <w:p>
            <w:pPr>
              <w:widowControl/>
              <w:jc w:val="center"/>
              <w:rPr>
                <w:rFonts w:ascii="宋体" w:hAnsi="宋体"/>
                <w:color w:val="auto"/>
                <w:kern w:val="0"/>
                <w:sz w:val="20"/>
                <w:szCs w:val="20"/>
                <w:highlight w:val="none"/>
              </w:rPr>
            </w:pPr>
            <w:r>
              <w:rPr>
                <w:rFonts w:hint="eastAsia" w:ascii="宋体" w:hAnsi="宋体"/>
                <w:color w:val="auto"/>
                <w:kern w:val="0"/>
                <w:sz w:val="24"/>
                <w:szCs w:val="36"/>
                <w:highlight w:val="none"/>
              </w:rPr>
              <w:t xml:space="preserve">( </w:t>
            </w:r>
            <w:r>
              <w:rPr>
                <w:rFonts w:hint="default" w:ascii="Arial" w:hAnsi="Arial" w:cs="Arial"/>
                <w:color w:val="auto"/>
                <w:kern w:val="0"/>
                <w:sz w:val="24"/>
                <w:szCs w:val="36"/>
                <w:highlight w:val="none"/>
              </w:rPr>
              <w:t>√</w:t>
            </w:r>
            <w:r>
              <w:rPr>
                <w:rFonts w:hint="eastAsia" w:ascii="宋体" w:hAnsi="宋体"/>
                <w:color w:val="auto"/>
                <w:kern w:val="0"/>
                <w:sz w:val="24"/>
                <w:szCs w:val="36"/>
                <w:highlight w:val="none"/>
              </w:rPr>
              <w:t xml:space="preserve"> )</w:t>
            </w:r>
          </w:p>
        </w:tc>
        <w:tc>
          <w:tcPr>
            <w:tcW w:w="1353" w:type="dxa"/>
            <w:noWrap w:val="0"/>
            <w:vAlign w:val="center"/>
          </w:tcPr>
          <w:p>
            <w:pPr>
              <w:widowControl/>
              <w:jc w:val="center"/>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057" w:type="dxa"/>
            <w:noWrap w:val="0"/>
            <w:vAlign w:val="center"/>
          </w:tcPr>
          <w:p>
            <w:pPr>
              <w:widowControl/>
              <w:jc w:val="center"/>
              <w:rPr>
                <w:rFonts w:ascii="宋体" w:hAnsi="宋体"/>
                <w:color w:val="auto"/>
                <w:kern w:val="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pPr>
              <w:widowControl/>
              <w:spacing w:line="360" w:lineRule="atLeast"/>
              <w:jc w:val="left"/>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（二）开挖深度虽未超过3m，但地质条件、周围环境和地下管线复杂，或影响毗邻建、构筑物安全的基坑（槽）的土方开挖、支护、降水工程。</w:t>
            </w:r>
          </w:p>
        </w:tc>
        <w:tc>
          <w:tcPr>
            <w:tcW w:w="1353" w:type="dxa"/>
            <w:noWrap w:val="0"/>
            <w:vAlign w:val="center"/>
          </w:tcPr>
          <w:p>
            <w:pPr>
              <w:widowControl/>
              <w:jc w:val="center"/>
              <w:rPr>
                <w:rFonts w:ascii="宋体" w:hAnsi="宋体"/>
                <w:color w:val="auto"/>
                <w:kern w:val="0"/>
                <w:sz w:val="20"/>
                <w:szCs w:val="20"/>
                <w:highlight w:val="none"/>
              </w:rPr>
            </w:pPr>
            <w:r>
              <w:rPr>
                <w:rFonts w:hint="eastAsia" w:ascii="宋体" w:hAnsi="宋体"/>
                <w:color w:val="auto"/>
                <w:kern w:val="0"/>
                <w:sz w:val="24"/>
                <w:szCs w:val="36"/>
                <w:highlight w:val="none"/>
              </w:rPr>
              <w:t xml:space="preserve">( </w:t>
            </w:r>
            <w:r>
              <w:rPr>
                <w:rFonts w:hint="default" w:ascii="Arial" w:hAnsi="Arial" w:cs="Arial"/>
                <w:color w:val="auto"/>
                <w:kern w:val="0"/>
                <w:sz w:val="24"/>
                <w:szCs w:val="36"/>
                <w:highlight w:val="none"/>
              </w:rPr>
              <w:t>√</w:t>
            </w:r>
            <w:r>
              <w:rPr>
                <w:rFonts w:hint="eastAsia" w:ascii="宋体" w:hAnsi="宋体"/>
                <w:color w:val="auto"/>
                <w:kern w:val="0"/>
                <w:sz w:val="24"/>
                <w:szCs w:val="36"/>
                <w:highlight w:val="none"/>
              </w:rPr>
              <w:t xml:space="preserve"> )</w:t>
            </w:r>
          </w:p>
        </w:tc>
        <w:tc>
          <w:tcPr>
            <w:tcW w:w="1353" w:type="dxa"/>
            <w:noWrap w:val="0"/>
            <w:vAlign w:val="center"/>
          </w:tcPr>
          <w:p>
            <w:pPr>
              <w:widowControl/>
              <w:jc w:val="center"/>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1057" w:type="dxa"/>
            <w:noWrap w:val="0"/>
            <w:vAlign w:val="center"/>
          </w:tcPr>
          <w:p>
            <w:pPr>
              <w:widowControl/>
              <w:jc w:val="center"/>
              <w:rPr>
                <w:rFonts w:ascii="宋体" w:hAnsi="宋体"/>
                <w:color w:val="auto"/>
                <w:kern w:val="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pPr>
              <w:widowControl/>
              <w:jc w:val="left"/>
              <w:rPr>
                <w:rFonts w:ascii="宋体" w:hAnsi="宋体"/>
                <w:color w:val="auto"/>
                <w:kern w:val="0"/>
                <w:sz w:val="24"/>
                <w:szCs w:val="20"/>
                <w:highlight w:val="none"/>
              </w:rPr>
            </w:pPr>
            <w:r>
              <w:rPr>
                <w:rFonts w:hint="eastAsia" w:ascii="宋体" w:hAnsi="宋体" w:cs="宋体"/>
                <w:color w:val="auto"/>
                <w:kern w:val="0"/>
                <w:sz w:val="24"/>
                <w:szCs w:val="20"/>
                <w:highlight w:val="none"/>
              </w:rPr>
              <w:t>二、模板工程及支撑体系</w:t>
            </w:r>
          </w:p>
        </w:tc>
        <w:tc>
          <w:tcPr>
            <w:tcW w:w="1353" w:type="dxa"/>
            <w:noWrap w:val="0"/>
            <w:vAlign w:val="center"/>
          </w:tcPr>
          <w:p>
            <w:pPr>
              <w:widowControl/>
              <w:jc w:val="center"/>
              <w:rPr>
                <w:rFonts w:ascii="宋体" w:hAnsi="宋体"/>
                <w:color w:val="auto"/>
                <w:kern w:val="0"/>
                <w:sz w:val="20"/>
                <w:szCs w:val="20"/>
                <w:highlight w:val="none"/>
              </w:rPr>
            </w:pPr>
          </w:p>
        </w:tc>
        <w:tc>
          <w:tcPr>
            <w:tcW w:w="1353" w:type="dxa"/>
            <w:noWrap w:val="0"/>
            <w:vAlign w:val="center"/>
          </w:tcPr>
          <w:p>
            <w:pPr>
              <w:widowControl/>
              <w:jc w:val="center"/>
              <w:rPr>
                <w:rFonts w:ascii="宋体" w:hAnsi="宋体"/>
                <w:color w:val="auto"/>
                <w:kern w:val="0"/>
                <w:sz w:val="20"/>
                <w:szCs w:val="20"/>
                <w:highlight w:val="none"/>
              </w:rPr>
            </w:pPr>
          </w:p>
        </w:tc>
        <w:tc>
          <w:tcPr>
            <w:tcW w:w="1057" w:type="dxa"/>
            <w:noWrap w:val="0"/>
            <w:vAlign w:val="center"/>
          </w:tcPr>
          <w:p>
            <w:pPr>
              <w:widowControl/>
              <w:jc w:val="center"/>
              <w:rPr>
                <w:rFonts w:ascii="宋体" w:hAnsi="宋体"/>
                <w:color w:val="auto"/>
                <w:kern w:val="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pPr>
              <w:widowControl/>
              <w:jc w:val="left"/>
              <w:rPr>
                <w:rFonts w:ascii="宋体" w:hAnsi="宋体" w:cs="宋体"/>
                <w:color w:val="auto"/>
                <w:kern w:val="0"/>
                <w:sz w:val="24"/>
                <w:szCs w:val="20"/>
                <w:highlight w:val="none"/>
              </w:rPr>
            </w:pPr>
            <w:r>
              <w:rPr>
                <w:rFonts w:hint="eastAsia" w:ascii="宋体" w:hAnsi="宋体"/>
                <w:color w:val="auto"/>
                <w:kern w:val="0"/>
                <w:sz w:val="24"/>
                <w:szCs w:val="20"/>
                <w:highlight w:val="none"/>
              </w:rPr>
              <w:t>（一）各类工具式模板工程：包括滑模、爬模、飞模、隧道模等工程。</w:t>
            </w:r>
          </w:p>
        </w:tc>
        <w:tc>
          <w:tcPr>
            <w:tcW w:w="1353" w:type="dxa"/>
            <w:noWrap w:val="0"/>
            <w:vAlign w:val="center"/>
          </w:tcPr>
          <w:p>
            <w:pPr>
              <w:widowControl/>
              <w:jc w:val="center"/>
              <w:rPr>
                <w:rFonts w:ascii="宋体" w:hAnsi="宋体"/>
                <w:color w:val="auto"/>
                <w:kern w:val="0"/>
                <w:sz w:val="24"/>
                <w:szCs w:val="36"/>
                <w:highlight w:val="none"/>
              </w:rPr>
            </w:pPr>
            <w:r>
              <w:rPr>
                <w:rFonts w:ascii="宋体" w:hAnsi="宋体"/>
                <w:color w:val="auto"/>
                <w:kern w:val="0"/>
                <w:sz w:val="24"/>
                <w:szCs w:val="36"/>
                <w:highlight w:val="none"/>
              </w:rPr>
              <w:t>(    )</w:t>
            </w:r>
          </w:p>
        </w:tc>
        <w:tc>
          <w:tcPr>
            <w:tcW w:w="1353" w:type="dxa"/>
            <w:noWrap w:val="0"/>
            <w:vAlign w:val="center"/>
          </w:tcPr>
          <w:p>
            <w:pPr>
              <w:widowControl/>
              <w:jc w:val="center"/>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057" w:type="dxa"/>
            <w:noWrap w:val="0"/>
            <w:vAlign w:val="center"/>
          </w:tcPr>
          <w:p>
            <w:pPr>
              <w:widowControl/>
              <w:jc w:val="center"/>
              <w:rPr>
                <w:rFonts w:ascii="宋体" w:hAnsi="宋体"/>
                <w:color w:val="auto"/>
                <w:kern w:val="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pPr>
              <w:widowControl/>
              <w:jc w:val="left"/>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53" w:type="dxa"/>
            <w:noWrap w:val="0"/>
            <w:vAlign w:val="center"/>
          </w:tcPr>
          <w:p>
            <w:pPr>
              <w:widowControl/>
              <w:jc w:val="center"/>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53" w:type="dxa"/>
            <w:noWrap w:val="0"/>
            <w:vAlign w:val="center"/>
          </w:tcPr>
          <w:p>
            <w:pPr>
              <w:widowControl/>
              <w:jc w:val="center"/>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1057" w:type="dxa"/>
            <w:noWrap w:val="0"/>
            <w:vAlign w:val="center"/>
          </w:tcPr>
          <w:p>
            <w:pPr>
              <w:widowControl/>
              <w:jc w:val="center"/>
              <w:rPr>
                <w:rFonts w:ascii="宋体" w:hAnsi="宋体"/>
                <w:color w:val="auto"/>
                <w:kern w:val="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pPr>
              <w:widowControl/>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（三）承重支撑体系：用于钢结构安装等满堂支撑体系。</w:t>
            </w:r>
          </w:p>
        </w:tc>
        <w:tc>
          <w:tcPr>
            <w:tcW w:w="1353" w:type="dxa"/>
            <w:noWrap w:val="0"/>
            <w:vAlign w:val="center"/>
          </w:tcPr>
          <w:p>
            <w:pPr>
              <w:widowControl/>
              <w:jc w:val="center"/>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53" w:type="dxa"/>
            <w:noWrap w:val="0"/>
            <w:vAlign w:val="center"/>
          </w:tcPr>
          <w:p>
            <w:pPr>
              <w:widowControl/>
              <w:jc w:val="center"/>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1057" w:type="dxa"/>
            <w:noWrap w:val="0"/>
            <w:vAlign w:val="center"/>
          </w:tcPr>
          <w:p>
            <w:pPr>
              <w:widowControl/>
              <w:jc w:val="center"/>
              <w:rPr>
                <w:rFonts w:ascii="宋体" w:hAnsi="宋体"/>
                <w:color w:val="auto"/>
                <w:kern w:val="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pPr>
              <w:widowControl/>
              <w:jc w:val="left"/>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三、起重吊装及起重机械安装拆卸工程</w:t>
            </w:r>
          </w:p>
        </w:tc>
        <w:tc>
          <w:tcPr>
            <w:tcW w:w="1353" w:type="dxa"/>
            <w:noWrap w:val="0"/>
            <w:vAlign w:val="center"/>
          </w:tcPr>
          <w:p>
            <w:pPr>
              <w:widowControl/>
              <w:jc w:val="center"/>
              <w:rPr>
                <w:rFonts w:hint="eastAsia" w:ascii="宋体" w:hAnsi="宋体"/>
                <w:color w:val="auto"/>
                <w:kern w:val="0"/>
                <w:sz w:val="24"/>
                <w:szCs w:val="36"/>
                <w:highlight w:val="none"/>
              </w:rPr>
            </w:pPr>
          </w:p>
        </w:tc>
        <w:tc>
          <w:tcPr>
            <w:tcW w:w="1353" w:type="dxa"/>
            <w:noWrap w:val="0"/>
            <w:vAlign w:val="center"/>
          </w:tcPr>
          <w:p>
            <w:pPr>
              <w:widowControl/>
              <w:jc w:val="center"/>
              <w:rPr>
                <w:rFonts w:hint="eastAsia" w:ascii="宋体" w:hAnsi="宋体"/>
                <w:color w:val="auto"/>
                <w:kern w:val="0"/>
                <w:sz w:val="24"/>
                <w:szCs w:val="36"/>
                <w:highlight w:val="none"/>
              </w:rPr>
            </w:pPr>
          </w:p>
        </w:tc>
        <w:tc>
          <w:tcPr>
            <w:tcW w:w="1057" w:type="dxa"/>
            <w:noWrap w:val="0"/>
            <w:vAlign w:val="center"/>
          </w:tcPr>
          <w:p>
            <w:pPr>
              <w:widowControl/>
              <w:jc w:val="center"/>
              <w:rPr>
                <w:rFonts w:ascii="宋体" w:hAnsi="宋体"/>
                <w:color w:val="auto"/>
                <w:kern w:val="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pPr>
              <w:widowControl/>
              <w:jc w:val="left"/>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（一）采用非常规起重设备、方法，且单件起吊重量在10kN及以上的起重吊装工程。</w:t>
            </w:r>
          </w:p>
        </w:tc>
        <w:tc>
          <w:tcPr>
            <w:tcW w:w="1353" w:type="dxa"/>
            <w:noWrap w:val="0"/>
            <w:vAlign w:val="center"/>
          </w:tcPr>
          <w:p>
            <w:pPr>
              <w:widowControl/>
              <w:jc w:val="center"/>
              <w:rPr>
                <w:rFonts w:hint="eastAsia" w:ascii="宋体" w:hAnsi="宋体"/>
                <w:color w:val="auto"/>
                <w:kern w:val="0"/>
                <w:sz w:val="24"/>
                <w:szCs w:val="36"/>
                <w:highlight w:val="none"/>
              </w:rPr>
            </w:pPr>
            <w:r>
              <w:rPr>
                <w:rFonts w:hint="eastAsia" w:ascii="宋体" w:hAnsi="宋体"/>
                <w:color w:val="auto"/>
                <w:kern w:val="0"/>
                <w:sz w:val="24"/>
                <w:szCs w:val="36"/>
                <w:highlight w:val="none"/>
              </w:rPr>
              <w:t xml:space="preserve">( </w:t>
            </w:r>
            <w:r>
              <w:rPr>
                <w:rFonts w:hint="default" w:ascii="Arial" w:hAnsi="Arial" w:cs="Arial"/>
                <w:color w:val="auto"/>
                <w:kern w:val="0"/>
                <w:sz w:val="24"/>
                <w:szCs w:val="36"/>
                <w:highlight w:val="none"/>
              </w:rPr>
              <w:t>√</w:t>
            </w:r>
            <w:r>
              <w:rPr>
                <w:rFonts w:hint="eastAsia" w:ascii="宋体" w:hAnsi="宋体"/>
                <w:color w:val="auto"/>
                <w:kern w:val="0"/>
                <w:sz w:val="24"/>
                <w:szCs w:val="36"/>
                <w:highlight w:val="none"/>
              </w:rPr>
              <w:t xml:space="preserve"> )</w:t>
            </w:r>
          </w:p>
        </w:tc>
        <w:tc>
          <w:tcPr>
            <w:tcW w:w="1353" w:type="dxa"/>
            <w:noWrap w:val="0"/>
            <w:vAlign w:val="center"/>
          </w:tcPr>
          <w:p>
            <w:pPr>
              <w:widowControl/>
              <w:jc w:val="center"/>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1057" w:type="dxa"/>
            <w:noWrap w:val="0"/>
            <w:vAlign w:val="center"/>
          </w:tcPr>
          <w:p>
            <w:pPr>
              <w:widowControl/>
              <w:jc w:val="center"/>
              <w:rPr>
                <w:rFonts w:ascii="宋体" w:hAnsi="宋体"/>
                <w:color w:val="auto"/>
                <w:kern w:val="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pPr>
              <w:widowControl/>
              <w:jc w:val="left"/>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（二）采用起重机械进行安装的工程。</w:t>
            </w:r>
          </w:p>
        </w:tc>
        <w:tc>
          <w:tcPr>
            <w:tcW w:w="1353" w:type="dxa"/>
            <w:noWrap w:val="0"/>
            <w:vAlign w:val="center"/>
          </w:tcPr>
          <w:p>
            <w:pPr>
              <w:widowControl/>
              <w:jc w:val="center"/>
              <w:rPr>
                <w:rFonts w:hint="eastAsia" w:ascii="宋体" w:hAnsi="宋体"/>
                <w:color w:val="auto"/>
                <w:kern w:val="0"/>
                <w:sz w:val="24"/>
                <w:szCs w:val="36"/>
                <w:highlight w:val="none"/>
              </w:rPr>
            </w:pPr>
            <w:r>
              <w:rPr>
                <w:rFonts w:hint="eastAsia" w:ascii="宋体" w:hAnsi="宋体"/>
                <w:color w:val="auto"/>
                <w:kern w:val="0"/>
                <w:sz w:val="24"/>
                <w:szCs w:val="36"/>
                <w:highlight w:val="none"/>
              </w:rPr>
              <w:t xml:space="preserve">( </w:t>
            </w:r>
            <w:r>
              <w:rPr>
                <w:rFonts w:hint="default" w:ascii="Arial" w:hAnsi="Arial" w:cs="Arial"/>
                <w:color w:val="auto"/>
                <w:kern w:val="0"/>
                <w:sz w:val="24"/>
                <w:szCs w:val="36"/>
                <w:highlight w:val="none"/>
              </w:rPr>
              <w:t>√</w:t>
            </w:r>
            <w:r>
              <w:rPr>
                <w:rFonts w:hint="eastAsia" w:ascii="宋体" w:hAnsi="宋体"/>
                <w:color w:val="auto"/>
                <w:kern w:val="0"/>
                <w:sz w:val="24"/>
                <w:szCs w:val="36"/>
                <w:highlight w:val="none"/>
              </w:rPr>
              <w:t xml:space="preserve"> )</w:t>
            </w:r>
          </w:p>
        </w:tc>
        <w:tc>
          <w:tcPr>
            <w:tcW w:w="1353" w:type="dxa"/>
            <w:noWrap w:val="0"/>
            <w:vAlign w:val="center"/>
          </w:tcPr>
          <w:p>
            <w:pPr>
              <w:widowControl/>
              <w:jc w:val="center"/>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1057" w:type="dxa"/>
            <w:noWrap w:val="0"/>
            <w:vAlign w:val="center"/>
          </w:tcPr>
          <w:p>
            <w:pPr>
              <w:widowControl/>
              <w:jc w:val="center"/>
              <w:rPr>
                <w:rFonts w:ascii="宋体" w:hAnsi="宋体"/>
                <w:color w:val="auto"/>
                <w:kern w:val="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pPr>
              <w:widowControl/>
              <w:jc w:val="left"/>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（三）起重机械安装和拆卸工程。</w:t>
            </w:r>
          </w:p>
        </w:tc>
        <w:tc>
          <w:tcPr>
            <w:tcW w:w="1353" w:type="dxa"/>
            <w:noWrap w:val="0"/>
            <w:vAlign w:val="center"/>
          </w:tcPr>
          <w:p>
            <w:pPr>
              <w:widowControl/>
              <w:jc w:val="center"/>
              <w:rPr>
                <w:rFonts w:hint="eastAsia" w:ascii="宋体" w:hAnsi="宋体"/>
                <w:color w:val="auto"/>
                <w:kern w:val="0"/>
                <w:sz w:val="24"/>
                <w:szCs w:val="36"/>
                <w:highlight w:val="none"/>
              </w:rPr>
            </w:pPr>
            <w:r>
              <w:rPr>
                <w:rFonts w:hint="eastAsia" w:ascii="宋体" w:hAnsi="宋体"/>
                <w:color w:val="auto"/>
                <w:kern w:val="0"/>
                <w:sz w:val="24"/>
                <w:szCs w:val="36"/>
                <w:highlight w:val="none"/>
              </w:rPr>
              <w:t xml:space="preserve">( </w:t>
            </w:r>
            <w:r>
              <w:rPr>
                <w:rFonts w:hint="default" w:ascii="Arial" w:hAnsi="Arial" w:cs="Arial"/>
                <w:color w:val="auto"/>
                <w:kern w:val="0"/>
                <w:sz w:val="24"/>
                <w:szCs w:val="36"/>
                <w:highlight w:val="none"/>
              </w:rPr>
              <w:t>√</w:t>
            </w:r>
            <w:r>
              <w:rPr>
                <w:rFonts w:hint="eastAsia" w:ascii="宋体" w:hAnsi="宋体"/>
                <w:color w:val="auto"/>
                <w:kern w:val="0"/>
                <w:sz w:val="24"/>
                <w:szCs w:val="36"/>
                <w:highlight w:val="none"/>
              </w:rPr>
              <w:t xml:space="preserve"> )</w:t>
            </w:r>
          </w:p>
        </w:tc>
        <w:tc>
          <w:tcPr>
            <w:tcW w:w="1353" w:type="dxa"/>
            <w:noWrap w:val="0"/>
            <w:vAlign w:val="center"/>
          </w:tcPr>
          <w:p>
            <w:pPr>
              <w:widowControl/>
              <w:jc w:val="center"/>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1057" w:type="dxa"/>
            <w:noWrap w:val="0"/>
            <w:vAlign w:val="center"/>
          </w:tcPr>
          <w:p>
            <w:pPr>
              <w:widowControl/>
              <w:jc w:val="center"/>
              <w:rPr>
                <w:rFonts w:ascii="宋体" w:hAnsi="宋体"/>
                <w:color w:val="auto"/>
                <w:kern w:val="0"/>
                <w:sz w:val="24"/>
                <w:szCs w:val="36"/>
                <w:highlight w:val="none"/>
              </w:rPr>
            </w:pPr>
          </w:p>
        </w:tc>
      </w:tr>
    </w:tbl>
    <w:p>
      <w:pPr>
        <w:widowControl/>
        <w:topLinePunct/>
        <w:adjustRightInd w:val="0"/>
        <w:snapToGrid w:val="0"/>
        <w:spacing w:line="360" w:lineRule="auto"/>
        <w:ind w:firstLine="496" w:firstLineChars="200"/>
        <w:jc w:val="left"/>
        <w:rPr>
          <w:rFonts w:hint="eastAsia" w:ascii="宋体" w:hAnsi="宋体"/>
          <w:color w:val="auto"/>
          <w:spacing w:val="4"/>
          <w:kern w:val="0"/>
          <w:sz w:val="24"/>
          <w:szCs w:val="24"/>
          <w:highlight w:val="none"/>
        </w:rPr>
      </w:pPr>
    </w:p>
    <w:p>
      <w:pPr>
        <w:widowControl/>
        <w:spacing w:line="360" w:lineRule="auto"/>
        <w:ind w:firstLine="4320" w:firstLineChars="18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投标人名称（盖法人公章）：</w:t>
      </w:r>
    </w:p>
    <w:p>
      <w:pPr>
        <w:widowControl/>
        <w:spacing w:line="360" w:lineRule="auto"/>
        <w:ind w:firstLine="3120" w:firstLineChars="13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法定代表人或被授权人（签字或盖章）：</w:t>
      </w:r>
    </w:p>
    <w:p>
      <w:pPr>
        <w:autoSpaceDE w:val="0"/>
        <w:autoSpaceDN w:val="0"/>
        <w:adjustRightInd w:val="0"/>
        <w:spacing w:line="360" w:lineRule="auto"/>
        <w:ind w:firstLine="5040" w:firstLineChars="2100"/>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日期：   年  月  日</w:t>
      </w:r>
    </w:p>
    <w:p>
      <w:pPr>
        <w:autoSpaceDE w:val="0"/>
        <w:autoSpaceDN w:val="0"/>
        <w:adjustRightInd w:val="0"/>
        <w:spacing w:line="360" w:lineRule="auto"/>
        <w:ind w:firstLine="4410" w:firstLineChars="2100"/>
        <w:rPr>
          <w:rFonts w:hint="eastAsia" w:ascii="宋体" w:hAnsi="宋体" w:cs="宋体"/>
          <w:color w:val="auto"/>
          <w:szCs w:val="20"/>
          <w:highlight w:val="none"/>
        </w:rPr>
      </w:pPr>
    </w:p>
    <w:p>
      <w:pPr>
        <w:autoSpaceDE w:val="0"/>
        <w:autoSpaceDN w:val="0"/>
        <w:adjustRightInd w:val="0"/>
        <w:spacing w:line="360" w:lineRule="auto"/>
        <w:rPr>
          <w:rFonts w:hint="eastAsia" w:ascii="宋体" w:hAnsi="宋体" w:cs="宋体"/>
          <w:color w:val="auto"/>
          <w:szCs w:val="20"/>
          <w:highlight w:val="none"/>
        </w:rPr>
      </w:pPr>
    </w:p>
    <w:p>
      <w:pPr>
        <w:autoSpaceDE w:val="0"/>
        <w:autoSpaceDN w:val="0"/>
        <w:adjustRightInd w:val="0"/>
        <w:spacing w:line="360" w:lineRule="auto"/>
        <w:rPr>
          <w:rFonts w:hint="eastAsia" w:ascii="宋体" w:hAnsi="宋体" w:cs="宋体"/>
          <w:color w:val="auto"/>
          <w:spacing w:val="4"/>
          <w:kern w:val="0"/>
          <w:sz w:val="24"/>
          <w:szCs w:val="24"/>
          <w:highlight w:val="none"/>
        </w:rPr>
      </w:pPr>
    </w:p>
    <w:p>
      <w:pPr>
        <w:autoSpaceDE w:val="0"/>
        <w:autoSpaceDN w:val="0"/>
        <w:adjustRightInd w:val="0"/>
        <w:spacing w:line="360" w:lineRule="auto"/>
        <w:rPr>
          <w:rFonts w:hint="eastAsia" w:cs="宋体"/>
          <w:color w:val="auto"/>
          <w:highlight w:val="none"/>
        </w:rPr>
      </w:pPr>
      <w:r>
        <w:rPr>
          <w:rFonts w:ascii="宋体" w:hAnsi="宋体" w:cs="宋体"/>
          <w:color w:val="auto"/>
          <w:spacing w:val="4"/>
          <w:kern w:val="0"/>
          <w:sz w:val="24"/>
          <w:szCs w:val="24"/>
          <w:highlight w:val="none"/>
        </w:rPr>
        <w:br w:type="page"/>
      </w:r>
      <w:r>
        <w:rPr>
          <w:rFonts w:hint="eastAsia"/>
          <w:color w:val="auto"/>
          <w:sz w:val="24"/>
          <w:szCs w:val="24"/>
          <w:highlight w:val="none"/>
        </w:rPr>
        <w:t>技术标格式十一：</w:t>
      </w:r>
    </w:p>
    <w:p>
      <w:pPr>
        <w:pStyle w:val="206"/>
        <w:ind w:firstLine="617"/>
        <w:rPr>
          <w:rFonts w:hint="eastAsia" w:eastAsia="宋体" w:cs="宋体"/>
          <w:color w:val="auto"/>
          <w:sz w:val="24"/>
          <w:szCs w:val="24"/>
          <w:highlight w:val="none"/>
        </w:rPr>
      </w:pPr>
      <w:r>
        <w:rPr>
          <w:rFonts w:hint="eastAsia" w:eastAsia="宋体" w:cs="宋体"/>
          <w:color w:val="auto"/>
          <w:sz w:val="24"/>
          <w:szCs w:val="24"/>
          <w:highlight w:val="none"/>
        </w:rPr>
        <w:t>参与编制技术标投标文件人员名单</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470"/>
        <w:gridCol w:w="2520"/>
        <w:gridCol w:w="2415"/>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116"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r>
              <w:rPr>
                <w:rFonts w:hint="eastAsia" w:ascii="宋体" w:hAnsi="宋体" w:cs="宋体"/>
                <w:color w:val="auto"/>
                <w:szCs w:val="21"/>
                <w:highlight w:val="none"/>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r>
              <w:rPr>
                <w:rFonts w:hint="eastAsia" w:ascii="宋体" w:hAnsi="宋体" w:cs="宋体"/>
                <w:color w:val="auto"/>
                <w:szCs w:val="21"/>
                <w:highlight w:val="none"/>
              </w:rPr>
              <w:t>所承担工作</w:t>
            </w:r>
          </w:p>
        </w:tc>
        <w:tc>
          <w:tcPr>
            <w:tcW w:w="241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r>
              <w:rPr>
                <w:rFonts w:hint="eastAsia" w:ascii="宋体" w:hAnsi="宋体" w:cs="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r>
    </w:tbl>
    <w:p>
      <w:pPr>
        <w:autoSpaceDE w:val="0"/>
        <w:autoSpaceDN w:val="0"/>
        <w:adjustRightInd w:val="0"/>
        <w:spacing w:line="360" w:lineRule="auto"/>
        <w:rPr>
          <w:rFonts w:hint="eastAsia" w:ascii="宋体" w:hAnsi="宋体" w:cs="宋体"/>
          <w:bCs/>
          <w:color w:val="auto"/>
          <w:sz w:val="24"/>
          <w:szCs w:val="24"/>
          <w:highlight w:val="none"/>
        </w:rPr>
      </w:pPr>
      <w:r>
        <w:rPr>
          <w:rFonts w:hint="eastAsia" w:ascii="宋体" w:hAnsi="宋体" w:cs="宋体"/>
          <w:color w:val="auto"/>
          <w:sz w:val="24"/>
          <w:szCs w:val="24"/>
          <w:highlight w:val="none"/>
        </w:rPr>
        <w:t>注：参与编制技术标书所有人员名单应包括如编制技术投标方案、负责清样校对、负责打印及复印等所有人员在内的人员名单。</w:t>
      </w:r>
    </w:p>
    <w:p>
      <w:pPr>
        <w:autoSpaceDE w:val="0"/>
        <w:autoSpaceDN w:val="0"/>
        <w:adjustRightInd w:val="0"/>
        <w:spacing w:line="360" w:lineRule="auto"/>
        <w:rPr>
          <w:rFonts w:hint="eastAsia" w:ascii="宋体" w:hAnsi="宋体" w:cs="宋体"/>
          <w:b/>
          <w:color w:val="auto"/>
          <w:sz w:val="24"/>
          <w:szCs w:val="24"/>
          <w:highlight w:val="none"/>
        </w:rPr>
      </w:pPr>
      <w:r>
        <w:rPr>
          <w:rFonts w:ascii="宋体" w:hAnsi="宋体" w:cs="宋体"/>
          <w:b/>
          <w:color w:val="auto"/>
          <w:sz w:val="24"/>
          <w:szCs w:val="24"/>
          <w:highlight w:val="none"/>
        </w:rPr>
        <w:br w:type="page"/>
      </w:r>
    </w:p>
    <w:p>
      <w:pPr>
        <w:autoSpaceDE w:val="0"/>
        <w:autoSpaceDN w:val="0"/>
        <w:adjustRightInd w:val="0"/>
        <w:spacing w:line="360" w:lineRule="auto"/>
        <w:rPr>
          <w:rFonts w:hint="eastAsia" w:ascii="宋体" w:hAnsi="宋体" w:cs="宋体"/>
          <w:b/>
          <w:color w:val="auto"/>
          <w:sz w:val="24"/>
          <w:szCs w:val="24"/>
          <w:highlight w:val="none"/>
        </w:rPr>
      </w:pPr>
    </w:p>
    <w:p>
      <w:pPr>
        <w:autoSpaceDE w:val="0"/>
        <w:autoSpaceDN w:val="0"/>
        <w:adjustRightInd w:val="0"/>
        <w:spacing w:line="360" w:lineRule="auto"/>
        <w:jc w:val="center"/>
        <w:rPr>
          <w:rFonts w:hint="eastAsia" w:ascii="宋体" w:hAnsi="宋体" w:cs="宋体"/>
          <w:b/>
          <w:color w:val="auto"/>
          <w:sz w:val="24"/>
          <w:szCs w:val="24"/>
          <w:highlight w:val="none"/>
        </w:rPr>
      </w:pPr>
      <w:r>
        <w:rPr>
          <w:rFonts w:hint="eastAsia" w:ascii="宋体"/>
          <w:color w:val="auto"/>
          <w:sz w:val="32"/>
          <w:szCs w:val="32"/>
          <w:highlight w:val="none"/>
        </w:rPr>
        <w:t>二</w:t>
      </w:r>
      <w:r>
        <w:rPr>
          <w:rFonts w:ascii="宋体"/>
          <w:color w:val="auto"/>
          <w:sz w:val="32"/>
          <w:szCs w:val="32"/>
          <w:highlight w:val="none"/>
        </w:rPr>
        <w:t>、投标文件</w:t>
      </w:r>
      <w:r>
        <w:rPr>
          <w:rFonts w:hint="eastAsia" w:ascii="宋体"/>
          <w:color w:val="auto"/>
          <w:sz w:val="32"/>
          <w:szCs w:val="32"/>
          <w:highlight w:val="none"/>
        </w:rPr>
        <w:t>经济标</w:t>
      </w:r>
      <w:r>
        <w:rPr>
          <w:rFonts w:ascii="宋体"/>
          <w:color w:val="auto"/>
          <w:sz w:val="32"/>
          <w:szCs w:val="32"/>
          <w:highlight w:val="none"/>
        </w:rPr>
        <w:t>格式</w:t>
      </w:r>
    </w:p>
    <w:p>
      <w:pPr>
        <w:autoSpaceDE w:val="0"/>
        <w:autoSpaceDN w:val="0"/>
        <w:adjustRightInd w:val="0"/>
        <w:rPr>
          <w:rFonts w:hint="eastAsia" w:cs="宋体"/>
          <w:snapToGrid w:val="0"/>
          <w:color w:val="auto"/>
          <w:kern w:val="0"/>
          <w:highlight w:val="none"/>
        </w:rPr>
      </w:pPr>
      <w:r>
        <w:rPr>
          <w:rFonts w:ascii="宋体" w:hAnsi="宋体" w:cs="宋体"/>
          <w:color w:val="auto"/>
          <w:spacing w:val="4"/>
          <w:kern w:val="0"/>
          <w:sz w:val="24"/>
          <w:szCs w:val="24"/>
          <w:highlight w:val="none"/>
        </w:rPr>
        <w:br w:type="page"/>
      </w:r>
      <w:r>
        <w:rPr>
          <w:rFonts w:hint="eastAsia" w:ascii="宋体" w:hAnsi="宋体" w:eastAsia="Times New Roman"/>
          <w:bCs/>
          <w:color w:val="auto"/>
          <w:spacing w:val="4"/>
          <w:sz w:val="24"/>
          <w:szCs w:val="24"/>
          <w:highlight w:val="none"/>
        </w:rPr>
        <w:t>经济标格式一：</w:t>
      </w:r>
    </w:p>
    <w:p>
      <w:pPr>
        <w:autoSpaceDE w:val="0"/>
        <w:autoSpaceDN w:val="0"/>
        <w:adjustRightInd w:val="0"/>
        <w:ind w:left="-540" w:leftChars="-257" w:firstLine="538" w:firstLineChars="149"/>
        <w:jc w:val="center"/>
        <w:rPr>
          <w:rFonts w:ascii="宋体"/>
          <w:b/>
          <w:bCs/>
          <w:color w:val="auto"/>
          <w:sz w:val="52"/>
          <w:szCs w:val="52"/>
          <w:highlight w:val="none"/>
        </w:rPr>
      </w:pPr>
      <w:r>
        <w:rPr>
          <w:rFonts w:hint="eastAsia" w:ascii="宋体" w:hAnsi="宋体" w:cs="宋体"/>
          <w:b/>
          <w:bCs/>
          <w:color w:val="auto"/>
          <w:sz w:val="36"/>
          <w:szCs w:val="36"/>
          <w:highlight w:val="none"/>
          <w:lang w:val="zh-CN"/>
        </w:rPr>
        <w:t>广州建设工程施工招标投标书（经济标）</w:t>
      </w:r>
    </w:p>
    <w:tbl>
      <w:tblPr>
        <w:tblStyle w:val="48"/>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333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工 程 名 称</w:t>
            </w:r>
          </w:p>
        </w:tc>
        <w:tc>
          <w:tcPr>
            <w:tcW w:w="6045"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334"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604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hAnsi="宋体" w:cs="宋体"/>
                <w:b/>
                <w:bCs/>
                <w:color w:val="auto"/>
                <w:sz w:val="24"/>
                <w:szCs w:val="24"/>
                <w:highlight w:val="none"/>
                <w:lang w:val="zh-CN"/>
              </w:rPr>
            </w:pPr>
            <w:r>
              <w:rPr>
                <w:rFonts w:hint="eastAsia" w:ascii="宋体" w:hAnsi="宋体"/>
                <w:b/>
                <w:color w:val="auto"/>
                <w:sz w:val="24"/>
                <w:szCs w:val="24"/>
                <w:highlight w:val="none"/>
              </w:rPr>
              <w:t>大写：</w:t>
            </w:r>
            <w:r>
              <w:rPr>
                <w:rFonts w:ascii="宋体" w:hAnsi="宋体" w:cs="宋体"/>
                <w:b/>
                <w:bCs/>
                <w:color w:val="auto"/>
                <w:sz w:val="24"/>
                <w:szCs w:val="24"/>
                <w:highlight w:val="none"/>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3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hAnsi="宋体" w:cs="宋体"/>
                <w:b/>
                <w:bCs/>
                <w:color w:val="auto"/>
                <w:sz w:val="24"/>
                <w:szCs w:val="24"/>
                <w:highlight w:val="none"/>
                <w:lang w:val="zh-CN"/>
              </w:rPr>
            </w:pPr>
            <w:r>
              <w:rPr>
                <w:rFonts w:hint="eastAsia" w:ascii="宋体" w:hAnsi="宋体"/>
                <w:b/>
                <w:color w:val="auto"/>
                <w:sz w:val="24"/>
                <w:szCs w:val="24"/>
                <w:highlight w:val="none"/>
              </w:rPr>
              <w:t>小写：</w:t>
            </w:r>
            <w:r>
              <w:rPr>
                <w:rFonts w:ascii="宋体" w:hAnsi="宋体" w:cs="宋体"/>
                <w:b/>
                <w:bCs/>
                <w:color w:val="auto"/>
                <w:sz w:val="24"/>
                <w:szCs w:val="24"/>
                <w:highlight w:val="none"/>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334"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604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hAnsi="宋体" w:cs="宋体"/>
                <w:b/>
                <w:bCs/>
                <w:color w:val="auto"/>
                <w:sz w:val="24"/>
                <w:szCs w:val="24"/>
                <w:highlight w:val="none"/>
                <w:lang w:val="zh-CN"/>
              </w:rPr>
            </w:pPr>
            <w:r>
              <w:rPr>
                <w:rFonts w:hint="eastAsia" w:ascii="宋体" w:hAnsi="宋体"/>
                <w:b/>
                <w:color w:val="auto"/>
                <w:sz w:val="24"/>
                <w:szCs w:val="24"/>
                <w:highlight w:val="none"/>
              </w:rPr>
              <w:t>大写：</w:t>
            </w:r>
            <w:r>
              <w:rPr>
                <w:rFonts w:ascii="宋体" w:hAnsi="宋体" w:cs="宋体"/>
                <w:b/>
                <w:bCs/>
                <w:color w:val="auto"/>
                <w:sz w:val="24"/>
                <w:szCs w:val="24"/>
                <w:highlight w:val="none"/>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hAnsi="宋体" w:cs="宋体"/>
                <w:b/>
                <w:bCs/>
                <w:color w:val="auto"/>
                <w:sz w:val="24"/>
                <w:szCs w:val="24"/>
                <w:highlight w:val="none"/>
                <w:lang w:val="zh-CN"/>
              </w:rPr>
            </w:pPr>
            <w:r>
              <w:rPr>
                <w:rFonts w:hint="eastAsia" w:ascii="宋体" w:hAnsi="宋体"/>
                <w:b/>
                <w:color w:val="auto"/>
                <w:sz w:val="24"/>
                <w:szCs w:val="24"/>
                <w:highlight w:val="none"/>
              </w:rPr>
              <w:t>小写：</w:t>
            </w:r>
            <w:r>
              <w:rPr>
                <w:rFonts w:ascii="宋体" w:hAnsi="宋体" w:cs="宋体"/>
                <w:b/>
                <w:bCs/>
                <w:color w:val="auto"/>
                <w:sz w:val="24"/>
                <w:szCs w:val="24"/>
                <w:highlight w:val="none"/>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restart"/>
            <w:tcBorders>
              <w:top w:val="single" w:color="auto" w:sz="4" w:space="0"/>
              <w:left w:val="single" w:color="auto" w:sz="4" w:space="0"/>
              <w:right w:val="single" w:color="auto" w:sz="4" w:space="0"/>
            </w:tcBorders>
            <w:noWrap w:val="0"/>
            <w:vAlign w:val="center"/>
          </w:tcPr>
          <w:p>
            <w:pPr>
              <w:widowControl/>
              <w:jc w:val="left"/>
              <w:rPr>
                <w:rFonts w:ascii="宋体" w:hAnsi="宋体" w:cs="宋体"/>
                <w:b/>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绿色施工安全防护措施费（元）</w:t>
            </w:r>
          </w:p>
        </w:tc>
        <w:tc>
          <w:tcPr>
            <w:tcW w:w="604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hAnsi="宋体" w:cs="宋体"/>
                <w:b/>
                <w:bCs/>
                <w:color w:val="auto"/>
                <w:sz w:val="24"/>
                <w:szCs w:val="24"/>
                <w:highlight w:val="none"/>
                <w:lang w:val="zh-CN"/>
              </w:rPr>
            </w:pPr>
            <w:r>
              <w:rPr>
                <w:rFonts w:hint="eastAsia" w:ascii="宋体" w:hAnsi="宋体"/>
                <w:b/>
                <w:color w:val="auto"/>
                <w:sz w:val="24"/>
                <w:szCs w:val="24"/>
                <w:highlight w:val="none"/>
              </w:rPr>
              <w:t>大写：</w:t>
            </w:r>
            <w:r>
              <w:rPr>
                <w:rFonts w:ascii="宋体" w:hAnsi="宋体" w:cs="宋体"/>
                <w:b/>
                <w:bCs/>
                <w:color w:val="auto"/>
                <w:sz w:val="24"/>
                <w:szCs w:val="24"/>
                <w:highlight w:val="none"/>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left w:val="single" w:color="auto" w:sz="4" w:space="0"/>
              <w:right w:val="single" w:color="auto" w:sz="4" w:space="0"/>
            </w:tcBorders>
            <w:noWrap w:val="0"/>
            <w:vAlign w:val="center"/>
          </w:tcPr>
          <w:p>
            <w:pPr>
              <w:widowControl/>
              <w:jc w:val="left"/>
              <w:rPr>
                <w:rFonts w:ascii="宋体" w:hAnsi="宋体" w:cs="宋体"/>
                <w:b/>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hAnsi="宋体" w:cs="宋体"/>
                <w:b/>
                <w:bCs/>
                <w:color w:val="auto"/>
                <w:sz w:val="24"/>
                <w:szCs w:val="24"/>
                <w:highlight w:val="none"/>
                <w:lang w:val="zh-CN"/>
              </w:rPr>
            </w:pPr>
            <w:r>
              <w:rPr>
                <w:rFonts w:hint="eastAsia" w:ascii="宋体" w:hAnsi="宋体"/>
                <w:b/>
                <w:color w:val="auto"/>
                <w:sz w:val="24"/>
                <w:szCs w:val="24"/>
                <w:highlight w:val="none"/>
              </w:rPr>
              <w:t>小写：</w:t>
            </w:r>
            <w:r>
              <w:rPr>
                <w:rFonts w:ascii="宋体" w:hAnsi="宋体" w:cs="宋体"/>
                <w:b/>
                <w:bCs/>
                <w:color w:val="auto"/>
                <w:sz w:val="24"/>
                <w:szCs w:val="24"/>
                <w:highlight w:val="none"/>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restart"/>
            <w:tcBorders>
              <w:left w:val="single" w:color="auto" w:sz="4" w:space="0"/>
              <w:right w:val="single" w:color="auto" w:sz="4" w:space="0"/>
            </w:tcBorders>
            <w:noWrap w:val="0"/>
            <w:vAlign w:val="center"/>
          </w:tcPr>
          <w:p>
            <w:pPr>
              <w:widowControl/>
              <w:jc w:val="center"/>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其中： 暂列金额</w:t>
            </w:r>
            <w:r>
              <w:rPr>
                <w:rFonts w:hint="eastAsia" w:ascii="宋体" w:hAnsi="宋体" w:cs="宋体"/>
                <w:b/>
                <w:color w:val="auto"/>
                <w:sz w:val="24"/>
                <w:szCs w:val="24"/>
                <w:highlight w:val="none"/>
                <w:lang w:val="zh-CN"/>
              </w:rPr>
              <w:t>（元）</w:t>
            </w:r>
          </w:p>
        </w:tc>
        <w:tc>
          <w:tcPr>
            <w:tcW w:w="604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hAnsi="宋体" w:cs="宋体"/>
                <w:b/>
                <w:bCs/>
                <w:color w:val="auto"/>
                <w:sz w:val="24"/>
                <w:szCs w:val="24"/>
                <w:highlight w:val="none"/>
                <w:lang w:val="zh-CN"/>
              </w:rPr>
            </w:pPr>
            <w:r>
              <w:rPr>
                <w:rFonts w:hint="eastAsia" w:ascii="宋体" w:hAnsi="宋体"/>
                <w:b/>
                <w:color w:val="auto"/>
                <w:sz w:val="24"/>
                <w:szCs w:val="24"/>
                <w:highlight w:val="none"/>
              </w:rPr>
              <w:t>大写：</w:t>
            </w:r>
            <w:r>
              <w:rPr>
                <w:rFonts w:ascii="宋体" w:hAnsi="宋体" w:cs="宋体"/>
                <w:b/>
                <w:bCs/>
                <w:color w:val="auto"/>
                <w:sz w:val="24"/>
                <w:szCs w:val="24"/>
                <w:highlight w:val="none"/>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left w:val="single" w:color="auto" w:sz="4" w:space="0"/>
              <w:right w:val="single" w:color="auto" w:sz="4" w:space="0"/>
            </w:tcBorders>
            <w:noWrap w:val="0"/>
            <w:vAlign w:val="center"/>
          </w:tcPr>
          <w:p>
            <w:pPr>
              <w:widowControl/>
              <w:jc w:val="left"/>
              <w:rPr>
                <w:rFonts w:ascii="宋体" w:hAnsi="宋体" w:cs="宋体"/>
                <w:b/>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hAnsi="宋体" w:cs="宋体"/>
                <w:b/>
                <w:bCs/>
                <w:color w:val="auto"/>
                <w:sz w:val="24"/>
                <w:szCs w:val="24"/>
                <w:highlight w:val="none"/>
                <w:lang w:val="zh-CN"/>
              </w:rPr>
            </w:pPr>
            <w:r>
              <w:rPr>
                <w:rFonts w:hint="eastAsia" w:ascii="宋体" w:hAnsi="宋体"/>
                <w:b/>
                <w:color w:val="auto"/>
                <w:sz w:val="24"/>
                <w:szCs w:val="24"/>
                <w:highlight w:val="none"/>
              </w:rPr>
              <w:t>小写：</w:t>
            </w:r>
            <w:r>
              <w:rPr>
                <w:rFonts w:ascii="宋体" w:hAnsi="宋体" w:cs="宋体"/>
                <w:b/>
                <w:bCs/>
                <w:color w:val="auto"/>
                <w:sz w:val="24"/>
                <w:szCs w:val="24"/>
                <w:highlight w:val="none"/>
                <w:lang w:val="zh-CN"/>
              </w:rPr>
              <w:t xml:space="preserve"> </w:t>
            </w:r>
          </w:p>
        </w:tc>
      </w:tr>
    </w:tbl>
    <w:p>
      <w:pPr>
        <w:tabs>
          <w:tab w:val="left" w:pos="720"/>
        </w:tabs>
        <w:snapToGrid w:val="0"/>
        <w:spacing w:line="360" w:lineRule="auto"/>
        <w:rPr>
          <w:color w:val="auto"/>
          <w:sz w:val="24"/>
          <w:szCs w:val="24"/>
          <w:highlight w:val="none"/>
        </w:rPr>
      </w:pPr>
    </w:p>
    <w:p>
      <w:pPr>
        <w:pStyle w:val="5"/>
        <w:spacing w:after="0" w:line="360" w:lineRule="auto"/>
        <w:ind w:firstLine="0"/>
        <w:jc w:val="left"/>
        <w:rPr>
          <w:color w:val="auto"/>
          <w:highlight w:val="none"/>
        </w:rPr>
      </w:pPr>
      <w:r>
        <w:rPr>
          <w:color w:val="auto"/>
          <w:sz w:val="24"/>
          <w:szCs w:val="24"/>
          <w:highlight w:val="none"/>
        </w:rPr>
        <w:br w:type="page"/>
      </w:r>
      <w:r>
        <w:rPr>
          <w:rFonts w:hint="eastAsia" w:ascii="宋体" w:hAnsi="宋体" w:eastAsia="Times New Roman"/>
          <w:bCs/>
          <w:color w:val="auto"/>
          <w:spacing w:val="4"/>
          <w:sz w:val="24"/>
          <w:szCs w:val="24"/>
          <w:highlight w:val="none"/>
        </w:rPr>
        <w:t>经济标格式</w:t>
      </w:r>
      <w:r>
        <w:rPr>
          <w:rFonts w:hint="eastAsia" w:ascii="宋体" w:hAnsi="宋体"/>
          <w:bCs/>
          <w:color w:val="auto"/>
          <w:spacing w:val="4"/>
          <w:sz w:val="24"/>
          <w:szCs w:val="24"/>
          <w:highlight w:val="none"/>
        </w:rPr>
        <w:t>二</w:t>
      </w:r>
      <w:r>
        <w:rPr>
          <w:rFonts w:hint="eastAsia" w:ascii="宋体" w:hAnsi="宋体" w:eastAsia="Times New Roman"/>
          <w:bCs/>
          <w:color w:val="auto"/>
          <w:spacing w:val="4"/>
          <w:sz w:val="24"/>
          <w:szCs w:val="24"/>
          <w:highlight w:val="none"/>
        </w:rPr>
        <w:t>：</w:t>
      </w:r>
    </w:p>
    <w:p>
      <w:pPr>
        <w:pStyle w:val="5"/>
        <w:spacing w:after="0" w:line="360" w:lineRule="auto"/>
        <w:ind w:firstLine="0"/>
        <w:jc w:val="center"/>
        <w:rPr>
          <w:color w:val="auto"/>
          <w:sz w:val="32"/>
          <w:szCs w:val="32"/>
          <w:highlight w:val="none"/>
        </w:rPr>
      </w:pPr>
      <w:r>
        <w:rPr>
          <w:rFonts w:hint="eastAsia"/>
          <w:b/>
          <w:color w:val="auto"/>
          <w:sz w:val="32"/>
          <w:szCs w:val="32"/>
          <w:highlight w:val="none"/>
        </w:rPr>
        <w:t>对投标文件编制的承诺</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本公司授权</w:t>
      </w:r>
      <w:r>
        <w:rPr>
          <w:rFonts w:hint="eastAsia" w:ascii="宋体" w:hAnsi="宋体"/>
          <w:color w:val="auto"/>
          <w:sz w:val="24"/>
          <w:szCs w:val="24"/>
          <w:highlight w:val="none"/>
          <w:u w:val="single"/>
        </w:rPr>
        <w:t xml:space="preserve">         （身份证号：               ）</w:t>
      </w:r>
      <w:r>
        <w:rPr>
          <w:rFonts w:hint="eastAsia" w:ascii="宋体" w:hAnsi="宋体"/>
          <w:color w:val="auto"/>
          <w:sz w:val="24"/>
          <w:szCs w:val="24"/>
          <w:highlight w:val="none"/>
        </w:rPr>
        <w:t>负责对投标文件的编制及内容进行解释、说明，并承诺以下事项：</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1.被授权人清楚投标文件编制的具体情况，包括技术方案文件、工程量清单、以及投标文件的加密打包的理解；</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2.在本项目开标至评标结束前，努力确保被授权人在项目评标所在地附近；</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3.从评标委员会要求澄清起二小时内，被授权人应如实地书面澄清。</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 xml:space="preserve">如由于未遵守上述承诺内容之一导致无法进行澄清的，我公司认可和接受评标委员会作出的评审结论。                                 </w:t>
      </w:r>
    </w:p>
    <w:p>
      <w:pPr>
        <w:pStyle w:val="5"/>
        <w:spacing w:after="0" w:line="360" w:lineRule="auto"/>
        <w:ind w:firstLine="360" w:firstLineChars="150"/>
        <w:rPr>
          <w:rFonts w:ascii="宋体" w:hAnsi="宋体"/>
          <w:color w:val="auto"/>
          <w:sz w:val="24"/>
          <w:szCs w:val="24"/>
          <w:highlight w:val="none"/>
        </w:rPr>
      </w:pP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附件：《投标文件编制情况》</w:t>
      </w:r>
    </w:p>
    <w:p>
      <w:pPr>
        <w:spacing w:line="360" w:lineRule="auto"/>
        <w:ind w:right="90" w:firstLine="3240" w:firstLineChars="1350"/>
        <w:rPr>
          <w:rFonts w:ascii="宋体" w:hAnsi="宋体"/>
          <w:color w:val="auto"/>
          <w:sz w:val="24"/>
          <w:szCs w:val="24"/>
          <w:highlight w:val="none"/>
          <w:u w:val="single"/>
        </w:rPr>
      </w:pPr>
      <w:r>
        <w:rPr>
          <w:rFonts w:hint="eastAsia" w:ascii="宋体" w:hAnsi="宋体"/>
          <w:color w:val="auto"/>
          <w:sz w:val="24"/>
          <w:szCs w:val="24"/>
          <w:highlight w:val="none"/>
        </w:rPr>
        <w:t xml:space="preserve"> 投标人名称（盖法人公章）：</w:t>
      </w:r>
    </w:p>
    <w:p>
      <w:pPr>
        <w:spacing w:line="360" w:lineRule="auto"/>
        <w:ind w:firstLine="2160" w:firstLineChars="900"/>
        <w:rPr>
          <w:rFonts w:ascii="宋体" w:hAnsi="宋体"/>
          <w:color w:val="auto"/>
          <w:sz w:val="24"/>
          <w:szCs w:val="24"/>
          <w:highlight w:val="none"/>
          <w:u w:val="single"/>
        </w:rPr>
      </w:pPr>
      <w:r>
        <w:rPr>
          <w:rFonts w:hint="eastAsia" w:ascii="宋体" w:hAnsi="宋体"/>
          <w:color w:val="auto"/>
          <w:sz w:val="24"/>
          <w:szCs w:val="24"/>
          <w:highlight w:val="none"/>
        </w:rPr>
        <w:t>法定代表人或被授权人（签字或盖章）：</w:t>
      </w:r>
    </w:p>
    <w:p>
      <w:pPr>
        <w:spacing w:line="360" w:lineRule="auto"/>
        <w:ind w:firstLine="4440" w:firstLineChars="1850"/>
        <w:jc w:val="center"/>
        <w:rPr>
          <w:color w:val="auto"/>
          <w:sz w:val="24"/>
          <w:szCs w:val="24"/>
          <w:highlight w:val="none"/>
        </w:rPr>
      </w:pPr>
      <w:r>
        <w:rPr>
          <w:rFonts w:hint="eastAsia"/>
          <w:color w:val="auto"/>
          <w:sz w:val="24"/>
          <w:szCs w:val="24"/>
          <w:highlight w:val="none"/>
        </w:rPr>
        <w:t>日期：年月日</w:t>
      </w:r>
    </w:p>
    <w:p>
      <w:pPr>
        <w:pStyle w:val="5"/>
        <w:spacing w:after="0" w:line="360" w:lineRule="auto"/>
        <w:ind w:firstLine="643" w:firstLineChars="200"/>
        <w:jc w:val="center"/>
        <w:rPr>
          <w:color w:val="auto"/>
          <w:sz w:val="18"/>
          <w:szCs w:val="18"/>
          <w:highlight w:val="none"/>
        </w:rPr>
      </w:pPr>
      <w:r>
        <w:rPr>
          <w:rFonts w:hint="eastAsia"/>
          <w:b/>
          <w:color w:val="auto"/>
          <w:sz w:val="32"/>
          <w:szCs w:val="32"/>
          <w:highlight w:val="none"/>
        </w:rPr>
        <w:t>投标文件编制情况</w:t>
      </w:r>
    </w:p>
    <w:p>
      <w:pPr>
        <w:pStyle w:val="5"/>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1.投标文件报价编制方式: □自行编制的，编制的负责人：</w:t>
      </w:r>
      <w:r>
        <w:rPr>
          <w:rFonts w:hint="eastAsia" w:ascii="宋体" w:hAnsi="宋体"/>
          <w:color w:val="auto"/>
          <w:sz w:val="24"/>
          <w:szCs w:val="24"/>
          <w:highlight w:val="none"/>
          <w:u w:val="single"/>
        </w:rPr>
        <w:t xml:space="preserve"> （盖造价工程师执业专用章或全国建设工程造价员章，执业单位应与投标人一致） </w:t>
      </w:r>
      <w:r>
        <w:rPr>
          <w:rFonts w:hint="eastAsia" w:ascii="宋体" w:hAnsi="宋体"/>
          <w:color w:val="auto"/>
          <w:sz w:val="24"/>
          <w:szCs w:val="24"/>
          <w:highlight w:val="none"/>
        </w:rPr>
        <w:t>。□委托编制的，受委托单位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，编制的负责人：</w:t>
      </w:r>
      <w:r>
        <w:rPr>
          <w:rFonts w:hint="eastAsia" w:ascii="宋体" w:hAnsi="宋体"/>
          <w:color w:val="auto"/>
          <w:sz w:val="24"/>
          <w:szCs w:val="24"/>
          <w:highlight w:val="none"/>
          <w:u w:val="single"/>
        </w:rPr>
        <w:t xml:space="preserve"> （盖造价工程师执业专用章或全国建设工程造价员章，执业单位应与受委托单位一致） </w:t>
      </w:r>
      <w:r>
        <w:rPr>
          <w:rFonts w:hint="eastAsia" w:ascii="宋体" w:hAnsi="宋体"/>
          <w:color w:val="auto"/>
          <w:sz w:val="24"/>
          <w:szCs w:val="24"/>
          <w:highlight w:val="none"/>
        </w:rPr>
        <w:t>。</w:t>
      </w: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2.投标文件加密打包的电脑情况</w:t>
      </w:r>
    </w:p>
    <w:tbl>
      <w:tblPr>
        <w:tblStyle w:val="48"/>
        <w:tblW w:w="0" w:type="auto"/>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19" w:hRule="atLeast"/>
        </w:trPr>
        <w:tc>
          <w:tcPr>
            <w:tcW w:w="8522" w:type="dxa"/>
            <w:noWrap w:val="0"/>
            <w:vAlign w:val="top"/>
          </w:tcPr>
          <w:p>
            <w:pPr>
              <w:pStyle w:val="5"/>
              <w:spacing w:after="0" w:line="360" w:lineRule="auto"/>
              <w:ind w:firstLine="0"/>
              <w:rPr>
                <w:rFonts w:ascii="宋体" w:hAnsi="宋体"/>
                <w:color w:val="auto"/>
                <w:kern w:val="2"/>
                <w:sz w:val="24"/>
                <w:szCs w:val="24"/>
                <w:highlight w:val="none"/>
                <w:lang w:val="en-US" w:eastAsia="zh-CN"/>
              </w:rPr>
            </w:pPr>
            <w:r>
              <w:rPr>
                <w:rFonts w:hint="eastAsia" w:ascii="宋体" w:hAnsi="宋体"/>
                <w:color w:val="auto"/>
                <w:kern w:val="2"/>
                <w:sz w:val="24"/>
                <w:szCs w:val="24"/>
                <w:highlight w:val="none"/>
                <w:lang w:val="en-US" w:eastAsia="zh-CN"/>
              </w:rPr>
              <w:t>投标文件加密打包的电脑  自有    □      外包    □   其他    □</w:t>
            </w:r>
          </w:p>
          <w:p>
            <w:pPr>
              <w:pStyle w:val="5"/>
              <w:spacing w:after="0" w:line="360" w:lineRule="auto"/>
              <w:ind w:firstLine="0"/>
              <w:rPr>
                <w:rFonts w:ascii="宋体" w:hAnsi="宋体"/>
                <w:color w:val="auto"/>
                <w:kern w:val="2"/>
                <w:sz w:val="24"/>
                <w:szCs w:val="24"/>
                <w:highlight w:val="none"/>
                <w:lang w:val="en-US" w:eastAsia="zh-CN"/>
              </w:rPr>
            </w:pPr>
            <w:r>
              <w:rPr>
                <w:rFonts w:hint="eastAsia" w:ascii="宋体" w:hAnsi="宋体"/>
                <w:color w:val="auto"/>
                <w:kern w:val="2"/>
                <w:sz w:val="24"/>
                <w:szCs w:val="24"/>
                <w:highlight w:val="none"/>
                <w:lang w:val="en-US" w:eastAsia="zh-CN"/>
              </w:rPr>
              <w:t>电脑类型</w:t>
            </w:r>
          </w:p>
          <w:p>
            <w:pPr>
              <w:pStyle w:val="5"/>
              <w:spacing w:after="0" w:line="360" w:lineRule="auto"/>
              <w:ind w:firstLine="0"/>
              <w:rPr>
                <w:rFonts w:ascii="宋体" w:hAnsi="宋体"/>
                <w:color w:val="auto"/>
                <w:kern w:val="2"/>
                <w:sz w:val="24"/>
                <w:szCs w:val="24"/>
                <w:highlight w:val="none"/>
                <w:lang w:val="en-US" w:eastAsia="zh-CN"/>
              </w:rPr>
            </w:pPr>
            <w:r>
              <w:rPr>
                <w:rFonts w:hint="eastAsia" w:ascii="宋体" w:hAnsi="宋体"/>
                <w:color w:val="auto"/>
                <w:kern w:val="2"/>
                <w:sz w:val="24"/>
                <w:szCs w:val="24"/>
                <w:highlight w:val="none"/>
                <w:lang w:val="en-US" w:eastAsia="zh-CN"/>
              </w:rPr>
              <w:t>电脑所属单位</w:t>
            </w:r>
          </w:p>
          <w:p>
            <w:pPr>
              <w:pStyle w:val="5"/>
              <w:spacing w:after="0" w:line="360" w:lineRule="auto"/>
              <w:ind w:firstLine="0"/>
              <w:rPr>
                <w:rFonts w:ascii="宋体" w:hAnsi="宋体"/>
                <w:color w:val="auto"/>
                <w:kern w:val="2"/>
                <w:sz w:val="24"/>
                <w:szCs w:val="24"/>
                <w:highlight w:val="none"/>
                <w:lang w:val="en-US" w:eastAsia="zh-CN"/>
              </w:rPr>
            </w:pPr>
            <w:r>
              <w:rPr>
                <w:rFonts w:hint="eastAsia" w:ascii="宋体" w:hAnsi="宋体"/>
                <w:color w:val="auto"/>
                <w:kern w:val="2"/>
                <w:sz w:val="24"/>
                <w:szCs w:val="24"/>
                <w:highlight w:val="none"/>
                <w:lang w:val="en-US" w:eastAsia="zh-CN"/>
              </w:rPr>
              <w:t>电脑所在地址        （如××市××区(县) ××街（路）××号××大厦××房）</w:t>
            </w:r>
          </w:p>
        </w:tc>
      </w:tr>
    </w:tbl>
    <w:p>
      <w:pPr>
        <w:spacing w:line="360" w:lineRule="auto"/>
        <w:rPr>
          <w:rFonts w:ascii="宋体" w:hAnsi="宋体"/>
          <w:color w:val="auto"/>
          <w:sz w:val="24"/>
          <w:szCs w:val="24"/>
          <w:highlight w:val="none"/>
        </w:rPr>
      </w:pPr>
    </w:p>
    <w:p>
      <w:pPr>
        <w:autoSpaceDE w:val="0"/>
        <w:autoSpaceDN w:val="0"/>
        <w:adjustRightInd w:val="0"/>
        <w:spacing w:line="360" w:lineRule="auto"/>
        <w:rPr>
          <w:rFonts w:hint="eastAsia" w:ascii="宋体" w:hAnsi="宋体" w:cs="宋体"/>
          <w:color w:val="auto"/>
          <w:sz w:val="24"/>
          <w:szCs w:val="24"/>
          <w:highlight w:val="none"/>
        </w:rPr>
      </w:pPr>
      <w:r>
        <w:rPr>
          <w:rFonts w:ascii="宋体" w:hAnsi="宋体" w:eastAsia="Times New Roman"/>
          <w:bCs/>
          <w:color w:val="auto"/>
          <w:spacing w:val="4"/>
          <w:sz w:val="24"/>
          <w:szCs w:val="24"/>
          <w:highlight w:val="none"/>
        </w:rPr>
        <w:br w:type="page"/>
      </w:r>
      <w:r>
        <w:rPr>
          <w:rFonts w:hint="eastAsia" w:ascii="宋体" w:hAnsi="宋体" w:eastAsia="Times New Roman"/>
          <w:bCs/>
          <w:color w:val="auto"/>
          <w:spacing w:val="4"/>
          <w:sz w:val="24"/>
          <w:szCs w:val="24"/>
          <w:highlight w:val="none"/>
        </w:rPr>
        <w:t>经济标格式</w:t>
      </w:r>
      <w:r>
        <w:rPr>
          <w:rFonts w:hint="eastAsia" w:ascii="宋体" w:hAnsi="宋体"/>
          <w:bCs/>
          <w:color w:val="auto"/>
          <w:spacing w:val="4"/>
          <w:sz w:val="24"/>
          <w:szCs w:val="24"/>
          <w:highlight w:val="none"/>
        </w:rPr>
        <w:t>三</w:t>
      </w:r>
      <w:r>
        <w:rPr>
          <w:rFonts w:hint="eastAsia" w:ascii="宋体" w:hAnsi="宋体" w:cs="宋体"/>
          <w:color w:val="auto"/>
          <w:sz w:val="24"/>
          <w:szCs w:val="24"/>
          <w:highlight w:val="none"/>
        </w:rPr>
        <w:t>：</w:t>
      </w:r>
    </w:p>
    <w:p>
      <w:pPr>
        <w:autoSpaceDE w:val="0"/>
        <w:autoSpaceDN w:val="0"/>
        <w:adjustRightInd w:val="0"/>
        <w:spacing w:line="360" w:lineRule="auto"/>
        <w:rPr>
          <w:rFonts w:hint="eastAsia" w:ascii="宋体" w:hAnsi="宋体" w:cs="宋体"/>
          <w:color w:val="auto"/>
          <w:sz w:val="24"/>
          <w:szCs w:val="24"/>
          <w:highlight w:val="none"/>
        </w:rPr>
      </w:pPr>
    </w:p>
    <w:p>
      <w:pPr>
        <w:topLinePunct/>
        <w:adjustRightInd w:val="0"/>
        <w:snapToGrid w:val="0"/>
        <w:spacing w:line="360" w:lineRule="auto"/>
        <w:ind w:firstLine="617"/>
        <w:jc w:val="center"/>
        <w:rPr>
          <w:rFonts w:hint="eastAsia" w:ascii="宋体" w:hAnsi="宋体" w:cs="宋体"/>
          <w:b/>
          <w:snapToGrid w:val="0"/>
          <w:color w:val="auto"/>
          <w:spacing w:val="4"/>
          <w:kern w:val="0"/>
          <w:sz w:val="24"/>
          <w:szCs w:val="24"/>
          <w:highlight w:val="none"/>
        </w:rPr>
      </w:pPr>
      <w:r>
        <w:rPr>
          <w:rFonts w:hint="eastAsia" w:ascii="宋体" w:hAnsi="宋体" w:cs="宋体"/>
          <w:b/>
          <w:snapToGrid w:val="0"/>
          <w:color w:val="auto"/>
          <w:spacing w:val="4"/>
          <w:kern w:val="0"/>
          <w:sz w:val="24"/>
          <w:szCs w:val="24"/>
          <w:highlight w:val="none"/>
        </w:rPr>
        <w:t>参与编制经济标投标文件人员名单</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41"/>
        <w:gridCol w:w="2461"/>
        <w:gridCol w:w="2359"/>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919"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3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24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所承担工作</w:t>
            </w:r>
          </w:p>
        </w:tc>
        <w:tc>
          <w:tcPr>
            <w:tcW w:w="235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3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4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35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4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35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4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35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4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35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4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35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4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35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3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4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35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3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4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35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r>
    </w:tbl>
    <w:p>
      <w:pPr>
        <w:tabs>
          <w:tab w:val="left" w:pos="720"/>
        </w:tabs>
        <w:snapToGrid w:val="0"/>
        <w:spacing w:line="360" w:lineRule="auto"/>
        <w:rPr>
          <w:rFonts w:hint="eastAsia" w:ascii="宋体" w:hAnsi="宋体" w:cs="宋体"/>
          <w:color w:val="auto"/>
          <w:sz w:val="24"/>
          <w:szCs w:val="24"/>
          <w:highlight w:val="none"/>
        </w:rPr>
      </w:pPr>
    </w:p>
    <w:p>
      <w:pPr>
        <w:spacing w:line="320" w:lineRule="exact"/>
        <w:rPr>
          <w:rFonts w:ascii="仿宋_GB2312" w:hAnsi="楷体" w:eastAsia="仿宋_GB2312"/>
          <w:color w:val="auto"/>
          <w:szCs w:val="21"/>
          <w:highlight w:val="none"/>
        </w:rPr>
      </w:pPr>
      <w:r>
        <w:rPr>
          <w:rFonts w:hint="eastAsia" w:ascii="宋体" w:hAnsi="宋体" w:cs="宋体"/>
          <w:snapToGrid w:val="0"/>
          <w:color w:val="auto"/>
          <w:spacing w:val="4"/>
          <w:kern w:val="0"/>
          <w:sz w:val="24"/>
          <w:szCs w:val="24"/>
          <w:highlight w:val="none"/>
        </w:rPr>
        <w:t>注：参与编制经济标书所有人员名单应包括如编制各种专业工程量清单投标报价、负责清样校对、负责打印及复印等所有人员在内的人员名单</w:t>
      </w:r>
    </w:p>
    <w:p>
      <w:pPr>
        <w:tabs>
          <w:tab w:val="left" w:pos="720"/>
        </w:tabs>
        <w:snapToGrid w:val="0"/>
        <w:spacing w:line="360" w:lineRule="auto"/>
        <w:jc w:val="center"/>
        <w:rPr>
          <w:rFonts w:hint="eastAsia"/>
          <w:color w:val="auto"/>
          <w:sz w:val="24"/>
          <w:szCs w:val="24"/>
          <w:highlight w:val="none"/>
        </w:rPr>
      </w:pPr>
      <w:r>
        <w:rPr>
          <w:color w:val="auto"/>
          <w:sz w:val="24"/>
          <w:szCs w:val="24"/>
          <w:highlight w:val="none"/>
        </w:rPr>
        <w:br w:type="page"/>
      </w:r>
      <w:bookmarkStart w:id="46" w:name="_Toc2272568"/>
      <w:bookmarkStart w:id="47" w:name="_Toc21525513"/>
    </w:p>
    <w:p>
      <w:pPr>
        <w:tabs>
          <w:tab w:val="left" w:pos="720"/>
        </w:tabs>
        <w:snapToGrid w:val="0"/>
        <w:spacing w:line="360" w:lineRule="auto"/>
        <w:jc w:val="center"/>
        <w:rPr>
          <w:rStyle w:val="64"/>
          <w:color w:val="auto"/>
          <w:highlight w:val="none"/>
        </w:rPr>
      </w:pPr>
      <w:r>
        <w:rPr>
          <w:rStyle w:val="64"/>
          <w:rFonts w:hint="eastAsia"/>
          <w:color w:val="auto"/>
          <w:highlight w:val="none"/>
        </w:rPr>
        <w:t>第五章</w:t>
      </w:r>
      <w:r>
        <w:rPr>
          <w:rStyle w:val="50"/>
          <w:color w:val="auto"/>
          <w:highlight w:val="none"/>
        </w:rPr>
        <w:t xml:space="preserve"> </w:t>
      </w:r>
      <w:r>
        <w:rPr>
          <w:rStyle w:val="64"/>
          <w:rFonts w:hint="eastAsia"/>
          <w:color w:val="auto"/>
          <w:highlight w:val="none"/>
        </w:rPr>
        <w:t>技术条件（工程建设标准）</w:t>
      </w:r>
      <w:bookmarkEnd w:id="46"/>
      <w:bookmarkEnd w:id="47"/>
    </w:p>
    <w:p>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一、标准</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以现行的中华人民共和国及有关部委颁布的标准、规范、和规程。若施工时期建设主管部门颁布新的规范、标准，则按照新的规范、标准执行。</w:t>
      </w:r>
    </w:p>
    <w:p>
      <w:pPr>
        <w:spacing w:line="360" w:lineRule="auto"/>
        <w:rPr>
          <w:rFonts w:hint="eastAsia" w:ascii="宋体" w:hAnsi="宋体" w:cs="宋体"/>
          <w:color w:val="auto"/>
          <w:sz w:val="24"/>
          <w:szCs w:val="24"/>
          <w:highlight w:val="none"/>
        </w:rPr>
      </w:pPr>
    </w:p>
    <w:p>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二、施工组织设计要点</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如果中标，中标人应按项目的进展需求，并在规定的时间内按要点要求，编制详细的施工组织设计，作为工程施工的指导性文件，向建设单位提交一式四份的《施工组织设计方案》，内容包括（不限于）以下：</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（一）工程概况及特点</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1.1 工程概况</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工程简述，工程规模，工程承包范围，地质及地貌状况，自然环境，交通情况等。</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1.2 工程特点</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设计特点、工程特点、影响施工的主要和特殊环节分析等。</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（二）施工现场组织机构</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2.1 组织机构关系图</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2.2 工程主要负责人简介。</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（三）施工现场总平面布置图</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3.1 施工现场平面布置图</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（四）施工方案</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4.1 施工准备</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简要叙述施工技术资料、材料、通讯、施工场地的准备，施工机械、施工力量的配置，以及生活设施等的准备情况。主要施工机械设备表。</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4.2 施工工序总体安排</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4.3 主要工序和特殊工序的施工方法和施工效率估计，潜在问题的分析。</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4.4 工程成本的控制措施为控制成本，提高效益，拟采取的措施。</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（五）工期及施工进度计划</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5.1 工期规划及要求</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用横道图反映各主要施工过程的计划进度，深度达到全面、准确、清楚的描述工程实施过程，从中可衍生出各种施工资源计划及其过程管理信息。</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5.2 施工进度计划网络图</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施工网络图应明确工程开工、竣工日期，工程施工的关键路线，并针对关键工序，提出确保工期拟采取的措施。</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5.3 施工资源（人力、材料、机具、场地及进场道路、公共关系）计划</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5.4 施工进度计划分析</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计划潜在问题，计划中的潜力及其开发途径等。</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5.5 计划控制</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程序、方法及制度等。</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（六）质量目标、质量保证体系及技术组织措施</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6.1 质量目标</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本工程要求的质量目标：合格。</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用单位工程和分项工程合格率、优良品率表示，欲达到的工程质量等级。</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6.2 质量管理组织机构及主要职责</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用框图表示质量管理组织机构，并简要叙述各质量管理部门的主要职责。</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6.3 质量管理的措施</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简要叙述质量管理的措施和关键工序的质量控制。</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6.4 质量管理及检验的标准</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执行的主要质量标准、规范。</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6.5 质量保证技术措施</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针对本工程特点，分析质量薄弱环节，拟将采取的技术措施。</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（七）安全目标、安全保证体系及技术组织措施</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7.1 安全管理目标</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7.2 安全管理组织机构及主要职责</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用框图表示安全管理组织机构，并简要叙述各安全管理部门及人员的主要职责。</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7.3 安全管理制度及办法</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7.4 安全组织技术措施</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针对本工程特点，分析安全薄弱环节，拟将采取的技术措施。</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7.5 重要施工方案和特殊施工工序的安全过程控制</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pPr>
        <w:spacing w:line="360" w:lineRule="auto"/>
        <w:ind w:firstLine="424" w:firstLineChars="177"/>
        <w:rPr>
          <w:rFonts w:hint="eastAsia" w:ascii="宋体" w:hAnsi="宋体" w:cs="宋体"/>
          <w:color w:val="auto"/>
          <w:sz w:val="24"/>
          <w:szCs w:val="24"/>
          <w:highlight w:val="none"/>
        </w:rPr>
      </w:pPr>
      <w:bookmarkStart w:id="48" w:name="_Hlt531956504"/>
      <w:r>
        <w:rPr>
          <w:rFonts w:hint="eastAsia" w:ascii="宋体" w:hAnsi="宋体" w:cs="宋体"/>
          <w:color w:val="auto"/>
          <w:sz w:val="24"/>
          <w:szCs w:val="24"/>
          <w:highlight w:val="none"/>
        </w:rPr>
        <w:t>安全生产目标：杜绝本项目施工人员重大伤亡事故。</w:t>
      </w:r>
      <w:bookmarkEnd w:id="48"/>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文明施工目标：标准化管理。</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（八）环境保护及文明施工</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8.1 环境保护</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分析因施工可能引起的环境保护方面的问题。</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8.2 加强施工管理、严格保护环境</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提出环境保护的目标及采取的具体措施。</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8.3 文明施工的目标、组织机构和实施方案</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8.4 文明施工考核、管理办法</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（九）计划、统计和信息管理</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9.1 计划、统计报表的编制与传递；</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9.2 信息管理</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提出信息管理的目标及拟将采取的措施。</w:t>
      </w:r>
    </w:p>
    <w:p>
      <w:pPr>
        <w:spacing w:line="360" w:lineRule="auto"/>
        <w:ind w:firstLine="480" w:firstLineChars="200"/>
        <w:rPr>
          <w:rFonts w:ascii="宋体"/>
          <w:color w:val="auto"/>
          <w:sz w:val="24"/>
          <w:szCs w:val="24"/>
          <w:highlight w:val="none"/>
        </w:rPr>
      </w:pPr>
    </w:p>
    <w:p>
      <w:pPr>
        <w:pStyle w:val="3"/>
        <w:rPr>
          <w:color w:val="auto"/>
          <w:highlight w:val="none"/>
        </w:rPr>
      </w:pPr>
      <w:r>
        <w:rPr>
          <w:color w:val="auto"/>
          <w:sz w:val="24"/>
          <w:szCs w:val="24"/>
          <w:highlight w:val="none"/>
        </w:rPr>
        <w:br w:type="page"/>
      </w:r>
      <w:bookmarkStart w:id="49" w:name="_Toc2272569"/>
      <w:bookmarkStart w:id="50" w:name="_Toc21525514"/>
      <w:r>
        <w:rPr>
          <w:rFonts w:hint="eastAsia"/>
          <w:color w:val="auto"/>
          <w:highlight w:val="none"/>
        </w:rPr>
        <w:t>第六章</w:t>
      </w:r>
      <w:r>
        <w:rPr>
          <w:rFonts w:hint="eastAsia"/>
          <w:color w:val="auto"/>
          <w:highlight w:val="none"/>
        </w:rPr>
        <w:t xml:space="preserve"> </w:t>
      </w:r>
      <w:r>
        <w:rPr>
          <w:rFonts w:hint="eastAsia"/>
          <w:color w:val="auto"/>
          <w:highlight w:val="none"/>
        </w:rPr>
        <w:t>图纸及勘察资料</w:t>
      </w:r>
      <w:bookmarkEnd w:id="49"/>
      <w:bookmarkEnd w:id="50"/>
    </w:p>
    <w:p>
      <w:pPr>
        <w:rPr>
          <w:rFonts w:ascii="宋体"/>
          <w:b/>
          <w:color w:val="auto"/>
          <w:sz w:val="24"/>
          <w:szCs w:val="24"/>
          <w:highlight w:val="none"/>
        </w:rPr>
      </w:pPr>
      <w:r>
        <w:rPr>
          <w:rFonts w:hint="eastAsia" w:ascii="宋体" w:hAnsi="宋体"/>
          <w:color w:val="auto"/>
          <w:sz w:val="24"/>
          <w:szCs w:val="24"/>
          <w:highlight w:val="none"/>
        </w:rPr>
        <w:t>注：本章由招标人自行制定，另册。</w:t>
      </w:r>
    </w:p>
    <w:p>
      <w:pPr>
        <w:pStyle w:val="3"/>
        <w:rPr>
          <w:color w:val="auto"/>
          <w:highlight w:val="none"/>
        </w:rPr>
      </w:pPr>
      <w:r>
        <w:rPr>
          <w:color w:val="auto"/>
          <w:sz w:val="24"/>
          <w:szCs w:val="24"/>
          <w:highlight w:val="none"/>
        </w:rPr>
        <w:br w:type="page"/>
      </w:r>
      <w:bookmarkStart w:id="51" w:name="_Toc21525515"/>
      <w:bookmarkStart w:id="52" w:name="_Toc2272570"/>
      <w:r>
        <w:rPr>
          <w:rFonts w:hint="eastAsia"/>
          <w:color w:val="auto"/>
          <w:highlight w:val="none"/>
        </w:rPr>
        <w:t>第七章</w:t>
      </w:r>
      <w:r>
        <w:rPr>
          <w:rFonts w:hint="eastAsia"/>
          <w:color w:val="auto"/>
          <w:highlight w:val="none"/>
        </w:rPr>
        <w:t xml:space="preserve"> </w:t>
      </w:r>
      <w:r>
        <w:rPr>
          <w:rFonts w:hint="eastAsia"/>
          <w:color w:val="auto"/>
          <w:highlight w:val="none"/>
        </w:rPr>
        <w:t>工程量清单</w:t>
      </w:r>
      <w:bookmarkEnd w:id="51"/>
      <w:bookmarkEnd w:id="52"/>
    </w:p>
    <w:p>
      <w:pPr>
        <w:rPr>
          <w:rFonts w:ascii="宋体"/>
          <w:b/>
          <w:color w:val="auto"/>
          <w:sz w:val="24"/>
          <w:szCs w:val="24"/>
          <w:highlight w:val="none"/>
        </w:rPr>
      </w:pPr>
      <w:r>
        <w:rPr>
          <w:rFonts w:hint="eastAsia" w:ascii="宋体" w:hAnsi="宋体"/>
          <w:color w:val="auto"/>
          <w:sz w:val="24"/>
          <w:szCs w:val="24"/>
          <w:highlight w:val="none"/>
        </w:rPr>
        <w:t>注：本章由招标人自行制定。</w:t>
      </w:r>
    </w:p>
    <w:p>
      <w:pPr>
        <w:pStyle w:val="5"/>
        <w:spacing w:after="0" w:line="360" w:lineRule="auto"/>
        <w:ind w:left="-2" w:leftChars="-1" w:firstLine="960" w:firstLineChars="400"/>
        <w:rPr>
          <w:rFonts w:ascii="宋体"/>
          <w:color w:val="auto"/>
          <w:sz w:val="24"/>
          <w:highlight w:val="none"/>
        </w:rPr>
      </w:pPr>
    </w:p>
    <w:p>
      <w:pPr>
        <w:pStyle w:val="3"/>
        <w:rPr>
          <w:color w:val="auto"/>
          <w:highlight w:val="none"/>
        </w:rPr>
      </w:pPr>
    </w:p>
    <w:p>
      <w:pPr>
        <w:pStyle w:val="3"/>
        <w:rPr>
          <w:rFonts w:ascii="宋体"/>
          <w:color w:val="auto"/>
          <w:highlight w:val="none"/>
        </w:rPr>
      </w:pPr>
      <w:r>
        <w:rPr>
          <w:color w:val="auto"/>
          <w:sz w:val="24"/>
          <w:szCs w:val="24"/>
          <w:highlight w:val="none"/>
        </w:rPr>
        <w:br w:type="page"/>
      </w:r>
      <w:bookmarkStart w:id="53" w:name="_Toc2272571"/>
      <w:bookmarkStart w:id="54" w:name="_Toc21525516"/>
      <w:r>
        <w:rPr>
          <w:rFonts w:hint="eastAsia"/>
          <w:color w:val="auto"/>
          <w:highlight w:val="none"/>
        </w:rPr>
        <w:t>第八章</w:t>
      </w:r>
      <w:r>
        <w:rPr>
          <w:rFonts w:hint="eastAsia"/>
          <w:color w:val="auto"/>
          <w:highlight w:val="none"/>
        </w:rPr>
        <w:t xml:space="preserve"> </w:t>
      </w:r>
      <w:r>
        <w:rPr>
          <w:rFonts w:hint="eastAsia"/>
          <w:color w:val="auto"/>
          <w:highlight w:val="none"/>
        </w:rPr>
        <w:t>最高投标限价</w:t>
      </w:r>
      <w:bookmarkEnd w:id="53"/>
      <w:bookmarkEnd w:id="54"/>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p>
    <w:p>
      <w:pPr>
        <w:spacing w:line="360" w:lineRule="auto"/>
        <w:jc w:val="center"/>
        <w:rPr>
          <w:rFonts w:ascii="宋体" w:hAnsi="宋体"/>
          <w:color w:val="auto"/>
          <w:sz w:val="24"/>
          <w:szCs w:val="24"/>
          <w:highlight w:val="none"/>
          <w:u w:val="single"/>
        </w:rPr>
      </w:pPr>
      <w:r>
        <w:rPr>
          <w:rFonts w:hint="eastAsia" w:ascii="宋体" w:hAnsi="宋体"/>
          <w:color w:val="auto"/>
          <w:sz w:val="24"/>
          <w:szCs w:val="24"/>
          <w:highlight w:val="none"/>
          <w:u w:val="single"/>
        </w:rPr>
        <w:t>（另册）</w:t>
      </w:r>
    </w:p>
    <w:p>
      <w:pPr>
        <w:spacing w:line="360" w:lineRule="auto"/>
        <w:jc w:val="center"/>
        <w:rPr>
          <w:rFonts w:ascii="宋体" w:hAnsi="宋体"/>
          <w:color w:val="auto"/>
          <w:sz w:val="24"/>
          <w:szCs w:val="24"/>
          <w:highlight w:val="none"/>
          <w:u w:val="single"/>
        </w:rPr>
      </w:pPr>
    </w:p>
    <w:bookmarkEnd w:id="55"/>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MingLiU">
    <w:panose1 w:val="02010609000101010101"/>
    <w:charset w:val="88"/>
    <w:family w:val="modern"/>
    <w:pitch w:val="default"/>
    <w:sig w:usb0="80000001" w:usb1="28091800" w:usb2="00000016" w:usb3="00000000" w:csb0="0010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2000503000000020004"/>
    <w:charset w:val="00"/>
    <w:family w:val="auto"/>
    <w:pitch w:val="default"/>
    <w:sig w:usb0="00000000" w:usb1="00000000" w:usb2="00000010" w:usb3="00000000" w:csb0="0000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Calisto MT">
    <w:altName w:val="Segoe Print"/>
    <w:panose1 w:val="02040603050505030304"/>
    <w:charset w:val="00"/>
    <w:family w:val="roman"/>
    <w:pitch w:val="default"/>
    <w:sig w:usb0="00000000"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DejaVu Sans">
    <w:altName w:val="Courier New"/>
    <w:panose1 w:val="00000000000000000000"/>
    <w:charset w:val="00"/>
    <w:family w:val="swiss"/>
    <w:pitch w:val="default"/>
    <w:sig w:usb0="00000000" w:usb1="00000000" w:usb2="0A246029" w:usb3="00000000" w:csb0="000001FF" w:csb1="00000000"/>
  </w:font>
  <w:font w:name="Proxy 9">
    <w:panose1 w:val="00000400000000000000"/>
    <w:charset w:val="00"/>
    <w:family w:val="auto"/>
    <w:pitch w:val="default"/>
    <w:sig w:usb0="80000023" w:usb1="00000000" w:usb2="00000000" w:usb3="00000000" w:csb0="000001FF"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方正大标宋简体">
    <w:altName w:val="宋体"/>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fldChar w:fldCharType="begin"/>
    </w:r>
    <w:r>
      <w:instrText xml:space="preserve"> PAGE   \* MERGEFORMAT </w:instrText>
    </w:r>
    <w:r>
      <w:fldChar w:fldCharType="separate"/>
    </w:r>
    <w:r>
      <w:rPr>
        <w:lang w:val="zh-CN"/>
      </w:rPr>
      <w:t>40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92"/>
      <w:rPr>
        <w:rStyle w:val="53"/>
      </w:rPr>
    </w:pPr>
    <w:r>
      <w:fldChar w:fldCharType="begin"/>
    </w:r>
    <w:r>
      <w:rPr>
        <w:rStyle w:val="53"/>
      </w:rPr>
      <w:instrText xml:space="preserve">PAGE  </w:instrText>
    </w:r>
    <w:r>
      <w:fldChar w:fldCharType="separate"/>
    </w:r>
    <w:r>
      <w:rPr>
        <w:rStyle w:val="53"/>
        <w:rFonts w:hint="eastAsia"/>
      </w:rPr>
      <w:t>一</w:t>
    </w:r>
    <w:r>
      <w:rPr>
        <w:rStyle w:val="53"/>
      </w:rPr>
      <w:t>–2</w:t>
    </w:r>
    <w:r>
      <w:fldChar w:fldCharType="end"/>
    </w:r>
  </w:p>
  <w:p>
    <w:pPr>
      <w:pStyle w:val="32"/>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hint="eastAsia"/>
      </w:rPr>
    </w:pPr>
    <w:r>
      <w:fldChar w:fldCharType="begin"/>
    </w:r>
    <w:r>
      <w:instrText xml:space="preserve"> PAGE   \* MERGEFORMAT </w:instrText>
    </w:r>
    <w:r>
      <w:fldChar w:fldCharType="separate"/>
    </w:r>
    <w:r>
      <w:rPr>
        <w:lang w:val="zh-CN"/>
      </w:rPr>
      <w:t>58</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hint="eastAsia"/>
      </w:rPr>
    </w:pPr>
    <w:r>
      <w:fldChar w:fldCharType="begin"/>
    </w:r>
    <w:r>
      <w:instrText xml:space="preserve"> PAGE   \* MERGEFORMAT </w:instrText>
    </w:r>
    <w:r>
      <w:fldChar w:fldCharType="separate"/>
    </w:r>
    <w:r>
      <w:rPr>
        <w:lang w:val="zh-CN"/>
      </w:rPr>
      <w:t>154</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uto" w:vAnchor="text" w:hAnchor="margin" w:xAlign="outside" w:y="1"/>
      <w:rPr>
        <w:rStyle w:val="53"/>
      </w:rPr>
    </w:pPr>
    <w:r>
      <w:fldChar w:fldCharType="begin"/>
    </w:r>
    <w:r>
      <w:rPr>
        <w:rStyle w:val="53"/>
      </w:rPr>
      <w:instrText xml:space="preserve">PAGE  </w:instrText>
    </w:r>
    <w:r>
      <w:fldChar w:fldCharType="separate"/>
    </w:r>
    <w:r>
      <w:rPr>
        <w:rStyle w:val="53"/>
        <w:rFonts w:hint="eastAsia"/>
      </w:rPr>
      <w:t>一</w:t>
    </w:r>
    <w:r>
      <w:rPr>
        <w:rStyle w:val="53"/>
      </w:rPr>
      <w:t>–2</w:t>
    </w:r>
    <w:r>
      <w:fldChar w:fldCharType="end"/>
    </w:r>
  </w:p>
  <w:p>
    <w:pPr>
      <w:pStyle w:val="32"/>
      <w:ind w:right="360" w:firstLine="360"/>
      <w:jc w:val="center"/>
    </w:pPr>
    <w:r>
      <w:rPr>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hint="eastAsia"/>
      </w:rPr>
    </w:pPr>
    <w:r>
      <w:fldChar w:fldCharType="begin"/>
    </w:r>
    <w:r>
      <w:instrText xml:space="preserve"> PAGE   \* MERGEFORMAT </w:instrText>
    </w:r>
    <w:r>
      <w:fldChar w:fldCharType="separate"/>
    </w:r>
    <w:r>
      <w:rPr>
        <w:lang w:val="zh-CN"/>
      </w:rPr>
      <w:t>60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92"/>
    </w:pPr>
    <w:r>
      <w:rPr>
        <w:rFonts w:hint="eastAsia"/>
      </w:rPr>
      <w:t>横枝岗路道路排水改造工程招标文件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rPr>
        <w:i/>
        <w:iCs/>
      </w:rPr>
    </w:pPr>
    <w:r>
      <w:rPr>
        <w:rFonts w:hint="eastAsia"/>
        <w:i/>
        <w:iCs/>
      </w:rPr>
      <w:t>横枝岗路道路排水改造工程招标文件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1"/>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00000004"/>
    <w:multiLevelType w:val="multilevel"/>
    <w:tmpl w:val="0000000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8"/>
    <w:multiLevelType w:val="singleLevel"/>
    <w:tmpl w:val="00000008"/>
    <w:lvl w:ilvl="0" w:tentative="0">
      <w:start w:val="1"/>
      <w:numFmt w:val="japaneseCounting"/>
      <w:lvlText w:val="%1、"/>
      <w:lvlJc w:val="left"/>
      <w:pPr>
        <w:tabs>
          <w:tab w:val="left" w:pos="960"/>
        </w:tabs>
        <w:ind w:left="960" w:hanging="480"/>
      </w:pPr>
    </w:lvl>
  </w:abstractNum>
  <w:abstractNum w:abstractNumId="3">
    <w:nsid w:val="0000000B"/>
    <w:multiLevelType w:val="singleLevel"/>
    <w:tmpl w:val="0000000B"/>
    <w:lvl w:ilvl="0" w:tentative="0">
      <w:start w:val="1"/>
      <w:numFmt w:val="decimal"/>
      <w:suff w:val="nothing"/>
      <w:lvlText w:val="（%1）"/>
      <w:lvlJc w:val="left"/>
    </w:lvl>
  </w:abstractNum>
  <w:abstractNum w:abstractNumId="4">
    <w:nsid w:val="0000000C"/>
    <w:multiLevelType w:val="singleLevel"/>
    <w:tmpl w:val="0000000C"/>
    <w:lvl w:ilvl="0" w:tentative="0">
      <w:start w:val="1"/>
      <w:numFmt w:val="decimal"/>
      <w:suff w:val="nothing"/>
      <w:lvlText w:val="（%1）"/>
      <w:lvlJc w:val="left"/>
    </w:lvl>
  </w:abstractNum>
  <w:abstractNum w:abstractNumId="5">
    <w:nsid w:val="0000000E"/>
    <w:multiLevelType w:val="multilevel"/>
    <w:tmpl w:val="0000000E"/>
    <w:lvl w:ilvl="0" w:tentative="0">
      <w:start w:val="1"/>
      <w:numFmt w:val="chineseCountingThousand"/>
      <w:pStyle w:val="205"/>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9"/>
      <w:suff w:val="space"/>
      <w:lvlText w:val="%2.%3.%4"/>
      <w:lvlJc w:val="left"/>
      <w:pPr>
        <w:ind w:left="284" w:hanging="284"/>
      </w:pPr>
      <w:rPr>
        <w:rFonts w:hint="eastAsia" w:ascii="宋体" w:eastAsia="宋体" w:cs="Times New Roman"/>
        <w:b/>
        <w:i w:val="0"/>
        <w:sz w:val="28"/>
      </w:rPr>
    </w:lvl>
    <w:lvl w:ilvl="4" w:tentative="0">
      <w:start w:val="1"/>
      <w:numFmt w:val="decimal"/>
      <w:pStyle w:val="10"/>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2"/>
      <w:suff w:val="nothing"/>
      <w:lvlText w:val=""/>
      <w:lvlJc w:val="left"/>
      <w:rPr>
        <w:rFonts w:hint="eastAsia" w:cs="Times New Roman"/>
      </w:rPr>
    </w:lvl>
    <w:lvl w:ilvl="7" w:tentative="0">
      <w:start w:val="1"/>
      <w:numFmt w:val="none"/>
      <w:pStyle w:val="13"/>
      <w:suff w:val="nothing"/>
      <w:lvlText w:val=""/>
      <w:lvlJc w:val="left"/>
      <w:rPr>
        <w:rFonts w:hint="eastAsia" w:cs="Times New Roman"/>
      </w:rPr>
    </w:lvl>
    <w:lvl w:ilvl="8" w:tentative="0">
      <w:start w:val="1"/>
      <w:numFmt w:val="none"/>
      <w:pStyle w:val="14"/>
      <w:suff w:val="nothing"/>
      <w:lvlText w:val=""/>
      <w:lvlJc w:val="left"/>
      <w:rPr>
        <w:rFonts w:hint="eastAsia" w:cs="Times New Roman"/>
      </w:rPr>
    </w:lvl>
  </w:abstractNum>
  <w:abstractNum w:abstractNumId="6">
    <w:nsid w:val="00000010"/>
    <w:multiLevelType w:val="multilevel"/>
    <w:tmpl w:val="00000010"/>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5"/>
  </w:num>
  <w:num w:numId="2">
    <w:abstractNumId w:val="0"/>
  </w:num>
  <w:num w:numId="3">
    <w:abstractNumId w:val="4"/>
  </w:num>
  <w:num w:numId="4">
    <w:abstractNumId w:val="3"/>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mZjM1YzYzYzVmN2YzZTI3NzBlODYyNjIwODEyZTIifQ=="/>
  </w:docVars>
  <w:rsids>
    <w:rsidRoot w:val="00172A27"/>
    <w:rsid w:val="0000290A"/>
    <w:rsid w:val="00005231"/>
    <w:rsid w:val="00005894"/>
    <w:rsid w:val="00005CAA"/>
    <w:rsid w:val="00010DED"/>
    <w:rsid w:val="00011EB7"/>
    <w:rsid w:val="00012182"/>
    <w:rsid w:val="00015588"/>
    <w:rsid w:val="000158D5"/>
    <w:rsid w:val="00016031"/>
    <w:rsid w:val="000164F7"/>
    <w:rsid w:val="000177FA"/>
    <w:rsid w:val="00020A3D"/>
    <w:rsid w:val="000214FD"/>
    <w:rsid w:val="00022AEE"/>
    <w:rsid w:val="00024DE2"/>
    <w:rsid w:val="00025706"/>
    <w:rsid w:val="00030ECE"/>
    <w:rsid w:val="00031C95"/>
    <w:rsid w:val="00031E02"/>
    <w:rsid w:val="00035450"/>
    <w:rsid w:val="00036F18"/>
    <w:rsid w:val="00043493"/>
    <w:rsid w:val="0004352E"/>
    <w:rsid w:val="00046036"/>
    <w:rsid w:val="00046D3C"/>
    <w:rsid w:val="0005096B"/>
    <w:rsid w:val="000544CF"/>
    <w:rsid w:val="000624B8"/>
    <w:rsid w:val="000646F2"/>
    <w:rsid w:val="00066A54"/>
    <w:rsid w:val="000718EC"/>
    <w:rsid w:val="00077374"/>
    <w:rsid w:val="0008024C"/>
    <w:rsid w:val="00081BC3"/>
    <w:rsid w:val="00081BD4"/>
    <w:rsid w:val="00085CF1"/>
    <w:rsid w:val="00087888"/>
    <w:rsid w:val="00087D01"/>
    <w:rsid w:val="0009116F"/>
    <w:rsid w:val="0009180C"/>
    <w:rsid w:val="00091C66"/>
    <w:rsid w:val="00092ABE"/>
    <w:rsid w:val="0009591F"/>
    <w:rsid w:val="000A0CAC"/>
    <w:rsid w:val="000A2F49"/>
    <w:rsid w:val="000A4922"/>
    <w:rsid w:val="000A4B51"/>
    <w:rsid w:val="000A5151"/>
    <w:rsid w:val="000B4B31"/>
    <w:rsid w:val="000B4D4D"/>
    <w:rsid w:val="000B6031"/>
    <w:rsid w:val="000B6997"/>
    <w:rsid w:val="000B6B61"/>
    <w:rsid w:val="000B75C9"/>
    <w:rsid w:val="000C0F38"/>
    <w:rsid w:val="000C21AC"/>
    <w:rsid w:val="000C539C"/>
    <w:rsid w:val="000C7170"/>
    <w:rsid w:val="000C7693"/>
    <w:rsid w:val="000D1E56"/>
    <w:rsid w:val="000E05CD"/>
    <w:rsid w:val="000E08E4"/>
    <w:rsid w:val="000E0D68"/>
    <w:rsid w:val="000E110E"/>
    <w:rsid w:val="000E1443"/>
    <w:rsid w:val="000E2915"/>
    <w:rsid w:val="000E33A2"/>
    <w:rsid w:val="000E3498"/>
    <w:rsid w:val="000E5190"/>
    <w:rsid w:val="000E5F29"/>
    <w:rsid w:val="000F4677"/>
    <w:rsid w:val="000F7E76"/>
    <w:rsid w:val="001001F0"/>
    <w:rsid w:val="001010EB"/>
    <w:rsid w:val="00101E0F"/>
    <w:rsid w:val="001109F7"/>
    <w:rsid w:val="00110F21"/>
    <w:rsid w:val="00113A00"/>
    <w:rsid w:val="00115794"/>
    <w:rsid w:val="00116B97"/>
    <w:rsid w:val="001173BE"/>
    <w:rsid w:val="0012250D"/>
    <w:rsid w:val="001241F2"/>
    <w:rsid w:val="00124503"/>
    <w:rsid w:val="0012796A"/>
    <w:rsid w:val="0013275A"/>
    <w:rsid w:val="00134737"/>
    <w:rsid w:val="00136416"/>
    <w:rsid w:val="00136748"/>
    <w:rsid w:val="001413FE"/>
    <w:rsid w:val="001450AE"/>
    <w:rsid w:val="00145F2D"/>
    <w:rsid w:val="00150FE5"/>
    <w:rsid w:val="0015139C"/>
    <w:rsid w:val="001520E5"/>
    <w:rsid w:val="001530E1"/>
    <w:rsid w:val="00156E64"/>
    <w:rsid w:val="001570A4"/>
    <w:rsid w:val="00157548"/>
    <w:rsid w:val="00157C5F"/>
    <w:rsid w:val="00161419"/>
    <w:rsid w:val="001621EC"/>
    <w:rsid w:val="001648F4"/>
    <w:rsid w:val="00165F6C"/>
    <w:rsid w:val="001726A9"/>
    <w:rsid w:val="001736D2"/>
    <w:rsid w:val="001762F4"/>
    <w:rsid w:val="00186281"/>
    <w:rsid w:val="001862F5"/>
    <w:rsid w:val="001937A4"/>
    <w:rsid w:val="0019495A"/>
    <w:rsid w:val="001962EF"/>
    <w:rsid w:val="001965AD"/>
    <w:rsid w:val="00196E53"/>
    <w:rsid w:val="00197A8D"/>
    <w:rsid w:val="001A0A7C"/>
    <w:rsid w:val="001A0FD8"/>
    <w:rsid w:val="001A5EAC"/>
    <w:rsid w:val="001A6AAF"/>
    <w:rsid w:val="001B330E"/>
    <w:rsid w:val="001B4753"/>
    <w:rsid w:val="001C2DCD"/>
    <w:rsid w:val="001C3757"/>
    <w:rsid w:val="001C4F1A"/>
    <w:rsid w:val="001C5FE3"/>
    <w:rsid w:val="001D3C3F"/>
    <w:rsid w:val="001D63A3"/>
    <w:rsid w:val="001D77AD"/>
    <w:rsid w:val="001E1FEA"/>
    <w:rsid w:val="001E254A"/>
    <w:rsid w:val="001E3B00"/>
    <w:rsid w:val="001E4600"/>
    <w:rsid w:val="001E539B"/>
    <w:rsid w:val="001E6718"/>
    <w:rsid w:val="001E789E"/>
    <w:rsid w:val="001F2846"/>
    <w:rsid w:val="001F3657"/>
    <w:rsid w:val="001F66C0"/>
    <w:rsid w:val="0020005E"/>
    <w:rsid w:val="00203CD6"/>
    <w:rsid w:val="00211E35"/>
    <w:rsid w:val="00214056"/>
    <w:rsid w:val="0021770D"/>
    <w:rsid w:val="00221A23"/>
    <w:rsid w:val="00223D89"/>
    <w:rsid w:val="00230BED"/>
    <w:rsid w:val="00232B57"/>
    <w:rsid w:val="00233857"/>
    <w:rsid w:val="0023710E"/>
    <w:rsid w:val="002400A8"/>
    <w:rsid w:val="00241C36"/>
    <w:rsid w:val="00243E96"/>
    <w:rsid w:val="00244ABC"/>
    <w:rsid w:val="00244B82"/>
    <w:rsid w:val="00246330"/>
    <w:rsid w:val="002468E4"/>
    <w:rsid w:val="0024778B"/>
    <w:rsid w:val="00251E78"/>
    <w:rsid w:val="00254E01"/>
    <w:rsid w:val="00254F0A"/>
    <w:rsid w:val="00260CBE"/>
    <w:rsid w:val="0026236C"/>
    <w:rsid w:val="00263A13"/>
    <w:rsid w:val="00264441"/>
    <w:rsid w:val="0027006F"/>
    <w:rsid w:val="0027257A"/>
    <w:rsid w:val="00275010"/>
    <w:rsid w:val="002800C1"/>
    <w:rsid w:val="00281931"/>
    <w:rsid w:val="002820D7"/>
    <w:rsid w:val="002855DA"/>
    <w:rsid w:val="002921B8"/>
    <w:rsid w:val="002928E8"/>
    <w:rsid w:val="00294BC1"/>
    <w:rsid w:val="002B316B"/>
    <w:rsid w:val="002B64BD"/>
    <w:rsid w:val="002C06B9"/>
    <w:rsid w:val="002C12E4"/>
    <w:rsid w:val="002C328D"/>
    <w:rsid w:val="002C382B"/>
    <w:rsid w:val="002C452C"/>
    <w:rsid w:val="002C5F24"/>
    <w:rsid w:val="002C7661"/>
    <w:rsid w:val="002C7B7B"/>
    <w:rsid w:val="002D0E2B"/>
    <w:rsid w:val="002D106B"/>
    <w:rsid w:val="002D119F"/>
    <w:rsid w:val="002D184D"/>
    <w:rsid w:val="002D2EF9"/>
    <w:rsid w:val="002D3983"/>
    <w:rsid w:val="002D3E9A"/>
    <w:rsid w:val="002D7757"/>
    <w:rsid w:val="002E1E5A"/>
    <w:rsid w:val="002E39C9"/>
    <w:rsid w:val="002E75DD"/>
    <w:rsid w:val="002F2200"/>
    <w:rsid w:val="002F58B8"/>
    <w:rsid w:val="002F6FE9"/>
    <w:rsid w:val="00302339"/>
    <w:rsid w:val="00303CEC"/>
    <w:rsid w:val="00303D81"/>
    <w:rsid w:val="003067C0"/>
    <w:rsid w:val="00306DDD"/>
    <w:rsid w:val="00307055"/>
    <w:rsid w:val="00307692"/>
    <w:rsid w:val="00311032"/>
    <w:rsid w:val="00314CE5"/>
    <w:rsid w:val="00315C16"/>
    <w:rsid w:val="00317B59"/>
    <w:rsid w:val="003209B7"/>
    <w:rsid w:val="0032148B"/>
    <w:rsid w:val="00324970"/>
    <w:rsid w:val="00326E56"/>
    <w:rsid w:val="00327A0B"/>
    <w:rsid w:val="003301BE"/>
    <w:rsid w:val="00330D55"/>
    <w:rsid w:val="00332B85"/>
    <w:rsid w:val="00332EFA"/>
    <w:rsid w:val="003353B2"/>
    <w:rsid w:val="00343F04"/>
    <w:rsid w:val="00346372"/>
    <w:rsid w:val="00351B8B"/>
    <w:rsid w:val="00352EE6"/>
    <w:rsid w:val="00353559"/>
    <w:rsid w:val="00354801"/>
    <w:rsid w:val="00355C83"/>
    <w:rsid w:val="00356D4C"/>
    <w:rsid w:val="00360757"/>
    <w:rsid w:val="003612BF"/>
    <w:rsid w:val="00363597"/>
    <w:rsid w:val="00363856"/>
    <w:rsid w:val="00367806"/>
    <w:rsid w:val="00372663"/>
    <w:rsid w:val="00376B3B"/>
    <w:rsid w:val="0037777E"/>
    <w:rsid w:val="00380051"/>
    <w:rsid w:val="00382D97"/>
    <w:rsid w:val="003835FB"/>
    <w:rsid w:val="0038610D"/>
    <w:rsid w:val="0039241B"/>
    <w:rsid w:val="003929AF"/>
    <w:rsid w:val="003937DC"/>
    <w:rsid w:val="00393EEA"/>
    <w:rsid w:val="00397B25"/>
    <w:rsid w:val="003A0A5E"/>
    <w:rsid w:val="003A1265"/>
    <w:rsid w:val="003A1E4A"/>
    <w:rsid w:val="003A3581"/>
    <w:rsid w:val="003A42F8"/>
    <w:rsid w:val="003A57F5"/>
    <w:rsid w:val="003A72A0"/>
    <w:rsid w:val="003A7B0D"/>
    <w:rsid w:val="003A7CC0"/>
    <w:rsid w:val="003B4ABD"/>
    <w:rsid w:val="003B5C9F"/>
    <w:rsid w:val="003B7F10"/>
    <w:rsid w:val="003C0878"/>
    <w:rsid w:val="003C1E8A"/>
    <w:rsid w:val="003C3763"/>
    <w:rsid w:val="003C3922"/>
    <w:rsid w:val="003C43F1"/>
    <w:rsid w:val="003C480A"/>
    <w:rsid w:val="003C5E52"/>
    <w:rsid w:val="003C692C"/>
    <w:rsid w:val="003D06CD"/>
    <w:rsid w:val="003D424F"/>
    <w:rsid w:val="003D608C"/>
    <w:rsid w:val="003E1B27"/>
    <w:rsid w:val="003E22D3"/>
    <w:rsid w:val="003E3B9F"/>
    <w:rsid w:val="003E637B"/>
    <w:rsid w:val="003E71E5"/>
    <w:rsid w:val="003F102A"/>
    <w:rsid w:val="003F1C4B"/>
    <w:rsid w:val="003F5549"/>
    <w:rsid w:val="003F59FE"/>
    <w:rsid w:val="003F61F0"/>
    <w:rsid w:val="003F6D81"/>
    <w:rsid w:val="003F7CE9"/>
    <w:rsid w:val="003F7CED"/>
    <w:rsid w:val="00401CF0"/>
    <w:rsid w:val="00402D8B"/>
    <w:rsid w:val="0040312C"/>
    <w:rsid w:val="00404679"/>
    <w:rsid w:val="0041108E"/>
    <w:rsid w:val="004110BF"/>
    <w:rsid w:val="00411368"/>
    <w:rsid w:val="004116B8"/>
    <w:rsid w:val="004172DF"/>
    <w:rsid w:val="00417C70"/>
    <w:rsid w:val="004201C7"/>
    <w:rsid w:val="0042021F"/>
    <w:rsid w:val="00424BE7"/>
    <w:rsid w:val="00426032"/>
    <w:rsid w:val="00433CB0"/>
    <w:rsid w:val="00434728"/>
    <w:rsid w:val="004376E6"/>
    <w:rsid w:val="00437DBB"/>
    <w:rsid w:val="00453F37"/>
    <w:rsid w:val="00455D83"/>
    <w:rsid w:val="00457AC4"/>
    <w:rsid w:val="00460601"/>
    <w:rsid w:val="004618EB"/>
    <w:rsid w:val="00462E86"/>
    <w:rsid w:val="00464459"/>
    <w:rsid w:val="004653F9"/>
    <w:rsid w:val="004658C9"/>
    <w:rsid w:val="00465C31"/>
    <w:rsid w:val="00470C69"/>
    <w:rsid w:val="00470E3C"/>
    <w:rsid w:val="004727BD"/>
    <w:rsid w:val="00473AA0"/>
    <w:rsid w:val="00475CEC"/>
    <w:rsid w:val="0047657C"/>
    <w:rsid w:val="00476D30"/>
    <w:rsid w:val="0048096C"/>
    <w:rsid w:val="00484678"/>
    <w:rsid w:val="004859AE"/>
    <w:rsid w:val="00485D3C"/>
    <w:rsid w:val="00486F9F"/>
    <w:rsid w:val="004922C0"/>
    <w:rsid w:val="004941AC"/>
    <w:rsid w:val="00497875"/>
    <w:rsid w:val="004A2D12"/>
    <w:rsid w:val="004A4141"/>
    <w:rsid w:val="004A54E0"/>
    <w:rsid w:val="004A79A1"/>
    <w:rsid w:val="004A7C16"/>
    <w:rsid w:val="004B0537"/>
    <w:rsid w:val="004B15EF"/>
    <w:rsid w:val="004B2246"/>
    <w:rsid w:val="004B317A"/>
    <w:rsid w:val="004B3A5E"/>
    <w:rsid w:val="004B491C"/>
    <w:rsid w:val="004B4F1B"/>
    <w:rsid w:val="004B5C3E"/>
    <w:rsid w:val="004B6DE0"/>
    <w:rsid w:val="004B70FD"/>
    <w:rsid w:val="004C1189"/>
    <w:rsid w:val="004C2FFC"/>
    <w:rsid w:val="004C34D5"/>
    <w:rsid w:val="004C557E"/>
    <w:rsid w:val="004D1615"/>
    <w:rsid w:val="004D6A13"/>
    <w:rsid w:val="004E0A67"/>
    <w:rsid w:val="004E136D"/>
    <w:rsid w:val="004E2F9A"/>
    <w:rsid w:val="004E32C1"/>
    <w:rsid w:val="004E4B96"/>
    <w:rsid w:val="004E555B"/>
    <w:rsid w:val="004E769B"/>
    <w:rsid w:val="004F168C"/>
    <w:rsid w:val="004F3AFC"/>
    <w:rsid w:val="004F43E0"/>
    <w:rsid w:val="004F4592"/>
    <w:rsid w:val="004F779C"/>
    <w:rsid w:val="00503E51"/>
    <w:rsid w:val="00506E64"/>
    <w:rsid w:val="00507AD1"/>
    <w:rsid w:val="005101D3"/>
    <w:rsid w:val="00511CAC"/>
    <w:rsid w:val="00513E6E"/>
    <w:rsid w:val="0051409E"/>
    <w:rsid w:val="00516E27"/>
    <w:rsid w:val="005179B1"/>
    <w:rsid w:val="00521F60"/>
    <w:rsid w:val="0052220C"/>
    <w:rsid w:val="005237D6"/>
    <w:rsid w:val="00524F50"/>
    <w:rsid w:val="00525160"/>
    <w:rsid w:val="00531043"/>
    <w:rsid w:val="0053119F"/>
    <w:rsid w:val="00535C63"/>
    <w:rsid w:val="00535DB2"/>
    <w:rsid w:val="00535F59"/>
    <w:rsid w:val="00540C30"/>
    <w:rsid w:val="00542E0A"/>
    <w:rsid w:val="00544642"/>
    <w:rsid w:val="00546D5D"/>
    <w:rsid w:val="00552A33"/>
    <w:rsid w:val="00554983"/>
    <w:rsid w:val="00555B0A"/>
    <w:rsid w:val="005604CD"/>
    <w:rsid w:val="005615D5"/>
    <w:rsid w:val="0056216B"/>
    <w:rsid w:val="005632D8"/>
    <w:rsid w:val="00570C6E"/>
    <w:rsid w:val="005718DE"/>
    <w:rsid w:val="005748D5"/>
    <w:rsid w:val="0057548F"/>
    <w:rsid w:val="0057786D"/>
    <w:rsid w:val="005823C7"/>
    <w:rsid w:val="0058412E"/>
    <w:rsid w:val="00584CC0"/>
    <w:rsid w:val="00584DD0"/>
    <w:rsid w:val="00586AD8"/>
    <w:rsid w:val="005878FA"/>
    <w:rsid w:val="00590217"/>
    <w:rsid w:val="00595E8C"/>
    <w:rsid w:val="00597CC7"/>
    <w:rsid w:val="005A01ED"/>
    <w:rsid w:val="005A0CE1"/>
    <w:rsid w:val="005A6FAE"/>
    <w:rsid w:val="005B167C"/>
    <w:rsid w:val="005B3F01"/>
    <w:rsid w:val="005B53E0"/>
    <w:rsid w:val="005B598C"/>
    <w:rsid w:val="005C42C6"/>
    <w:rsid w:val="005D1106"/>
    <w:rsid w:val="005D3359"/>
    <w:rsid w:val="005D3F44"/>
    <w:rsid w:val="005D5639"/>
    <w:rsid w:val="005D6B6C"/>
    <w:rsid w:val="005E19EC"/>
    <w:rsid w:val="005E4A35"/>
    <w:rsid w:val="005E6896"/>
    <w:rsid w:val="005F0409"/>
    <w:rsid w:val="005F0F2F"/>
    <w:rsid w:val="005F5D65"/>
    <w:rsid w:val="00602529"/>
    <w:rsid w:val="00604DAF"/>
    <w:rsid w:val="00605FFD"/>
    <w:rsid w:val="006102E4"/>
    <w:rsid w:val="0061374F"/>
    <w:rsid w:val="006138AF"/>
    <w:rsid w:val="006208BA"/>
    <w:rsid w:val="006266F4"/>
    <w:rsid w:val="006273DD"/>
    <w:rsid w:val="00627BB5"/>
    <w:rsid w:val="00630242"/>
    <w:rsid w:val="006313D8"/>
    <w:rsid w:val="00631835"/>
    <w:rsid w:val="00632C53"/>
    <w:rsid w:val="00635B4F"/>
    <w:rsid w:val="0064202B"/>
    <w:rsid w:val="00642957"/>
    <w:rsid w:val="00642CDD"/>
    <w:rsid w:val="0064580B"/>
    <w:rsid w:val="00646073"/>
    <w:rsid w:val="00646142"/>
    <w:rsid w:val="00647C12"/>
    <w:rsid w:val="00647C7C"/>
    <w:rsid w:val="0065152C"/>
    <w:rsid w:val="00652315"/>
    <w:rsid w:val="00656367"/>
    <w:rsid w:val="00657A47"/>
    <w:rsid w:val="00660E6C"/>
    <w:rsid w:val="00661C33"/>
    <w:rsid w:val="006625FC"/>
    <w:rsid w:val="006632E5"/>
    <w:rsid w:val="006673B9"/>
    <w:rsid w:val="006736C1"/>
    <w:rsid w:val="0067388A"/>
    <w:rsid w:val="00674E1F"/>
    <w:rsid w:val="00676856"/>
    <w:rsid w:val="00676D77"/>
    <w:rsid w:val="006831EE"/>
    <w:rsid w:val="0068641C"/>
    <w:rsid w:val="00691593"/>
    <w:rsid w:val="00694C55"/>
    <w:rsid w:val="00695217"/>
    <w:rsid w:val="00696195"/>
    <w:rsid w:val="006962E2"/>
    <w:rsid w:val="006A0366"/>
    <w:rsid w:val="006A0D1C"/>
    <w:rsid w:val="006A1419"/>
    <w:rsid w:val="006A326E"/>
    <w:rsid w:val="006A42F7"/>
    <w:rsid w:val="006A5391"/>
    <w:rsid w:val="006A6595"/>
    <w:rsid w:val="006B09FC"/>
    <w:rsid w:val="006B0BEE"/>
    <w:rsid w:val="006B17A9"/>
    <w:rsid w:val="006B2028"/>
    <w:rsid w:val="006B4515"/>
    <w:rsid w:val="006B4E8B"/>
    <w:rsid w:val="006B5899"/>
    <w:rsid w:val="006B6A0E"/>
    <w:rsid w:val="006B7375"/>
    <w:rsid w:val="006C1A4B"/>
    <w:rsid w:val="006C4AF5"/>
    <w:rsid w:val="006C6309"/>
    <w:rsid w:val="006D0010"/>
    <w:rsid w:val="006D1B0E"/>
    <w:rsid w:val="006D343D"/>
    <w:rsid w:val="006D5915"/>
    <w:rsid w:val="006D6A35"/>
    <w:rsid w:val="006E02C8"/>
    <w:rsid w:val="006E2BE5"/>
    <w:rsid w:val="006E353E"/>
    <w:rsid w:val="006E474B"/>
    <w:rsid w:val="006E50E2"/>
    <w:rsid w:val="006E5AAE"/>
    <w:rsid w:val="006E5DA8"/>
    <w:rsid w:val="006E6BAF"/>
    <w:rsid w:val="006F193B"/>
    <w:rsid w:val="006F261B"/>
    <w:rsid w:val="006F2B50"/>
    <w:rsid w:val="006F2BB8"/>
    <w:rsid w:val="006F3398"/>
    <w:rsid w:val="006F5693"/>
    <w:rsid w:val="0070054D"/>
    <w:rsid w:val="00700F80"/>
    <w:rsid w:val="007047E9"/>
    <w:rsid w:val="00704E84"/>
    <w:rsid w:val="0070709A"/>
    <w:rsid w:val="0070748D"/>
    <w:rsid w:val="00710F8B"/>
    <w:rsid w:val="0071179E"/>
    <w:rsid w:val="00714071"/>
    <w:rsid w:val="0071501C"/>
    <w:rsid w:val="007164B5"/>
    <w:rsid w:val="00720E43"/>
    <w:rsid w:val="00722B34"/>
    <w:rsid w:val="0072326C"/>
    <w:rsid w:val="00724DE7"/>
    <w:rsid w:val="00725BA2"/>
    <w:rsid w:val="00726B67"/>
    <w:rsid w:val="007334C7"/>
    <w:rsid w:val="00737301"/>
    <w:rsid w:val="00737FB7"/>
    <w:rsid w:val="00743AD2"/>
    <w:rsid w:val="00745327"/>
    <w:rsid w:val="00752824"/>
    <w:rsid w:val="007539D8"/>
    <w:rsid w:val="00753B88"/>
    <w:rsid w:val="00753EB4"/>
    <w:rsid w:val="00755018"/>
    <w:rsid w:val="00755B92"/>
    <w:rsid w:val="007579B9"/>
    <w:rsid w:val="00761358"/>
    <w:rsid w:val="00763D91"/>
    <w:rsid w:val="00764753"/>
    <w:rsid w:val="00765956"/>
    <w:rsid w:val="00772F33"/>
    <w:rsid w:val="00772FC4"/>
    <w:rsid w:val="00775267"/>
    <w:rsid w:val="007776E6"/>
    <w:rsid w:val="00781337"/>
    <w:rsid w:val="00782EF4"/>
    <w:rsid w:val="00790B8C"/>
    <w:rsid w:val="0079172D"/>
    <w:rsid w:val="00795105"/>
    <w:rsid w:val="007A183E"/>
    <w:rsid w:val="007A239E"/>
    <w:rsid w:val="007A4F66"/>
    <w:rsid w:val="007A6912"/>
    <w:rsid w:val="007B08A6"/>
    <w:rsid w:val="007B6109"/>
    <w:rsid w:val="007B7388"/>
    <w:rsid w:val="007C08C0"/>
    <w:rsid w:val="007C1B2B"/>
    <w:rsid w:val="007C1E81"/>
    <w:rsid w:val="007C22D9"/>
    <w:rsid w:val="007C2EDF"/>
    <w:rsid w:val="007C3639"/>
    <w:rsid w:val="007C3EDF"/>
    <w:rsid w:val="007C626F"/>
    <w:rsid w:val="007D1121"/>
    <w:rsid w:val="007D2E3F"/>
    <w:rsid w:val="007D2EC0"/>
    <w:rsid w:val="007D3926"/>
    <w:rsid w:val="007D439C"/>
    <w:rsid w:val="007D663D"/>
    <w:rsid w:val="007E07FD"/>
    <w:rsid w:val="007E0941"/>
    <w:rsid w:val="007E188C"/>
    <w:rsid w:val="007E2DB2"/>
    <w:rsid w:val="007F0848"/>
    <w:rsid w:val="007F3EA3"/>
    <w:rsid w:val="007F4E4F"/>
    <w:rsid w:val="007F7820"/>
    <w:rsid w:val="00800F07"/>
    <w:rsid w:val="00801403"/>
    <w:rsid w:val="00803812"/>
    <w:rsid w:val="00805289"/>
    <w:rsid w:val="008069E3"/>
    <w:rsid w:val="008107FC"/>
    <w:rsid w:val="0081103E"/>
    <w:rsid w:val="00811278"/>
    <w:rsid w:val="00813197"/>
    <w:rsid w:val="0081346F"/>
    <w:rsid w:val="0082148B"/>
    <w:rsid w:val="00821B4F"/>
    <w:rsid w:val="0082290C"/>
    <w:rsid w:val="00823751"/>
    <w:rsid w:val="0082795B"/>
    <w:rsid w:val="00827B34"/>
    <w:rsid w:val="00830F41"/>
    <w:rsid w:val="00834443"/>
    <w:rsid w:val="00834B19"/>
    <w:rsid w:val="00836F8E"/>
    <w:rsid w:val="008472DA"/>
    <w:rsid w:val="008519D6"/>
    <w:rsid w:val="00851BC7"/>
    <w:rsid w:val="0085270D"/>
    <w:rsid w:val="00855457"/>
    <w:rsid w:val="00860C9C"/>
    <w:rsid w:val="0086140A"/>
    <w:rsid w:val="00861939"/>
    <w:rsid w:val="00871307"/>
    <w:rsid w:val="008740DE"/>
    <w:rsid w:val="008808FB"/>
    <w:rsid w:val="00880FAE"/>
    <w:rsid w:val="008860B3"/>
    <w:rsid w:val="0089038B"/>
    <w:rsid w:val="0089080B"/>
    <w:rsid w:val="00891BAB"/>
    <w:rsid w:val="0089372B"/>
    <w:rsid w:val="0089509E"/>
    <w:rsid w:val="008954CF"/>
    <w:rsid w:val="008A1583"/>
    <w:rsid w:val="008A22F0"/>
    <w:rsid w:val="008A32DC"/>
    <w:rsid w:val="008A4A41"/>
    <w:rsid w:val="008A5B10"/>
    <w:rsid w:val="008A61BF"/>
    <w:rsid w:val="008B080E"/>
    <w:rsid w:val="008B1618"/>
    <w:rsid w:val="008B1821"/>
    <w:rsid w:val="008B1AFC"/>
    <w:rsid w:val="008B3EE7"/>
    <w:rsid w:val="008B7639"/>
    <w:rsid w:val="008C0DCB"/>
    <w:rsid w:val="008C3BF9"/>
    <w:rsid w:val="008C7176"/>
    <w:rsid w:val="008C7573"/>
    <w:rsid w:val="008D2BA9"/>
    <w:rsid w:val="008D361E"/>
    <w:rsid w:val="008D580F"/>
    <w:rsid w:val="008D748A"/>
    <w:rsid w:val="008E1831"/>
    <w:rsid w:val="008E2AF0"/>
    <w:rsid w:val="008E2C9D"/>
    <w:rsid w:val="008E37C9"/>
    <w:rsid w:val="008E49D5"/>
    <w:rsid w:val="008E709A"/>
    <w:rsid w:val="008E7E3A"/>
    <w:rsid w:val="008F7CF0"/>
    <w:rsid w:val="008F7E47"/>
    <w:rsid w:val="00901A42"/>
    <w:rsid w:val="0090298E"/>
    <w:rsid w:val="00904E19"/>
    <w:rsid w:val="00906620"/>
    <w:rsid w:val="00911AF3"/>
    <w:rsid w:val="00913A77"/>
    <w:rsid w:val="0091586E"/>
    <w:rsid w:val="009158B9"/>
    <w:rsid w:val="00917FCD"/>
    <w:rsid w:val="00921048"/>
    <w:rsid w:val="00921B25"/>
    <w:rsid w:val="00922348"/>
    <w:rsid w:val="009228E1"/>
    <w:rsid w:val="00922BBA"/>
    <w:rsid w:val="009230B7"/>
    <w:rsid w:val="00931296"/>
    <w:rsid w:val="00934784"/>
    <w:rsid w:val="00935A24"/>
    <w:rsid w:val="009368D3"/>
    <w:rsid w:val="00941108"/>
    <w:rsid w:val="009445D3"/>
    <w:rsid w:val="00944BFC"/>
    <w:rsid w:val="00945E12"/>
    <w:rsid w:val="0094679E"/>
    <w:rsid w:val="00950075"/>
    <w:rsid w:val="009518FF"/>
    <w:rsid w:val="00956B20"/>
    <w:rsid w:val="00962003"/>
    <w:rsid w:val="009639AC"/>
    <w:rsid w:val="009641F7"/>
    <w:rsid w:val="009665F3"/>
    <w:rsid w:val="009703F5"/>
    <w:rsid w:val="00973141"/>
    <w:rsid w:val="009818CA"/>
    <w:rsid w:val="00982EEC"/>
    <w:rsid w:val="00983593"/>
    <w:rsid w:val="00985898"/>
    <w:rsid w:val="00987030"/>
    <w:rsid w:val="009878E5"/>
    <w:rsid w:val="00994DC0"/>
    <w:rsid w:val="00994E0F"/>
    <w:rsid w:val="009952DE"/>
    <w:rsid w:val="00995C72"/>
    <w:rsid w:val="0099606A"/>
    <w:rsid w:val="009A232E"/>
    <w:rsid w:val="009A248B"/>
    <w:rsid w:val="009A30DA"/>
    <w:rsid w:val="009A360E"/>
    <w:rsid w:val="009A36D8"/>
    <w:rsid w:val="009A5B80"/>
    <w:rsid w:val="009A7BF4"/>
    <w:rsid w:val="009B007E"/>
    <w:rsid w:val="009B1857"/>
    <w:rsid w:val="009B18F1"/>
    <w:rsid w:val="009B2C9A"/>
    <w:rsid w:val="009B44AE"/>
    <w:rsid w:val="009B51D6"/>
    <w:rsid w:val="009B5B10"/>
    <w:rsid w:val="009B66E5"/>
    <w:rsid w:val="009B7C88"/>
    <w:rsid w:val="009C2AE1"/>
    <w:rsid w:val="009C3871"/>
    <w:rsid w:val="009C500B"/>
    <w:rsid w:val="009C56ED"/>
    <w:rsid w:val="009C5928"/>
    <w:rsid w:val="009C5E3E"/>
    <w:rsid w:val="009C68D5"/>
    <w:rsid w:val="009D4162"/>
    <w:rsid w:val="009D51A1"/>
    <w:rsid w:val="009E5FFE"/>
    <w:rsid w:val="009E6820"/>
    <w:rsid w:val="009F0683"/>
    <w:rsid w:val="009F18F9"/>
    <w:rsid w:val="009F281B"/>
    <w:rsid w:val="009F2E8D"/>
    <w:rsid w:val="009F41A3"/>
    <w:rsid w:val="009F5998"/>
    <w:rsid w:val="00A0056C"/>
    <w:rsid w:val="00A01819"/>
    <w:rsid w:val="00A0231C"/>
    <w:rsid w:val="00A035A8"/>
    <w:rsid w:val="00A100DC"/>
    <w:rsid w:val="00A11C57"/>
    <w:rsid w:val="00A12AEB"/>
    <w:rsid w:val="00A203C6"/>
    <w:rsid w:val="00A216E6"/>
    <w:rsid w:val="00A23C7B"/>
    <w:rsid w:val="00A26203"/>
    <w:rsid w:val="00A26BA6"/>
    <w:rsid w:val="00A27BF0"/>
    <w:rsid w:val="00A32035"/>
    <w:rsid w:val="00A329D5"/>
    <w:rsid w:val="00A32E34"/>
    <w:rsid w:val="00A32EB8"/>
    <w:rsid w:val="00A333F8"/>
    <w:rsid w:val="00A372EF"/>
    <w:rsid w:val="00A40BE2"/>
    <w:rsid w:val="00A41CE8"/>
    <w:rsid w:val="00A446AC"/>
    <w:rsid w:val="00A52166"/>
    <w:rsid w:val="00A56A85"/>
    <w:rsid w:val="00A57527"/>
    <w:rsid w:val="00A577FF"/>
    <w:rsid w:val="00A60D5E"/>
    <w:rsid w:val="00A61D28"/>
    <w:rsid w:val="00A65D98"/>
    <w:rsid w:val="00A7083A"/>
    <w:rsid w:val="00A72852"/>
    <w:rsid w:val="00A76021"/>
    <w:rsid w:val="00A8080F"/>
    <w:rsid w:val="00A82FC6"/>
    <w:rsid w:val="00A85CED"/>
    <w:rsid w:val="00A87143"/>
    <w:rsid w:val="00A92D22"/>
    <w:rsid w:val="00A930DA"/>
    <w:rsid w:val="00A948A2"/>
    <w:rsid w:val="00A9588D"/>
    <w:rsid w:val="00A96054"/>
    <w:rsid w:val="00A96A42"/>
    <w:rsid w:val="00A96F53"/>
    <w:rsid w:val="00A97222"/>
    <w:rsid w:val="00AA02C9"/>
    <w:rsid w:val="00AA214C"/>
    <w:rsid w:val="00AA54A8"/>
    <w:rsid w:val="00AB34CA"/>
    <w:rsid w:val="00AB3ED5"/>
    <w:rsid w:val="00AB4937"/>
    <w:rsid w:val="00AC180E"/>
    <w:rsid w:val="00AC41A9"/>
    <w:rsid w:val="00AC47C7"/>
    <w:rsid w:val="00AC7515"/>
    <w:rsid w:val="00AC755D"/>
    <w:rsid w:val="00AD1240"/>
    <w:rsid w:val="00AD5E54"/>
    <w:rsid w:val="00AD71DE"/>
    <w:rsid w:val="00AE000D"/>
    <w:rsid w:val="00AE381A"/>
    <w:rsid w:val="00AE4C52"/>
    <w:rsid w:val="00AF211C"/>
    <w:rsid w:val="00AF2AF7"/>
    <w:rsid w:val="00AF2C77"/>
    <w:rsid w:val="00AF392B"/>
    <w:rsid w:val="00B025B6"/>
    <w:rsid w:val="00B038EE"/>
    <w:rsid w:val="00B05047"/>
    <w:rsid w:val="00B0682D"/>
    <w:rsid w:val="00B0737B"/>
    <w:rsid w:val="00B10EF9"/>
    <w:rsid w:val="00B11BB3"/>
    <w:rsid w:val="00B14ED6"/>
    <w:rsid w:val="00B15990"/>
    <w:rsid w:val="00B17B5D"/>
    <w:rsid w:val="00B203D8"/>
    <w:rsid w:val="00B21505"/>
    <w:rsid w:val="00B22AA9"/>
    <w:rsid w:val="00B23455"/>
    <w:rsid w:val="00B24D3E"/>
    <w:rsid w:val="00B250DC"/>
    <w:rsid w:val="00B258E5"/>
    <w:rsid w:val="00B31579"/>
    <w:rsid w:val="00B3330C"/>
    <w:rsid w:val="00B339A7"/>
    <w:rsid w:val="00B33F61"/>
    <w:rsid w:val="00B3470B"/>
    <w:rsid w:val="00B35F55"/>
    <w:rsid w:val="00B3689C"/>
    <w:rsid w:val="00B41355"/>
    <w:rsid w:val="00B43045"/>
    <w:rsid w:val="00B456D0"/>
    <w:rsid w:val="00B46461"/>
    <w:rsid w:val="00B46CDE"/>
    <w:rsid w:val="00B53A16"/>
    <w:rsid w:val="00B53B03"/>
    <w:rsid w:val="00B55BE7"/>
    <w:rsid w:val="00B56A7C"/>
    <w:rsid w:val="00B575AD"/>
    <w:rsid w:val="00B63F0C"/>
    <w:rsid w:val="00B64C32"/>
    <w:rsid w:val="00B67165"/>
    <w:rsid w:val="00B707F1"/>
    <w:rsid w:val="00B722F7"/>
    <w:rsid w:val="00B745EE"/>
    <w:rsid w:val="00B82C3B"/>
    <w:rsid w:val="00B82E6D"/>
    <w:rsid w:val="00B870CC"/>
    <w:rsid w:val="00B91AFF"/>
    <w:rsid w:val="00B92C86"/>
    <w:rsid w:val="00B9329F"/>
    <w:rsid w:val="00B940DB"/>
    <w:rsid w:val="00B94F71"/>
    <w:rsid w:val="00B95713"/>
    <w:rsid w:val="00BA0002"/>
    <w:rsid w:val="00BA1068"/>
    <w:rsid w:val="00BA1C06"/>
    <w:rsid w:val="00BA2984"/>
    <w:rsid w:val="00BA373B"/>
    <w:rsid w:val="00BA422D"/>
    <w:rsid w:val="00BA6661"/>
    <w:rsid w:val="00BA69BB"/>
    <w:rsid w:val="00BB6568"/>
    <w:rsid w:val="00BC0C47"/>
    <w:rsid w:val="00BC2C63"/>
    <w:rsid w:val="00BC6A66"/>
    <w:rsid w:val="00BC7E06"/>
    <w:rsid w:val="00BD4EDA"/>
    <w:rsid w:val="00BD7CBF"/>
    <w:rsid w:val="00BE1AFA"/>
    <w:rsid w:val="00BE33FC"/>
    <w:rsid w:val="00BE5258"/>
    <w:rsid w:val="00BE64E3"/>
    <w:rsid w:val="00BE66E5"/>
    <w:rsid w:val="00BE67D6"/>
    <w:rsid w:val="00BE6E49"/>
    <w:rsid w:val="00BF01CD"/>
    <w:rsid w:val="00BF093D"/>
    <w:rsid w:val="00BF1A36"/>
    <w:rsid w:val="00BF380A"/>
    <w:rsid w:val="00BF4520"/>
    <w:rsid w:val="00BF54F3"/>
    <w:rsid w:val="00BF5D2A"/>
    <w:rsid w:val="00BF62AF"/>
    <w:rsid w:val="00C0093F"/>
    <w:rsid w:val="00C017AB"/>
    <w:rsid w:val="00C0432A"/>
    <w:rsid w:val="00C071EF"/>
    <w:rsid w:val="00C11F29"/>
    <w:rsid w:val="00C135E3"/>
    <w:rsid w:val="00C13CE8"/>
    <w:rsid w:val="00C13DDC"/>
    <w:rsid w:val="00C16C9C"/>
    <w:rsid w:val="00C17F49"/>
    <w:rsid w:val="00C2038A"/>
    <w:rsid w:val="00C213C4"/>
    <w:rsid w:val="00C225B0"/>
    <w:rsid w:val="00C22A95"/>
    <w:rsid w:val="00C22F33"/>
    <w:rsid w:val="00C2508D"/>
    <w:rsid w:val="00C26064"/>
    <w:rsid w:val="00C27664"/>
    <w:rsid w:val="00C309FC"/>
    <w:rsid w:val="00C330C2"/>
    <w:rsid w:val="00C35AD5"/>
    <w:rsid w:val="00C3627B"/>
    <w:rsid w:val="00C40681"/>
    <w:rsid w:val="00C40807"/>
    <w:rsid w:val="00C42C40"/>
    <w:rsid w:val="00C42D79"/>
    <w:rsid w:val="00C50638"/>
    <w:rsid w:val="00C50C9C"/>
    <w:rsid w:val="00C52C6E"/>
    <w:rsid w:val="00C53EDD"/>
    <w:rsid w:val="00C5603C"/>
    <w:rsid w:val="00C6169B"/>
    <w:rsid w:val="00C66535"/>
    <w:rsid w:val="00C701DB"/>
    <w:rsid w:val="00C70E90"/>
    <w:rsid w:val="00C74737"/>
    <w:rsid w:val="00C74CBE"/>
    <w:rsid w:val="00C74FB4"/>
    <w:rsid w:val="00C76A9B"/>
    <w:rsid w:val="00C815F0"/>
    <w:rsid w:val="00C84921"/>
    <w:rsid w:val="00C85D77"/>
    <w:rsid w:val="00C900B9"/>
    <w:rsid w:val="00C92963"/>
    <w:rsid w:val="00C93A2B"/>
    <w:rsid w:val="00CA0797"/>
    <w:rsid w:val="00CA0985"/>
    <w:rsid w:val="00CA4575"/>
    <w:rsid w:val="00CA5275"/>
    <w:rsid w:val="00CA7E7B"/>
    <w:rsid w:val="00CB0368"/>
    <w:rsid w:val="00CB0FD4"/>
    <w:rsid w:val="00CB479D"/>
    <w:rsid w:val="00CB4F75"/>
    <w:rsid w:val="00CB5AAA"/>
    <w:rsid w:val="00CC0A98"/>
    <w:rsid w:val="00CC3952"/>
    <w:rsid w:val="00CC570B"/>
    <w:rsid w:val="00CC623C"/>
    <w:rsid w:val="00CC7158"/>
    <w:rsid w:val="00CD0566"/>
    <w:rsid w:val="00CD5576"/>
    <w:rsid w:val="00CE0CAB"/>
    <w:rsid w:val="00CE0DF8"/>
    <w:rsid w:val="00CE25F1"/>
    <w:rsid w:val="00CE3557"/>
    <w:rsid w:val="00CE3591"/>
    <w:rsid w:val="00CE366D"/>
    <w:rsid w:val="00CF0831"/>
    <w:rsid w:val="00CF140D"/>
    <w:rsid w:val="00CF3FF4"/>
    <w:rsid w:val="00CF7D51"/>
    <w:rsid w:val="00D03FD6"/>
    <w:rsid w:val="00D04291"/>
    <w:rsid w:val="00D04F01"/>
    <w:rsid w:val="00D05792"/>
    <w:rsid w:val="00D06628"/>
    <w:rsid w:val="00D11A60"/>
    <w:rsid w:val="00D139D8"/>
    <w:rsid w:val="00D13E3A"/>
    <w:rsid w:val="00D15953"/>
    <w:rsid w:val="00D225CC"/>
    <w:rsid w:val="00D22C0E"/>
    <w:rsid w:val="00D2372C"/>
    <w:rsid w:val="00D26C89"/>
    <w:rsid w:val="00D275A9"/>
    <w:rsid w:val="00D30755"/>
    <w:rsid w:val="00D30B08"/>
    <w:rsid w:val="00D31048"/>
    <w:rsid w:val="00D323F8"/>
    <w:rsid w:val="00D33E00"/>
    <w:rsid w:val="00D34EA4"/>
    <w:rsid w:val="00D368B5"/>
    <w:rsid w:val="00D36D27"/>
    <w:rsid w:val="00D41720"/>
    <w:rsid w:val="00D44EAA"/>
    <w:rsid w:val="00D44EF5"/>
    <w:rsid w:val="00D47832"/>
    <w:rsid w:val="00D518AA"/>
    <w:rsid w:val="00D51DFE"/>
    <w:rsid w:val="00D53271"/>
    <w:rsid w:val="00D535EE"/>
    <w:rsid w:val="00D5569A"/>
    <w:rsid w:val="00D55BCF"/>
    <w:rsid w:val="00D55DBB"/>
    <w:rsid w:val="00D56DAF"/>
    <w:rsid w:val="00D60D72"/>
    <w:rsid w:val="00D61B03"/>
    <w:rsid w:val="00D61B36"/>
    <w:rsid w:val="00D62D10"/>
    <w:rsid w:val="00D64476"/>
    <w:rsid w:val="00D64DD3"/>
    <w:rsid w:val="00D70213"/>
    <w:rsid w:val="00D7126A"/>
    <w:rsid w:val="00D75F3C"/>
    <w:rsid w:val="00D77EE3"/>
    <w:rsid w:val="00D813FA"/>
    <w:rsid w:val="00D82D3C"/>
    <w:rsid w:val="00D848BD"/>
    <w:rsid w:val="00D852A9"/>
    <w:rsid w:val="00D94018"/>
    <w:rsid w:val="00D94224"/>
    <w:rsid w:val="00D95BFB"/>
    <w:rsid w:val="00D96ED2"/>
    <w:rsid w:val="00DA5E2A"/>
    <w:rsid w:val="00DA60FF"/>
    <w:rsid w:val="00DB09E4"/>
    <w:rsid w:val="00DB3965"/>
    <w:rsid w:val="00DB513D"/>
    <w:rsid w:val="00DB55B8"/>
    <w:rsid w:val="00DB7B56"/>
    <w:rsid w:val="00DB7C8C"/>
    <w:rsid w:val="00DC039F"/>
    <w:rsid w:val="00DC3515"/>
    <w:rsid w:val="00DC4615"/>
    <w:rsid w:val="00DC70B0"/>
    <w:rsid w:val="00DD058B"/>
    <w:rsid w:val="00DD0CB0"/>
    <w:rsid w:val="00DD0E64"/>
    <w:rsid w:val="00DD1110"/>
    <w:rsid w:val="00DD152F"/>
    <w:rsid w:val="00DD3D36"/>
    <w:rsid w:val="00DD7CF8"/>
    <w:rsid w:val="00DE0F76"/>
    <w:rsid w:val="00DE1739"/>
    <w:rsid w:val="00DE391F"/>
    <w:rsid w:val="00DE54FD"/>
    <w:rsid w:val="00DF0122"/>
    <w:rsid w:val="00DF07F9"/>
    <w:rsid w:val="00DF108D"/>
    <w:rsid w:val="00DF1B34"/>
    <w:rsid w:val="00DF1F0B"/>
    <w:rsid w:val="00DF56C8"/>
    <w:rsid w:val="00DF7245"/>
    <w:rsid w:val="00E00821"/>
    <w:rsid w:val="00E0316F"/>
    <w:rsid w:val="00E0328C"/>
    <w:rsid w:val="00E0762A"/>
    <w:rsid w:val="00E11102"/>
    <w:rsid w:val="00E11FBF"/>
    <w:rsid w:val="00E13A7B"/>
    <w:rsid w:val="00E17B06"/>
    <w:rsid w:val="00E17B29"/>
    <w:rsid w:val="00E17D1C"/>
    <w:rsid w:val="00E20970"/>
    <w:rsid w:val="00E221B9"/>
    <w:rsid w:val="00E24FE9"/>
    <w:rsid w:val="00E26E85"/>
    <w:rsid w:val="00E30539"/>
    <w:rsid w:val="00E31B80"/>
    <w:rsid w:val="00E33E6F"/>
    <w:rsid w:val="00E35060"/>
    <w:rsid w:val="00E37BB2"/>
    <w:rsid w:val="00E42BC6"/>
    <w:rsid w:val="00E43443"/>
    <w:rsid w:val="00E43458"/>
    <w:rsid w:val="00E45473"/>
    <w:rsid w:val="00E45909"/>
    <w:rsid w:val="00E45F79"/>
    <w:rsid w:val="00E466AB"/>
    <w:rsid w:val="00E523CD"/>
    <w:rsid w:val="00E55B7E"/>
    <w:rsid w:val="00E56C09"/>
    <w:rsid w:val="00E61BF1"/>
    <w:rsid w:val="00E6433C"/>
    <w:rsid w:val="00E66CF7"/>
    <w:rsid w:val="00E81AB6"/>
    <w:rsid w:val="00E8428A"/>
    <w:rsid w:val="00E87B8E"/>
    <w:rsid w:val="00E90C0D"/>
    <w:rsid w:val="00E90EE2"/>
    <w:rsid w:val="00E91615"/>
    <w:rsid w:val="00E91B11"/>
    <w:rsid w:val="00E91B33"/>
    <w:rsid w:val="00E93388"/>
    <w:rsid w:val="00E95CC3"/>
    <w:rsid w:val="00EA0FC4"/>
    <w:rsid w:val="00EA1E14"/>
    <w:rsid w:val="00EA3217"/>
    <w:rsid w:val="00EA6ACE"/>
    <w:rsid w:val="00EA7149"/>
    <w:rsid w:val="00EA78F3"/>
    <w:rsid w:val="00EA7FCF"/>
    <w:rsid w:val="00EB021D"/>
    <w:rsid w:val="00EB33A7"/>
    <w:rsid w:val="00EB37C4"/>
    <w:rsid w:val="00EB4EE9"/>
    <w:rsid w:val="00EB6136"/>
    <w:rsid w:val="00EB6F15"/>
    <w:rsid w:val="00EB7E9E"/>
    <w:rsid w:val="00EC1993"/>
    <w:rsid w:val="00EC3121"/>
    <w:rsid w:val="00EC35AE"/>
    <w:rsid w:val="00EC7282"/>
    <w:rsid w:val="00ED2156"/>
    <w:rsid w:val="00ED2924"/>
    <w:rsid w:val="00ED3E44"/>
    <w:rsid w:val="00ED3E4C"/>
    <w:rsid w:val="00ED4563"/>
    <w:rsid w:val="00ED6101"/>
    <w:rsid w:val="00EE0167"/>
    <w:rsid w:val="00EE0F20"/>
    <w:rsid w:val="00EE3F4D"/>
    <w:rsid w:val="00EE5CED"/>
    <w:rsid w:val="00EF0386"/>
    <w:rsid w:val="00EF0F50"/>
    <w:rsid w:val="00EF1394"/>
    <w:rsid w:val="00EF559F"/>
    <w:rsid w:val="00F003D8"/>
    <w:rsid w:val="00F0193F"/>
    <w:rsid w:val="00F05728"/>
    <w:rsid w:val="00F059EA"/>
    <w:rsid w:val="00F11E31"/>
    <w:rsid w:val="00F12420"/>
    <w:rsid w:val="00F14E6C"/>
    <w:rsid w:val="00F219D2"/>
    <w:rsid w:val="00F223EE"/>
    <w:rsid w:val="00F24999"/>
    <w:rsid w:val="00F27D93"/>
    <w:rsid w:val="00F31369"/>
    <w:rsid w:val="00F342F4"/>
    <w:rsid w:val="00F37E6F"/>
    <w:rsid w:val="00F4155D"/>
    <w:rsid w:val="00F42259"/>
    <w:rsid w:val="00F426CC"/>
    <w:rsid w:val="00F510B8"/>
    <w:rsid w:val="00F5162A"/>
    <w:rsid w:val="00F52688"/>
    <w:rsid w:val="00F54849"/>
    <w:rsid w:val="00F555D5"/>
    <w:rsid w:val="00F561C6"/>
    <w:rsid w:val="00F5684D"/>
    <w:rsid w:val="00F6165C"/>
    <w:rsid w:val="00F665AF"/>
    <w:rsid w:val="00F66F26"/>
    <w:rsid w:val="00F6753F"/>
    <w:rsid w:val="00F70AF5"/>
    <w:rsid w:val="00F714BF"/>
    <w:rsid w:val="00F7592F"/>
    <w:rsid w:val="00F77782"/>
    <w:rsid w:val="00F81011"/>
    <w:rsid w:val="00F8189B"/>
    <w:rsid w:val="00F81CA0"/>
    <w:rsid w:val="00F821F3"/>
    <w:rsid w:val="00F82E78"/>
    <w:rsid w:val="00F83DDE"/>
    <w:rsid w:val="00F87EF7"/>
    <w:rsid w:val="00F90A90"/>
    <w:rsid w:val="00F90B3A"/>
    <w:rsid w:val="00F92909"/>
    <w:rsid w:val="00F938D9"/>
    <w:rsid w:val="00F965A1"/>
    <w:rsid w:val="00F9690A"/>
    <w:rsid w:val="00F9702C"/>
    <w:rsid w:val="00FA31F7"/>
    <w:rsid w:val="00FA3AD3"/>
    <w:rsid w:val="00FA732E"/>
    <w:rsid w:val="00FB2366"/>
    <w:rsid w:val="00FB357A"/>
    <w:rsid w:val="00FB374F"/>
    <w:rsid w:val="00FB6CA4"/>
    <w:rsid w:val="00FC0F75"/>
    <w:rsid w:val="00FC1578"/>
    <w:rsid w:val="00FC2814"/>
    <w:rsid w:val="00FD0B2B"/>
    <w:rsid w:val="00FD4E76"/>
    <w:rsid w:val="00FD51BF"/>
    <w:rsid w:val="00FD52D2"/>
    <w:rsid w:val="00FD6078"/>
    <w:rsid w:val="00FD74E2"/>
    <w:rsid w:val="00FE05AE"/>
    <w:rsid w:val="00FE32C3"/>
    <w:rsid w:val="00FE3474"/>
    <w:rsid w:val="00FE34C2"/>
    <w:rsid w:val="00FF031A"/>
    <w:rsid w:val="00FF055E"/>
    <w:rsid w:val="00FF0910"/>
    <w:rsid w:val="01C1662E"/>
    <w:rsid w:val="02AB1B9A"/>
    <w:rsid w:val="04AE408C"/>
    <w:rsid w:val="05940AC6"/>
    <w:rsid w:val="0BF978D5"/>
    <w:rsid w:val="0F273103"/>
    <w:rsid w:val="0F40581B"/>
    <w:rsid w:val="144F6A13"/>
    <w:rsid w:val="16124590"/>
    <w:rsid w:val="17D52816"/>
    <w:rsid w:val="18203937"/>
    <w:rsid w:val="1A690425"/>
    <w:rsid w:val="1C761B12"/>
    <w:rsid w:val="1DB96EC4"/>
    <w:rsid w:val="1E4F1D21"/>
    <w:rsid w:val="21865ACA"/>
    <w:rsid w:val="27AD0F07"/>
    <w:rsid w:val="29C32909"/>
    <w:rsid w:val="2A703001"/>
    <w:rsid w:val="2BD107CE"/>
    <w:rsid w:val="2FC06322"/>
    <w:rsid w:val="30936F93"/>
    <w:rsid w:val="31503D99"/>
    <w:rsid w:val="353E4427"/>
    <w:rsid w:val="3B5A30DD"/>
    <w:rsid w:val="3FCC5224"/>
    <w:rsid w:val="4052495C"/>
    <w:rsid w:val="40D02D26"/>
    <w:rsid w:val="4975425B"/>
    <w:rsid w:val="4FC36E5F"/>
    <w:rsid w:val="5163176F"/>
    <w:rsid w:val="55DA524A"/>
    <w:rsid w:val="58071EBB"/>
    <w:rsid w:val="5E36363E"/>
    <w:rsid w:val="68A67612"/>
    <w:rsid w:val="6AFA698D"/>
    <w:rsid w:val="6DA564DF"/>
    <w:rsid w:val="6E9C7930"/>
    <w:rsid w:val="6E9F0C9B"/>
    <w:rsid w:val="6EFC231D"/>
    <w:rsid w:val="704B41BD"/>
    <w:rsid w:val="74A857A5"/>
    <w:rsid w:val="75AA6C03"/>
    <w:rsid w:val="75F91F38"/>
    <w:rsid w:val="7AD73865"/>
    <w:rsid w:val="7D960C6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64"/>
    <w:qFormat/>
    <w:uiPriority w:val="0"/>
    <w:pPr>
      <w:keepNext/>
      <w:keepLines/>
      <w:spacing w:after="120" w:afterLines="0" w:line="360" w:lineRule="auto"/>
      <w:outlineLvl w:val="0"/>
    </w:pPr>
    <w:rPr>
      <w:kern w:val="44"/>
      <w:sz w:val="28"/>
      <w:szCs w:val="28"/>
    </w:rPr>
  </w:style>
  <w:style w:type="paragraph" w:styleId="6">
    <w:name w:val="heading 2"/>
    <w:basedOn w:val="1"/>
    <w:next w:val="7"/>
    <w:link w:val="67"/>
    <w:qFormat/>
    <w:uiPriority w:val="0"/>
    <w:pPr>
      <w:keepNext/>
      <w:keepLines/>
      <w:spacing w:before="120" w:beforeLines="0" w:after="120" w:afterLines="0" w:line="415" w:lineRule="auto"/>
      <w:ind w:left="454"/>
      <w:jc w:val="center"/>
      <w:outlineLvl w:val="1"/>
    </w:pPr>
    <w:rPr>
      <w:rFonts w:ascii="Arial" w:hAnsi="Arial"/>
      <w:b/>
      <w:color w:val="000000"/>
      <w:kern w:val="0"/>
      <w:sz w:val="24"/>
      <w:szCs w:val="24"/>
    </w:rPr>
  </w:style>
  <w:style w:type="paragraph" w:styleId="8">
    <w:name w:val="heading 3"/>
    <w:basedOn w:val="1"/>
    <w:next w:val="1"/>
    <w:link w:val="69"/>
    <w:qFormat/>
    <w:uiPriority w:val="0"/>
    <w:pPr>
      <w:widowControl/>
      <w:spacing w:before="100" w:beforeLines="0" w:beforeAutospacing="1" w:after="100" w:afterLines="0" w:afterAutospacing="1"/>
      <w:jc w:val="left"/>
      <w:outlineLvl w:val="2"/>
    </w:pPr>
    <w:rPr>
      <w:rFonts w:ascii="宋体" w:hAnsi="宋体"/>
      <w:b/>
      <w:bCs/>
      <w:color w:val="FF0000"/>
      <w:sz w:val="24"/>
      <w:szCs w:val="24"/>
      <w:lang w:val="zh-CN"/>
    </w:rPr>
  </w:style>
  <w:style w:type="paragraph" w:styleId="9">
    <w:name w:val="heading 4"/>
    <w:basedOn w:val="8"/>
    <w:next w:val="7"/>
    <w:link w:val="70"/>
    <w:qFormat/>
    <w:uiPriority w:val="0"/>
    <w:pPr>
      <w:keepNext/>
      <w:keepLines/>
      <w:widowControl w:val="0"/>
      <w:numPr>
        <w:ilvl w:val="3"/>
        <w:numId w:val="1"/>
      </w:numPr>
      <w:spacing w:before="156" w:beforeLines="50" w:beforeAutospacing="0" w:after="156" w:afterLines="50" w:afterAutospacing="0" w:line="360" w:lineRule="auto"/>
      <w:outlineLvl w:val="3"/>
    </w:pPr>
    <w:rPr>
      <w:rFonts w:ascii="Arial" w:hAnsi="Arial"/>
      <w:b w:val="0"/>
      <w:bCs w:val="0"/>
      <w:color w:val="000000"/>
      <w:kern w:val="0"/>
      <w:sz w:val="20"/>
      <w:szCs w:val="21"/>
    </w:rPr>
  </w:style>
  <w:style w:type="paragraph" w:styleId="10">
    <w:name w:val="heading 5"/>
    <w:basedOn w:val="9"/>
    <w:next w:val="7"/>
    <w:link w:val="71"/>
    <w:qFormat/>
    <w:uiPriority w:val="0"/>
    <w:pPr>
      <w:numPr>
        <w:ilvl w:val="4"/>
        <w:numId w:val="1"/>
      </w:numPr>
      <w:spacing w:line="240" w:lineRule="exact"/>
      <w:outlineLvl w:val="4"/>
    </w:pPr>
    <w:rPr>
      <w:b/>
      <w:bCs/>
      <w:kern w:val="0"/>
      <w:sz w:val="20"/>
    </w:rPr>
  </w:style>
  <w:style w:type="paragraph" w:styleId="11">
    <w:name w:val="heading 6"/>
    <w:basedOn w:val="1"/>
    <w:next w:val="1"/>
    <w:link w:val="72"/>
    <w:qFormat/>
    <w:uiPriority w:val="0"/>
    <w:pPr>
      <w:keepNext/>
      <w:keepLines/>
      <w:numPr>
        <w:ilvl w:val="5"/>
        <w:numId w:val="2"/>
      </w:numPr>
      <w:spacing w:before="240" w:beforeLines="0" w:after="64" w:afterLines="0" w:line="320" w:lineRule="auto"/>
      <w:outlineLvl w:val="5"/>
    </w:pPr>
    <w:rPr>
      <w:rFonts w:ascii="Arial" w:hAnsi="Arial" w:eastAsia="黑体"/>
      <w:b/>
      <w:bCs/>
      <w:kern w:val="0"/>
      <w:sz w:val="24"/>
      <w:szCs w:val="24"/>
    </w:rPr>
  </w:style>
  <w:style w:type="paragraph" w:styleId="12">
    <w:name w:val="heading 7"/>
    <w:basedOn w:val="1"/>
    <w:next w:val="7"/>
    <w:link w:val="73"/>
    <w:qFormat/>
    <w:uiPriority w:val="0"/>
    <w:pPr>
      <w:keepNext/>
      <w:keepLines/>
      <w:numPr>
        <w:ilvl w:val="6"/>
        <w:numId w:val="1"/>
      </w:numPr>
      <w:spacing w:before="240" w:beforeLines="0" w:after="64" w:afterLines="0" w:line="320" w:lineRule="auto"/>
      <w:outlineLvl w:val="6"/>
    </w:pPr>
    <w:rPr>
      <w:rFonts w:ascii="等线" w:hAnsi="等线"/>
      <w:b/>
      <w:kern w:val="0"/>
      <w:sz w:val="24"/>
      <w:szCs w:val="20"/>
    </w:rPr>
  </w:style>
  <w:style w:type="paragraph" w:styleId="13">
    <w:name w:val="heading 8"/>
    <w:basedOn w:val="1"/>
    <w:next w:val="7"/>
    <w:link w:val="74"/>
    <w:qFormat/>
    <w:uiPriority w:val="0"/>
    <w:pPr>
      <w:keepNext/>
      <w:keepLines/>
      <w:numPr>
        <w:ilvl w:val="7"/>
        <w:numId w:val="1"/>
      </w:numPr>
      <w:spacing w:before="240" w:beforeLines="0" w:after="64" w:afterLines="0" w:line="320" w:lineRule="auto"/>
      <w:outlineLvl w:val="7"/>
    </w:pPr>
    <w:rPr>
      <w:rFonts w:ascii="Arial" w:hAnsi="Arial" w:eastAsia="黑体"/>
      <w:kern w:val="0"/>
      <w:sz w:val="24"/>
      <w:szCs w:val="20"/>
    </w:rPr>
  </w:style>
  <w:style w:type="paragraph" w:styleId="14">
    <w:name w:val="heading 9"/>
    <w:basedOn w:val="1"/>
    <w:next w:val="7"/>
    <w:link w:val="75"/>
    <w:qFormat/>
    <w:uiPriority w:val="0"/>
    <w:pPr>
      <w:keepNext/>
      <w:keepLines/>
      <w:numPr>
        <w:ilvl w:val="8"/>
        <w:numId w:val="1"/>
      </w:numPr>
      <w:spacing w:before="240" w:beforeLines="0" w:after="64" w:afterLines="0" w:line="320" w:lineRule="auto"/>
      <w:outlineLvl w:val="8"/>
    </w:pPr>
    <w:rPr>
      <w:rFonts w:ascii="Arial" w:hAnsi="Arial" w:eastAsia="黑体"/>
      <w:kern w:val="0"/>
      <w:sz w:val="20"/>
      <w:szCs w:val="20"/>
    </w:rPr>
  </w:style>
  <w:style w:type="character" w:default="1" w:styleId="50">
    <w:name w:val="Default Paragraph Font"/>
    <w:qFormat/>
    <w:uiPriority w:val="0"/>
  </w:style>
  <w:style w:type="table" w:default="1" w:styleId="48">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65"/>
    <w:qFormat/>
    <w:uiPriority w:val="0"/>
    <w:pPr>
      <w:spacing w:after="120" w:afterLines="0"/>
    </w:pPr>
    <w:rPr>
      <w:rFonts w:ascii="Times New Roman" w:hAnsi="Times New Roman"/>
      <w:kern w:val="0"/>
      <w:sz w:val="20"/>
      <w:szCs w:val="20"/>
    </w:rPr>
  </w:style>
  <w:style w:type="paragraph" w:styleId="4">
    <w:name w:val="Title"/>
    <w:basedOn w:val="1"/>
    <w:link w:val="63"/>
    <w:qFormat/>
    <w:uiPriority w:val="0"/>
    <w:pPr>
      <w:spacing w:before="120" w:beforeLines="0" w:after="60" w:afterLines="0"/>
      <w:jc w:val="center"/>
    </w:pPr>
    <w:rPr>
      <w:rFonts w:ascii="Arial" w:hAnsi="Arial"/>
      <w:b/>
      <w:kern w:val="0"/>
      <w:sz w:val="44"/>
      <w:szCs w:val="20"/>
    </w:rPr>
  </w:style>
  <w:style w:type="paragraph" w:styleId="5">
    <w:name w:val="Body Text First Indent"/>
    <w:basedOn w:val="2"/>
    <w:link w:val="66"/>
    <w:qFormat/>
    <w:uiPriority w:val="0"/>
    <w:pPr>
      <w:ind w:firstLine="420"/>
    </w:pPr>
  </w:style>
  <w:style w:type="paragraph" w:styleId="7">
    <w:name w:val="Normal Indent"/>
    <w:basedOn w:val="1"/>
    <w:link w:val="68"/>
    <w:qFormat/>
    <w:uiPriority w:val="0"/>
    <w:pPr>
      <w:ind w:firstLine="420"/>
    </w:pPr>
    <w:rPr>
      <w:rFonts w:ascii="Times New Roman" w:hAnsi="Times New Roman"/>
      <w:szCs w:val="20"/>
    </w:rPr>
  </w:style>
  <w:style w:type="paragraph" w:styleId="15">
    <w:name w:val="toc 7"/>
    <w:basedOn w:val="1"/>
    <w:next w:val="1"/>
    <w:qFormat/>
    <w:uiPriority w:val="0"/>
    <w:pPr>
      <w:ind w:leftChars="1200"/>
    </w:pPr>
    <w:rPr>
      <w:rFonts w:ascii="Times New Roman" w:hAnsi="Times New Roman"/>
    </w:rPr>
  </w:style>
  <w:style w:type="paragraph" w:styleId="16">
    <w:name w:val="caption"/>
    <w:basedOn w:val="1"/>
    <w:next w:val="1"/>
    <w:qFormat/>
    <w:uiPriority w:val="0"/>
    <w:rPr>
      <w:rFonts w:ascii="Arial" w:hAnsi="Arial" w:eastAsia="黑体" w:cs="Arial"/>
      <w:sz w:val="20"/>
      <w:szCs w:val="20"/>
    </w:rPr>
  </w:style>
  <w:style w:type="paragraph" w:styleId="17">
    <w:name w:val="List Bullet"/>
    <w:basedOn w:val="1"/>
    <w:qFormat/>
    <w:uiPriority w:val="0"/>
    <w:pPr>
      <w:tabs>
        <w:tab w:val="left" w:pos="360"/>
      </w:tabs>
      <w:ind w:left="360" w:hanging="360"/>
    </w:pPr>
    <w:rPr>
      <w:rFonts w:ascii="Times New Roman" w:hAnsi="Times New Roman"/>
      <w:szCs w:val="24"/>
    </w:rPr>
  </w:style>
  <w:style w:type="paragraph" w:styleId="18">
    <w:name w:val="Document Map"/>
    <w:basedOn w:val="1"/>
    <w:link w:val="76"/>
    <w:qFormat/>
    <w:uiPriority w:val="0"/>
    <w:pPr>
      <w:shd w:val="clear" w:color="auto" w:fill="000080"/>
    </w:pPr>
    <w:rPr>
      <w:rFonts w:ascii="Times New Roman" w:hAnsi="Times New Roman"/>
      <w:kern w:val="0"/>
      <w:sz w:val="20"/>
      <w:szCs w:val="20"/>
      <w:shd w:val="clear" w:color="auto" w:fill="000080"/>
    </w:rPr>
  </w:style>
  <w:style w:type="paragraph" w:styleId="19">
    <w:name w:val="annotation text"/>
    <w:basedOn w:val="1"/>
    <w:link w:val="77"/>
    <w:qFormat/>
    <w:uiPriority w:val="0"/>
    <w:pPr>
      <w:spacing w:line="360" w:lineRule="auto"/>
      <w:ind w:firstLine="523" w:firstLineChars="218"/>
      <w:jc w:val="left"/>
    </w:pPr>
    <w:rPr>
      <w:rFonts w:ascii="宋体" w:hAnsi="宋体"/>
      <w:kern w:val="0"/>
      <w:sz w:val="24"/>
      <w:szCs w:val="24"/>
    </w:rPr>
  </w:style>
  <w:style w:type="paragraph" w:styleId="20">
    <w:name w:val="Body Text 3"/>
    <w:basedOn w:val="1"/>
    <w:link w:val="78"/>
    <w:qFormat/>
    <w:uiPriority w:val="0"/>
    <w:rPr>
      <w:rFonts w:ascii="宋体" w:hAnsi="宋体"/>
      <w:sz w:val="24"/>
      <w:szCs w:val="20"/>
    </w:rPr>
  </w:style>
  <w:style w:type="paragraph" w:styleId="21">
    <w:name w:val="Body Text Indent"/>
    <w:basedOn w:val="1"/>
    <w:link w:val="79"/>
    <w:qFormat/>
    <w:uiPriority w:val="0"/>
    <w:pPr>
      <w:ind w:firstLine="570"/>
    </w:pPr>
    <w:rPr>
      <w:rFonts w:ascii="Times New Roman" w:hAnsi="Times New Roman"/>
      <w:kern w:val="0"/>
      <w:sz w:val="28"/>
      <w:szCs w:val="20"/>
    </w:rPr>
  </w:style>
  <w:style w:type="paragraph" w:styleId="22">
    <w:name w:val="List 2"/>
    <w:basedOn w:val="1"/>
    <w:qFormat/>
    <w:uiPriority w:val="0"/>
    <w:pPr>
      <w:ind w:leftChars="200" w:hanging="200" w:hangingChars="200"/>
    </w:pPr>
    <w:rPr>
      <w:rFonts w:ascii="Times New Roman" w:hAnsi="Times New Roman" w:eastAsia="楷体_GB2312"/>
      <w:szCs w:val="20"/>
    </w:rPr>
  </w:style>
  <w:style w:type="paragraph" w:styleId="23">
    <w:name w:val="List Bullet 2"/>
    <w:basedOn w:val="17"/>
    <w:qFormat/>
    <w:uiPriority w:val="0"/>
    <w:pPr>
      <w:widowControl/>
      <w:tabs>
        <w:tab w:val="left" w:pos="432"/>
        <w:tab w:val="clear" w:pos="360"/>
      </w:tabs>
      <w:spacing w:after="220" w:afterLines="0" w:line="220" w:lineRule="atLeast"/>
      <w:ind w:left="2160" w:right="720" w:hanging="432"/>
      <w:jc w:val="left"/>
    </w:pPr>
    <w:rPr>
      <w:kern w:val="0"/>
      <w:szCs w:val="20"/>
    </w:rPr>
  </w:style>
  <w:style w:type="paragraph" w:styleId="24">
    <w:name w:val="toc 5"/>
    <w:basedOn w:val="1"/>
    <w:next w:val="1"/>
    <w:qFormat/>
    <w:uiPriority w:val="0"/>
    <w:pPr>
      <w:ind w:leftChars="800"/>
    </w:pPr>
    <w:rPr>
      <w:rFonts w:ascii="Times New Roman" w:hAnsi="Times New Roman"/>
    </w:rPr>
  </w:style>
  <w:style w:type="paragraph" w:styleId="25">
    <w:name w:val="toc 3"/>
    <w:basedOn w:val="1"/>
    <w:next w:val="1"/>
    <w:qFormat/>
    <w:uiPriority w:val="0"/>
    <w:pPr>
      <w:snapToGrid w:val="0"/>
      <w:spacing w:line="360" w:lineRule="auto"/>
      <w:ind w:left="400" w:leftChars="400"/>
      <w:jc w:val="left"/>
    </w:pPr>
    <w:rPr>
      <w:rFonts w:ascii="Times New Roman" w:hAnsi="Times New Roman"/>
      <w:sz w:val="24"/>
      <w:szCs w:val="20"/>
    </w:rPr>
  </w:style>
  <w:style w:type="paragraph" w:styleId="26">
    <w:name w:val="Plain Text"/>
    <w:basedOn w:val="1"/>
    <w:link w:val="80"/>
    <w:qFormat/>
    <w:uiPriority w:val="0"/>
    <w:rPr>
      <w:rFonts w:ascii="宋体" w:hAnsi="Courier New"/>
      <w:kern w:val="0"/>
      <w:sz w:val="20"/>
      <w:szCs w:val="20"/>
    </w:rPr>
  </w:style>
  <w:style w:type="paragraph" w:styleId="27">
    <w:name w:val="toc 8"/>
    <w:basedOn w:val="1"/>
    <w:next w:val="1"/>
    <w:qFormat/>
    <w:uiPriority w:val="0"/>
    <w:pPr>
      <w:ind w:leftChars="1400"/>
    </w:pPr>
    <w:rPr>
      <w:rFonts w:ascii="Times New Roman" w:hAnsi="Times New Roman"/>
    </w:rPr>
  </w:style>
  <w:style w:type="paragraph" w:styleId="28">
    <w:name w:val="Date"/>
    <w:basedOn w:val="1"/>
    <w:next w:val="1"/>
    <w:link w:val="81"/>
    <w:qFormat/>
    <w:uiPriority w:val="0"/>
    <w:rPr>
      <w:rFonts w:ascii="Times New Roman" w:hAnsi="Times New Roman"/>
      <w:kern w:val="0"/>
      <w:sz w:val="20"/>
      <w:szCs w:val="20"/>
    </w:rPr>
  </w:style>
  <w:style w:type="paragraph" w:styleId="29">
    <w:name w:val="Body Text Indent 2"/>
    <w:basedOn w:val="1"/>
    <w:link w:val="82"/>
    <w:qFormat/>
    <w:uiPriority w:val="0"/>
    <w:pPr>
      <w:spacing w:line="400" w:lineRule="exact"/>
      <w:ind w:left="425"/>
    </w:pPr>
    <w:rPr>
      <w:rFonts w:ascii="Times New Roman" w:hAnsi="Times New Roman"/>
      <w:color w:val="000000"/>
      <w:kern w:val="0"/>
      <w:sz w:val="24"/>
      <w:szCs w:val="20"/>
    </w:rPr>
  </w:style>
  <w:style w:type="paragraph" w:styleId="30">
    <w:name w:val="endnote text"/>
    <w:basedOn w:val="1"/>
    <w:link w:val="83"/>
    <w:qFormat/>
    <w:uiPriority w:val="0"/>
    <w:pPr>
      <w:snapToGrid w:val="0"/>
      <w:jc w:val="left"/>
    </w:pPr>
    <w:rPr>
      <w:rFonts w:ascii="Times New Roman" w:hAnsi="Times New Roman"/>
      <w:kern w:val="0"/>
      <w:sz w:val="20"/>
      <w:szCs w:val="20"/>
    </w:rPr>
  </w:style>
  <w:style w:type="paragraph" w:styleId="31">
    <w:name w:val="Balloon Text"/>
    <w:basedOn w:val="1"/>
    <w:link w:val="84"/>
    <w:qFormat/>
    <w:uiPriority w:val="0"/>
    <w:rPr>
      <w:rFonts w:ascii="Times New Roman" w:hAnsi="Times New Roman"/>
      <w:kern w:val="0"/>
      <w:sz w:val="18"/>
      <w:szCs w:val="18"/>
    </w:rPr>
  </w:style>
  <w:style w:type="paragraph" w:styleId="32">
    <w:name w:val="footer"/>
    <w:basedOn w:val="1"/>
    <w:link w:val="85"/>
    <w:qFormat/>
    <w:uiPriority w:val="99"/>
    <w:pPr>
      <w:tabs>
        <w:tab w:val="center" w:pos="4153"/>
        <w:tab w:val="right" w:pos="8306"/>
      </w:tabs>
      <w:snapToGrid w:val="0"/>
      <w:jc w:val="left"/>
    </w:pPr>
    <w:rPr>
      <w:kern w:val="0"/>
      <w:sz w:val="18"/>
      <w:szCs w:val="18"/>
    </w:rPr>
  </w:style>
  <w:style w:type="paragraph" w:styleId="33">
    <w:name w:val="header"/>
    <w:basedOn w:val="1"/>
    <w:link w:val="86"/>
    <w:qFormat/>
    <w:uiPriority w:val="0"/>
    <w:pPr>
      <w:pBdr>
        <w:bottom w:val="single" w:color="auto" w:sz="6" w:space="1"/>
      </w:pBdr>
      <w:tabs>
        <w:tab w:val="center" w:pos="4153"/>
        <w:tab w:val="right" w:pos="8306"/>
      </w:tabs>
      <w:snapToGrid w:val="0"/>
      <w:jc w:val="center"/>
    </w:pPr>
    <w:rPr>
      <w:kern w:val="0"/>
      <w:sz w:val="18"/>
      <w:szCs w:val="18"/>
    </w:rPr>
  </w:style>
  <w:style w:type="paragraph" w:styleId="34">
    <w:name w:val="toc 1"/>
    <w:basedOn w:val="1"/>
    <w:next w:val="1"/>
    <w:qFormat/>
    <w:uiPriority w:val="0"/>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35">
    <w:name w:val="toc 4"/>
    <w:basedOn w:val="1"/>
    <w:next w:val="1"/>
    <w:qFormat/>
    <w:uiPriority w:val="0"/>
    <w:pPr>
      <w:ind w:leftChars="600"/>
    </w:pPr>
    <w:rPr>
      <w:rFonts w:ascii="Times New Roman" w:hAnsi="Times New Roman"/>
    </w:rPr>
  </w:style>
  <w:style w:type="paragraph" w:styleId="36">
    <w:name w:val="Subtitle"/>
    <w:basedOn w:val="1"/>
    <w:next w:val="1"/>
    <w:link w:val="87"/>
    <w:qFormat/>
    <w:uiPriority w:val="0"/>
    <w:pPr>
      <w:widowControl/>
      <w:spacing w:after="60" w:afterLines="0"/>
      <w:jc w:val="center"/>
      <w:outlineLvl w:val="1"/>
    </w:pPr>
    <w:rPr>
      <w:rFonts w:ascii="Arial" w:hAnsi="Arial" w:eastAsia="黑体"/>
      <w:b/>
      <w:bCs/>
      <w:sz w:val="32"/>
      <w:szCs w:val="32"/>
    </w:rPr>
  </w:style>
  <w:style w:type="paragraph" w:styleId="37">
    <w:name w:val="List"/>
    <w:basedOn w:val="2"/>
    <w:qFormat/>
    <w:uiPriority w:val="0"/>
    <w:pPr>
      <w:suppressAutoHyphens/>
      <w:spacing w:after="0" w:afterLines="0"/>
    </w:pPr>
    <w:rPr>
      <w:rFonts w:hAnsi="Calibri" w:eastAsia="黑体"/>
      <w:sz w:val="24"/>
      <w:lang w:eastAsia="ar-SA"/>
    </w:rPr>
  </w:style>
  <w:style w:type="paragraph" w:styleId="38">
    <w:name w:val="footnote text"/>
    <w:basedOn w:val="1"/>
    <w:link w:val="88"/>
    <w:qFormat/>
    <w:uiPriority w:val="0"/>
    <w:pPr>
      <w:snapToGrid w:val="0"/>
      <w:spacing w:line="360" w:lineRule="auto"/>
      <w:ind w:firstLine="523" w:firstLineChars="218"/>
      <w:jc w:val="left"/>
    </w:pPr>
    <w:rPr>
      <w:rFonts w:ascii="宋体" w:hAnsi="宋体"/>
      <w:kern w:val="0"/>
      <w:sz w:val="18"/>
      <w:szCs w:val="18"/>
    </w:rPr>
  </w:style>
  <w:style w:type="paragraph" w:styleId="39">
    <w:name w:val="toc 6"/>
    <w:basedOn w:val="1"/>
    <w:next w:val="1"/>
    <w:qFormat/>
    <w:uiPriority w:val="0"/>
    <w:pPr>
      <w:ind w:leftChars="1000"/>
    </w:pPr>
    <w:rPr>
      <w:rFonts w:ascii="Times New Roman" w:hAnsi="Times New Roman"/>
    </w:rPr>
  </w:style>
  <w:style w:type="paragraph" w:styleId="40">
    <w:name w:val="Body Text Indent 3"/>
    <w:basedOn w:val="1"/>
    <w:link w:val="89"/>
    <w:qFormat/>
    <w:uiPriority w:val="0"/>
    <w:pPr>
      <w:tabs>
        <w:tab w:val="left" w:pos="0"/>
      </w:tabs>
      <w:spacing w:line="400" w:lineRule="exact"/>
      <w:ind w:left="563" w:leftChars="228" w:hanging="84" w:hangingChars="35"/>
    </w:pPr>
    <w:rPr>
      <w:rFonts w:ascii="Times New Roman" w:hAnsi="Times New Roman"/>
      <w:color w:val="000000"/>
      <w:kern w:val="0"/>
      <w:sz w:val="24"/>
      <w:szCs w:val="20"/>
    </w:rPr>
  </w:style>
  <w:style w:type="paragraph" w:styleId="41">
    <w:name w:val="table of figures"/>
    <w:basedOn w:val="1"/>
    <w:next w:val="1"/>
    <w:qFormat/>
    <w:uiPriority w:val="0"/>
    <w:pPr>
      <w:ind w:leftChars="200" w:hanging="200" w:hangingChars="200"/>
    </w:pPr>
    <w:rPr>
      <w:rFonts w:ascii="Times New Roman" w:hAnsi="Times New Roman"/>
    </w:rPr>
  </w:style>
  <w:style w:type="paragraph" w:styleId="42">
    <w:name w:val="toc 2"/>
    <w:basedOn w:val="1"/>
    <w:next w:val="1"/>
    <w:qFormat/>
    <w:uiPriority w:val="0"/>
    <w:pPr>
      <w:tabs>
        <w:tab w:val="right" w:leader="dot" w:pos="9060"/>
      </w:tabs>
      <w:snapToGrid w:val="0"/>
      <w:spacing w:line="360" w:lineRule="auto"/>
      <w:ind w:left="420" w:leftChars="200"/>
      <w:jc w:val="left"/>
    </w:pPr>
    <w:rPr>
      <w:rFonts w:ascii="Times New Roman" w:hAnsi="Times New Roman"/>
      <w:sz w:val="24"/>
      <w:szCs w:val="24"/>
    </w:rPr>
  </w:style>
  <w:style w:type="paragraph" w:styleId="43">
    <w:name w:val="toc 9"/>
    <w:basedOn w:val="1"/>
    <w:next w:val="1"/>
    <w:qFormat/>
    <w:uiPriority w:val="0"/>
    <w:pPr>
      <w:ind w:leftChars="1600"/>
    </w:pPr>
    <w:rPr>
      <w:rFonts w:ascii="Times New Roman" w:hAnsi="Times New Roman"/>
    </w:rPr>
  </w:style>
  <w:style w:type="paragraph" w:styleId="44">
    <w:name w:val="Body Text 2"/>
    <w:basedOn w:val="1"/>
    <w:link w:val="90"/>
    <w:qFormat/>
    <w:uiPriority w:val="0"/>
    <w:rPr>
      <w:rFonts w:ascii="宋体" w:hAnsi="宋体"/>
      <w:kern w:val="0"/>
      <w:sz w:val="20"/>
      <w:szCs w:val="24"/>
      <w:u w:val="single"/>
    </w:rPr>
  </w:style>
  <w:style w:type="paragraph" w:styleId="45">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46">
    <w:name w:val="index 1"/>
    <w:basedOn w:val="1"/>
    <w:next w:val="1"/>
    <w:qFormat/>
    <w:uiPriority w:val="0"/>
    <w:rPr>
      <w:rFonts w:ascii="Times New Roman" w:hAnsi="Times New Roman" w:eastAsia="仿宋_GB2312"/>
      <w:sz w:val="28"/>
      <w:szCs w:val="20"/>
    </w:rPr>
  </w:style>
  <w:style w:type="paragraph" w:styleId="47">
    <w:name w:val="annotation subject"/>
    <w:basedOn w:val="19"/>
    <w:next w:val="19"/>
    <w:link w:val="91"/>
    <w:qFormat/>
    <w:uiPriority w:val="0"/>
    <w:rPr>
      <w:b/>
      <w:bCs/>
      <w:kern w:val="0"/>
    </w:rPr>
  </w:style>
  <w:style w:type="table" w:styleId="49">
    <w:name w:val="Table Grid"/>
    <w:basedOn w:val="48"/>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0"/>
    <w:rPr>
      <w:b/>
    </w:rPr>
  </w:style>
  <w:style w:type="character" w:styleId="52">
    <w:name w:val="endnote reference"/>
    <w:qFormat/>
    <w:uiPriority w:val="0"/>
    <w:rPr>
      <w:vertAlign w:val="superscript"/>
    </w:rPr>
  </w:style>
  <w:style w:type="character" w:styleId="53">
    <w:name w:val="page number"/>
    <w:qFormat/>
    <w:uiPriority w:val="0"/>
    <w:rPr>
      <w:rFonts w:cs="Times New Roman"/>
    </w:rPr>
  </w:style>
  <w:style w:type="character" w:styleId="54">
    <w:name w:val="FollowedHyperlink"/>
    <w:qFormat/>
    <w:uiPriority w:val="0"/>
    <w:rPr>
      <w:color w:val="954F72"/>
      <w:u w:val="single"/>
    </w:rPr>
  </w:style>
  <w:style w:type="character" w:styleId="55">
    <w:name w:val="Emphasis"/>
    <w:qFormat/>
    <w:uiPriority w:val="0"/>
    <w:rPr>
      <w:color w:val="CC0000"/>
    </w:rPr>
  </w:style>
  <w:style w:type="character" w:styleId="56">
    <w:name w:val="HTML Definition"/>
    <w:unhideWhenUsed/>
    <w:qFormat/>
    <w:uiPriority w:val="99"/>
    <w:rPr>
      <w:i/>
      <w:iCs/>
    </w:rPr>
  </w:style>
  <w:style w:type="character" w:styleId="57">
    <w:name w:val="Hyperlink"/>
    <w:qFormat/>
    <w:uiPriority w:val="0"/>
    <w:rPr>
      <w:color w:val="0000FF"/>
      <w:u w:val="single"/>
    </w:rPr>
  </w:style>
  <w:style w:type="character" w:styleId="58">
    <w:name w:val="HTML Code"/>
    <w:unhideWhenUsed/>
    <w:qFormat/>
    <w:uiPriority w:val="99"/>
    <w:rPr>
      <w:rFonts w:hint="default" w:ascii="Consolas" w:hAnsi="Consolas" w:eastAsia="Consolas" w:cs="Consolas"/>
      <w:color w:val="C7254E"/>
      <w:sz w:val="21"/>
      <w:szCs w:val="21"/>
      <w:bdr w:val="single" w:color="E1E1E1" w:sz="6" w:space="0"/>
      <w:shd w:val="clear" w:color="auto" w:fill="F9F2F4"/>
    </w:rPr>
  </w:style>
  <w:style w:type="character" w:styleId="59">
    <w:name w:val="annotation reference"/>
    <w:qFormat/>
    <w:uiPriority w:val="99"/>
    <w:rPr>
      <w:sz w:val="21"/>
      <w:szCs w:val="21"/>
    </w:rPr>
  </w:style>
  <w:style w:type="character" w:styleId="60">
    <w:name w:val="footnote reference"/>
    <w:qFormat/>
    <w:uiPriority w:val="0"/>
    <w:rPr>
      <w:vertAlign w:val="superscript"/>
    </w:rPr>
  </w:style>
  <w:style w:type="character" w:styleId="61">
    <w:name w:val="HTML Keyboard"/>
    <w:unhideWhenUsed/>
    <w:qFormat/>
    <w:uiPriority w:val="99"/>
    <w:rPr>
      <w:rFonts w:hint="default" w:ascii="Consolas" w:hAnsi="Consolas" w:eastAsia="Consolas" w:cs="Consolas"/>
      <w:color w:val="FFFFFF"/>
      <w:sz w:val="21"/>
      <w:szCs w:val="21"/>
      <w:shd w:val="clear" w:color="auto" w:fill="333333"/>
    </w:rPr>
  </w:style>
  <w:style w:type="character" w:styleId="62">
    <w:name w:val="HTML Sample"/>
    <w:unhideWhenUsed/>
    <w:qFormat/>
    <w:uiPriority w:val="99"/>
    <w:rPr>
      <w:rFonts w:ascii="Consolas" w:hAnsi="Consolas" w:eastAsia="Consolas" w:cs="Consolas"/>
      <w:sz w:val="21"/>
      <w:szCs w:val="21"/>
    </w:rPr>
  </w:style>
  <w:style w:type="character" w:customStyle="1" w:styleId="63">
    <w:name w:val="标题 Char"/>
    <w:link w:val="4"/>
    <w:qFormat/>
    <w:uiPriority w:val="0"/>
    <w:rPr>
      <w:rFonts w:ascii="Arial" w:hAnsi="Arial" w:eastAsia="宋体" w:cs="Times New Roman"/>
      <w:b/>
      <w:sz w:val="44"/>
      <w:szCs w:val="20"/>
    </w:rPr>
  </w:style>
  <w:style w:type="character" w:customStyle="1" w:styleId="64">
    <w:name w:val="标题 1 Char"/>
    <w:link w:val="3"/>
    <w:qFormat/>
    <w:uiPriority w:val="0"/>
    <w:rPr>
      <w:rFonts w:ascii="Arial" w:hAnsi="Arial" w:eastAsia="宋体"/>
      <w:b/>
      <w:kern w:val="44"/>
      <w:sz w:val="28"/>
      <w:szCs w:val="28"/>
    </w:rPr>
  </w:style>
  <w:style w:type="character" w:customStyle="1" w:styleId="65">
    <w:name w:val="正文文本 Char"/>
    <w:link w:val="2"/>
    <w:qFormat/>
    <w:uiPriority w:val="0"/>
    <w:rPr>
      <w:rFonts w:ascii="Times New Roman" w:hAnsi="Times New Roman" w:eastAsia="宋体" w:cs="Times New Roman"/>
      <w:szCs w:val="20"/>
    </w:rPr>
  </w:style>
  <w:style w:type="character" w:customStyle="1" w:styleId="66">
    <w:name w:val="正文首行缩进 Char"/>
    <w:link w:val="5"/>
    <w:qFormat/>
    <w:uiPriority w:val="0"/>
  </w:style>
  <w:style w:type="character" w:customStyle="1" w:styleId="67">
    <w:name w:val="标题 2 Char"/>
    <w:link w:val="6"/>
    <w:qFormat/>
    <w:uiPriority w:val="0"/>
    <w:rPr>
      <w:rFonts w:ascii="Arial" w:hAnsi="Arial" w:eastAsia="宋体" w:cs="Times New Roman"/>
      <w:b/>
      <w:color w:val="000000"/>
      <w:sz w:val="24"/>
      <w:szCs w:val="24"/>
    </w:rPr>
  </w:style>
  <w:style w:type="character" w:customStyle="1" w:styleId="68">
    <w:name w:val="正文缩进 Char"/>
    <w:link w:val="7"/>
    <w:qFormat/>
    <w:uiPriority w:val="0"/>
    <w:rPr>
      <w:rFonts w:ascii="Times New Roman" w:hAnsi="Times New Roman" w:eastAsia="宋体"/>
      <w:kern w:val="2"/>
      <w:sz w:val="21"/>
    </w:rPr>
  </w:style>
  <w:style w:type="character" w:customStyle="1" w:styleId="69">
    <w:name w:val="标题 3 Char"/>
    <w:link w:val="8"/>
    <w:qFormat/>
    <w:uiPriority w:val="0"/>
    <w:rPr>
      <w:rFonts w:ascii="宋体" w:hAnsi="宋体" w:eastAsia="宋体"/>
      <w:b/>
      <w:bCs/>
      <w:color w:val="FF0000"/>
      <w:kern w:val="2"/>
      <w:sz w:val="24"/>
      <w:szCs w:val="24"/>
      <w:lang w:val="zh-CN" w:eastAsia="zh-CN" w:bidi="ar-SA"/>
    </w:rPr>
  </w:style>
  <w:style w:type="character" w:customStyle="1" w:styleId="70">
    <w:name w:val="标题 4 Char"/>
    <w:link w:val="9"/>
    <w:qFormat/>
    <w:uiPriority w:val="0"/>
    <w:rPr>
      <w:rFonts w:ascii="Arial" w:hAnsi="Arial" w:eastAsia="宋体"/>
      <w:color w:val="000000"/>
      <w:szCs w:val="21"/>
      <w:lang w:bidi="ar-SA"/>
    </w:rPr>
  </w:style>
  <w:style w:type="character" w:customStyle="1" w:styleId="71">
    <w:name w:val="标题 5 Char"/>
    <w:link w:val="10"/>
    <w:qFormat/>
    <w:uiPriority w:val="0"/>
    <w:rPr>
      <w:rFonts w:ascii="Arial" w:hAnsi="Arial" w:eastAsia="宋体"/>
      <w:color w:val="000000"/>
      <w:szCs w:val="21"/>
      <w:lang w:bidi="ar-SA"/>
    </w:rPr>
  </w:style>
  <w:style w:type="character" w:customStyle="1" w:styleId="72">
    <w:name w:val="标题 6 Char"/>
    <w:link w:val="11"/>
    <w:qFormat/>
    <w:uiPriority w:val="0"/>
    <w:rPr>
      <w:rFonts w:ascii="Arial" w:hAnsi="Arial" w:eastAsia="黑体"/>
      <w:b/>
      <w:bCs/>
      <w:sz w:val="24"/>
      <w:szCs w:val="24"/>
      <w:lang w:bidi="ar-SA"/>
    </w:rPr>
  </w:style>
  <w:style w:type="character" w:customStyle="1" w:styleId="73">
    <w:name w:val="标题 7 Char"/>
    <w:link w:val="12"/>
    <w:qFormat/>
    <w:uiPriority w:val="0"/>
    <w:rPr>
      <w:rFonts w:eastAsia="宋体"/>
      <w:b/>
      <w:sz w:val="24"/>
      <w:lang w:bidi="ar-SA"/>
    </w:rPr>
  </w:style>
  <w:style w:type="character" w:customStyle="1" w:styleId="74">
    <w:name w:val="标题 8 Char"/>
    <w:link w:val="13"/>
    <w:qFormat/>
    <w:uiPriority w:val="0"/>
    <w:rPr>
      <w:rFonts w:ascii="Arial" w:hAnsi="Arial" w:eastAsia="黑体"/>
      <w:sz w:val="24"/>
      <w:lang w:bidi="ar-SA"/>
    </w:rPr>
  </w:style>
  <w:style w:type="character" w:customStyle="1" w:styleId="75">
    <w:name w:val="标题 9 Char"/>
    <w:link w:val="14"/>
    <w:qFormat/>
    <w:uiPriority w:val="0"/>
    <w:rPr>
      <w:rFonts w:ascii="Arial" w:hAnsi="Arial" w:eastAsia="黑体"/>
      <w:lang w:bidi="ar-SA"/>
    </w:rPr>
  </w:style>
  <w:style w:type="character" w:customStyle="1" w:styleId="76">
    <w:name w:val="文档结构图 Char"/>
    <w:link w:val="18"/>
    <w:qFormat/>
    <w:uiPriority w:val="0"/>
    <w:rPr>
      <w:rFonts w:ascii="Times New Roman" w:hAnsi="Times New Roman" w:eastAsia="宋体" w:cs="Times New Roman"/>
      <w:szCs w:val="20"/>
      <w:shd w:val="clear" w:color="auto" w:fill="000080"/>
    </w:rPr>
  </w:style>
  <w:style w:type="character" w:customStyle="1" w:styleId="77">
    <w:name w:val="批注文字 Char"/>
    <w:link w:val="19"/>
    <w:qFormat/>
    <w:uiPriority w:val="0"/>
    <w:rPr>
      <w:rFonts w:ascii="宋体" w:hAnsi="宋体" w:eastAsia="宋体" w:cs="Times New Roman"/>
      <w:sz w:val="24"/>
      <w:szCs w:val="24"/>
    </w:rPr>
  </w:style>
  <w:style w:type="character" w:customStyle="1" w:styleId="78">
    <w:name w:val="正文文本 3 Char"/>
    <w:link w:val="20"/>
    <w:qFormat/>
    <w:uiPriority w:val="0"/>
    <w:rPr>
      <w:rFonts w:ascii="宋体" w:hAnsi="宋体" w:eastAsia="宋体"/>
      <w:kern w:val="2"/>
      <w:sz w:val="24"/>
    </w:rPr>
  </w:style>
  <w:style w:type="character" w:customStyle="1" w:styleId="79">
    <w:name w:val="正文文本缩进 Char"/>
    <w:link w:val="21"/>
    <w:qFormat/>
    <w:uiPriority w:val="0"/>
    <w:rPr>
      <w:rFonts w:ascii="Times New Roman" w:hAnsi="Times New Roman" w:eastAsia="宋体" w:cs="Times New Roman"/>
      <w:sz w:val="28"/>
      <w:szCs w:val="20"/>
    </w:rPr>
  </w:style>
  <w:style w:type="character" w:customStyle="1" w:styleId="80">
    <w:name w:val="纯文本 Char"/>
    <w:link w:val="26"/>
    <w:qFormat/>
    <w:uiPriority w:val="0"/>
    <w:rPr>
      <w:rFonts w:ascii="宋体" w:hAnsi="Courier New" w:eastAsia="宋体" w:cs="Times New Roman"/>
      <w:szCs w:val="20"/>
    </w:rPr>
  </w:style>
  <w:style w:type="character" w:customStyle="1" w:styleId="81">
    <w:name w:val="日期 Char"/>
    <w:link w:val="28"/>
    <w:qFormat/>
    <w:uiPriority w:val="0"/>
    <w:rPr>
      <w:rFonts w:ascii="Times New Roman" w:hAnsi="Times New Roman" w:eastAsia="宋体" w:cs="Times New Roman"/>
      <w:szCs w:val="20"/>
    </w:rPr>
  </w:style>
  <w:style w:type="character" w:customStyle="1" w:styleId="82">
    <w:name w:val="正文文本缩进 2 Char"/>
    <w:link w:val="29"/>
    <w:qFormat/>
    <w:uiPriority w:val="0"/>
    <w:rPr>
      <w:rFonts w:ascii="Times New Roman" w:hAnsi="Times New Roman" w:eastAsia="宋体" w:cs="Times New Roman"/>
      <w:color w:val="000000"/>
      <w:sz w:val="24"/>
      <w:szCs w:val="20"/>
    </w:rPr>
  </w:style>
  <w:style w:type="character" w:customStyle="1" w:styleId="83">
    <w:name w:val="尾注文本 Char"/>
    <w:link w:val="30"/>
    <w:qFormat/>
    <w:uiPriority w:val="0"/>
    <w:rPr>
      <w:rFonts w:ascii="Times New Roman" w:hAnsi="Times New Roman" w:eastAsia="宋体" w:cs="Times New Roman"/>
      <w:szCs w:val="20"/>
    </w:rPr>
  </w:style>
  <w:style w:type="character" w:customStyle="1" w:styleId="84">
    <w:name w:val="批注框文本 Char"/>
    <w:link w:val="31"/>
    <w:qFormat/>
    <w:uiPriority w:val="0"/>
    <w:rPr>
      <w:rFonts w:ascii="Times New Roman" w:hAnsi="Times New Roman" w:eastAsia="宋体" w:cs="Times New Roman"/>
      <w:sz w:val="18"/>
      <w:szCs w:val="18"/>
    </w:rPr>
  </w:style>
  <w:style w:type="character" w:customStyle="1" w:styleId="85">
    <w:name w:val="页脚 Char"/>
    <w:link w:val="32"/>
    <w:qFormat/>
    <w:uiPriority w:val="99"/>
    <w:rPr>
      <w:rFonts w:ascii="Calibri" w:hAnsi="Calibri" w:eastAsia="宋体" w:cs="Times New Roman"/>
      <w:sz w:val="18"/>
      <w:szCs w:val="18"/>
    </w:rPr>
  </w:style>
  <w:style w:type="character" w:customStyle="1" w:styleId="86">
    <w:name w:val="页眉 Char"/>
    <w:link w:val="33"/>
    <w:qFormat/>
    <w:uiPriority w:val="0"/>
    <w:rPr>
      <w:rFonts w:ascii="Calibri" w:hAnsi="Calibri" w:eastAsia="宋体" w:cs="Times New Roman"/>
      <w:sz w:val="18"/>
      <w:szCs w:val="18"/>
    </w:rPr>
  </w:style>
  <w:style w:type="character" w:customStyle="1" w:styleId="87">
    <w:name w:val="副标题 Char"/>
    <w:link w:val="36"/>
    <w:qFormat/>
    <w:uiPriority w:val="0"/>
    <w:rPr>
      <w:rFonts w:ascii="Arial" w:hAnsi="Arial" w:eastAsia="黑体"/>
      <w:b/>
      <w:bCs/>
      <w:kern w:val="2"/>
      <w:sz w:val="32"/>
      <w:szCs w:val="32"/>
    </w:rPr>
  </w:style>
  <w:style w:type="character" w:customStyle="1" w:styleId="88">
    <w:name w:val="脚注文本 Char"/>
    <w:link w:val="38"/>
    <w:qFormat/>
    <w:uiPriority w:val="0"/>
    <w:rPr>
      <w:rFonts w:ascii="宋体" w:hAnsi="宋体" w:eastAsia="宋体" w:cs="Times New Roman"/>
      <w:sz w:val="18"/>
      <w:szCs w:val="18"/>
    </w:rPr>
  </w:style>
  <w:style w:type="character" w:customStyle="1" w:styleId="89">
    <w:name w:val="正文文本缩进 3 Char"/>
    <w:link w:val="40"/>
    <w:qFormat/>
    <w:uiPriority w:val="0"/>
    <w:rPr>
      <w:rFonts w:ascii="Times New Roman" w:hAnsi="Times New Roman" w:eastAsia="宋体" w:cs="Times New Roman"/>
      <w:color w:val="000000"/>
      <w:sz w:val="24"/>
      <w:szCs w:val="20"/>
    </w:rPr>
  </w:style>
  <w:style w:type="character" w:customStyle="1" w:styleId="90">
    <w:name w:val="正文文本 2 Char"/>
    <w:link w:val="44"/>
    <w:qFormat/>
    <w:uiPriority w:val="0"/>
    <w:rPr>
      <w:rFonts w:ascii="宋体" w:hAnsi="宋体" w:eastAsia="宋体" w:cs="Times New Roman"/>
      <w:szCs w:val="24"/>
      <w:u w:val="single"/>
    </w:rPr>
  </w:style>
  <w:style w:type="character" w:customStyle="1" w:styleId="91">
    <w:name w:val="批注主题 Char"/>
    <w:link w:val="47"/>
    <w:qFormat/>
    <w:uiPriority w:val="0"/>
    <w:rPr>
      <w:rFonts w:ascii="宋体" w:hAnsi="宋体" w:eastAsia="宋体" w:cs="Times New Roman"/>
      <w:b/>
      <w:bCs/>
      <w:sz w:val="24"/>
      <w:szCs w:val="24"/>
    </w:rPr>
  </w:style>
  <w:style w:type="character" w:customStyle="1" w:styleId="92">
    <w:name w:val="标题6 Char Char"/>
    <w:link w:val="93"/>
    <w:qFormat/>
    <w:uiPriority w:val="0"/>
    <w:rPr>
      <w:rFonts w:ascii="宋体" w:hAnsi="宋体" w:eastAsia="黑体"/>
      <w:kern w:val="2"/>
      <w:sz w:val="32"/>
      <w:szCs w:val="32"/>
      <w:lang w:bidi="ar-SA"/>
    </w:rPr>
  </w:style>
  <w:style w:type="paragraph" w:customStyle="1" w:styleId="93">
    <w:name w:val="标题6"/>
    <w:basedOn w:val="1"/>
    <w:link w:val="92"/>
    <w:qFormat/>
    <w:uiPriority w:val="0"/>
    <w:pPr>
      <w:keepNext/>
      <w:keepLines/>
      <w:spacing w:line="400" w:lineRule="exact"/>
      <w:jc w:val="center"/>
      <w:outlineLvl w:val="2"/>
    </w:pPr>
    <w:rPr>
      <w:rFonts w:ascii="宋体" w:hAnsi="宋体" w:eastAsia="黑体"/>
      <w:sz w:val="32"/>
      <w:szCs w:val="32"/>
    </w:rPr>
  </w:style>
  <w:style w:type="character" w:customStyle="1" w:styleId="94">
    <w:name w:val="脚注文本 字符"/>
    <w:qFormat/>
    <w:uiPriority w:val="99"/>
    <w:rPr>
      <w:rFonts w:ascii="Calibri" w:hAnsi="Calibri" w:eastAsia="宋体" w:cs="Times New Roman"/>
      <w:sz w:val="18"/>
      <w:szCs w:val="18"/>
    </w:rPr>
  </w:style>
  <w:style w:type="character" w:customStyle="1" w:styleId="95">
    <w:name w:val="正文文本缩进 字符"/>
    <w:qFormat/>
    <w:uiPriority w:val="99"/>
    <w:rPr>
      <w:rFonts w:ascii="Calibri" w:hAnsi="Calibri" w:eastAsia="宋体" w:cs="Times New Roman"/>
    </w:rPr>
  </w:style>
  <w:style w:type="character" w:customStyle="1" w:styleId="96">
    <w:name w:val="正文首行缩进 字符"/>
    <w:qFormat/>
    <w:uiPriority w:val="99"/>
    <w:rPr>
      <w:rFonts w:ascii="Calibri" w:hAnsi="Calibri" w:eastAsia="宋体" w:cs="Times New Roman"/>
    </w:rPr>
  </w:style>
  <w:style w:type="character" w:customStyle="1" w:styleId="97">
    <w:name w:val="标题 6 字符"/>
    <w:qFormat/>
    <w:uiPriority w:val="9"/>
    <w:rPr>
      <w:rFonts w:ascii="等线 Light" w:hAnsi="等线 Light" w:eastAsia="等线 Light" w:cs="Times New Roman"/>
      <w:b/>
      <w:bCs/>
      <w:sz w:val="24"/>
      <w:szCs w:val="24"/>
    </w:rPr>
  </w:style>
  <w:style w:type="character" w:customStyle="1" w:styleId="98">
    <w:name w:val="标题 1 字符"/>
    <w:qFormat/>
    <w:uiPriority w:val="9"/>
    <w:rPr>
      <w:rFonts w:ascii="Calibri" w:hAnsi="Calibri" w:eastAsia="宋体" w:cs="Times New Roman"/>
      <w:b/>
      <w:bCs/>
      <w:kern w:val="44"/>
      <w:sz w:val="44"/>
      <w:szCs w:val="44"/>
    </w:rPr>
  </w:style>
  <w:style w:type="character" w:customStyle="1" w:styleId="99">
    <w:name w:val="!我的正文 Ctr+Q Char Char"/>
    <w:link w:val="100"/>
    <w:qFormat/>
    <w:uiPriority w:val="0"/>
    <w:rPr>
      <w:rFonts w:ascii="Arial" w:hAnsi="Arial"/>
      <w:kern w:val="2"/>
      <w:sz w:val="24"/>
      <w:szCs w:val="21"/>
      <w:lang w:bidi="ar-SA"/>
    </w:rPr>
  </w:style>
  <w:style w:type="paragraph" w:customStyle="1" w:styleId="100">
    <w:name w:val="!我的正文 Ctr+Q"/>
    <w:basedOn w:val="1"/>
    <w:link w:val="99"/>
    <w:qFormat/>
    <w:uiPriority w:val="0"/>
    <w:pPr>
      <w:adjustRightInd w:val="0"/>
      <w:snapToGrid w:val="0"/>
      <w:spacing w:line="360" w:lineRule="auto"/>
      <w:ind w:firstLine="480" w:firstLineChars="200"/>
    </w:pPr>
    <w:rPr>
      <w:rFonts w:ascii="Arial" w:hAnsi="Arial" w:eastAsia="等线"/>
      <w:sz w:val="24"/>
      <w:szCs w:val="21"/>
    </w:rPr>
  </w:style>
  <w:style w:type="character" w:customStyle="1" w:styleId="101">
    <w:name w:val="引用 Char"/>
    <w:link w:val="102"/>
    <w:qFormat/>
    <w:uiPriority w:val="0"/>
    <w:rPr>
      <w:i/>
      <w:sz w:val="24"/>
      <w:szCs w:val="22"/>
      <w:lang w:bidi="ar-SA"/>
    </w:rPr>
  </w:style>
  <w:style w:type="paragraph" w:styleId="102">
    <w:name w:val="Quote"/>
    <w:basedOn w:val="1"/>
    <w:link w:val="101"/>
    <w:qFormat/>
    <w:uiPriority w:val="0"/>
    <w:rPr>
      <w:rFonts w:ascii="等线" w:hAnsi="等线" w:eastAsia="等线"/>
      <w:i/>
      <w:kern w:val="0"/>
      <w:sz w:val="24"/>
    </w:rPr>
  </w:style>
  <w:style w:type="character" w:customStyle="1" w:styleId="103">
    <w:name w:val="尾注文本 字符"/>
    <w:qFormat/>
    <w:uiPriority w:val="99"/>
    <w:rPr>
      <w:rFonts w:ascii="Calibri" w:hAnsi="Calibri" w:eastAsia="宋体" w:cs="Times New Roman"/>
    </w:rPr>
  </w:style>
  <w:style w:type="character" w:customStyle="1" w:styleId="104">
    <w:name w:val="文档结构图 字符"/>
    <w:qFormat/>
    <w:uiPriority w:val="99"/>
    <w:rPr>
      <w:rFonts w:ascii="Microsoft YaHei UI" w:hAnsi="Calibri" w:eastAsia="Microsoft YaHei UI" w:cs="Times New Roman"/>
      <w:sz w:val="18"/>
      <w:szCs w:val="18"/>
    </w:rPr>
  </w:style>
  <w:style w:type="character" w:customStyle="1" w:styleId="105">
    <w:name w:val="页脚 字符"/>
    <w:qFormat/>
    <w:uiPriority w:val="99"/>
    <w:rPr>
      <w:rFonts w:ascii="Calibri" w:hAnsi="Calibri" w:eastAsia="宋体" w:cs="Times New Roman"/>
      <w:sz w:val="18"/>
      <w:szCs w:val="18"/>
    </w:rPr>
  </w:style>
  <w:style w:type="character" w:customStyle="1" w:styleId="106">
    <w:name w:val="页眉 字符"/>
    <w:qFormat/>
    <w:uiPriority w:val="99"/>
    <w:rPr>
      <w:rFonts w:ascii="Calibri" w:hAnsi="Calibri" w:eastAsia="宋体" w:cs="Times New Roman"/>
      <w:sz w:val="18"/>
      <w:szCs w:val="18"/>
    </w:rPr>
  </w:style>
  <w:style w:type="character" w:customStyle="1" w:styleId="107">
    <w:name w:val="标题 9 字符"/>
    <w:qFormat/>
    <w:uiPriority w:val="9"/>
    <w:rPr>
      <w:rFonts w:ascii="等线 Light" w:hAnsi="等线 Light" w:eastAsia="等线 Light" w:cs="Times New Roman"/>
      <w:szCs w:val="21"/>
    </w:rPr>
  </w:style>
  <w:style w:type="character" w:customStyle="1" w:styleId="108">
    <w:name w:val="page number"/>
    <w:qFormat/>
    <w:uiPriority w:val="0"/>
  </w:style>
  <w:style w:type="character" w:customStyle="1" w:styleId="109">
    <w:name w:val="列出段落 Char Char"/>
    <w:link w:val="110"/>
    <w:qFormat/>
    <w:uiPriority w:val="0"/>
    <w:rPr>
      <w:kern w:val="2"/>
      <w:sz w:val="21"/>
      <w:lang w:bidi="ar-SA"/>
    </w:rPr>
  </w:style>
  <w:style w:type="paragraph" w:customStyle="1" w:styleId="110">
    <w:name w:val="列出段落1"/>
    <w:basedOn w:val="1"/>
    <w:link w:val="109"/>
    <w:qFormat/>
    <w:uiPriority w:val="0"/>
    <w:pPr>
      <w:ind w:firstLine="420" w:firstLineChars="200"/>
    </w:pPr>
    <w:rPr>
      <w:rFonts w:ascii="等线" w:hAnsi="等线" w:eastAsia="等线"/>
      <w:szCs w:val="20"/>
    </w:rPr>
  </w:style>
  <w:style w:type="character" w:customStyle="1" w:styleId="111">
    <w:name w:val="正文文本 2 字符"/>
    <w:qFormat/>
    <w:uiPriority w:val="99"/>
    <w:rPr>
      <w:rFonts w:ascii="Calibri" w:hAnsi="Calibri" w:eastAsia="宋体" w:cs="Times New Roman"/>
    </w:rPr>
  </w:style>
  <w:style w:type="character" w:customStyle="1" w:styleId="112">
    <w:name w:val="正文文本 字符"/>
    <w:qFormat/>
    <w:uiPriority w:val="99"/>
    <w:rPr>
      <w:rFonts w:ascii="Calibri" w:hAnsi="Calibri" w:eastAsia="宋体" w:cs="Times New Roman"/>
    </w:rPr>
  </w:style>
  <w:style w:type="character" w:customStyle="1" w:styleId="113">
    <w:name w:val="样式 Char Char"/>
    <w:link w:val="114"/>
    <w:qFormat/>
    <w:uiPriority w:val="0"/>
    <w:rPr>
      <w:rFonts w:ascii="Arial" w:hAnsi="Arial" w:eastAsia="黑体"/>
      <w:bCs/>
      <w:kern w:val="2"/>
      <w:sz w:val="24"/>
      <w:szCs w:val="32"/>
      <w:lang w:bidi="ar-SA"/>
    </w:rPr>
  </w:style>
  <w:style w:type="paragraph" w:customStyle="1" w:styleId="114">
    <w:name w:val="样式"/>
    <w:basedOn w:val="115"/>
    <w:link w:val="113"/>
    <w:qFormat/>
    <w:uiPriority w:val="0"/>
    <w:pPr>
      <w:tabs>
        <w:tab w:val="left" w:pos="2310"/>
        <w:tab w:val="left" w:pos="2730"/>
      </w:tabs>
      <w:outlineLvl w:val="9"/>
    </w:pPr>
  </w:style>
  <w:style w:type="paragraph" w:customStyle="1" w:styleId="115">
    <w:name w:val="标题5"/>
    <w:basedOn w:val="10"/>
    <w:link w:val="116"/>
    <w:qFormat/>
    <w:uiPriority w:val="0"/>
    <w:pPr>
      <w:keepNext w:val="0"/>
      <w:keepLines w:val="0"/>
      <w:widowControl/>
      <w:numPr>
        <w:ilvl w:val="4"/>
        <w:numId w:val="0"/>
      </w:numPr>
      <w:tabs>
        <w:tab w:val="left" w:pos="2310"/>
      </w:tabs>
      <w:spacing w:before="240" w:beforeLines="0" w:after="60" w:afterLines="0" w:line="240" w:lineRule="auto"/>
      <w:jc w:val="center"/>
    </w:pPr>
    <w:rPr>
      <w:rFonts w:eastAsia="黑体"/>
      <w:b w:val="0"/>
      <w:color w:val="auto"/>
      <w:szCs w:val="32"/>
    </w:rPr>
  </w:style>
  <w:style w:type="character" w:customStyle="1" w:styleId="116">
    <w:name w:val="标题5 Char Char"/>
    <w:link w:val="115"/>
    <w:qFormat/>
    <w:uiPriority w:val="0"/>
    <w:rPr>
      <w:rFonts w:ascii="Arial" w:hAnsi="Arial" w:eastAsia="黑体"/>
      <w:bCs/>
      <w:kern w:val="2"/>
      <w:sz w:val="24"/>
      <w:szCs w:val="32"/>
      <w:lang w:bidi="ar-SA"/>
    </w:rPr>
  </w:style>
  <w:style w:type="character" w:customStyle="1" w:styleId="117">
    <w:name w:val="样式 标题 3h3section:3Level 3 HeadH3level_3PIM 33rd level3H... Char Char"/>
    <w:link w:val="118"/>
    <w:qFormat/>
    <w:uiPriority w:val="0"/>
    <w:rPr>
      <w:rFonts w:ascii="Arial" w:hAnsi="Arial"/>
      <w:b/>
      <w:kern w:val="2"/>
      <w:sz w:val="24"/>
      <w:szCs w:val="28"/>
      <w:lang w:bidi="ar-SA"/>
    </w:rPr>
  </w:style>
  <w:style w:type="paragraph" w:customStyle="1" w:styleId="118">
    <w:name w:val="样式 标题 3h3section:3Level 3 HeadH3level_3PIM 33rd level3H..."/>
    <w:basedOn w:val="8"/>
    <w:link w:val="117"/>
    <w:qFormat/>
    <w:uiPriority w:val="0"/>
    <w:pPr>
      <w:keepNext/>
      <w:tabs>
        <w:tab w:val="left" w:pos="1680"/>
        <w:tab w:val="left" w:pos="2310"/>
      </w:tabs>
      <w:adjustRightInd w:val="0"/>
      <w:spacing w:before="240" w:beforeLines="0" w:beforeAutospacing="0" w:after="60" w:afterLines="0" w:afterAutospacing="0" w:line="416" w:lineRule="atLeast"/>
      <w:ind w:left="2310" w:hanging="420"/>
    </w:pPr>
    <w:rPr>
      <w:rFonts w:ascii="Arial" w:hAnsi="Arial" w:eastAsia="等线"/>
      <w:bCs w:val="0"/>
      <w:color w:val="auto"/>
      <w:szCs w:val="28"/>
    </w:rPr>
  </w:style>
  <w:style w:type="character" w:customStyle="1" w:styleId="119">
    <w:name w:val="批注文字 字符"/>
    <w:qFormat/>
    <w:uiPriority w:val="99"/>
    <w:rPr>
      <w:rFonts w:ascii="Calibri" w:hAnsi="Calibri" w:eastAsia="宋体" w:cs="Times New Roman"/>
    </w:rPr>
  </w:style>
  <w:style w:type="character" w:customStyle="1" w:styleId="120">
    <w:name w:val="批注框文本 字符"/>
    <w:qFormat/>
    <w:uiPriority w:val="99"/>
    <w:rPr>
      <w:rFonts w:ascii="Calibri" w:hAnsi="Calibri" w:eastAsia="宋体" w:cs="Times New Roman"/>
      <w:sz w:val="18"/>
      <w:szCs w:val="18"/>
    </w:rPr>
  </w:style>
  <w:style w:type="character" w:customStyle="1" w:styleId="121">
    <w:name w:val="正文文本_"/>
    <w:link w:val="122"/>
    <w:qFormat/>
    <w:uiPriority w:val="0"/>
    <w:rPr>
      <w:rFonts w:ascii="MingLiU" w:hAnsi="MingLiU" w:eastAsia="MingLiU"/>
      <w:spacing w:val="20"/>
      <w:shd w:val="clear" w:color="auto" w:fill="FFFFFF"/>
      <w:lang w:bidi="ar-SA"/>
    </w:rPr>
  </w:style>
  <w:style w:type="paragraph" w:customStyle="1" w:styleId="122">
    <w:name w:val="正文文本1"/>
    <w:basedOn w:val="1"/>
    <w:link w:val="121"/>
    <w:qFormat/>
    <w:uiPriority w:val="0"/>
    <w:pPr>
      <w:shd w:val="clear" w:color="auto" w:fill="FFFFFF"/>
      <w:spacing w:before="300" w:beforeLines="0" w:line="0" w:lineRule="atLeast"/>
      <w:ind w:hanging="580"/>
      <w:jc w:val="left"/>
    </w:pPr>
    <w:rPr>
      <w:rFonts w:ascii="MingLiU" w:hAnsi="MingLiU" w:eastAsia="MingLiU"/>
      <w:spacing w:val="20"/>
      <w:kern w:val="0"/>
      <w:sz w:val="20"/>
      <w:szCs w:val="20"/>
      <w:shd w:val="clear" w:color="auto" w:fill="FFFFFF"/>
    </w:rPr>
  </w:style>
  <w:style w:type="character" w:customStyle="1" w:styleId="123">
    <w:name w:val="font51"/>
    <w:qFormat/>
    <w:uiPriority w:val="0"/>
    <w:rPr>
      <w:rFonts w:hint="eastAsia" w:ascii="宋体" w:hAnsi="宋体" w:eastAsia="宋体"/>
      <w:color w:val="000000"/>
      <w:sz w:val="24"/>
      <w:szCs w:val="24"/>
      <w:u w:val="none"/>
    </w:rPr>
  </w:style>
  <w:style w:type="character" w:customStyle="1" w:styleId="124">
    <w:name w:val="正文文本缩进 3 字符"/>
    <w:qFormat/>
    <w:uiPriority w:val="99"/>
    <w:rPr>
      <w:rFonts w:ascii="Calibri" w:hAnsi="Calibri" w:eastAsia="宋体" w:cs="Times New Roman"/>
      <w:sz w:val="16"/>
      <w:szCs w:val="16"/>
    </w:rPr>
  </w:style>
  <w:style w:type="character" w:customStyle="1" w:styleId="125">
    <w:name w:val="纯文本 字符"/>
    <w:qFormat/>
    <w:uiPriority w:val="99"/>
    <w:rPr>
      <w:rFonts w:ascii="等线" w:hAnsi="Courier New" w:cs="Courier New"/>
    </w:rPr>
  </w:style>
  <w:style w:type="character" w:customStyle="1" w:styleId="126">
    <w:name w:val="标题 字符"/>
    <w:qFormat/>
    <w:uiPriority w:val="10"/>
    <w:rPr>
      <w:rFonts w:ascii="等线 Light" w:hAnsi="等线 Light" w:eastAsia="等线 Light" w:cs="Times New Roman"/>
      <w:b/>
      <w:bCs/>
      <w:sz w:val="32"/>
      <w:szCs w:val="32"/>
    </w:rPr>
  </w:style>
  <w:style w:type="character" w:customStyle="1" w:styleId="127">
    <w:name w:val="标题 5 字符"/>
    <w:qFormat/>
    <w:uiPriority w:val="9"/>
    <w:rPr>
      <w:rFonts w:ascii="Calibri" w:hAnsi="Calibri" w:eastAsia="宋体" w:cs="Times New Roman"/>
      <w:b/>
      <w:bCs/>
      <w:sz w:val="28"/>
      <w:szCs w:val="28"/>
    </w:rPr>
  </w:style>
  <w:style w:type="character" w:customStyle="1" w:styleId="128">
    <w:name w:val="标题 3 字符"/>
    <w:qFormat/>
    <w:uiPriority w:val="9"/>
    <w:rPr>
      <w:rFonts w:ascii="Calibri" w:hAnsi="Calibri" w:eastAsia="宋体" w:cs="Times New Roman"/>
      <w:b/>
      <w:bCs/>
      <w:sz w:val="32"/>
      <w:szCs w:val="32"/>
    </w:rPr>
  </w:style>
  <w:style w:type="character" w:customStyle="1" w:styleId="129">
    <w:name w:val="批注主题 字符"/>
    <w:qFormat/>
    <w:uiPriority w:val="99"/>
    <w:rPr>
      <w:rFonts w:ascii="Calibri" w:hAnsi="Calibri" w:eastAsia="宋体" w:cs="Times New Roman"/>
      <w:b/>
      <w:bCs/>
    </w:rPr>
  </w:style>
  <w:style w:type="character" w:customStyle="1" w:styleId="130">
    <w:name w:val="正文文本缩进 2 字符"/>
    <w:qFormat/>
    <w:uiPriority w:val="99"/>
    <w:rPr>
      <w:rFonts w:ascii="Calibri" w:hAnsi="Calibri" w:eastAsia="宋体" w:cs="Times New Roman"/>
    </w:rPr>
  </w:style>
  <w:style w:type="character" w:customStyle="1" w:styleId="131">
    <w:name w:val="标题 8 字符"/>
    <w:qFormat/>
    <w:uiPriority w:val="9"/>
    <w:rPr>
      <w:rFonts w:ascii="等线 Light" w:hAnsi="等线 Light" w:eastAsia="等线 Light" w:cs="Times New Roman"/>
      <w:sz w:val="24"/>
      <w:szCs w:val="24"/>
    </w:rPr>
  </w:style>
  <w:style w:type="character" w:customStyle="1" w:styleId="132">
    <w:name w:val="正文文本 (3)_"/>
    <w:link w:val="133"/>
    <w:qFormat/>
    <w:uiPriority w:val="0"/>
    <w:rPr>
      <w:rFonts w:ascii="Arial Unicode MS" w:hAnsi="Arial Unicode MS" w:eastAsia="Arial Unicode MS"/>
      <w:spacing w:val="10"/>
      <w:sz w:val="17"/>
      <w:szCs w:val="17"/>
      <w:shd w:val="clear" w:color="auto" w:fill="FFFFFF"/>
      <w:lang w:bidi="ar-SA"/>
    </w:rPr>
  </w:style>
  <w:style w:type="paragraph" w:customStyle="1" w:styleId="133">
    <w:name w:val="正文文本 (3)"/>
    <w:basedOn w:val="1"/>
    <w:link w:val="132"/>
    <w:qFormat/>
    <w:uiPriority w:val="0"/>
    <w:pPr>
      <w:shd w:val="clear" w:color="auto" w:fill="FFFFFF"/>
      <w:spacing w:after="60" w:afterLines="0" w:line="0" w:lineRule="atLeast"/>
      <w:ind w:hanging="940"/>
      <w:jc w:val="left"/>
    </w:pPr>
    <w:rPr>
      <w:rFonts w:ascii="Arial Unicode MS" w:hAnsi="Arial Unicode MS" w:eastAsia="Arial Unicode MS"/>
      <w:spacing w:val="10"/>
      <w:kern w:val="0"/>
      <w:sz w:val="17"/>
      <w:szCs w:val="17"/>
      <w:shd w:val="clear" w:color="auto" w:fill="FFFFFF"/>
    </w:rPr>
  </w:style>
  <w:style w:type="character" w:customStyle="1" w:styleId="134">
    <w:name w:val="正文缩进2格 Char Char"/>
    <w:link w:val="135"/>
    <w:qFormat/>
    <w:uiPriority w:val="0"/>
    <w:rPr>
      <w:rFonts w:ascii="仿宋_GB2312" w:hAnsi="宋体" w:eastAsia="仿宋_GB2312"/>
      <w:sz w:val="31"/>
      <w:szCs w:val="31"/>
      <w:lang w:bidi="ar-SA"/>
    </w:rPr>
  </w:style>
  <w:style w:type="paragraph" w:customStyle="1" w:styleId="135">
    <w:name w:val="正文缩进2格"/>
    <w:basedOn w:val="1"/>
    <w:link w:val="134"/>
    <w:qFormat/>
    <w:uiPriority w:val="0"/>
    <w:pPr>
      <w:widowControl/>
      <w:spacing w:line="600" w:lineRule="exact"/>
      <w:ind w:firstLine="639" w:firstLineChars="206"/>
      <w:jc w:val="left"/>
    </w:pPr>
    <w:rPr>
      <w:rFonts w:ascii="仿宋_GB2312" w:hAnsi="宋体" w:eastAsia="仿宋_GB2312"/>
      <w:kern w:val="0"/>
      <w:sz w:val="31"/>
      <w:szCs w:val="31"/>
    </w:rPr>
  </w:style>
  <w:style w:type="character" w:customStyle="1" w:styleId="136">
    <w:name w:val="Char Char4"/>
    <w:link w:val="137"/>
    <w:qFormat/>
    <w:uiPriority w:val="0"/>
    <w:rPr>
      <w:rFonts w:ascii="Tahoma" w:hAnsi="Tahoma" w:eastAsia="宋体"/>
      <w:kern w:val="2"/>
      <w:sz w:val="24"/>
    </w:rPr>
  </w:style>
  <w:style w:type="paragraph" w:customStyle="1" w:styleId="137">
    <w:name w:val="Char"/>
    <w:basedOn w:val="1"/>
    <w:link w:val="136"/>
    <w:qFormat/>
    <w:uiPriority w:val="0"/>
    <w:rPr>
      <w:rFonts w:ascii="Tahoma" w:hAnsi="Tahoma"/>
      <w:sz w:val="24"/>
      <w:szCs w:val="20"/>
    </w:rPr>
  </w:style>
  <w:style w:type="character" w:customStyle="1" w:styleId="138">
    <w:name w:val="日期 字符"/>
    <w:qFormat/>
    <w:uiPriority w:val="99"/>
    <w:rPr>
      <w:rFonts w:ascii="Calibri" w:hAnsi="Calibri" w:eastAsia="宋体" w:cs="Times New Roman"/>
    </w:rPr>
  </w:style>
  <w:style w:type="character" w:customStyle="1" w:styleId="139">
    <w:name w:val="标题 4 字符"/>
    <w:qFormat/>
    <w:uiPriority w:val="9"/>
    <w:rPr>
      <w:rFonts w:ascii="等线 Light" w:hAnsi="等线 Light" w:eastAsia="等线 Light" w:cs="Times New Roman"/>
      <w:b/>
      <w:bCs/>
      <w:sz w:val="28"/>
      <w:szCs w:val="28"/>
    </w:rPr>
  </w:style>
  <w:style w:type="character" w:customStyle="1" w:styleId="140">
    <w:name w:val="无间隔 Char"/>
    <w:link w:val="141"/>
    <w:qFormat/>
    <w:uiPriority w:val="0"/>
    <w:rPr>
      <w:kern w:val="2"/>
      <w:sz w:val="22"/>
      <w:lang w:bidi="ar-SA"/>
    </w:rPr>
  </w:style>
  <w:style w:type="paragraph" w:styleId="141">
    <w:name w:val="No Spacing"/>
    <w:basedOn w:val="1"/>
    <w:link w:val="140"/>
    <w:qFormat/>
    <w:uiPriority w:val="0"/>
    <w:rPr>
      <w:rFonts w:ascii="等线" w:hAnsi="等线" w:eastAsia="等线"/>
      <w:sz w:val="22"/>
      <w:szCs w:val="20"/>
    </w:rPr>
  </w:style>
  <w:style w:type="character" w:customStyle="1" w:styleId="142">
    <w:name w:val="明显引用 Char"/>
    <w:link w:val="143"/>
    <w:qFormat/>
    <w:uiPriority w:val="0"/>
    <w:rPr>
      <w:b/>
      <w:i/>
      <w:sz w:val="24"/>
      <w:szCs w:val="22"/>
      <w:lang w:bidi="ar-SA"/>
    </w:rPr>
  </w:style>
  <w:style w:type="paragraph" w:styleId="143">
    <w:name w:val="Intense Quote"/>
    <w:basedOn w:val="1"/>
    <w:link w:val="142"/>
    <w:qFormat/>
    <w:uiPriority w:val="0"/>
    <w:rPr>
      <w:rFonts w:ascii="等线" w:hAnsi="等线" w:eastAsia="等线"/>
      <w:b/>
      <w:i/>
      <w:kern w:val="0"/>
      <w:sz w:val="24"/>
    </w:rPr>
  </w:style>
  <w:style w:type="character" w:customStyle="1" w:styleId="144">
    <w:name w:val="文一 Char Char"/>
    <w:link w:val="145"/>
    <w:qFormat/>
    <w:uiPriority w:val="0"/>
    <w:rPr>
      <w:rFonts w:ascii="宋体" w:hAnsi="宋体"/>
      <w:spacing w:val="4"/>
      <w:kern w:val="2"/>
      <w:sz w:val="24"/>
      <w:szCs w:val="24"/>
      <w:lang w:bidi="ar-SA"/>
    </w:rPr>
  </w:style>
  <w:style w:type="paragraph" w:customStyle="1" w:styleId="145">
    <w:name w:val="文一"/>
    <w:basedOn w:val="1"/>
    <w:link w:val="144"/>
    <w:qFormat/>
    <w:uiPriority w:val="0"/>
    <w:pPr>
      <w:topLinePunct/>
      <w:adjustRightInd w:val="0"/>
      <w:snapToGrid w:val="0"/>
      <w:spacing w:line="360" w:lineRule="auto"/>
      <w:ind w:firstLine="200" w:firstLineChars="200"/>
    </w:pPr>
    <w:rPr>
      <w:rFonts w:ascii="宋体" w:hAnsi="宋体" w:eastAsia="等线"/>
      <w:spacing w:val="4"/>
      <w:sz w:val="24"/>
      <w:szCs w:val="24"/>
    </w:rPr>
  </w:style>
  <w:style w:type="character" w:customStyle="1" w:styleId="146">
    <w:name w:val="标题 7 字符"/>
    <w:qFormat/>
    <w:uiPriority w:val="9"/>
    <w:rPr>
      <w:rFonts w:ascii="Calibri" w:hAnsi="Calibri" w:eastAsia="宋体" w:cs="Times New Roman"/>
      <w:b/>
      <w:bCs/>
      <w:sz w:val="24"/>
      <w:szCs w:val="24"/>
    </w:rPr>
  </w:style>
  <w:style w:type="character" w:customStyle="1" w:styleId="147">
    <w:name w:val="标题 2 字符"/>
    <w:qFormat/>
    <w:uiPriority w:val="9"/>
    <w:rPr>
      <w:rFonts w:ascii="等线 Light" w:hAnsi="等线 Light" w:eastAsia="等线 Light" w:cs="Times New Roman"/>
      <w:b/>
      <w:bCs/>
      <w:sz w:val="32"/>
      <w:szCs w:val="32"/>
    </w:rPr>
  </w:style>
  <w:style w:type="character" w:customStyle="1" w:styleId="148">
    <w:name w:val="font11"/>
    <w:qFormat/>
    <w:uiPriority w:val="0"/>
    <w:rPr>
      <w:rFonts w:hint="eastAsia" w:ascii="宋体" w:hAnsi="宋体" w:eastAsia="宋体"/>
      <w:color w:val="000000"/>
      <w:sz w:val="24"/>
      <w:szCs w:val="24"/>
      <w:u w:val="single"/>
    </w:rPr>
  </w:style>
  <w:style w:type="character" w:customStyle="1" w:styleId="149">
    <w:name w:val="标提1 Char Char"/>
    <w:link w:val="150"/>
    <w:qFormat/>
    <w:uiPriority w:val="0"/>
    <w:rPr>
      <w:rFonts w:ascii="黑体" w:hAnsi="黑体" w:eastAsia="黑体"/>
      <w:b/>
      <w:kern w:val="44"/>
      <w:sz w:val="24"/>
      <w:szCs w:val="24"/>
      <w:lang w:bidi="ar-SA"/>
    </w:rPr>
  </w:style>
  <w:style w:type="paragraph" w:customStyle="1" w:styleId="150">
    <w:name w:val="标提1"/>
    <w:basedOn w:val="3"/>
    <w:next w:val="1"/>
    <w:link w:val="149"/>
    <w:qFormat/>
    <w:uiPriority w:val="0"/>
    <w:pPr>
      <w:spacing w:before="0" w:beforeLines="0" w:after="0" w:afterLines="0" w:line="240" w:lineRule="auto"/>
      <w:jc w:val="both"/>
    </w:pPr>
    <w:rPr>
      <w:rFonts w:ascii="黑体" w:hAnsi="黑体" w:eastAsia="黑体"/>
      <w:b w:val="0"/>
      <w:sz w:val="24"/>
      <w:szCs w:val="24"/>
    </w:rPr>
  </w:style>
  <w:style w:type="paragraph" w:customStyle="1" w:styleId="151">
    <w:name w:val="公文抬头"/>
    <w:basedOn w:val="7"/>
    <w:qFormat/>
    <w:uiPriority w:val="0"/>
    <w:pPr>
      <w:ind w:firstLine="0"/>
    </w:pPr>
    <w:rPr>
      <w:rFonts w:ascii="仿宋_GB2312" w:eastAsia="仿宋_GB2312"/>
      <w:sz w:val="30"/>
      <w:szCs w:val="24"/>
    </w:rPr>
  </w:style>
  <w:style w:type="paragraph" w:customStyle="1" w:styleId="152">
    <w:name w:val="正文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53">
    <w:name w:val="正文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4">
    <w:name w:val="正文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155">
    <w:name w:val="正文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56">
    <w:name w:val="正文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57">
    <w:name w:val="内容目录 10"/>
    <w:basedOn w:val="158"/>
    <w:qFormat/>
    <w:uiPriority w:val="0"/>
    <w:pPr>
      <w:tabs>
        <w:tab w:val="right" w:leader="dot" w:pos="9637"/>
      </w:tabs>
      <w:ind w:left="2547"/>
    </w:pPr>
  </w:style>
  <w:style w:type="paragraph" w:customStyle="1" w:styleId="158">
    <w:name w:val="目录"/>
    <w:basedOn w:val="1"/>
    <w:qFormat/>
    <w:uiPriority w:val="0"/>
    <w:pPr>
      <w:suppressLineNumbers/>
      <w:suppressAutoHyphens/>
    </w:pPr>
    <w:rPr>
      <w:rFonts w:ascii="Times New Roman" w:hAnsi="Times New Roman"/>
      <w:szCs w:val="20"/>
      <w:lang w:eastAsia="ar-SA"/>
    </w:rPr>
  </w:style>
  <w:style w:type="paragraph" w:customStyle="1" w:styleId="159">
    <w:name w:val="Body Text Indent 3"/>
    <w:basedOn w:val="1"/>
    <w:qFormat/>
    <w:uiPriority w:val="0"/>
    <w:pPr>
      <w:snapToGrid w:val="0"/>
      <w:spacing w:line="360" w:lineRule="auto"/>
      <w:ind w:left="20" w:firstLine="529" w:firstLineChars="189"/>
    </w:pPr>
    <w:rPr>
      <w:rFonts w:ascii="仿宋_GB2312" w:hAnsi="Times New Roman" w:eastAsia="仿宋_GB2312"/>
      <w:sz w:val="28"/>
      <w:szCs w:val="24"/>
    </w:rPr>
  </w:style>
  <w:style w:type="paragraph" w:customStyle="1" w:styleId="160">
    <w:name w:val="Char Char Char Char"/>
    <w:basedOn w:val="1"/>
    <w:qFormat/>
    <w:uiPriority w:val="0"/>
    <w:rPr>
      <w:rFonts w:ascii="Times New Roman" w:hAnsi="Times New Roman"/>
      <w:sz w:val="30"/>
      <w:szCs w:val="24"/>
    </w:rPr>
  </w:style>
  <w:style w:type="paragraph" w:customStyle="1" w:styleId="161">
    <w:name w:val="Char1 Char Char Char Char Char Char1"/>
    <w:basedOn w:val="162"/>
    <w:qFormat/>
    <w:uiPriority w:val="0"/>
  </w:style>
  <w:style w:type="paragraph" w:customStyle="1" w:styleId="162">
    <w:name w:val="正文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163">
    <w:name w:val="Char1"/>
    <w:basedOn w:val="1"/>
    <w:qFormat/>
    <w:uiPriority w:val="0"/>
    <w:pPr>
      <w:numPr>
        <w:ilvl w:val="0"/>
        <w:numId w:val="1"/>
      </w:numPr>
    </w:pPr>
    <w:rPr>
      <w:rFonts w:ascii="Times New Roman" w:hAnsi="Times New Roman"/>
      <w:sz w:val="24"/>
      <w:szCs w:val="24"/>
    </w:rPr>
  </w:style>
  <w:style w:type="paragraph" w:customStyle="1" w:styleId="164">
    <w:name w:val="公文标题"/>
    <w:basedOn w:val="8"/>
    <w:qFormat/>
    <w:uiPriority w:val="0"/>
    <w:pPr>
      <w:keepNext/>
      <w:keepLines/>
      <w:widowControl w:val="0"/>
      <w:spacing w:before="0" w:beforeLines="0" w:beforeAutospacing="0" w:after="0" w:afterLines="0" w:afterAutospacing="0"/>
      <w:ind w:left="1469" w:right="1542"/>
    </w:pPr>
    <w:rPr>
      <w:rFonts w:hAnsi="Times New Roman" w:cs="Times New Roman"/>
      <w:kern w:val="2"/>
      <w:sz w:val="44"/>
      <w:szCs w:val="21"/>
    </w:rPr>
  </w:style>
  <w:style w:type="paragraph" w:customStyle="1" w:styleId="165">
    <w:name w:val="Normal_3"/>
    <w:qFormat/>
    <w:uiPriority w:val="0"/>
    <w:rPr>
      <w:rFonts w:ascii="Times New Roman" w:hAnsi="Times New Roman" w:eastAsia="Times New Roman" w:cs="Times New Roman"/>
      <w:sz w:val="24"/>
      <w:szCs w:val="24"/>
      <w:lang w:val="en-US" w:eastAsia="zh-CN" w:bidi="ar-SA"/>
    </w:rPr>
  </w:style>
  <w:style w:type="paragraph" w:customStyle="1" w:styleId="166">
    <w:name w:val="Char1 Char Char Char Char Char Char1 Char Char Char"/>
    <w:basedOn w:val="1"/>
    <w:qFormat/>
    <w:uiPriority w:val="0"/>
    <w:rPr>
      <w:rFonts w:ascii="Times New Roman" w:hAnsi="Times New Roman"/>
      <w:sz w:val="30"/>
      <w:szCs w:val="24"/>
    </w:rPr>
  </w:style>
  <w:style w:type="paragraph" w:customStyle="1" w:styleId="167">
    <w:name w:val="正文缩进 New"/>
    <w:basedOn w:val="168"/>
    <w:qFormat/>
    <w:uiPriority w:val="0"/>
    <w:pPr>
      <w:ind w:firstLine="420"/>
    </w:pPr>
    <w:rPr>
      <w:rFonts w:ascii="Times New Roman" w:hAnsi="Times New Roman" w:cs="Times New Roman"/>
      <w:snapToGrid/>
      <w:kern w:val="2"/>
      <w:szCs w:val="20"/>
    </w:rPr>
  </w:style>
  <w:style w:type="paragraph" w:customStyle="1" w:styleId="168">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169">
    <w:name w:val="msointensequote"/>
    <w:basedOn w:val="1"/>
    <w:next w:val="1"/>
    <w:qFormat/>
    <w:uiPriority w:val="0"/>
    <w:pPr>
      <w:widowControl/>
      <w:ind w:left="720" w:right="720"/>
      <w:jc w:val="left"/>
    </w:pPr>
    <w:rPr>
      <w:rFonts w:ascii="Times New Roman" w:hAnsi="Times New Roman"/>
      <w:b/>
      <w:i/>
      <w:kern w:val="0"/>
      <w:sz w:val="24"/>
    </w:rPr>
  </w:style>
  <w:style w:type="paragraph" w:customStyle="1" w:styleId="170">
    <w:name w:val="Char4 Char Char Char"/>
    <w:basedOn w:val="1"/>
    <w:qFormat/>
    <w:uiPriority w:val="0"/>
    <w:pPr>
      <w:ind w:left="567" w:hanging="279"/>
    </w:pPr>
    <w:rPr>
      <w:rFonts w:ascii="Times New Roman" w:hAnsi="Times New Roman"/>
      <w:sz w:val="24"/>
      <w:szCs w:val="24"/>
    </w:rPr>
  </w:style>
  <w:style w:type="paragraph" w:customStyle="1" w:styleId="171">
    <w:name w:val="正文首行缩进 New"/>
    <w:basedOn w:val="172"/>
    <w:qFormat/>
    <w:uiPriority w:val="0"/>
    <w:pPr>
      <w:ind w:firstLine="420" w:firstLineChars="100"/>
    </w:pPr>
  </w:style>
  <w:style w:type="paragraph" w:customStyle="1" w:styleId="172">
    <w:name w:val="正文文本 New"/>
    <w:basedOn w:val="173"/>
    <w:qFormat/>
    <w:uiPriority w:val="0"/>
    <w:pPr>
      <w:spacing w:after="120" w:afterLines="0"/>
    </w:pPr>
    <w:rPr>
      <w:rFonts w:eastAsia="宋体"/>
      <w:kern w:val="2"/>
      <w:sz w:val="30"/>
      <w:szCs w:val="24"/>
    </w:rPr>
  </w:style>
  <w:style w:type="paragraph" w:customStyle="1" w:styleId="173">
    <w:name w:val="正文 New New"/>
    <w:qFormat/>
    <w:uiPriority w:val="0"/>
    <w:pPr>
      <w:widowControl w:val="0"/>
      <w:jc w:val="both"/>
    </w:pPr>
    <w:rPr>
      <w:rFonts w:ascii="Times New Roman" w:hAnsi="Times New Roman" w:eastAsia="楷体_GB2312" w:cs="Times New Roman"/>
      <w:lang w:val="en-US" w:eastAsia="zh-CN" w:bidi="ar-SA"/>
    </w:rPr>
  </w:style>
  <w:style w:type="paragraph" w:customStyle="1" w:styleId="174">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msonormalcxspmiddle"/>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76">
    <w:name w:val="正文文本缩进 21"/>
    <w:basedOn w:val="1"/>
    <w:qFormat/>
    <w:uiPriority w:val="0"/>
    <w:pPr>
      <w:suppressAutoHyphens/>
      <w:spacing w:after="120" w:afterLines="0" w:line="480" w:lineRule="auto"/>
      <w:ind w:left="420"/>
    </w:pPr>
    <w:rPr>
      <w:rFonts w:ascii="Times New Roman" w:hAnsi="Times New Roman"/>
      <w:szCs w:val="20"/>
      <w:lang w:eastAsia="ar-SA"/>
    </w:rPr>
  </w:style>
  <w:style w:type="paragraph" w:customStyle="1" w:styleId="177">
    <w:name w:val="p1"/>
    <w:basedOn w:val="1"/>
    <w:qFormat/>
    <w:uiPriority w:val="0"/>
    <w:pPr>
      <w:spacing w:line="380" w:lineRule="atLeast"/>
      <w:jc w:val="left"/>
    </w:pPr>
    <w:rPr>
      <w:rFonts w:ascii="Helvetica Neue" w:hAnsi="Helvetica Neue" w:eastAsia="Helvetica Neue"/>
      <w:color w:val="000000"/>
      <w:kern w:val="0"/>
      <w:sz w:val="26"/>
      <w:szCs w:val="26"/>
    </w:rPr>
  </w:style>
  <w:style w:type="paragraph" w:customStyle="1" w:styleId="178">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79">
    <w:name w:val="表格文字"/>
    <w:basedOn w:val="1"/>
    <w:qFormat/>
    <w:uiPriority w:val="0"/>
    <w:pPr>
      <w:adjustRightInd w:val="0"/>
      <w:spacing w:line="420" w:lineRule="atLeast"/>
      <w:jc w:val="left"/>
    </w:pPr>
    <w:rPr>
      <w:rFonts w:ascii="Times New Roman" w:hAnsi="Times New Roman"/>
      <w:kern w:val="0"/>
      <w:szCs w:val="20"/>
    </w:rPr>
  </w:style>
  <w:style w:type="paragraph" w:customStyle="1" w:styleId="180">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1">
    <w:name w:val="正文 New New New New New New New New New New New New New New"/>
    <w:qFormat/>
    <w:uiPriority w:val="0"/>
    <w:pPr>
      <w:widowControl w:val="0"/>
      <w:jc w:val="both"/>
    </w:pPr>
    <w:rPr>
      <w:rFonts w:ascii="Calibri" w:hAnsi="Calibri" w:eastAsia="楷体_GB2312" w:cs="Times New Roman"/>
      <w:kern w:val="2"/>
      <w:sz w:val="21"/>
      <w:lang w:val="en-US" w:eastAsia="zh-CN" w:bidi="ar-SA"/>
    </w:rPr>
  </w:style>
  <w:style w:type="paragraph" w:customStyle="1" w:styleId="182">
    <w:name w:val="Body Text Indent"/>
    <w:basedOn w:val="1"/>
    <w:qFormat/>
    <w:uiPriority w:val="0"/>
    <w:pPr>
      <w:ind w:firstLine="480"/>
    </w:pPr>
    <w:rPr>
      <w:rFonts w:ascii="Times New Roman" w:hAnsi="Times New Roman"/>
      <w:sz w:val="24"/>
      <w:szCs w:val="20"/>
    </w:rPr>
  </w:style>
  <w:style w:type="paragraph" w:customStyle="1" w:styleId="183">
    <w:name w:val="方框图"/>
    <w:basedOn w:val="1"/>
    <w:qFormat/>
    <w:uiPriority w:val="0"/>
    <w:pPr>
      <w:jc w:val="center"/>
    </w:pPr>
    <w:rPr>
      <w:rFonts w:ascii="Times New Roman" w:hAnsi="Times New Roman"/>
      <w:bCs/>
      <w:szCs w:val="24"/>
    </w:rPr>
  </w:style>
  <w:style w:type="paragraph" w:customStyle="1" w:styleId="184">
    <w:name w:val="Normal_0"/>
    <w:qFormat/>
    <w:uiPriority w:val="0"/>
    <w:rPr>
      <w:rFonts w:ascii="Times New Roman" w:hAnsi="Times New Roman" w:eastAsia="Times New Roman" w:cs="Times New Roman"/>
      <w:sz w:val="24"/>
      <w:szCs w:val="24"/>
      <w:lang w:val="en-US" w:eastAsia="zh-CN" w:bidi="ar-SA"/>
    </w:rPr>
  </w:style>
  <w:style w:type="paragraph" w:customStyle="1" w:styleId="185">
    <w:name w:val="页眉 New"/>
    <w:basedOn w:val="180"/>
    <w:qFormat/>
    <w:uiPriority w:val="0"/>
    <w:pPr>
      <w:pBdr>
        <w:bottom w:val="single" w:color="auto" w:sz="6" w:space="1"/>
      </w:pBdr>
      <w:tabs>
        <w:tab w:val="center" w:pos="4153"/>
        <w:tab w:val="right" w:pos="8306"/>
      </w:tabs>
      <w:snapToGrid w:val="0"/>
      <w:jc w:val="center"/>
    </w:pPr>
    <w:rPr>
      <w:sz w:val="18"/>
    </w:rPr>
  </w:style>
  <w:style w:type="paragraph" w:customStyle="1" w:styleId="186">
    <w:name w:val="msotocheading"/>
    <w:basedOn w:val="3"/>
    <w:next w:val="1"/>
    <w:qFormat/>
    <w:uiPriority w:val="0"/>
    <w:pPr>
      <w:widowControl/>
      <w:spacing w:before="480" w:beforeLines="0" w:after="0" w:afterLines="0" w:line="276" w:lineRule="auto"/>
      <w:jc w:val="left"/>
      <w:outlineLvl w:val="9"/>
    </w:pPr>
    <w:rPr>
      <w:rFonts w:hint="eastAsia" w:ascii="Cambria" w:hAnsi="Cambria" w:eastAsia="仿宋_GB2312"/>
      <w:color w:val="365F91"/>
      <w:kern w:val="0"/>
      <w:sz w:val="44"/>
      <w:szCs w:val="44"/>
    </w:rPr>
  </w:style>
  <w:style w:type="paragraph" w:customStyle="1" w:styleId="187">
    <w:name w:val="样式 标题 1 + 黑体 三号 非加粗 居中 段前: 6 磅 段后: 6 磅 行距: 固定值 20 磅"/>
    <w:basedOn w:val="3"/>
    <w:qFormat/>
    <w:uiPriority w:val="0"/>
    <w:pPr>
      <w:spacing w:before="0" w:beforeLines="0" w:line="400" w:lineRule="exact"/>
    </w:pPr>
    <w:rPr>
      <w:rFonts w:hint="eastAsia" w:ascii="黑体" w:hAnsi="黑体" w:eastAsia="黑体"/>
      <w:b w:val="0"/>
      <w:sz w:val="32"/>
      <w:szCs w:val="20"/>
    </w:rPr>
  </w:style>
  <w:style w:type="paragraph" w:customStyle="1" w:styleId="188">
    <w:name w:val="Document Map"/>
    <w:basedOn w:val="1"/>
    <w:qFormat/>
    <w:uiPriority w:val="0"/>
    <w:pPr>
      <w:shd w:val="clear" w:color="auto" w:fill="000080"/>
    </w:pPr>
    <w:rPr>
      <w:rFonts w:ascii="Times New Roman" w:hAnsi="Times New Roman"/>
      <w:sz w:val="30"/>
      <w:szCs w:val="24"/>
    </w:rPr>
  </w:style>
  <w:style w:type="paragraph" w:customStyle="1" w:styleId="189">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4"/>
      <w:szCs w:val="24"/>
    </w:rPr>
  </w:style>
  <w:style w:type="paragraph" w:customStyle="1" w:styleId="190">
    <w:name w:val="ÕýÎÄ"/>
    <w:qFormat/>
    <w:uiPriority w:val="0"/>
    <w:pPr>
      <w:widowControl w:val="0"/>
      <w:overflowPunct w:val="0"/>
      <w:autoSpaceDE w:val="0"/>
      <w:autoSpaceDN w:val="0"/>
      <w:adjustRightInd w:val="0"/>
      <w:spacing w:line="357" w:lineRule="atLeast"/>
      <w:jc w:val="both"/>
    </w:pPr>
    <w:rPr>
      <w:rFonts w:ascii="Times New Roman" w:hAnsi="Times New Roman" w:eastAsia="宋体" w:cs="Times New Roman"/>
      <w:color w:val="000000"/>
      <w:sz w:val="21"/>
      <w:lang w:val="en-US" w:eastAsia="zh-CN" w:bidi="ar-SA"/>
    </w:rPr>
  </w:style>
  <w:style w:type="paragraph" w:customStyle="1" w:styleId="191">
    <w:name w:val="_Style 190"/>
    <w:qFormat/>
    <w:uiPriority w:val="0"/>
    <w:rPr>
      <w:rFonts w:ascii="Times New Roman" w:hAnsi="Times New Roman" w:eastAsia="宋体" w:cs="Times New Roman"/>
      <w:kern w:val="2"/>
      <w:sz w:val="21"/>
      <w:lang w:val="en-US" w:eastAsia="zh-CN" w:bidi="ar-SA"/>
    </w:rPr>
  </w:style>
  <w:style w:type="paragraph" w:customStyle="1" w:styleId="192">
    <w:name w:val="纯文本1"/>
    <w:basedOn w:val="1"/>
    <w:qFormat/>
    <w:uiPriority w:val="0"/>
    <w:pPr>
      <w:suppressAutoHyphens/>
    </w:pPr>
    <w:rPr>
      <w:rFonts w:ascii="宋体" w:hAnsi="宋体"/>
      <w:szCs w:val="20"/>
      <w:lang w:eastAsia="ar-SA"/>
    </w:rPr>
  </w:style>
  <w:style w:type="paragraph" w:customStyle="1" w:styleId="193">
    <w:name w:val="目录 1_0"/>
    <w:basedOn w:val="194"/>
    <w:next w:val="194"/>
    <w:qFormat/>
    <w:uiPriority w:val="0"/>
    <w:pPr>
      <w:tabs>
        <w:tab w:val="right" w:leader="dot" w:pos="8493"/>
      </w:tabs>
      <w:adjustRightInd w:val="0"/>
      <w:spacing w:line="360" w:lineRule="auto"/>
      <w:jc w:val="left"/>
    </w:pPr>
    <w:rPr>
      <w:rFonts w:ascii="宋体" w:hAnsi="宋体"/>
      <w:b/>
      <w:caps/>
      <w:kern w:val="0"/>
      <w:sz w:val="24"/>
      <w:szCs w:val="32"/>
    </w:rPr>
  </w:style>
  <w:style w:type="paragraph" w:customStyle="1" w:styleId="194">
    <w:name w:val="正文_0"/>
    <w:qFormat/>
    <w:uiPriority w:val="0"/>
    <w:pPr>
      <w:widowControl w:val="0"/>
      <w:jc w:val="both"/>
    </w:pPr>
    <w:rPr>
      <w:rFonts w:ascii="Times New Roman" w:hAnsi="Times New Roman" w:eastAsia="楷体_GB2312" w:cs="Times New Roman"/>
      <w:kern w:val="2"/>
      <w:sz w:val="21"/>
      <w:lang w:val="en-US" w:eastAsia="zh-CN" w:bidi="ar-SA"/>
    </w:rPr>
  </w:style>
  <w:style w:type="paragraph" w:styleId="195">
    <w:name w:val="List Paragraph"/>
    <w:basedOn w:val="1"/>
    <w:qFormat/>
    <w:uiPriority w:val="34"/>
    <w:pPr>
      <w:ind w:firstLine="420" w:firstLineChars="200"/>
    </w:pPr>
    <w:rPr>
      <w:rFonts w:ascii="Times New Roman" w:hAnsi="Times New Roman"/>
      <w:szCs w:val="20"/>
    </w:rPr>
  </w:style>
  <w:style w:type="paragraph" w:customStyle="1" w:styleId="196">
    <w:name w:val="文二"/>
    <w:basedOn w:val="1"/>
    <w:qFormat/>
    <w:uiPriority w:val="0"/>
    <w:pPr>
      <w:jc w:val="left"/>
    </w:pPr>
    <w:rPr>
      <w:rFonts w:ascii="宋体" w:hAnsi="宋体"/>
      <w:szCs w:val="21"/>
    </w:rPr>
  </w:style>
  <w:style w:type="paragraph" w:customStyle="1" w:styleId="197">
    <w:name w:val="样式 正文缩进正文（首行缩进两字）特点ALT+Z表正文正文非缩进四号段1Normal Indent Char2..."/>
    <w:basedOn w:val="6"/>
    <w:next w:val="8"/>
    <w:qFormat/>
    <w:uiPriority w:val="0"/>
    <w:pPr>
      <w:numPr>
        <w:ilvl w:val="0"/>
        <w:numId w:val="0"/>
      </w:numPr>
      <w:tabs>
        <w:tab w:val="left" w:pos="840"/>
      </w:tabs>
      <w:spacing w:before="240" w:beforeLines="0" w:line="400" w:lineRule="exact"/>
      <w:ind w:left="840" w:hanging="420"/>
    </w:pPr>
    <w:rPr>
      <w:rFonts w:hint="eastAsia" w:ascii="宋体" w:hAnsi="宋体" w:eastAsia="黑体"/>
      <w:b w:val="0"/>
      <w:color w:val="auto"/>
      <w:szCs w:val="20"/>
    </w:rPr>
  </w:style>
  <w:style w:type="paragraph" w:customStyle="1" w:styleId="198">
    <w:name w:val="样式3"/>
    <w:basedOn w:val="8"/>
    <w:qFormat/>
    <w:uiPriority w:val="0"/>
    <w:pPr>
      <w:keepNext/>
      <w:keepLines/>
      <w:widowControl w:val="0"/>
      <w:spacing w:before="260" w:beforeLines="0" w:beforeAutospacing="0" w:after="260" w:afterLines="0" w:afterAutospacing="0" w:line="412" w:lineRule="auto"/>
      <w:jc w:val="both"/>
    </w:pPr>
    <w:rPr>
      <w:rFonts w:ascii="Calibri" w:hAnsi="Calibri" w:eastAsia="Arial"/>
      <w:bCs w:val="0"/>
      <w:color w:val="FF0000"/>
      <w:kern w:val="2"/>
      <w:sz w:val="32"/>
      <w:szCs w:val="22"/>
      <w:lang w:val="zh-CN" w:eastAsia="zh-CN"/>
    </w:rPr>
  </w:style>
  <w:style w:type="paragraph" w:customStyle="1" w:styleId="199">
    <w:name w:val="Body Text First Indent"/>
    <w:basedOn w:val="2"/>
    <w:qFormat/>
    <w:uiPriority w:val="0"/>
    <w:pPr>
      <w:ind w:firstLine="420" w:firstLineChars="100"/>
    </w:pPr>
    <w:rPr>
      <w:rFonts w:hAnsi="Calibri"/>
      <w:sz w:val="30"/>
      <w:szCs w:val="24"/>
    </w:rPr>
  </w:style>
  <w:style w:type="paragraph" w:customStyle="1" w:styleId="200">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1">
    <w:name w:val="标签"/>
    <w:basedOn w:val="1"/>
    <w:qFormat/>
    <w:uiPriority w:val="0"/>
    <w:pPr>
      <w:suppressLineNumbers/>
      <w:suppressAutoHyphens/>
      <w:spacing w:before="120" w:beforeLines="0" w:after="120" w:afterLines="0"/>
    </w:pPr>
    <w:rPr>
      <w:rFonts w:ascii="Times New Roman" w:hAnsi="Times New Roman"/>
      <w:i/>
      <w:iCs/>
      <w:sz w:val="24"/>
      <w:szCs w:val="24"/>
      <w:lang w:eastAsia="ar-SA"/>
    </w:rPr>
  </w:style>
  <w:style w:type="paragraph" w:customStyle="1" w:styleId="202">
    <w:name w:val="封二"/>
    <w:basedOn w:val="145"/>
    <w:next w:val="145"/>
    <w:qFormat/>
    <w:uiPriority w:val="0"/>
    <w:pPr>
      <w:ind w:firstLine="0" w:firstLineChars="0"/>
      <w:jc w:val="center"/>
    </w:pPr>
    <w:rPr>
      <w:rFonts w:eastAsia="黑体"/>
      <w:b/>
      <w:sz w:val="36"/>
      <w:szCs w:val="36"/>
    </w:rPr>
  </w:style>
  <w:style w:type="paragraph" w:customStyle="1" w:styleId="203">
    <w:name w:val="2"/>
    <w:next w:val="204"/>
    <w:qFormat/>
    <w:uiPriority w:val="0"/>
    <w:pPr>
      <w:widowControl w:val="0"/>
      <w:jc w:val="both"/>
    </w:pPr>
    <w:rPr>
      <w:rFonts w:ascii="仿宋_GB2312" w:hAnsi="Times New Roman" w:eastAsia="宋体" w:cs="Times New Roman"/>
      <w:kern w:val="2"/>
      <w:sz w:val="21"/>
      <w:szCs w:val="32"/>
      <w:lang w:val="en-US" w:eastAsia="zh-CN" w:bidi="ar-SA"/>
    </w:rPr>
  </w:style>
  <w:style w:type="paragraph" w:customStyle="1" w:styleId="204">
    <w:name w:val="访问过的超链接1"/>
    <w:basedOn w:val="1"/>
    <w:qFormat/>
    <w:uiPriority w:val="0"/>
    <w:rPr>
      <w:rFonts w:ascii="仿宋_GB2312" w:hAnsi="Times New Roman"/>
      <w:szCs w:val="32"/>
    </w:rPr>
  </w:style>
  <w:style w:type="paragraph" w:customStyle="1" w:styleId="205">
    <w:name w:val=" Char"/>
    <w:basedOn w:val="1"/>
    <w:qFormat/>
    <w:uiPriority w:val="0"/>
    <w:pPr>
      <w:numPr>
        <w:ilvl w:val="0"/>
        <w:numId w:val="1"/>
      </w:numPr>
      <w:tabs>
        <w:tab w:val="left" w:pos="1500"/>
      </w:tabs>
    </w:pPr>
    <w:rPr>
      <w:rFonts w:ascii="Times New Roman" w:hAnsi="Times New Roman"/>
      <w:sz w:val="24"/>
      <w:szCs w:val="24"/>
    </w:rPr>
  </w:style>
  <w:style w:type="paragraph" w:customStyle="1" w:styleId="206">
    <w:name w:val="正题"/>
    <w:basedOn w:val="145"/>
    <w:next w:val="145"/>
    <w:qFormat/>
    <w:uiPriority w:val="0"/>
    <w:pPr>
      <w:ind w:firstLine="0" w:firstLineChars="0"/>
      <w:jc w:val="center"/>
    </w:pPr>
    <w:rPr>
      <w:rFonts w:eastAsia="黑体"/>
      <w:b/>
      <w:sz w:val="36"/>
      <w:szCs w:val="36"/>
    </w:rPr>
  </w:style>
  <w:style w:type="paragraph" w:customStyle="1" w:styleId="207">
    <w:name w:val="样式 正文缩进正文（首行缩进两字）特点ALT+Z表正文正文非缩进四号段1Normal Indent Char2...4"/>
    <w:basedOn w:val="21"/>
    <w:qFormat/>
    <w:uiPriority w:val="0"/>
    <w:pPr>
      <w:tabs>
        <w:tab w:val="left" w:pos="510"/>
        <w:tab w:val="left" w:pos="2520"/>
      </w:tabs>
      <w:spacing w:line="300" w:lineRule="auto"/>
      <w:ind w:left="2520" w:hanging="420"/>
    </w:pPr>
    <w:rPr>
      <w:rFonts w:ascii="Calibri" w:hAnsi="宋体"/>
      <w:sz w:val="24"/>
      <w:szCs w:val="22"/>
    </w:rPr>
  </w:style>
  <w:style w:type="paragraph" w:customStyle="1" w:styleId="208">
    <w:name w:val="标题 2 New"/>
    <w:basedOn w:val="168"/>
    <w:next w:val="168"/>
    <w:qFormat/>
    <w:uiPriority w:val="0"/>
    <w:pPr>
      <w:keepNext/>
      <w:keepLines/>
      <w:spacing w:before="260" w:beforeLines="0" w:after="260" w:afterLines="0" w:line="416" w:lineRule="auto"/>
      <w:outlineLvl w:val="1"/>
    </w:pPr>
    <w:rPr>
      <w:rFonts w:ascii="Arial" w:hAnsi="Arial" w:eastAsia="仿宋_GB2312"/>
      <w:b/>
      <w:bCs/>
      <w:sz w:val="32"/>
    </w:rPr>
  </w:style>
  <w:style w:type="paragraph" w:customStyle="1" w:styleId="209">
    <w:name w:val="Char Char Char Char Char Char1 Char"/>
    <w:basedOn w:val="1"/>
    <w:qFormat/>
    <w:uiPriority w:val="0"/>
    <w:pPr>
      <w:widowControl/>
      <w:spacing w:after="160" w:afterLines="0" w:line="240" w:lineRule="exact"/>
      <w:jc w:val="left"/>
    </w:pPr>
    <w:rPr>
      <w:rFonts w:ascii="Verdana" w:hAnsi="Verdana" w:eastAsia="仿宋_GB2312"/>
      <w:kern w:val="0"/>
      <w:sz w:val="24"/>
      <w:szCs w:val="32"/>
      <w:lang w:eastAsia="en-US"/>
    </w:rPr>
  </w:style>
  <w:style w:type="paragraph" w:customStyle="1" w:styleId="210">
    <w:name w:val="文提"/>
    <w:basedOn w:val="145"/>
    <w:qFormat/>
    <w:uiPriority w:val="0"/>
    <w:pPr>
      <w:ind w:firstLine="0" w:firstLineChars="0"/>
    </w:pPr>
    <w:rPr>
      <w:rFonts w:eastAsia="黑体" w:cs="宋体"/>
      <w:b/>
    </w:rPr>
  </w:style>
  <w:style w:type="paragraph" w:customStyle="1" w:styleId="211">
    <w:name w:val="封四"/>
    <w:basedOn w:val="145"/>
    <w:next w:val="145"/>
    <w:qFormat/>
    <w:uiPriority w:val="0"/>
    <w:pPr>
      <w:jc w:val="left"/>
    </w:pPr>
    <w:rPr>
      <w:rFonts w:eastAsia="宋体"/>
      <w:sz w:val="30"/>
      <w:szCs w:val="30"/>
    </w:rPr>
  </w:style>
  <w:style w:type="paragraph" w:customStyle="1" w:styleId="212">
    <w:name w:val="页眉 New New"/>
    <w:basedOn w:val="200"/>
    <w:qFormat/>
    <w:uiPriority w:val="0"/>
    <w:pPr>
      <w:pBdr>
        <w:bottom w:val="single" w:color="auto" w:sz="6" w:space="1"/>
      </w:pBdr>
      <w:tabs>
        <w:tab w:val="center" w:pos="4153"/>
        <w:tab w:val="right" w:pos="8306"/>
      </w:tabs>
      <w:snapToGrid w:val="0"/>
      <w:jc w:val="center"/>
    </w:pPr>
    <w:rPr>
      <w:sz w:val="18"/>
    </w:rPr>
  </w:style>
  <w:style w:type="paragraph" w:customStyle="1" w:styleId="213">
    <w:name w:val="样式 正文缩进正文（首行缩进两字）特点ALT+Z表正文正文非缩进四号段1Normal Indent Char2...2"/>
    <w:basedOn w:val="8"/>
    <w:qFormat/>
    <w:uiPriority w:val="0"/>
    <w:pPr>
      <w:keepNext/>
      <w:keepLines/>
      <w:widowControl w:val="0"/>
      <w:tabs>
        <w:tab w:val="left" w:pos="1680"/>
      </w:tabs>
      <w:spacing w:before="360" w:beforeLines="0" w:beforeAutospacing="0" w:after="120" w:afterLines="0" w:afterAutospacing="0" w:line="360" w:lineRule="auto"/>
      <w:ind w:left="1680" w:hanging="420"/>
      <w:jc w:val="center"/>
    </w:pPr>
    <w:rPr>
      <w:color w:val="FF0000"/>
      <w:kern w:val="2"/>
      <w:sz w:val="28"/>
      <w:szCs w:val="20"/>
      <w:lang w:val="zh-CN" w:eastAsia="zh-CN"/>
    </w:rPr>
  </w:style>
  <w:style w:type="paragraph" w:customStyle="1" w:styleId="214">
    <w:name w:val="Blockquote"/>
    <w:basedOn w:val="1"/>
    <w:qFormat/>
    <w:uiPriority w:val="0"/>
    <w:pPr>
      <w:autoSpaceDE w:val="0"/>
      <w:autoSpaceDN w:val="0"/>
      <w:adjustRightInd w:val="0"/>
      <w:spacing w:before="100" w:beforeLines="0" w:after="100" w:afterLines="0"/>
      <w:ind w:left="360" w:right="360"/>
      <w:jc w:val="left"/>
    </w:pPr>
    <w:rPr>
      <w:rFonts w:ascii="Times New Roman" w:hAnsi="Times New Roman"/>
      <w:kern w:val="0"/>
      <w:sz w:val="24"/>
      <w:szCs w:val="20"/>
    </w:rPr>
  </w:style>
  <w:style w:type="paragraph" w:customStyle="1" w:styleId="215">
    <w:name w:val="页脚 New New"/>
    <w:basedOn w:val="200"/>
    <w:qFormat/>
    <w:uiPriority w:val="0"/>
    <w:pPr>
      <w:tabs>
        <w:tab w:val="center" w:pos="4153"/>
        <w:tab w:val="right" w:pos="8306"/>
      </w:tabs>
      <w:snapToGrid w:val="0"/>
      <w:jc w:val="left"/>
    </w:pPr>
    <w:rPr>
      <w:sz w:val="18"/>
    </w:rPr>
  </w:style>
  <w:style w:type="paragraph" w:customStyle="1" w:styleId="216">
    <w:name w:val="_Style 25"/>
    <w:basedOn w:val="1"/>
    <w:next w:val="1"/>
    <w:qFormat/>
    <w:uiPriority w:val="0"/>
    <w:rPr>
      <w:rFonts w:ascii="Times New Roman" w:hAnsi="Times New Roman"/>
    </w:rPr>
  </w:style>
  <w:style w:type="paragraph" w:customStyle="1" w:styleId="217">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8">
    <w:name w:val="封一"/>
    <w:basedOn w:val="145"/>
    <w:next w:val="145"/>
    <w:qFormat/>
    <w:uiPriority w:val="0"/>
    <w:pPr>
      <w:ind w:firstLine="0" w:firstLineChars="0"/>
      <w:jc w:val="center"/>
    </w:pPr>
    <w:rPr>
      <w:rFonts w:eastAsia="黑体"/>
      <w:b/>
      <w:sz w:val="84"/>
      <w:szCs w:val="84"/>
    </w:rPr>
  </w:style>
  <w:style w:type="paragraph" w:customStyle="1" w:styleId="219">
    <w:name w:val="发文落款"/>
    <w:basedOn w:val="220"/>
    <w:qFormat/>
    <w:uiPriority w:val="0"/>
    <w:pPr>
      <w:ind w:left="4094" w:right="607" w:firstLine="0"/>
      <w:jc w:val="center"/>
    </w:pPr>
  </w:style>
  <w:style w:type="paragraph" w:customStyle="1" w:styleId="22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21">
    <w:name w:val="正文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22">
    <w:name w:val="列表项目符号1"/>
    <w:basedOn w:val="1"/>
    <w:qFormat/>
    <w:uiPriority w:val="0"/>
    <w:pPr>
      <w:tabs>
        <w:tab w:val="left" w:pos="360"/>
      </w:tabs>
      <w:suppressAutoHyphens/>
    </w:pPr>
    <w:rPr>
      <w:rFonts w:ascii="Times New Roman" w:hAnsi="Times New Roman"/>
      <w:szCs w:val="20"/>
      <w:lang w:eastAsia="ar-SA"/>
    </w:rPr>
  </w:style>
  <w:style w:type="paragraph" w:customStyle="1" w:styleId="223">
    <w:name w:val="表头"/>
    <w:basedOn w:val="1"/>
    <w:qFormat/>
    <w:uiPriority w:val="0"/>
    <w:pPr>
      <w:spacing w:line="360" w:lineRule="auto"/>
      <w:jc w:val="center"/>
    </w:pPr>
    <w:rPr>
      <w:rFonts w:ascii="黑体" w:hAnsi="Times New Roman" w:eastAsia="黑体"/>
      <w:kern w:val="0"/>
      <w:sz w:val="24"/>
      <w:szCs w:val="20"/>
    </w:rPr>
  </w:style>
  <w:style w:type="paragraph" w:customStyle="1" w:styleId="224">
    <w:name w:val="正文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25">
    <w:name w:val="正文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26">
    <w:name w:val="Body Text Indent 2"/>
    <w:basedOn w:val="1"/>
    <w:qFormat/>
    <w:uiPriority w:val="0"/>
    <w:pPr>
      <w:spacing w:line="420" w:lineRule="exact"/>
      <w:ind w:firstLine="480"/>
    </w:pPr>
    <w:rPr>
      <w:rFonts w:ascii="Times New Roman" w:hAnsi="Times New Roman"/>
      <w:b/>
      <w:sz w:val="24"/>
      <w:szCs w:val="20"/>
    </w:rPr>
  </w:style>
  <w:style w:type="paragraph" w:customStyle="1" w:styleId="227">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8">
    <w:name w:val="正文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29">
    <w:name w:val="Char2 Char Char Char"/>
    <w:basedOn w:val="1"/>
    <w:qFormat/>
    <w:uiPriority w:val="0"/>
    <w:pPr>
      <w:tabs>
        <w:tab w:val="left" w:pos="1350"/>
      </w:tabs>
      <w:ind w:left="1350" w:hanging="720"/>
    </w:pPr>
    <w:rPr>
      <w:rFonts w:ascii="Times New Roman" w:hAnsi="Times New Roman"/>
      <w:sz w:val="24"/>
      <w:szCs w:val="24"/>
    </w:rPr>
  </w:style>
  <w:style w:type="paragraph" w:customStyle="1" w:styleId="230">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1">
    <w:name w:val="_Style 72"/>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2">
    <w:name w:val="正文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33">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4">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5">
    <w:name w:val="默认段落字体 Para Char"/>
    <w:basedOn w:val="1"/>
    <w:qFormat/>
    <w:uiPriority w:val="0"/>
    <w:pPr>
      <w:spacing w:line="360" w:lineRule="auto"/>
      <w:jc w:val="left"/>
    </w:pPr>
    <w:rPr>
      <w:rFonts w:ascii="Times New Roman" w:hAnsi="Times New Roman" w:eastAsia="仿宋_GB2312"/>
      <w:b/>
      <w:sz w:val="32"/>
      <w:szCs w:val="24"/>
    </w:rPr>
  </w:style>
  <w:style w:type="paragraph" w:customStyle="1" w:styleId="236">
    <w:name w:val="文档结构图1"/>
    <w:basedOn w:val="1"/>
    <w:qFormat/>
    <w:uiPriority w:val="0"/>
    <w:pPr>
      <w:shd w:val="clear" w:color="auto" w:fill="000080"/>
      <w:suppressAutoHyphens/>
    </w:pPr>
    <w:rPr>
      <w:rFonts w:ascii="Times New Roman" w:hAnsi="Times New Roman"/>
      <w:szCs w:val="20"/>
      <w:lang w:eastAsia="ar-SA"/>
    </w:rPr>
  </w:style>
  <w:style w:type="paragraph" w:customStyle="1" w:styleId="237">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尾注文本 New"/>
    <w:basedOn w:val="152"/>
    <w:qFormat/>
    <w:uiPriority w:val="0"/>
    <w:pPr>
      <w:snapToGrid w:val="0"/>
      <w:jc w:val="left"/>
    </w:pPr>
    <w:rPr>
      <w:rFonts w:ascii="宋体" w:hAnsi="宋体" w:eastAsia="宋体"/>
      <w:szCs w:val="24"/>
    </w:rPr>
  </w:style>
  <w:style w:type="paragraph" w:customStyle="1" w:styleId="239">
    <w:name w:val="目录文字"/>
    <w:basedOn w:val="1"/>
    <w:qFormat/>
    <w:uiPriority w:val="0"/>
    <w:pPr>
      <w:widowControl/>
      <w:spacing w:line="480" w:lineRule="auto"/>
      <w:jc w:val="left"/>
    </w:pPr>
    <w:rPr>
      <w:rFonts w:ascii="宋体" w:hAnsi="宋体"/>
      <w:kern w:val="0"/>
      <w:sz w:val="24"/>
      <w:szCs w:val="20"/>
    </w:rPr>
  </w:style>
  <w:style w:type="paragraph" w:customStyle="1" w:styleId="240">
    <w:name w:val="样式 标题 1 + 宋体 居中 段前: 48 磅 段后: 12 磅 行距: 1.5 倍行距"/>
    <w:basedOn w:val="3"/>
    <w:qFormat/>
    <w:uiPriority w:val="0"/>
    <w:pPr>
      <w:snapToGrid w:val="0"/>
      <w:spacing w:before="1560" w:beforeLines="0" w:after="240" w:afterLines="0"/>
    </w:pPr>
    <w:rPr>
      <w:rFonts w:hint="eastAsia" w:ascii="宋体" w:hAnsi="宋体" w:eastAsia="仿宋_GB2312"/>
      <w:b w:val="0"/>
      <w:kern w:val="2"/>
      <w:sz w:val="36"/>
      <w:szCs w:val="20"/>
    </w:rPr>
  </w:style>
  <w:style w:type="paragraph" w:customStyle="1" w:styleId="241">
    <w:name w:val="表格文字居中"/>
    <w:basedOn w:val="1"/>
    <w:next w:val="1"/>
    <w:qFormat/>
    <w:uiPriority w:val="0"/>
    <w:pPr>
      <w:tabs>
        <w:tab w:val="left" w:pos="720"/>
        <w:tab w:val="left" w:pos="900"/>
      </w:tabs>
      <w:adjustRightInd w:val="0"/>
      <w:snapToGrid w:val="0"/>
      <w:spacing w:before="62" w:beforeLines="20" w:after="62" w:afterLines="20" w:line="360" w:lineRule="auto"/>
      <w:jc w:val="center"/>
    </w:pPr>
    <w:rPr>
      <w:rFonts w:ascii="宋体" w:hAnsi="Arial"/>
      <w:kern w:val="0"/>
      <w:sz w:val="18"/>
      <w:szCs w:val="20"/>
    </w:rPr>
  </w:style>
  <w:style w:type="paragraph" w:customStyle="1" w:styleId="242">
    <w:name w:val="表格标题"/>
    <w:basedOn w:val="243"/>
    <w:qFormat/>
    <w:uiPriority w:val="0"/>
    <w:pPr>
      <w:jc w:val="center"/>
    </w:pPr>
    <w:rPr>
      <w:b/>
      <w:bCs/>
    </w:rPr>
  </w:style>
  <w:style w:type="paragraph" w:customStyle="1" w:styleId="243">
    <w:name w:val="表格内容"/>
    <w:basedOn w:val="1"/>
    <w:qFormat/>
    <w:uiPriority w:val="0"/>
    <w:pPr>
      <w:suppressLineNumbers/>
      <w:suppressAutoHyphens/>
    </w:pPr>
    <w:rPr>
      <w:rFonts w:ascii="Times New Roman" w:hAnsi="Times New Roman"/>
      <w:szCs w:val="20"/>
      <w:lang w:eastAsia="ar-SA"/>
    </w:rPr>
  </w:style>
  <w:style w:type="paragraph" w:customStyle="1" w:styleId="244">
    <w:name w:val="xl44"/>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szCs w:val="20"/>
    </w:rPr>
  </w:style>
  <w:style w:type="paragraph" w:customStyle="1" w:styleId="245">
    <w:name w:val="表格"/>
    <w:basedOn w:val="1"/>
    <w:qFormat/>
    <w:uiPriority w:val="0"/>
    <w:pPr>
      <w:jc w:val="center"/>
    </w:pPr>
    <w:rPr>
      <w:rFonts w:ascii="华文细黑" w:hAnsi="华文细黑"/>
      <w:kern w:val="0"/>
      <w:szCs w:val="20"/>
    </w:rPr>
  </w:style>
  <w:style w:type="paragraph" w:customStyle="1" w:styleId="246">
    <w:name w:val="标题 3_0"/>
    <w:basedOn w:val="194"/>
    <w:next w:val="247"/>
    <w:qFormat/>
    <w:uiPriority w:val="0"/>
    <w:pPr>
      <w:keepNext/>
      <w:keepLines/>
      <w:spacing w:line="360" w:lineRule="auto"/>
      <w:jc w:val="center"/>
      <w:outlineLvl w:val="2"/>
    </w:pPr>
    <w:rPr>
      <w:rFonts w:ascii="仿宋_GB2312" w:hAnsi="宋体" w:eastAsia="仿宋_GB2312" w:cs="宋体"/>
      <w:b/>
      <w:sz w:val="30"/>
      <w:szCs w:val="30"/>
    </w:rPr>
  </w:style>
  <w:style w:type="paragraph" w:customStyle="1" w:styleId="247">
    <w:name w:val="正文缩进_0"/>
    <w:basedOn w:val="194"/>
    <w:qFormat/>
    <w:uiPriority w:val="0"/>
    <w:pPr>
      <w:ind w:firstLine="420"/>
    </w:pPr>
  </w:style>
  <w:style w:type="paragraph" w:customStyle="1" w:styleId="248">
    <w:name w:val="Normal_2"/>
    <w:qFormat/>
    <w:uiPriority w:val="0"/>
    <w:rPr>
      <w:rFonts w:ascii="Times New Roman" w:hAnsi="Times New Roman" w:eastAsia="Times New Roman" w:cs="Times New Roman"/>
      <w:sz w:val="24"/>
      <w:szCs w:val="24"/>
      <w:lang w:val="en-US" w:eastAsia="zh-CN" w:bidi="ar-SA"/>
    </w:rPr>
  </w:style>
  <w:style w:type="paragraph" w:customStyle="1" w:styleId="249">
    <w:name w:val="cjk"/>
    <w:basedOn w:val="1"/>
    <w:qFormat/>
    <w:uiPriority w:val="0"/>
    <w:pPr>
      <w:widowControl/>
      <w:spacing w:before="284" w:beforeLines="0" w:after="100" w:afterLines="0" w:afterAutospacing="1" w:line="360" w:lineRule="auto"/>
      <w:jc w:val="left"/>
    </w:pPr>
    <w:rPr>
      <w:rFonts w:ascii="宋体" w:hAnsi="宋体"/>
      <w:kern w:val="0"/>
      <w:sz w:val="22"/>
    </w:rPr>
  </w:style>
  <w:style w:type="paragraph" w:customStyle="1" w:styleId="250">
    <w:name w:val="普通(网站)1"/>
    <w:basedOn w:val="1"/>
    <w:qFormat/>
    <w:uiPriority w:val="0"/>
    <w:pPr>
      <w:widowControl/>
      <w:suppressAutoHyphens/>
      <w:spacing w:before="284" w:beforeLines="0" w:after="280" w:afterLines="0" w:line="360" w:lineRule="auto"/>
      <w:jc w:val="left"/>
    </w:pPr>
    <w:rPr>
      <w:rFonts w:ascii="宋体" w:hAnsi="宋体"/>
      <w:sz w:val="24"/>
      <w:szCs w:val="20"/>
      <w:lang w:eastAsia="ar-SA"/>
    </w:rPr>
  </w:style>
  <w:style w:type="paragraph" w:customStyle="1" w:styleId="251">
    <w:name w:val="纯文本 New"/>
    <w:basedOn w:val="173"/>
    <w:qFormat/>
    <w:uiPriority w:val="0"/>
    <w:rPr>
      <w:rFonts w:ascii="宋体" w:hAnsi="Courier New" w:eastAsia="宋体"/>
      <w:kern w:val="2"/>
      <w:sz w:val="24"/>
    </w:rPr>
  </w:style>
  <w:style w:type="paragraph" w:customStyle="1" w:styleId="252">
    <w:name w:val="Plain Text"/>
    <w:basedOn w:val="1"/>
    <w:qFormat/>
    <w:uiPriority w:val="0"/>
    <w:rPr>
      <w:rFonts w:ascii="宋体" w:hAnsi="Courier New"/>
      <w:sz w:val="24"/>
      <w:szCs w:val="20"/>
    </w:rPr>
  </w:style>
  <w:style w:type="paragraph" w:customStyle="1" w:styleId="253">
    <w:name w:val="样式2"/>
    <w:basedOn w:val="8"/>
    <w:qFormat/>
    <w:uiPriority w:val="0"/>
    <w:pPr>
      <w:keepNext/>
      <w:keepLines/>
      <w:widowControl w:val="0"/>
      <w:spacing w:before="260" w:beforeLines="0" w:beforeAutospacing="0" w:after="260" w:afterLines="0" w:afterAutospacing="0" w:line="412" w:lineRule="auto"/>
      <w:jc w:val="both"/>
    </w:pPr>
    <w:rPr>
      <w:rFonts w:ascii="Calibri" w:hAnsi="Calibri"/>
      <w:bCs w:val="0"/>
      <w:color w:val="FF0000"/>
      <w:kern w:val="2"/>
      <w:sz w:val="32"/>
      <w:szCs w:val="22"/>
      <w:lang w:val="zh-CN" w:eastAsia="zh-CN"/>
    </w:rPr>
  </w:style>
  <w:style w:type="paragraph" w:customStyle="1" w:styleId="254">
    <w:name w:val=" Char Char Char1 Char"/>
    <w:basedOn w:val="1"/>
    <w:qFormat/>
    <w:uiPriority w:val="0"/>
    <w:rPr>
      <w:rFonts w:ascii="宋体" w:hAnsi="Times New Roman"/>
      <w:kern w:val="0"/>
      <w:sz w:val="34"/>
      <w:szCs w:val="20"/>
    </w:rPr>
  </w:style>
  <w:style w:type="paragraph" w:customStyle="1" w:styleId="255">
    <w:name w:val="Char5 Char Char"/>
    <w:basedOn w:val="1"/>
    <w:qFormat/>
    <w:uiPriority w:val="0"/>
    <w:pPr>
      <w:ind w:left="567" w:hanging="279"/>
    </w:pPr>
    <w:rPr>
      <w:rFonts w:ascii="Times New Roman" w:hAnsi="Times New Roman"/>
      <w:sz w:val="24"/>
      <w:szCs w:val="24"/>
    </w:rPr>
  </w:style>
  <w:style w:type="paragraph" w:customStyle="1" w:styleId="256">
    <w:name w:val="Normal"/>
    <w:qFormat/>
    <w:uiPriority w:val="0"/>
    <w:rPr>
      <w:rFonts w:ascii="Times New Roman" w:hAnsi="Times New Roman" w:eastAsia="Times New Roman" w:cs="Times New Roman"/>
      <w:sz w:val="24"/>
      <w:szCs w:val="24"/>
      <w:lang w:val="en-US" w:eastAsia="zh-CN" w:bidi="ar-SA"/>
    </w:rPr>
  </w:style>
  <w:style w:type="paragraph" w:customStyle="1" w:styleId="257">
    <w:name w:val="正文文本 21"/>
    <w:basedOn w:val="1"/>
    <w:qFormat/>
    <w:uiPriority w:val="0"/>
    <w:pPr>
      <w:suppressAutoHyphens/>
    </w:pPr>
    <w:rPr>
      <w:rFonts w:ascii="Times New Roman" w:hAnsi="Times New Roman" w:eastAsia="楷体_GB2312"/>
      <w:b/>
      <w:szCs w:val="20"/>
      <w:lang w:eastAsia="ar-SA"/>
    </w:rPr>
  </w:style>
  <w:style w:type="paragraph" w:customStyle="1" w:styleId="258">
    <w:name w:val="样式1"/>
    <w:basedOn w:val="8"/>
    <w:qFormat/>
    <w:uiPriority w:val="0"/>
    <w:pPr>
      <w:keepNext/>
      <w:keepLines/>
      <w:widowControl w:val="0"/>
      <w:spacing w:before="260" w:beforeLines="0" w:beforeAutospacing="0" w:after="260" w:afterLines="0" w:afterAutospacing="0" w:line="412" w:lineRule="auto"/>
      <w:jc w:val="both"/>
    </w:pPr>
    <w:rPr>
      <w:rFonts w:ascii="Calibri" w:hAnsi="Calibri" w:eastAsia="Arial"/>
      <w:bCs w:val="0"/>
      <w:color w:val="FF0000"/>
      <w:kern w:val="2"/>
      <w:sz w:val="32"/>
      <w:szCs w:val="22"/>
      <w:lang w:val="zh-CN" w:eastAsia="zh-CN"/>
    </w:rPr>
  </w:style>
  <w:style w:type="paragraph" w:customStyle="1" w:styleId="259">
    <w:name w:val="msolistparagraph"/>
    <w:basedOn w:val="1"/>
    <w:qFormat/>
    <w:uiPriority w:val="0"/>
    <w:pPr>
      <w:ind w:firstLine="420" w:firstLineChars="200"/>
    </w:pPr>
    <w:rPr>
      <w:rFonts w:ascii="Times New Roman" w:hAnsi="Times New Roman"/>
    </w:rPr>
  </w:style>
  <w:style w:type="paragraph" w:customStyle="1" w:styleId="260">
    <w:name w:val="Normal (Web)"/>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261">
    <w:name w:val="Normal Indent"/>
    <w:basedOn w:val="1"/>
    <w:qFormat/>
    <w:uiPriority w:val="0"/>
    <w:pPr>
      <w:ind w:firstLine="420" w:firstLineChars="200"/>
    </w:pPr>
    <w:rPr>
      <w:rFonts w:ascii="Times New Roman" w:hAnsi="Times New Roman"/>
      <w:sz w:val="30"/>
      <w:szCs w:val="24"/>
    </w:rPr>
  </w:style>
  <w:style w:type="paragraph" w:customStyle="1" w:styleId="262">
    <w:name w:val=" Char Char Char Char"/>
    <w:basedOn w:val="1"/>
    <w:qFormat/>
    <w:uiPriority w:val="0"/>
    <w:pPr>
      <w:widowControl/>
      <w:spacing w:after="160" w:afterLines="0" w:line="240" w:lineRule="exact"/>
      <w:jc w:val="left"/>
    </w:pPr>
    <w:rPr>
      <w:rFonts w:ascii="Times New Roman" w:hAnsi="Times New Roman"/>
      <w:szCs w:val="20"/>
    </w:rPr>
  </w:style>
  <w:style w:type="paragraph" w:customStyle="1" w:styleId="263">
    <w:name w:val="页脚 New"/>
    <w:basedOn w:val="180"/>
    <w:qFormat/>
    <w:uiPriority w:val="0"/>
    <w:pPr>
      <w:tabs>
        <w:tab w:val="center" w:pos="4153"/>
        <w:tab w:val="right" w:pos="8306"/>
      </w:tabs>
      <w:snapToGrid w:val="0"/>
      <w:jc w:val="left"/>
    </w:pPr>
    <w:rPr>
      <w:sz w:val="18"/>
    </w:rPr>
  </w:style>
  <w:style w:type="paragraph" w:customStyle="1" w:styleId="264">
    <w:name w:val="Char13 Char Char Char Char Char"/>
    <w:basedOn w:val="1"/>
    <w:qFormat/>
    <w:uiPriority w:val="0"/>
    <w:pPr>
      <w:ind w:left="567" w:hanging="279"/>
    </w:pPr>
    <w:rPr>
      <w:rFonts w:ascii="Times New Roman" w:hAnsi="Times New Roman"/>
      <w:kern w:val="0"/>
      <w:sz w:val="20"/>
      <w:szCs w:val="20"/>
    </w:rPr>
  </w:style>
  <w:style w:type="paragraph" w:customStyle="1" w:styleId="265">
    <w:name w:val="Normal_1"/>
    <w:qFormat/>
    <w:uiPriority w:val="0"/>
    <w:rPr>
      <w:rFonts w:ascii="Times New Roman" w:hAnsi="Times New Roman" w:eastAsia="Times New Roman" w:cs="Times New Roman"/>
      <w:sz w:val="24"/>
      <w:szCs w:val="24"/>
      <w:lang w:val="en-US" w:eastAsia="zh-CN" w:bidi="ar-SA"/>
    </w:rPr>
  </w:style>
  <w:style w:type="paragraph" w:customStyle="1" w:styleId="266">
    <w:name w:val="章节三"/>
    <w:basedOn w:val="145"/>
    <w:next w:val="145"/>
    <w:qFormat/>
    <w:uiPriority w:val="0"/>
    <w:pPr>
      <w:spacing w:before="156" w:beforeLines="50" w:line="240" w:lineRule="auto"/>
      <w:ind w:firstLine="0" w:firstLineChars="0"/>
      <w:jc w:val="left"/>
      <w:outlineLvl w:val="2"/>
    </w:pPr>
    <w:rPr>
      <w:rFonts w:ascii="黑体" w:eastAsia="黑体"/>
      <w:b/>
    </w:rPr>
  </w:style>
  <w:style w:type="paragraph" w:customStyle="1" w:styleId="267">
    <w:name w:val="样式 正文缩进正文（首行缩进两字）特点ALT+Z表正文正文非缩进四号段1Normal Indent Char2...1"/>
    <w:basedOn w:val="6"/>
    <w:qFormat/>
    <w:uiPriority w:val="0"/>
    <w:pPr>
      <w:numPr>
        <w:ilvl w:val="0"/>
        <w:numId w:val="0"/>
      </w:numPr>
      <w:tabs>
        <w:tab w:val="left" w:pos="1260"/>
      </w:tabs>
      <w:spacing w:before="1320" w:beforeLines="0" w:after="240" w:afterLines="0" w:line="300" w:lineRule="auto"/>
      <w:ind w:left="1260" w:hanging="420"/>
    </w:pPr>
    <w:rPr>
      <w:rFonts w:hint="eastAsia" w:ascii="黑体" w:hAnsi="黑体" w:eastAsia="黑体"/>
      <w:b w:val="0"/>
      <w:color w:val="auto"/>
      <w:szCs w:val="20"/>
    </w:rPr>
  </w:style>
  <w:style w:type="paragraph" w:customStyle="1" w:styleId="268">
    <w:name w:val="页脚 New New New"/>
    <w:basedOn w:val="233"/>
    <w:qFormat/>
    <w:uiPriority w:val="0"/>
    <w:pPr>
      <w:tabs>
        <w:tab w:val="center" w:pos="4153"/>
        <w:tab w:val="right" w:pos="8306"/>
      </w:tabs>
      <w:snapToGrid w:val="0"/>
      <w:jc w:val="left"/>
    </w:pPr>
    <w:rPr>
      <w:sz w:val="18"/>
      <w:szCs w:val="18"/>
    </w:rPr>
  </w:style>
  <w:style w:type="paragraph" w:customStyle="1" w:styleId="269">
    <w:name w:val="Char14"/>
    <w:basedOn w:val="18"/>
    <w:qFormat/>
    <w:uiPriority w:val="0"/>
    <w:rPr>
      <w:rFonts w:ascii="Tahoma" w:hAnsi="Tahoma"/>
      <w:sz w:val="24"/>
      <w:szCs w:val="24"/>
      <w:shd w:val="clear" w:color="auto" w:fill="000080"/>
    </w:rPr>
  </w:style>
  <w:style w:type="paragraph" w:customStyle="1" w:styleId="2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1">
    <w:name w:val="正文文本缩进 New New"/>
    <w:basedOn w:val="1"/>
    <w:qFormat/>
    <w:uiPriority w:val="0"/>
    <w:pPr>
      <w:spacing w:after="120" w:afterLines="0"/>
      <w:ind w:left="420" w:leftChars="200"/>
    </w:pPr>
    <w:rPr>
      <w:rFonts w:ascii="Times New Roman" w:eastAsia="楷体_GB2312"/>
      <w:szCs w:val="20"/>
    </w:rPr>
  </w:style>
  <w:style w:type="paragraph" w:customStyle="1" w:styleId="272">
    <w:name w:val="样式4"/>
    <w:basedOn w:val="8"/>
    <w:qFormat/>
    <w:uiPriority w:val="0"/>
    <w:pPr>
      <w:keepNext/>
      <w:keepLines/>
      <w:widowControl w:val="0"/>
      <w:spacing w:before="260" w:beforeLines="0" w:beforeAutospacing="0" w:after="260" w:afterLines="0" w:afterAutospacing="0" w:line="412" w:lineRule="auto"/>
      <w:jc w:val="both"/>
    </w:pPr>
    <w:rPr>
      <w:rFonts w:ascii="Calibri" w:hAnsi="Calibri" w:eastAsia="Arial"/>
      <w:bCs w:val="0"/>
      <w:color w:val="FF0000"/>
      <w:kern w:val="2"/>
      <w:sz w:val="32"/>
      <w:szCs w:val="22"/>
      <w:lang w:val="zh-CN" w:eastAsia="zh-CN"/>
    </w:rPr>
  </w:style>
  <w:style w:type="paragraph" w:customStyle="1" w:styleId="273">
    <w:name w:val="1"/>
    <w:basedOn w:val="1"/>
    <w:next w:val="1"/>
    <w:qFormat/>
    <w:uiPriority w:val="0"/>
    <w:rPr>
      <w:rFonts w:ascii="Times New Roman" w:hAnsi="Times New Roman"/>
    </w:rPr>
  </w:style>
  <w:style w:type="paragraph" w:customStyle="1" w:styleId="274">
    <w:name w:val="6'"/>
    <w:basedOn w:val="1"/>
    <w:qFormat/>
    <w:uiPriority w:val="0"/>
    <w:pPr>
      <w:autoSpaceDE w:val="0"/>
      <w:autoSpaceDN w:val="0"/>
      <w:adjustRightInd w:val="0"/>
      <w:snapToGrid w:val="0"/>
      <w:spacing w:line="320" w:lineRule="exact"/>
      <w:jc w:val="center"/>
    </w:pPr>
    <w:rPr>
      <w:rFonts w:ascii="Times New Roman" w:hAnsi="Times New Roman"/>
      <w:spacing w:val="20"/>
      <w:kern w:val="28"/>
      <w:szCs w:val="20"/>
    </w:rPr>
  </w:style>
  <w:style w:type="paragraph" w:customStyle="1" w:styleId="275">
    <w:name w:val="样式 标题 3 + (中文) 黑体 小四 非加粗 段前: 7.8 磅 段后: 0 磅 行距: 固定值 20 磅"/>
    <w:basedOn w:val="8"/>
    <w:qFormat/>
    <w:uiPriority w:val="0"/>
    <w:pPr>
      <w:keepNext/>
      <w:keepLines/>
      <w:widowControl w:val="0"/>
      <w:spacing w:before="156" w:beforeLines="50" w:beforeAutospacing="0" w:after="0" w:afterLines="0" w:afterAutospacing="0" w:line="400" w:lineRule="exact"/>
      <w:jc w:val="both"/>
    </w:pPr>
    <w:rPr>
      <w:rFonts w:ascii="Calibri" w:hAnsi="Calibri" w:eastAsia="黑体"/>
      <w:b w:val="0"/>
      <w:color w:val="FF0000"/>
      <w:kern w:val="2"/>
      <w:sz w:val="24"/>
      <w:szCs w:val="20"/>
      <w:lang w:val="zh-CN" w:eastAsia="zh-CN"/>
    </w:rPr>
  </w:style>
  <w:style w:type="paragraph" w:customStyle="1" w:styleId="276">
    <w:name w:val="列表项目符号 21"/>
    <w:basedOn w:val="222"/>
    <w:qFormat/>
    <w:uiPriority w:val="0"/>
    <w:pPr>
      <w:widowControl/>
      <w:spacing w:after="220" w:afterLines="0" w:line="220" w:lineRule="atLeast"/>
      <w:ind w:left="360" w:right="720"/>
      <w:jc w:val="left"/>
    </w:pPr>
  </w:style>
  <w:style w:type="paragraph" w:customStyle="1" w:styleId="277">
    <w:name w:val="样式8"/>
    <w:basedOn w:val="1"/>
    <w:qFormat/>
    <w:uiPriority w:val="0"/>
    <w:pPr>
      <w:keepNext/>
      <w:keepLines/>
      <w:widowControl/>
      <w:spacing w:before="260" w:beforeLines="0" w:after="260" w:afterLines="0"/>
      <w:jc w:val="center"/>
      <w:outlineLvl w:val="1"/>
    </w:pPr>
    <w:rPr>
      <w:rFonts w:ascii="Arial" w:hAnsi="Arial" w:eastAsia="黑体"/>
      <w:b/>
      <w:bCs/>
      <w:kern w:val="0"/>
      <w:sz w:val="72"/>
      <w:szCs w:val="32"/>
    </w:rPr>
  </w:style>
  <w:style w:type="paragraph" w:customStyle="1" w:styleId="278">
    <w:name w:val="章节二"/>
    <w:basedOn w:val="145"/>
    <w:next w:val="145"/>
    <w:qFormat/>
    <w:uiPriority w:val="0"/>
    <w:pPr>
      <w:spacing w:before="156" w:beforeLines="50" w:line="240" w:lineRule="auto"/>
      <w:ind w:firstLine="0" w:firstLineChars="0"/>
      <w:jc w:val="center"/>
      <w:outlineLvl w:val="1"/>
    </w:pPr>
    <w:rPr>
      <w:rFonts w:eastAsia="黑体"/>
      <w:b/>
      <w:sz w:val="30"/>
      <w:szCs w:val="30"/>
    </w:rPr>
  </w:style>
  <w:style w:type="paragraph" w:customStyle="1" w:styleId="279">
    <w:name w:val="Address"/>
    <w:basedOn w:val="1"/>
    <w:next w:val="1"/>
    <w:qFormat/>
    <w:uiPriority w:val="0"/>
    <w:pPr>
      <w:widowControl/>
      <w:autoSpaceDE w:val="0"/>
      <w:autoSpaceDN w:val="0"/>
      <w:adjustRightInd w:val="0"/>
      <w:jc w:val="left"/>
    </w:pPr>
    <w:rPr>
      <w:rFonts w:ascii="Times New Roman" w:hAnsi="Times New Roman"/>
      <w:i/>
      <w:kern w:val="0"/>
      <w:sz w:val="24"/>
      <w:szCs w:val="20"/>
    </w:rPr>
  </w:style>
  <w:style w:type="paragraph" w:customStyle="1" w:styleId="280">
    <w:name w:val="_Style 279"/>
    <w:basedOn w:val="3"/>
    <w:next w:val="1"/>
    <w:qFormat/>
    <w:uiPriority w:val="0"/>
    <w:pPr>
      <w:widowControl/>
      <w:spacing w:before="480" w:beforeLines="0" w:after="0" w:afterLines="0" w:line="276" w:lineRule="auto"/>
      <w:outlineLvl w:val="9"/>
    </w:pPr>
    <w:rPr>
      <w:rFonts w:ascii="Cambria" w:hAnsi="Cambria"/>
      <w:color w:val="365F91"/>
      <w:kern w:val="0"/>
    </w:rPr>
  </w:style>
  <w:style w:type="paragraph" w:customStyle="1" w:styleId="281">
    <w:name w:val="msonospacing"/>
    <w:qFormat/>
    <w:uiPriority w:val="0"/>
    <w:rPr>
      <w:rFonts w:ascii="Times New Roman" w:hAnsi="Times New Roman" w:eastAsia="Times New Roman" w:cs="Times New Roman"/>
      <w:kern w:val="2"/>
      <w:sz w:val="22"/>
      <w:lang w:val="en-US" w:eastAsia="zh-CN" w:bidi="ar-SA"/>
    </w:rPr>
  </w:style>
  <w:style w:type="paragraph" w:customStyle="1" w:styleId="282">
    <w:name w:val=" Char1 Char Char Char Char Char Char1"/>
    <w:basedOn w:val="1"/>
    <w:qFormat/>
    <w:uiPriority w:val="0"/>
    <w:rPr>
      <w:rFonts w:ascii="Times New Roman" w:hAnsi="Times New Roman"/>
      <w:szCs w:val="20"/>
    </w:rPr>
  </w:style>
  <w:style w:type="paragraph" w:customStyle="1" w:styleId="283">
    <w:name w:val="Char Char Char Char Char Char Char Char Char Char Char Char Char"/>
    <w:basedOn w:val="18"/>
    <w:qFormat/>
    <w:uiPriority w:val="0"/>
    <w:rPr>
      <w:rFonts w:ascii="Tahoma" w:hAnsi="Tahoma"/>
      <w:sz w:val="24"/>
      <w:szCs w:val="24"/>
      <w:shd w:val="clear" w:color="auto" w:fill="000080"/>
    </w:rPr>
  </w:style>
  <w:style w:type="paragraph" w:customStyle="1" w:styleId="284">
    <w:name w:val="Char Char Char1 Char"/>
    <w:basedOn w:val="18"/>
    <w:qFormat/>
    <w:uiPriority w:val="0"/>
    <w:rPr>
      <w:rFonts w:ascii="Tahoma" w:hAnsi="Tahoma"/>
      <w:sz w:val="24"/>
      <w:szCs w:val="24"/>
    </w:rPr>
  </w:style>
  <w:style w:type="paragraph" w:customStyle="1" w:styleId="285">
    <w:name w:val="Char5 Char Char Char Char Char Char Char Char Char Char Char Char Char Char Char Char Char Char Char Char1 Char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286">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287">
    <w:name w:val="日期1"/>
    <w:basedOn w:val="1"/>
    <w:next w:val="1"/>
    <w:qFormat/>
    <w:uiPriority w:val="0"/>
    <w:pPr>
      <w:suppressAutoHyphens/>
      <w:ind w:left="100"/>
    </w:pPr>
    <w:rPr>
      <w:rFonts w:ascii="Times New Roman" w:hAnsi="Times New Roman"/>
      <w:szCs w:val="20"/>
      <w:lang w:eastAsia="ar-SA"/>
    </w:rPr>
  </w:style>
  <w:style w:type="paragraph" w:customStyle="1" w:styleId="288">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9">
    <w:name w:val="样式 标题 2 + Times New Roman 四号 非加粗 段前: 5 磅 段后: 0 磅 行距: 固定值 20..."/>
    <w:basedOn w:val="6"/>
    <w:qFormat/>
    <w:uiPriority w:val="0"/>
    <w:pPr>
      <w:numPr>
        <w:ilvl w:val="0"/>
        <w:numId w:val="0"/>
      </w:numPr>
      <w:spacing w:before="100" w:beforeLines="0" w:after="0" w:afterLines="0" w:line="400" w:lineRule="exact"/>
      <w:jc w:val="both"/>
    </w:pPr>
    <w:rPr>
      <w:rFonts w:hint="eastAsia" w:ascii="Times New Roman" w:hAnsi="Times New Roman" w:eastAsia="黑体" w:cs="宋体"/>
      <w:color w:val="auto"/>
      <w:sz w:val="28"/>
      <w:szCs w:val="20"/>
    </w:rPr>
  </w:style>
  <w:style w:type="paragraph" w:customStyle="1" w:styleId="290">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1">
    <w:name w:val="标题1"/>
    <w:basedOn w:val="1"/>
    <w:next w:val="2"/>
    <w:qFormat/>
    <w:uiPriority w:val="0"/>
    <w:pPr>
      <w:keepNext/>
      <w:suppressAutoHyphens/>
      <w:spacing w:before="240" w:beforeLines="0" w:after="120" w:afterLines="0"/>
    </w:pPr>
    <w:rPr>
      <w:rFonts w:ascii="DejaVu Sans" w:hAnsi="DejaVu Sans" w:eastAsia="DejaVu Sans" w:cs="DejaVu Sans"/>
      <w:sz w:val="28"/>
      <w:szCs w:val="28"/>
      <w:lang w:eastAsia="ar-SA"/>
    </w:rPr>
  </w:style>
  <w:style w:type="paragraph" w:customStyle="1" w:styleId="292">
    <w:name w:val="批注文字1"/>
    <w:basedOn w:val="1"/>
    <w:qFormat/>
    <w:uiPriority w:val="0"/>
    <w:pPr>
      <w:suppressAutoHyphens/>
      <w:jc w:val="left"/>
    </w:pPr>
    <w:rPr>
      <w:rFonts w:ascii="Times New Roman" w:hAnsi="Times New Roman"/>
      <w:szCs w:val="20"/>
      <w:lang w:eastAsia="ar-SA"/>
    </w:rPr>
  </w:style>
  <w:style w:type="paragraph" w:customStyle="1" w:styleId="293">
    <w:name w:val="正文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4">
    <w:name w:val="正文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95">
    <w:name w:val="font0"/>
    <w:basedOn w:val="1"/>
    <w:qFormat/>
    <w:uiPriority w:val="0"/>
    <w:pPr>
      <w:widowControl/>
      <w:spacing w:before="100" w:beforeLines="0" w:beforeAutospacing="1" w:after="100" w:afterLines="0" w:afterAutospacing="1"/>
      <w:jc w:val="left"/>
    </w:pPr>
    <w:rPr>
      <w:rFonts w:ascii="宋体" w:hAnsi="宋体"/>
      <w:kern w:val="0"/>
      <w:sz w:val="24"/>
      <w:szCs w:val="24"/>
    </w:rPr>
  </w:style>
  <w:style w:type="paragraph" w:customStyle="1" w:styleId="296">
    <w:name w:val="msoquote"/>
    <w:basedOn w:val="1"/>
    <w:next w:val="1"/>
    <w:qFormat/>
    <w:uiPriority w:val="0"/>
    <w:pPr>
      <w:widowControl/>
      <w:jc w:val="left"/>
    </w:pPr>
    <w:rPr>
      <w:rFonts w:ascii="Times New Roman" w:hAnsi="Times New Roman"/>
      <w:i/>
      <w:kern w:val="0"/>
      <w:sz w:val="24"/>
    </w:rPr>
  </w:style>
  <w:style w:type="paragraph" w:customStyle="1" w:styleId="297">
    <w:name w:val="正文_1"/>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98">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9">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0">
    <w:name w:val="正文文本缩进 31"/>
    <w:basedOn w:val="1"/>
    <w:qFormat/>
    <w:uiPriority w:val="0"/>
    <w:pPr>
      <w:suppressAutoHyphens/>
      <w:spacing w:after="120" w:afterLines="0"/>
      <w:ind w:left="420"/>
    </w:pPr>
    <w:rPr>
      <w:rFonts w:ascii="Times New Roman" w:hAnsi="Times New Roman"/>
      <w:sz w:val="16"/>
      <w:szCs w:val="20"/>
      <w:lang w:eastAsia="ar-SA"/>
    </w:rPr>
  </w:style>
  <w:style w:type="paragraph" w:customStyle="1" w:styleId="301">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2">
    <w:name w:val="标题 3 Char Char"/>
    <w:qFormat/>
    <w:uiPriority w:val="0"/>
    <w:rPr>
      <w:rFonts w:ascii="宋体" w:hAnsi="宋体" w:eastAsia="宋体"/>
      <w:b/>
      <w:bCs/>
      <w:color w:val="FF0000"/>
      <w:kern w:val="2"/>
      <w:sz w:val="24"/>
      <w:szCs w:val="24"/>
      <w:lang w:val="zh-CN" w:eastAsia="zh-CN" w:bidi="ar-SA"/>
    </w:rPr>
  </w:style>
  <w:style w:type="character" w:customStyle="1" w:styleId="303">
    <w:name w:val="username"/>
    <w:qFormat/>
    <w:uiPriority w:val="0"/>
  </w:style>
  <w:style w:type="character" w:customStyle="1" w:styleId="304">
    <w:name w:val="title2"/>
    <w:qFormat/>
    <w:uiPriority w:val="0"/>
  </w:style>
  <w:style w:type="character" w:customStyle="1" w:styleId="305">
    <w:name w:val="msointensereference"/>
    <w:qFormat/>
    <w:uiPriority w:val="0"/>
    <w:rPr>
      <w:b/>
      <w:sz w:val="24"/>
      <w:u w:val="single"/>
    </w:rPr>
  </w:style>
  <w:style w:type="character" w:customStyle="1" w:styleId="306">
    <w:name w:val="font6"/>
    <w:qFormat/>
    <w:uiPriority w:val="0"/>
  </w:style>
  <w:style w:type="character" w:customStyle="1" w:styleId="307">
    <w:name w:val="Char Char10"/>
    <w:qFormat/>
    <w:uiPriority w:val="0"/>
    <w:rPr>
      <w:rFonts w:hint="default" w:ascii="Cambria" w:hAnsi="Cambria" w:eastAsia="宋体"/>
      <w:b/>
      <w:bCs/>
      <w:i/>
      <w:iCs/>
      <w:sz w:val="28"/>
      <w:szCs w:val="28"/>
    </w:rPr>
  </w:style>
  <w:style w:type="character" w:customStyle="1" w:styleId="308">
    <w:name w:val="Char Char16"/>
    <w:qFormat/>
    <w:uiPriority w:val="0"/>
    <w:rPr>
      <w:rFonts w:hint="default" w:ascii="Arial" w:hAnsi="Arial" w:eastAsia="黑体" w:cs="Arial"/>
      <w:b/>
      <w:bCs/>
      <w:sz w:val="24"/>
      <w:szCs w:val="24"/>
      <w:lang w:val="en-US" w:eastAsia="zh-CN" w:bidi="ar-SA"/>
    </w:rPr>
  </w:style>
  <w:style w:type="character" w:customStyle="1" w:styleId="309">
    <w:name w:val="WW8Num9z0"/>
    <w:qFormat/>
    <w:uiPriority w:val="0"/>
    <w:rPr>
      <w:rFonts w:hint="default" w:ascii="Wingdings" w:hAnsi="Wingdings"/>
    </w:rPr>
  </w:style>
  <w:style w:type="character" w:customStyle="1" w:styleId="310">
    <w:name w:val="副标题 Char3"/>
    <w:qFormat/>
    <w:uiPriority w:val="11"/>
    <w:rPr>
      <w:rFonts w:ascii="Cambria" w:hAnsi="Cambria" w:cs="Times New Roman"/>
      <w:b/>
      <w:bCs/>
      <w:kern w:val="28"/>
      <w:sz w:val="32"/>
      <w:szCs w:val="32"/>
    </w:rPr>
  </w:style>
  <w:style w:type="character" w:customStyle="1" w:styleId="311">
    <w:name w:val="明显引用 Char1"/>
    <w:qFormat/>
    <w:uiPriority w:val="0"/>
    <w:rPr>
      <w:rFonts w:hint="eastAsia" w:ascii="仿宋_GB2312" w:eastAsia="仿宋_GB2312"/>
      <w:b/>
      <w:bCs/>
      <w:i/>
      <w:iCs/>
      <w:color w:val="4F81BD"/>
      <w:kern w:val="2"/>
      <w:sz w:val="21"/>
      <w:szCs w:val="32"/>
    </w:rPr>
  </w:style>
  <w:style w:type="character" w:customStyle="1" w:styleId="312">
    <w:name w:val="正文首行缩进 Char Char"/>
    <w:qFormat/>
    <w:uiPriority w:val="0"/>
    <w:rPr>
      <w:rFonts w:ascii="宋体" w:eastAsia="宋体"/>
      <w:kern w:val="2"/>
      <w:sz w:val="34"/>
      <w:lang w:val="en-US" w:eastAsia="zh-CN" w:bidi="ar-SA"/>
    </w:rPr>
  </w:style>
  <w:style w:type="character" w:customStyle="1" w:styleId="313">
    <w:name w:val="批注框文本 Char Char"/>
    <w:qFormat/>
    <w:uiPriority w:val="0"/>
    <w:rPr>
      <w:kern w:val="2"/>
      <w:sz w:val="18"/>
      <w:szCs w:val="18"/>
    </w:rPr>
  </w:style>
  <w:style w:type="character" w:customStyle="1" w:styleId="314">
    <w:name w:val="font41"/>
    <w:qFormat/>
    <w:uiPriority w:val="0"/>
    <w:rPr>
      <w:rFonts w:hint="eastAsia" w:ascii="宋体" w:hAnsi="宋体" w:eastAsia="宋体"/>
      <w:strike/>
      <w:color w:val="000000"/>
      <w:sz w:val="24"/>
      <w:szCs w:val="24"/>
    </w:rPr>
  </w:style>
  <w:style w:type="character" w:customStyle="1" w:styleId="315">
    <w:name w:val="msosubtleemphasis"/>
    <w:qFormat/>
    <w:uiPriority w:val="0"/>
    <w:rPr>
      <w:i/>
      <w:color w:val="5A5A5A"/>
    </w:rPr>
  </w:style>
  <w:style w:type="character" w:customStyle="1" w:styleId="316">
    <w:name w:val="引用 Char1"/>
    <w:qFormat/>
    <w:uiPriority w:val="0"/>
    <w:rPr>
      <w:rFonts w:hint="eastAsia" w:ascii="仿宋_GB2312" w:eastAsia="仿宋_GB2312"/>
      <w:i/>
      <w:iCs/>
      <w:color w:val="000000"/>
      <w:kern w:val="2"/>
      <w:sz w:val="21"/>
      <w:szCs w:val="32"/>
    </w:rPr>
  </w:style>
  <w:style w:type="character" w:customStyle="1" w:styleId="317">
    <w:name w:val="标题 5 Char Char"/>
    <w:qFormat/>
    <w:uiPriority w:val="0"/>
    <w:rPr>
      <w:rFonts w:hint="eastAsia" w:ascii="仿宋_GB2312" w:eastAsia="仿宋_GB2312"/>
      <w:b/>
      <w:bCs/>
      <w:kern w:val="2"/>
      <w:sz w:val="28"/>
      <w:szCs w:val="28"/>
    </w:rPr>
  </w:style>
  <w:style w:type="character" w:customStyle="1" w:styleId="318">
    <w:name w:val="textcontents1"/>
    <w:qFormat/>
    <w:uiPriority w:val="0"/>
    <w:rPr>
      <w:color w:val="000000"/>
      <w:sz w:val="22"/>
      <w:szCs w:val="22"/>
    </w:rPr>
  </w:style>
  <w:style w:type="character" w:customStyle="1" w:styleId="319">
    <w:name w:val="标题 9 Char Char"/>
    <w:qFormat/>
    <w:uiPriority w:val="0"/>
    <w:rPr>
      <w:rFonts w:hint="default" w:ascii="Cambria" w:hAnsi="Cambria" w:eastAsia="宋体" w:cs="Times New Roman"/>
      <w:kern w:val="2"/>
      <w:sz w:val="21"/>
      <w:szCs w:val="21"/>
    </w:rPr>
  </w:style>
  <w:style w:type="character" w:customStyle="1" w:styleId="320">
    <w:name w:val="副标题 Char2"/>
    <w:qFormat/>
    <w:uiPriority w:val="0"/>
    <w:rPr>
      <w:rFonts w:hint="default" w:ascii="Cambria" w:hAnsi="Cambria" w:cs="Times New Roman"/>
      <w:b/>
      <w:bCs/>
      <w:kern w:val="28"/>
      <w:sz w:val="32"/>
      <w:szCs w:val="32"/>
    </w:rPr>
  </w:style>
  <w:style w:type="character" w:customStyle="1" w:styleId="321">
    <w:name w:val="Char Char23"/>
    <w:qFormat/>
    <w:uiPriority w:val="0"/>
    <w:rPr>
      <w:rFonts w:hint="default" w:ascii="Times New Roman" w:hAnsi="Times New Roman" w:cs="Times New Roman"/>
      <w:b/>
      <w:color w:val="000000"/>
      <w:kern w:val="2"/>
      <w:sz w:val="24"/>
      <w:szCs w:val="24"/>
    </w:rPr>
  </w:style>
  <w:style w:type="character" w:customStyle="1" w:styleId="322">
    <w:name w:val="页脚 Char Char"/>
    <w:qFormat/>
    <w:uiPriority w:val="0"/>
    <w:rPr>
      <w:sz w:val="18"/>
      <w:szCs w:val="18"/>
    </w:rPr>
  </w:style>
  <w:style w:type="character" w:customStyle="1" w:styleId="323">
    <w:name w:val="正文文本缩进 3 Char Char"/>
    <w:qFormat/>
    <w:uiPriority w:val="0"/>
    <w:rPr>
      <w:kern w:val="2"/>
      <w:sz w:val="16"/>
      <w:szCs w:val="16"/>
    </w:rPr>
  </w:style>
  <w:style w:type="character" w:customStyle="1" w:styleId="324">
    <w:name w:val="title24"/>
    <w:qFormat/>
    <w:uiPriority w:val="0"/>
  </w:style>
  <w:style w:type="character" w:customStyle="1" w:styleId="325">
    <w:name w:val="正文文本缩进 2 Char Char"/>
    <w:qFormat/>
    <w:uiPriority w:val="0"/>
    <w:rPr>
      <w:rFonts w:hint="default" w:ascii="Times New Roman" w:hAnsi="Times New Roman" w:cs="Times New Roman"/>
      <w:color w:val="000000"/>
      <w:sz w:val="24"/>
    </w:rPr>
  </w:style>
  <w:style w:type="character" w:customStyle="1" w:styleId="326">
    <w:name w:val="rightspan"/>
    <w:qFormat/>
    <w:uiPriority w:val="0"/>
  </w:style>
  <w:style w:type="character" w:customStyle="1" w:styleId="327">
    <w:name w:val="WW8Num4z0"/>
    <w:qFormat/>
    <w:uiPriority w:val="0"/>
    <w:rPr>
      <w:rFonts w:hint="default" w:ascii="Courier New" w:hAnsi="Courier New" w:cs="Courier New"/>
      <w:sz w:val="22"/>
    </w:rPr>
  </w:style>
  <w:style w:type="character" w:customStyle="1" w:styleId="328">
    <w:name w:val="样式 正文缩进正文（首行缩进两字）特点ALT+Z表正文正文非缩进四号段1Normal Indent Char2... Char Char"/>
    <w:qFormat/>
    <w:uiPriority w:val="0"/>
    <w:rPr>
      <w:rFonts w:hint="eastAsia" w:ascii="宋体" w:hAnsi="宋体" w:eastAsia="黑体"/>
      <w:b/>
      <w:sz w:val="32"/>
      <w:lang w:val="en-US" w:eastAsia="zh-CN"/>
    </w:rPr>
  </w:style>
  <w:style w:type="character" w:customStyle="1" w:styleId="329">
    <w:name w:val="Char Char15"/>
    <w:qFormat/>
    <w:uiPriority w:val="0"/>
  </w:style>
  <w:style w:type="character" w:customStyle="1" w:styleId="330">
    <w:name w:val="标题 Char3"/>
    <w:qFormat/>
    <w:uiPriority w:val="0"/>
    <w:rPr>
      <w:rFonts w:hint="default" w:ascii="Cambria" w:hAnsi="Cambria" w:cs="Times New Roman"/>
      <w:b/>
      <w:bCs/>
      <w:kern w:val="2"/>
      <w:sz w:val="32"/>
      <w:szCs w:val="32"/>
    </w:rPr>
  </w:style>
  <w:style w:type="character" w:customStyle="1" w:styleId="331">
    <w:name w:val="Char Char8"/>
    <w:qFormat/>
    <w:uiPriority w:val="0"/>
    <w:rPr>
      <w:rFonts w:hint="default" w:ascii="Arial" w:hAnsi="Arial" w:eastAsia="黑体" w:cs="Arial"/>
      <w:b/>
      <w:bCs/>
      <w:kern w:val="2"/>
      <w:sz w:val="32"/>
      <w:szCs w:val="32"/>
      <w:lang w:val="en-US" w:eastAsia="zh-CN" w:bidi="ar-SA"/>
    </w:rPr>
  </w:style>
  <w:style w:type="character" w:customStyle="1" w:styleId="332">
    <w:name w:val="明显引用 Char2"/>
    <w:qFormat/>
    <w:uiPriority w:val="99"/>
    <w:rPr>
      <w:b/>
      <w:bCs/>
      <w:i/>
      <w:iCs/>
      <w:color w:val="4F81BD"/>
      <w:kern w:val="2"/>
      <w:sz w:val="21"/>
      <w:szCs w:val="22"/>
    </w:rPr>
  </w:style>
  <w:style w:type="character" w:customStyle="1" w:styleId="333">
    <w:name w:val="副标题 Char1"/>
    <w:qFormat/>
    <w:uiPriority w:val="0"/>
    <w:rPr>
      <w:rFonts w:hint="default" w:ascii="Cambria" w:hAnsi="Cambria" w:cs="Times New Roman"/>
      <w:b/>
      <w:bCs/>
      <w:kern w:val="28"/>
      <w:sz w:val="32"/>
      <w:szCs w:val="32"/>
    </w:rPr>
  </w:style>
  <w:style w:type="character" w:customStyle="1" w:styleId="334">
    <w:name w:val="正文文本 3 Char1"/>
    <w:semiHidden/>
    <w:qFormat/>
    <w:uiPriority w:val="99"/>
    <w:rPr>
      <w:kern w:val="2"/>
      <w:sz w:val="16"/>
      <w:szCs w:val="16"/>
    </w:rPr>
  </w:style>
  <w:style w:type="character" w:customStyle="1" w:styleId="335">
    <w:name w:val="font31"/>
    <w:qFormat/>
    <w:uiPriority w:val="0"/>
    <w:rPr>
      <w:rFonts w:hint="eastAsia" w:ascii="宋体" w:hAnsi="宋体" w:eastAsia="宋体"/>
      <w:color w:val="000000"/>
      <w:sz w:val="24"/>
      <w:szCs w:val="24"/>
      <w:u w:val="single"/>
    </w:rPr>
  </w:style>
  <w:style w:type="character" w:customStyle="1" w:styleId="336">
    <w:name w:val="纯文本 Char Char"/>
    <w:qFormat/>
    <w:uiPriority w:val="0"/>
    <w:rPr>
      <w:rFonts w:ascii="宋体" w:hAnsi="Courier New"/>
      <w:kern w:val="2"/>
      <w:sz w:val="24"/>
    </w:rPr>
  </w:style>
  <w:style w:type="character" w:customStyle="1" w:styleId="337">
    <w:name w:val="文一 Char"/>
    <w:qFormat/>
    <w:uiPriority w:val="0"/>
    <w:rPr>
      <w:spacing w:val="4"/>
      <w:sz w:val="24"/>
      <w:szCs w:val="24"/>
    </w:rPr>
  </w:style>
  <w:style w:type="character" w:customStyle="1" w:styleId="338">
    <w:name w:val="msosubtlereference"/>
    <w:qFormat/>
    <w:uiPriority w:val="0"/>
    <w:rPr>
      <w:sz w:val="30"/>
      <w:szCs w:val="24"/>
      <w:u w:val="none"/>
    </w:rPr>
  </w:style>
  <w:style w:type="character" w:customStyle="1" w:styleId="339">
    <w:name w:val="默认段落字体1"/>
    <w:qFormat/>
    <w:uiPriority w:val="0"/>
  </w:style>
  <w:style w:type="character" w:customStyle="1" w:styleId="340">
    <w:name w:val="页眉 Char Char"/>
    <w:qFormat/>
    <w:uiPriority w:val="0"/>
    <w:rPr>
      <w:sz w:val="18"/>
      <w:szCs w:val="18"/>
    </w:rPr>
  </w:style>
  <w:style w:type="character" w:customStyle="1" w:styleId="341">
    <w:name w:val="引用 Char2"/>
    <w:qFormat/>
    <w:uiPriority w:val="99"/>
    <w:rPr>
      <w:i/>
      <w:iCs/>
      <w:color w:val="000000"/>
      <w:kern w:val="2"/>
      <w:sz w:val="21"/>
      <w:szCs w:val="22"/>
    </w:rPr>
  </w:style>
  <w:style w:type="character" w:customStyle="1" w:styleId="342">
    <w:name w:val="Char Char Char"/>
    <w:qFormat/>
    <w:uiPriority w:val="0"/>
    <w:rPr>
      <w:rFonts w:hint="eastAsia" w:ascii="楷体_GB2312" w:eastAsia="楷体_GB2312"/>
      <w:b/>
      <w:kern w:val="2"/>
      <w:sz w:val="21"/>
    </w:rPr>
  </w:style>
  <w:style w:type="character" w:customStyle="1" w:styleId="343">
    <w:name w:val="标题 2 Char1"/>
    <w:qFormat/>
    <w:uiPriority w:val="0"/>
    <w:rPr>
      <w:rFonts w:hint="default" w:ascii="Arial" w:hAnsi="Arial" w:eastAsia="黑体" w:cs="Arial"/>
      <w:b/>
      <w:bCs/>
      <w:sz w:val="32"/>
      <w:szCs w:val="32"/>
    </w:rPr>
  </w:style>
  <w:style w:type="character" w:customStyle="1" w:styleId="344">
    <w:name w:val="正文文本 Char1"/>
    <w:qFormat/>
    <w:uiPriority w:val="0"/>
    <w:rPr>
      <w:rFonts w:hint="eastAsia" w:ascii="仿宋_GB2312" w:eastAsia="宋体"/>
      <w:kern w:val="2"/>
      <w:sz w:val="21"/>
      <w:szCs w:val="32"/>
      <w:lang w:val="en-US" w:eastAsia="zh-CN" w:bidi="ar-SA"/>
    </w:rPr>
  </w:style>
  <w:style w:type="character" w:customStyle="1" w:styleId="345">
    <w:name w:val="Char Char24"/>
    <w:qFormat/>
    <w:uiPriority w:val="0"/>
    <w:rPr>
      <w:rFonts w:hint="default" w:ascii="Arial" w:hAnsi="Arial" w:cs="Times New Roman"/>
      <w:b/>
      <w:color w:val="000000"/>
      <w:kern w:val="2"/>
      <w:sz w:val="24"/>
      <w:szCs w:val="24"/>
    </w:rPr>
  </w:style>
  <w:style w:type="character" w:customStyle="1" w:styleId="346">
    <w:name w:val="普通文字 Char Char"/>
    <w:qFormat/>
    <w:uiPriority w:val="0"/>
    <w:rPr>
      <w:rFonts w:hint="default" w:ascii="Courier New" w:hAnsi="Courier New" w:eastAsia="宋体" w:cs="Proxy 9"/>
      <w:kern w:val="2"/>
      <w:sz w:val="21"/>
      <w:lang w:val="en-US" w:eastAsia="zh-CN" w:bidi="ar-SA"/>
    </w:rPr>
  </w:style>
  <w:style w:type="character" w:customStyle="1" w:styleId="347">
    <w:name w:val="Char Char11"/>
    <w:qFormat/>
    <w:uiPriority w:val="0"/>
    <w:rPr>
      <w:rFonts w:hint="default" w:ascii="Cambria" w:hAnsi="Cambria" w:eastAsia="宋体"/>
      <w:b/>
      <w:bCs/>
      <w:kern w:val="32"/>
      <w:sz w:val="32"/>
      <w:szCs w:val="32"/>
    </w:rPr>
  </w:style>
  <w:style w:type="character" w:customStyle="1" w:styleId="348">
    <w:name w:val="WW8Num1z0"/>
    <w:qFormat/>
    <w:uiPriority w:val="0"/>
    <w:rPr>
      <w:sz w:val="24"/>
    </w:rPr>
  </w:style>
  <w:style w:type="character" w:customStyle="1" w:styleId="349">
    <w:name w:val="font21"/>
    <w:qFormat/>
    <w:uiPriority w:val="0"/>
    <w:rPr>
      <w:rFonts w:hint="eastAsia" w:ascii="宋体" w:hAnsi="宋体" w:eastAsia="宋体"/>
      <w:color w:val="000000"/>
      <w:sz w:val="24"/>
      <w:szCs w:val="24"/>
      <w:u w:val="none"/>
    </w:rPr>
  </w:style>
  <w:style w:type="character" w:customStyle="1" w:styleId="350">
    <w:name w:val="textcontents"/>
    <w:qFormat/>
    <w:uiPriority w:val="0"/>
  </w:style>
  <w:style w:type="character" w:customStyle="1" w:styleId="351">
    <w:name w:val="style6"/>
    <w:qFormat/>
    <w:uiPriority w:val="0"/>
  </w:style>
  <w:style w:type="character" w:customStyle="1" w:styleId="352">
    <w:name w:val="Endnote Text Char"/>
    <w:qFormat/>
    <w:uiPriority w:val="0"/>
    <w:rPr>
      <w:rFonts w:hint="default" w:ascii="Times New Roman" w:hAnsi="Times New Roman" w:cs="Times New Roman"/>
      <w:kern w:val="2"/>
      <w:sz w:val="21"/>
    </w:rPr>
  </w:style>
  <w:style w:type="character" w:customStyle="1" w:styleId="353">
    <w:name w:val="Variable"/>
    <w:qFormat/>
    <w:uiPriority w:val="0"/>
    <w:rPr>
      <w:i/>
    </w:rPr>
  </w:style>
  <w:style w:type="character" w:customStyle="1" w:styleId="354">
    <w:name w:val="Char Char2"/>
    <w:qFormat/>
    <w:uiPriority w:val="0"/>
    <w:rPr>
      <w:rFonts w:hint="eastAsia" w:ascii="宋体" w:hAnsi="宋体" w:eastAsia="宋体"/>
      <w:kern w:val="2"/>
      <w:sz w:val="21"/>
      <w:szCs w:val="24"/>
      <w:lang w:val="en-US" w:eastAsia="zh-CN" w:bidi="ar-SA"/>
    </w:rPr>
  </w:style>
  <w:style w:type="character" w:customStyle="1" w:styleId="355">
    <w:name w:val="标题 1 Char_0"/>
    <w:qFormat/>
    <w:uiPriority w:val="0"/>
    <w:rPr>
      <w:rFonts w:ascii="仿宋_GB2312" w:hAnsi="宋体" w:eastAsia="仿宋_GB2312" w:cs="宋体"/>
      <w:b/>
      <w:bCs/>
      <w:kern w:val="2"/>
      <w:sz w:val="30"/>
      <w:szCs w:val="30"/>
      <w:lang w:val="en-US" w:eastAsia="zh-CN" w:bidi="ar-SA"/>
    </w:rPr>
  </w:style>
  <w:style w:type="character" w:customStyle="1" w:styleId="356">
    <w:name w:val="批注主题 Char Char"/>
    <w:qFormat/>
    <w:uiPriority w:val="0"/>
    <w:rPr>
      <w:rFonts w:hint="default" w:ascii="Times New Roman" w:hAnsi="Times New Roman" w:cs="Times New Roman"/>
      <w:b/>
      <w:bCs/>
      <w:kern w:val="2"/>
      <w:sz w:val="21"/>
      <w:szCs w:val="24"/>
    </w:rPr>
  </w:style>
  <w:style w:type="character" w:customStyle="1" w:styleId="357">
    <w:name w:val="标题 Char Char Char"/>
    <w:qFormat/>
    <w:uiPriority w:val="0"/>
    <w:rPr>
      <w:rFonts w:hint="default" w:ascii="Arial" w:hAnsi="Arial" w:cs="Arial"/>
      <w:b/>
      <w:sz w:val="32"/>
    </w:rPr>
  </w:style>
  <w:style w:type="character" w:customStyle="1" w:styleId="358">
    <w:name w:val="纯文本 Char1"/>
    <w:qFormat/>
    <w:uiPriority w:val="0"/>
    <w:rPr>
      <w:rFonts w:ascii="宋体" w:hAnsi="Courier New" w:eastAsia="宋体"/>
      <w:kern w:val="2"/>
      <w:sz w:val="21"/>
      <w:lang w:bidi="ar-SA"/>
    </w:rPr>
  </w:style>
  <w:style w:type="character" w:customStyle="1" w:styleId="359">
    <w:name w:val="WW8Num8z0"/>
    <w:qFormat/>
    <w:uiPriority w:val="0"/>
    <w:rPr>
      <w:sz w:val="24"/>
    </w:rPr>
  </w:style>
  <w:style w:type="character" w:customStyle="1" w:styleId="360">
    <w:name w:val="尾注文本 Char Char Char"/>
    <w:qFormat/>
    <w:uiPriority w:val="0"/>
    <w:rPr>
      <w:kern w:val="2"/>
      <w:sz w:val="21"/>
      <w:szCs w:val="24"/>
    </w:rPr>
  </w:style>
  <w:style w:type="character" w:customStyle="1" w:styleId="361">
    <w:name w:val="WW8Num15z1"/>
    <w:qFormat/>
    <w:uiPriority w:val="0"/>
    <w:rPr>
      <w:rFonts w:hint="default" w:ascii="Times New Roman" w:hAnsi="Times New Roman" w:cs="Times New Roman"/>
      <w:color w:val="auto"/>
    </w:rPr>
  </w:style>
  <w:style w:type="character" w:customStyle="1" w:styleId="362">
    <w:name w:val="msobooktitle"/>
    <w:qFormat/>
    <w:uiPriority w:val="0"/>
    <w:rPr>
      <w:rFonts w:hint="default" w:ascii="Cambria" w:hAnsi="Cambria" w:eastAsia="宋体"/>
      <w:b/>
      <w:i/>
      <w:sz w:val="24"/>
      <w:szCs w:val="24"/>
    </w:rPr>
  </w:style>
  <w:style w:type="character" w:customStyle="1" w:styleId="363">
    <w:name w:val="WW8Num3z0"/>
    <w:qFormat/>
    <w:uiPriority w:val="0"/>
    <w:rPr>
      <w:sz w:val="24"/>
      <w:szCs w:val="24"/>
    </w:rPr>
  </w:style>
  <w:style w:type="character" w:customStyle="1" w:styleId="364">
    <w:name w:val="font7"/>
    <w:qFormat/>
    <w:uiPriority w:val="0"/>
  </w:style>
  <w:style w:type="character" w:customStyle="1" w:styleId="365">
    <w:name w:val="font161"/>
    <w:qFormat/>
    <w:uiPriority w:val="0"/>
    <w:rPr>
      <w:b/>
      <w:bCs/>
      <w:sz w:val="32"/>
      <w:szCs w:val="32"/>
    </w:rPr>
  </w:style>
  <w:style w:type="character" w:customStyle="1" w:styleId="366">
    <w:name w:val="日期 Char Char"/>
    <w:qFormat/>
    <w:uiPriority w:val="0"/>
    <w:rPr>
      <w:kern w:val="2"/>
      <w:sz w:val="24"/>
    </w:rPr>
  </w:style>
  <w:style w:type="character" w:customStyle="1" w:styleId="367">
    <w:name w:val="标题 Char Char"/>
    <w:qFormat/>
    <w:uiPriority w:val="0"/>
    <w:rPr>
      <w:rFonts w:hint="default" w:ascii="Arial" w:hAnsi="Arial" w:eastAsia="楷体_GB2312" w:cs="Arial"/>
      <w:b/>
      <w:kern w:val="2"/>
      <w:sz w:val="44"/>
      <w:szCs w:val="24"/>
      <w:lang w:val="en-US" w:eastAsia="zh-CN" w:bidi="ar-SA"/>
    </w:rPr>
  </w:style>
  <w:style w:type="character" w:customStyle="1" w:styleId="368">
    <w:name w:val="标题 Char1"/>
    <w:qFormat/>
    <w:uiPriority w:val="0"/>
    <w:rPr>
      <w:rFonts w:hint="default" w:ascii="Arial" w:hAnsi="Arial" w:cs="Arial"/>
      <w:b/>
      <w:sz w:val="44"/>
    </w:rPr>
  </w:style>
  <w:style w:type="character" w:customStyle="1" w:styleId="369">
    <w:name w:val="msointenseemphasis"/>
    <w:qFormat/>
    <w:uiPriority w:val="0"/>
    <w:rPr>
      <w:b/>
      <w:i/>
      <w:sz w:val="24"/>
      <w:szCs w:val="24"/>
      <w:u w:val="single"/>
    </w:rPr>
  </w:style>
  <w:style w:type="character" w:customStyle="1" w:styleId="370">
    <w:name w:val="标题 1 Char Char"/>
    <w:qFormat/>
    <w:uiPriority w:val="0"/>
    <w:rPr>
      <w:rFonts w:hint="eastAsia" w:ascii="仿宋_GB2312" w:eastAsia="仿宋_GB2312"/>
      <w:b/>
      <w:bCs/>
      <w:kern w:val="44"/>
      <w:sz w:val="44"/>
      <w:szCs w:val="44"/>
    </w:rPr>
  </w:style>
  <w:style w:type="character" w:customStyle="1" w:styleId="371">
    <w:name w:val="列出段落 Char"/>
    <w:qFormat/>
    <w:uiPriority w:val="0"/>
    <w:rPr>
      <w:kern w:val="2"/>
      <w:sz w:val="21"/>
    </w:rPr>
  </w:style>
  <w:style w:type="character" w:customStyle="1" w:styleId="372">
    <w:name w:val="Char Char25"/>
    <w:qFormat/>
    <w:uiPriority w:val="0"/>
    <w:rPr>
      <w:rFonts w:hint="default" w:ascii="Arial" w:hAnsi="Arial" w:cs="Arial"/>
      <w:b/>
      <w:bCs/>
      <w:color w:val="000000"/>
      <w:kern w:val="44"/>
      <w:sz w:val="30"/>
      <w:szCs w:val="3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8.emf"/><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emf"/><Relationship Id="rId17" Type="http://schemas.openxmlformats.org/officeDocument/2006/relationships/image" Target="media/image4.emf"/><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153</Pages>
  <Words>106137</Words>
  <Characters>111206</Characters>
  <Lines>876</Lines>
  <Paragraphs>246</Paragraphs>
  <TotalTime>25</TotalTime>
  <ScaleCrop>false</ScaleCrop>
  <LinksUpToDate>false</LinksUpToDate>
  <CharactersWithSpaces>116421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2022-07-03T10:59:00Z</dcterms:created>
  <dc:creator>管理员</dc:creator>
  <cp:lastModifiedBy>Windows</cp:lastModifiedBy>
  <cp:lastPrinted>2020-09-01T05:27:00Z</cp:lastPrinted>
  <dcterms:modified xsi:type="dcterms:W3CDTF">2023-04-18T05:50:46Z</dcterms:modified>
  <dc:title>福山村、福洞村安置区建设工程土石方工程施工总承包</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8F0CD24018CA46488B2EB8FE5DECA09B_13</vt:lpwstr>
  </property>
</Properties>
</file>