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新城建示范及智能建筑产业园（一期）工程设计专项与智能化问题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(第7次）（按设计提供《新城建示范及智能建筑产业园（一期）工程_新城建专项及智能化设计图纸全专业汇总-20221125》）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（共8条答疑）</w:t>
      </w:r>
    </w:p>
    <w:p>
      <w:pPr>
        <w:ind w:right="482"/>
        <w:jc w:val="right"/>
        <w:rPr>
          <w:rFonts w:ascii="宋体" w:hAnsi="宋体" w:eastAsia="宋体" w:cs="宋体"/>
          <w:b/>
          <w:sz w:val="24"/>
        </w:rPr>
      </w:pPr>
    </w:p>
    <w:p>
      <w:pPr>
        <w:ind w:right="482"/>
        <w:jc w:val="right"/>
        <w:rPr>
          <w:rFonts w:ascii="宋体" w:hAnsi="宋体" w:eastAsia="宋体" w:cs="宋体"/>
          <w:b/>
          <w:sz w:val="24"/>
        </w:rPr>
      </w:pPr>
      <w:r>
        <w:rPr>
          <w:rFonts w:ascii="Calibri" w:hAnsi="Calibri" w:eastAsia="宋体" w:cs="Times New Roman"/>
          <w:b/>
          <w:sz w:val="32"/>
          <w:szCs w:val="32"/>
          <w:lang w:bidi="ar"/>
        </w:rPr>
        <w:t>202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3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年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3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月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2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日</w:t>
      </w:r>
    </w:p>
    <w:p>
      <w:pPr>
        <w:jc w:val="left"/>
        <w:rPr>
          <w:b/>
          <w:sz w:val="32"/>
          <w:szCs w:val="32"/>
        </w:rPr>
      </w:pP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请设计补充指挥中心座椅等家具点位图和设备表</w:t>
      </w: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回复：补充指挥中心座椅家具布置，仅做参考，最终，以精装图纸布置为准。设备表详图纸ES-P-B-SH002。</w:t>
      </w:r>
    </w:p>
    <w:p>
      <w:pPr>
        <w:pStyle w:val="4"/>
        <w:widowControl/>
        <w:numPr>
          <w:ilvl w:val="0"/>
          <w:numId w:val="2"/>
        </w:numPr>
        <w:spacing w:beforeAutospacing="0" w:afterAutospacing="0"/>
        <w:rPr>
          <w:rFonts w:ascii="宋体" w:hAnsi="宋体" w:cs="宋体"/>
          <w:kern w:val="2"/>
          <w:sz w:val="32"/>
          <w:szCs w:val="32"/>
          <w:lang w:bidi="ar"/>
        </w:rPr>
      </w:pPr>
      <w:r>
        <w:rPr>
          <w:rFonts w:hint="eastAsia" w:ascii="宋体" w:hAnsi="宋体" w:cs="宋体"/>
          <w:kern w:val="2"/>
          <w:sz w:val="32"/>
          <w:szCs w:val="32"/>
          <w:lang w:bidi="ar"/>
        </w:rPr>
        <w:t>请设计补充光储直柔系统平面图和系统图</w:t>
      </w:r>
      <w:r>
        <w:drawing>
          <wp:inline distT="0" distB="0" distL="114300" distR="114300">
            <wp:extent cx="5479415" cy="4046855"/>
            <wp:effectExtent l="0" t="0" r="6985" b="1079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9415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回复：现有图纸中已有直流低压配电系统图、直流配电柜至楼层直流配电箱干线图、楼层直流配电箱系统图等，已完全满足或超过国家初设深度设计要求，其余系统图和平面图由施工图设计单位完成。</w:t>
      </w:r>
    </w:p>
    <w:p>
      <w:pPr>
        <w:pStyle w:val="4"/>
        <w:widowControl/>
        <w:numPr>
          <w:ilvl w:val="0"/>
          <w:numId w:val="2"/>
        </w:numPr>
        <w:spacing w:beforeAutospacing="0" w:afterAutospacing="0"/>
        <w:rPr>
          <w:rFonts w:ascii="宋体" w:hAnsi="宋体" w:cs="宋体"/>
          <w:sz w:val="32"/>
          <w:szCs w:val="32"/>
          <w:lang w:bidi="ar"/>
        </w:rPr>
      </w:pPr>
      <w:r>
        <w:rPr>
          <w:rFonts w:hint="eastAsia" w:ascii="宋体" w:hAnsi="宋体" w:cs="宋体"/>
          <w:kern w:val="2"/>
          <w:sz w:val="32"/>
          <w:szCs w:val="32"/>
          <w:lang w:bidi="ar"/>
        </w:rPr>
        <w:t>请设计补充中央空调计费系统平面图和系统图</w:t>
      </w:r>
    </w:p>
    <w:p>
      <w:pPr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bidi="ar"/>
        </w:rPr>
        <w:t>中央空调计费系统与中央空调群控系统均由能源站统一完成，不在本次设计范围内。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请甲方明确中心机房内配电，装修等是否在总包范围</w:t>
      </w:r>
    </w:p>
    <w:p>
      <w:pPr>
        <w:jc w:val="left"/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回复：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  <w:lang w:val="en-US" w:eastAsia="zh-CN"/>
        </w:rPr>
        <w:t>总包仅包含中心机房的墙面及顶棚无机涂料，地面防静电架空地板。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cs="宋体"/>
          <w:sz w:val="32"/>
          <w:szCs w:val="32"/>
          <w:lang w:bidi="ar"/>
        </w:rPr>
        <w:t>请设计明确电梯安全检测系统与电梯险情系统是否为同一系统？</w:t>
      </w:r>
      <w:r>
        <w:drawing>
          <wp:inline distT="0" distB="0" distL="114300" distR="114300">
            <wp:extent cx="5480685" cy="2588895"/>
            <wp:effectExtent l="0" t="0" r="571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85765" cy="7073900"/>
            <wp:effectExtent l="0" t="0" r="63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707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  <w:sz w:val="32"/>
          <w:szCs w:val="32"/>
          <w:highlight w:val="yellow"/>
          <w:lang w:bidi="ar"/>
        </w:rPr>
      </w:pPr>
      <w:r>
        <w:rPr>
          <w:rFonts w:hint="eastAsia" w:eastAsia="宋体"/>
          <w:sz w:val="32"/>
          <w:szCs w:val="32"/>
          <w:highlight w:val="yellow"/>
        </w:rPr>
        <w:t>回复：设计仅包含电梯安全检测系统，是由两个系统综合完成的相关功能。其中，电梯监控系统完成对电梯状态实施监测等功能，电梯险情监测针对的是对电梯内困人的报警。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cs="宋体"/>
          <w:sz w:val="32"/>
          <w:szCs w:val="32"/>
          <w:lang w:bidi="ar"/>
        </w:rPr>
        <w:t>请设计明确中央空调计费系统与中央空调群控系统是否为同一系统？</w:t>
      </w:r>
    </w:p>
    <w:p>
      <w:pPr>
        <w:jc w:val="left"/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/>
        </w:rPr>
        <w:drawing>
          <wp:inline distT="0" distB="0" distL="114300" distR="114300">
            <wp:extent cx="5480050" cy="3602990"/>
            <wp:effectExtent l="0" t="0" r="6350" b="16510"/>
            <wp:docPr id="3" name="图片 3" descr="8ff43e74484b1e6327ee60d9f0071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ff43e74484b1e6327ee60d9f0071f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005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bidi="ar"/>
        </w:rPr>
        <w:t>中央空调计费系统与中央空调群控系统均由能源站统一完成，不在本次设计范围内。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sz w:val="32"/>
          <w:szCs w:val="32"/>
          <w:highlight w:val="yellow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据第6次答疑设计院回复，汇流柜至地下直流配电房的电缆规格</w:t>
      </w:r>
      <w:r>
        <w:rPr>
          <w:rFonts w:hint="eastAsia" w:ascii="宋体" w:hAnsi="宋体" w:eastAsia="宋体" w:cs="宋体"/>
          <w:kern w:val="0"/>
          <w:sz w:val="32"/>
          <w:szCs w:val="32"/>
        </w:rPr>
        <w:t xml:space="preserve">见“直流配电系统图（一）~（六） </w:t>
      </w:r>
      <w:r>
        <w:rPr>
          <w:rFonts w:ascii="宋体" w:hAnsi="宋体" w:eastAsia="宋体" w:cs="宋体"/>
          <w:kern w:val="0"/>
          <w:sz w:val="32"/>
          <w:szCs w:val="32"/>
        </w:rPr>
        <w:t>E-P-DS001~DS006</w:t>
      </w:r>
      <w:r>
        <w:rPr>
          <w:rFonts w:hint="eastAsia" w:ascii="宋体" w:hAnsi="宋体" w:eastAsia="宋体" w:cs="宋体"/>
          <w:kern w:val="0"/>
          <w:sz w:val="32"/>
          <w:szCs w:val="32"/>
        </w:rPr>
        <w:t>”，而系统图（一）~（六）中未直接显示接至</w:t>
      </w:r>
      <w:r>
        <w:rPr>
          <w:rFonts w:hint="eastAsia" w:ascii="宋体" w:hAnsi="宋体" w:eastAsia="宋体" w:cs="宋体"/>
          <w:sz w:val="32"/>
          <w:szCs w:val="32"/>
          <w:lang w:bidi="ar"/>
        </w:rPr>
        <w:t>汇流柜的电缆规格型号</w:t>
      </w:r>
      <w:r>
        <w:rPr>
          <w:rFonts w:hint="eastAsia" w:ascii="宋体" w:hAnsi="宋体" w:eastAsia="宋体" w:cs="宋体"/>
          <w:kern w:val="0"/>
          <w:sz w:val="32"/>
          <w:szCs w:val="32"/>
        </w:rPr>
        <w:t>，请指出具体图纸位置。</w:t>
      </w:r>
      <w:r>
        <w:drawing>
          <wp:inline distT="0" distB="0" distL="114300" distR="114300">
            <wp:extent cx="5481320" cy="2430780"/>
            <wp:effectExtent l="0" t="0" r="5080" b="76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 xml:space="preserve">回复：详“直流配电系统图（一）~（六） </w:t>
      </w:r>
      <w:r>
        <w:rPr>
          <w:rFonts w:ascii="宋体" w:hAnsi="宋体" w:eastAsia="宋体" w:cs="宋体"/>
          <w:kern w:val="0"/>
          <w:sz w:val="32"/>
          <w:szCs w:val="32"/>
          <w:highlight w:val="yellow"/>
        </w:rPr>
        <w:t>E-P-DS001~DS006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”中的如下截图部分：</w:t>
      </w:r>
    </w:p>
    <w:p>
      <w:pPr>
        <w:jc w:val="left"/>
        <w:rPr>
          <w:rFonts w:hint="eastAsia" w:ascii="宋体" w:hAnsi="宋体" w:eastAsia="宋体" w:cs="宋体"/>
          <w:sz w:val="32"/>
          <w:szCs w:val="32"/>
          <w:lang w:bidi="ar"/>
        </w:rPr>
      </w:pPr>
      <w:r>
        <w:rPr>
          <w:rFonts w:ascii="宋体" w:hAnsi="宋体" w:eastAsia="宋体" w:cs="宋体"/>
          <w:sz w:val="32"/>
          <w:szCs w:val="32"/>
        </w:rPr>
        <w:drawing>
          <wp:inline distT="0" distB="0" distL="0" distR="0">
            <wp:extent cx="5486400" cy="3591560"/>
            <wp:effectExtent l="0" t="0" r="0" b="8890"/>
            <wp:docPr id="6" name="图片 6" descr="C:\Users\LIF3\Documents\WeChat Files\wxid_03u6ctl0w8f322\FileStorage\Temp\16778302460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LIF3\Documents\WeChat Files\wxid_03u6ctl0w8f322\FileStorage\Temp\167783024607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9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left"/>
        <w:rPr>
          <w:rFonts w:ascii="宋体" w:hAnsi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据第6次答疑设计院回复，</w:t>
      </w:r>
      <w:r>
        <w:rPr>
          <w:rFonts w:hint="eastAsia" w:ascii="宋体" w:hAnsi="宋体" w:cs="宋体"/>
          <w:sz w:val="32"/>
          <w:szCs w:val="32"/>
        </w:rPr>
        <w:t>本次专项由</w:t>
      </w:r>
      <w:r>
        <w:rPr>
          <w:rFonts w:hint="eastAsia" w:ascii="宋体" w:hAnsi="宋体" w:eastAsia="宋体" w:cs="宋体"/>
          <w:sz w:val="32"/>
          <w:szCs w:val="32"/>
          <w:lang w:bidi="ar"/>
        </w:rPr>
        <w:t>直流配电房</w:t>
      </w:r>
      <w:r>
        <w:rPr>
          <w:rFonts w:hint="eastAsia" w:ascii="宋体" w:hAnsi="宋体" w:cs="宋体"/>
          <w:sz w:val="32"/>
          <w:szCs w:val="32"/>
        </w:rPr>
        <w:t>计取到直流配电箱（部分泛光配电箱为交流配电箱，计取到总包）的电缆及控制系统通信线缆。泛光配电箱总包图纸未见，请明确具体哪部分泛光配电箱是交流配电箱？1-1A及1-2栋的直流照明配电箱（仅箱体）已在总包计取，直流照明配电箱是否不计入本次范围？</w:t>
      </w:r>
    </w:p>
    <w:p>
      <w:pPr>
        <w:jc w:val="left"/>
      </w:pPr>
      <w:r>
        <w:drawing>
          <wp:inline distT="0" distB="0" distL="114300" distR="114300">
            <wp:extent cx="3603625" cy="4517390"/>
            <wp:effectExtent l="0" t="0" r="15875" b="1651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03625" cy="45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highlight w:val="yellow"/>
        </w:rPr>
        <w:t>回复：</w:t>
      </w:r>
      <w:r>
        <w:rPr>
          <w:sz w:val="32"/>
          <w:szCs w:val="32"/>
          <w:highlight w:val="yellow"/>
        </w:rPr>
        <w:t>E-P-DS003：</w:t>
      </w:r>
      <w:r>
        <w:rPr>
          <w:rFonts w:hint="eastAsia"/>
          <w:sz w:val="32"/>
          <w:szCs w:val="32"/>
          <w:highlight w:val="yellow"/>
        </w:rPr>
        <w:t>直流配电系统图（二）中的泛光照明配电箱均为直流供电，如下截图范围：</w:t>
      </w:r>
    </w:p>
    <w:p>
      <w:pPr>
        <w:jc w:val="left"/>
        <w:rPr>
          <w:rFonts w:hint="eastAsia"/>
          <w:sz w:val="32"/>
          <w:szCs w:val="32"/>
          <w:highlight w:val="yellow"/>
        </w:rPr>
      </w:pPr>
      <w:r>
        <w:drawing>
          <wp:inline distT="0" distB="0" distL="0" distR="0">
            <wp:extent cx="4333240" cy="3174365"/>
            <wp:effectExtent l="0" t="0" r="0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69457" cy="3201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32"/>
          <w:szCs w:val="32"/>
          <w:highlight w:val="yellow"/>
        </w:rPr>
      </w:pPr>
      <w:r>
        <w:rPr>
          <w:sz w:val="32"/>
          <w:szCs w:val="32"/>
          <w:highlight w:val="yellow"/>
        </w:rPr>
        <w:t>其余泛光配电箱均为交流供电范围。</w:t>
      </w:r>
      <w:r>
        <w:rPr>
          <w:rFonts w:hint="eastAsia" w:ascii="宋体" w:hAnsi="宋体" w:cs="宋体"/>
          <w:sz w:val="32"/>
          <w:szCs w:val="32"/>
        </w:rPr>
        <w:t>1-1A及1-2栋的直流照明配电箱（仅箱体）已在总包计取，直流照明配电箱是否不计入本次范围由业主确认。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D2BA14"/>
    <w:multiLevelType w:val="singleLevel"/>
    <w:tmpl w:val="F7D2BA1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64062F3"/>
    <w:multiLevelType w:val="singleLevel"/>
    <w:tmpl w:val="264062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zZDQ1ZDc1ZjU2NGZjNDkzYzEyMzhlOWVmODA2ZmYifQ=="/>
  </w:docVars>
  <w:rsids>
    <w:rsidRoot w:val="00465539"/>
    <w:rsid w:val="00427F7A"/>
    <w:rsid w:val="00465539"/>
    <w:rsid w:val="004E1368"/>
    <w:rsid w:val="0058794C"/>
    <w:rsid w:val="005E276A"/>
    <w:rsid w:val="00712577"/>
    <w:rsid w:val="00712816"/>
    <w:rsid w:val="00902C2A"/>
    <w:rsid w:val="009D72E2"/>
    <w:rsid w:val="00A12B49"/>
    <w:rsid w:val="00A5385E"/>
    <w:rsid w:val="00AA343C"/>
    <w:rsid w:val="00B25608"/>
    <w:rsid w:val="00B76FF3"/>
    <w:rsid w:val="00CE5DB2"/>
    <w:rsid w:val="00DE5ED6"/>
    <w:rsid w:val="00FB6A6A"/>
    <w:rsid w:val="019C2363"/>
    <w:rsid w:val="01FF7191"/>
    <w:rsid w:val="04A658B5"/>
    <w:rsid w:val="069421EC"/>
    <w:rsid w:val="082E720F"/>
    <w:rsid w:val="0B3219C3"/>
    <w:rsid w:val="0D1054CD"/>
    <w:rsid w:val="0E0977E4"/>
    <w:rsid w:val="0F455E39"/>
    <w:rsid w:val="110B674E"/>
    <w:rsid w:val="14741EAA"/>
    <w:rsid w:val="18BB512D"/>
    <w:rsid w:val="1A3E1965"/>
    <w:rsid w:val="1AD45180"/>
    <w:rsid w:val="1CE134FF"/>
    <w:rsid w:val="1DB3203E"/>
    <w:rsid w:val="1F2B1C53"/>
    <w:rsid w:val="21575865"/>
    <w:rsid w:val="21721BB4"/>
    <w:rsid w:val="23062228"/>
    <w:rsid w:val="26B12757"/>
    <w:rsid w:val="29A165E1"/>
    <w:rsid w:val="2B421FE8"/>
    <w:rsid w:val="2DB00CFA"/>
    <w:rsid w:val="2E5874A5"/>
    <w:rsid w:val="2F50657D"/>
    <w:rsid w:val="2FF8339B"/>
    <w:rsid w:val="309867EA"/>
    <w:rsid w:val="30E33AB0"/>
    <w:rsid w:val="31FA5F8E"/>
    <w:rsid w:val="33820503"/>
    <w:rsid w:val="361A5E27"/>
    <w:rsid w:val="36BC3B67"/>
    <w:rsid w:val="3812185A"/>
    <w:rsid w:val="3929719C"/>
    <w:rsid w:val="3D5A3D22"/>
    <w:rsid w:val="41AA5C98"/>
    <w:rsid w:val="426D6803"/>
    <w:rsid w:val="440C5E9A"/>
    <w:rsid w:val="46DE48C3"/>
    <w:rsid w:val="4C302355"/>
    <w:rsid w:val="4C35073B"/>
    <w:rsid w:val="4C527107"/>
    <w:rsid w:val="50EE03F0"/>
    <w:rsid w:val="51102F61"/>
    <w:rsid w:val="530219FE"/>
    <w:rsid w:val="57D04F5B"/>
    <w:rsid w:val="59552352"/>
    <w:rsid w:val="5D35760E"/>
    <w:rsid w:val="5F1A0A80"/>
    <w:rsid w:val="5FF2543F"/>
    <w:rsid w:val="617F4A2E"/>
    <w:rsid w:val="65542E63"/>
    <w:rsid w:val="66D33C05"/>
    <w:rsid w:val="693D166E"/>
    <w:rsid w:val="69A004FC"/>
    <w:rsid w:val="69F07BC7"/>
    <w:rsid w:val="6A8C2E94"/>
    <w:rsid w:val="6AB92555"/>
    <w:rsid w:val="6C71592A"/>
    <w:rsid w:val="6E5F273D"/>
    <w:rsid w:val="6F484A50"/>
    <w:rsid w:val="703056A5"/>
    <w:rsid w:val="703B1431"/>
    <w:rsid w:val="717A4088"/>
    <w:rsid w:val="75993A38"/>
    <w:rsid w:val="782431FA"/>
    <w:rsid w:val="794332BB"/>
    <w:rsid w:val="79FC69DC"/>
    <w:rsid w:val="7B46731F"/>
    <w:rsid w:val="7B53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CSWADI</Company>
  <Pages>8</Pages>
  <Words>909</Words>
  <Characters>977</Characters>
  <Lines>7</Lines>
  <Paragraphs>1</Paragraphs>
  <TotalTime>11</TotalTime>
  <ScaleCrop>false</ScaleCrop>
  <LinksUpToDate>false</LinksUpToDate>
  <CharactersWithSpaces>979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2023-03-03T08:03:00Z</dcterms:created>
  <dc:creator>Administrator</dc:creator>
  <cp:lastModifiedBy>NTKO</cp:lastModifiedBy>
  <dcterms:modified xsi:type="dcterms:W3CDTF">2023-03-06T01:18:45Z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4906AB847F2D47158D8265E6C3F8E9C6</vt:lpwstr>
  </property>
</Properties>
</file>