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360" w:lineRule="auto"/>
        <w:rPr>
          <w:rFonts w:hint="eastAsia" w:hAnsi="宋体"/>
          <w:b/>
          <w:color w:val="auto"/>
          <w:sz w:val="48"/>
          <w:szCs w:val="48"/>
          <w:highlight w:val="none"/>
        </w:rPr>
      </w:pPr>
      <w:bookmarkStart w:id="1" w:name="_GoBack"/>
      <w:bookmarkEnd w:id="1"/>
    </w:p>
    <w:p>
      <w:pPr>
        <w:pStyle w:val="17"/>
        <w:spacing w:line="360" w:lineRule="auto"/>
        <w:jc w:val="center"/>
        <w:rPr>
          <w:rFonts w:hint="eastAsia" w:hAnsi="宋体"/>
          <w:b/>
          <w:color w:val="auto"/>
          <w:sz w:val="72"/>
          <w:szCs w:val="72"/>
          <w:highlight w:val="none"/>
        </w:rPr>
      </w:pPr>
      <w:bookmarkStart w:id="0" w:name="_Hlk65491541"/>
      <w:r>
        <w:rPr>
          <w:rFonts w:hint="eastAsia" w:hAnsi="宋体"/>
          <w:b/>
          <w:color w:val="auto"/>
          <w:sz w:val="72"/>
          <w:szCs w:val="72"/>
          <w:highlight w:val="none"/>
        </w:rPr>
        <w:t>建设工程设计合同</w:t>
      </w:r>
      <w:bookmarkEnd w:id="0"/>
    </w:p>
    <w:p>
      <w:pPr>
        <w:pStyle w:val="17"/>
        <w:spacing w:line="360" w:lineRule="auto"/>
        <w:jc w:val="center"/>
        <w:rPr>
          <w:rFonts w:hint="eastAsia" w:hAnsi="宋体"/>
          <w:color w:val="auto"/>
          <w:sz w:val="30"/>
          <w:szCs w:val="30"/>
          <w:highlight w:val="none"/>
        </w:rPr>
      </w:pPr>
      <w:r>
        <w:rPr>
          <w:rFonts w:hint="eastAsia" w:hAnsi="宋体"/>
          <w:color w:val="auto"/>
          <w:sz w:val="30"/>
          <w:szCs w:val="30"/>
          <w:highlight w:val="none"/>
        </w:rPr>
        <w:t>(专业建设工程设计合同)</w:t>
      </w:r>
    </w:p>
    <w:p>
      <w:pPr>
        <w:pStyle w:val="17"/>
        <w:spacing w:line="360" w:lineRule="auto"/>
        <w:jc w:val="center"/>
        <w:rPr>
          <w:rFonts w:hint="eastAsia" w:hAnsi="宋体"/>
          <w:color w:val="auto"/>
          <w:sz w:val="24"/>
          <w:szCs w:val="24"/>
          <w:highlight w:val="none"/>
        </w:rPr>
      </w:pPr>
    </w:p>
    <w:p>
      <w:pPr>
        <w:pStyle w:val="17"/>
        <w:spacing w:line="360" w:lineRule="auto"/>
        <w:ind w:left="559" w:leftChars="266"/>
        <w:rPr>
          <w:rFonts w:hint="eastAsia" w:hAnsi="宋体"/>
          <w:color w:val="auto"/>
          <w:sz w:val="24"/>
          <w:szCs w:val="24"/>
          <w:highlight w:val="none"/>
        </w:rPr>
      </w:pPr>
    </w:p>
    <w:p>
      <w:pPr>
        <w:pStyle w:val="17"/>
        <w:spacing w:line="360" w:lineRule="auto"/>
        <w:ind w:left="559" w:leftChars="266"/>
        <w:rPr>
          <w:rFonts w:hint="eastAsia" w:hAnsi="宋体"/>
          <w:color w:val="auto"/>
          <w:sz w:val="24"/>
          <w:szCs w:val="24"/>
          <w:highlight w:val="none"/>
        </w:rPr>
      </w:pPr>
    </w:p>
    <w:p>
      <w:pPr>
        <w:pStyle w:val="17"/>
        <w:spacing w:line="360" w:lineRule="auto"/>
        <w:rPr>
          <w:rFonts w:hint="eastAsia" w:hAnsi="宋体"/>
          <w:color w:val="auto"/>
          <w:sz w:val="24"/>
          <w:szCs w:val="24"/>
          <w:highlight w:val="none"/>
        </w:rPr>
      </w:pPr>
    </w:p>
    <w:p>
      <w:pPr>
        <w:spacing w:line="360" w:lineRule="auto"/>
        <w:ind w:left="2407" w:leftChars="266" w:hanging="1848" w:hangingChars="660"/>
        <w:rPr>
          <w:rFonts w:hint="default" w:hAnsi="宋体" w:eastAsia="宋体"/>
          <w:color w:val="auto"/>
          <w:spacing w:val="-10"/>
          <w:sz w:val="28"/>
          <w:szCs w:val="28"/>
          <w:highlight w:val="none"/>
          <w:lang w:val="en-US" w:eastAsia="zh-CN"/>
        </w:rPr>
      </w:pPr>
      <w:r>
        <w:rPr>
          <w:rFonts w:hint="eastAsia" w:hAnsi="宋体"/>
          <w:color w:val="auto"/>
          <w:sz w:val="28"/>
          <w:szCs w:val="28"/>
          <w:highlight w:val="none"/>
        </w:rPr>
        <w:t>工  程 名称：</w:t>
      </w:r>
    </w:p>
    <w:p>
      <w:pPr>
        <w:pStyle w:val="17"/>
        <w:spacing w:line="360" w:lineRule="auto"/>
        <w:ind w:left="559" w:leftChars="266"/>
        <w:rPr>
          <w:rFonts w:hint="eastAsia" w:hAnsi="宋体"/>
          <w:color w:val="auto"/>
          <w:sz w:val="28"/>
          <w:szCs w:val="28"/>
          <w:highlight w:val="none"/>
        </w:rPr>
      </w:pPr>
      <w:r>
        <w:rPr>
          <w:rFonts w:hint="eastAsia" w:hAnsi="宋体"/>
          <w:color w:val="auto"/>
          <w:sz w:val="28"/>
          <w:szCs w:val="28"/>
          <w:highlight w:val="none"/>
        </w:rPr>
        <w:t>工  程  地  点：广州市番禺区</w:t>
      </w:r>
    </w:p>
    <w:p>
      <w:pPr>
        <w:pStyle w:val="17"/>
        <w:spacing w:line="360" w:lineRule="auto"/>
        <w:ind w:left="559" w:leftChars="266"/>
        <w:rPr>
          <w:rFonts w:hint="eastAsia" w:hAnsi="宋体"/>
          <w:color w:val="auto"/>
          <w:sz w:val="28"/>
          <w:szCs w:val="28"/>
          <w:highlight w:val="none"/>
        </w:rPr>
      </w:pPr>
    </w:p>
    <w:p>
      <w:pPr>
        <w:pStyle w:val="17"/>
        <w:spacing w:line="360" w:lineRule="auto"/>
        <w:ind w:left="559" w:leftChars="266"/>
        <w:rPr>
          <w:rFonts w:hint="eastAsia" w:hAnsi="宋体"/>
          <w:color w:val="auto"/>
          <w:sz w:val="28"/>
          <w:szCs w:val="28"/>
          <w:highlight w:val="none"/>
        </w:rPr>
      </w:pPr>
    </w:p>
    <w:p>
      <w:pPr>
        <w:pStyle w:val="17"/>
        <w:spacing w:line="360" w:lineRule="auto"/>
        <w:ind w:left="559" w:leftChars="266"/>
        <w:rPr>
          <w:rFonts w:hint="eastAsia" w:hAnsi="宋体"/>
          <w:color w:val="auto"/>
          <w:sz w:val="28"/>
          <w:szCs w:val="28"/>
          <w:highlight w:val="none"/>
        </w:rPr>
      </w:pPr>
      <w:r>
        <w:rPr>
          <w:rFonts w:hint="eastAsia" w:hAnsi="宋体"/>
          <w:color w:val="auto"/>
          <w:sz w:val="28"/>
          <w:szCs w:val="28"/>
          <w:highlight w:val="none"/>
        </w:rPr>
        <w:t xml:space="preserve">合  同  编  号： </w:t>
      </w:r>
    </w:p>
    <w:p>
      <w:pPr>
        <w:pStyle w:val="17"/>
        <w:spacing w:line="360" w:lineRule="auto"/>
        <w:ind w:left="559" w:leftChars="266"/>
        <w:rPr>
          <w:rFonts w:hint="eastAsia" w:hAnsi="宋体"/>
          <w:color w:val="auto"/>
          <w:sz w:val="28"/>
          <w:szCs w:val="28"/>
          <w:highlight w:val="none"/>
        </w:rPr>
      </w:pPr>
      <w:r>
        <w:rPr>
          <w:rFonts w:hint="eastAsia" w:hAnsi="宋体"/>
          <w:color w:val="auto"/>
          <w:spacing w:val="26"/>
          <w:sz w:val="28"/>
          <w:szCs w:val="28"/>
          <w:highlight w:val="none"/>
        </w:rPr>
        <w:t>设计证书等级</w:t>
      </w:r>
      <w:r>
        <w:rPr>
          <w:rFonts w:hint="eastAsia" w:hAnsi="宋体"/>
          <w:color w:val="auto"/>
          <w:sz w:val="28"/>
          <w:szCs w:val="28"/>
          <w:highlight w:val="none"/>
        </w:rPr>
        <w:t xml:space="preserve">：  </w:t>
      </w:r>
    </w:p>
    <w:p>
      <w:pPr>
        <w:pStyle w:val="17"/>
        <w:spacing w:line="360" w:lineRule="auto"/>
        <w:ind w:left="559" w:leftChars="266"/>
        <w:rPr>
          <w:rFonts w:hint="eastAsia" w:hAnsi="宋体"/>
          <w:color w:val="auto"/>
          <w:sz w:val="28"/>
          <w:szCs w:val="28"/>
          <w:highlight w:val="none"/>
        </w:rPr>
      </w:pPr>
    </w:p>
    <w:p>
      <w:pPr>
        <w:pStyle w:val="17"/>
        <w:spacing w:line="360" w:lineRule="auto"/>
        <w:ind w:firstLine="560" w:firstLineChars="200"/>
        <w:rPr>
          <w:rFonts w:hint="eastAsia" w:hAnsi="宋体" w:eastAsia="宋体"/>
          <w:color w:val="auto"/>
          <w:sz w:val="28"/>
          <w:szCs w:val="28"/>
          <w:highlight w:val="none"/>
          <w:lang w:val="en-US" w:eastAsia="zh-CN"/>
        </w:rPr>
      </w:pPr>
      <w:r>
        <w:rPr>
          <w:rFonts w:hint="eastAsia" w:hAnsi="宋体"/>
          <w:color w:val="auto"/>
          <w:sz w:val="28"/>
          <w:szCs w:val="28"/>
          <w:highlight w:val="none"/>
        </w:rPr>
        <w:t>发    包    人：</w:t>
      </w:r>
      <w:r>
        <w:rPr>
          <w:rFonts w:hint="eastAsia" w:hAnsi="宋体"/>
          <w:color w:val="auto"/>
          <w:sz w:val="28"/>
          <w:szCs w:val="28"/>
          <w:highlight w:val="none"/>
          <w:lang w:eastAsia="zh-CN"/>
        </w:rPr>
        <w:t>广州市番禺区水务局</w:t>
      </w:r>
    </w:p>
    <w:p>
      <w:pPr>
        <w:pStyle w:val="17"/>
        <w:spacing w:line="360" w:lineRule="auto"/>
        <w:ind w:left="559" w:leftChars="266"/>
        <w:rPr>
          <w:rFonts w:hint="eastAsia" w:hAnsi="宋体"/>
          <w:color w:val="auto"/>
          <w:sz w:val="28"/>
          <w:szCs w:val="28"/>
          <w:highlight w:val="none"/>
        </w:rPr>
      </w:pPr>
      <w:r>
        <w:rPr>
          <w:rFonts w:hint="eastAsia" w:hAnsi="宋体"/>
          <w:color w:val="auto"/>
          <w:sz w:val="28"/>
          <w:szCs w:val="28"/>
          <w:highlight w:val="none"/>
        </w:rPr>
        <w:t xml:space="preserve">设    计    人： </w:t>
      </w:r>
    </w:p>
    <w:p>
      <w:pPr>
        <w:pStyle w:val="17"/>
        <w:spacing w:line="360" w:lineRule="auto"/>
        <w:ind w:left="559" w:leftChars="266"/>
        <w:rPr>
          <w:rFonts w:hint="eastAsia" w:hAnsi="宋体"/>
          <w:color w:val="auto"/>
          <w:sz w:val="28"/>
          <w:szCs w:val="28"/>
          <w:highlight w:val="none"/>
        </w:rPr>
      </w:pPr>
      <w:r>
        <w:rPr>
          <w:rFonts w:hint="eastAsia" w:hAnsi="宋体"/>
          <w:color w:val="auto"/>
          <w:sz w:val="28"/>
          <w:szCs w:val="28"/>
          <w:highlight w:val="none"/>
        </w:rPr>
        <w:t xml:space="preserve">                                  </w:t>
      </w:r>
    </w:p>
    <w:p>
      <w:pPr>
        <w:pStyle w:val="17"/>
        <w:spacing w:line="360" w:lineRule="auto"/>
        <w:ind w:left="559" w:leftChars="266"/>
        <w:rPr>
          <w:rFonts w:hint="eastAsia" w:hAnsi="宋体"/>
          <w:color w:val="auto"/>
          <w:spacing w:val="24"/>
          <w:sz w:val="28"/>
          <w:szCs w:val="28"/>
          <w:highlight w:val="none"/>
        </w:rPr>
      </w:pPr>
    </w:p>
    <w:p>
      <w:pPr>
        <w:pStyle w:val="17"/>
        <w:spacing w:line="360" w:lineRule="auto"/>
        <w:ind w:left="559" w:leftChars="266"/>
        <w:rPr>
          <w:rFonts w:hint="eastAsia" w:hAnsi="宋体"/>
          <w:color w:val="auto"/>
          <w:sz w:val="28"/>
          <w:szCs w:val="28"/>
          <w:highlight w:val="none"/>
        </w:rPr>
      </w:pPr>
      <w:r>
        <w:rPr>
          <w:rFonts w:hint="eastAsia" w:hAnsi="宋体"/>
          <w:color w:val="auto"/>
          <w:spacing w:val="24"/>
          <w:sz w:val="28"/>
          <w:szCs w:val="28"/>
          <w:highlight w:val="none"/>
        </w:rPr>
        <w:t>合同订立地点：</w:t>
      </w:r>
      <w:r>
        <w:rPr>
          <w:rFonts w:hint="eastAsia" w:hAnsi="宋体"/>
          <w:color w:val="auto"/>
          <w:sz w:val="28"/>
          <w:szCs w:val="28"/>
          <w:highlight w:val="none"/>
        </w:rPr>
        <w:t>广州市番禺区</w:t>
      </w:r>
    </w:p>
    <w:p>
      <w:pPr>
        <w:pStyle w:val="26"/>
        <w:spacing w:line="360" w:lineRule="auto"/>
        <w:ind w:firstLine="524" w:firstLineChars="160"/>
        <w:rPr>
          <w:rFonts w:hint="eastAsia"/>
          <w:color w:val="auto"/>
          <w:kern w:val="2"/>
          <w:sz w:val="28"/>
          <w:szCs w:val="28"/>
          <w:highlight w:val="none"/>
        </w:rPr>
      </w:pPr>
      <w:r>
        <w:rPr>
          <w:rFonts w:hint="eastAsia"/>
          <w:color w:val="auto"/>
          <w:spacing w:val="24"/>
          <w:kern w:val="2"/>
          <w:sz w:val="28"/>
          <w:szCs w:val="28"/>
          <w:highlight w:val="none"/>
        </w:rPr>
        <w:t>合同订立时间：202</w:t>
      </w:r>
      <w:r>
        <w:rPr>
          <w:rFonts w:hint="eastAsia"/>
          <w:color w:val="auto"/>
          <w:spacing w:val="24"/>
          <w:kern w:val="2"/>
          <w:sz w:val="28"/>
          <w:szCs w:val="28"/>
          <w:highlight w:val="none"/>
          <w:lang w:val="en-US" w:eastAsia="zh-CN"/>
        </w:rPr>
        <w:t>3</w:t>
      </w:r>
      <w:r>
        <w:rPr>
          <w:rFonts w:hint="eastAsia"/>
          <w:color w:val="auto"/>
          <w:kern w:val="2"/>
          <w:sz w:val="28"/>
          <w:szCs w:val="28"/>
          <w:highlight w:val="none"/>
        </w:rPr>
        <w:t>年    月    日</w:t>
      </w:r>
    </w:p>
    <w:p>
      <w:pPr>
        <w:pStyle w:val="17"/>
        <w:spacing w:line="360" w:lineRule="auto"/>
        <w:rPr>
          <w:rFonts w:hint="eastAsia" w:hAnsi="宋体"/>
          <w:color w:val="auto"/>
          <w:sz w:val="24"/>
          <w:highlight w:val="none"/>
          <w:u w:val="single"/>
        </w:rPr>
      </w:pPr>
    </w:p>
    <w:p>
      <w:pPr>
        <w:pStyle w:val="17"/>
        <w:spacing w:line="360" w:lineRule="auto"/>
        <w:rPr>
          <w:rFonts w:hAnsi="宋体"/>
          <w:color w:val="auto"/>
          <w:sz w:val="24"/>
          <w:szCs w:val="24"/>
          <w:highlight w:val="none"/>
        </w:rPr>
        <w:sectPr>
          <w:headerReference r:id="rId3" w:type="default"/>
          <w:footerReference r:id="rId4" w:type="default"/>
          <w:pgSz w:w="11906" w:h="16838"/>
          <w:pgMar w:top="1134" w:right="1134" w:bottom="1134" w:left="1134" w:header="851" w:footer="850" w:gutter="0"/>
          <w:cols w:space="720" w:num="1"/>
          <w:docGrid w:linePitch="350" w:charSpace="0"/>
        </w:sectPr>
      </w:pPr>
    </w:p>
    <w:p>
      <w:pPr>
        <w:pStyle w:val="17"/>
        <w:spacing w:line="360" w:lineRule="auto"/>
        <w:rPr>
          <w:rFonts w:hint="eastAsia" w:hAnsi="宋体" w:eastAsia="宋体" w:cs="Times New Roman"/>
          <w:bCs w:val="0"/>
          <w:sz w:val="21"/>
          <w:szCs w:val="21"/>
          <w:highlight w:val="none"/>
          <w:u w:val="none"/>
        </w:rPr>
      </w:pPr>
      <w:r>
        <w:rPr>
          <w:rFonts w:hint="eastAsia" w:hAnsi="宋体"/>
          <w:color w:val="auto"/>
          <w:sz w:val="21"/>
          <w:szCs w:val="21"/>
          <w:highlight w:val="none"/>
        </w:rPr>
        <w:t>发包人：</w:t>
      </w:r>
      <w:r>
        <w:rPr>
          <w:rFonts w:hint="eastAsia" w:hAnsi="宋体" w:eastAsia="宋体" w:cs="Times New Roman"/>
          <w:sz w:val="21"/>
          <w:szCs w:val="21"/>
          <w:highlight w:val="none"/>
        </w:rPr>
        <w:t>广州市番禺区水务局</w:t>
      </w:r>
    </w:p>
    <w:p>
      <w:pPr>
        <w:pStyle w:val="17"/>
        <w:spacing w:line="360" w:lineRule="auto"/>
        <w:rPr>
          <w:rFonts w:hAnsi="宋体"/>
          <w:color w:val="auto"/>
          <w:sz w:val="21"/>
          <w:szCs w:val="21"/>
          <w:highlight w:val="none"/>
          <w:u w:val="single"/>
        </w:rPr>
      </w:pPr>
      <w:r>
        <w:rPr>
          <w:rFonts w:hint="eastAsia" w:hAnsi="宋体"/>
          <w:color w:val="auto"/>
          <w:sz w:val="21"/>
          <w:szCs w:val="21"/>
          <w:highlight w:val="none"/>
        </w:rPr>
        <w:t xml:space="preserve">设计人： </w:t>
      </w:r>
    </w:p>
    <w:p>
      <w:pPr>
        <w:pStyle w:val="17"/>
        <w:spacing w:line="360" w:lineRule="auto"/>
        <w:ind w:firstLine="480" w:firstLineChars="200"/>
        <w:jc w:val="left"/>
        <w:rPr>
          <w:rFonts w:hint="eastAsia" w:hAnsi="宋体"/>
          <w:color w:val="auto"/>
          <w:sz w:val="24"/>
          <w:szCs w:val="24"/>
          <w:highlight w:val="none"/>
        </w:rPr>
      </w:pPr>
    </w:p>
    <w:p>
      <w:pPr>
        <w:pStyle w:val="17"/>
        <w:spacing w:line="360" w:lineRule="auto"/>
        <w:ind w:firstLine="420" w:firstLineChars="200"/>
        <w:jc w:val="left"/>
        <w:rPr>
          <w:rFonts w:hint="eastAsia" w:hAnsi="宋体"/>
          <w:color w:val="auto"/>
          <w:sz w:val="21"/>
          <w:szCs w:val="21"/>
          <w:highlight w:val="none"/>
        </w:rPr>
      </w:pPr>
      <w:r>
        <w:rPr>
          <w:rFonts w:hint="eastAsia" w:hAnsi="宋体"/>
          <w:color w:val="auto"/>
          <w:sz w:val="21"/>
          <w:szCs w:val="21"/>
          <w:highlight w:val="none"/>
          <w:lang w:eastAsia="zh-CN"/>
        </w:rPr>
        <w:t>本工程</w:t>
      </w:r>
      <w:r>
        <w:rPr>
          <w:rFonts w:hint="eastAsia" w:hAnsi="宋体"/>
          <w:color w:val="auto"/>
          <w:sz w:val="21"/>
          <w:szCs w:val="21"/>
          <w:highlight w:val="none"/>
        </w:rPr>
        <w:t>建设单位为广州市番禺区水务局，</w:t>
      </w:r>
      <w:r>
        <w:rPr>
          <w:rFonts w:hint="eastAsia" w:hAnsi="宋体"/>
          <w:color w:val="auto"/>
          <w:sz w:val="21"/>
          <w:szCs w:val="21"/>
          <w:highlight w:val="none"/>
          <w:lang w:eastAsia="zh-CN"/>
        </w:rPr>
        <w:t>建设</w:t>
      </w:r>
      <w:r>
        <w:rPr>
          <w:rFonts w:hint="eastAsia" w:hAnsi="宋体"/>
          <w:color w:val="auto"/>
          <w:sz w:val="21"/>
          <w:szCs w:val="21"/>
          <w:highlight w:val="none"/>
        </w:rPr>
        <w:t>单位即为发包人。</w:t>
      </w:r>
    </w:p>
    <w:p>
      <w:pPr>
        <w:pStyle w:val="17"/>
        <w:spacing w:line="360" w:lineRule="auto"/>
        <w:ind w:firstLine="420" w:firstLineChars="200"/>
        <w:jc w:val="left"/>
        <w:rPr>
          <w:rFonts w:hint="eastAsia" w:hAnsi="宋体"/>
          <w:color w:val="auto"/>
          <w:kern w:val="2"/>
          <w:sz w:val="21"/>
          <w:szCs w:val="21"/>
          <w:highlight w:val="none"/>
        </w:rPr>
      </w:pPr>
      <w:r>
        <w:rPr>
          <w:rFonts w:hint="eastAsia" w:ascii="宋体" w:hAnsi="宋体" w:eastAsia="宋体" w:cs="Times New Roman"/>
          <w:color w:val="auto"/>
          <w:sz w:val="21"/>
          <w:szCs w:val="21"/>
          <w:highlight w:val="none"/>
        </w:rPr>
        <w:t>经发包人</w:t>
      </w:r>
      <w:r>
        <w:rPr>
          <w:rFonts w:hint="eastAsia" w:hAnsi="宋体" w:eastAsia="宋体" w:cs="Times New Roman"/>
          <w:color w:val="auto"/>
          <w:sz w:val="21"/>
          <w:szCs w:val="21"/>
          <w:highlight w:val="none"/>
          <w:lang w:val="en-US" w:eastAsia="zh-CN"/>
        </w:rPr>
        <w:t>公开招标</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设计</w:t>
      </w:r>
      <w:r>
        <w:rPr>
          <w:rFonts w:hint="eastAsia" w:ascii="宋体" w:hAnsi="宋体" w:eastAsia="宋体" w:cs="Times New Roman"/>
          <w:color w:val="auto"/>
          <w:sz w:val="21"/>
          <w:szCs w:val="21"/>
          <w:highlight w:val="none"/>
        </w:rPr>
        <w:t>人被确定为中标人。</w:t>
      </w:r>
      <w:r>
        <w:rPr>
          <w:rFonts w:hint="eastAsia" w:hAnsi="宋体" w:eastAsia="宋体" w:cs="Times New Roman"/>
          <w:color w:val="auto"/>
          <w:kern w:val="0"/>
          <w:sz w:val="21"/>
          <w:szCs w:val="21"/>
          <w:highlight w:val="none"/>
        </w:rPr>
        <w:t>发包人委托设计人承担工程的设计工作。经双方协商一致，签订本合同。</w:t>
      </w:r>
    </w:p>
    <w:p>
      <w:pPr>
        <w:spacing w:line="360" w:lineRule="auto"/>
        <w:ind w:firstLine="420" w:firstLineChars="200"/>
        <w:rPr>
          <w:rFonts w:hint="eastAsia" w:ascii="宋体" w:hAnsi="宋体"/>
          <w:color w:val="auto"/>
          <w:szCs w:val="21"/>
          <w:highlight w:val="none"/>
        </w:rPr>
      </w:pPr>
    </w:p>
    <w:p>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第一条　本合同签订依据</w:t>
      </w:r>
    </w:p>
    <w:p>
      <w:pPr>
        <w:pStyle w:val="17"/>
        <w:spacing w:line="360" w:lineRule="auto"/>
        <w:rPr>
          <w:rFonts w:hint="eastAsia" w:hAnsi="宋体"/>
          <w:color w:val="auto"/>
          <w:kern w:val="2"/>
          <w:sz w:val="21"/>
          <w:szCs w:val="21"/>
          <w:highlight w:val="none"/>
        </w:rPr>
      </w:pPr>
      <w:r>
        <w:rPr>
          <w:rFonts w:hint="eastAsia" w:hAnsi="宋体"/>
          <w:color w:val="auto"/>
          <w:szCs w:val="21"/>
          <w:highlight w:val="none"/>
        </w:rPr>
        <w:t xml:space="preserve">　　1.1 </w:t>
      </w:r>
      <w:r>
        <w:rPr>
          <w:rFonts w:hint="eastAsia" w:hAnsi="宋体"/>
          <w:color w:val="auto"/>
          <w:kern w:val="2"/>
          <w:sz w:val="21"/>
          <w:szCs w:val="21"/>
          <w:highlight w:val="none"/>
        </w:rPr>
        <w:t>《中华人民共和国建筑法》《中华人民共和国民法典》《建设工程勘察设计管理条例》《工程勘察设计收费标准（2002年修订本）》。</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 国家及地方有关建设工程勘察设计管理法规和规章。</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 建设工程批准文件。</w:t>
      </w:r>
    </w:p>
    <w:p>
      <w:pPr>
        <w:spacing w:line="360" w:lineRule="auto"/>
        <w:ind w:firstLine="420" w:firstLineChars="200"/>
        <w:rPr>
          <w:rFonts w:hint="eastAsia" w:ascii="宋体" w:hAnsi="宋体"/>
          <w:color w:val="auto"/>
          <w:szCs w:val="21"/>
          <w:highlight w:val="none"/>
        </w:rPr>
      </w:pPr>
    </w:p>
    <w:p>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第二条　设计依据</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 发包人提交的基础资料。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 设计人采用的主要技术标准（包括但不限于）：室外排水设计标准（GB50014-2021）、给水排水管道工程施工及验收规范、水工混凝土结构设计规范、建筑设计防火规范、高低压配电设计规范、市政公用工程设计文件编制深度规定、给水排水管道工程施工及验收规范、市政公用工程设计编制深度规定、建设工程工程量清单计价规范（GB50500-2013）、市政排水管渠工程质量检验评定标准、城市污水处理厂工程质量验收规范、城市污水处理厂工艺设计手册、市政工程投资估算编制办法（建标【2007】164号）、城镇污水处理厂污染物排放标准（GB18918-2002)等。若未涉及的，应参照相应标准执行。</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 设计人应执行各级相关行政管理规定：《广州市</w:t>
      </w:r>
      <w:r>
        <w:rPr>
          <w:rFonts w:hint="eastAsia" w:hAnsi="宋体"/>
          <w:color w:val="auto"/>
          <w:szCs w:val="21"/>
          <w:highlight w:val="none"/>
        </w:rPr>
        <w:t>水务局关于印发流域水污染治理总体方案编制导则（试行）的通知》（穗水规划[2016]71号），《流域水污染治理总体方案编制导则（试行）》2016年8月，</w:t>
      </w:r>
      <w:r>
        <w:rPr>
          <w:rFonts w:hint="eastAsia" w:ascii="宋体" w:hAnsi="宋体"/>
          <w:color w:val="auto"/>
          <w:szCs w:val="21"/>
          <w:highlight w:val="none"/>
        </w:rPr>
        <w:t>《广州市人民政府关于贯彻落实&lt;政府投资条例&gt;的实施意见》(穗府〔2020〕3号)、《广州市水务局关于印发广州市水务工程初步设计及</w:t>
      </w:r>
      <w:r>
        <w:rPr>
          <w:rFonts w:hint="eastAsia" w:ascii="宋体" w:hAnsi="宋体"/>
          <w:color w:val="auto"/>
          <w:szCs w:val="21"/>
          <w:highlight w:val="none"/>
          <w:lang w:eastAsia="zh-CN"/>
        </w:rPr>
        <w:t>概算</w:t>
      </w:r>
      <w:r>
        <w:rPr>
          <w:rFonts w:hint="eastAsia" w:ascii="宋体" w:hAnsi="宋体"/>
          <w:color w:val="auto"/>
          <w:szCs w:val="21"/>
          <w:highlight w:val="none"/>
        </w:rPr>
        <w:t>审批办事指南（试行，2020修订）的通知》、《广州市水务局关于印发广州市政府投资类市属水务建设项目</w:t>
      </w:r>
      <w:r>
        <w:rPr>
          <w:rFonts w:hint="eastAsia" w:ascii="宋体" w:hAnsi="宋体"/>
          <w:color w:val="auto"/>
          <w:szCs w:val="21"/>
          <w:highlight w:val="none"/>
          <w:lang w:eastAsia="zh-CN"/>
        </w:rPr>
        <w:t>概算</w:t>
      </w:r>
      <w:r>
        <w:rPr>
          <w:rFonts w:hint="eastAsia" w:ascii="宋体" w:hAnsi="宋体"/>
          <w:color w:val="auto"/>
          <w:szCs w:val="21"/>
          <w:highlight w:val="none"/>
        </w:rPr>
        <w:t>调整实施细则的通知》、《广州市水务局关于印发广州市排水单元达标创建工程方案编制指引的通知》（穗水规计函[2019]426号）、《番禺区排水单元达标攻坚行动工作手册》等相关规定。</w:t>
      </w:r>
    </w:p>
    <w:p>
      <w:pPr>
        <w:spacing w:line="360" w:lineRule="auto"/>
        <w:ind w:firstLine="420" w:firstLineChars="200"/>
        <w:rPr>
          <w:rFonts w:hint="eastAsia" w:ascii="宋体" w:hAnsi="宋体"/>
          <w:color w:val="auto"/>
          <w:szCs w:val="21"/>
          <w:highlight w:val="none"/>
        </w:rPr>
      </w:pPr>
    </w:p>
    <w:p>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第三条</w:t>
      </w:r>
      <w:r>
        <w:rPr>
          <w:rFonts w:hint="eastAsia" w:ascii="宋体" w:hAnsi="宋体"/>
          <w:color w:val="auto"/>
          <w:szCs w:val="21"/>
          <w:highlight w:val="none"/>
        </w:rPr>
        <w:t>　</w:t>
      </w:r>
      <w:r>
        <w:rPr>
          <w:rFonts w:hint="eastAsia" w:ascii="宋体" w:hAnsi="宋体"/>
          <w:b/>
          <w:color w:val="auto"/>
          <w:szCs w:val="21"/>
          <w:highlight w:val="none"/>
        </w:rPr>
        <w:t>合同文件的优先次序</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构成本合同的文件可视为是能互相说明的，如果合同文件存在歧义或不一致，则根据如下优先次序来判断：</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3.1合同书</w:t>
      </w:r>
    </w:p>
    <w:p>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3.2 招标文件及其附件</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3.3 技术规范</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3.4报价函及其附件</w:t>
      </w:r>
    </w:p>
    <w:p>
      <w:pPr>
        <w:spacing w:line="360" w:lineRule="auto"/>
        <w:ind w:firstLine="422" w:firstLineChars="200"/>
        <w:rPr>
          <w:rFonts w:hint="eastAsia" w:ascii="宋体" w:hAnsi="宋体"/>
          <w:b/>
          <w:bCs/>
          <w:color w:val="auto"/>
          <w:szCs w:val="21"/>
          <w:highlight w:val="none"/>
        </w:rPr>
      </w:pPr>
    </w:p>
    <w:p>
      <w:pPr>
        <w:spacing w:line="360" w:lineRule="auto"/>
        <w:ind w:firstLine="417" w:firstLineChars="198"/>
        <w:rPr>
          <w:rFonts w:hint="eastAsia" w:ascii="宋体" w:hAnsi="宋体"/>
          <w:color w:val="auto"/>
          <w:szCs w:val="21"/>
          <w:highlight w:val="none"/>
        </w:rPr>
      </w:pPr>
      <w:r>
        <w:rPr>
          <w:rFonts w:hint="eastAsia" w:ascii="宋体" w:hAnsi="宋体"/>
          <w:b/>
          <w:bCs/>
          <w:color w:val="auto"/>
          <w:szCs w:val="21"/>
          <w:highlight w:val="none"/>
        </w:rPr>
        <w:t xml:space="preserve">第四条 </w:t>
      </w:r>
      <w:r>
        <w:rPr>
          <w:rFonts w:hint="eastAsia" w:ascii="宋体" w:hAnsi="宋体"/>
          <w:color w:val="auto"/>
          <w:szCs w:val="21"/>
          <w:highlight w:val="none"/>
        </w:rPr>
        <w:t xml:space="preserve"> </w:t>
      </w:r>
      <w:r>
        <w:rPr>
          <w:rFonts w:hint="eastAsia" w:ascii="宋体" w:hAnsi="宋体"/>
          <w:b/>
          <w:color w:val="auto"/>
          <w:szCs w:val="21"/>
          <w:highlight w:val="none"/>
        </w:rPr>
        <w:t>设计要点</w:t>
      </w:r>
    </w:p>
    <w:p>
      <w:pPr>
        <w:spacing w:line="360" w:lineRule="auto"/>
        <w:ind w:firstLine="417" w:firstLineChars="199"/>
        <w:rPr>
          <w:rFonts w:hint="eastAsia" w:ascii="宋体" w:hAnsi="宋体"/>
          <w:color w:val="auto"/>
          <w:szCs w:val="21"/>
          <w:highlight w:val="none"/>
        </w:rPr>
      </w:pPr>
      <w:r>
        <w:rPr>
          <w:rFonts w:hint="eastAsia" w:ascii="宋体" w:hAnsi="宋体"/>
          <w:color w:val="auto"/>
          <w:szCs w:val="21"/>
          <w:highlight w:val="none"/>
        </w:rPr>
        <w:t>4.1本合同项目建设地点：</w:t>
      </w:r>
      <w:r>
        <w:rPr>
          <w:rFonts w:hint="eastAsia" w:ascii="宋体" w:hAnsi="宋体"/>
          <w:color w:val="auto"/>
          <w:kern w:val="0"/>
          <w:szCs w:val="21"/>
          <w:highlight w:val="none"/>
        </w:rPr>
        <w:t>广州市番禺区</w:t>
      </w:r>
    </w:p>
    <w:p>
      <w:pPr>
        <w:spacing w:line="360" w:lineRule="auto"/>
        <w:ind w:left="1" w:firstLine="480"/>
        <w:rPr>
          <w:rFonts w:hint="eastAsia" w:ascii="宋体" w:hAnsi="宋体"/>
          <w:color w:val="auto"/>
          <w:szCs w:val="21"/>
          <w:highlight w:val="none"/>
        </w:rPr>
      </w:pPr>
      <w:r>
        <w:rPr>
          <w:rFonts w:hint="eastAsia" w:ascii="宋体" w:hAnsi="宋体"/>
          <w:color w:val="auto"/>
          <w:szCs w:val="21"/>
          <w:highlight w:val="none"/>
        </w:rPr>
        <w:t>4.2工程规划特征：</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等设计工作，最终实施方案以审批部门审核为准。项目的管径、长度、管材、规模、位置、造价等相关技术参数应根据该片区系统实际情况确定。</w:t>
      </w:r>
    </w:p>
    <w:p>
      <w:pPr>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4.3本工程投资限额为：以最终取得的发改部门</w:t>
      </w:r>
      <w:r>
        <w:rPr>
          <w:rFonts w:hint="eastAsia" w:ascii="宋体" w:hAnsi="宋体"/>
          <w:color w:val="auto"/>
          <w:szCs w:val="21"/>
          <w:highlight w:val="none"/>
          <w:lang w:eastAsia="zh-CN"/>
        </w:rPr>
        <w:t>可行性研究报告/项目建议书</w:t>
      </w:r>
      <w:r>
        <w:rPr>
          <w:rFonts w:hint="eastAsia" w:ascii="宋体" w:hAnsi="宋体"/>
          <w:color w:val="auto"/>
          <w:szCs w:val="21"/>
          <w:highlight w:val="none"/>
        </w:rPr>
        <w:t>批复的建安费为投资限额，未经发包人同意不得突破此限额。</w:t>
      </w:r>
    </w:p>
    <w:p>
      <w:pPr>
        <w:spacing w:line="360" w:lineRule="auto"/>
        <w:ind w:firstLine="420" w:firstLineChars="200"/>
        <w:jc w:val="left"/>
        <w:rPr>
          <w:rFonts w:hint="eastAsia" w:ascii="宋体" w:hAnsi="宋体"/>
          <w:color w:val="auto"/>
          <w:sz w:val="24"/>
          <w:szCs w:val="24"/>
          <w:highlight w:val="none"/>
        </w:rPr>
      </w:pPr>
      <w:r>
        <w:rPr>
          <w:rFonts w:hint="eastAsia" w:ascii="宋体" w:hAnsi="宋体"/>
          <w:color w:val="auto"/>
          <w:szCs w:val="21"/>
          <w:highlight w:val="none"/>
        </w:rPr>
        <w:t>4.4 本合同设计范围：工程的</w:t>
      </w:r>
      <w:r>
        <w:rPr>
          <w:rFonts w:hint="eastAsia" w:ascii="宋体" w:hAnsi="宋体"/>
          <w:color w:val="auto"/>
          <w:szCs w:val="21"/>
          <w:highlight w:val="none"/>
          <w:lang w:eastAsia="zh-CN"/>
        </w:rPr>
        <w:t>项目建议书及初步设计</w:t>
      </w:r>
      <w:r>
        <w:rPr>
          <w:rFonts w:hint="eastAsia" w:ascii="宋体" w:hAnsi="宋体"/>
          <w:color w:val="auto"/>
          <w:szCs w:val="21"/>
          <w:highlight w:val="none"/>
        </w:rPr>
        <w:t>工作。</w:t>
      </w:r>
    </w:p>
    <w:p>
      <w:pPr>
        <w:spacing w:line="360" w:lineRule="auto"/>
        <w:ind w:firstLine="417" w:firstLineChars="199"/>
        <w:rPr>
          <w:rFonts w:ascii="宋体" w:hAnsi="宋体"/>
          <w:color w:val="auto"/>
          <w:szCs w:val="21"/>
          <w:highlight w:val="none"/>
        </w:rPr>
      </w:pPr>
      <w:r>
        <w:rPr>
          <w:rFonts w:ascii="宋体" w:hAnsi="宋体"/>
          <w:color w:val="auto"/>
          <w:szCs w:val="21"/>
          <w:highlight w:val="none"/>
        </w:rPr>
        <w:t xml:space="preserve">4.5 </w:t>
      </w:r>
      <w:r>
        <w:rPr>
          <w:rFonts w:hint="eastAsia" w:ascii="宋体" w:hAnsi="宋体"/>
          <w:color w:val="auto"/>
          <w:szCs w:val="21"/>
          <w:highlight w:val="none"/>
        </w:rPr>
        <w:t>本合同设计内容：为完成本工程建设任务所需进行的设计内容包括但不限于以下：</w:t>
      </w:r>
    </w:p>
    <w:p>
      <w:pPr>
        <w:spacing w:line="360" w:lineRule="auto"/>
        <w:ind w:firstLine="417" w:firstLineChars="199"/>
        <w:rPr>
          <w:rFonts w:hint="eastAsia" w:ascii="宋体" w:hAnsi="宋体"/>
          <w:color w:val="auto"/>
          <w:szCs w:val="21"/>
          <w:highlight w:val="none"/>
        </w:rPr>
      </w:pPr>
      <w:r>
        <w:rPr>
          <w:rFonts w:hint="eastAsia" w:ascii="宋体" w:hAnsi="宋体"/>
          <w:color w:val="auto"/>
          <w:szCs w:val="21"/>
          <w:highlight w:val="none"/>
        </w:rPr>
        <w:t xml:space="preserve">4.5.1 </w:t>
      </w:r>
      <w:r>
        <w:rPr>
          <w:rFonts w:hint="eastAsia" w:ascii="宋体" w:hAnsi="宋体"/>
          <w:color w:val="auto"/>
          <w:szCs w:val="21"/>
          <w:highlight w:val="none"/>
          <w:lang w:eastAsia="zh-CN"/>
        </w:rPr>
        <w:t>可行性研究报告/项目建议书</w:t>
      </w:r>
      <w:r>
        <w:rPr>
          <w:rFonts w:hint="eastAsia" w:ascii="宋体" w:hAnsi="宋体"/>
          <w:color w:val="auto"/>
          <w:szCs w:val="21"/>
          <w:highlight w:val="none"/>
        </w:rPr>
        <w:t>编制及评审、方案设计及修改、方案评审、初步设计及评审、</w:t>
      </w:r>
      <w:r>
        <w:rPr>
          <w:rFonts w:hint="eastAsia" w:ascii="宋体" w:hAnsi="宋体"/>
          <w:color w:val="auto"/>
          <w:szCs w:val="21"/>
          <w:highlight w:val="none"/>
          <w:lang w:eastAsia="zh-CN"/>
        </w:rPr>
        <w:t>概算/预算</w:t>
      </w:r>
      <w:r>
        <w:rPr>
          <w:rFonts w:hint="eastAsia" w:ascii="宋体" w:hAnsi="宋体"/>
          <w:color w:val="auto"/>
          <w:szCs w:val="21"/>
          <w:highlight w:val="none"/>
        </w:rPr>
        <w:t>编制及评审、</w:t>
      </w:r>
      <w:r>
        <w:rPr>
          <w:rFonts w:hint="eastAsia" w:ascii="宋体" w:hAnsi="宋体"/>
          <w:color w:val="auto"/>
          <w:szCs w:val="21"/>
          <w:highlight w:val="none"/>
          <w:lang w:val="en-US" w:eastAsia="zh-CN"/>
        </w:rPr>
        <w:t>初步设计成果的深度要达到财政评审部门要求的概算/预算编制及评审要求</w:t>
      </w:r>
      <w:r>
        <w:rPr>
          <w:rFonts w:hint="eastAsia" w:ascii="宋体" w:hAnsi="宋体"/>
          <w:color w:val="auto"/>
          <w:szCs w:val="21"/>
          <w:highlight w:val="none"/>
        </w:rPr>
        <w:t>、设备采购及施工招标技术文件编写、</w:t>
      </w:r>
      <w:r>
        <w:rPr>
          <w:rFonts w:hint="eastAsia" w:ascii="宋体" w:hAnsi="宋体"/>
          <w:color w:val="auto"/>
          <w:szCs w:val="21"/>
          <w:highlight w:val="none"/>
          <w:lang w:val="en-US" w:eastAsia="zh-CN"/>
        </w:rPr>
        <w:t>配合</w:t>
      </w:r>
      <w:r>
        <w:rPr>
          <w:rFonts w:hint="eastAsia" w:ascii="宋体" w:hAnsi="宋体"/>
          <w:color w:val="auto"/>
          <w:szCs w:val="21"/>
          <w:highlight w:val="none"/>
        </w:rPr>
        <w:t>工程变更、规划报建（配合办理《建设工程规划许可证》）、基坑支护设计及评审、安全评估报告及评审、与管（渠）建设相关的论证报告及评审、招标技术文件的编写、</w:t>
      </w:r>
      <w:r>
        <w:rPr>
          <w:rFonts w:hint="eastAsia" w:ascii="宋体" w:hAnsi="宋体"/>
          <w:color w:val="auto"/>
          <w:szCs w:val="21"/>
          <w:highlight w:val="none"/>
          <w:lang w:val="en-US" w:eastAsia="zh-CN"/>
        </w:rPr>
        <w:t>配合</w:t>
      </w:r>
      <w:r>
        <w:rPr>
          <w:rFonts w:hint="eastAsia" w:ascii="宋体" w:hAnsi="宋体"/>
          <w:color w:val="auto"/>
          <w:szCs w:val="21"/>
          <w:highlight w:val="none"/>
        </w:rPr>
        <w:t>档案资料编制及移交，现状排水管网分布情况分析及绘制污水总图，负责对勘察成果文件及污染源分布情况进行核对</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配合</w:t>
      </w:r>
      <w:r>
        <w:rPr>
          <w:rFonts w:hint="eastAsia" w:ascii="宋体" w:hAnsi="宋体"/>
          <w:color w:val="auto"/>
          <w:szCs w:val="21"/>
          <w:highlight w:val="none"/>
        </w:rPr>
        <w:t>施工现场技术服务、</w:t>
      </w:r>
      <w:r>
        <w:rPr>
          <w:rFonts w:hint="eastAsia" w:ascii="宋体" w:hAnsi="宋体"/>
          <w:color w:val="auto"/>
          <w:szCs w:val="21"/>
          <w:highlight w:val="none"/>
          <w:lang w:val="en-US" w:eastAsia="zh-CN"/>
        </w:rPr>
        <w:t>配合</w:t>
      </w:r>
      <w:r>
        <w:rPr>
          <w:rFonts w:hint="eastAsia" w:ascii="宋体" w:hAnsi="宋体"/>
          <w:color w:val="auto"/>
          <w:szCs w:val="21"/>
          <w:highlight w:val="none"/>
        </w:rPr>
        <w:t>验收配合等工作。上述未提及但在办理政府及相关部门审批过程中涉及的费用也包括在费用内。</w:t>
      </w:r>
    </w:p>
    <w:p>
      <w:pPr>
        <w:spacing w:line="360" w:lineRule="auto"/>
        <w:ind w:firstLine="417" w:firstLineChars="199"/>
        <w:rPr>
          <w:rFonts w:hint="eastAsia" w:ascii="宋体" w:hAnsi="宋体"/>
          <w:color w:val="auto"/>
          <w:szCs w:val="21"/>
          <w:highlight w:val="none"/>
        </w:rPr>
      </w:pPr>
      <w:r>
        <w:rPr>
          <w:rFonts w:hint="eastAsia" w:ascii="宋体" w:hAnsi="宋体"/>
          <w:color w:val="auto"/>
          <w:szCs w:val="21"/>
          <w:highlight w:val="none"/>
        </w:rPr>
        <w:t>设计人指导发包人开展工作范围内的排水管网的检测工作，并提供技术支持，根据发包人提供的《检测与评估报告》，设计人制定修复及整改方案，确保本项目达到提质增效的目标。</w:t>
      </w:r>
    </w:p>
    <w:p>
      <w:pPr>
        <w:spacing w:line="360" w:lineRule="auto"/>
        <w:ind w:firstLine="417" w:firstLineChars="199"/>
        <w:rPr>
          <w:rFonts w:hint="eastAsia" w:ascii="宋体" w:hAnsi="宋体"/>
          <w:color w:val="auto"/>
          <w:szCs w:val="21"/>
          <w:highlight w:val="none"/>
        </w:rPr>
      </w:pPr>
      <w:r>
        <w:rPr>
          <w:rFonts w:hint="eastAsia" w:ascii="宋体" w:hAnsi="宋体"/>
          <w:color w:val="auto"/>
          <w:szCs w:val="21"/>
          <w:highlight w:val="none"/>
        </w:rPr>
        <w:t xml:space="preserve"> 排水单元达标改造设计工作：根据勘察人提供的《排水单元摸查成果》制定排水单元改造方案，编制《排水单元调查报告》，用于配合完成《建设方案》技术审查工作，配合</w:t>
      </w:r>
      <w:r>
        <w:rPr>
          <w:rFonts w:hint="eastAsia" w:ascii="宋体" w:hAnsi="宋体"/>
          <w:color w:val="auto"/>
          <w:szCs w:val="21"/>
          <w:highlight w:val="none"/>
          <w:lang w:eastAsia="zh-CN"/>
        </w:rPr>
        <w:t>可行性研究报告/项目建议书</w:t>
      </w:r>
      <w:r>
        <w:rPr>
          <w:rFonts w:hint="eastAsia" w:ascii="宋体" w:hAnsi="宋体"/>
          <w:color w:val="auto"/>
          <w:szCs w:val="21"/>
          <w:highlight w:val="none"/>
        </w:rPr>
        <w:t>编制单位完成立项工作。</w:t>
      </w:r>
    </w:p>
    <w:p>
      <w:pPr>
        <w:spacing w:line="360" w:lineRule="auto"/>
        <w:ind w:firstLine="417" w:firstLineChars="199"/>
        <w:rPr>
          <w:rFonts w:hint="eastAsia" w:ascii="宋体" w:hAnsi="宋体"/>
          <w:color w:val="auto"/>
          <w:szCs w:val="21"/>
          <w:highlight w:val="none"/>
        </w:rPr>
      </w:pPr>
      <w:r>
        <w:rPr>
          <w:rFonts w:hint="eastAsia" w:ascii="宋体" w:hAnsi="宋体"/>
          <w:color w:val="auto"/>
          <w:szCs w:val="21"/>
          <w:highlight w:val="none"/>
        </w:rPr>
        <w:t>4.5.2工程</w:t>
      </w:r>
      <w:r>
        <w:rPr>
          <w:rFonts w:hint="eastAsia" w:ascii="宋体" w:hAnsi="宋体"/>
          <w:color w:val="auto"/>
          <w:szCs w:val="21"/>
          <w:highlight w:val="none"/>
          <w:lang w:eastAsia="zh-CN"/>
        </w:rPr>
        <w:t>概算/预算</w:t>
      </w:r>
      <w:r>
        <w:rPr>
          <w:rFonts w:hint="eastAsia" w:ascii="宋体" w:hAnsi="宋体"/>
          <w:color w:val="auto"/>
          <w:szCs w:val="21"/>
          <w:highlight w:val="none"/>
        </w:rPr>
        <w:t>书编制、施工招标技术文件编制、设备采购与安装招标技术文件编制。</w:t>
      </w:r>
    </w:p>
    <w:p>
      <w:pPr>
        <w:spacing w:line="360" w:lineRule="auto"/>
        <w:ind w:firstLine="417" w:firstLineChars="199"/>
        <w:rPr>
          <w:rFonts w:hint="eastAsia" w:ascii="宋体" w:hAnsi="宋体"/>
          <w:color w:val="auto"/>
          <w:szCs w:val="21"/>
          <w:highlight w:val="none"/>
        </w:rPr>
      </w:pPr>
      <w:r>
        <w:rPr>
          <w:rFonts w:hint="eastAsia" w:ascii="宋体" w:hAnsi="宋体"/>
          <w:color w:val="auto"/>
          <w:szCs w:val="21"/>
          <w:highlight w:val="none"/>
        </w:rPr>
        <w:t>4.5.3办理其他事项的要求：负责编制报建图及办理所有规划报建（发包人协调，设计人负责技术性工作及事务性工作）及配合验收；现场指导与监督【设计阶段根据工程建设的需要及发包人的要求确定服务时间；</w:t>
      </w:r>
      <w:r>
        <w:rPr>
          <w:rFonts w:hint="eastAsia" w:ascii="宋体" w:hAnsi="宋体"/>
          <w:b/>
          <w:color w:val="auto"/>
          <w:szCs w:val="21"/>
          <w:highlight w:val="none"/>
        </w:rPr>
        <w:t>从合同签订之日起，设计阶段</w:t>
      </w:r>
      <w:r>
        <w:rPr>
          <w:rFonts w:hint="eastAsia" w:ascii="宋体" w:hAnsi="宋体"/>
          <w:b/>
          <w:color w:val="auto"/>
          <w:szCs w:val="21"/>
          <w:highlight w:val="none"/>
        </w:rPr>
        <w:t>必须</w:t>
      </w:r>
      <w:r>
        <w:rPr>
          <w:rFonts w:hint="eastAsia" w:ascii="宋体" w:hAnsi="宋体"/>
          <w:b/>
          <w:color w:val="auto"/>
          <w:szCs w:val="21"/>
          <w:highlight w:val="none"/>
        </w:rPr>
        <w:t>派驻1名设计人员（工艺或结构）到发包人办公地点协助技术部门开展全过程勘察设计工作，并派驻专人办理规划报建手续；施工阶段</w:t>
      </w:r>
      <w:r>
        <w:rPr>
          <w:rFonts w:hint="eastAsia" w:ascii="宋体" w:hAnsi="宋体"/>
          <w:b/>
          <w:color w:val="auto"/>
          <w:szCs w:val="21"/>
          <w:highlight w:val="none"/>
        </w:rPr>
        <w:t>必须分别</w:t>
      </w:r>
      <w:r>
        <w:rPr>
          <w:rFonts w:hint="eastAsia" w:ascii="宋体" w:hAnsi="宋体"/>
          <w:b/>
          <w:color w:val="auto"/>
          <w:szCs w:val="21"/>
          <w:highlight w:val="none"/>
        </w:rPr>
        <w:t>派出一名工艺设计人员</w:t>
      </w:r>
      <w:r>
        <w:rPr>
          <w:rFonts w:hint="eastAsia" w:ascii="宋体" w:hAnsi="宋体"/>
          <w:b/>
          <w:color w:val="auto"/>
          <w:szCs w:val="21"/>
          <w:highlight w:val="none"/>
        </w:rPr>
        <w:t>及</w:t>
      </w:r>
      <w:r>
        <w:rPr>
          <w:rFonts w:hint="eastAsia" w:ascii="宋体" w:hAnsi="宋体"/>
          <w:b/>
          <w:color w:val="auto"/>
          <w:szCs w:val="21"/>
          <w:highlight w:val="none"/>
        </w:rPr>
        <w:t>结构设计人员驻施工现场，协助发包人对施工现场进行技术指导工作</w:t>
      </w:r>
      <w:r>
        <w:rPr>
          <w:rFonts w:hint="eastAsia" w:ascii="宋体" w:hAnsi="宋体"/>
          <w:b/>
          <w:color w:val="auto"/>
          <w:szCs w:val="21"/>
          <w:highlight w:val="none"/>
        </w:rPr>
        <w:t>）。</w:t>
      </w:r>
    </w:p>
    <w:p>
      <w:pPr>
        <w:spacing w:line="360" w:lineRule="auto"/>
        <w:ind w:firstLine="417" w:firstLineChars="199"/>
        <w:rPr>
          <w:rFonts w:hint="eastAsia" w:ascii="宋体" w:hAnsi="宋体"/>
          <w:color w:val="auto"/>
          <w:szCs w:val="21"/>
          <w:highlight w:val="none"/>
        </w:rPr>
      </w:pPr>
      <w:r>
        <w:rPr>
          <w:rFonts w:hint="eastAsia" w:ascii="宋体" w:hAnsi="宋体"/>
          <w:color w:val="auto"/>
          <w:szCs w:val="21"/>
          <w:highlight w:val="none"/>
        </w:rPr>
        <w:t>4.5.4设计专业包括：工艺、环境、结构（含基坑支护、沉降观测、路面修复、房屋保护、现有管线的保护（尤其是电力及燃气管线））、水利、设备、电气及自动化、建筑、园林绿化、消防、防雷、给排水、造价等专业。</w:t>
      </w:r>
    </w:p>
    <w:p>
      <w:pPr>
        <w:spacing w:line="360" w:lineRule="auto"/>
        <w:ind w:firstLine="417" w:firstLineChars="199"/>
        <w:rPr>
          <w:rFonts w:hint="eastAsia" w:ascii="宋体" w:hAnsi="宋体"/>
          <w:color w:val="auto"/>
          <w:szCs w:val="21"/>
          <w:highlight w:val="none"/>
        </w:rPr>
      </w:pPr>
      <w:r>
        <w:rPr>
          <w:rFonts w:hint="eastAsia" w:ascii="宋体" w:hAnsi="宋体"/>
          <w:color w:val="auto"/>
          <w:szCs w:val="21"/>
          <w:highlight w:val="none"/>
        </w:rPr>
        <w:t>4.5.5 在设计工作开展前，对发包人提供的</w:t>
      </w:r>
      <w:r>
        <w:rPr>
          <w:rFonts w:hint="eastAsia" w:ascii="宋体" w:hAnsi="宋体"/>
          <w:bCs/>
          <w:color w:val="auto"/>
          <w:szCs w:val="21"/>
          <w:highlight w:val="none"/>
        </w:rPr>
        <w:t>排水单元成果文件进行整理及优化</w:t>
      </w:r>
      <w:r>
        <w:rPr>
          <w:rFonts w:hint="eastAsia" w:ascii="宋体" w:hAnsi="宋体"/>
          <w:b/>
          <w:color w:val="auto"/>
          <w:szCs w:val="21"/>
          <w:highlight w:val="none"/>
        </w:rPr>
        <w:t>；</w:t>
      </w:r>
      <w:r>
        <w:rPr>
          <w:rFonts w:hint="eastAsia" w:ascii="宋体" w:hAnsi="宋体"/>
          <w:color w:val="auto"/>
          <w:szCs w:val="21"/>
          <w:highlight w:val="none"/>
        </w:rPr>
        <w:t>对发包人无法提供资料的排水单元，由设计人自行对片区排水单元的排水现状进行调查，并结合勘察人提供的摸查成果，找出排水单元与市政管道的接驳关系，明确排水管道的具体位置、水量、浓度、高程、管径等技术参数，对现场进行核实后提出解决方案，并出具经审核认可的《排水单元调查报告》。</w:t>
      </w:r>
    </w:p>
    <w:p>
      <w:pPr>
        <w:spacing w:line="360" w:lineRule="auto"/>
        <w:ind w:firstLine="417" w:firstLineChars="199"/>
        <w:rPr>
          <w:rFonts w:hint="eastAsia" w:ascii="宋体" w:hAnsi="宋体"/>
          <w:color w:val="auto"/>
          <w:szCs w:val="21"/>
          <w:highlight w:val="none"/>
        </w:rPr>
      </w:pPr>
      <w:r>
        <w:rPr>
          <w:rFonts w:hint="eastAsia" w:ascii="宋体" w:hAnsi="宋体"/>
          <w:color w:val="auto"/>
          <w:szCs w:val="21"/>
          <w:highlight w:val="none"/>
        </w:rPr>
        <w:t>4.5.6本合同项目的名称、规模、阶段、投资等见下表。</w:t>
      </w:r>
    </w:p>
    <w:p>
      <w:pPr>
        <w:spacing w:line="360" w:lineRule="auto"/>
        <w:ind w:firstLine="417" w:firstLineChars="199"/>
        <w:rPr>
          <w:rFonts w:hint="eastAsia" w:ascii="宋体" w:hAnsi="宋体"/>
          <w:color w:val="auto"/>
          <w:szCs w:val="21"/>
          <w:highlight w:val="none"/>
        </w:rPr>
      </w:pPr>
    </w:p>
    <w:tbl>
      <w:tblPr>
        <w:tblStyle w:val="30"/>
        <w:tblW w:w="10171"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1505"/>
        <w:gridCol w:w="667"/>
        <w:gridCol w:w="1349"/>
        <w:gridCol w:w="750"/>
        <w:gridCol w:w="800"/>
        <w:gridCol w:w="861"/>
        <w:gridCol w:w="1050"/>
        <w:gridCol w:w="658"/>
        <w:gridCol w:w="646"/>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284" w:hRule="atLeast"/>
        </w:trPr>
        <w:tc>
          <w:tcPr>
            <w:tcW w:w="55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505" w:type="dxa"/>
            <w:vMerge w:val="restart"/>
            <w:tcBorders>
              <w:top w:val="single" w:color="auto" w:sz="4" w:space="0"/>
              <w:left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工程名称</w:t>
            </w:r>
          </w:p>
        </w:tc>
        <w:tc>
          <w:tcPr>
            <w:tcW w:w="201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建设规模</w:t>
            </w:r>
          </w:p>
        </w:tc>
        <w:tc>
          <w:tcPr>
            <w:tcW w:w="241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设计阶段及内容</w:t>
            </w: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估算</w:t>
            </w:r>
            <w:r>
              <w:rPr>
                <w:rFonts w:hint="eastAsia" w:ascii="宋体" w:hAnsi="宋体"/>
                <w:color w:val="auto"/>
                <w:szCs w:val="21"/>
                <w:highlight w:val="none"/>
                <w:lang w:eastAsia="zh-CN"/>
              </w:rPr>
              <w:t>总投资</w:t>
            </w:r>
          </w:p>
          <w:p>
            <w:pPr>
              <w:jc w:val="center"/>
              <w:rPr>
                <w:rFonts w:ascii="宋体" w:hAnsi="宋体"/>
                <w:color w:val="auto"/>
                <w:szCs w:val="21"/>
                <w:highlight w:val="none"/>
              </w:rPr>
            </w:pPr>
            <w:r>
              <w:rPr>
                <w:rFonts w:hint="eastAsia" w:ascii="宋体" w:hAnsi="宋体"/>
                <w:color w:val="auto"/>
                <w:szCs w:val="21"/>
                <w:highlight w:val="none"/>
              </w:rPr>
              <w:t>（万元）</w:t>
            </w:r>
          </w:p>
        </w:tc>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费率</w:t>
            </w:r>
          </w:p>
          <w:p>
            <w:pPr>
              <w:jc w:val="center"/>
              <w:rPr>
                <w:rFonts w:ascii="宋体" w:hAnsi="宋体"/>
                <w:color w:val="auto"/>
                <w:szCs w:val="21"/>
                <w:highlight w:val="none"/>
              </w:rPr>
            </w:pPr>
            <w:r>
              <w:rPr>
                <w:rFonts w:hint="eastAsia" w:ascii="宋体" w:hAnsi="宋体"/>
                <w:color w:val="auto"/>
                <w:szCs w:val="21"/>
                <w:highlight w:val="none"/>
              </w:rPr>
              <w:t>(%)</w:t>
            </w:r>
          </w:p>
        </w:tc>
        <w:tc>
          <w:tcPr>
            <w:tcW w:w="64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 w:val="18"/>
                <w:szCs w:val="21"/>
                <w:highlight w:val="none"/>
              </w:rPr>
              <w:t>费率调整系数</w:t>
            </w:r>
          </w:p>
        </w:tc>
        <w:tc>
          <w:tcPr>
            <w:tcW w:w="132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合同设计费</w:t>
            </w:r>
          </w:p>
          <w:p>
            <w:pPr>
              <w:jc w:val="center"/>
              <w:rPr>
                <w:rFonts w:ascii="宋体" w:hAnsi="宋体"/>
                <w:color w:val="auto"/>
                <w:szCs w:val="21"/>
                <w:highlight w:val="none"/>
              </w:rPr>
            </w:pPr>
            <w:r>
              <w:rPr>
                <w:rFonts w:hint="eastAsia" w:ascii="宋体" w:hAnsi="宋体"/>
                <w:color w:val="auto"/>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725" w:hRule="atLeast"/>
        </w:trPr>
        <w:tc>
          <w:tcPr>
            <w:tcW w:w="55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c>
          <w:tcPr>
            <w:tcW w:w="1505" w:type="dxa"/>
            <w:vMerge w:val="continue"/>
            <w:tcBorders>
              <w:left w:val="single" w:color="auto" w:sz="4" w:space="0"/>
              <w:bottom w:val="single" w:color="auto" w:sz="4" w:space="0"/>
              <w:right w:val="single" w:color="auto" w:sz="4" w:space="0"/>
            </w:tcBorders>
            <w:noWrap w:val="0"/>
            <w:vAlign w:val="center"/>
          </w:tcPr>
          <w:p>
            <w:pPr>
              <w:jc w:val="left"/>
              <w:rPr>
                <w:rFonts w:ascii="宋体" w:hAnsi="宋体"/>
                <w:color w:val="auto"/>
                <w:szCs w:val="21"/>
                <w:highlight w:val="none"/>
              </w:rPr>
            </w:pPr>
          </w:p>
        </w:tc>
        <w:tc>
          <w:tcPr>
            <w:tcW w:w="6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单位</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工程量</w:t>
            </w: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方案</w:t>
            </w:r>
          </w:p>
        </w:tc>
        <w:tc>
          <w:tcPr>
            <w:tcW w:w="8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初步设计</w:t>
            </w:r>
          </w:p>
        </w:tc>
        <w:tc>
          <w:tcPr>
            <w:tcW w:w="8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c>
          <w:tcPr>
            <w:tcW w:w="6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c>
          <w:tcPr>
            <w:tcW w:w="13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967" w:hRule="atLeast"/>
        </w:trPr>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1505" w:type="dxa"/>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Cs w:val="21"/>
                <w:highlight w:val="none"/>
              </w:rPr>
            </w:pPr>
          </w:p>
        </w:tc>
        <w:tc>
          <w:tcPr>
            <w:tcW w:w="6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highlight w:val="none"/>
              </w:rPr>
            </w:pPr>
            <w:r>
              <w:rPr>
                <w:rFonts w:hint="eastAsia" w:ascii="宋体" w:hAnsi="宋体"/>
                <w:szCs w:val="21"/>
                <w:highlight w:val="none"/>
              </w:rPr>
              <w:t>/</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 w:val="13"/>
                <w:szCs w:val="21"/>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w:t>
            </w:r>
          </w:p>
        </w:tc>
        <w:tc>
          <w:tcPr>
            <w:tcW w:w="8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w:t>
            </w:r>
          </w:p>
        </w:tc>
        <w:tc>
          <w:tcPr>
            <w:tcW w:w="8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Cs w:val="21"/>
                <w:highlight w:val="none"/>
                <w:lang w:val="en-US" w:eastAsia="zh-CN"/>
              </w:rPr>
            </w:pPr>
          </w:p>
        </w:tc>
        <w:tc>
          <w:tcPr>
            <w:tcW w:w="65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highlight w:val="none"/>
              </w:rPr>
            </w:pPr>
            <w:r>
              <w:rPr>
                <w:rFonts w:hint="eastAsia" w:ascii="宋体" w:hAnsi="宋体"/>
                <w:szCs w:val="21"/>
                <w:highlight w:val="none"/>
              </w:rPr>
              <w:t>/</w:t>
            </w:r>
          </w:p>
        </w:tc>
        <w:tc>
          <w:tcPr>
            <w:tcW w:w="6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highlight w:val="none"/>
              </w:rPr>
            </w:pPr>
            <w:r>
              <w:rPr>
                <w:rFonts w:hint="eastAsia" w:ascii="宋体" w:hAnsi="宋体"/>
                <w:szCs w:val="21"/>
                <w:highlight w:val="none"/>
              </w:rPr>
              <w:t>/</w:t>
            </w:r>
          </w:p>
        </w:tc>
        <w:tc>
          <w:tcPr>
            <w:tcW w:w="1328" w:type="dxa"/>
            <w:tcBorders>
              <w:top w:val="single" w:color="auto" w:sz="4" w:space="0"/>
              <w:left w:val="single" w:color="auto" w:sz="4" w:space="0"/>
              <w:right w:val="single" w:color="auto" w:sz="4" w:space="0"/>
            </w:tcBorders>
            <w:noWrap w:val="0"/>
            <w:vAlign w:val="center"/>
          </w:tcPr>
          <w:p>
            <w:pPr>
              <w:jc w:val="center"/>
              <w:rPr>
                <w:rFonts w:hint="default" w:ascii="宋体" w:hAnsi="宋体" w:eastAsia="宋体"/>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57" w:hRule="atLeast"/>
        </w:trPr>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15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合计</w:t>
            </w:r>
          </w:p>
        </w:tc>
        <w:tc>
          <w:tcPr>
            <w:tcW w:w="6781"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1701" w:hRule="atLeast"/>
        </w:trPr>
        <w:tc>
          <w:tcPr>
            <w:tcW w:w="55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说明</w:t>
            </w:r>
          </w:p>
        </w:tc>
        <w:tc>
          <w:tcPr>
            <w:tcW w:w="9614" w:type="dxa"/>
            <w:gridSpan w:val="10"/>
            <w:tcBorders>
              <w:top w:val="single" w:color="auto" w:sz="4" w:space="0"/>
              <w:left w:val="single" w:color="auto" w:sz="4" w:space="0"/>
              <w:bottom w:val="single" w:color="auto" w:sz="4" w:space="0"/>
              <w:right w:val="single" w:color="auto" w:sz="4" w:space="0"/>
            </w:tcBorders>
            <w:noWrap w:val="0"/>
            <w:vAlign w:val="center"/>
          </w:tcPr>
          <w:p>
            <w:pPr>
              <w:jc w:val="left"/>
              <w:rPr>
                <w:rFonts w:ascii="宋体" w:hAnsi="宋体"/>
                <w:color w:val="auto"/>
                <w:szCs w:val="21"/>
                <w:highlight w:val="none"/>
              </w:rPr>
            </w:pPr>
            <w:r>
              <w:rPr>
                <w:rFonts w:hint="eastAsia" w:ascii="宋体" w:hAnsi="宋体"/>
                <w:color w:val="auto"/>
                <w:szCs w:val="21"/>
                <w:highlight w:val="none"/>
              </w:rPr>
              <w:t>1、本工程按照以最终取得的发改部门</w:t>
            </w:r>
            <w:r>
              <w:rPr>
                <w:rFonts w:hint="eastAsia" w:ascii="宋体" w:hAnsi="宋体"/>
                <w:color w:val="auto"/>
                <w:szCs w:val="21"/>
                <w:highlight w:val="none"/>
                <w:lang w:eastAsia="zh-CN"/>
              </w:rPr>
              <w:t>可行性研究报告/项目建议书</w:t>
            </w:r>
            <w:r>
              <w:rPr>
                <w:rFonts w:hint="eastAsia" w:ascii="宋体" w:hAnsi="宋体"/>
                <w:color w:val="auto"/>
                <w:szCs w:val="21"/>
                <w:highlight w:val="none"/>
              </w:rPr>
              <w:t>批复的建安费为投资限额设计。</w:t>
            </w:r>
          </w:p>
          <w:p>
            <w:pPr>
              <w:ind w:left="210" w:hanging="210" w:hangingChars="100"/>
              <w:jc w:val="left"/>
              <w:rPr>
                <w:rFonts w:hint="eastAsia" w:ascii="宋体" w:hAnsi="宋体"/>
                <w:color w:val="auto"/>
                <w:szCs w:val="21"/>
                <w:highlight w:val="none"/>
              </w:rPr>
            </w:pPr>
            <w:r>
              <w:rPr>
                <w:rFonts w:hint="eastAsia" w:ascii="宋体" w:hAnsi="宋体"/>
                <w:color w:val="auto"/>
                <w:szCs w:val="21"/>
                <w:highlight w:val="none"/>
              </w:rPr>
              <w:t>2、参照《工程勘察设计收费标准（2002年修订本）》暂定：专业调整系数取1.0，工程复杂程度调整系数取1.15，附加调整系数取1.25，最终以财政审定为准。</w:t>
            </w:r>
          </w:p>
          <w:p>
            <w:pPr>
              <w:ind w:left="210" w:hanging="210" w:hangingChars="100"/>
              <w:jc w:val="left"/>
              <w:rPr>
                <w:rFonts w:ascii="宋体" w:hAnsi="宋体"/>
                <w:color w:val="auto"/>
                <w:szCs w:val="21"/>
                <w:highlight w:val="none"/>
              </w:rPr>
            </w:pPr>
            <w:r>
              <w:rPr>
                <w:rFonts w:hint="eastAsia" w:ascii="宋体" w:hAnsi="宋体"/>
                <w:color w:val="auto"/>
                <w:szCs w:val="21"/>
                <w:highlight w:val="none"/>
              </w:rPr>
              <w:t>3、【工程量】一列的填写：若为建筑物，则应填写层数及建筑面积值；若为构筑物，则应填写体积值；若为市政项目，则应填写管线长度或道路面积值。</w:t>
            </w:r>
          </w:p>
        </w:tc>
      </w:tr>
    </w:tbl>
    <w:p>
      <w:pPr>
        <w:widowControl/>
        <w:spacing w:line="360" w:lineRule="auto"/>
        <w:jc w:val="left"/>
        <w:rPr>
          <w:rFonts w:hint="eastAsia" w:ascii="宋体" w:hAnsi="宋体"/>
          <w:color w:val="auto"/>
          <w:szCs w:val="21"/>
          <w:highlight w:val="none"/>
        </w:rPr>
      </w:pPr>
    </w:p>
    <w:p>
      <w:pPr>
        <w:widowControl/>
        <w:spacing w:line="360" w:lineRule="auto"/>
        <w:ind w:firstLine="316" w:firstLineChars="150"/>
        <w:jc w:val="left"/>
        <w:rPr>
          <w:rFonts w:hint="eastAsia" w:ascii="宋体" w:hAnsi="宋体"/>
          <w:b/>
          <w:color w:val="auto"/>
          <w:szCs w:val="21"/>
          <w:highlight w:val="none"/>
        </w:rPr>
      </w:pPr>
      <w:r>
        <w:rPr>
          <w:rFonts w:hint="eastAsia" w:ascii="宋体" w:hAnsi="宋体"/>
          <w:b/>
          <w:color w:val="auto"/>
          <w:szCs w:val="21"/>
          <w:highlight w:val="none"/>
        </w:rPr>
        <w:t>第五条 发包人向设计人提交的有关资料、文件及时间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0"/>
        <w:gridCol w:w="4108"/>
        <w:gridCol w:w="712"/>
        <w:gridCol w:w="1839"/>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blHeader/>
          <w:jc w:val="center"/>
        </w:trPr>
        <w:tc>
          <w:tcPr>
            <w:tcW w:w="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41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资料及文件名称</w:t>
            </w:r>
          </w:p>
        </w:tc>
        <w:tc>
          <w:tcPr>
            <w:tcW w:w="7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份数</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内容要求</w:t>
            </w:r>
          </w:p>
        </w:tc>
        <w:tc>
          <w:tcPr>
            <w:tcW w:w="21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 w:hRule="atLeast"/>
          <w:jc w:val="center"/>
        </w:trPr>
        <w:tc>
          <w:tcPr>
            <w:tcW w:w="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41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委托书（或中标通知书）</w:t>
            </w:r>
          </w:p>
        </w:tc>
        <w:tc>
          <w:tcPr>
            <w:tcW w:w="7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原件</w:t>
            </w:r>
          </w:p>
        </w:tc>
        <w:tc>
          <w:tcPr>
            <w:tcW w:w="21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合同签订前提供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wAfter w:w="0" w:type="auto"/>
          <w:trHeight w:val="940" w:hRule="atLeast"/>
          <w:jc w:val="center"/>
        </w:trPr>
        <w:tc>
          <w:tcPr>
            <w:tcW w:w="6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p>
        </w:tc>
        <w:tc>
          <w:tcPr>
            <w:tcW w:w="410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有关基础资料</w:t>
            </w:r>
          </w:p>
          <w:p>
            <w:pPr>
              <w:rPr>
                <w:rFonts w:ascii="宋体" w:hAnsi="宋体"/>
                <w:color w:val="auto"/>
                <w:szCs w:val="21"/>
                <w:highlight w:val="none"/>
              </w:rPr>
            </w:pPr>
            <w:r>
              <w:rPr>
                <w:rFonts w:hint="eastAsia" w:ascii="宋体" w:hAnsi="宋体"/>
                <w:color w:val="auto"/>
                <w:szCs w:val="21"/>
                <w:highlight w:val="none"/>
              </w:rPr>
              <w:t>（发包人提供基础资料有限，由设计人自行收集与设计有关的资料）</w:t>
            </w:r>
          </w:p>
        </w:tc>
        <w:tc>
          <w:tcPr>
            <w:tcW w:w="7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183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p>
        </w:tc>
        <w:tc>
          <w:tcPr>
            <w:tcW w:w="217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已提供</w:t>
            </w:r>
          </w:p>
        </w:tc>
      </w:tr>
    </w:tbl>
    <w:p>
      <w:pPr>
        <w:pStyle w:val="17"/>
        <w:spacing w:line="360" w:lineRule="auto"/>
        <w:ind w:firstLine="402" w:firstLineChars="200"/>
        <w:rPr>
          <w:rFonts w:hint="eastAsia" w:hAnsi="宋体"/>
          <w:b/>
          <w:color w:val="auto"/>
          <w:szCs w:val="21"/>
          <w:highlight w:val="none"/>
        </w:rPr>
      </w:pPr>
    </w:p>
    <w:p>
      <w:pPr>
        <w:pStyle w:val="17"/>
        <w:spacing w:line="360" w:lineRule="auto"/>
        <w:ind w:firstLine="402" w:firstLineChars="200"/>
        <w:rPr>
          <w:rFonts w:hint="eastAsia" w:hAnsi="宋体"/>
          <w:color w:val="auto"/>
          <w:szCs w:val="21"/>
          <w:highlight w:val="none"/>
        </w:rPr>
      </w:pPr>
      <w:r>
        <w:rPr>
          <w:rFonts w:hint="eastAsia" w:hAnsi="宋体"/>
          <w:b/>
          <w:color w:val="auto"/>
          <w:szCs w:val="21"/>
          <w:highlight w:val="none"/>
        </w:rPr>
        <w:t>第六条</w:t>
      </w:r>
      <w:r>
        <w:rPr>
          <w:rFonts w:hint="eastAsia" w:hAnsi="宋体"/>
          <w:color w:val="auto"/>
          <w:szCs w:val="21"/>
          <w:highlight w:val="none"/>
        </w:rPr>
        <w:t xml:space="preserve">  设计人应向发包人交付的设计资料及文件： </w:t>
      </w:r>
    </w:p>
    <w:tbl>
      <w:tblPr>
        <w:tblStyle w:val="30"/>
        <w:tblW w:w="9743" w:type="dxa"/>
        <w:tblInd w:w="2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0"/>
        <w:gridCol w:w="2700"/>
        <w:gridCol w:w="900"/>
        <w:gridCol w:w="2520"/>
        <w:gridCol w:w="30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blHeader/>
        </w:trPr>
        <w:tc>
          <w:tcPr>
            <w:tcW w:w="540" w:type="dxa"/>
            <w:tcBorders>
              <w:top w:val="single" w:color="auto" w:sz="6" w:space="0"/>
              <w:left w:val="single" w:color="auto" w:sz="6" w:space="0"/>
              <w:bottom w:val="single" w:color="auto" w:sz="6" w:space="0"/>
              <w:right w:val="single" w:color="auto" w:sz="6" w:space="0"/>
            </w:tcBorders>
            <w:noWrap w:val="0"/>
            <w:vAlign w:val="top"/>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资料及文件名称</w:t>
            </w:r>
          </w:p>
        </w:tc>
        <w:tc>
          <w:tcPr>
            <w:tcW w:w="9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05" w:firstLineChars="50"/>
              <w:jc w:val="center"/>
              <w:rPr>
                <w:rFonts w:ascii="宋体" w:hAnsi="宋体"/>
                <w:color w:val="auto"/>
                <w:szCs w:val="21"/>
                <w:highlight w:val="none"/>
              </w:rPr>
            </w:pPr>
            <w:r>
              <w:rPr>
                <w:rFonts w:hint="eastAsia" w:ascii="宋体" w:hAnsi="宋体"/>
                <w:color w:val="auto"/>
                <w:szCs w:val="21"/>
                <w:highlight w:val="none"/>
              </w:rPr>
              <w:t>份数</w:t>
            </w:r>
          </w:p>
        </w:tc>
        <w:tc>
          <w:tcPr>
            <w:tcW w:w="25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提交日期</w:t>
            </w:r>
          </w:p>
        </w:tc>
        <w:tc>
          <w:tcPr>
            <w:tcW w:w="30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有关事宜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4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hint="eastAsia" w:ascii="宋体" w:hAnsi="宋体" w:eastAsia="宋体"/>
                <w:strike/>
                <w:color w:val="auto"/>
                <w:szCs w:val="21"/>
                <w:highlight w:val="none"/>
                <w:lang w:eastAsia="zh-CN"/>
              </w:rPr>
            </w:pPr>
            <w:r>
              <w:rPr>
                <w:rFonts w:hint="eastAsia" w:ascii="宋体" w:hAnsi="宋体"/>
                <w:color w:val="auto"/>
                <w:szCs w:val="21"/>
                <w:highlight w:val="none"/>
                <w:lang w:val="en-US" w:eastAsia="zh-CN"/>
              </w:rPr>
              <w:t>1</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方案设计、评审及修改</w:t>
            </w:r>
          </w:p>
          <w:p>
            <w:pPr>
              <w:spacing w:line="320" w:lineRule="exact"/>
              <w:jc w:val="center"/>
              <w:rPr>
                <w:rFonts w:hint="eastAsia" w:ascii="宋体" w:hAnsi="宋体"/>
                <w:strike/>
                <w:color w:val="auto"/>
                <w:szCs w:val="21"/>
                <w:highlight w:val="none"/>
              </w:rPr>
            </w:pPr>
            <w:r>
              <w:rPr>
                <w:rFonts w:hint="eastAsia" w:ascii="宋体" w:hAnsi="宋体"/>
                <w:color w:val="auto"/>
                <w:szCs w:val="21"/>
                <w:highlight w:val="none"/>
              </w:rPr>
              <w:t>（含规划报建：五图一书）</w:t>
            </w:r>
          </w:p>
        </w:tc>
        <w:tc>
          <w:tcPr>
            <w:tcW w:w="90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按需</w:t>
            </w:r>
          </w:p>
          <w:p>
            <w:pPr>
              <w:spacing w:line="320" w:lineRule="exact"/>
              <w:jc w:val="center"/>
              <w:rPr>
                <w:rFonts w:hint="eastAsia" w:ascii="宋体" w:hAnsi="宋体"/>
                <w:strike/>
                <w:color w:val="auto"/>
                <w:szCs w:val="21"/>
                <w:highlight w:val="none"/>
              </w:rPr>
            </w:pPr>
            <w:r>
              <w:rPr>
                <w:rFonts w:hint="eastAsia" w:ascii="宋体" w:hAnsi="宋体"/>
                <w:color w:val="auto"/>
                <w:szCs w:val="21"/>
                <w:highlight w:val="none"/>
              </w:rPr>
              <w:t>提供</w:t>
            </w:r>
          </w:p>
        </w:tc>
        <w:tc>
          <w:tcPr>
            <w:tcW w:w="2520" w:type="dxa"/>
            <w:tcBorders>
              <w:left w:val="single" w:color="auto" w:sz="6" w:space="0"/>
              <w:bottom w:val="single" w:color="auto" w:sz="6" w:space="0"/>
              <w:right w:val="single" w:color="auto" w:sz="6" w:space="0"/>
            </w:tcBorders>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合同签订后</w:t>
            </w:r>
            <w:r>
              <w:rPr>
                <w:rFonts w:hint="eastAsia" w:ascii="宋体" w:hAnsi="宋体"/>
                <w:color w:val="auto"/>
                <w:szCs w:val="21"/>
                <w:highlight w:val="none"/>
                <w:lang w:val="en-US" w:eastAsia="zh-CN"/>
              </w:rPr>
              <w:t>30</w:t>
            </w:r>
            <w:r>
              <w:rPr>
                <w:rFonts w:hint="eastAsia" w:ascii="宋体" w:hAnsi="宋体"/>
                <w:color w:val="auto"/>
                <w:szCs w:val="21"/>
                <w:highlight w:val="none"/>
              </w:rPr>
              <w:t>个日历天</w:t>
            </w:r>
          </w:p>
        </w:tc>
        <w:tc>
          <w:tcPr>
            <w:tcW w:w="30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根据发包人要求分批次提供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1" w:hRule="atLeast"/>
        </w:trPr>
        <w:tc>
          <w:tcPr>
            <w:tcW w:w="54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管线工程及或泵站报建</w:t>
            </w:r>
          </w:p>
          <w:p>
            <w:pPr>
              <w:spacing w:line="320" w:lineRule="exact"/>
              <w:jc w:val="center"/>
              <w:rPr>
                <w:rFonts w:ascii="宋体" w:hAnsi="宋体"/>
                <w:color w:val="auto"/>
                <w:szCs w:val="21"/>
                <w:highlight w:val="none"/>
              </w:rPr>
            </w:pPr>
            <w:r>
              <w:rPr>
                <w:rFonts w:hint="eastAsia" w:ascii="宋体" w:hAnsi="宋体"/>
                <w:color w:val="auto"/>
                <w:szCs w:val="21"/>
                <w:highlight w:val="none"/>
              </w:rPr>
              <w:t>（配合办理《建设工程规划许可证》）</w:t>
            </w:r>
          </w:p>
        </w:tc>
        <w:tc>
          <w:tcPr>
            <w:tcW w:w="90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按需</w:t>
            </w:r>
          </w:p>
          <w:p>
            <w:pPr>
              <w:spacing w:line="320" w:lineRule="exact"/>
              <w:jc w:val="center"/>
              <w:rPr>
                <w:rFonts w:ascii="宋体" w:hAnsi="宋体"/>
                <w:color w:val="auto"/>
                <w:szCs w:val="21"/>
                <w:highlight w:val="none"/>
              </w:rPr>
            </w:pPr>
            <w:r>
              <w:rPr>
                <w:rFonts w:hint="eastAsia" w:ascii="宋体" w:hAnsi="宋体"/>
                <w:color w:val="auto"/>
                <w:szCs w:val="21"/>
                <w:highlight w:val="none"/>
              </w:rPr>
              <w:t>提供</w:t>
            </w:r>
          </w:p>
        </w:tc>
        <w:tc>
          <w:tcPr>
            <w:tcW w:w="2520" w:type="dxa"/>
            <w:tcBorders>
              <w:top w:val="single" w:color="auto" w:sz="6" w:space="0"/>
              <w:left w:val="single" w:color="auto" w:sz="6" w:space="0"/>
              <w:right w:val="single" w:color="auto" w:sz="6" w:space="0"/>
            </w:tcBorders>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合同签订后</w:t>
            </w:r>
            <w:r>
              <w:rPr>
                <w:rFonts w:hint="eastAsia" w:ascii="宋体" w:hAnsi="宋体"/>
                <w:color w:val="auto"/>
                <w:szCs w:val="21"/>
                <w:highlight w:val="none"/>
                <w:lang w:val="en-US" w:eastAsia="zh-CN"/>
              </w:rPr>
              <w:t>30</w:t>
            </w:r>
            <w:r>
              <w:rPr>
                <w:rFonts w:hint="eastAsia" w:ascii="宋体" w:hAnsi="宋体"/>
                <w:color w:val="auto"/>
                <w:szCs w:val="21"/>
                <w:highlight w:val="none"/>
              </w:rPr>
              <w:t>个日历天</w:t>
            </w:r>
          </w:p>
        </w:tc>
        <w:tc>
          <w:tcPr>
            <w:tcW w:w="3083" w:type="dxa"/>
            <w:vMerge w:val="restart"/>
            <w:tcBorders>
              <w:left w:val="single" w:color="auto" w:sz="6" w:space="0"/>
              <w:right w:val="single" w:color="auto" w:sz="6" w:space="0"/>
            </w:tcBorders>
            <w:noWrap w:val="0"/>
            <w:vAlign w:val="center"/>
          </w:tcPr>
          <w:p>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1、图纸内容符合政府有关部门报审的要求。</w:t>
            </w:r>
          </w:p>
          <w:p>
            <w:pPr>
              <w:spacing w:line="320" w:lineRule="exact"/>
              <w:ind w:firstLine="420" w:firstLineChars="200"/>
              <w:rPr>
                <w:rFonts w:ascii="宋体" w:hAnsi="宋体"/>
                <w:color w:val="auto"/>
                <w:szCs w:val="21"/>
                <w:highlight w:val="none"/>
              </w:rPr>
            </w:pPr>
          </w:p>
          <w:p>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2、所有设计文件提交的数量满足发包人办理报审、报批及存档的有关手续和要求（无偿提供）。</w:t>
            </w:r>
          </w:p>
          <w:p>
            <w:pPr>
              <w:spacing w:line="320" w:lineRule="exact"/>
              <w:ind w:firstLine="420" w:firstLineChars="200"/>
              <w:rPr>
                <w:rFonts w:hint="eastAsia" w:ascii="宋体" w:hAnsi="宋体"/>
                <w:color w:val="auto"/>
                <w:szCs w:val="21"/>
                <w:highlight w:val="none"/>
              </w:rPr>
            </w:pPr>
          </w:p>
          <w:p>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3、如有关评审或审批因设计原因未批准的，由设计人负责。</w:t>
            </w:r>
          </w:p>
          <w:p>
            <w:pPr>
              <w:spacing w:line="320" w:lineRule="exact"/>
              <w:ind w:firstLine="420" w:firstLineChars="200"/>
              <w:rPr>
                <w:rFonts w:hint="eastAsia" w:ascii="宋体" w:hAnsi="宋体"/>
                <w:color w:val="auto"/>
                <w:szCs w:val="21"/>
                <w:highlight w:val="none"/>
              </w:rPr>
            </w:pPr>
          </w:p>
          <w:p>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4、送规划行政主管部门检测合格，提供设计成果时一起提供检测合格的电子文件及检测的有关证明资料。</w:t>
            </w:r>
          </w:p>
          <w:p>
            <w:pPr>
              <w:spacing w:line="320" w:lineRule="exact"/>
              <w:ind w:firstLine="420" w:firstLineChars="200"/>
              <w:rPr>
                <w:rFonts w:hint="eastAsia" w:ascii="宋体" w:hAnsi="宋体"/>
                <w:color w:val="auto"/>
                <w:szCs w:val="21"/>
                <w:highlight w:val="none"/>
              </w:rPr>
            </w:pPr>
          </w:p>
          <w:p>
            <w:pPr>
              <w:widowControl/>
              <w:spacing w:line="3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5、若发包人因工作需要，要求设计人提交中间成果的设计文件，设计人应无条件提供。</w:t>
            </w:r>
          </w:p>
          <w:p>
            <w:pPr>
              <w:widowControl/>
              <w:spacing w:line="32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6、若发包人因任务完成时间需要，要求设计人提前完成各阶段设计成果文件时间的，设计人应无条件执行。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4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3</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初步设计、评审及修改</w:t>
            </w:r>
          </w:p>
          <w:p>
            <w:pPr>
              <w:spacing w:line="320" w:lineRule="exact"/>
              <w:jc w:val="center"/>
              <w:rPr>
                <w:rFonts w:ascii="宋体" w:hAnsi="宋体"/>
                <w:color w:val="auto"/>
                <w:szCs w:val="21"/>
                <w:highlight w:val="none"/>
              </w:rPr>
            </w:pPr>
            <w:r>
              <w:rPr>
                <w:rFonts w:hint="eastAsia" w:ascii="宋体" w:hAnsi="宋体"/>
                <w:color w:val="auto"/>
                <w:szCs w:val="21"/>
                <w:highlight w:val="none"/>
              </w:rPr>
              <w:t>（含</w:t>
            </w:r>
            <w:r>
              <w:rPr>
                <w:rFonts w:hint="eastAsia" w:ascii="宋体" w:hAnsi="宋体"/>
                <w:color w:val="auto"/>
                <w:szCs w:val="21"/>
                <w:highlight w:val="none"/>
                <w:lang w:val="en-US" w:eastAsia="zh-CN"/>
              </w:rPr>
              <w:t>初步设计成果的深度要达到财政评审部门要求的概算/预算编制及评审要求、</w:t>
            </w:r>
            <w:r>
              <w:rPr>
                <w:rFonts w:hint="eastAsia" w:ascii="宋体" w:hAnsi="宋体"/>
                <w:color w:val="auto"/>
                <w:szCs w:val="21"/>
                <w:highlight w:val="none"/>
              </w:rPr>
              <w:t>设计</w:t>
            </w:r>
            <w:r>
              <w:rPr>
                <w:rFonts w:hint="eastAsia" w:ascii="宋体" w:hAnsi="宋体"/>
                <w:color w:val="auto"/>
                <w:szCs w:val="21"/>
                <w:highlight w:val="none"/>
                <w:lang w:eastAsia="zh-CN"/>
              </w:rPr>
              <w:t>概算/预算</w:t>
            </w:r>
            <w:r>
              <w:rPr>
                <w:rFonts w:hint="eastAsia" w:ascii="宋体" w:hAnsi="宋体" w:eastAsia="宋体" w:cs="Times New Roman"/>
                <w:color w:val="auto"/>
                <w:szCs w:val="21"/>
                <w:highlight w:val="none"/>
              </w:rPr>
              <w:t>编制</w:t>
            </w:r>
            <w:r>
              <w:rPr>
                <w:rFonts w:hint="eastAsia" w:ascii="宋体" w:hAnsi="宋体" w:eastAsia="宋体" w:cs="Times New Roman"/>
                <w:color w:val="auto"/>
                <w:szCs w:val="21"/>
                <w:highlight w:val="none"/>
                <w:lang w:eastAsia="zh-CN"/>
              </w:rPr>
              <w:t>、</w:t>
            </w:r>
            <w:r>
              <w:rPr>
                <w:rFonts w:hint="eastAsia" w:ascii="宋体" w:hAnsi="宋体" w:eastAsia="宋体" w:cs="Times New Roman"/>
                <w:strike w:val="0"/>
                <w:color w:val="auto"/>
                <w:szCs w:val="21"/>
                <w:highlight w:val="none"/>
              </w:rPr>
              <w:t>基坑支护、安全预评估</w:t>
            </w:r>
            <w:r>
              <w:rPr>
                <w:rFonts w:hint="eastAsia" w:ascii="宋体" w:hAnsi="宋体" w:eastAsia="宋体" w:cs="Times New Roman"/>
                <w:color w:val="auto"/>
                <w:szCs w:val="21"/>
                <w:highlight w:val="none"/>
              </w:rPr>
              <w:t>）</w:t>
            </w:r>
          </w:p>
        </w:tc>
        <w:tc>
          <w:tcPr>
            <w:tcW w:w="90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按需</w:t>
            </w:r>
          </w:p>
          <w:p>
            <w:pPr>
              <w:spacing w:line="320" w:lineRule="exact"/>
              <w:jc w:val="center"/>
              <w:rPr>
                <w:rFonts w:ascii="宋体" w:hAnsi="宋体"/>
                <w:color w:val="auto"/>
                <w:szCs w:val="21"/>
                <w:highlight w:val="none"/>
              </w:rPr>
            </w:pPr>
            <w:r>
              <w:rPr>
                <w:rFonts w:hint="eastAsia" w:ascii="宋体" w:hAnsi="宋体"/>
                <w:color w:val="auto"/>
                <w:szCs w:val="21"/>
                <w:highlight w:val="none"/>
              </w:rPr>
              <w:t>提供</w:t>
            </w:r>
          </w:p>
        </w:tc>
        <w:tc>
          <w:tcPr>
            <w:tcW w:w="2520" w:type="dxa"/>
            <w:vMerge w:val="restart"/>
            <w:tcBorders>
              <w:left w:val="single" w:color="auto" w:sz="6" w:space="0"/>
              <w:right w:val="single" w:color="auto" w:sz="6" w:space="0"/>
            </w:tcBorders>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按财审程序执行</w:t>
            </w:r>
          </w:p>
        </w:tc>
        <w:tc>
          <w:tcPr>
            <w:tcW w:w="3083" w:type="dxa"/>
            <w:vMerge w:val="continue"/>
            <w:tcBorders>
              <w:left w:val="single" w:color="auto" w:sz="6" w:space="0"/>
              <w:right w:val="single" w:color="auto" w:sz="6" w:space="0"/>
            </w:tcBorders>
            <w:noWrap w:val="0"/>
            <w:vAlign w:val="center"/>
          </w:tcPr>
          <w:p>
            <w:pPr>
              <w:widowControl/>
              <w:spacing w:line="320" w:lineRule="exact"/>
              <w:jc w:val="left"/>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54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hint="eastAsia" w:ascii="宋体" w:hAnsi="宋体" w:eastAsia="宋体"/>
                <w:color w:val="auto"/>
                <w:szCs w:val="21"/>
                <w:highlight w:val="none"/>
                <w:lang w:eastAsia="zh-CN"/>
              </w:rPr>
            </w:pPr>
            <w:r>
              <w:rPr>
                <w:rFonts w:hint="eastAsia" w:ascii="宋体" w:hAnsi="宋体"/>
                <w:strike/>
                <w:color w:val="auto"/>
                <w:szCs w:val="21"/>
                <w:highlight w:val="none"/>
                <w:lang w:val="en-US" w:eastAsia="zh-CN"/>
              </w:rPr>
              <w:t>4</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取得</w:t>
            </w:r>
            <w:r>
              <w:rPr>
                <w:rFonts w:hint="eastAsia" w:ascii="宋体" w:hAnsi="宋体"/>
                <w:color w:val="auto"/>
                <w:szCs w:val="21"/>
                <w:highlight w:val="none"/>
                <w:lang w:eastAsia="zh-CN"/>
              </w:rPr>
              <w:t>概算/预算</w:t>
            </w:r>
            <w:r>
              <w:rPr>
                <w:rFonts w:hint="eastAsia" w:ascii="宋体" w:hAnsi="宋体"/>
                <w:color w:val="auto"/>
                <w:szCs w:val="21"/>
                <w:highlight w:val="none"/>
              </w:rPr>
              <w:t>财政评审报告</w:t>
            </w:r>
          </w:p>
        </w:tc>
        <w:tc>
          <w:tcPr>
            <w:tcW w:w="90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按需</w:t>
            </w:r>
          </w:p>
          <w:p>
            <w:pPr>
              <w:spacing w:line="320" w:lineRule="exact"/>
              <w:jc w:val="center"/>
              <w:rPr>
                <w:rFonts w:ascii="宋体" w:hAnsi="宋体"/>
                <w:color w:val="auto"/>
                <w:szCs w:val="21"/>
                <w:highlight w:val="none"/>
              </w:rPr>
            </w:pPr>
            <w:r>
              <w:rPr>
                <w:rFonts w:hint="eastAsia" w:ascii="宋体" w:hAnsi="宋体"/>
                <w:color w:val="auto"/>
                <w:szCs w:val="21"/>
                <w:highlight w:val="none"/>
              </w:rPr>
              <w:t>提供</w:t>
            </w:r>
          </w:p>
        </w:tc>
        <w:tc>
          <w:tcPr>
            <w:tcW w:w="2520" w:type="dxa"/>
            <w:vMerge w:val="continue"/>
            <w:tcBorders>
              <w:left w:val="single" w:color="auto" w:sz="6" w:space="0"/>
              <w:right w:val="single" w:color="auto" w:sz="6" w:space="0"/>
            </w:tcBorders>
            <w:noWrap w:val="0"/>
            <w:vAlign w:val="center"/>
          </w:tcPr>
          <w:p>
            <w:pPr>
              <w:spacing w:line="320" w:lineRule="exact"/>
              <w:jc w:val="center"/>
              <w:rPr>
                <w:rFonts w:ascii="宋体" w:hAnsi="宋体"/>
                <w:color w:val="auto"/>
                <w:szCs w:val="21"/>
                <w:highlight w:val="none"/>
              </w:rPr>
            </w:pPr>
          </w:p>
        </w:tc>
        <w:tc>
          <w:tcPr>
            <w:tcW w:w="3083" w:type="dxa"/>
            <w:vMerge w:val="continue"/>
            <w:tcBorders>
              <w:left w:val="single" w:color="auto" w:sz="6" w:space="0"/>
              <w:right w:val="single" w:color="auto" w:sz="6" w:space="0"/>
            </w:tcBorders>
            <w:noWrap w:val="0"/>
            <w:vAlign w:val="center"/>
          </w:tcPr>
          <w:p>
            <w:pPr>
              <w:widowControl/>
              <w:spacing w:line="320" w:lineRule="exact"/>
              <w:jc w:val="left"/>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5" w:hRule="atLeast"/>
        </w:trPr>
        <w:tc>
          <w:tcPr>
            <w:tcW w:w="54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strike/>
                <w:color w:val="auto"/>
                <w:kern w:val="2"/>
                <w:sz w:val="21"/>
                <w:szCs w:val="21"/>
                <w:highlight w:val="none"/>
                <w:lang w:val="en-US" w:eastAsia="zh-CN" w:bidi="ar-SA"/>
              </w:rPr>
            </w:pPr>
            <w:r>
              <w:rPr>
                <w:rFonts w:hint="eastAsia" w:ascii="宋体" w:hAnsi="宋体"/>
                <w:color w:val="auto"/>
                <w:szCs w:val="21"/>
                <w:highlight w:val="none"/>
              </w:rPr>
              <w:t>完成招标技术文件编写</w:t>
            </w:r>
          </w:p>
        </w:tc>
        <w:tc>
          <w:tcPr>
            <w:tcW w:w="90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按需</w:t>
            </w:r>
          </w:p>
          <w:p>
            <w:pPr>
              <w:spacing w:line="320" w:lineRule="exact"/>
              <w:jc w:val="center"/>
              <w:rPr>
                <w:rFonts w:ascii="宋体" w:hAnsi="宋体"/>
                <w:strike/>
                <w:color w:val="auto"/>
                <w:kern w:val="2"/>
                <w:sz w:val="21"/>
                <w:szCs w:val="21"/>
                <w:highlight w:val="none"/>
                <w:lang w:val="en-US" w:eastAsia="zh-CN" w:bidi="ar-SA"/>
              </w:rPr>
            </w:pPr>
            <w:r>
              <w:rPr>
                <w:rFonts w:hint="eastAsia" w:ascii="宋体" w:hAnsi="宋体"/>
                <w:color w:val="auto"/>
                <w:szCs w:val="21"/>
                <w:highlight w:val="none"/>
              </w:rPr>
              <w:t>提供</w:t>
            </w:r>
          </w:p>
        </w:tc>
        <w:tc>
          <w:tcPr>
            <w:tcW w:w="252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strike/>
                <w:color w:val="auto"/>
                <w:kern w:val="2"/>
                <w:sz w:val="21"/>
                <w:szCs w:val="21"/>
                <w:highlight w:val="none"/>
                <w:lang w:val="en-US" w:eastAsia="zh-CN" w:bidi="ar-SA"/>
              </w:rPr>
            </w:pPr>
            <w:r>
              <w:rPr>
                <w:rFonts w:hint="eastAsia" w:ascii="宋体" w:hAnsi="宋体"/>
                <w:color w:val="auto"/>
                <w:szCs w:val="21"/>
                <w:highlight w:val="none"/>
              </w:rPr>
              <w:t>招标图纸同步提交</w:t>
            </w:r>
          </w:p>
        </w:tc>
        <w:tc>
          <w:tcPr>
            <w:tcW w:w="3083" w:type="dxa"/>
            <w:vMerge w:val="continue"/>
            <w:tcBorders>
              <w:left w:val="single" w:color="auto" w:sz="6" w:space="0"/>
              <w:right w:val="single" w:color="auto" w:sz="6" w:space="0"/>
            </w:tcBorders>
            <w:noWrap w:val="0"/>
            <w:vAlign w:val="center"/>
          </w:tcPr>
          <w:p>
            <w:pPr>
              <w:widowControl/>
              <w:spacing w:line="320" w:lineRule="exact"/>
              <w:jc w:val="left"/>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66" w:hRule="atLeast"/>
        </w:trPr>
        <w:tc>
          <w:tcPr>
            <w:tcW w:w="54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hint="eastAsia" w:ascii="宋体" w:hAnsi="宋体" w:eastAsia="宋体"/>
                <w:strike/>
                <w:color w:val="auto"/>
                <w:szCs w:val="21"/>
                <w:highlight w:val="none"/>
                <w:lang w:eastAsia="zh-CN"/>
              </w:rPr>
            </w:pPr>
            <w:r>
              <w:rPr>
                <w:rFonts w:hint="eastAsia" w:ascii="宋体" w:hAnsi="宋体"/>
                <w:color w:val="auto"/>
                <w:szCs w:val="21"/>
                <w:highlight w:val="none"/>
                <w:lang w:val="en-US" w:eastAsia="zh-CN"/>
              </w:rPr>
              <w:t>6</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hint="eastAsia" w:ascii="宋体" w:hAnsi="宋体"/>
                <w:strike w:val="0"/>
                <w:color w:val="auto"/>
                <w:szCs w:val="21"/>
                <w:highlight w:val="none"/>
              </w:rPr>
            </w:pPr>
            <w:r>
              <w:rPr>
                <w:rFonts w:hint="eastAsia" w:ascii="宋体" w:hAnsi="宋体"/>
                <w:strike w:val="0"/>
                <w:color w:val="auto"/>
                <w:szCs w:val="21"/>
                <w:highlight w:val="none"/>
              </w:rPr>
              <w:t>各阶段设计图电子文件</w:t>
            </w:r>
          </w:p>
          <w:p>
            <w:pPr>
              <w:spacing w:line="320" w:lineRule="exact"/>
              <w:jc w:val="center"/>
              <w:rPr>
                <w:rFonts w:hint="eastAsia" w:ascii="宋体" w:hAnsi="宋体"/>
                <w:strike/>
                <w:color w:val="auto"/>
                <w:kern w:val="2"/>
                <w:sz w:val="21"/>
                <w:szCs w:val="21"/>
                <w:highlight w:val="none"/>
                <w:lang w:val="en-US" w:eastAsia="zh-CN" w:bidi="ar-SA"/>
              </w:rPr>
            </w:pPr>
            <w:r>
              <w:rPr>
                <w:rFonts w:hint="eastAsia" w:ascii="宋体" w:hAnsi="宋体"/>
                <w:strike w:val="0"/>
                <w:color w:val="auto"/>
                <w:szCs w:val="21"/>
                <w:highlight w:val="none"/>
              </w:rPr>
              <w:t>（word文档、CAD文件）</w:t>
            </w:r>
            <w:r>
              <w:rPr>
                <w:rFonts w:hint="eastAsia" w:ascii="宋体" w:hAnsi="宋体"/>
                <w:strike w:val="0"/>
                <w:color w:val="auto"/>
                <w:szCs w:val="21"/>
                <w:highlight w:val="none"/>
                <w:lang w:val="en-US" w:eastAsia="zh-CN"/>
              </w:rPr>
              <w:t>初步设计</w:t>
            </w:r>
            <w:r>
              <w:rPr>
                <w:rFonts w:hint="eastAsia" w:ascii="宋体" w:hAnsi="宋体"/>
                <w:strike w:val="0"/>
                <w:color w:val="auto"/>
                <w:szCs w:val="21"/>
                <w:highlight w:val="none"/>
              </w:rPr>
              <w:t>图审查后的修改</w:t>
            </w:r>
          </w:p>
        </w:tc>
        <w:tc>
          <w:tcPr>
            <w:tcW w:w="90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hint="eastAsia" w:ascii="宋体" w:hAnsi="宋体"/>
                <w:strike/>
                <w:color w:val="auto"/>
                <w:kern w:val="2"/>
                <w:sz w:val="21"/>
                <w:szCs w:val="21"/>
                <w:highlight w:val="none"/>
                <w:lang w:val="en-US" w:eastAsia="zh-CN" w:bidi="ar-SA"/>
              </w:rPr>
            </w:pPr>
          </w:p>
        </w:tc>
        <w:tc>
          <w:tcPr>
            <w:tcW w:w="252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hint="eastAsia" w:ascii="宋体" w:hAnsi="宋体"/>
                <w:strike/>
                <w:color w:val="auto"/>
                <w:kern w:val="2"/>
                <w:sz w:val="21"/>
                <w:szCs w:val="21"/>
                <w:highlight w:val="none"/>
                <w:lang w:val="en-US" w:eastAsia="zh-CN" w:bidi="ar-SA"/>
              </w:rPr>
            </w:pPr>
            <w:r>
              <w:rPr>
                <w:rFonts w:hint="eastAsia" w:ascii="宋体" w:hAnsi="宋体"/>
                <w:strike w:val="0"/>
                <w:color w:val="auto"/>
                <w:szCs w:val="21"/>
                <w:highlight w:val="none"/>
              </w:rPr>
              <w:t>随各阶段图纸提交</w:t>
            </w:r>
          </w:p>
        </w:tc>
        <w:tc>
          <w:tcPr>
            <w:tcW w:w="3083" w:type="dxa"/>
            <w:vMerge w:val="continue"/>
            <w:tcBorders>
              <w:left w:val="single" w:color="auto" w:sz="6" w:space="0"/>
              <w:right w:val="single" w:color="auto" w:sz="6" w:space="0"/>
            </w:tcBorders>
            <w:noWrap w:val="0"/>
            <w:vAlign w:val="center"/>
          </w:tcPr>
          <w:p>
            <w:pPr>
              <w:widowControl/>
              <w:spacing w:line="320" w:lineRule="exact"/>
              <w:jc w:val="left"/>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61" w:hRule="atLeast"/>
        </w:trPr>
        <w:tc>
          <w:tcPr>
            <w:tcW w:w="54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hint="eastAsia" w:ascii="宋体" w:hAnsi="宋体"/>
                <w:strike w:val="0"/>
                <w:color w:val="auto"/>
                <w:szCs w:val="21"/>
                <w:highlight w:val="none"/>
              </w:rPr>
            </w:pPr>
            <w:r>
              <w:rPr>
                <w:rFonts w:hint="eastAsia" w:ascii="宋体" w:hAnsi="宋体"/>
                <w:strike w:val="0"/>
                <w:color w:val="auto"/>
                <w:szCs w:val="21"/>
                <w:highlight w:val="none"/>
              </w:rPr>
              <w:t>相关的国家标准图、部颁标准图及地方标准图、各阶段设计图电子文件</w:t>
            </w:r>
          </w:p>
          <w:p>
            <w:pPr>
              <w:spacing w:line="320" w:lineRule="exact"/>
              <w:jc w:val="center"/>
              <w:rPr>
                <w:rFonts w:hint="eastAsia" w:ascii="宋体" w:hAnsi="宋体"/>
                <w:color w:val="auto"/>
                <w:kern w:val="2"/>
                <w:sz w:val="21"/>
                <w:szCs w:val="21"/>
                <w:highlight w:val="none"/>
                <w:lang w:val="en-US" w:eastAsia="zh-CN" w:bidi="ar-SA"/>
              </w:rPr>
            </w:pPr>
            <w:r>
              <w:rPr>
                <w:rFonts w:hint="eastAsia" w:ascii="宋体" w:hAnsi="宋体"/>
                <w:strike w:val="0"/>
                <w:color w:val="auto"/>
                <w:szCs w:val="21"/>
                <w:highlight w:val="none"/>
              </w:rPr>
              <w:t>（word文档、CAD文件）</w:t>
            </w:r>
          </w:p>
        </w:tc>
        <w:tc>
          <w:tcPr>
            <w:tcW w:w="90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strike w:val="0"/>
                <w:color w:val="auto"/>
                <w:szCs w:val="21"/>
                <w:highlight w:val="none"/>
              </w:rPr>
            </w:pPr>
            <w:r>
              <w:rPr>
                <w:rFonts w:hint="eastAsia" w:ascii="宋体" w:hAnsi="宋体"/>
                <w:strike w:val="0"/>
                <w:color w:val="auto"/>
                <w:szCs w:val="21"/>
                <w:highlight w:val="none"/>
              </w:rPr>
              <w:t>按需</w:t>
            </w:r>
          </w:p>
          <w:p>
            <w:pPr>
              <w:spacing w:line="320" w:lineRule="exact"/>
              <w:jc w:val="center"/>
              <w:rPr>
                <w:rFonts w:hint="eastAsia" w:ascii="宋体" w:hAnsi="宋体"/>
                <w:color w:val="auto"/>
                <w:kern w:val="2"/>
                <w:sz w:val="21"/>
                <w:szCs w:val="21"/>
                <w:highlight w:val="none"/>
                <w:lang w:val="en-US" w:eastAsia="zh-CN" w:bidi="ar-SA"/>
              </w:rPr>
            </w:pPr>
            <w:r>
              <w:rPr>
                <w:rFonts w:hint="eastAsia" w:ascii="宋体" w:hAnsi="宋体"/>
                <w:strike w:val="0"/>
                <w:color w:val="auto"/>
                <w:szCs w:val="21"/>
                <w:highlight w:val="none"/>
              </w:rPr>
              <w:t>提供</w:t>
            </w:r>
          </w:p>
        </w:tc>
        <w:tc>
          <w:tcPr>
            <w:tcW w:w="252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hint="eastAsia" w:ascii="宋体" w:hAnsi="宋体"/>
                <w:color w:val="auto"/>
                <w:kern w:val="2"/>
                <w:sz w:val="21"/>
                <w:szCs w:val="21"/>
                <w:highlight w:val="none"/>
                <w:lang w:val="en-US" w:eastAsia="zh-CN" w:bidi="ar-SA"/>
              </w:rPr>
            </w:pPr>
            <w:r>
              <w:rPr>
                <w:rFonts w:hint="eastAsia" w:ascii="宋体" w:hAnsi="宋体"/>
                <w:strike w:val="0"/>
                <w:color w:val="auto"/>
                <w:szCs w:val="21"/>
                <w:highlight w:val="none"/>
              </w:rPr>
              <w:t>与</w:t>
            </w:r>
            <w:r>
              <w:rPr>
                <w:rFonts w:hint="eastAsia" w:ascii="宋体" w:hAnsi="宋体"/>
                <w:strike w:val="0"/>
                <w:color w:val="auto"/>
                <w:szCs w:val="21"/>
                <w:highlight w:val="none"/>
                <w:lang w:val="en-US" w:eastAsia="zh-CN"/>
              </w:rPr>
              <w:t>初设设计</w:t>
            </w:r>
            <w:r>
              <w:rPr>
                <w:rFonts w:hint="eastAsia" w:ascii="宋体" w:hAnsi="宋体"/>
                <w:strike w:val="0"/>
                <w:color w:val="auto"/>
                <w:szCs w:val="21"/>
                <w:highlight w:val="none"/>
              </w:rPr>
              <w:t>图一起单独绘制详细图纸提交</w:t>
            </w:r>
          </w:p>
        </w:tc>
        <w:tc>
          <w:tcPr>
            <w:tcW w:w="3083" w:type="dxa"/>
            <w:vMerge w:val="continue"/>
            <w:tcBorders>
              <w:left w:val="single" w:color="auto" w:sz="6" w:space="0"/>
              <w:right w:val="single" w:color="auto" w:sz="6" w:space="0"/>
            </w:tcBorders>
            <w:noWrap w:val="0"/>
            <w:vAlign w:val="center"/>
          </w:tcPr>
          <w:p>
            <w:pPr>
              <w:widowControl/>
              <w:spacing w:line="320" w:lineRule="exact"/>
              <w:jc w:val="left"/>
              <w:rPr>
                <w:rFonts w:ascii="宋体" w:hAnsi="宋体"/>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0" w:hRule="atLeast"/>
        </w:trPr>
        <w:tc>
          <w:tcPr>
            <w:tcW w:w="54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strike/>
                <w:color w:val="auto"/>
                <w:szCs w:val="21"/>
                <w:highlight w:val="none"/>
              </w:rPr>
            </w:pPr>
            <w:r>
              <w:rPr>
                <w:rFonts w:hint="eastAsia" w:ascii="宋体" w:hAnsi="宋体"/>
                <w:color w:val="auto"/>
                <w:szCs w:val="21"/>
                <w:highlight w:val="none"/>
              </w:rPr>
              <w:t>设计全过程电子版资料</w:t>
            </w:r>
          </w:p>
        </w:tc>
        <w:tc>
          <w:tcPr>
            <w:tcW w:w="90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color w:val="auto"/>
                <w:szCs w:val="21"/>
                <w:highlight w:val="none"/>
              </w:rPr>
            </w:pPr>
            <w:r>
              <w:rPr>
                <w:rFonts w:hint="eastAsia" w:ascii="宋体" w:hAnsi="宋体"/>
                <w:color w:val="auto"/>
                <w:szCs w:val="21"/>
                <w:highlight w:val="none"/>
              </w:rPr>
              <w:t>按需</w:t>
            </w:r>
          </w:p>
          <w:p>
            <w:pPr>
              <w:spacing w:line="320" w:lineRule="exact"/>
              <w:jc w:val="center"/>
              <w:rPr>
                <w:rFonts w:ascii="宋体" w:hAnsi="宋体"/>
                <w:strike/>
                <w:color w:val="auto"/>
                <w:szCs w:val="21"/>
                <w:highlight w:val="none"/>
              </w:rPr>
            </w:pPr>
            <w:r>
              <w:rPr>
                <w:rFonts w:hint="eastAsia" w:ascii="宋体" w:hAnsi="宋体"/>
                <w:color w:val="auto"/>
                <w:szCs w:val="21"/>
                <w:highlight w:val="none"/>
              </w:rPr>
              <w:t>提供</w:t>
            </w:r>
          </w:p>
        </w:tc>
        <w:tc>
          <w:tcPr>
            <w:tcW w:w="2520" w:type="dxa"/>
            <w:tcBorders>
              <w:top w:val="single" w:color="auto" w:sz="6" w:space="0"/>
              <w:left w:val="single" w:color="auto" w:sz="6" w:space="0"/>
              <w:bottom w:val="single" w:color="auto" w:sz="6" w:space="0"/>
              <w:right w:val="single" w:color="auto" w:sz="6" w:space="0"/>
            </w:tcBorders>
            <w:noWrap w:val="0"/>
            <w:vAlign w:val="center"/>
          </w:tcPr>
          <w:p>
            <w:pPr>
              <w:spacing w:line="320" w:lineRule="exact"/>
              <w:jc w:val="center"/>
              <w:rPr>
                <w:rFonts w:ascii="宋体" w:hAnsi="宋体"/>
                <w:strike/>
                <w:color w:val="auto"/>
                <w:szCs w:val="21"/>
                <w:highlight w:val="none"/>
              </w:rPr>
            </w:pPr>
            <w:r>
              <w:rPr>
                <w:rFonts w:hint="eastAsia" w:ascii="宋体" w:hAnsi="宋体"/>
                <w:color w:val="auto"/>
                <w:szCs w:val="21"/>
                <w:highlight w:val="none"/>
              </w:rPr>
              <w:t>竣工验收后50个日历天内</w:t>
            </w:r>
          </w:p>
        </w:tc>
        <w:tc>
          <w:tcPr>
            <w:tcW w:w="3083" w:type="dxa"/>
            <w:vMerge w:val="continue"/>
            <w:tcBorders>
              <w:left w:val="single" w:color="auto" w:sz="6" w:space="0"/>
              <w:right w:val="single" w:color="auto" w:sz="6" w:space="0"/>
            </w:tcBorders>
            <w:noWrap w:val="0"/>
            <w:vAlign w:val="center"/>
          </w:tcPr>
          <w:p>
            <w:pPr>
              <w:widowControl/>
              <w:spacing w:line="320" w:lineRule="exact"/>
              <w:jc w:val="left"/>
              <w:rPr>
                <w:rFonts w:ascii="宋体" w:hAnsi="宋体"/>
                <w:color w:val="auto"/>
                <w:szCs w:val="21"/>
                <w:highlight w:val="none"/>
              </w:rPr>
            </w:pPr>
          </w:p>
        </w:tc>
      </w:tr>
    </w:tbl>
    <w:p>
      <w:pPr>
        <w:spacing w:line="360" w:lineRule="auto"/>
        <w:ind w:firstLine="555"/>
        <w:rPr>
          <w:rFonts w:hint="eastAsia" w:ascii="宋体" w:hAnsi="宋体"/>
          <w:color w:val="auto"/>
          <w:kern w:val="0"/>
          <w:szCs w:val="21"/>
          <w:highlight w:val="none"/>
        </w:rPr>
      </w:pPr>
      <w:r>
        <w:rPr>
          <w:rFonts w:hint="eastAsia" w:ascii="宋体" w:hAnsi="宋体"/>
          <w:color w:val="auto"/>
          <w:kern w:val="0"/>
          <w:szCs w:val="21"/>
          <w:highlight w:val="none"/>
        </w:rPr>
        <w:t>本表说明</w:t>
      </w:r>
    </w:p>
    <w:p>
      <w:pPr>
        <w:spacing w:line="360" w:lineRule="auto"/>
        <w:ind w:firstLine="555"/>
        <w:rPr>
          <w:rFonts w:hint="eastAsia" w:ascii="宋体" w:hAnsi="宋体"/>
          <w:color w:val="auto"/>
          <w:kern w:val="0"/>
          <w:szCs w:val="21"/>
          <w:highlight w:val="none"/>
        </w:rPr>
      </w:pPr>
      <w:r>
        <w:rPr>
          <w:rFonts w:hint="eastAsia" w:ascii="宋体" w:hAnsi="宋体"/>
          <w:color w:val="auto"/>
          <w:kern w:val="0"/>
          <w:szCs w:val="21"/>
          <w:highlight w:val="none"/>
        </w:rPr>
        <w:t>1、评审过程中需要的图纸由设计人按需要提供，费用已包含在合同价内。</w:t>
      </w:r>
    </w:p>
    <w:p>
      <w:pPr>
        <w:spacing w:line="360" w:lineRule="auto"/>
        <w:ind w:firstLine="567" w:firstLineChars="270"/>
        <w:rPr>
          <w:rFonts w:hint="eastAsia" w:ascii="宋体" w:hAnsi="宋体"/>
          <w:color w:val="auto"/>
          <w:kern w:val="0"/>
          <w:szCs w:val="21"/>
          <w:highlight w:val="none"/>
        </w:rPr>
      </w:pPr>
      <w:r>
        <w:rPr>
          <w:rFonts w:hint="eastAsia" w:ascii="宋体" w:hAnsi="宋体"/>
          <w:color w:val="auto"/>
          <w:kern w:val="0"/>
          <w:szCs w:val="21"/>
          <w:highlight w:val="none"/>
        </w:rPr>
        <w:t>2、</w:t>
      </w:r>
      <w:r>
        <w:rPr>
          <w:rFonts w:hint="eastAsia" w:ascii="宋体" w:hAnsi="宋体"/>
          <w:color w:val="auto"/>
          <w:szCs w:val="21"/>
          <w:highlight w:val="none"/>
        </w:rPr>
        <w:t>设计人提供设计全过程各阶段的电子文件，所提供的电子文件必须是全套非加密且可编辑的</w:t>
      </w:r>
      <w:r>
        <w:rPr>
          <w:rFonts w:ascii="宋体" w:hAnsi="宋体"/>
          <w:color w:val="auto"/>
          <w:szCs w:val="21"/>
          <w:highlight w:val="none"/>
        </w:rPr>
        <w:t>Word</w:t>
      </w:r>
      <w:r>
        <w:rPr>
          <w:rFonts w:hint="eastAsia" w:ascii="宋体" w:hAnsi="宋体"/>
          <w:color w:val="auto"/>
          <w:szCs w:val="21"/>
          <w:highlight w:val="none"/>
        </w:rPr>
        <w:t>文档、</w:t>
      </w:r>
      <w:r>
        <w:rPr>
          <w:rFonts w:ascii="宋体" w:hAnsi="宋体"/>
          <w:color w:val="auto"/>
          <w:szCs w:val="21"/>
          <w:highlight w:val="none"/>
        </w:rPr>
        <w:t>Excel</w:t>
      </w:r>
      <w:r>
        <w:rPr>
          <w:rFonts w:hint="eastAsia" w:ascii="宋体" w:hAnsi="宋体"/>
          <w:color w:val="auto"/>
          <w:szCs w:val="21"/>
          <w:highlight w:val="none"/>
        </w:rPr>
        <w:t>、 PPT文件、</w:t>
      </w:r>
      <w:r>
        <w:rPr>
          <w:rFonts w:hint="eastAsia" w:ascii="宋体" w:hAnsi="宋体"/>
          <w:color w:val="auto"/>
          <w:kern w:val="0"/>
          <w:szCs w:val="21"/>
          <w:highlight w:val="none"/>
        </w:rPr>
        <w:t>主要材料设备表和工程量清单Word</w:t>
      </w:r>
      <w:r>
        <w:rPr>
          <w:rFonts w:hint="eastAsia" w:ascii="宋体" w:hAnsi="宋体"/>
          <w:color w:val="auto"/>
          <w:szCs w:val="21"/>
          <w:highlight w:val="none"/>
        </w:rPr>
        <w:t>文档以及图纸等（含</w:t>
      </w:r>
      <w:r>
        <w:rPr>
          <w:rFonts w:ascii="宋体" w:hAnsi="宋体"/>
          <w:color w:val="auto"/>
          <w:szCs w:val="21"/>
          <w:highlight w:val="none"/>
        </w:rPr>
        <w:t>CAD</w:t>
      </w:r>
      <w:r>
        <w:rPr>
          <w:rFonts w:hint="eastAsia" w:ascii="宋体" w:hAnsi="宋体"/>
          <w:color w:val="auto"/>
          <w:szCs w:val="21"/>
          <w:highlight w:val="none"/>
        </w:rPr>
        <w:t>图）。不可编辑的PDF文件、已盖章可用于招标的招标图纸扫描文件（含地勘报告、物探报告、测量报告、排水单元达标方案报告）。</w:t>
      </w:r>
    </w:p>
    <w:p>
      <w:pPr>
        <w:spacing w:line="360" w:lineRule="auto"/>
        <w:ind w:firstLine="555"/>
        <w:rPr>
          <w:rFonts w:ascii="宋体" w:hAnsi="宋体"/>
          <w:color w:val="auto"/>
          <w:szCs w:val="21"/>
          <w:highlight w:val="none"/>
        </w:rPr>
      </w:pPr>
      <w:r>
        <w:rPr>
          <w:rFonts w:hint="eastAsia" w:ascii="宋体" w:hAnsi="宋体"/>
          <w:color w:val="auto"/>
          <w:szCs w:val="21"/>
          <w:highlight w:val="none"/>
        </w:rPr>
        <w:t>3、设计资料及文件交付地点：发包人技术部。</w:t>
      </w:r>
    </w:p>
    <w:p>
      <w:pPr>
        <w:spacing w:line="360" w:lineRule="auto"/>
        <w:ind w:firstLine="555"/>
        <w:rPr>
          <w:rFonts w:hint="eastAsia" w:ascii="宋体" w:hAnsi="宋体"/>
          <w:color w:val="auto"/>
          <w:kern w:val="0"/>
          <w:szCs w:val="21"/>
          <w:highlight w:val="none"/>
        </w:rPr>
      </w:pPr>
      <w:r>
        <w:rPr>
          <w:rFonts w:hint="eastAsia" w:ascii="宋体" w:hAnsi="宋体"/>
          <w:color w:val="auto"/>
          <w:kern w:val="0"/>
          <w:szCs w:val="21"/>
          <w:highlight w:val="none"/>
        </w:rPr>
        <w:t>4、各阶段设计文件的份数包括方案评审、初步设计评审、</w:t>
      </w:r>
      <w:r>
        <w:rPr>
          <w:rFonts w:hint="eastAsia" w:ascii="宋体" w:hAnsi="宋体"/>
          <w:color w:val="auto"/>
          <w:kern w:val="0"/>
          <w:szCs w:val="21"/>
          <w:highlight w:val="none"/>
          <w:lang w:val="en-US" w:eastAsia="zh-CN"/>
        </w:rPr>
        <w:t>初步设计图纸</w:t>
      </w:r>
      <w:r>
        <w:rPr>
          <w:rFonts w:hint="eastAsia" w:ascii="宋体" w:hAnsi="宋体"/>
          <w:color w:val="auto"/>
          <w:kern w:val="0"/>
          <w:szCs w:val="21"/>
          <w:highlight w:val="none"/>
        </w:rPr>
        <w:t>审查、施工招标、施工、报建及相关部门归档等用途所需的相应份数。</w:t>
      </w:r>
    </w:p>
    <w:p>
      <w:pPr>
        <w:spacing w:line="360" w:lineRule="auto"/>
        <w:ind w:firstLine="422" w:firstLineChars="200"/>
        <w:rPr>
          <w:rFonts w:ascii="宋体" w:hAnsi="宋体"/>
          <w:b/>
          <w:color w:val="auto"/>
          <w:szCs w:val="21"/>
          <w:highlight w:val="none"/>
        </w:rPr>
      </w:pP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第七条　费用</w:t>
      </w:r>
    </w:p>
    <w:p>
      <w:pPr>
        <w:spacing w:line="360" w:lineRule="auto"/>
        <w:ind w:firstLine="420" w:firstLineChars="200"/>
        <w:jc w:val="left"/>
        <w:outlineLvl w:val="0"/>
        <w:rPr>
          <w:rFonts w:hint="eastAsia" w:ascii="宋体" w:hAnsi="宋体"/>
          <w:color w:val="auto"/>
          <w:szCs w:val="21"/>
          <w:highlight w:val="none"/>
        </w:rPr>
      </w:pPr>
      <w:r>
        <w:rPr>
          <w:rFonts w:ascii="宋体" w:hAnsi="宋体"/>
          <w:color w:val="auto"/>
          <w:szCs w:val="21"/>
          <w:highlight w:val="none"/>
        </w:rPr>
        <w:t xml:space="preserve">7.1 </w:t>
      </w:r>
      <w:r>
        <w:rPr>
          <w:rFonts w:hint="eastAsia" w:ascii="宋体" w:hAnsi="宋体"/>
          <w:color w:val="auto"/>
          <w:szCs w:val="21"/>
          <w:highlight w:val="none"/>
        </w:rPr>
        <w:t>合同价款暂定为中标价：￥</w:t>
      </w:r>
      <w:r>
        <w:rPr>
          <w:rFonts w:hint="eastAsia" w:ascii="宋体" w:hAnsi="宋体"/>
          <w:color w:val="auto"/>
          <w:szCs w:val="21"/>
          <w:highlight w:val="none"/>
          <w:u w:val="single"/>
          <w:lang w:val="en-US" w:eastAsia="zh-CN"/>
        </w:rPr>
        <w:t>**</w:t>
      </w:r>
      <w:r>
        <w:rPr>
          <w:rFonts w:hint="eastAsia" w:ascii="宋体" w:hAnsi="宋体"/>
          <w:color w:val="auto"/>
          <w:szCs w:val="21"/>
          <w:highlight w:val="none"/>
        </w:rPr>
        <w:t>元，（人民币大写）：</w:t>
      </w:r>
      <w:r>
        <w:rPr>
          <w:rFonts w:hint="eastAsia" w:ascii="宋体" w:hAnsi="宋体"/>
          <w:color w:val="auto"/>
          <w:szCs w:val="21"/>
          <w:highlight w:val="none"/>
          <w:lang w:val="en-US" w:eastAsia="zh-CN"/>
        </w:rPr>
        <w:t>******</w:t>
      </w:r>
      <w:r>
        <w:rPr>
          <w:rFonts w:hint="eastAsia" w:ascii="宋体" w:hAnsi="宋体"/>
          <w:szCs w:val="21"/>
        </w:rPr>
        <w:t>，其中可行性研究报告/项目建议书编制费￥</w:t>
      </w:r>
      <w:r>
        <w:rPr>
          <w:rFonts w:hint="eastAsia" w:ascii="宋体" w:hAnsi="宋体"/>
          <w:szCs w:val="21"/>
          <w:u w:val="single"/>
          <w:lang w:val="en-US" w:eastAsia="zh-CN"/>
        </w:rPr>
        <w:t>***</w:t>
      </w:r>
      <w:r>
        <w:rPr>
          <w:rFonts w:hint="eastAsia" w:ascii="宋体" w:hAnsi="宋体"/>
          <w:szCs w:val="21"/>
        </w:rPr>
        <w:t>元，初步设计费￥</w:t>
      </w:r>
      <w:r>
        <w:rPr>
          <w:rFonts w:hint="eastAsia" w:ascii="宋体" w:hAnsi="宋体"/>
          <w:szCs w:val="21"/>
          <w:u w:val="single"/>
          <w:lang w:val="en-US" w:eastAsia="zh-CN"/>
        </w:rPr>
        <w:t>***</w:t>
      </w:r>
      <w:r>
        <w:rPr>
          <w:rFonts w:hint="eastAsia" w:ascii="宋体" w:hAnsi="宋体"/>
          <w:szCs w:val="21"/>
        </w:rPr>
        <w:t>元。</w:t>
      </w:r>
    </w:p>
    <w:p>
      <w:pPr>
        <w:spacing w:line="360" w:lineRule="auto"/>
        <w:ind w:firstLine="420" w:firstLineChars="200"/>
        <w:jc w:val="left"/>
        <w:outlineLvl w:val="0"/>
        <w:rPr>
          <w:rFonts w:ascii="宋体" w:hAnsi="宋体"/>
          <w:b/>
          <w:color w:val="auto"/>
          <w:szCs w:val="21"/>
          <w:highlight w:val="none"/>
          <w:u w:val="single"/>
        </w:rPr>
      </w:pPr>
      <w:r>
        <w:rPr>
          <w:rFonts w:ascii="宋体" w:hAnsi="宋体"/>
          <w:color w:val="auto"/>
          <w:szCs w:val="21"/>
          <w:highlight w:val="none"/>
        </w:rPr>
        <w:t xml:space="preserve">7.2 </w:t>
      </w:r>
      <w:r>
        <w:rPr>
          <w:rFonts w:hint="eastAsia" w:ascii="宋体" w:hAnsi="宋体"/>
          <w:color w:val="auto"/>
          <w:szCs w:val="21"/>
          <w:highlight w:val="none"/>
        </w:rPr>
        <w:t>费用结算：以</w:t>
      </w:r>
      <w:r>
        <w:rPr>
          <w:rFonts w:hint="eastAsia" w:ascii="宋体" w:hAnsi="宋体"/>
          <w:color w:val="auto"/>
          <w:kern w:val="0"/>
          <w:szCs w:val="21"/>
          <w:highlight w:val="none"/>
        </w:rPr>
        <w:t>财政审定</w:t>
      </w:r>
      <w:r>
        <w:rPr>
          <w:rFonts w:hint="eastAsia" w:ascii="宋体" w:hAnsi="宋体"/>
          <w:color w:val="auto"/>
          <w:kern w:val="0"/>
          <w:szCs w:val="21"/>
          <w:highlight w:val="none"/>
          <w:lang w:eastAsia="zh-CN"/>
        </w:rPr>
        <w:t>概算/预算</w:t>
      </w:r>
      <w:r>
        <w:rPr>
          <w:rFonts w:hint="eastAsia" w:ascii="宋体" w:hAnsi="宋体"/>
          <w:color w:val="auto"/>
          <w:kern w:val="0"/>
          <w:szCs w:val="21"/>
          <w:highlight w:val="none"/>
        </w:rPr>
        <w:t>中</w:t>
      </w:r>
      <w:r>
        <w:rPr>
          <w:rFonts w:hint="eastAsia" w:ascii="宋体" w:hAnsi="宋体" w:cs="宋体"/>
          <w:color w:val="auto"/>
          <w:szCs w:val="21"/>
          <w:highlight w:val="none"/>
          <w:lang w:eastAsia="zh-CN"/>
        </w:rPr>
        <w:t>可行性研究报告/项目建议书</w:t>
      </w:r>
      <w:r>
        <w:rPr>
          <w:rFonts w:ascii="宋体" w:hAnsi="宋体" w:cs="宋体"/>
          <w:color w:val="auto"/>
          <w:szCs w:val="21"/>
          <w:highlight w:val="none"/>
        </w:rPr>
        <w:t>编制</w:t>
      </w:r>
      <w:r>
        <w:rPr>
          <w:rFonts w:hint="eastAsia" w:ascii="宋体" w:hAnsi="宋体" w:cs="宋体"/>
          <w:color w:val="auto"/>
          <w:szCs w:val="21"/>
          <w:highlight w:val="none"/>
        </w:rPr>
        <w:t>、工程设计费项目的</w:t>
      </w:r>
      <w:r>
        <w:rPr>
          <w:rFonts w:hint="eastAsia" w:ascii="宋体" w:hAnsi="宋体"/>
          <w:color w:val="auto"/>
          <w:kern w:val="0"/>
          <w:szCs w:val="21"/>
          <w:highlight w:val="none"/>
        </w:rPr>
        <w:t>金额为基数，按下浮率  %（中标下浮率）计算得出初步结算价，若该价格等于或低于中标价的，则以该价格为基础进行费用最终结算；若该价格高于中标价的，则以中标价为基础进行费用最终结算</w:t>
      </w:r>
      <w:r>
        <w:rPr>
          <w:rFonts w:hint="eastAsia" w:ascii="宋体" w:hAnsi="宋体"/>
          <w:color w:val="auto"/>
          <w:szCs w:val="21"/>
          <w:highlight w:val="none"/>
        </w:rPr>
        <w:t>。费用最终结算价以财政评审机构审定价为准（含因设计人履行合同过程中被扣罚的违约金或赔偿金等）。</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7.3 </w:t>
      </w:r>
      <w:r>
        <w:rPr>
          <w:rFonts w:hint="eastAsia" w:ascii="宋体" w:hAnsi="宋体"/>
          <w:color w:val="auto"/>
          <w:szCs w:val="21"/>
          <w:highlight w:val="none"/>
        </w:rPr>
        <w:t>本合同设计费用包括但不限于以下内容：</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7.3.1</w:t>
      </w:r>
      <w:r>
        <w:rPr>
          <w:rFonts w:hint="eastAsia" w:ascii="宋体" w:hAnsi="宋体"/>
          <w:color w:val="auto"/>
          <w:szCs w:val="21"/>
          <w:highlight w:val="none"/>
        </w:rPr>
        <w:t>完成本合同第</w:t>
      </w:r>
      <w:r>
        <w:rPr>
          <w:rFonts w:ascii="宋体" w:hAnsi="宋体"/>
          <w:color w:val="auto"/>
          <w:szCs w:val="21"/>
          <w:highlight w:val="none"/>
        </w:rPr>
        <w:t>4.4</w:t>
      </w:r>
      <w:r>
        <w:rPr>
          <w:rFonts w:hint="eastAsia" w:ascii="宋体" w:hAnsi="宋体"/>
          <w:color w:val="auto"/>
          <w:szCs w:val="21"/>
          <w:highlight w:val="none"/>
        </w:rPr>
        <w:t>点设计范围内所有设计工作的费用。</w:t>
      </w:r>
    </w:p>
    <w:p>
      <w:pPr>
        <w:widowControl/>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7.3.2</w:t>
      </w:r>
      <w:r>
        <w:rPr>
          <w:rFonts w:hint="eastAsia" w:ascii="宋体" w:hAnsi="宋体"/>
          <w:color w:val="auto"/>
          <w:szCs w:val="21"/>
          <w:highlight w:val="none"/>
        </w:rPr>
        <w:t>设计报建、规划验收、设计送审、招标配合、基坑开挖和支护设计的评审报批、工艺及设备选取外出考察、绘图手提电脑设备1台（</w:t>
      </w:r>
      <w:r>
        <w:rPr>
          <w:rFonts w:ascii="宋体" w:hAnsi="宋体" w:cs="宋体"/>
          <w:color w:val="auto"/>
          <w:kern w:val="0"/>
          <w:sz w:val="24"/>
          <w:szCs w:val="24"/>
          <w:highlight w:val="none"/>
          <w:lang w:bidi="ar"/>
        </w:rPr>
        <w:t>微软Surface</w:t>
      </w:r>
      <w:r>
        <w:rPr>
          <w:rFonts w:hint="eastAsia" w:ascii="宋体" w:hAnsi="宋体" w:cs="宋体"/>
          <w:color w:val="auto"/>
          <w:kern w:val="0"/>
          <w:sz w:val="24"/>
          <w:szCs w:val="24"/>
          <w:highlight w:val="none"/>
          <w:lang w:bidi="ar"/>
        </w:rPr>
        <w:t xml:space="preserve"> </w:t>
      </w:r>
      <w:r>
        <w:rPr>
          <w:rFonts w:ascii="宋体" w:hAnsi="宋体" w:cs="宋体"/>
          <w:color w:val="auto"/>
          <w:kern w:val="0"/>
          <w:sz w:val="24"/>
          <w:szCs w:val="24"/>
          <w:highlight w:val="none"/>
          <w:lang w:bidi="ar"/>
        </w:rPr>
        <w:t>Pro4</w:t>
      </w:r>
      <w:r>
        <w:rPr>
          <w:rFonts w:hint="eastAsia" w:ascii="宋体" w:hAnsi="宋体" w:cs="宋体"/>
          <w:color w:val="auto"/>
          <w:kern w:val="0"/>
          <w:sz w:val="24"/>
          <w:szCs w:val="24"/>
          <w:highlight w:val="none"/>
          <w:lang w:bidi="ar"/>
        </w:rPr>
        <w:t xml:space="preserve"> </w:t>
      </w:r>
      <w:r>
        <w:rPr>
          <w:rFonts w:ascii="宋体" w:hAnsi="宋体" w:cs="宋体"/>
          <w:color w:val="auto"/>
          <w:kern w:val="0"/>
          <w:sz w:val="24"/>
          <w:szCs w:val="24"/>
          <w:highlight w:val="none"/>
          <w:lang w:bidi="ar"/>
        </w:rPr>
        <w:t>i7/16GB/256GB/中国版）</w:t>
      </w:r>
      <w:r>
        <w:rPr>
          <w:rFonts w:hint="eastAsia" w:ascii="宋体" w:hAnsi="宋体"/>
          <w:color w:val="auto"/>
          <w:szCs w:val="21"/>
          <w:highlight w:val="none"/>
        </w:rPr>
        <w:t>、现场记录相机1台（尼康D750套机 24-120mm）施工现场配合等工作的劳务、管理、住宿、交通、餐饮、临时办公、材料、保险、利润、税金、政策性文件规定及合同包含内的所有风险、责任等各项应有费用。不论其在招标文件中有无提及。</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7.3.3</w:t>
      </w:r>
      <w:r>
        <w:rPr>
          <w:rFonts w:hint="eastAsia" w:ascii="宋体" w:hAnsi="宋体"/>
          <w:color w:val="auto"/>
          <w:szCs w:val="21"/>
          <w:highlight w:val="none"/>
        </w:rPr>
        <w:t>各设计阶段的审查、评审及征询意见所发生的费用（评审费、专家费、专家交通费等的一切费用）由设计人承担；由于政府及发包人原因（修改方案）造成的评审费由发包人承担。</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7.3.4</w:t>
      </w:r>
      <w:r>
        <w:rPr>
          <w:rFonts w:hint="eastAsia" w:ascii="宋体" w:hAnsi="宋体"/>
          <w:color w:val="auto"/>
          <w:szCs w:val="21"/>
          <w:highlight w:val="none"/>
        </w:rPr>
        <w:t>设计至竣工验收期间所发生的发包人要求的本工程的设计图纸、资料加晒等费用。</w:t>
      </w:r>
    </w:p>
    <w:p>
      <w:pPr>
        <w:spacing w:line="360" w:lineRule="auto"/>
        <w:ind w:left="630" w:leftChars="200" w:hanging="210" w:hangingChars="100"/>
        <w:rPr>
          <w:rFonts w:ascii="宋体" w:hAnsi="宋体"/>
          <w:color w:val="auto"/>
          <w:szCs w:val="21"/>
          <w:highlight w:val="none"/>
        </w:rPr>
      </w:pPr>
    </w:p>
    <w:p>
      <w:pPr>
        <w:spacing w:line="360" w:lineRule="auto"/>
        <w:ind w:left="631" w:leftChars="200" w:hanging="211" w:hangingChars="100"/>
        <w:rPr>
          <w:rFonts w:hint="eastAsia" w:ascii="宋体" w:hAnsi="宋体"/>
          <w:color w:val="auto"/>
          <w:szCs w:val="21"/>
          <w:highlight w:val="none"/>
        </w:rPr>
      </w:pPr>
      <w:r>
        <w:rPr>
          <w:rFonts w:hint="eastAsia" w:ascii="宋体" w:hAnsi="宋体"/>
          <w:b/>
          <w:color w:val="auto"/>
          <w:szCs w:val="21"/>
          <w:highlight w:val="none"/>
        </w:rPr>
        <w:t>第八条　支付方式及结算方式</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 xml:space="preserve">8.1 </w:t>
      </w:r>
      <w:r>
        <w:rPr>
          <w:rFonts w:hint="eastAsia" w:ascii="宋体" w:hAnsi="宋体"/>
          <w:color w:val="auto"/>
          <w:szCs w:val="21"/>
          <w:highlight w:val="none"/>
        </w:rPr>
        <w:t>设计费支付进度详见下表。</w:t>
      </w:r>
    </w:p>
    <w:tbl>
      <w:tblPr>
        <w:tblStyle w:val="3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08"/>
        <w:gridCol w:w="2466"/>
        <w:gridCol w:w="1380"/>
        <w:gridCol w:w="42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auto"/>
          <w:wAfter w:w="0" w:type="auto"/>
          <w:trHeight w:val="284" w:hRule="atLeast"/>
          <w:tblHeader/>
          <w:jc w:val="center"/>
        </w:trPr>
        <w:tc>
          <w:tcPr>
            <w:tcW w:w="110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付费</w:t>
            </w:r>
          </w:p>
          <w:p>
            <w:pPr>
              <w:jc w:val="center"/>
              <w:rPr>
                <w:rFonts w:ascii="宋体" w:hAnsi="宋体"/>
                <w:color w:val="auto"/>
                <w:kern w:val="0"/>
                <w:szCs w:val="21"/>
                <w:highlight w:val="none"/>
              </w:rPr>
            </w:pPr>
            <w:r>
              <w:rPr>
                <w:rFonts w:hint="eastAsia" w:ascii="宋体" w:hAnsi="宋体"/>
                <w:color w:val="auto"/>
                <w:kern w:val="0"/>
                <w:szCs w:val="21"/>
                <w:highlight w:val="none"/>
              </w:rPr>
              <w:t>次序</w:t>
            </w:r>
          </w:p>
        </w:tc>
        <w:tc>
          <w:tcPr>
            <w:tcW w:w="2466"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计价方式</w:t>
            </w:r>
          </w:p>
        </w:tc>
        <w:tc>
          <w:tcPr>
            <w:tcW w:w="138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累计支付至各子项费用％</w:t>
            </w:r>
          </w:p>
        </w:tc>
        <w:tc>
          <w:tcPr>
            <w:tcW w:w="4200" w:type="dxa"/>
            <w:tcBorders>
              <w:top w:val="single" w:color="auto" w:sz="6" w:space="0"/>
              <w:left w:val="single" w:color="auto" w:sz="6" w:space="0"/>
              <w:bottom w:val="single" w:color="auto" w:sz="6" w:space="0"/>
              <w:right w:val="single" w:color="auto" w:sz="6" w:space="0"/>
            </w:tcBorders>
            <w:noWrap w:val="0"/>
            <w:vAlign w:val="center"/>
          </w:tcPr>
          <w:p>
            <w:pPr>
              <w:ind w:firstLine="420" w:firstLineChars="200"/>
              <w:jc w:val="center"/>
              <w:rPr>
                <w:rFonts w:ascii="宋体" w:hAnsi="宋体"/>
                <w:color w:val="auto"/>
                <w:kern w:val="0"/>
                <w:szCs w:val="21"/>
                <w:highlight w:val="none"/>
              </w:rPr>
            </w:pPr>
            <w:r>
              <w:rPr>
                <w:rFonts w:hint="eastAsia" w:ascii="宋体" w:hAnsi="宋体"/>
                <w:color w:val="auto"/>
                <w:kern w:val="0"/>
                <w:szCs w:val="21"/>
                <w:highlight w:val="none"/>
              </w:rPr>
              <w:t>付费时间</w:t>
            </w:r>
          </w:p>
          <w:p>
            <w:pPr>
              <w:ind w:firstLine="420" w:firstLineChars="200"/>
              <w:jc w:val="center"/>
              <w:rPr>
                <w:rFonts w:ascii="宋体" w:hAnsi="宋体"/>
                <w:color w:val="auto"/>
                <w:kern w:val="0"/>
                <w:szCs w:val="21"/>
                <w:highlight w:val="none"/>
              </w:rPr>
            </w:pPr>
            <w:r>
              <w:rPr>
                <w:rFonts w:hint="eastAsia" w:ascii="宋体" w:hAnsi="宋体"/>
                <w:color w:val="auto"/>
                <w:kern w:val="0"/>
                <w:szCs w:val="21"/>
                <w:highlight w:val="none"/>
              </w:rPr>
              <w:t>(由交付设计文件所定)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auto"/>
          <w:wAfter w:w="0" w:type="auto"/>
          <w:trHeight w:val="783" w:hRule="atLeast"/>
          <w:jc w:val="center"/>
        </w:trPr>
        <w:tc>
          <w:tcPr>
            <w:tcW w:w="110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第</w:t>
            </w:r>
            <w:r>
              <w:rPr>
                <w:rFonts w:hint="eastAsia" w:ascii="宋体" w:hAnsi="宋体"/>
                <w:color w:val="auto"/>
                <w:kern w:val="0"/>
                <w:szCs w:val="21"/>
                <w:highlight w:val="none"/>
                <w:lang w:val="en-US" w:eastAsia="zh-CN"/>
              </w:rPr>
              <w:t>一</w:t>
            </w:r>
            <w:r>
              <w:rPr>
                <w:rFonts w:hint="eastAsia" w:ascii="宋体" w:hAnsi="宋体"/>
                <w:color w:val="auto"/>
                <w:kern w:val="0"/>
                <w:szCs w:val="21"/>
                <w:highlight w:val="none"/>
              </w:rPr>
              <w:t>次</w:t>
            </w:r>
          </w:p>
        </w:tc>
        <w:tc>
          <w:tcPr>
            <w:tcW w:w="2466" w:type="dxa"/>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合同暂定价或</w:t>
            </w:r>
            <w:r>
              <w:rPr>
                <w:rFonts w:hint="eastAsia" w:ascii="宋体" w:hAnsi="宋体"/>
                <w:color w:val="auto"/>
                <w:szCs w:val="21"/>
                <w:highlight w:val="none"/>
                <w:lang w:eastAsia="zh-CN"/>
              </w:rPr>
              <w:t>概算/预算</w:t>
            </w:r>
            <w:r>
              <w:rPr>
                <w:rFonts w:hint="eastAsia" w:ascii="宋体" w:hAnsi="宋体"/>
                <w:color w:val="auto"/>
                <w:szCs w:val="21"/>
                <w:highlight w:val="none"/>
              </w:rPr>
              <w:t>财政评审价款（取二者较低值）</w:t>
            </w:r>
          </w:p>
        </w:tc>
        <w:tc>
          <w:tcPr>
            <w:tcW w:w="138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auto"/>
                <w:kern w:val="0"/>
                <w:szCs w:val="21"/>
                <w:highlight w:val="none"/>
              </w:rPr>
            </w:pPr>
            <w:r>
              <w:rPr>
                <w:rFonts w:hint="eastAsia" w:ascii="宋体" w:hAnsi="宋体"/>
                <w:color w:val="auto"/>
                <w:kern w:val="0"/>
                <w:szCs w:val="21"/>
                <w:highlight w:val="none"/>
              </w:rPr>
              <w:t>50%</w:t>
            </w:r>
          </w:p>
        </w:tc>
        <w:tc>
          <w:tcPr>
            <w:tcW w:w="4200" w:type="dxa"/>
            <w:tcBorders>
              <w:top w:val="single" w:color="auto" w:sz="6" w:space="0"/>
              <w:left w:val="single" w:color="auto" w:sz="6" w:space="0"/>
              <w:bottom w:val="single" w:color="auto" w:sz="6" w:space="0"/>
              <w:right w:val="single" w:color="auto" w:sz="6" w:space="0"/>
            </w:tcBorders>
            <w:noWrap w:val="0"/>
            <w:vAlign w:val="center"/>
          </w:tcPr>
          <w:p>
            <w:pPr>
              <w:jc w:val="left"/>
              <w:rPr>
                <w:rFonts w:hint="eastAsia" w:ascii="宋体" w:hAnsi="宋体"/>
                <w:color w:val="auto"/>
                <w:kern w:val="0"/>
                <w:szCs w:val="21"/>
                <w:highlight w:val="none"/>
              </w:rPr>
            </w:pPr>
            <w:r>
              <w:rPr>
                <w:rFonts w:hint="eastAsia" w:ascii="宋体" w:hAnsi="宋体"/>
                <w:color w:val="auto"/>
                <w:kern w:val="0"/>
                <w:szCs w:val="21"/>
                <w:highlight w:val="none"/>
                <w:lang w:eastAsia="zh-CN"/>
              </w:rPr>
              <w:t>概算/预算</w:t>
            </w:r>
            <w:r>
              <w:rPr>
                <w:rFonts w:hint="eastAsia" w:ascii="宋体" w:hAnsi="宋体"/>
                <w:color w:val="auto"/>
                <w:kern w:val="0"/>
                <w:szCs w:val="21"/>
                <w:highlight w:val="none"/>
              </w:rPr>
              <w:t>通过财政部门评审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auto"/>
          <w:wAfter w:w="0" w:type="auto"/>
          <w:trHeight w:val="863" w:hRule="atLeast"/>
          <w:jc w:val="center"/>
        </w:trPr>
        <w:tc>
          <w:tcPr>
            <w:tcW w:w="110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第</w:t>
            </w:r>
            <w:r>
              <w:rPr>
                <w:rFonts w:hint="eastAsia" w:ascii="宋体" w:hAnsi="宋体"/>
                <w:color w:val="auto"/>
                <w:kern w:val="0"/>
                <w:szCs w:val="21"/>
                <w:highlight w:val="none"/>
                <w:lang w:val="en-US" w:eastAsia="zh-CN"/>
              </w:rPr>
              <w:t>二</w:t>
            </w:r>
            <w:r>
              <w:rPr>
                <w:rFonts w:hint="eastAsia" w:ascii="宋体" w:hAnsi="宋体"/>
                <w:color w:val="auto"/>
                <w:kern w:val="0"/>
                <w:szCs w:val="21"/>
                <w:highlight w:val="none"/>
              </w:rPr>
              <w:t>次</w:t>
            </w:r>
          </w:p>
        </w:tc>
        <w:tc>
          <w:tcPr>
            <w:tcW w:w="2466"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kern w:val="0"/>
                <w:szCs w:val="21"/>
                <w:highlight w:val="none"/>
              </w:rPr>
            </w:pPr>
            <w:r>
              <w:rPr>
                <w:rFonts w:hint="eastAsia" w:ascii="宋体" w:hAnsi="宋体"/>
                <w:color w:val="auto"/>
                <w:szCs w:val="21"/>
                <w:highlight w:val="none"/>
              </w:rPr>
              <w:t>合同暂定价或</w:t>
            </w:r>
            <w:r>
              <w:rPr>
                <w:rFonts w:hint="eastAsia" w:ascii="宋体" w:hAnsi="宋体"/>
                <w:color w:val="auto"/>
                <w:szCs w:val="21"/>
                <w:highlight w:val="none"/>
                <w:lang w:eastAsia="zh-CN"/>
              </w:rPr>
              <w:t>概算/预算</w:t>
            </w:r>
            <w:r>
              <w:rPr>
                <w:rFonts w:hint="eastAsia" w:ascii="宋体" w:hAnsi="宋体"/>
                <w:color w:val="auto"/>
                <w:szCs w:val="21"/>
                <w:highlight w:val="none"/>
              </w:rPr>
              <w:t>财政评审价款（取二者较低值）</w:t>
            </w:r>
          </w:p>
        </w:tc>
        <w:tc>
          <w:tcPr>
            <w:tcW w:w="138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80%</w:t>
            </w:r>
          </w:p>
        </w:tc>
        <w:tc>
          <w:tcPr>
            <w:tcW w:w="4200" w:type="dxa"/>
            <w:tcBorders>
              <w:top w:val="single" w:color="auto" w:sz="6" w:space="0"/>
              <w:left w:val="single" w:color="auto" w:sz="6" w:space="0"/>
              <w:bottom w:val="single" w:color="auto" w:sz="6" w:space="0"/>
              <w:right w:val="single" w:color="auto" w:sz="6" w:space="0"/>
            </w:tcBorders>
            <w:noWrap w:val="0"/>
            <w:vAlign w:val="center"/>
          </w:tcPr>
          <w:p>
            <w:pPr>
              <w:jc w:val="left"/>
              <w:rPr>
                <w:rFonts w:ascii="宋体" w:hAnsi="宋体"/>
                <w:color w:val="auto"/>
                <w:kern w:val="0"/>
                <w:szCs w:val="21"/>
                <w:highlight w:val="none"/>
              </w:rPr>
            </w:pPr>
            <w:r>
              <w:rPr>
                <w:rFonts w:hint="eastAsia" w:ascii="宋体" w:hAnsi="宋体"/>
                <w:color w:val="auto"/>
                <w:kern w:val="0"/>
                <w:szCs w:val="21"/>
                <w:highlight w:val="none"/>
              </w:rPr>
              <w:t>施工开工后，以及设计人提交完整请款资料及增值税发票之日起20个工作日内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auto"/>
          <w:wAfter w:w="0" w:type="auto"/>
          <w:trHeight w:val="2049" w:hRule="atLeast"/>
          <w:jc w:val="center"/>
        </w:trPr>
        <w:tc>
          <w:tcPr>
            <w:tcW w:w="110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第</w:t>
            </w:r>
            <w:r>
              <w:rPr>
                <w:rFonts w:hint="eastAsia" w:ascii="宋体" w:hAnsi="宋体"/>
                <w:color w:val="auto"/>
                <w:kern w:val="0"/>
                <w:szCs w:val="21"/>
                <w:highlight w:val="none"/>
                <w:lang w:val="en-US" w:eastAsia="zh-CN"/>
              </w:rPr>
              <w:t>三</w:t>
            </w:r>
            <w:r>
              <w:rPr>
                <w:rFonts w:hint="eastAsia" w:ascii="宋体" w:hAnsi="宋体"/>
                <w:color w:val="auto"/>
                <w:kern w:val="0"/>
                <w:szCs w:val="21"/>
                <w:highlight w:val="none"/>
              </w:rPr>
              <w:t>次</w:t>
            </w:r>
          </w:p>
        </w:tc>
        <w:tc>
          <w:tcPr>
            <w:tcW w:w="2466"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付至结算价款的95％</w:t>
            </w:r>
          </w:p>
        </w:tc>
        <w:tc>
          <w:tcPr>
            <w:tcW w:w="138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按设计费最终结算价确定</w:t>
            </w:r>
          </w:p>
        </w:tc>
        <w:tc>
          <w:tcPr>
            <w:tcW w:w="420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全部工程竣工验收合格，且设计工作全部完成并符合合同条款规定后，规划报建完成并取得建设工程规划许可证（若有），且提交完整请款资料及提供结算价1</w:t>
            </w:r>
            <w:r>
              <w:rPr>
                <w:rFonts w:ascii="宋体" w:hAnsi="宋体"/>
                <w:color w:val="auto"/>
                <w:kern w:val="0"/>
                <w:szCs w:val="21"/>
                <w:highlight w:val="none"/>
              </w:rPr>
              <w:t>00%</w:t>
            </w:r>
            <w:r>
              <w:rPr>
                <w:rFonts w:hint="eastAsia" w:ascii="宋体" w:hAnsi="宋体"/>
                <w:color w:val="auto"/>
                <w:kern w:val="0"/>
                <w:szCs w:val="21"/>
                <w:highlight w:val="none"/>
              </w:rPr>
              <w:t>的全额增值税发票（发票累计金额应等于结算价款100%）之日起20个工作日内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wBefore w:w="0" w:type="auto"/>
          <w:wAfter w:w="0" w:type="auto"/>
          <w:trHeight w:val="1396" w:hRule="atLeast"/>
          <w:jc w:val="center"/>
        </w:trPr>
        <w:tc>
          <w:tcPr>
            <w:tcW w:w="110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第</w:t>
            </w:r>
            <w:r>
              <w:rPr>
                <w:rFonts w:hint="eastAsia" w:ascii="宋体" w:hAnsi="宋体"/>
                <w:color w:val="auto"/>
                <w:kern w:val="0"/>
                <w:szCs w:val="21"/>
                <w:highlight w:val="none"/>
                <w:lang w:val="en-US" w:eastAsia="zh-CN"/>
              </w:rPr>
              <w:t>四</w:t>
            </w:r>
            <w:r>
              <w:rPr>
                <w:rFonts w:hint="eastAsia" w:ascii="宋体" w:hAnsi="宋体"/>
                <w:color w:val="auto"/>
                <w:kern w:val="0"/>
                <w:szCs w:val="21"/>
                <w:highlight w:val="none"/>
              </w:rPr>
              <w:t>次</w:t>
            </w:r>
          </w:p>
        </w:tc>
        <w:tc>
          <w:tcPr>
            <w:tcW w:w="2466"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结算价款的5%</w:t>
            </w:r>
          </w:p>
        </w:tc>
        <w:tc>
          <w:tcPr>
            <w:tcW w:w="138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olor w:val="auto"/>
                <w:kern w:val="0"/>
                <w:szCs w:val="21"/>
                <w:highlight w:val="none"/>
              </w:rPr>
            </w:pPr>
            <w:r>
              <w:rPr>
                <w:rFonts w:hint="eastAsia" w:ascii="宋体" w:hAnsi="宋体"/>
                <w:color w:val="auto"/>
                <w:kern w:val="0"/>
                <w:szCs w:val="21"/>
                <w:highlight w:val="none"/>
              </w:rPr>
              <w:t>按设计费最终结算价确定</w:t>
            </w:r>
          </w:p>
        </w:tc>
        <w:tc>
          <w:tcPr>
            <w:tcW w:w="4200"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kern w:val="0"/>
                <w:szCs w:val="21"/>
                <w:highlight w:val="none"/>
              </w:rPr>
            </w:pPr>
            <w:r>
              <w:rPr>
                <w:rFonts w:hint="eastAsia" w:ascii="宋体" w:hAnsi="宋体"/>
                <w:color w:val="auto"/>
                <w:kern w:val="0"/>
                <w:szCs w:val="21"/>
                <w:highlight w:val="none"/>
              </w:rPr>
              <w:t>缺陷通知期为竣工之日起计算365天，缺陷通知期限届满且提交完整请款资料及提供5</w:t>
            </w:r>
            <w:r>
              <w:rPr>
                <w:rFonts w:ascii="宋体" w:hAnsi="宋体"/>
                <w:color w:val="auto"/>
                <w:kern w:val="0"/>
                <w:szCs w:val="21"/>
                <w:highlight w:val="none"/>
              </w:rPr>
              <w:t>%</w:t>
            </w:r>
            <w:r>
              <w:rPr>
                <w:rFonts w:hint="eastAsia" w:ascii="宋体" w:hAnsi="宋体"/>
                <w:color w:val="auto"/>
                <w:kern w:val="0"/>
                <w:szCs w:val="21"/>
                <w:highlight w:val="none"/>
              </w:rPr>
              <w:t>增值税发票复印件（以发包人要求为准）之日起20个工作日内，全部付清</w:t>
            </w:r>
          </w:p>
        </w:tc>
      </w:tr>
    </w:tbl>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注：请款资料包括但不限于请款函、项目相关批文、相关合同、开户许可证、发票等，最终以发包人最新的要求为准。</w:t>
      </w:r>
    </w:p>
    <w:p>
      <w:pPr>
        <w:spacing w:line="360" w:lineRule="auto"/>
        <w:ind w:firstLine="420" w:firstLineChars="200"/>
        <w:rPr>
          <w:rFonts w:ascii="宋体" w:hAnsi="宋体"/>
          <w:color w:val="auto"/>
          <w:kern w:val="0"/>
          <w:szCs w:val="21"/>
          <w:highlight w:val="none"/>
        </w:rPr>
      </w:pPr>
      <w:r>
        <w:rPr>
          <w:rFonts w:ascii="宋体" w:hAnsi="宋体"/>
          <w:color w:val="auto"/>
          <w:szCs w:val="21"/>
          <w:highlight w:val="none"/>
        </w:rPr>
        <w:t xml:space="preserve">8.2 </w:t>
      </w:r>
      <w:r>
        <w:rPr>
          <w:rFonts w:hint="eastAsia" w:ascii="宋体" w:hAnsi="宋体"/>
          <w:color w:val="auto"/>
          <w:szCs w:val="21"/>
          <w:highlight w:val="none"/>
        </w:rPr>
        <w:t>设计费支付进度及结算方式的说明</w:t>
      </w:r>
    </w:p>
    <w:p>
      <w:pPr>
        <w:spacing w:line="360" w:lineRule="auto"/>
        <w:ind w:firstLine="420" w:firstLineChars="200"/>
        <w:rPr>
          <w:rFonts w:hint="eastAsia" w:ascii="宋体" w:hAnsi="宋体"/>
          <w:color w:val="auto"/>
          <w:kern w:val="0"/>
          <w:szCs w:val="21"/>
          <w:highlight w:val="none"/>
        </w:rPr>
      </w:pPr>
      <w:r>
        <w:rPr>
          <w:rFonts w:ascii="宋体" w:hAnsi="宋体"/>
          <w:color w:val="auto"/>
          <w:szCs w:val="21"/>
          <w:highlight w:val="none"/>
        </w:rPr>
        <w:t>8.2.1</w:t>
      </w:r>
      <w:r>
        <w:rPr>
          <w:rFonts w:hint="eastAsia" w:ascii="宋体" w:hAnsi="宋体"/>
          <w:color w:val="auto"/>
          <w:kern w:val="0"/>
          <w:szCs w:val="21"/>
          <w:highlight w:val="none"/>
        </w:rPr>
        <w:t>提交各阶段合格的设计文件后，按规定支付相应的各阶段设计费。合格的设计文件是指经</w:t>
      </w:r>
      <w:r>
        <w:rPr>
          <w:rFonts w:hint="eastAsia" w:ascii="宋体" w:hAnsi="宋体"/>
          <w:color w:val="auto"/>
          <w:szCs w:val="21"/>
          <w:highlight w:val="none"/>
        </w:rPr>
        <w:t>发包人确认的设计人实际完成的各阶段性设计工作文件。</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8.2.2</w:t>
      </w:r>
      <w:r>
        <w:rPr>
          <w:rFonts w:hint="eastAsia" w:ascii="宋体" w:hAnsi="宋体"/>
          <w:color w:val="auto"/>
          <w:szCs w:val="21"/>
          <w:highlight w:val="none"/>
        </w:rPr>
        <w:t>若各子项工程分阶段进行设计，则各子项工程按阶段比例支付设计费。</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8.2.3</w:t>
      </w:r>
      <w:r>
        <w:rPr>
          <w:rFonts w:hint="eastAsia" w:ascii="宋体" w:hAnsi="宋体"/>
          <w:color w:val="auto"/>
          <w:szCs w:val="21"/>
          <w:highlight w:val="none"/>
        </w:rPr>
        <w:t>设计工程竣工、验收、移交后，设计人向发包人开具结算通知书及结算请款资料，设计人最终完成的工作量应为发包人确认的各阶段性设计工作量之和。</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8.2.4</w:t>
      </w:r>
      <w:r>
        <w:rPr>
          <w:rFonts w:hint="eastAsia" w:ascii="宋体" w:hAnsi="宋体"/>
          <w:color w:val="auto"/>
          <w:szCs w:val="21"/>
          <w:highlight w:val="none"/>
        </w:rPr>
        <w:t>若本工程属于财政投资项目，则财政投资项目付款时间以财政部门批准为准。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8.2.5</w:t>
      </w:r>
      <w:r>
        <w:rPr>
          <w:rFonts w:ascii="宋体" w:hAnsi="宋体"/>
          <w:color w:val="auto"/>
          <w:szCs w:val="21"/>
          <w:highlight w:val="none"/>
        </w:rPr>
        <w:t>本工程的设计费结算价不得高于招标最高限价</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万元</w:t>
      </w:r>
      <w:r>
        <w:rPr>
          <w:rFonts w:ascii="宋体" w:hAnsi="宋体"/>
          <w:color w:val="auto"/>
          <w:szCs w:val="21"/>
          <w:highlight w:val="none"/>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8.2.6发包人支付各期设计费及报审结算时，以设计人实际或应开具的、符合最新国家税法规定的增值税发票当期税率相应调整。</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8.2.7 设计人逾期提供上述增值税发票的，发包人的付款时间相应延迟，直至设计人补齐上述增值税发票才予以付款，且不视为发包人违约。</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8.2.</w:t>
      </w:r>
      <w:r>
        <w:rPr>
          <w:rFonts w:hint="eastAsia" w:ascii="宋体" w:hAnsi="宋体"/>
          <w:b/>
          <w:color w:val="auto"/>
          <w:szCs w:val="21"/>
          <w:highlight w:val="none"/>
        </w:rPr>
        <w:t xml:space="preserve">8 </w:t>
      </w:r>
      <w:r>
        <w:rPr>
          <w:rFonts w:hint="eastAsia" w:ascii="宋体" w:hAnsi="宋体"/>
          <w:b/>
          <w:color w:val="auto"/>
          <w:szCs w:val="21"/>
          <w:highlight w:val="none"/>
        </w:rPr>
        <w:t>请款程序</w:t>
      </w:r>
    </w:p>
    <w:p>
      <w:pPr>
        <w:spacing w:line="360" w:lineRule="auto"/>
        <w:ind w:left="1" w:firstLine="420" w:firstLineChars="200"/>
        <w:rPr>
          <w:rFonts w:hint="eastAsia" w:ascii="宋体" w:hAnsi="宋体"/>
          <w:color w:val="auto"/>
          <w:szCs w:val="21"/>
          <w:highlight w:val="none"/>
        </w:rPr>
      </w:pPr>
      <w:r>
        <w:rPr>
          <w:rFonts w:hint="eastAsia" w:ascii="宋体" w:hAnsi="宋体"/>
          <w:color w:val="auto"/>
          <w:szCs w:val="21"/>
          <w:highlight w:val="none"/>
        </w:rPr>
        <w:t>8.2.8.1</w:t>
      </w:r>
      <w:r>
        <w:rPr>
          <w:color w:val="auto"/>
          <w:spacing w:val="0"/>
          <w:w w:val="100"/>
          <w:position w:val="0"/>
          <w:highlight w:val="none"/>
        </w:rPr>
        <w:t>乙方向甲方申报各期</w:t>
      </w:r>
      <w:r>
        <w:rPr>
          <w:rFonts w:hint="eastAsia" w:ascii="宋体" w:hAnsi="宋体"/>
          <w:color w:val="auto"/>
          <w:szCs w:val="21"/>
          <w:highlight w:val="none"/>
        </w:rPr>
        <w:t>请款资料（资料必须加盖</w:t>
      </w:r>
      <w:r>
        <w:rPr>
          <w:color w:val="auto"/>
          <w:spacing w:val="0"/>
          <w:w w:val="100"/>
          <w:position w:val="0"/>
          <w:highlight w:val="none"/>
        </w:rPr>
        <w:t>乙方</w:t>
      </w:r>
      <w:r>
        <w:rPr>
          <w:rFonts w:hint="eastAsia" w:ascii="宋体" w:hAnsi="宋体"/>
          <w:color w:val="auto"/>
          <w:szCs w:val="21"/>
          <w:highlight w:val="none"/>
        </w:rPr>
        <w:t>公章），</w:t>
      </w:r>
      <w:r>
        <w:rPr>
          <w:color w:val="auto"/>
          <w:spacing w:val="0"/>
          <w:w w:val="100"/>
          <w:position w:val="0"/>
          <w:highlight w:val="none"/>
        </w:rPr>
        <w:t>并开具与甲方审定额等额的增值税发票</w:t>
      </w:r>
      <w:r>
        <w:rPr>
          <w:rFonts w:hint="eastAsia" w:ascii="宋体" w:hAnsi="宋体"/>
          <w:color w:val="auto"/>
          <w:szCs w:val="21"/>
          <w:highlight w:val="none"/>
        </w:rPr>
        <w:t>。</w:t>
      </w:r>
    </w:p>
    <w:p>
      <w:pPr>
        <w:pStyle w:val="96"/>
        <w:keepNext w:val="0"/>
        <w:keepLines w:val="0"/>
        <w:widowControl w:val="0"/>
        <w:shd w:val="clear" w:color="auto" w:fill="auto"/>
        <w:tabs>
          <w:tab w:val="left" w:pos="1126"/>
        </w:tabs>
        <w:bidi w:val="0"/>
        <w:spacing w:before="0" w:after="0" w:line="518" w:lineRule="exact"/>
        <w:ind w:left="0" w:right="0" w:firstLine="660"/>
        <w:jc w:val="both"/>
        <w:rPr>
          <w:rFonts w:hint="eastAsia"/>
          <w:b w:val="0"/>
          <w:bCs w:val="0"/>
          <w:i w:val="0"/>
          <w:iCs w:val="0"/>
          <w:smallCaps w:val="0"/>
          <w:strike w:val="0"/>
          <w:color w:val="auto"/>
          <w:spacing w:val="0"/>
          <w:w w:val="100"/>
          <w:position w:val="0"/>
          <w:highlight w:val="none"/>
          <w:lang w:eastAsia="zh-CN"/>
        </w:rPr>
      </w:pPr>
      <w:r>
        <w:rPr>
          <w:rFonts w:hint="eastAsia"/>
          <w:b w:val="0"/>
          <w:bCs w:val="0"/>
          <w:i w:val="0"/>
          <w:iCs w:val="0"/>
          <w:smallCaps w:val="0"/>
          <w:strike w:val="0"/>
          <w:color w:val="auto"/>
          <w:spacing w:val="0"/>
          <w:w w:val="100"/>
          <w:position w:val="0"/>
          <w:highlight w:val="none"/>
          <w:lang w:val="en-US" w:eastAsia="zh-CN"/>
        </w:rPr>
        <w:t>8.2.8.2</w:t>
      </w:r>
      <w:r>
        <w:rPr>
          <w:rFonts w:hint="eastAsia"/>
          <w:b w:val="0"/>
          <w:bCs w:val="0"/>
          <w:i w:val="0"/>
          <w:iCs w:val="0"/>
          <w:smallCaps w:val="0"/>
          <w:strike w:val="0"/>
          <w:color w:val="auto"/>
          <w:spacing w:val="0"/>
          <w:w w:val="100"/>
          <w:position w:val="0"/>
          <w:highlight w:val="none"/>
          <w:lang w:eastAsia="zh-CN"/>
        </w:rPr>
        <w:t>甲方收到完整的</w:t>
      </w:r>
      <w:r>
        <w:rPr>
          <w:rFonts w:hint="eastAsia" w:ascii="宋体" w:hAnsi="宋体"/>
          <w:color w:val="auto"/>
          <w:szCs w:val="21"/>
          <w:highlight w:val="none"/>
        </w:rPr>
        <w:t>请款资料</w:t>
      </w:r>
      <w:r>
        <w:rPr>
          <w:rFonts w:hint="eastAsia"/>
          <w:b w:val="0"/>
          <w:bCs w:val="0"/>
          <w:i w:val="0"/>
          <w:iCs w:val="0"/>
          <w:smallCaps w:val="0"/>
          <w:strike w:val="0"/>
          <w:color w:val="auto"/>
          <w:spacing w:val="0"/>
          <w:w w:val="100"/>
          <w:position w:val="0"/>
          <w:highlight w:val="none"/>
          <w:lang w:eastAsia="zh-CN"/>
        </w:rPr>
        <w:t>后，向有关审批部门报批支付，</w:t>
      </w:r>
      <w:r>
        <w:rPr>
          <w:b w:val="0"/>
          <w:bCs w:val="0"/>
          <w:i w:val="0"/>
          <w:iCs w:val="0"/>
          <w:smallCaps w:val="0"/>
          <w:strike w:val="0"/>
          <w:color w:val="auto"/>
          <w:spacing w:val="0"/>
          <w:w w:val="100"/>
          <w:position w:val="0"/>
          <w:highlight w:val="none"/>
        </w:rPr>
        <w:t>审待批准后</w:t>
      </w:r>
      <w:r>
        <w:rPr>
          <w:rFonts w:hint="eastAsia"/>
          <w:b w:val="0"/>
          <w:bCs w:val="0"/>
          <w:i w:val="0"/>
          <w:iCs w:val="0"/>
          <w:smallCaps w:val="0"/>
          <w:strike w:val="0"/>
          <w:color w:val="auto"/>
          <w:spacing w:val="0"/>
          <w:w w:val="100"/>
          <w:position w:val="0"/>
          <w:highlight w:val="none"/>
          <w:lang w:eastAsia="zh-CN"/>
        </w:rPr>
        <w:t>相</w:t>
      </w:r>
      <w:r>
        <w:rPr>
          <w:b w:val="0"/>
          <w:bCs w:val="0"/>
          <w:i w:val="0"/>
          <w:iCs w:val="0"/>
          <w:smallCaps w:val="0"/>
          <w:strike w:val="0"/>
          <w:color w:val="auto"/>
          <w:spacing w:val="0"/>
          <w:w w:val="100"/>
          <w:position w:val="0"/>
          <w:highlight w:val="none"/>
        </w:rPr>
        <w:t>关款项以银行转账形式直接支付给乙方</w:t>
      </w:r>
      <w:r>
        <w:rPr>
          <w:rFonts w:hint="eastAsia"/>
          <w:b w:val="0"/>
          <w:bCs w:val="0"/>
          <w:i w:val="0"/>
          <w:iCs w:val="0"/>
          <w:smallCaps w:val="0"/>
          <w:strike w:val="0"/>
          <w:color w:val="auto"/>
          <w:spacing w:val="0"/>
          <w:w w:val="100"/>
          <w:position w:val="0"/>
          <w:highlight w:val="none"/>
          <w:lang w:eastAsia="zh-CN"/>
        </w:rPr>
        <w:t>。</w:t>
      </w:r>
    </w:p>
    <w:p>
      <w:pPr>
        <w:spacing w:line="360" w:lineRule="auto"/>
        <w:ind w:firstLine="420" w:firstLineChars="200"/>
        <w:rPr>
          <w:rFonts w:hint="eastAsia" w:ascii="宋体" w:hAnsi="宋体"/>
          <w:color w:val="auto"/>
          <w:szCs w:val="21"/>
          <w:highlight w:val="none"/>
        </w:rPr>
      </w:pPr>
      <w:r>
        <w:rPr>
          <w:rFonts w:hint="eastAsia"/>
          <w:b w:val="0"/>
          <w:bCs w:val="0"/>
          <w:i w:val="0"/>
          <w:iCs w:val="0"/>
          <w:smallCaps w:val="0"/>
          <w:strike w:val="0"/>
          <w:color w:val="auto"/>
          <w:spacing w:val="0"/>
          <w:w w:val="100"/>
          <w:position w:val="0"/>
          <w:highlight w:val="none"/>
          <w:lang w:val="en-US" w:eastAsia="zh-CN"/>
        </w:rPr>
        <w:t>8.2.8.3由于本</w:t>
      </w:r>
      <w:r>
        <w:rPr>
          <w:rFonts w:hint="eastAsia" w:ascii="宋体" w:hAnsi="宋体"/>
          <w:color w:val="auto"/>
          <w:szCs w:val="21"/>
          <w:highlight w:val="none"/>
        </w:rPr>
        <w:t>项目</w:t>
      </w:r>
      <w:r>
        <w:rPr>
          <w:rFonts w:hint="eastAsia"/>
          <w:b w:val="0"/>
          <w:bCs w:val="0"/>
          <w:i w:val="0"/>
          <w:iCs w:val="0"/>
          <w:smallCaps w:val="0"/>
          <w:strike w:val="0"/>
          <w:color w:val="auto"/>
          <w:spacing w:val="0"/>
          <w:w w:val="100"/>
          <w:position w:val="0"/>
          <w:highlight w:val="none"/>
          <w:lang w:val="en-US" w:eastAsia="zh-CN"/>
        </w:rPr>
        <w:t>为财政投资</w:t>
      </w:r>
      <w:r>
        <w:rPr>
          <w:rFonts w:hint="eastAsia" w:ascii="宋体" w:hAnsi="宋体"/>
          <w:color w:val="auto"/>
          <w:szCs w:val="21"/>
          <w:highlight w:val="none"/>
        </w:rPr>
        <w:t>，最终</w:t>
      </w:r>
      <w:r>
        <w:rPr>
          <w:rFonts w:hint="eastAsia"/>
          <w:b w:val="0"/>
          <w:bCs w:val="0"/>
          <w:i w:val="0"/>
          <w:iCs w:val="0"/>
          <w:smallCaps w:val="0"/>
          <w:strike w:val="0"/>
          <w:color w:val="auto"/>
          <w:spacing w:val="0"/>
          <w:w w:val="100"/>
          <w:position w:val="0"/>
          <w:highlight w:val="none"/>
          <w:lang w:val="en-US" w:eastAsia="zh-CN"/>
        </w:rPr>
        <w:t>的支付方式及支付时间以财政审核</w:t>
      </w:r>
      <w:r>
        <w:rPr>
          <w:rFonts w:hint="eastAsia" w:ascii="宋体" w:hAnsi="宋体"/>
          <w:color w:val="auto"/>
          <w:szCs w:val="21"/>
          <w:highlight w:val="none"/>
        </w:rPr>
        <w:t>为准。</w:t>
      </w:r>
    </w:p>
    <w:p>
      <w:pPr>
        <w:spacing w:line="360" w:lineRule="auto"/>
        <w:ind w:firstLine="422" w:firstLineChars="200"/>
        <w:rPr>
          <w:rFonts w:hint="eastAsia" w:hAnsi="宋体"/>
          <w:b/>
          <w:color w:val="auto"/>
          <w:szCs w:val="21"/>
          <w:highlight w:val="none"/>
        </w:rPr>
      </w:pPr>
      <w:r>
        <w:rPr>
          <w:rFonts w:hint="eastAsia" w:hAnsi="宋体"/>
          <w:b/>
          <w:color w:val="auto"/>
          <w:szCs w:val="21"/>
          <w:highlight w:val="none"/>
        </w:rPr>
        <w:t>第九条　双方责任</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9.1 发包人责任：</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9.1.1发包人按本合同第五条规定的内容，在规定的时间内向设计人提交资料及文件，并对其完整性、正确性及时限负责，发包人不得要求设计人违反国家有关标准进行设计。</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9.1.2发包人变更委托设计项目或因提交的资料错误，或所提交资料作较大修改，以致造成设计人设计需返工时，双方除需另行协商签订补充协议(或经发包人确认的书面证明文件)、重新明确有关条款外，发包人应按设计人所耗工作量向设计人支付返工设计费。</w:t>
      </w:r>
    </w:p>
    <w:p>
      <w:pPr>
        <w:spacing w:line="360" w:lineRule="auto"/>
        <w:ind w:firstLine="420"/>
        <w:rPr>
          <w:rFonts w:ascii="宋体" w:hAnsi="宋体"/>
          <w:color w:val="auto"/>
          <w:szCs w:val="21"/>
          <w:highlight w:val="none"/>
        </w:rPr>
      </w:pPr>
      <w:r>
        <w:rPr>
          <w:rFonts w:ascii="宋体" w:hAnsi="宋体"/>
          <w:color w:val="auto"/>
          <w:szCs w:val="21"/>
          <w:highlight w:val="none"/>
        </w:rPr>
        <w:t>9.1.3在未签订合同前发包人已同意且发出正式书面通知，设计人为发包人所做的各项设计工作，发包人应支付相应设计费。</w:t>
      </w:r>
    </w:p>
    <w:p>
      <w:pPr>
        <w:spacing w:line="360" w:lineRule="auto"/>
        <w:ind w:firstLine="420"/>
        <w:rPr>
          <w:rFonts w:ascii="宋体" w:hAnsi="宋体"/>
          <w:color w:val="auto"/>
          <w:szCs w:val="21"/>
          <w:highlight w:val="none"/>
        </w:rPr>
      </w:pPr>
      <w:r>
        <w:rPr>
          <w:rFonts w:ascii="宋体" w:hAnsi="宋体"/>
          <w:color w:val="auto"/>
          <w:szCs w:val="21"/>
          <w:highlight w:val="none"/>
        </w:rPr>
        <w:t>9.1.4发包人应为赴现场处理有关设计问题的工作人员，提供必要的工作生活及交通等协助，费用由设计人自负。</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9.1.5发包人负责勘察成果、设计文件的审查及各阶段设计文件的报审工作，并向设计人提供上级主管部门对设计文件进行审查后的批复文件。发包人、上级主管部门对勘察成果、设计文件的审查不免除设计人因设计漏项和设计成果不准确等原因引发的后果应承担的责任，但相关报审费用由设计人承担。</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9.1.6发包人有权对设计人的设计工作进行检查，有权要求设计人更换不称职的人员，有权在工作进度滞后时要求设计人增加人员，有权在设计人严重违约时解除合同。</w:t>
      </w:r>
    </w:p>
    <w:p>
      <w:pPr>
        <w:ind w:firstLine="420" w:firstLineChars="200"/>
        <w:rPr>
          <w:rFonts w:hAnsi="宋体"/>
          <w:color w:val="auto"/>
          <w:szCs w:val="21"/>
          <w:highlight w:val="none"/>
        </w:rPr>
      </w:pPr>
    </w:p>
    <w:p>
      <w:pPr>
        <w:spacing w:line="360" w:lineRule="auto"/>
        <w:ind w:firstLine="402"/>
        <w:rPr>
          <w:rFonts w:hint="eastAsia" w:ascii="宋体" w:hAnsi="宋体"/>
          <w:b/>
          <w:color w:val="auto"/>
          <w:szCs w:val="21"/>
          <w:highlight w:val="none"/>
        </w:rPr>
      </w:pPr>
      <w:r>
        <w:rPr>
          <w:rFonts w:hint="eastAsia" w:ascii="宋体" w:hAnsi="宋体"/>
          <w:b/>
          <w:color w:val="auto"/>
          <w:szCs w:val="21"/>
          <w:highlight w:val="none"/>
        </w:rPr>
        <w:t>9.2设计人责任：</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9.2.1设计人应根据国家技术规范、标准、规程及发包人提出的本合同第四条中设计要求，按本合同第六条规定的内容、时间及份数向发包人交付设计文件。并对提交的设计文件的质量</w:t>
      </w:r>
      <w:r>
        <w:rPr>
          <w:rFonts w:hint="eastAsia" w:ascii="宋体" w:hAnsi="宋体"/>
          <w:color w:val="auto"/>
          <w:szCs w:val="21"/>
          <w:highlight w:val="none"/>
        </w:rPr>
        <w:t>、合法性、完整性</w:t>
      </w:r>
      <w:r>
        <w:rPr>
          <w:rFonts w:ascii="宋体" w:hAnsi="宋体"/>
          <w:color w:val="auto"/>
          <w:szCs w:val="21"/>
          <w:highlight w:val="none"/>
        </w:rPr>
        <w:t>负责，保证能取得相关审批部门的批准或审核许可。</w:t>
      </w:r>
    </w:p>
    <w:p>
      <w:pPr>
        <w:spacing w:line="360" w:lineRule="auto"/>
        <w:ind w:firstLine="420"/>
        <w:rPr>
          <w:rFonts w:ascii="宋体" w:hAnsi="宋体"/>
          <w:color w:val="auto"/>
          <w:szCs w:val="21"/>
          <w:highlight w:val="none"/>
        </w:rPr>
      </w:pPr>
      <w:r>
        <w:rPr>
          <w:rFonts w:ascii="宋体" w:hAnsi="宋体"/>
          <w:color w:val="auto"/>
          <w:szCs w:val="21"/>
          <w:highlight w:val="none"/>
        </w:rPr>
        <w:t>9.2.2设计人采用的主要技术标准是：国家相关的法律、法规及其他最新法规、设计规范。设计文件中选用的国家标准图、部标准图及地方标准图由设计人负责提供。</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9.2.3 设计人应在发包人的协助下收集与本工程设计有关的资料。</w:t>
      </w:r>
    </w:p>
    <w:p>
      <w:pPr>
        <w:spacing w:line="360" w:lineRule="auto"/>
        <w:ind w:firstLine="420"/>
        <w:rPr>
          <w:rFonts w:ascii="宋体" w:hAnsi="宋体"/>
          <w:color w:val="auto"/>
          <w:szCs w:val="21"/>
          <w:highlight w:val="none"/>
        </w:rPr>
      </w:pPr>
      <w:r>
        <w:rPr>
          <w:rFonts w:ascii="宋体" w:hAnsi="宋体"/>
          <w:color w:val="auto"/>
          <w:szCs w:val="21"/>
          <w:highlight w:val="none"/>
        </w:rPr>
        <w:t xml:space="preserve">9.2.4设计合理使用年限为 </w:t>
      </w:r>
      <w:r>
        <w:rPr>
          <w:rFonts w:ascii="宋体" w:hAnsi="宋体"/>
          <w:color w:val="auto"/>
          <w:szCs w:val="21"/>
          <w:highlight w:val="none"/>
          <w:u w:val="single"/>
        </w:rPr>
        <w:t xml:space="preserve"> </w:t>
      </w:r>
      <w:r>
        <w:rPr>
          <w:rFonts w:hint="eastAsia" w:ascii="宋体" w:hAnsi="宋体"/>
          <w:color w:val="auto"/>
          <w:szCs w:val="21"/>
          <w:highlight w:val="none"/>
          <w:u w:val="single"/>
        </w:rPr>
        <w:t>五十</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rPr>
        <w:cr/>
      </w:r>
      <w:r>
        <w:rPr>
          <w:rFonts w:ascii="宋体" w:hAnsi="宋体"/>
          <w:color w:val="auto"/>
          <w:szCs w:val="21"/>
          <w:highlight w:val="none"/>
        </w:rPr>
        <w:t xml:space="preserve">    9.2.5设计人需配合施工单位进行施工期间交通组织设计工作，本年内项目开始施工，负责向发包人及施工单位进行设计交底、并配合发包人做好</w:t>
      </w:r>
      <w:r>
        <w:rPr>
          <w:rFonts w:hint="eastAsia" w:ascii="宋体" w:hAnsi="宋体"/>
          <w:color w:val="auto"/>
          <w:szCs w:val="21"/>
          <w:highlight w:val="none"/>
          <w:lang w:val="en-US" w:eastAsia="zh-CN"/>
        </w:rPr>
        <w:t>相关图纸的</w:t>
      </w:r>
      <w:r>
        <w:rPr>
          <w:rFonts w:ascii="宋体" w:hAnsi="宋体"/>
          <w:color w:val="auto"/>
          <w:szCs w:val="21"/>
          <w:highlight w:val="none"/>
        </w:rPr>
        <w:t>审查工作、处理有关设计问题和按照有关规定参加施工过程的检查验收及竣工验收。在一年内项目尚未开始施工，设计人仍负责上述工作，但发包人不再补偿其他费用。</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9.2.6设计人交付设计资料及文件后，按规定参加有关的设计审查，设计人应根据审查结论负责进行必要修改和补充，若修改内容较多，设计人应重新编制设计文件，发包人不为此支付额外费用。</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9.2.7 图纸的文件格式要求</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9.2.7.1设计人在完成全部的设计工作后，应提供二份完整的未加密的可编辑的各阶段设计电子版给发包人。同时按照合同约定提供相应的</w:t>
      </w:r>
      <w:r>
        <w:rPr>
          <w:rFonts w:hint="eastAsia" w:ascii="宋体" w:hAnsi="宋体"/>
          <w:color w:val="auto"/>
          <w:szCs w:val="21"/>
          <w:highlight w:val="none"/>
          <w:lang w:val="en-US" w:eastAsia="zh-CN"/>
        </w:rPr>
        <w:t>初步设计图纸</w:t>
      </w:r>
      <w:r>
        <w:rPr>
          <w:rFonts w:ascii="宋体" w:hAnsi="宋体"/>
          <w:color w:val="auto"/>
          <w:szCs w:val="21"/>
          <w:highlight w:val="none"/>
        </w:rPr>
        <w:t>设计文件</w:t>
      </w:r>
      <w:r>
        <w:rPr>
          <w:rFonts w:hint="eastAsia" w:ascii="宋体" w:hAnsi="宋体"/>
          <w:color w:val="auto"/>
          <w:szCs w:val="21"/>
          <w:highlight w:val="none"/>
        </w:rPr>
        <w:t>,相关的费用已包含在设计费中</w:t>
      </w:r>
      <w:r>
        <w:rPr>
          <w:rFonts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9.2.7.2设计人需配合发包人的招标工作，按发包人的网上招标需求提供所有设计图纸的电子文件（含可编辑的CAD和不可编辑的PDF文件、编制技术文件、主要材料设备表和工程量清单等word电子文件），此类文件均属于可公开发布文件，发包人不会因此承担知识产权泄露等法律责任。</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9.2.8工程概（预）算书编制的要求</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9.2.8.1统一使用广联达软件，向发包人提供用于发包人审核的以下概（预）算文件：①响应招标文件要求的纸质工程造价文件一套，②对应第①点的纸质文件的GBQ套价文件（电子版），③若为土建工程，则需提供与第①点相应的GCL工程算量文件（电子版）、GGJ钢筋抽料文件（电子版）。</w:t>
      </w:r>
    </w:p>
    <w:p>
      <w:pPr>
        <w:pStyle w:val="17"/>
        <w:spacing w:line="360" w:lineRule="auto"/>
        <w:rPr>
          <w:rFonts w:hint="eastAsia" w:hAnsi="宋体"/>
          <w:color w:val="auto"/>
          <w:sz w:val="21"/>
          <w:szCs w:val="21"/>
          <w:highlight w:val="none"/>
        </w:rPr>
      </w:pPr>
      <w:r>
        <w:rPr>
          <w:rFonts w:hint="eastAsia" w:hAnsi="宋体"/>
          <w:color w:val="auto"/>
          <w:sz w:val="21"/>
          <w:szCs w:val="21"/>
          <w:highlight w:val="none"/>
        </w:rPr>
        <w:t xml:space="preserve">    9.2.8.2工程</w:t>
      </w:r>
      <w:r>
        <w:rPr>
          <w:rFonts w:hint="eastAsia" w:hAnsi="宋体"/>
          <w:color w:val="auto"/>
          <w:sz w:val="21"/>
          <w:szCs w:val="21"/>
          <w:highlight w:val="none"/>
          <w:lang w:eastAsia="zh-CN"/>
        </w:rPr>
        <w:t>概算/预算</w:t>
      </w:r>
      <w:r>
        <w:rPr>
          <w:rFonts w:hint="eastAsia" w:hAnsi="宋体"/>
          <w:color w:val="auto"/>
          <w:sz w:val="21"/>
          <w:szCs w:val="21"/>
          <w:highlight w:val="none"/>
        </w:rPr>
        <w:t>文件中应包含国标规范中完整的《工程量清单的表格》，同时能反映费率（规费费率、措施项目费率等）取定的表格。 工程量清单中的“项目名称”一列，应包括清晰准确的“项目特征描述”，必要时增加“工作内容描述”。</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9.2.9 设计人应保护发包人的知识产权，不得向第三人泄露、转让发包人提交的产品图纸等技术经济资料。如发生以上情况并给发包人造成经济损失，发包人有权向设计人索赔。</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9.2.10设计人应严格按照“设计管理细则”（见附件1）的要求与内容开展工作。</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9.2.11 本项目委派设计人员及分工（见附件2），未经发包人同意，表内人员不能调换。</w:t>
      </w:r>
    </w:p>
    <w:p>
      <w:pPr>
        <w:spacing w:line="360" w:lineRule="auto"/>
        <w:ind w:right="-120" w:firstLine="420" w:firstLineChars="200"/>
        <w:rPr>
          <w:rFonts w:hint="eastAsia" w:ascii="宋体" w:hAnsi="宋体"/>
          <w:color w:val="auto"/>
          <w:szCs w:val="21"/>
          <w:highlight w:val="none"/>
        </w:rPr>
      </w:pPr>
      <w:r>
        <w:rPr>
          <w:rFonts w:hint="eastAsia" w:ascii="宋体" w:hAnsi="宋体"/>
          <w:color w:val="auto"/>
          <w:szCs w:val="21"/>
          <w:highlight w:val="none"/>
        </w:rPr>
        <w:t>9.2.12设计人违反第9.2.1点至第9.2.11点的其中任何一项约定，发包人有权扣减设计费2‰，并要求设计人继续履行合同义务。</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第十条  违约责任：</w:t>
      </w:r>
    </w:p>
    <w:p>
      <w:pPr>
        <w:pStyle w:val="17"/>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10.1 本工程无设计定金。在合同履行期间，发包人要求终止或解除合同，设计人未开始设计工作的，则发包人不支付任何赔偿费用；已开始设计工作的，发包人应根据设计人已进行的实际工作量，不足一半时，按该阶段设计费的一半支付；超过一半时，按该阶段设计费的全部支付。</w:t>
      </w:r>
    </w:p>
    <w:p>
      <w:pPr>
        <w:pStyle w:val="17"/>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10.2发包人应按本合同第八条规定的金额和时间向设计人支付设计费，每逾期支付一天，应承担支付当期应支未支付金额2‰的逾期违约金。逾期超过30日历天的，设计人有权暂停履行下阶段工作，并书面通知发包人。发包人的上级或设计审批部门对设计文件不审批或本合同项目停缓建，发包人均按10.1条规定支付设计费。</w:t>
      </w:r>
    </w:p>
    <w:p>
      <w:pPr>
        <w:pStyle w:val="17"/>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10.3设计人对设计资料及文件出现的遗漏或错误负责修改或补充。由于设计人错误造成工程质量事故损失，设计人除负责采取补救措施外，应免收直接受损失部分的设计费。损失严重的根据损失的程度和设计人责任大小向发包人支付赔偿金，赔偿金由双方商定为实际受损失的100%。</w:t>
      </w:r>
    </w:p>
    <w:p>
      <w:pPr>
        <w:pStyle w:val="17"/>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因设计人设计资料及文件出现遗漏或错误（含设计变更）造成工程费用增加，增加费用为施工合同总价3~10%（含3%、10%）的，发包人按照增加费用占施工合同总价的比例相应扣减设计费；增加费用为施工合同总价10%以上的，发包人将按照增加费用的比例双倍扣减设计费。</w:t>
      </w:r>
    </w:p>
    <w:p>
      <w:pPr>
        <w:pStyle w:val="17"/>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10.4由于设计人自身原因，未按本合同第六条规定的时间提交符合要求的各阶段勘察设计成果的设计资料及设计文件的，设计人应采取必要的赶工措施以尽快交付设计文件，若发包人要求增加设计人员，设计人应立即予以执行，同时，设计人按每延误一天，按设计费合同暂定价款1%的标准扣减设计费；逾期超过10个日历天，除扣减设计费外，发包人有权解除本合同，另行委托他人完成余下的勘察设计服务工作，相关费用按《工程勘察设计收费标准（2002年修订本）》计算后在合同价中扣减，如造成发包人其他损失的，设计人仍应继续承担赔偿责任。</w:t>
      </w:r>
    </w:p>
    <w:p>
      <w:pPr>
        <w:pStyle w:val="17"/>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10.5 在项目设计阶段或工程施工过程中，发包人提前书面通知设计人（若遇紧急情况，发包人将以口头通知），设计项目负责人无故不到施工现场的，若在规定时间内未到场时间超过2小时到达的，发包人将以每次3000元/人标准扣减设计费，其它专业设计人无故不到施工现场的，以每次1500元/人标准扣减设计费。发包人书面通知设计人进行变更设计，在限期内设计人不提供设计变更图纸与资料，每逾期1天，发包人将按设计费合同暂定价款的2%标准扣减设计费。</w:t>
      </w:r>
    </w:p>
    <w:p>
      <w:pPr>
        <w:pStyle w:val="17"/>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10.6 进入施工阶段后，因设计人原因导致工期延误2天以上的，从延误之日开始，设计人每日须按照设计合同价暂定价款的3‰标准向发包人支付违约金。</w:t>
      </w:r>
    </w:p>
    <w:p>
      <w:pPr>
        <w:pStyle w:val="17"/>
        <w:spacing w:line="360" w:lineRule="auto"/>
        <w:ind w:firstLine="420" w:firstLineChars="200"/>
        <w:rPr>
          <w:rFonts w:hint="eastAsia" w:hAnsi="宋体"/>
          <w:dstrike/>
          <w:color w:val="auto"/>
          <w:sz w:val="21"/>
          <w:szCs w:val="21"/>
          <w:highlight w:val="none"/>
        </w:rPr>
      </w:pPr>
      <w:r>
        <w:rPr>
          <w:rFonts w:hint="eastAsia" w:hAnsi="宋体"/>
          <w:color w:val="auto"/>
          <w:sz w:val="21"/>
          <w:szCs w:val="21"/>
          <w:highlight w:val="none"/>
        </w:rPr>
        <w:t>10.7合同生效后，设计人要求终止或解除合同，设计人应双倍返还设计费合同价款，造成发包人损失的，仍须继续承担赔偿责任。</w:t>
      </w:r>
    </w:p>
    <w:p>
      <w:pPr>
        <w:pStyle w:val="17"/>
        <w:spacing w:line="360" w:lineRule="auto"/>
        <w:ind w:firstLine="420" w:firstLineChars="200"/>
        <w:rPr>
          <w:rFonts w:hint="eastAsia"/>
          <w:color w:val="auto"/>
          <w:sz w:val="21"/>
          <w:szCs w:val="21"/>
          <w:highlight w:val="none"/>
        </w:rPr>
      </w:pPr>
      <w:r>
        <w:rPr>
          <w:rFonts w:hint="eastAsia" w:hAnsi="宋体"/>
          <w:color w:val="auto"/>
          <w:sz w:val="21"/>
          <w:szCs w:val="21"/>
          <w:highlight w:val="none"/>
        </w:rPr>
        <w:t>10.8 本工程严禁转包或分包，一经发现，发包人有权终止本合同，并有权要求设计人按照设计费合同价暂定价款的30%支付违约金，如违约金不足以赔偿发包人遭受的损失，设计人仍应继续承担赔偿责任。</w:t>
      </w:r>
    </w:p>
    <w:p>
      <w:pPr>
        <w:spacing w:line="360" w:lineRule="auto"/>
        <w:rPr>
          <w:rFonts w:hint="eastAsia" w:ascii="宋体" w:hAnsi="宋体"/>
          <w:color w:val="auto"/>
          <w:szCs w:val="21"/>
          <w:highlight w:val="none"/>
        </w:rPr>
      </w:pPr>
    </w:p>
    <w:p>
      <w:pPr>
        <w:spacing w:line="360" w:lineRule="auto"/>
        <w:ind w:firstLine="358" w:firstLineChars="170"/>
        <w:rPr>
          <w:rFonts w:hint="eastAsia" w:ascii="宋体" w:hAnsi="宋体"/>
          <w:b/>
          <w:color w:val="auto"/>
          <w:szCs w:val="21"/>
          <w:highlight w:val="none"/>
        </w:rPr>
      </w:pPr>
      <w:r>
        <w:rPr>
          <w:rFonts w:hint="eastAsia" w:ascii="宋体" w:hAnsi="宋体"/>
          <w:b/>
          <w:color w:val="auto"/>
          <w:szCs w:val="21"/>
          <w:highlight w:val="none"/>
        </w:rPr>
        <w:t>第十一条　仲裁、起诉</w:t>
      </w:r>
    </w:p>
    <w:p>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本合同在履行过程中发生的争议，双方当事人协商解决，协商不成的按下列第（二）种方式解决：</w:t>
      </w:r>
    </w:p>
    <w:p>
      <w:pPr>
        <w:spacing w:line="360" w:lineRule="auto"/>
        <w:ind w:firstLine="720"/>
        <w:rPr>
          <w:rFonts w:hint="eastAsia" w:ascii="宋体" w:hAnsi="宋体"/>
          <w:color w:val="auto"/>
          <w:szCs w:val="21"/>
          <w:highlight w:val="none"/>
        </w:rPr>
      </w:pPr>
      <w:r>
        <w:rPr>
          <w:rFonts w:hint="eastAsia" w:ascii="宋体" w:hAnsi="宋体"/>
          <w:color w:val="auto"/>
          <w:szCs w:val="21"/>
          <w:highlight w:val="none"/>
        </w:rPr>
        <w:t xml:space="preserve">（一）提交广州仲裁委员会仲裁； </w:t>
      </w:r>
    </w:p>
    <w:p>
      <w:pPr>
        <w:spacing w:line="360" w:lineRule="auto"/>
        <w:ind w:firstLine="720"/>
        <w:rPr>
          <w:rFonts w:hint="eastAsia" w:ascii="宋体" w:hAnsi="宋体"/>
          <w:color w:val="auto"/>
          <w:szCs w:val="21"/>
          <w:highlight w:val="none"/>
        </w:rPr>
      </w:pPr>
      <w:r>
        <w:rPr>
          <w:rFonts w:hint="eastAsia" w:ascii="宋体" w:hAnsi="宋体"/>
          <w:color w:val="auto"/>
          <w:szCs w:val="21"/>
          <w:highlight w:val="none"/>
        </w:rPr>
        <w:t>（二）依法向广州市番禺区人民法院起诉，违约方须承担守约方因此产生的包括但不限于律师费、诉讼费等一切费用。</w:t>
      </w:r>
    </w:p>
    <w:p>
      <w:pPr>
        <w:spacing w:line="360" w:lineRule="auto"/>
        <w:ind w:firstLine="720"/>
        <w:rPr>
          <w:rFonts w:hint="eastAsia" w:ascii="宋体" w:hAnsi="宋体"/>
          <w:color w:val="auto"/>
          <w:szCs w:val="21"/>
          <w:highlight w:val="none"/>
        </w:rPr>
      </w:pPr>
    </w:p>
    <w:p>
      <w:pPr>
        <w:spacing w:line="360" w:lineRule="auto"/>
        <w:ind w:firstLine="413" w:firstLineChars="196"/>
        <w:rPr>
          <w:rFonts w:hint="eastAsia" w:ascii="宋体" w:hAnsi="宋体"/>
          <w:b/>
          <w:color w:val="auto"/>
          <w:szCs w:val="21"/>
          <w:highlight w:val="none"/>
        </w:rPr>
      </w:pPr>
      <w:r>
        <w:rPr>
          <w:rFonts w:hint="eastAsia" w:ascii="宋体" w:hAnsi="宋体"/>
          <w:b/>
          <w:color w:val="auto"/>
          <w:szCs w:val="21"/>
          <w:highlight w:val="none"/>
        </w:rPr>
        <w:t>第十二条  其它约定事项：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12.1设计人必须在接到发包人发出的正式书面开工通知后，马上开展设计工作；否则，由于设计人擅自进行设计工作所发生的费用，由设计人自行承担，发包人不予支付。</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12.2本合同生效之日起至工程竣工验收合格后满一年止为服务期限。工程投入使用后，若发现工程设计未能满足本合同的要求，设计人必须继续提供服务，直至通过质量保修期满的验收为止。上述延期服务，发包人不额外支付费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12.3 设计人必须经发包人同意才能开展各分项工程的设计工作。若因规划调整或行政区域划分等行政原因，导致本工程下某子项目无法正常开展或终止的，发包人有权终止该子项目未实施的设计工作，设计费用按实际完成量结算。</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12.4 发包人所提供的设计依据仅为参考，最终以政府规划部门批复的相关文件为准、由此产生的设计修改费已包含在合同价款内。</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12.5发包人委托设计人承担本合同内容以外的工作服务，另行签订协议并支付费用。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12.6  由于不可抗力因素致使合同无法履行时，双方应及时协商解决。</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12.7  本合同项下的标的物的知识产权归发包人所有。</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12.8  双方认可的来往电报、传真、会议纪要等，均为本合同组成部分，与本合同具有同等法律效力。</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12.9  未尽事宜，经双方协商一致，签订补充协议，补充协议与本合同具有同等效力。</w:t>
      </w:r>
    </w:p>
    <w:p>
      <w:pPr>
        <w:spacing w:line="360" w:lineRule="auto"/>
        <w:ind w:firstLine="316" w:firstLineChars="150"/>
        <w:rPr>
          <w:rFonts w:hint="eastAsia" w:ascii="宋体" w:hAnsi="宋体"/>
          <w:b/>
          <w:color w:val="auto"/>
          <w:szCs w:val="21"/>
          <w:highlight w:val="none"/>
        </w:rPr>
      </w:pPr>
    </w:p>
    <w:p>
      <w:pPr>
        <w:spacing w:line="360" w:lineRule="auto"/>
        <w:ind w:firstLine="316" w:firstLineChars="150"/>
        <w:rPr>
          <w:rFonts w:hint="eastAsia" w:ascii="宋体" w:hAnsi="宋体"/>
          <w:b/>
          <w:color w:val="auto"/>
          <w:szCs w:val="21"/>
          <w:highlight w:val="none"/>
        </w:rPr>
      </w:pPr>
      <w:r>
        <w:rPr>
          <w:rFonts w:hint="eastAsia" w:ascii="宋体" w:hAnsi="宋体"/>
          <w:b/>
          <w:color w:val="auto"/>
          <w:szCs w:val="21"/>
          <w:highlight w:val="none"/>
        </w:rPr>
        <w:t>第十三条  合同生效及份数</w:t>
      </w:r>
    </w:p>
    <w:p>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13.1本合同双方约定自双方</w:t>
      </w:r>
      <w:r>
        <w:rPr>
          <w:rFonts w:hint="eastAsia"/>
          <w:color w:val="auto"/>
          <w:szCs w:val="21"/>
          <w:highlight w:val="none"/>
        </w:rPr>
        <w:t>法定代表人或</w:t>
      </w:r>
      <w:r>
        <w:rPr>
          <w:rFonts w:hint="eastAsia" w:ascii="宋体" w:hAnsi="宋体"/>
          <w:color w:val="auto"/>
          <w:szCs w:val="21"/>
          <w:highlight w:val="none"/>
        </w:rPr>
        <w:t>授权代理人签字（或签章）及加盖公章之日起生效，</w:t>
      </w:r>
      <w:r>
        <w:rPr>
          <w:rFonts w:ascii="宋体" w:hAnsi="宋体"/>
          <w:color w:val="auto"/>
          <w:szCs w:val="21"/>
          <w:highlight w:val="none"/>
        </w:rPr>
        <w:t>授权代理人必须</w:t>
      </w:r>
      <w:r>
        <w:rPr>
          <w:rFonts w:hint="eastAsia" w:ascii="宋体" w:hAnsi="宋体"/>
          <w:color w:val="auto"/>
          <w:szCs w:val="21"/>
          <w:highlight w:val="none"/>
        </w:rPr>
        <w:t>向对方</w:t>
      </w:r>
      <w:r>
        <w:rPr>
          <w:rFonts w:ascii="宋体" w:hAnsi="宋体"/>
          <w:color w:val="auto"/>
          <w:szCs w:val="21"/>
          <w:highlight w:val="none"/>
        </w:rPr>
        <w:t>提供单位法定代表人签名</w:t>
      </w:r>
      <w:r>
        <w:rPr>
          <w:rFonts w:hint="eastAsia" w:ascii="宋体" w:hAnsi="宋体"/>
          <w:color w:val="auto"/>
          <w:szCs w:val="21"/>
          <w:highlight w:val="none"/>
        </w:rPr>
        <w:t>及</w:t>
      </w:r>
      <w:r>
        <w:rPr>
          <w:rFonts w:ascii="宋体" w:hAnsi="宋体"/>
          <w:color w:val="auto"/>
          <w:szCs w:val="21"/>
          <w:highlight w:val="none"/>
        </w:rPr>
        <w:t>加盖单位</w:t>
      </w:r>
      <w:r>
        <w:rPr>
          <w:rFonts w:hint="eastAsia" w:ascii="宋体" w:hAnsi="宋体"/>
          <w:color w:val="auto"/>
          <w:szCs w:val="21"/>
          <w:highlight w:val="none"/>
        </w:rPr>
        <w:t>公章</w:t>
      </w:r>
      <w:r>
        <w:rPr>
          <w:rFonts w:ascii="宋体" w:hAnsi="宋体"/>
          <w:color w:val="auto"/>
          <w:szCs w:val="21"/>
          <w:highlight w:val="none"/>
        </w:rPr>
        <w:t>的授权委托书原件</w:t>
      </w:r>
      <w:r>
        <w:rPr>
          <w:rFonts w:hint="eastAsia" w:ascii="宋体" w:hAnsi="宋体"/>
          <w:color w:val="auto"/>
          <w:szCs w:val="21"/>
          <w:highlight w:val="none"/>
        </w:rPr>
        <w:t>壹份</w:t>
      </w:r>
      <w:r>
        <w:rPr>
          <w:rFonts w:ascii="宋体" w:hAnsi="宋体"/>
          <w:color w:val="auto"/>
          <w:szCs w:val="21"/>
          <w:highlight w:val="none"/>
        </w:rPr>
        <w:t>，并注明</w:t>
      </w:r>
      <w:r>
        <w:rPr>
          <w:rFonts w:hint="eastAsia" w:ascii="宋体" w:hAnsi="宋体"/>
          <w:color w:val="auto"/>
          <w:szCs w:val="21"/>
          <w:highlight w:val="none"/>
        </w:rPr>
        <w:t>授权</w:t>
      </w:r>
      <w:r>
        <w:rPr>
          <w:rFonts w:ascii="宋体" w:hAnsi="宋体"/>
          <w:color w:val="auto"/>
          <w:szCs w:val="21"/>
          <w:highlight w:val="none"/>
        </w:rPr>
        <w:t>事项及期限</w:t>
      </w:r>
      <w:r>
        <w:rPr>
          <w:rFonts w:hint="eastAsia" w:ascii="宋体" w:hAnsi="宋体"/>
          <w:color w:val="auto"/>
          <w:szCs w:val="21"/>
          <w:highlight w:val="none"/>
        </w:rPr>
        <w:t>。双方履行完合同规定的义务后，本合同即行终止。</w:t>
      </w:r>
    </w:p>
    <w:p>
      <w:pPr>
        <w:spacing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13.2本合同一式六份，各份具同等法律效力。其中正本两份，双方各执一份；副本四份，发包人执一份，设计人执三份。当正、副本所表述的内容不一致时，以正本为准。</w:t>
      </w:r>
    </w:p>
    <w:p>
      <w:pPr>
        <w:spacing w:line="360" w:lineRule="auto"/>
        <w:ind w:firstLine="284"/>
        <w:rPr>
          <w:rFonts w:hint="eastAsia" w:ascii="宋体" w:hAnsi="宋体"/>
          <w:b/>
          <w:color w:val="auto"/>
          <w:szCs w:val="21"/>
          <w:highlight w:val="none"/>
        </w:rPr>
      </w:pPr>
      <w:r>
        <w:rPr>
          <w:rFonts w:hint="eastAsia" w:ascii="宋体" w:hAnsi="宋体"/>
          <w:b/>
          <w:color w:val="auto"/>
          <w:szCs w:val="21"/>
          <w:highlight w:val="none"/>
        </w:rPr>
        <w:t xml:space="preserve"> </w:t>
      </w:r>
      <w:r>
        <w:rPr>
          <w:rFonts w:hint="eastAsia" w:ascii="宋体" w:hAnsi="宋体"/>
          <w:b/>
          <w:color w:val="auto"/>
          <w:szCs w:val="21"/>
          <w:highlight w:val="none"/>
        </w:rPr>
        <w:t>第十四条  合同附件</w:t>
      </w:r>
    </w:p>
    <w:p>
      <w:pPr>
        <w:spacing w:line="360" w:lineRule="auto"/>
        <w:ind w:left="479"/>
        <w:rPr>
          <w:rFonts w:hint="eastAsia" w:ascii="宋体" w:hAnsi="宋体"/>
          <w:color w:val="auto"/>
          <w:szCs w:val="21"/>
          <w:highlight w:val="none"/>
        </w:rPr>
      </w:pPr>
      <w:r>
        <w:rPr>
          <w:rFonts w:hint="eastAsia" w:ascii="宋体" w:hAnsi="宋体"/>
          <w:color w:val="auto"/>
          <w:szCs w:val="21"/>
          <w:highlight w:val="none"/>
        </w:rPr>
        <w:t>14.1  合同附件是本合同的组成部份，具有与本合同相同的法律效力。合同附件如下：</w:t>
      </w:r>
    </w:p>
    <w:p>
      <w:pPr>
        <w:spacing w:line="360" w:lineRule="auto"/>
        <w:ind w:left="479" w:leftChars="228"/>
        <w:rPr>
          <w:rFonts w:hint="eastAsia" w:ascii="宋体" w:hAnsi="宋体"/>
          <w:color w:val="auto"/>
          <w:szCs w:val="21"/>
          <w:highlight w:val="none"/>
        </w:rPr>
      </w:pPr>
      <w:r>
        <w:rPr>
          <w:rFonts w:hint="eastAsia" w:ascii="宋体" w:hAnsi="宋体"/>
          <w:color w:val="auto"/>
          <w:szCs w:val="21"/>
          <w:highlight w:val="none"/>
        </w:rPr>
        <w:t xml:space="preserve"> 附件1.</w:t>
      </w:r>
      <w:r>
        <w:rPr>
          <w:rFonts w:ascii="宋体" w:hAnsi="宋体"/>
          <w:color w:val="auto"/>
          <w:szCs w:val="21"/>
          <w:highlight w:val="none"/>
        </w:rPr>
        <w:t xml:space="preserve"> </w:t>
      </w:r>
      <w:r>
        <w:rPr>
          <w:rFonts w:hint="eastAsia" w:ascii="宋体" w:hAnsi="宋体"/>
          <w:color w:val="auto"/>
          <w:szCs w:val="21"/>
          <w:highlight w:val="none"/>
        </w:rPr>
        <w:t>设计管理细则</w:t>
      </w:r>
    </w:p>
    <w:p>
      <w:pPr>
        <w:spacing w:line="360" w:lineRule="auto"/>
        <w:ind w:left="479" w:leftChars="228"/>
        <w:rPr>
          <w:rFonts w:hint="eastAsia" w:ascii="宋体" w:hAnsi="宋体"/>
          <w:color w:val="auto"/>
          <w:szCs w:val="21"/>
          <w:highlight w:val="none"/>
        </w:rPr>
      </w:pPr>
      <w:r>
        <w:rPr>
          <w:rFonts w:hint="eastAsia" w:ascii="宋体" w:hAnsi="宋体"/>
          <w:color w:val="auto"/>
          <w:szCs w:val="21"/>
          <w:highlight w:val="none"/>
        </w:rPr>
        <w:t xml:space="preserve"> 附件2</w:t>
      </w:r>
      <w:r>
        <w:rPr>
          <w:rFonts w:ascii="宋体" w:hAnsi="宋体"/>
          <w:color w:val="auto"/>
          <w:szCs w:val="21"/>
          <w:highlight w:val="none"/>
        </w:rPr>
        <w:t xml:space="preserve">. </w:t>
      </w:r>
      <w:r>
        <w:rPr>
          <w:rFonts w:hint="eastAsia" w:ascii="宋体" w:hAnsi="宋体"/>
          <w:color w:val="auto"/>
          <w:szCs w:val="21"/>
          <w:highlight w:val="none"/>
        </w:rPr>
        <w:t>本项目设计人员分工表</w:t>
      </w:r>
    </w:p>
    <w:p>
      <w:pPr>
        <w:spacing w:line="360" w:lineRule="auto"/>
        <w:ind w:left="567" w:leftChars="270"/>
        <w:rPr>
          <w:rFonts w:ascii="宋体" w:hAnsi="宋体"/>
          <w:color w:val="auto"/>
          <w:szCs w:val="21"/>
          <w:highlight w:val="none"/>
        </w:rPr>
      </w:pPr>
      <w:r>
        <w:rPr>
          <w:rFonts w:hint="eastAsia" w:ascii="宋体" w:hAnsi="宋体"/>
          <w:color w:val="auto"/>
          <w:szCs w:val="21"/>
          <w:highlight w:val="none"/>
        </w:rPr>
        <w:t>附件3</w:t>
      </w:r>
      <w:r>
        <w:rPr>
          <w:rFonts w:ascii="宋体" w:hAnsi="宋体"/>
          <w:color w:val="auto"/>
          <w:szCs w:val="21"/>
          <w:highlight w:val="none"/>
        </w:rPr>
        <w:t>.</w:t>
      </w:r>
      <w:r>
        <w:rPr>
          <w:rFonts w:hint="eastAsia" w:ascii="宋体" w:hAnsi="宋体"/>
          <w:color w:val="auto"/>
          <w:szCs w:val="21"/>
          <w:highlight w:val="none"/>
        </w:rPr>
        <w:t xml:space="preserve"> 设计人的银行开户许可证</w:t>
      </w:r>
    </w:p>
    <w:p>
      <w:pPr>
        <w:spacing w:line="360" w:lineRule="auto"/>
        <w:ind w:left="567" w:leftChars="270"/>
        <w:rPr>
          <w:rFonts w:hint="eastAsia" w:ascii="宋体" w:hAnsi="宋体"/>
          <w:color w:val="auto"/>
          <w:szCs w:val="21"/>
          <w:highlight w:val="none"/>
        </w:rPr>
      </w:pPr>
    </w:p>
    <w:p>
      <w:pPr>
        <w:spacing w:line="360" w:lineRule="auto"/>
        <w:ind w:left="479" w:leftChars="228"/>
        <w:rPr>
          <w:rFonts w:hint="eastAsia" w:ascii="宋体" w:hAnsi="宋体"/>
          <w:color w:val="auto"/>
          <w:szCs w:val="21"/>
          <w:highlight w:val="none"/>
        </w:rPr>
      </w:pPr>
      <w:r>
        <w:rPr>
          <w:rFonts w:hint="eastAsia" w:ascii="宋体" w:hAnsi="宋体"/>
          <w:color w:val="auto"/>
          <w:szCs w:val="21"/>
          <w:highlight w:val="none"/>
        </w:rPr>
        <w:t>(以下无正文)</w:t>
      </w:r>
    </w:p>
    <w:p>
      <w:pPr>
        <w:spacing w:line="360" w:lineRule="auto"/>
        <w:rPr>
          <w:rFonts w:ascii="宋体" w:hAnsi="宋体"/>
          <w:szCs w:val="21"/>
        </w:rPr>
      </w:pPr>
      <w:r>
        <w:rPr>
          <w:rFonts w:ascii="宋体" w:hAnsi="宋体"/>
          <w:color w:val="auto"/>
          <w:szCs w:val="21"/>
          <w:highlight w:val="none"/>
        </w:rPr>
        <w:br w:type="page"/>
      </w:r>
      <w:r>
        <w:rPr>
          <w:rFonts w:hint="eastAsia" w:ascii="宋体" w:hAnsi="宋体"/>
          <w:szCs w:val="21"/>
        </w:rPr>
        <w:t>（本页为签署页，无正文内容）</w:t>
      </w:r>
    </w:p>
    <w:p>
      <w:pPr>
        <w:spacing w:line="360" w:lineRule="auto"/>
        <w:rPr>
          <w:rFonts w:ascii="宋体" w:hAnsi="宋体"/>
          <w:szCs w:val="21"/>
        </w:rPr>
      </w:pPr>
    </w:p>
    <w:p>
      <w:pPr>
        <w:spacing w:line="360" w:lineRule="auto"/>
        <w:rPr>
          <w:rFonts w:hint="eastAsia" w:ascii="宋体" w:hAnsi="宋体"/>
          <w:szCs w:val="21"/>
        </w:rPr>
      </w:pPr>
      <w:r>
        <w:rPr>
          <w:rFonts w:hint="eastAsia" w:ascii="宋体" w:hAnsi="宋体"/>
          <w:szCs w:val="21"/>
        </w:rPr>
        <w:t xml:space="preserve">发包人：（公章）                        </w:t>
      </w:r>
      <w:r>
        <w:rPr>
          <w:rFonts w:hint="eastAsia" w:ascii="宋体" w:hAnsi="宋体"/>
          <w:szCs w:val="21"/>
          <w:lang w:val="en-US" w:eastAsia="zh-CN"/>
        </w:rPr>
        <w:t xml:space="preserve">   </w:t>
      </w:r>
      <w:r>
        <w:rPr>
          <w:rFonts w:hint="eastAsia" w:ascii="宋体" w:hAnsi="宋体"/>
          <w:szCs w:val="21"/>
        </w:rPr>
        <w:t xml:space="preserve"> 设计人：（公章） </w:t>
      </w:r>
    </w:p>
    <w:p>
      <w:pPr>
        <w:pStyle w:val="26"/>
        <w:snapToGrid w:val="0"/>
        <w:rPr>
          <w:rFonts w:hint="eastAsia"/>
          <w:color w:val="auto"/>
          <w:szCs w:val="21"/>
        </w:rPr>
      </w:pPr>
      <w:r>
        <w:rPr>
          <w:rFonts w:hint="eastAsia"/>
          <w:color w:val="auto"/>
          <w:kern w:val="2"/>
          <w:sz w:val="21"/>
          <w:szCs w:val="21"/>
        </w:rPr>
        <w:t>广州市番禺区</w:t>
      </w:r>
      <w:r>
        <w:rPr>
          <w:rFonts w:hint="eastAsia"/>
          <w:color w:val="auto"/>
          <w:kern w:val="2"/>
          <w:sz w:val="21"/>
          <w:szCs w:val="21"/>
          <w:lang w:val="en-US" w:eastAsia="zh-CN"/>
        </w:rPr>
        <w:t xml:space="preserve">水务局         </w:t>
      </w:r>
      <w:r>
        <w:rPr>
          <w:rFonts w:hint="eastAsia"/>
          <w:color w:val="auto"/>
          <w:kern w:val="2"/>
          <w:sz w:val="21"/>
          <w:szCs w:val="21"/>
        </w:rPr>
        <w:t xml:space="preserve">              </w:t>
      </w:r>
      <w:r>
        <w:rPr>
          <w:rFonts w:hint="eastAsia"/>
          <w:color w:val="auto"/>
          <w:kern w:val="2"/>
          <w:sz w:val="21"/>
          <w:szCs w:val="21"/>
          <w:lang w:val="en-US" w:eastAsia="zh-CN"/>
        </w:rPr>
        <w:t xml:space="preserve"> </w:t>
      </w:r>
      <w:r>
        <w:rPr>
          <w:rFonts w:hint="eastAsia"/>
          <w:color w:val="auto"/>
          <w:kern w:val="2"/>
          <w:sz w:val="21"/>
          <w:szCs w:val="21"/>
        </w:rPr>
        <w:t xml:space="preserve"> </w:t>
      </w:r>
      <w:r>
        <w:rPr>
          <w:rFonts w:hint="eastAsia" w:eastAsia="宋体" w:cs="Times New Roman"/>
          <w:color w:val="auto"/>
          <w:kern w:val="2"/>
          <w:sz w:val="21"/>
          <w:szCs w:val="21"/>
        </w:rPr>
        <w:t xml:space="preserve">  </w:t>
      </w:r>
      <w:r>
        <w:rPr>
          <w:rFonts w:hint="eastAsia"/>
          <w:color w:val="auto"/>
          <w:kern w:val="2"/>
          <w:sz w:val="21"/>
          <w:szCs w:val="21"/>
        </w:rPr>
        <w:t xml:space="preserve">    </w:t>
      </w:r>
      <w:r>
        <w:rPr>
          <w:rFonts w:hint="eastAsia"/>
          <w:color w:val="auto"/>
          <w:kern w:val="2"/>
          <w:sz w:val="21"/>
          <w:szCs w:val="21"/>
        </w:rPr>
        <w:tab/>
      </w:r>
      <w:r>
        <w:rPr>
          <w:rFonts w:hint="eastAsia"/>
          <w:color w:val="auto"/>
          <w:kern w:val="2"/>
          <w:sz w:val="21"/>
          <w:szCs w:val="21"/>
        </w:rPr>
        <w:t xml:space="preserve"> </w:t>
      </w:r>
    </w:p>
    <w:p>
      <w:pPr>
        <w:spacing w:line="360" w:lineRule="auto"/>
        <w:rPr>
          <w:rFonts w:hint="eastAsia" w:ascii="宋体" w:hAnsi="宋体"/>
          <w:szCs w:val="21"/>
        </w:rPr>
      </w:pPr>
      <w:r>
        <w:rPr>
          <w:rFonts w:hint="eastAsia" w:ascii="宋体" w:hAnsi="宋体"/>
          <w:szCs w:val="21"/>
        </w:rPr>
        <w:t>住所：</w:t>
      </w:r>
      <w:r>
        <w:rPr>
          <w:rFonts w:hint="eastAsia" w:ascii="宋体" w:hAnsi="宋体"/>
          <w:szCs w:val="21"/>
          <w:lang w:val="en-US" w:eastAsia="zh-CN"/>
        </w:rPr>
        <w:t xml:space="preserve">                                       </w:t>
      </w:r>
      <w:r>
        <w:rPr>
          <w:rFonts w:hint="eastAsia" w:ascii="宋体" w:hAnsi="宋体"/>
          <w:szCs w:val="21"/>
        </w:rPr>
        <w:t>住所：</w:t>
      </w:r>
    </w:p>
    <w:p>
      <w:pPr>
        <w:spacing w:line="360" w:lineRule="auto"/>
        <w:ind w:firstLine="0" w:firstLineChars="0"/>
        <w:rPr>
          <w:rFonts w:hint="eastAsia" w:ascii="宋体" w:hAnsi="宋体"/>
          <w:szCs w:val="21"/>
        </w:rPr>
      </w:pPr>
      <w:r>
        <w:rPr>
          <w:rFonts w:hint="eastAsia" w:ascii="宋体" w:hAnsi="宋体"/>
          <w:szCs w:val="21"/>
        </w:rPr>
        <w:t>广州市番禺区</w:t>
      </w:r>
      <w:r>
        <w:rPr>
          <w:rFonts w:hint="eastAsia" w:ascii="宋体" w:hAnsi="宋体"/>
          <w:szCs w:val="21"/>
          <w:lang w:val="en-US" w:eastAsia="zh-CN"/>
        </w:rPr>
        <w:t xml:space="preserve">沙头街景观大道南9号             </w:t>
      </w:r>
    </w:p>
    <w:p>
      <w:pPr>
        <w:pStyle w:val="26"/>
        <w:rPr>
          <w:rFonts w:hint="eastAsia"/>
          <w:color w:val="auto"/>
          <w:kern w:val="2"/>
          <w:sz w:val="21"/>
          <w:szCs w:val="21"/>
          <w:lang w:eastAsia="zh-CN"/>
        </w:rPr>
      </w:pPr>
      <w:r>
        <w:rPr>
          <w:rFonts w:hint="eastAsia"/>
          <w:color w:val="auto"/>
          <w:kern w:val="2"/>
          <w:sz w:val="21"/>
          <w:szCs w:val="21"/>
        </w:rPr>
        <w:t>办公地址</w:t>
      </w:r>
      <w:r>
        <w:rPr>
          <w:rFonts w:hint="eastAsia"/>
          <w:color w:val="auto"/>
          <w:kern w:val="2"/>
          <w:sz w:val="21"/>
          <w:szCs w:val="21"/>
          <w:lang w:eastAsia="zh-CN"/>
        </w:rPr>
        <w:t>：</w:t>
      </w:r>
      <w:r>
        <w:rPr>
          <w:rFonts w:hint="eastAsia"/>
          <w:color w:val="auto"/>
          <w:kern w:val="2"/>
          <w:sz w:val="21"/>
          <w:szCs w:val="21"/>
          <w:lang w:val="en-US" w:eastAsia="zh-CN"/>
        </w:rPr>
        <w:t xml:space="preserve">                                   </w:t>
      </w:r>
      <w:r>
        <w:rPr>
          <w:rFonts w:hint="eastAsia"/>
          <w:color w:val="auto"/>
          <w:kern w:val="2"/>
          <w:sz w:val="21"/>
          <w:szCs w:val="21"/>
        </w:rPr>
        <w:t>办公地址：</w:t>
      </w:r>
    </w:p>
    <w:p>
      <w:pPr>
        <w:pStyle w:val="26"/>
        <w:rPr>
          <w:rFonts w:hint="eastAsia"/>
          <w:color w:val="auto"/>
          <w:kern w:val="2"/>
          <w:sz w:val="21"/>
          <w:szCs w:val="21"/>
        </w:rPr>
      </w:pPr>
      <w:r>
        <w:rPr>
          <w:rFonts w:hint="eastAsia" w:ascii="宋体" w:hAnsi="宋体" w:eastAsia="宋体" w:cs="Times New Roman"/>
          <w:color w:val="auto"/>
          <w:kern w:val="2"/>
          <w:sz w:val="21"/>
          <w:szCs w:val="21"/>
        </w:rPr>
        <w:t>广州市番禺区</w:t>
      </w:r>
      <w:r>
        <w:rPr>
          <w:rFonts w:hint="eastAsia" w:ascii="宋体" w:hAnsi="宋体" w:eastAsia="宋体" w:cs="Times New Roman"/>
          <w:color w:val="auto"/>
          <w:kern w:val="2"/>
          <w:sz w:val="21"/>
          <w:szCs w:val="21"/>
          <w:lang w:val="en-US" w:eastAsia="zh-CN"/>
        </w:rPr>
        <w:t>沙头街景观大道南9号</w:t>
      </w:r>
      <w:r>
        <w:rPr>
          <w:rFonts w:hint="eastAsia" w:ascii="宋体" w:hAnsi="宋体" w:eastAsia="宋体" w:cs="Times New Roman"/>
          <w:color w:val="auto"/>
          <w:kern w:val="2"/>
          <w:sz w:val="21"/>
          <w:szCs w:val="21"/>
        </w:rPr>
        <w:t xml:space="preserve"> </w:t>
      </w:r>
      <w:r>
        <w:rPr>
          <w:rFonts w:hint="eastAsia" w:eastAsia="宋体" w:cs="Times New Roman"/>
          <w:color w:val="auto"/>
          <w:kern w:val="2"/>
          <w:sz w:val="21"/>
          <w:szCs w:val="21"/>
          <w:lang w:val="en-US" w:eastAsia="zh-CN"/>
        </w:rPr>
        <w:t xml:space="preserve">            </w:t>
      </w:r>
      <w:r>
        <w:rPr>
          <w:rFonts w:hint="eastAsia"/>
          <w:color w:val="auto"/>
          <w:kern w:val="2"/>
          <w:sz w:val="21"/>
          <w:szCs w:val="21"/>
        </w:rPr>
        <w:t xml:space="preserve">                                             </w:t>
      </w:r>
    </w:p>
    <w:p>
      <w:pPr>
        <w:pStyle w:val="26"/>
        <w:spacing w:line="360" w:lineRule="auto"/>
        <w:rPr>
          <w:rFonts w:hint="eastAsia"/>
          <w:color w:val="auto"/>
          <w:kern w:val="2"/>
          <w:sz w:val="21"/>
          <w:szCs w:val="21"/>
        </w:rPr>
      </w:pPr>
      <w:r>
        <w:rPr>
          <w:rFonts w:hint="eastAsia"/>
          <w:color w:val="auto"/>
          <w:kern w:val="2"/>
          <w:sz w:val="21"/>
          <w:szCs w:val="21"/>
        </w:rPr>
        <w:t xml:space="preserve">法定代表人：                             </w:t>
      </w:r>
      <w:r>
        <w:rPr>
          <w:rFonts w:hint="eastAsia"/>
          <w:color w:val="auto"/>
          <w:kern w:val="2"/>
          <w:sz w:val="21"/>
          <w:szCs w:val="21"/>
          <w:lang w:val="en-US" w:eastAsia="zh-CN"/>
        </w:rPr>
        <w:t xml:space="preserve">    </w:t>
      </w:r>
      <w:r>
        <w:rPr>
          <w:rFonts w:hint="eastAsia"/>
          <w:color w:val="auto"/>
          <w:kern w:val="2"/>
          <w:sz w:val="21"/>
          <w:szCs w:val="21"/>
        </w:rPr>
        <w:t xml:space="preserve">法定代表人：              </w:t>
      </w:r>
    </w:p>
    <w:p>
      <w:pPr>
        <w:spacing w:line="360" w:lineRule="auto"/>
        <w:ind w:left="235" w:leftChars="12" w:hanging="210" w:hangingChars="100"/>
        <w:rPr>
          <w:rFonts w:hint="eastAsia" w:ascii="宋体" w:hAnsi="宋体"/>
          <w:szCs w:val="21"/>
        </w:rPr>
      </w:pPr>
    </w:p>
    <w:p>
      <w:pPr>
        <w:spacing w:line="360" w:lineRule="auto"/>
        <w:ind w:left="235" w:leftChars="12" w:hanging="210" w:hangingChars="100"/>
        <w:rPr>
          <w:rFonts w:hint="eastAsia" w:ascii="宋体" w:hAnsi="宋体"/>
          <w:szCs w:val="21"/>
        </w:rPr>
      </w:pPr>
      <w:r>
        <w:rPr>
          <w:rFonts w:hint="eastAsia" w:ascii="宋体" w:hAnsi="宋体"/>
          <w:szCs w:val="21"/>
        </w:rPr>
        <w:t xml:space="preserve">授权代理人：                             </w:t>
      </w:r>
      <w:r>
        <w:rPr>
          <w:rFonts w:hint="eastAsia" w:ascii="宋体" w:hAnsi="宋体"/>
          <w:szCs w:val="21"/>
          <w:lang w:val="en-US" w:eastAsia="zh-CN"/>
        </w:rPr>
        <w:t xml:space="preserve">    </w:t>
      </w:r>
      <w:r>
        <w:rPr>
          <w:rFonts w:hint="eastAsia" w:ascii="宋体" w:hAnsi="宋体"/>
          <w:szCs w:val="21"/>
        </w:rPr>
        <w:t>授权代理人：</w:t>
      </w:r>
    </w:p>
    <w:p>
      <w:pPr>
        <w:pStyle w:val="26"/>
        <w:spacing w:line="360" w:lineRule="auto"/>
        <w:rPr>
          <w:rFonts w:hint="eastAsia"/>
          <w:color w:val="auto"/>
          <w:kern w:val="2"/>
          <w:sz w:val="21"/>
          <w:szCs w:val="21"/>
        </w:rPr>
      </w:pPr>
    </w:p>
    <w:p>
      <w:pPr>
        <w:pStyle w:val="26"/>
        <w:tabs>
          <w:tab w:val="left" w:pos="5220"/>
        </w:tabs>
        <w:spacing w:line="360" w:lineRule="auto"/>
        <w:rPr>
          <w:rFonts w:hint="eastAsia"/>
          <w:color w:val="auto"/>
          <w:kern w:val="2"/>
          <w:sz w:val="21"/>
          <w:szCs w:val="21"/>
        </w:rPr>
      </w:pPr>
      <w:r>
        <w:rPr>
          <w:rFonts w:hint="eastAsia"/>
          <w:color w:val="auto"/>
          <w:kern w:val="2"/>
          <w:sz w:val="21"/>
          <w:szCs w:val="21"/>
        </w:rPr>
        <w:t xml:space="preserve">项目负责人：                             </w:t>
      </w:r>
      <w:r>
        <w:rPr>
          <w:rFonts w:hint="eastAsia"/>
          <w:color w:val="auto"/>
          <w:kern w:val="2"/>
          <w:sz w:val="21"/>
          <w:szCs w:val="21"/>
          <w:lang w:val="en-US" w:eastAsia="zh-CN"/>
        </w:rPr>
        <w:t xml:space="preserve">     </w:t>
      </w:r>
      <w:r>
        <w:rPr>
          <w:rFonts w:hint="eastAsia"/>
          <w:color w:val="auto"/>
          <w:kern w:val="2"/>
          <w:sz w:val="21"/>
          <w:szCs w:val="21"/>
        </w:rPr>
        <w:t xml:space="preserve">项目负责人： </w:t>
      </w:r>
    </w:p>
    <w:p>
      <w:pPr>
        <w:pStyle w:val="26"/>
        <w:spacing w:line="360" w:lineRule="auto"/>
        <w:rPr>
          <w:rFonts w:hint="eastAsia"/>
          <w:color w:val="auto"/>
          <w:kern w:val="2"/>
          <w:sz w:val="21"/>
          <w:szCs w:val="21"/>
        </w:rPr>
      </w:pPr>
      <w:r>
        <w:rPr>
          <w:rFonts w:hint="eastAsia"/>
          <w:color w:val="auto"/>
          <w:kern w:val="2"/>
          <w:sz w:val="21"/>
          <w:szCs w:val="21"/>
        </w:rPr>
        <w:t xml:space="preserve">联系电话：                               </w:t>
      </w:r>
      <w:r>
        <w:rPr>
          <w:rFonts w:hint="eastAsia"/>
          <w:color w:val="auto"/>
          <w:kern w:val="2"/>
          <w:sz w:val="21"/>
          <w:szCs w:val="21"/>
          <w:lang w:val="en-US" w:eastAsia="zh-CN"/>
        </w:rPr>
        <w:t xml:space="preserve">     </w:t>
      </w:r>
      <w:r>
        <w:rPr>
          <w:rFonts w:hint="eastAsia"/>
          <w:color w:val="auto"/>
          <w:kern w:val="2"/>
          <w:sz w:val="21"/>
          <w:szCs w:val="21"/>
        </w:rPr>
        <w:t>联系电话：</w:t>
      </w:r>
      <w:r>
        <w:rPr>
          <w:color w:val="auto"/>
          <w:kern w:val="2"/>
          <w:sz w:val="21"/>
          <w:szCs w:val="21"/>
        </w:rPr>
        <w:t xml:space="preserve"> </w:t>
      </w:r>
      <w:r>
        <w:rPr>
          <w:rFonts w:hint="eastAsia"/>
          <w:color w:val="auto"/>
          <w:kern w:val="2"/>
          <w:sz w:val="21"/>
          <w:szCs w:val="21"/>
        </w:rPr>
        <w:t xml:space="preserve"> </w:t>
      </w:r>
    </w:p>
    <w:p>
      <w:pPr>
        <w:pStyle w:val="26"/>
        <w:spacing w:line="360" w:lineRule="auto"/>
        <w:rPr>
          <w:rFonts w:hint="eastAsia"/>
          <w:color w:val="auto"/>
          <w:kern w:val="2"/>
          <w:sz w:val="21"/>
          <w:szCs w:val="21"/>
        </w:rPr>
      </w:pPr>
      <w:r>
        <w:rPr>
          <w:rFonts w:hint="eastAsia"/>
          <w:color w:val="auto"/>
          <w:kern w:val="2"/>
          <w:sz w:val="21"/>
          <w:szCs w:val="21"/>
        </w:rPr>
        <w:t xml:space="preserve">传真号码：                               </w:t>
      </w:r>
      <w:r>
        <w:rPr>
          <w:rFonts w:hint="eastAsia"/>
          <w:color w:val="auto"/>
          <w:kern w:val="2"/>
          <w:sz w:val="21"/>
          <w:szCs w:val="21"/>
          <w:lang w:val="en-US" w:eastAsia="zh-CN"/>
        </w:rPr>
        <w:t xml:space="preserve">     </w:t>
      </w:r>
      <w:r>
        <w:rPr>
          <w:rFonts w:hint="eastAsia"/>
          <w:color w:val="auto"/>
          <w:kern w:val="2"/>
          <w:sz w:val="21"/>
          <w:szCs w:val="21"/>
        </w:rPr>
        <w:t>传真号码：</w:t>
      </w:r>
      <w:r>
        <w:rPr>
          <w:color w:val="auto"/>
          <w:kern w:val="2"/>
          <w:sz w:val="21"/>
          <w:szCs w:val="21"/>
        </w:rPr>
        <w:t xml:space="preserve"> </w:t>
      </w:r>
    </w:p>
    <w:p>
      <w:pPr>
        <w:pStyle w:val="26"/>
        <w:rPr>
          <w:rFonts w:hint="eastAsia" w:hAnsi="宋体" w:eastAsia="宋体" w:cs="Times New Roman"/>
          <w:color w:val="auto"/>
          <w:kern w:val="2"/>
          <w:sz w:val="21"/>
          <w:szCs w:val="21"/>
        </w:rPr>
      </w:pPr>
      <w:r>
        <w:rPr>
          <w:rFonts w:hint="eastAsia" w:hAnsi="宋体"/>
          <w:szCs w:val="21"/>
        </w:rPr>
        <w:t xml:space="preserve">开户银行：                          </w:t>
      </w:r>
      <w:r>
        <w:rPr>
          <w:rFonts w:hint="eastAsia" w:hAnsi="宋体"/>
          <w:szCs w:val="21"/>
          <w:lang w:val="en-US" w:eastAsia="zh-CN"/>
        </w:rPr>
        <w:t xml:space="preserve">    </w:t>
      </w:r>
      <w:r>
        <w:rPr>
          <w:rFonts w:hint="eastAsia" w:hAnsi="宋体" w:eastAsia="宋体" w:cs="Times New Roman"/>
          <w:color w:val="auto"/>
          <w:kern w:val="2"/>
          <w:sz w:val="21"/>
          <w:szCs w:val="21"/>
        </w:rPr>
        <w:t>开户银行：</w:t>
      </w:r>
    </w:p>
    <w:p>
      <w:pPr>
        <w:pStyle w:val="26"/>
        <w:rPr>
          <w:rFonts w:hint="eastAsia" w:hAnsi="宋体" w:eastAsia="宋体" w:cs="Times New Roman"/>
          <w:color w:val="auto"/>
          <w:kern w:val="2"/>
          <w:sz w:val="21"/>
          <w:szCs w:val="21"/>
        </w:rPr>
      </w:pPr>
      <w:r>
        <w:rPr>
          <w:rFonts w:hint="eastAsia" w:hAnsi="宋体" w:eastAsia="宋体" w:cs="Times New Roman"/>
          <w:color w:val="auto"/>
          <w:kern w:val="2"/>
          <w:sz w:val="21"/>
          <w:szCs w:val="21"/>
        </w:rPr>
        <w:t xml:space="preserve"> </w:t>
      </w:r>
    </w:p>
    <w:p>
      <w:pPr>
        <w:pStyle w:val="26"/>
        <w:rPr>
          <w:rFonts w:hint="eastAsia" w:hAnsi="宋体" w:eastAsia="宋体" w:cs="Times New Roman"/>
          <w:color w:val="auto"/>
          <w:kern w:val="2"/>
          <w:sz w:val="21"/>
          <w:szCs w:val="21"/>
        </w:rPr>
      </w:pPr>
      <w:r>
        <w:rPr>
          <w:rFonts w:hint="eastAsia" w:hAnsi="宋体" w:eastAsia="宋体" w:cs="Times New Roman"/>
          <w:color w:val="auto"/>
          <w:kern w:val="2"/>
          <w:sz w:val="21"/>
          <w:szCs w:val="21"/>
        </w:rPr>
        <w:t xml:space="preserve">银行账号：                               </w:t>
      </w:r>
      <w:r>
        <w:rPr>
          <w:rFonts w:hint="eastAsia" w:eastAsia="宋体" w:cs="Times New Roman"/>
          <w:color w:val="auto"/>
          <w:kern w:val="2"/>
          <w:sz w:val="21"/>
          <w:szCs w:val="21"/>
          <w:lang w:val="en-US" w:eastAsia="zh-CN"/>
        </w:rPr>
        <w:t xml:space="preserve">     </w:t>
      </w:r>
      <w:r>
        <w:rPr>
          <w:rFonts w:hint="eastAsia" w:hAnsi="宋体" w:eastAsia="宋体" w:cs="Times New Roman"/>
          <w:color w:val="auto"/>
          <w:kern w:val="2"/>
          <w:sz w:val="21"/>
          <w:szCs w:val="21"/>
        </w:rPr>
        <w:t xml:space="preserve">银行账号： </w:t>
      </w:r>
    </w:p>
    <w:p>
      <w:pPr>
        <w:pStyle w:val="26"/>
        <w:spacing w:line="360" w:lineRule="auto"/>
        <w:rPr>
          <w:rFonts w:hint="eastAsia"/>
          <w:color w:val="auto"/>
          <w:sz w:val="21"/>
          <w:szCs w:val="21"/>
        </w:rPr>
      </w:pPr>
      <w:r>
        <w:rPr>
          <w:rFonts w:hint="eastAsia"/>
          <w:color w:val="auto"/>
          <w:sz w:val="21"/>
          <w:szCs w:val="21"/>
        </w:rPr>
        <w:t xml:space="preserve">邮政编码：511400                         </w:t>
      </w:r>
      <w:r>
        <w:rPr>
          <w:rFonts w:hint="eastAsia"/>
          <w:color w:val="auto"/>
          <w:sz w:val="21"/>
          <w:szCs w:val="21"/>
          <w:lang w:val="en-US" w:eastAsia="zh-CN"/>
        </w:rPr>
        <w:t xml:space="preserve">     </w:t>
      </w:r>
      <w:r>
        <w:rPr>
          <w:rFonts w:hint="eastAsia"/>
          <w:color w:val="auto"/>
          <w:sz w:val="21"/>
          <w:szCs w:val="21"/>
        </w:rPr>
        <w:t xml:space="preserve">邮政编码：        </w:t>
      </w:r>
    </w:p>
    <w:p>
      <w:pPr>
        <w:pStyle w:val="26"/>
        <w:spacing w:line="360" w:lineRule="auto"/>
        <w:rPr>
          <w:rFonts w:hint="eastAsia"/>
          <w:color w:val="auto"/>
          <w:sz w:val="21"/>
          <w:szCs w:val="21"/>
          <w:highlight w:val="none"/>
        </w:rPr>
      </w:pPr>
      <w:r>
        <w:rPr>
          <w:rFonts w:hint="eastAsia"/>
          <w:color w:val="auto"/>
          <w:sz w:val="21"/>
          <w:szCs w:val="21"/>
        </w:rPr>
        <w:t xml:space="preserve"> </w:t>
      </w:r>
      <w:r>
        <w:rPr>
          <w:rFonts w:hint="eastAsia"/>
          <w:color w:val="auto"/>
          <w:sz w:val="21"/>
          <w:szCs w:val="21"/>
          <w:highlight w:val="none"/>
        </w:rPr>
        <w:t xml:space="preserve">      </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p>
    <w:p>
      <w:pPr>
        <w:tabs>
          <w:tab w:val="left" w:pos="450"/>
        </w:tabs>
        <w:spacing w:line="360" w:lineRule="auto"/>
        <w:rPr>
          <w:rFonts w:hint="eastAsia" w:ascii="宋体" w:hAnsi="宋体"/>
          <w:szCs w:val="21"/>
        </w:rPr>
      </w:pPr>
      <w:r>
        <w:rPr>
          <w:rFonts w:ascii="宋体" w:hAnsi="宋体"/>
          <w:color w:val="auto"/>
          <w:szCs w:val="21"/>
          <w:highlight w:val="none"/>
        </w:rPr>
        <w:br w:type="page"/>
      </w:r>
      <w:r>
        <w:rPr>
          <w:rFonts w:hint="eastAsia" w:ascii="宋体" w:hAnsi="宋体"/>
          <w:szCs w:val="21"/>
        </w:rPr>
        <w:t>附件1：</w:t>
      </w:r>
    </w:p>
    <w:p>
      <w:pPr>
        <w:spacing w:line="360" w:lineRule="auto"/>
        <w:ind w:firstLine="481" w:firstLineChars="171"/>
        <w:jc w:val="center"/>
        <w:rPr>
          <w:rFonts w:hint="eastAsia" w:ascii="宋体" w:hAnsi="宋体"/>
          <w:b/>
          <w:sz w:val="28"/>
          <w:szCs w:val="28"/>
        </w:rPr>
      </w:pPr>
      <w:r>
        <w:rPr>
          <w:rFonts w:hint="eastAsia" w:ascii="宋体" w:hAnsi="宋体"/>
          <w:b/>
          <w:sz w:val="28"/>
          <w:szCs w:val="28"/>
        </w:rPr>
        <w:t>设计管理细则</w:t>
      </w:r>
    </w:p>
    <w:p>
      <w:pPr>
        <w:spacing w:line="360" w:lineRule="auto"/>
        <w:ind w:firstLine="359" w:firstLineChars="171"/>
        <w:rPr>
          <w:rFonts w:hint="eastAsia" w:ascii="宋体" w:hAnsi="宋体"/>
          <w:szCs w:val="21"/>
        </w:rPr>
      </w:pPr>
    </w:p>
    <w:p>
      <w:pPr>
        <w:spacing w:line="360" w:lineRule="auto"/>
        <w:ind w:firstLine="481" w:firstLineChars="171"/>
        <w:jc w:val="center"/>
        <w:rPr>
          <w:rFonts w:hint="eastAsia" w:ascii="宋体" w:hAnsi="宋体"/>
          <w:b/>
          <w:sz w:val="28"/>
          <w:szCs w:val="28"/>
        </w:rPr>
      </w:pPr>
      <w:r>
        <w:rPr>
          <w:rFonts w:hint="eastAsia" w:ascii="宋体" w:hAnsi="宋体"/>
          <w:b/>
          <w:sz w:val="28"/>
          <w:szCs w:val="28"/>
        </w:rPr>
        <w:t>一、设计投资控制管理</w:t>
      </w:r>
    </w:p>
    <w:p>
      <w:pPr>
        <w:spacing w:line="360" w:lineRule="auto"/>
        <w:ind w:firstLine="420" w:firstLineChars="200"/>
        <w:rPr>
          <w:rFonts w:hint="eastAsia" w:ascii="宋体" w:hAnsi="宋体"/>
          <w:szCs w:val="21"/>
        </w:rPr>
      </w:pPr>
      <w:r>
        <w:rPr>
          <w:rFonts w:hint="eastAsia" w:ascii="宋体" w:hAnsi="宋体"/>
          <w:szCs w:val="21"/>
        </w:rPr>
        <w:t>1.1．为了有效控制建设工程投资，防止概算超估算、预算超概算、决算超预算的“三超”现象的产生，在设计过程中推行限额设计。按照批准的投资估算控制设计，在保证使用功能的前提下，各专业按分配的投资额进行设计，保证工程总投资额不被突破。设计人负责编制各阶段相应的投资估（概、预）算，由发包人整理后报财政部门或发包人委托的工程造价咨询单位审核。</w:t>
      </w:r>
    </w:p>
    <w:p>
      <w:pPr>
        <w:spacing w:line="360" w:lineRule="auto"/>
        <w:ind w:firstLine="315" w:firstLineChars="150"/>
        <w:rPr>
          <w:rFonts w:hint="eastAsia" w:ascii="宋体" w:hAnsi="宋体"/>
          <w:szCs w:val="21"/>
        </w:rPr>
      </w:pPr>
      <w:r>
        <w:rPr>
          <w:rFonts w:hint="eastAsia" w:ascii="宋体" w:hAnsi="宋体"/>
          <w:szCs w:val="21"/>
        </w:rPr>
        <w:t>1.2．设计人应在设计进展过程中及阶段设计完成时，及时对已经完成的图纸内容进行估价，并与限额设计指标进行比较，使设计满足限额设计指标的要求。</w:t>
      </w:r>
    </w:p>
    <w:p>
      <w:pPr>
        <w:spacing w:line="360" w:lineRule="auto"/>
        <w:ind w:firstLine="315" w:firstLineChars="150"/>
        <w:rPr>
          <w:rFonts w:hint="eastAsia" w:ascii="宋体" w:hAnsi="宋体"/>
          <w:szCs w:val="21"/>
        </w:rPr>
      </w:pPr>
      <w:r>
        <w:rPr>
          <w:rFonts w:hint="eastAsia" w:ascii="宋体" w:hAnsi="宋体"/>
          <w:szCs w:val="21"/>
        </w:rPr>
        <w:t xml:space="preserve">1.3．初步设计图预算超限额设计指标的比例，与设计费挂钩，给予设计人一定的经济处罚，并要求设计人无条件修改，直至满足限额设计指标的要求。 </w:t>
      </w:r>
    </w:p>
    <w:p>
      <w:pPr>
        <w:spacing w:line="360" w:lineRule="auto"/>
        <w:ind w:firstLine="315" w:firstLineChars="150"/>
        <w:rPr>
          <w:rFonts w:hint="eastAsia" w:ascii="宋体" w:hAnsi="宋体"/>
          <w:szCs w:val="21"/>
        </w:rPr>
      </w:pPr>
      <w:r>
        <w:rPr>
          <w:rFonts w:hint="eastAsia" w:ascii="宋体" w:hAnsi="宋体"/>
          <w:szCs w:val="21"/>
        </w:rPr>
        <w:t xml:space="preserve">1.4．鼓励设计人应用价值工程，在不降低使用功能、效果的前提下，实行设计方案优化，节省投资的比例同设计费挂钩，以调动设计人员的主观能动性和创造性。 </w:t>
      </w:r>
    </w:p>
    <w:p>
      <w:pPr>
        <w:spacing w:line="360" w:lineRule="auto"/>
        <w:ind w:firstLine="315" w:firstLineChars="150"/>
        <w:rPr>
          <w:rFonts w:hint="eastAsia" w:ascii="宋体" w:hAnsi="宋体"/>
          <w:szCs w:val="21"/>
        </w:rPr>
      </w:pPr>
      <w:r>
        <w:rPr>
          <w:rFonts w:hint="eastAsia" w:ascii="宋体" w:hAnsi="宋体"/>
          <w:szCs w:val="21"/>
        </w:rPr>
        <w:t>1.5．由于设计人的原因造成的设计变更而产生的投资失控，设计人应承担相应的责任。</w:t>
      </w:r>
    </w:p>
    <w:p>
      <w:pPr>
        <w:spacing w:line="360" w:lineRule="auto"/>
        <w:ind w:firstLine="315" w:firstLineChars="150"/>
        <w:rPr>
          <w:rFonts w:hint="eastAsia" w:ascii="宋体" w:hAnsi="宋体"/>
          <w:szCs w:val="21"/>
        </w:rPr>
      </w:pPr>
      <w:r>
        <w:rPr>
          <w:rFonts w:hint="eastAsia" w:ascii="宋体" w:hAnsi="宋体"/>
          <w:szCs w:val="21"/>
        </w:rPr>
        <w:t>1.6. 设计人遵循功能适用、标准合理、经济合理的原则开展设计，在投资限额目标的基础上结合项目设计内容进一步分解投资，明确投资控制主要指标，在编制设计概、预算时逐步细化落实。</w:t>
      </w:r>
    </w:p>
    <w:p>
      <w:pPr>
        <w:spacing w:line="360" w:lineRule="auto"/>
        <w:ind w:firstLine="315" w:firstLineChars="150"/>
        <w:rPr>
          <w:rFonts w:hint="eastAsia" w:ascii="宋体" w:hAnsi="宋体"/>
          <w:szCs w:val="21"/>
        </w:rPr>
      </w:pPr>
      <w:r>
        <w:rPr>
          <w:rFonts w:hint="eastAsia" w:ascii="宋体" w:hAnsi="宋体"/>
          <w:szCs w:val="21"/>
        </w:rPr>
        <w:t>1.7. 设计人在限额设计范围内应充分运用性价比分析、多方案（不少于2个）技术经济比较等技术手段，对设计方案进行优化。在所有方案比较的过程中，必须进行相应深度的投资估算比较，确保方案的可行性，并提供相应的工程数量表、主要材料表、主要设备清单等，在确保工程质量的前提下，降低工程投资。</w:t>
      </w:r>
    </w:p>
    <w:p>
      <w:pPr>
        <w:spacing w:line="360" w:lineRule="auto"/>
        <w:ind w:firstLine="315" w:firstLineChars="150"/>
        <w:rPr>
          <w:rFonts w:hint="eastAsia" w:ascii="宋体" w:hAnsi="宋体"/>
          <w:szCs w:val="21"/>
        </w:rPr>
      </w:pPr>
      <w:r>
        <w:rPr>
          <w:rFonts w:hint="eastAsia" w:ascii="宋体" w:hAnsi="宋体"/>
          <w:szCs w:val="21"/>
        </w:rPr>
        <w:t>1.8．设计人应在满足功能及质量要求的前提下，不超过计划投资。</w:t>
      </w:r>
    </w:p>
    <w:p>
      <w:pPr>
        <w:spacing w:line="360" w:lineRule="auto"/>
        <w:ind w:firstLine="315" w:firstLineChars="150"/>
        <w:rPr>
          <w:rFonts w:hint="eastAsia" w:ascii="宋体" w:hAnsi="宋体"/>
          <w:szCs w:val="21"/>
        </w:rPr>
      </w:pPr>
      <w:r>
        <w:rPr>
          <w:rFonts w:hint="eastAsia" w:ascii="宋体" w:hAnsi="宋体"/>
          <w:szCs w:val="21"/>
        </w:rPr>
        <w:t>1.9.</w:t>
      </w:r>
      <w:r>
        <w:rPr>
          <w:rFonts w:ascii="宋体" w:hAnsi="宋体"/>
          <w:szCs w:val="21"/>
        </w:rPr>
        <w:t xml:space="preserve"> 若设计人编制的初步设计概算</w:t>
      </w:r>
      <w:r>
        <w:rPr>
          <w:rFonts w:hint="eastAsia" w:ascii="宋体" w:hAnsi="宋体"/>
          <w:szCs w:val="21"/>
        </w:rPr>
        <w:t>超</w:t>
      </w:r>
      <w:r>
        <w:rPr>
          <w:rFonts w:ascii="宋体" w:hAnsi="宋体"/>
          <w:szCs w:val="21"/>
        </w:rPr>
        <w:t>出审定的</w:t>
      </w:r>
      <w:r>
        <w:rPr>
          <w:rFonts w:hint="eastAsia" w:ascii="宋体" w:hAnsi="宋体"/>
          <w:szCs w:val="21"/>
        </w:rPr>
        <w:t>投资估</w:t>
      </w:r>
      <w:r>
        <w:rPr>
          <w:rFonts w:ascii="宋体" w:hAnsi="宋体"/>
          <w:szCs w:val="21"/>
        </w:rPr>
        <w:t>算，设计人须根据评审专家和</w:t>
      </w:r>
      <w:r>
        <w:rPr>
          <w:rFonts w:hint="eastAsia" w:ascii="宋体" w:hAnsi="宋体"/>
          <w:szCs w:val="21"/>
        </w:rPr>
        <w:t>发包人</w:t>
      </w:r>
      <w:r>
        <w:rPr>
          <w:rFonts w:ascii="宋体" w:hAnsi="宋体"/>
          <w:szCs w:val="21"/>
        </w:rPr>
        <w:t>意见</w:t>
      </w:r>
      <w:r>
        <w:rPr>
          <w:rFonts w:hint="eastAsia" w:ascii="宋体" w:hAnsi="宋体"/>
          <w:szCs w:val="21"/>
        </w:rPr>
        <w:t>对初步设计方案进行修改，并承诺</w:t>
      </w:r>
      <w:r>
        <w:rPr>
          <w:rFonts w:ascii="宋体" w:hAnsi="宋体"/>
          <w:szCs w:val="21"/>
        </w:rPr>
        <w:t>该</w:t>
      </w:r>
      <w:r>
        <w:rPr>
          <w:rFonts w:hint="eastAsia" w:ascii="宋体" w:hAnsi="宋体"/>
          <w:szCs w:val="21"/>
        </w:rPr>
        <w:t>修改不改变有关设计和规划的原则、内容与要求，不改变原方案设计的构思，不降低使用功能与设计质量标准；发包人对此修改不支付附加设计费用</w:t>
      </w:r>
      <w:r>
        <w:rPr>
          <w:rFonts w:ascii="宋体" w:hAnsi="宋体"/>
          <w:szCs w:val="21"/>
        </w:rPr>
        <w:t>。</w:t>
      </w:r>
    </w:p>
    <w:p>
      <w:pPr>
        <w:spacing w:line="360" w:lineRule="auto"/>
        <w:ind w:firstLine="315" w:firstLineChars="150"/>
        <w:rPr>
          <w:rFonts w:hint="eastAsia" w:ascii="宋体" w:hAnsi="宋体"/>
          <w:szCs w:val="21"/>
        </w:rPr>
      </w:pPr>
      <w:r>
        <w:rPr>
          <w:rFonts w:hint="eastAsia" w:ascii="宋体" w:hAnsi="宋体"/>
          <w:szCs w:val="21"/>
        </w:rPr>
        <w:t>1.10．设计人应在设计进展过程中及阶段设计完成时，及时对已经完成的图纸内容进行估价，并与限额设计指标进行比较，使设计满足限额设计指标的要求。</w:t>
      </w:r>
    </w:p>
    <w:p>
      <w:pPr>
        <w:spacing w:line="360" w:lineRule="auto"/>
        <w:ind w:firstLine="315" w:firstLineChars="150"/>
        <w:rPr>
          <w:rFonts w:hint="eastAsia" w:ascii="宋体" w:hAnsi="宋体"/>
          <w:szCs w:val="21"/>
        </w:rPr>
      </w:pPr>
      <w:r>
        <w:rPr>
          <w:rFonts w:hint="eastAsia" w:ascii="宋体" w:hAnsi="宋体"/>
          <w:szCs w:val="21"/>
        </w:rPr>
        <w:t>1.11. 设计人有关设计的任何修改变动或因于修改设计引起的工艺、技术材料、设备的变更及引起投资限额的突破均须经发包人审批同意。</w:t>
      </w:r>
    </w:p>
    <w:p>
      <w:pPr>
        <w:spacing w:line="360" w:lineRule="auto"/>
        <w:ind w:firstLine="315" w:firstLineChars="150"/>
        <w:rPr>
          <w:rFonts w:hint="eastAsia" w:ascii="宋体" w:hAnsi="宋体"/>
          <w:szCs w:val="21"/>
        </w:rPr>
      </w:pPr>
      <w:r>
        <w:rPr>
          <w:rFonts w:hint="eastAsia" w:ascii="宋体" w:hAnsi="宋体"/>
          <w:szCs w:val="21"/>
        </w:rPr>
        <w:t>1.12. 发包人要求本工程按照估算总投资限额设计，设计人未经发包人书面同意突破投资限额进行设计，设计人须无偿对设计文件重新修改，交付设计文件时间不予顺延。</w:t>
      </w:r>
    </w:p>
    <w:p>
      <w:pPr>
        <w:spacing w:line="360" w:lineRule="auto"/>
        <w:ind w:firstLine="361" w:firstLineChars="171"/>
        <w:jc w:val="center"/>
        <w:rPr>
          <w:rFonts w:hint="eastAsia" w:ascii="宋体" w:hAnsi="宋体"/>
          <w:b/>
          <w:szCs w:val="21"/>
        </w:rPr>
      </w:pPr>
    </w:p>
    <w:p>
      <w:pPr>
        <w:spacing w:line="360" w:lineRule="auto"/>
        <w:ind w:firstLine="481" w:firstLineChars="171"/>
        <w:jc w:val="center"/>
        <w:rPr>
          <w:rFonts w:hint="eastAsia" w:ascii="宋体" w:hAnsi="宋体"/>
          <w:b/>
          <w:sz w:val="28"/>
          <w:szCs w:val="28"/>
        </w:rPr>
      </w:pPr>
      <w:r>
        <w:rPr>
          <w:rFonts w:hint="eastAsia" w:ascii="宋体" w:hAnsi="宋体"/>
          <w:b/>
          <w:sz w:val="28"/>
          <w:szCs w:val="28"/>
        </w:rPr>
        <w:t>二、设计质量的组织保证与人员管理制度</w:t>
      </w:r>
    </w:p>
    <w:p>
      <w:pPr>
        <w:spacing w:line="360" w:lineRule="auto"/>
        <w:ind w:firstLine="359" w:firstLineChars="171"/>
        <w:rPr>
          <w:rFonts w:hint="eastAsia" w:ascii="宋体" w:hAnsi="宋体"/>
          <w:szCs w:val="21"/>
        </w:rPr>
      </w:pPr>
      <w:r>
        <w:rPr>
          <w:rFonts w:hint="eastAsia" w:ascii="宋体" w:hAnsi="宋体"/>
          <w:szCs w:val="21"/>
        </w:rPr>
        <w:t>2.1. 发包人有权对设计人的勘察设计工作进行检查，有权要求设计人更换不称职的人员，有权在工作进度滞后时要求设计人增加人员，有权在设计人严重违约时要求解除合同。</w:t>
      </w:r>
    </w:p>
    <w:p>
      <w:pPr>
        <w:spacing w:line="360" w:lineRule="auto"/>
        <w:ind w:firstLine="359" w:firstLineChars="171"/>
        <w:rPr>
          <w:rFonts w:hint="eastAsia" w:ascii="宋体" w:hAnsi="宋体"/>
          <w:szCs w:val="21"/>
        </w:rPr>
      </w:pPr>
      <w:r>
        <w:rPr>
          <w:rFonts w:hint="eastAsia" w:ascii="宋体" w:hAnsi="宋体"/>
          <w:szCs w:val="21"/>
        </w:rPr>
        <w:t>2.2．设计人更换设计项目负责人，应书面征得发包人同意。未经发包人同意，擅自更换设计项目负责人的，设计人须支付违约赔偿金（按不同性质的工程，每人次违约赔偿金为合同设计费用的5～10%。）。</w:t>
      </w:r>
    </w:p>
    <w:p>
      <w:pPr>
        <w:spacing w:line="360" w:lineRule="auto"/>
        <w:ind w:firstLine="359" w:firstLineChars="171"/>
        <w:rPr>
          <w:rFonts w:hint="eastAsia" w:ascii="宋体" w:hAnsi="宋体"/>
          <w:szCs w:val="21"/>
        </w:rPr>
      </w:pPr>
      <w:r>
        <w:rPr>
          <w:rFonts w:hint="eastAsia" w:ascii="宋体" w:hAnsi="宋体"/>
          <w:szCs w:val="21"/>
        </w:rPr>
        <w:t>2.3．设计人更换专业负责人，应书面征得发包人同意。未经发包人同意，擅自更换专业负责人的，设计人须支付违约赔偿金（按不同性质的工程，每人次违约赔偿金为合同设计费用的1～5%。）。</w:t>
      </w:r>
    </w:p>
    <w:p>
      <w:pPr>
        <w:spacing w:line="360" w:lineRule="auto"/>
        <w:ind w:firstLine="359" w:firstLineChars="171"/>
        <w:rPr>
          <w:rFonts w:hint="eastAsia" w:ascii="宋体" w:hAnsi="宋体"/>
          <w:szCs w:val="21"/>
        </w:rPr>
      </w:pPr>
      <w:r>
        <w:rPr>
          <w:rFonts w:hint="eastAsia" w:ascii="宋体" w:hAnsi="宋体"/>
          <w:szCs w:val="21"/>
        </w:rPr>
        <w:t>2.4．设计人未经发包人同意，擅自更换项目负责人及专业负责人的，发包人有权要求设计人换回原项目负责人及专业负责人或更换其他符合条件的人员。设计人人应在收到发包人的书面通知后五个工作日内改正。否则，发包人有权视情况终止合同。</w:t>
      </w:r>
    </w:p>
    <w:p>
      <w:pPr>
        <w:spacing w:line="360" w:lineRule="auto"/>
        <w:ind w:firstLine="359" w:firstLineChars="171"/>
        <w:rPr>
          <w:rFonts w:hint="eastAsia" w:ascii="宋体" w:hAnsi="宋体"/>
          <w:szCs w:val="21"/>
        </w:rPr>
      </w:pPr>
      <w:r>
        <w:rPr>
          <w:rFonts w:hint="eastAsia" w:ascii="宋体" w:hAnsi="宋体"/>
          <w:szCs w:val="21"/>
        </w:rPr>
        <w:t>2.5．设计人应根据设计任务建立项目组，从组织上保证投入的人力、物力能满足设计开展的需要，保证不同设计时段、阶段设计工作的连续性和外部接口衔接的连贯性。</w:t>
      </w:r>
    </w:p>
    <w:p>
      <w:pPr>
        <w:spacing w:line="360" w:lineRule="auto"/>
        <w:ind w:firstLine="359" w:firstLineChars="171"/>
        <w:rPr>
          <w:rFonts w:hint="eastAsia" w:ascii="宋体" w:hAnsi="宋体"/>
          <w:szCs w:val="21"/>
        </w:rPr>
      </w:pPr>
      <w:r>
        <w:rPr>
          <w:rFonts w:hint="eastAsia" w:ascii="宋体" w:hAnsi="宋体"/>
          <w:szCs w:val="21"/>
        </w:rPr>
        <w:t>2.6．在设计高峰或发包人认为有必要时，设计人必须集中设计人员确保设计进度，凡因人员不到位而影响设计工作的，发包人有权根据实际情况扣减设计费直至解除合同等。</w:t>
      </w:r>
    </w:p>
    <w:p>
      <w:pPr>
        <w:spacing w:line="360" w:lineRule="auto"/>
        <w:ind w:firstLine="359" w:firstLineChars="171"/>
        <w:rPr>
          <w:rFonts w:hint="eastAsia" w:ascii="宋体" w:hAnsi="宋体"/>
          <w:sz w:val="24"/>
        </w:rPr>
      </w:pPr>
      <w:r>
        <w:rPr>
          <w:rFonts w:hint="eastAsia" w:ascii="宋体" w:hAnsi="宋体"/>
          <w:szCs w:val="21"/>
        </w:rPr>
        <w:t>2.7．设计人必须派出投标时承诺的项目负责人及有关各专业设计人驻发包人指定的办公地点开展相关设计工作，时间由中标通知书下达始至合同规定期限为止。若设计人未按规定执行，经发包人现场查处，违者按勘察设计合同结算价的5%处罚，罚款在财政结算后第四次付款时扣除。</w:t>
      </w:r>
    </w:p>
    <w:p>
      <w:pPr>
        <w:spacing w:line="360" w:lineRule="auto"/>
        <w:ind w:firstLine="481" w:firstLineChars="171"/>
        <w:jc w:val="center"/>
        <w:rPr>
          <w:rFonts w:hint="eastAsia" w:ascii="宋体" w:hAnsi="宋体"/>
          <w:b/>
          <w:sz w:val="28"/>
          <w:szCs w:val="28"/>
        </w:rPr>
      </w:pPr>
    </w:p>
    <w:p>
      <w:pPr>
        <w:spacing w:line="360" w:lineRule="auto"/>
        <w:ind w:firstLine="481" w:firstLineChars="171"/>
        <w:jc w:val="center"/>
        <w:rPr>
          <w:rFonts w:hint="eastAsia" w:ascii="宋体" w:hAnsi="宋体"/>
          <w:b/>
          <w:sz w:val="28"/>
          <w:szCs w:val="28"/>
        </w:rPr>
      </w:pPr>
      <w:r>
        <w:rPr>
          <w:rFonts w:hint="eastAsia" w:ascii="宋体" w:hAnsi="宋体"/>
          <w:b/>
          <w:sz w:val="28"/>
          <w:szCs w:val="28"/>
        </w:rPr>
        <w:t>三、设计质量管理</w:t>
      </w:r>
    </w:p>
    <w:p>
      <w:pPr>
        <w:spacing w:line="360" w:lineRule="auto"/>
        <w:ind w:firstLine="359" w:firstLineChars="171"/>
        <w:rPr>
          <w:rFonts w:hint="eastAsia" w:ascii="宋体" w:hAnsi="宋体"/>
          <w:szCs w:val="21"/>
        </w:rPr>
      </w:pPr>
      <w:r>
        <w:rPr>
          <w:rFonts w:hint="eastAsia" w:ascii="宋体" w:hAnsi="宋体"/>
          <w:szCs w:val="21"/>
        </w:rPr>
        <w:t>3.1．各阶段设计成果须达到国家标准---（1）建筑类工程：《建筑工程设计文件编制深度规定》的深度要求；（2）市政管网类工程：《市政管网工程设计文件编制深度规定》的深度要求；（3）水利类工程：按照区水务局要求及相关规范执行。</w:t>
      </w:r>
    </w:p>
    <w:p>
      <w:pPr>
        <w:spacing w:line="360" w:lineRule="auto"/>
        <w:ind w:firstLine="359" w:firstLineChars="171"/>
        <w:rPr>
          <w:rFonts w:hint="eastAsia" w:ascii="宋体" w:hAnsi="宋体"/>
          <w:szCs w:val="21"/>
        </w:rPr>
      </w:pPr>
      <w:r>
        <w:rPr>
          <w:rFonts w:hint="eastAsia" w:ascii="宋体" w:hAnsi="宋体"/>
          <w:szCs w:val="21"/>
        </w:rPr>
        <w:t xml:space="preserve">3.2．初步设计阶段图纸要体现工程所采用的技术方案的合理性，发包人的质量标准以及概算文件编制的深度要求。确保初步设计阶段图纸必须达到设计成果，符合预定的质量要求，初步设计估算不能超过投资估算要求。 </w:t>
      </w:r>
    </w:p>
    <w:p>
      <w:pPr>
        <w:spacing w:line="360" w:lineRule="auto"/>
        <w:ind w:firstLine="359" w:firstLineChars="171"/>
        <w:rPr>
          <w:rFonts w:hint="eastAsia" w:ascii="宋体" w:hAnsi="宋体"/>
          <w:szCs w:val="21"/>
        </w:rPr>
      </w:pPr>
      <w:r>
        <w:rPr>
          <w:rFonts w:hint="eastAsia" w:ascii="宋体" w:hAnsi="宋体"/>
          <w:szCs w:val="21"/>
        </w:rPr>
        <w:t>3.3．技术设计阶段，设计成果要体现各专业设计是否符合预定的质量标准和要求，以及各专业设计之间配合与协调的一致性。</w:t>
      </w:r>
    </w:p>
    <w:p>
      <w:pPr>
        <w:spacing w:line="360" w:lineRule="auto"/>
        <w:ind w:firstLine="359" w:firstLineChars="171"/>
        <w:rPr>
          <w:rFonts w:hint="eastAsia" w:ascii="宋体" w:hAnsi="宋体"/>
          <w:szCs w:val="21"/>
        </w:rPr>
      </w:pPr>
      <w:r>
        <w:rPr>
          <w:rFonts w:hint="eastAsia" w:ascii="宋体" w:hAnsi="宋体"/>
          <w:szCs w:val="21"/>
        </w:rPr>
        <w:t>3.4. 设计人在各设计阶段必须认真细致工作，防止出现各专业图纸之间的错、漏、碰、缺和彼此矛盾，以及各专业设计人员不相互配合协调的情况发生。</w:t>
      </w:r>
    </w:p>
    <w:p>
      <w:pPr>
        <w:spacing w:line="360" w:lineRule="auto"/>
        <w:ind w:firstLine="359" w:firstLineChars="171"/>
        <w:rPr>
          <w:rFonts w:hint="eastAsia" w:ascii="宋体" w:hAnsi="宋体"/>
          <w:szCs w:val="21"/>
        </w:rPr>
      </w:pPr>
      <w:r>
        <w:rPr>
          <w:rFonts w:hint="eastAsia" w:ascii="宋体" w:hAnsi="宋体"/>
          <w:szCs w:val="21"/>
        </w:rPr>
        <w:t>3.5．设计过程中，设计人应采用国家认可的新技术、新工艺；使用国家颁布的推广使用的技术或工艺，避免使用国家颁布的限制、禁止使用的技术或工艺，采纳地方颁布的质量通病的防治技术。</w:t>
      </w:r>
    </w:p>
    <w:p>
      <w:pPr>
        <w:spacing w:line="360" w:lineRule="auto"/>
        <w:ind w:firstLine="359" w:firstLineChars="171"/>
        <w:rPr>
          <w:rFonts w:hint="eastAsia" w:ascii="宋体" w:hAnsi="宋体"/>
          <w:szCs w:val="21"/>
        </w:rPr>
      </w:pPr>
      <w:r>
        <w:rPr>
          <w:rFonts w:hint="eastAsia" w:ascii="宋体" w:hAnsi="宋体"/>
          <w:szCs w:val="21"/>
        </w:rPr>
        <w:t>3.6．设计人应按要求，对初步设详图、生产加工图、深化设计图、专业细部设计图进行审核，并按相关规定签字确认。</w:t>
      </w:r>
    </w:p>
    <w:p>
      <w:pPr>
        <w:spacing w:line="360" w:lineRule="auto"/>
        <w:ind w:firstLine="359" w:firstLineChars="171"/>
        <w:rPr>
          <w:rFonts w:hint="eastAsia" w:ascii="宋体" w:hAnsi="宋体"/>
          <w:szCs w:val="21"/>
        </w:rPr>
      </w:pPr>
      <w:r>
        <w:rPr>
          <w:rFonts w:hint="eastAsia" w:ascii="宋体" w:hAnsi="宋体"/>
          <w:szCs w:val="21"/>
        </w:rPr>
        <w:t>3.7. 设计人应按国家有关规定，建立勘察设计岗位责任制和工程质量终身负责制。</w:t>
      </w:r>
    </w:p>
    <w:p>
      <w:pPr>
        <w:spacing w:line="360" w:lineRule="auto"/>
        <w:ind w:firstLine="359" w:firstLineChars="171"/>
        <w:rPr>
          <w:rFonts w:hint="eastAsia" w:ascii="宋体" w:hAnsi="宋体"/>
          <w:szCs w:val="21"/>
        </w:rPr>
      </w:pPr>
      <w:r>
        <w:rPr>
          <w:rFonts w:hint="eastAsia" w:ascii="宋体" w:hAnsi="宋体"/>
          <w:szCs w:val="21"/>
        </w:rPr>
        <w:t>3.8. 设计人有义务核实勘察地形图等文件，且必须采用与勘察工作同期的有效地形测量图及物探成果文件等勘察资料；若因设计人采用非设计工作同期的有效资料，而造成设计变更或无法实施，发包人则扣罚与工程变更造价相应的设计费。</w:t>
      </w:r>
    </w:p>
    <w:p>
      <w:pPr>
        <w:spacing w:line="360" w:lineRule="auto"/>
        <w:ind w:firstLine="359" w:firstLineChars="171"/>
        <w:rPr>
          <w:rFonts w:hint="eastAsia" w:ascii="宋体" w:hAnsi="宋体"/>
          <w:szCs w:val="21"/>
        </w:rPr>
      </w:pPr>
      <w:r>
        <w:rPr>
          <w:rFonts w:hint="eastAsia" w:ascii="宋体" w:hAnsi="宋体"/>
          <w:szCs w:val="21"/>
        </w:rPr>
        <w:t>3.9. 发包人要求设计人在设计过程中考虑工程实施时的可操作性，对方案的实施工序提出相应的技术要求，特别是关键工序，应明确提出工艺要求、质量控制要求。超越目前国内施工单位平均技术水平的设计方案、施工方法，设计人应提出合理理由和可行的实施方案，报发包人同意后方可采用，否则，发包人有权要求设计人修改设计。</w:t>
      </w:r>
    </w:p>
    <w:p>
      <w:pPr>
        <w:spacing w:line="360" w:lineRule="auto"/>
        <w:ind w:firstLine="359" w:firstLineChars="171"/>
        <w:rPr>
          <w:rFonts w:hint="eastAsia" w:ascii="宋体" w:hAnsi="宋体"/>
          <w:szCs w:val="21"/>
        </w:rPr>
      </w:pPr>
      <w:r>
        <w:rPr>
          <w:rFonts w:hint="eastAsia" w:ascii="宋体" w:hAnsi="宋体"/>
          <w:szCs w:val="21"/>
        </w:rPr>
        <w:t>3.10. 设备国产化应当做到选型设计而不是科研开发设计，原则上要求所采用的设备和系统技术是成熟的，对于新技术、新成果的运用设计人必须有把握，并有相应的工程实践和实际应用经验供参考。</w:t>
      </w:r>
    </w:p>
    <w:p>
      <w:pPr>
        <w:spacing w:line="360" w:lineRule="auto"/>
        <w:ind w:firstLine="359" w:firstLineChars="171"/>
        <w:rPr>
          <w:rFonts w:hint="eastAsia" w:ascii="宋体" w:hAnsi="宋体"/>
          <w:szCs w:val="21"/>
        </w:rPr>
      </w:pPr>
      <w:r>
        <w:rPr>
          <w:rFonts w:hint="eastAsia" w:ascii="宋体" w:hAnsi="宋体"/>
          <w:szCs w:val="21"/>
        </w:rPr>
        <w:t>3.11. 设计人应在设计文件中明确本项目节能减排的具体参数（包括服务人口、面积、收水量等），并确保满足发包人核定的本项目收集污水量目标。</w:t>
      </w:r>
    </w:p>
    <w:p>
      <w:pPr>
        <w:spacing w:line="360" w:lineRule="auto"/>
        <w:ind w:firstLine="359" w:firstLineChars="171"/>
        <w:rPr>
          <w:rFonts w:hint="eastAsia" w:ascii="宋体" w:hAnsi="宋体"/>
          <w:szCs w:val="21"/>
        </w:rPr>
      </w:pPr>
      <w:r>
        <w:rPr>
          <w:rFonts w:hint="eastAsia" w:ascii="宋体" w:hAnsi="宋体"/>
          <w:szCs w:val="21"/>
        </w:rPr>
        <w:t>3.12. 设计人应在初步设计图纸设计中明确明挖管沟、基坑或非开挖顶管等施工现场的安全影响线，并提供安全影响线范围内原有建构筑物的处置方案。对于建筑物保护，设计人应提供一套完整的保护实施方案。</w:t>
      </w:r>
    </w:p>
    <w:p>
      <w:pPr>
        <w:spacing w:line="360" w:lineRule="auto"/>
        <w:ind w:firstLine="359" w:firstLineChars="171"/>
        <w:rPr>
          <w:rFonts w:hint="eastAsia" w:ascii="宋体" w:hAnsi="宋体"/>
          <w:szCs w:val="21"/>
        </w:rPr>
      </w:pPr>
      <w:r>
        <w:rPr>
          <w:rFonts w:hint="eastAsia" w:ascii="宋体" w:hAnsi="宋体"/>
          <w:szCs w:val="21"/>
        </w:rPr>
        <w:t>3.13. 未经发包人书面同意，设计人不得对已批准的设计作重大修改、增减或删除。</w:t>
      </w:r>
    </w:p>
    <w:p>
      <w:pPr>
        <w:spacing w:line="360" w:lineRule="auto"/>
        <w:ind w:firstLine="359" w:firstLineChars="171"/>
        <w:rPr>
          <w:rFonts w:hint="eastAsia" w:ascii="宋体" w:hAnsi="宋体"/>
          <w:szCs w:val="21"/>
        </w:rPr>
      </w:pPr>
      <w:r>
        <w:rPr>
          <w:rFonts w:hint="eastAsia" w:ascii="宋体" w:hAnsi="宋体"/>
          <w:szCs w:val="21"/>
        </w:rPr>
        <w:t>3.14. 设计人交付设计资料及文件后，按规定参加有关的设计审查，并根据审查结论负责对设计的内容做必要调整、补充及修改。设计人按合同约定时限交付设计资料及文件，项目开始施工，负责向发包人及施工单位进行设计交底、处理有关设计问题和参加竣工验收。</w:t>
      </w:r>
    </w:p>
    <w:p>
      <w:pPr>
        <w:spacing w:line="360" w:lineRule="auto"/>
        <w:ind w:firstLine="359" w:firstLineChars="171"/>
        <w:rPr>
          <w:rFonts w:hint="eastAsia" w:ascii="宋体" w:hAnsi="宋体"/>
          <w:szCs w:val="21"/>
        </w:rPr>
      </w:pPr>
      <w:r>
        <w:rPr>
          <w:rFonts w:hint="eastAsia" w:ascii="宋体" w:hAnsi="宋体"/>
          <w:szCs w:val="21"/>
        </w:rPr>
        <w:t>3.15. 由于设计人原因造成的设计不能实施的部分，发包人将扣除相应的设计费用；由于设计人对现场勘察不详等原因造成的设计变更每次扣罚1%的设计费。</w:t>
      </w:r>
    </w:p>
    <w:p>
      <w:pPr>
        <w:spacing w:line="360" w:lineRule="auto"/>
        <w:ind w:firstLine="359" w:firstLineChars="171"/>
        <w:rPr>
          <w:rFonts w:hint="eastAsia" w:ascii="宋体" w:hAnsi="宋体"/>
          <w:szCs w:val="21"/>
        </w:rPr>
      </w:pPr>
      <w:r>
        <w:rPr>
          <w:rFonts w:hint="eastAsia" w:ascii="宋体" w:hAnsi="宋体"/>
          <w:szCs w:val="21"/>
        </w:rPr>
        <w:t>3.16. 设计人须按相关职能部门报审要求提供设计成果，送规划部门的有关图纸电子文件须被规划部门检测合格，提供设计成果时一并提供检测合格的电子文件及检测的有关证明资料。</w:t>
      </w:r>
    </w:p>
    <w:p>
      <w:pPr>
        <w:spacing w:line="360" w:lineRule="auto"/>
        <w:ind w:firstLine="359" w:firstLineChars="171"/>
        <w:rPr>
          <w:rFonts w:hint="eastAsia" w:ascii="宋体" w:hAnsi="宋体"/>
          <w:sz w:val="24"/>
        </w:rPr>
      </w:pPr>
      <w:r>
        <w:rPr>
          <w:rFonts w:hint="eastAsia" w:ascii="宋体" w:hAnsi="宋体"/>
          <w:szCs w:val="21"/>
        </w:rPr>
        <w:t>3.17. 设计人负责规划方案送审图纸电子文件的坐标转换工作，费用全部由设计人承担；并且符合规划部门收件要求，同时负责相关部门的报审工作，费用已含在合同价款中。</w:t>
      </w:r>
    </w:p>
    <w:p>
      <w:pPr>
        <w:spacing w:line="500" w:lineRule="exact"/>
        <w:ind w:firstLine="420" w:firstLineChars="200"/>
        <w:rPr>
          <w:rFonts w:ascii="宋体" w:hAnsi="宋体"/>
          <w:szCs w:val="21"/>
        </w:rPr>
      </w:pPr>
      <w:r>
        <w:rPr>
          <w:rFonts w:hint="eastAsia" w:ascii="宋体" w:hAnsi="宋体"/>
          <w:szCs w:val="21"/>
        </w:rPr>
        <w:t>3.18．为配合</w:t>
      </w:r>
      <w:r>
        <w:rPr>
          <w:rFonts w:ascii="宋体" w:hAnsi="宋体"/>
          <w:szCs w:val="21"/>
        </w:rPr>
        <w:t>Arcgis</w:t>
      </w:r>
      <w:r>
        <w:rPr>
          <w:rFonts w:hint="eastAsia" w:ascii="宋体" w:hAnsi="宋体"/>
          <w:szCs w:val="21"/>
        </w:rPr>
        <w:t>系统制作，</w:t>
      </w:r>
      <w:r>
        <w:rPr>
          <w:rFonts w:ascii="宋体" w:hAnsi="宋体"/>
          <w:szCs w:val="21"/>
        </w:rPr>
        <w:t>AutoCAD</w:t>
      </w:r>
      <w:r>
        <w:rPr>
          <w:rFonts w:hint="eastAsia" w:ascii="宋体" w:hAnsi="宋体"/>
          <w:szCs w:val="21"/>
        </w:rPr>
        <w:t>竣工图数据格式转换要符合</w:t>
      </w:r>
      <w:r>
        <w:rPr>
          <w:rFonts w:ascii="宋体" w:hAnsi="宋体"/>
          <w:szCs w:val="21"/>
        </w:rPr>
        <w:t>Arcgis</w:t>
      </w:r>
      <w:r>
        <w:rPr>
          <w:rFonts w:hint="eastAsia" w:ascii="宋体" w:hAnsi="宋体"/>
          <w:szCs w:val="21"/>
        </w:rPr>
        <w:t>的规范要求：</w:t>
      </w:r>
    </w:p>
    <w:p>
      <w:pPr>
        <w:spacing w:line="500" w:lineRule="exact"/>
        <w:ind w:firstLine="420" w:firstLineChars="200"/>
        <w:rPr>
          <w:rFonts w:ascii="宋体" w:hAnsi="宋体"/>
          <w:szCs w:val="21"/>
        </w:rPr>
      </w:pPr>
      <w:r>
        <w:rPr>
          <w:rFonts w:hint="eastAsia" w:ascii="宋体" w:hAnsi="宋体"/>
          <w:szCs w:val="21"/>
        </w:rPr>
        <w:t>（1）所提交的竣工图</w:t>
      </w:r>
      <w:r>
        <w:rPr>
          <w:rFonts w:ascii="宋体" w:hAnsi="宋体"/>
          <w:szCs w:val="21"/>
        </w:rPr>
        <w:t>Autocad</w:t>
      </w:r>
      <w:r>
        <w:rPr>
          <w:rFonts w:hint="eastAsia" w:ascii="宋体" w:hAnsi="宋体"/>
          <w:szCs w:val="21"/>
        </w:rPr>
        <w:t>版本为较低版本</w:t>
      </w:r>
      <w:r>
        <w:rPr>
          <w:rFonts w:ascii="宋体" w:hAnsi="宋体"/>
          <w:szCs w:val="21"/>
        </w:rPr>
        <w:t>06~10</w:t>
      </w:r>
      <w:r>
        <w:rPr>
          <w:rFonts w:hint="eastAsia" w:ascii="宋体" w:hAnsi="宋体"/>
          <w:szCs w:val="21"/>
        </w:rPr>
        <w:t>版本，保证</w:t>
      </w:r>
      <w:r>
        <w:rPr>
          <w:rFonts w:ascii="宋体" w:hAnsi="宋体"/>
          <w:szCs w:val="21"/>
        </w:rPr>
        <w:t>cad</w:t>
      </w:r>
      <w:r>
        <w:rPr>
          <w:rFonts w:hint="eastAsia" w:ascii="宋体" w:hAnsi="宋体"/>
          <w:szCs w:val="21"/>
        </w:rPr>
        <w:t>图在</w:t>
      </w:r>
      <w:r>
        <w:rPr>
          <w:rFonts w:ascii="宋体" w:hAnsi="宋体"/>
          <w:szCs w:val="21"/>
        </w:rPr>
        <w:t>Arcgis</w:t>
      </w:r>
      <w:r>
        <w:rPr>
          <w:rFonts w:hint="eastAsia" w:ascii="宋体" w:hAnsi="宋体"/>
          <w:szCs w:val="21"/>
        </w:rPr>
        <w:t>里的可读性。</w:t>
      </w:r>
    </w:p>
    <w:p>
      <w:pPr>
        <w:spacing w:line="500" w:lineRule="exact"/>
        <w:ind w:firstLine="420" w:firstLineChars="200"/>
        <w:rPr>
          <w:rFonts w:ascii="宋体" w:hAnsi="宋体"/>
          <w:szCs w:val="21"/>
        </w:rPr>
      </w:pPr>
      <w:r>
        <w:rPr>
          <w:rFonts w:hint="eastAsia" w:ascii="宋体" w:hAnsi="宋体"/>
          <w:szCs w:val="21"/>
        </w:rPr>
        <w:t>（2）竣工图坐标系必须是广州坐标，高程为广州城建高程。</w:t>
      </w:r>
    </w:p>
    <w:p>
      <w:pPr>
        <w:spacing w:line="500" w:lineRule="exact"/>
        <w:ind w:firstLine="420" w:firstLineChars="200"/>
        <w:rPr>
          <w:rFonts w:hint="eastAsia" w:ascii="宋体" w:hAnsi="宋体"/>
          <w:szCs w:val="21"/>
        </w:rPr>
      </w:pPr>
      <w:r>
        <w:rPr>
          <w:rFonts w:hint="eastAsia" w:ascii="宋体" w:hAnsi="宋体"/>
          <w:szCs w:val="21"/>
        </w:rPr>
        <w:t>（3）竣工图里的图层</w:t>
      </w:r>
      <w:r>
        <w:rPr>
          <w:rFonts w:ascii="宋体" w:hAnsi="宋体"/>
          <w:szCs w:val="21"/>
        </w:rPr>
        <w:t>:</w:t>
      </w:r>
      <w:r>
        <w:rPr>
          <w:rFonts w:hint="eastAsia" w:ascii="宋体" w:hAnsi="宋体"/>
          <w:szCs w:val="21"/>
        </w:rPr>
        <w:t>污水管道、污水井、道路、道路名、建筑物、建筑物名、河流、河流名、自然村、村名等，各图层必须是单独图层，不可相互混淆。</w:t>
      </w:r>
    </w:p>
    <w:p>
      <w:pPr>
        <w:spacing w:line="500" w:lineRule="exact"/>
        <w:ind w:firstLine="420" w:firstLineChars="200"/>
        <w:rPr>
          <w:rFonts w:ascii="宋体" w:hAnsi="宋体"/>
          <w:szCs w:val="21"/>
        </w:rPr>
      </w:pPr>
      <w:r>
        <w:rPr>
          <w:rFonts w:hint="eastAsia" w:ascii="宋体" w:hAnsi="宋体"/>
          <w:szCs w:val="21"/>
        </w:rPr>
        <w:t>以污水管道为例，表示污水管道的线图层为单独图层，该图层命名为污水管道，不是污水管道的图层不能使用该图层。</w:t>
      </w:r>
    </w:p>
    <w:p>
      <w:pPr>
        <w:ind w:left="124" w:leftChars="59" w:firstLine="1060" w:firstLineChars="505"/>
        <w:jc w:val="center"/>
        <w:rPr>
          <w:rFonts w:hint="eastAsia" w:ascii="宋体" w:hAnsi="宋体"/>
          <w:szCs w:val="21"/>
        </w:rPr>
      </w:pPr>
      <w:r>
        <w:rPr>
          <w:rFonts w:ascii="宋体" w:hAnsi="宋体"/>
          <w:szCs w:val="21"/>
        </w:rPr>
        <w:t>CAD</w:t>
      </w:r>
      <w:r>
        <w:rPr>
          <w:rFonts w:hint="eastAsia" w:ascii="宋体" w:hAnsi="宋体"/>
          <w:szCs w:val="21"/>
        </w:rPr>
        <w:t>与各图层类型的对应关系</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230"/>
        <w:gridCol w:w="1038"/>
        <w:gridCol w:w="992"/>
        <w:gridCol w:w="709"/>
        <w:gridCol w:w="85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top"/>
          </w:tcPr>
          <w:p>
            <w:r>
              <w:t>CAD</w:t>
            </w:r>
            <w:r>
              <w:rPr>
                <w:rFonts w:hint="eastAsia" w:cs="宋体"/>
              </w:rPr>
              <w:t>图层名</w:t>
            </w:r>
          </w:p>
        </w:tc>
        <w:tc>
          <w:tcPr>
            <w:tcW w:w="1230" w:type="dxa"/>
            <w:tcBorders>
              <w:top w:val="single" w:color="auto" w:sz="4" w:space="0"/>
              <w:left w:val="single" w:color="auto" w:sz="4" w:space="0"/>
              <w:bottom w:val="single" w:color="auto" w:sz="4" w:space="0"/>
              <w:right w:val="single" w:color="auto" w:sz="4" w:space="0"/>
            </w:tcBorders>
            <w:noWrap w:val="0"/>
            <w:vAlign w:val="top"/>
          </w:tcPr>
          <w:p>
            <w:r>
              <w:rPr>
                <w:rFonts w:hint="eastAsia" w:cs="宋体"/>
              </w:rPr>
              <w:t>污水管道</w:t>
            </w:r>
          </w:p>
        </w:tc>
        <w:tc>
          <w:tcPr>
            <w:tcW w:w="1038" w:type="dxa"/>
            <w:tcBorders>
              <w:top w:val="single" w:color="auto" w:sz="4" w:space="0"/>
              <w:left w:val="single" w:color="auto" w:sz="4" w:space="0"/>
              <w:bottom w:val="single" w:color="auto" w:sz="4" w:space="0"/>
              <w:right w:val="single" w:color="auto" w:sz="4" w:space="0"/>
            </w:tcBorders>
            <w:noWrap w:val="0"/>
            <w:vAlign w:val="top"/>
          </w:tcPr>
          <w:p>
            <w:r>
              <w:rPr>
                <w:rFonts w:hint="eastAsia" w:cs="宋体"/>
              </w:rPr>
              <w:t>污水井</w:t>
            </w:r>
          </w:p>
        </w:tc>
        <w:tc>
          <w:tcPr>
            <w:tcW w:w="992" w:type="dxa"/>
            <w:tcBorders>
              <w:top w:val="single" w:color="auto" w:sz="4" w:space="0"/>
              <w:left w:val="single" w:color="auto" w:sz="4" w:space="0"/>
              <w:bottom w:val="single" w:color="auto" w:sz="4" w:space="0"/>
              <w:right w:val="single" w:color="auto" w:sz="4" w:space="0"/>
            </w:tcBorders>
            <w:noWrap w:val="0"/>
            <w:vAlign w:val="top"/>
          </w:tcPr>
          <w:p>
            <w:r>
              <w:rPr>
                <w:rFonts w:hint="eastAsia" w:cs="宋体"/>
              </w:rPr>
              <w:t>建筑物</w:t>
            </w:r>
          </w:p>
        </w:tc>
        <w:tc>
          <w:tcPr>
            <w:tcW w:w="709" w:type="dxa"/>
            <w:tcBorders>
              <w:top w:val="single" w:color="auto" w:sz="4" w:space="0"/>
              <w:left w:val="single" w:color="auto" w:sz="4" w:space="0"/>
              <w:bottom w:val="single" w:color="auto" w:sz="4" w:space="0"/>
              <w:right w:val="single" w:color="auto" w:sz="4" w:space="0"/>
            </w:tcBorders>
            <w:noWrap w:val="0"/>
            <w:vAlign w:val="top"/>
          </w:tcPr>
          <w:p>
            <w:r>
              <w:rPr>
                <w:rFonts w:hint="eastAsia" w:cs="宋体"/>
              </w:rPr>
              <w:t>道路</w:t>
            </w:r>
          </w:p>
        </w:tc>
        <w:tc>
          <w:tcPr>
            <w:tcW w:w="850" w:type="dxa"/>
            <w:tcBorders>
              <w:top w:val="single" w:color="auto" w:sz="4" w:space="0"/>
              <w:left w:val="single" w:color="auto" w:sz="4" w:space="0"/>
              <w:bottom w:val="single" w:color="auto" w:sz="4" w:space="0"/>
              <w:right w:val="single" w:color="auto" w:sz="4" w:space="0"/>
            </w:tcBorders>
            <w:noWrap w:val="0"/>
            <w:vAlign w:val="top"/>
          </w:tcPr>
          <w:p>
            <w:r>
              <w:rPr>
                <w:rFonts w:hint="eastAsia" w:cs="宋体"/>
              </w:rPr>
              <w:t>河流</w:t>
            </w:r>
          </w:p>
        </w:tc>
        <w:tc>
          <w:tcPr>
            <w:tcW w:w="993" w:type="dxa"/>
            <w:tcBorders>
              <w:top w:val="single" w:color="auto" w:sz="4" w:space="0"/>
              <w:left w:val="single" w:color="auto" w:sz="4" w:space="0"/>
              <w:bottom w:val="single" w:color="auto" w:sz="4" w:space="0"/>
              <w:right w:val="single" w:color="auto" w:sz="4" w:space="0"/>
            </w:tcBorders>
            <w:noWrap w:val="0"/>
            <w:vAlign w:val="top"/>
          </w:tcPr>
          <w:p>
            <w:r>
              <w:rPr>
                <w:rFonts w:hint="eastAsia" w:cs="宋体"/>
              </w:rPr>
              <w:t>自然村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top"/>
          </w:tcPr>
          <w:p>
            <w:r>
              <w:rPr>
                <w:rFonts w:hint="eastAsia" w:cs="宋体"/>
              </w:rPr>
              <w:t>图层类型</w:t>
            </w:r>
          </w:p>
        </w:tc>
        <w:tc>
          <w:tcPr>
            <w:tcW w:w="1230" w:type="dxa"/>
            <w:tcBorders>
              <w:top w:val="single" w:color="auto" w:sz="4" w:space="0"/>
              <w:left w:val="single" w:color="auto" w:sz="4" w:space="0"/>
              <w:bottom w:val="single" w:color="auto" w:sz="4" w:space="0"/>
              <w:right w:val="single" w:color="auto" w:sz="4" w:space="0"/>
            </w:tcBorders>
            <w:noWrap w:val="0"/>
            <w:vAlign w:val="top"/>
          </w:tcPr>
          <w:p>
            <w:r>
              <w:rPr>
                <w:rFonts w:hint="eastAsia" w:cs="宋体"/>
              </w:rPr>
              <w:t>线层</w:t>
            </w:r>
          </w:p>
        </w:tc>
        <w:tc>
          <w:tcPr>
            <w:tcW w:w="1038" w:type="dxa"/>
            <w:tcBorders>
              <w:top w:val="single" w:color="auto" w:sz="4" w:space="0"/>
              <w:left w:val="single" w:color="auto" w:sz="4" w:space="0"/>
              <w:bottom w:val="single" w:color="auto" w:sz="4" w:space="0"/>
              <w:right w:val="single" w:color="auto" w:sz="4" w:space="0"/>
            </w:tcBorders>
            <w:noWrap w:val="0"/>
            <w:vAlign w:val="top"/>
          </w:tcPr>
          <w:p>
            <w:r>
              <w:rPr>
                <w:rFonts w:hint="eastAsia" w:cs="宋体"/>
              </w:rPr>
              <w:t>面层</w:t>
            </w:r>
          </w:p>
        </w:tc>
        <w:tc>
          <w:tcPr>
            <w:tcW w:w="992" w:type="dxa"/>
            <w:tcBorders>
              <w:top w:val="single" w:color="auto" w:sz="4" w:space="0"/>
              <w:left w:val="single" w:color="auto" w:sz="4" w:space="0"/>
              <w:bottom w:val="single" w:color="auto" w:sz="4" w:space="0"/>
              <w:right w:val="single" w:color="auto" w:sz="4" w:space="0"/>
            </w:tcBorders>
            <w:noWrap w:val="0"/>
            <w:vAlign w:val="top"/>
          </w:tcPr>
          <w:p>
            <w:r>
              <w:rPr>
                <w:rFonts w:hint="eastAsia" w:cs="宋体"/>
              </w:rPr>
              <w:t>面层</w:t>
            </w:r>
          </w:p>
        </w:tc>
        <w:tc>
          <w:tcPr>
            <w:tcW w:w="709" w:type="dxa"/>
            <w:tcBorders>
              <w:top w:val="single" w:color="auto" w:sz="4" w:space="0"/>
              <w:left w:val="single" w:color="auto" w:sz="4" w:space="0"/>
              <w:bottom w:val="single" w:color="auto" w:sz="4" w:space="0"/>
              <w:right w:val="single" w:color="auto" w:sz="4" w:space="0"/>
            </w:tcBorders>
            <w:noWrap w:val="0"/>
            <w:vAlign w:val="top"/>
          </w:tcPr>
          <w:p>
            <w:r>
              <w:rPr>
                <w:rFonts w:hint="eastAsia" w:cs="宋体"/>
              </w:rPr>
              <w:t>面层</w:t>
            </w:r>
          </w:p>
        </w:tc>
        <w:tc>
          <w:tcPr>
            <w:tcW w:w="850" w:type="dxa"/>
            <w:tcBorders>
              <w:top w:val="single" w:color="auto" w:sz="4" w:space="0"/>
              <w:left w:val="single" w:color="auto" w:sz="4" w:space="0"/>
              <w:bottom w:val="single" w:color="auto" w:sz="4" w:space="0"/>
              <w:right w:val="single" w:color="auto" w:sz="4" w:space="0"/>
            </w:tcBorders>
            <w:noWrap w:val="0"/>
            <w:vAlign w:val="top"/>
          </w:tcPr>
          <w:p>
            <w:r>
              <w:rPr>
                <w:rFonts w:hint="eastAsia" w:cs="宋体"/>
              </w:rPr>
              <w:t>面层</w:t>
            </w:r>
          </w:p>
        </w:tc>
        <w:tc>
          <w:tcPr>
            <w:tcW w:w="993" w:type="dxa"/>
            <w:tcBorders>
              <w:top w:val="single" w:color="auto" w:sz="4" w:space="0"/>
              <w:left w:val="single" w:color="auto" w:sz="4" w:space="0"/>
              <w:bottom w:val="single" w:color="auto" w:sz="4" w:space="0"/>
              <w:right w:val="single" w:color="auto" w:sz="4" w:space="0"/>
            </w:tcBorders>
            <w:noWrap w:val="0"/>
            <w:vAlign w:val="top"/>
          </w:tcPr>
          <w:p>
            <w:r>
              <w:rPr>
                <w:rFonts w:hint="eastAsia" w:cs="宋体"/>
              </w:rPr>
              <w:t>面层</w:t>
            </w:r>
          </w:p>
        </w:tc>
      </w:tr>
    </w:tbl>
    <w:p>
      <w:pPr>
        <w:ind w:firstLine="210" w:firstLineChars="100"/>
        <w:rPr>
          <w:rFonts w:hint="eastAsia" w:ascii="宋体" w:hAnsi="宋体"/>
          <w:szCs w:val="21"/>
        </w:rPr>
      </w:pPr>
    </w:p>
    <w:p>
      <w:pPr>
        <w:ind w:firstLine="420" w:firstLineChars="200"/>
        <w:rPr>
          <w:rFonts w:hint="eastAsia" w:ascii="宋体" w:hAnsi="宋体"/>
          <w:szCs w:val="21"/>
        </w:rPr>
      </w:pPr>
      <w:r>
        <w:rPr>
          <w:rFonts w:hint="eastAsia" w:ascii="宋体" w:hAnsi="宋体"/>
          <w:szCs w:val="21"/>
        </w:rPr>
        <w:t>（4）需提供污水井及污水管汇总表，其文件为</w:t>
      </w:r>
      <w:r>
        <w:rPr>
          <w:rFonts w:ascii="宋体" w:hAnsi="宋体"/>
          <w:szCs w:val="21"/>
        </w:rPr>
        <w:t>dbf.</w:t>
      </w:r>
      <w:r>
        <w:rPr>
          <w:rFonts w:hint="eastAsia" w:ascii="宋体" w:hAnsi="宋体"/>
          <w:szCs w:val="21"/>
        </w:rPr>
        <w:t>文件或</w:t>
      </w:r>
      <w:r>
        <w:rPr>
          <w:rFonts w:ascii="宋体" w:hAnsi="宋体"/>
          <w:szCs w:val="21"/>
        </w:rPr>
        <w:t>excel</w:t>
      </w:r>
      <w:r>
        <w:rPr>
          <w:rFonts w:hint="eastAsia" w:ascii="宋体" w:hAnsi="宋体"/>
          <w:szCs w:val="21"/>
        </w:rPr>
        <w:t>表，要求表里数据不能由算式得出。</w:t>
      </w:r>
    </w:p>
    <w:p>
      <w:pPr>
        <w:pStyle w:val="97"/>
        <w:ind w:left="315" w:leftChars="150" w:firstLine="525" w:firstLineChars="250"/>
        <w:jc w:val="center"/>
        <w:rPr>
          <w:rFonts w:hint="eastAsia" w:ascii="宋体" w:hAnsi="宋体" w:cs="Times New Roman"/>
        </w:rPr>
      </w:pPr>
      <w:r>
        <w:rPr>
          <w:rFonts w:hint="eastAsia" w:ascii="宋体" w:hAnsi="宋体" w:cs="Times New Roman"/>
        </w:rPr>
        <w:t>污水井汇总表及其数据类型规定如下表：</w:t>
      </w:r>
    </w:p>
    <w:tbl>
      <w:tblPr>
        <w:tblStyle w:val="30"/>
        <w:tblW w:w="0" w:type="auto"/>
        <w:tblInd w:w="-252" w:type="dxa"/>
        <w:tblLayout w:type="fixed"/>
        <w:tblCellMar>
          <w:top w:w="0" w:type="dxa"/>
          <w:left w:w="108" w:type="dxa"/>
          <w:bottom w:w="0" w:type="dxa"/>
          <w:right w:w="108" w:type="dxa"/>
        </w:tblCellMar>
      </w:tblPr>
      <w:tblGrid>
        <w:gridCol w:w="1080"/>
        <w:gridCol w:w="1080"/>
        <w:gridCol w:w="900"/>
        <w:gridCol w:w="1260"/>
        <w:gridCol w:w="1260"/>
        <w:gridCol w:w="900"/>
        <w:gridCol w:w="720"/>
        <w:gridCol w:w="815"/>
        <w:gridCol w:w="1116"/>
        <w:gridCol w:w="589"/>
      </w:tblGrid>
      <w:tr>
        <w:tblPrEx>
          <w:tblCellMar>
            <w:top w:w="0" w:type="dxa"/>
            <w:left w:w="108" w:type="dxa"/>
            <w:bottom w:w="0" w:type="dxa"/>
            <w:right w:w="108" w:type="dxa"/>
          </w:tblCellMar>
        </w:tblPrEx>
        <w:trPr>
          <w:trHeight w:val="27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井编号</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宋体"/>
                <w:sz w:val="18"/>
                <w:szCs w:val="18"/>
              </w:rPr>
            </w:pPr>
            <w:r>
              <w:rPr>
                <w:rFonts w:ascii="宋体" w:hAnsi="宋体" w:cs="宋体"/>
                <w:sz w:val="18"/>
                <w:szCs w:val="18"/>
              </w:rPr>
              <w:t>X</w:t>
            </w:r>
            <w:r>
              <w:rPr>
                <w:rFonts w:hint="eastAsia" w:ascii="宋体" w:hAnsi="宋体" w:cs="宋体"/>
                <w:sz w:val="18"/>
                <w:szCs w:val="18"/>
              </w:rPr>
              <w:t>坐标</w:t>
            </w:r>
            <w:r>
              <w:rPr>
                <w:rFonts w:ascii="宋体" w:hAnsi="宋体" w:cs="宋体"/>
                <w:sz w:val="18"/>
                <w:szCs w:val="18"/>
              </w:rPr>
              <w:t>-m</w:t>
            </w: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ascii="宋体"/>
                <w:sz w:val="18"/>
                <w:szCs w:val="18"/>
              </w:rPr>
            </w:pPr>
            <w:r>
              <w:rPr>
                <w:rFonts w:ascii="宋体" w:hAnsi="宋体" w:cs="宋体"/>
                <w:sz w:val="18"/>
                <w:szCs w:val="18"/>
              </w:rPr>
              <w:t>Y</w:t>
            </w:r>
            <w:r>
              <w:rPr>
                <w:rFonts w:hint="eastAsia" w:ascii="宋体" w:hAnsi="宋体" w:cs="宋体"/>
                <w:sz w:val="18"/>
                <w:szCs w:val="18"/>
              </w:rPr>
              <w:t>坐标</w:t>
            </w:r>
            <w:r>
              <w:rPr>
                <w:rFonts w:ascii="宋体" w:hAnsi="宋体" w:cs="宋体"/>
                <w:sz w:val="18"/>
                <w:szCs w:val="18"/>
              </w:rPr>
              <w:t>-m</w:t>
            </w: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地面高程</w:t>
            </w:r>
            <w:r>
              <w:rPr>
                <w:rFonts w:ascii="宋体" w:hAnsi="宋体" w:cs="宋体"/>
                <w:sz w:val="18"/>
                <w:szCs w:val="18"/>
              </w:rPr>
              <w:t>-m</w:t>
            </w: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井底高程</w:t>
            </w:r>
            <w:r>
              <w:rPr>
                <w:rFonts w:ascii="宋体" w:hAnsi="宋体" w:cs="宋体"/>
                <w:sz w:val="18"/>
                <w:szCs w:val="18"/>
              </w:rPr>
              <w:t>-m</w:t>
            </w:r>
          </w:p>
        </w:tc>
        <w:tc>
          <w:tcPr>
            <w:tcW w:w="900" w:type="dxa"/>
            <w:tcBorders>
              <w:top w:val="single" w:color="auto" w:sz="4" w:space="0"/>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井类型</w:t>
            </w:r>
          </w:p>
        </w:tc>
        <w:tc>
          <w:tcPr>
            <w:tcW w:w="720" w:type="dxa"/>
            <w:tcBorders>
              <w:top w:val="single" w:color="auto" w:sz="4" w:space="0"/>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标段</w:t>
            </w:r>
          </w:p>
        </w:tc>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sz w:val="18"/>
                <w:szCs w:val="18"/>
              </w:rPr>
            </w:pPr>
            <w:r>
              <w:rPr>
                <w:rFonts w:hint="eastAsia" w:ascii="宋体" w:hAnsi="宋体" w:cs="宋体"/>
                <w:sz w:val="18"/>
                <w:szCs w:val="18"/>
              </w:rPr>
              <w:t>所属</w:t>
            </w:r>
          </w:p>
          <w:p>
            <w:pPr>
              <w:widowControl/>
              <w:jc w:val="center"/>
              <w:rPr>
                <w:rFonts w:ascii="宋体" w:hAnsi="宋体" w:cs="宋体"/>
                <w:sz w:val="18"/>
                <w:szCs w:val="18"/>
              </w:rPr>
            </w:pPr>
            <w:r>
              <w:rPr>
                <w:rFonts w:hint="eastAsia" w:ascii="宋体" w:hAnsi="宋体" w:cs="宋体"/>
                <w:sz w:val="18"/>
                <w:szCs w:val="18"/>
              </w:rPr>
              <w:t>污水厂</w:t>
            </w:r>
          </w:p>
        </w:tc>
        <w:tc>
          <w:tcPr>
            <w:tcW w:w="111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sz w:val="18"/>
                <w:szCs w:val="18"/>
              </w:rPr>
            </w:pPr>
            <w:r>
              <w:rPr>
                <w:rFonts w:hint="eastAsia" w:ascii="宋体" w:hAnsi="宋体" w:cs="宋体"/>
                <w:sz w:val="18"/>
                <w:szCs w:val="18"/>
              </w:rPr>
              <w:t>建设日期</w:t>
            </w:r>
          </w:p>
        </w:tc>
        <w:tc>
          <w:tcPr>
            <w:tcW w:w="589" w:type="dxa"/>
            <w:tcBorders>
              <w:top w:val="single" w:color="auto" w:sz="4" w:space="0"/>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备注</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文本</w:t>
            </w:r>
          </w:p>
        </w:tc>
        <w:tc>
          <w:tcPr>
            <w:tcW w:w="1080" w:type="dxa"/>
            <w:tcBorders>
              <w:top w:val="nil"/>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实数</w:t>
            </w:r>
          </w:p>
        </w:tc>
        <w:tc>
          <w:tcPr>
            <w:tcW w:w="900" w:type="dxa"/>
            <w:tcBorders>
              <w:top w:val="nil"/>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实数</w:t>
            </w:r>
          </w:p>
        </w:tc>
        <w:tc>
          <w:tcPr>
            <w:tcW w:w="1260" w:type="dxa"/>
            <w:tcBorders>
              <w:top w:val="nil"/>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实数</w:t>
            </w:r>
          </w:p>
        </w:tc>
        <w:tc>
          <w:tcPr>
            <w:tcW w:w="1260" w:type="dxa"/>
            <w:tcBorders>
              <w:top w:val="nil"/>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实数</w:t>
            </w:r>
          </w:p>
        </w:tc>
        <w:tc>
          <w:tcPr>
            <w:tcW w:w="900" w:type="dxa"/>
            <w:tcBorders>
              <w:top w:val="nil"/>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文本</w:t>
            </w:r>
          </w:p>
        </w:tc>
        <w:tc>
          <w:tcPr>
            <w:tcW w:w="720" w:type="dxa"/>
            <w:tcBorders>
              <w:top w:val="nil"/>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文本</w:t>
            </w:r>
          </w:p>
        </w:tc>
        <w:tc>
          <w:tcPr>
            <w:tcW w:w="815" w:type="dxa"/>
            <w:tcBorders>
              <w:top w:val="nil"/>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文本</w:t>
            </w:r>
          </w:p>
        </w:tc>
        <w:tc>
          <w:tcPr>
            <w:tcW w:w="1116" w:type="dxa"/>
            <w:tcBorders>
              <w:top w:val="nil"/>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日期</w:t>
            </w:r>
          </w:p>
        </w:tc>
        <w:tc>
          <w:tcPr>
            <w:tcW w:w="589" w:type="dxa"/>
            <w:tcBorders>
              <w:top w:val="nil"/>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文本</w:t>
            </w:r>
          </w:p>
        </w:tc>
      </w:tr>
    </w:tbl>
    <w:p>
      <w:pPr>
        <w:pStyle w:val="97"/>
        <w:ind w:left="360" w:firstLine="0" w:firstLineChars="0"/>
        <w:rPr>
          <w:rFonts w:cs="Times New Roman"/>
        </w:rPr>
      </w:pPr>
      <w:r>
        <w:rPr>
          <w:rFonts w:hint="eastAsia" w:cs="宋体"/>
        </w:rPr>
        <w:t>注：井类型：检查井、拍门、拍门井、泵站、截流井</w:t>
      </w:r>
    </w:p>
    <w:p>
      <w:pPr>
        <w:pStyle w:val="97"/>
        <w:ind w:left="360" w:firstLine="0" w:firstLineChars="0"/>
        <w:rPr>
          <w:rFonts w:cs="Times New Roman"/>
        </w:rPr>
      </w:pPr>
    </w:p>
    <w:p>
      <w:pPr>
        <w:ind w:firstLine="210" w:firstLineChars="100"/>
        <w:jc w:val="center"/>
        <w:rPr>
          <w:rFonts w:ascii="宋体" w:hAnsi="宋体"/>
          <w:szCs w:val="21"/>
        </w:rPr>
      </w:pPr>
      <w:r>
        <w:rPr>
          <w:rFonts w:hint="eastAsia" w:ascii="宋体" w:hAnsi="宋体"/>
          <w:szCs w:val="21"/>
        </w:rPr>
        <w:t>污水管汇总表及其数据类型规定如下</w:t>
      </w:r>
    </w:p>
    <w:tbl>
      <w:tblPr>
        <w:tblStyle w:val="30"/>
        <w:tblpPr w:leftFromText="180" w:rightFromText="180" w:vertAnchor="text" w:horzAnchor="margin" w:tblpXSpec="center" w:tblpY="371"/>
        <w:tblW w:w="0" w:type="auto"/>
        <w:tblInd w:w="0" w:type="dxa"/>
        <w:tblLayout w:type="fixed"/>
        <w:tblCellMar>
          <w:top w:w="0" w:type="dxa"/>
          <w:left w:w="108" w:type="dxa"/>
          <w:bottom w:w="0" w:type="dxa"/>
          <w:right w:w="108" w:type="dxa"/>
        </w:tblCellMar>
      </w:tblPr>
      <w:tblGrid>
        <w:gridCol w:w="449"/>
        <w:gridCol w:w="559"/>
        <w:gridCol w:w="337"/>
        <w:gridCol w:w="450"/>
        <w:gridCol w:w="446"/>
        <w:gridCol w:w="398"/>
        <w:gridCol w:w="541"/>
        <w:gridCol w:w="720"/>
        <w:gridCol w:w="720"/>
        <w:gridCol w:w="720"/>
        <w:gridCol w:w="720"/>
        <w:gridCol w:w="720"/>
        <w:gridCol w:w="717"/>
        <w:gridCol w:w="717"/>
        <w:gridCol w:w="717"/>
        <w:gridCol w:w="717"/>
        <w:gridCol w:w="720"/>
      </w:tblGrid>
      <w:tr>
        <w:tblPrEx>
          <w:tblCellMar>
            <w:top w:w="0" w:type="dxa"/>
            <w:left w:w="108" w:type="dxa"/>
            <w:bottom w:w="0" w:type="dxa"/>
            <w:right w:w="108" w:type="dxa"/>
          </w:tblCellMar>
        </w:tblPrEx>
        <w:trPr>
          <w:trHeight w:val="270" w:hRule="atLeast"/>
        </w:trPr>
        <w:tc>
          <w:tcPr>
            <w:tcW w:w="4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井编号</w:t>
            </w:r>
          </w:p>
        </w:tc>
        <w:tc>
          <w:tcPr>
            <w:tcW w:w="5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上游井编号</w:t>
            </w:r>
          </w:p>
        </w:tc>
        <w:tc>
          <w:tcPr>
            <w:tcW w:w="337" w:type="dxa"/>
            <w:tcBorders>
              <w:top w:val="single" w:color="auto" w:sz="4" w:space="0"/>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下游井编号</w:t>
            </w:r>
          </w:p>
        </w:tc>
        <w:tc>
          <w:tcPr>
            <w:tcW w:w="450" w:type="dxa"/>
            <w:tcBorders>
              <w:top w:val="single" w:color="auto" w:sz="4" w:space="0"/>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管径</w:t>
            </w:r>
            <w:r>
              <w:rPr>
                <w:rFonts w:ascii="宋体" w:hAnsi="宋体" w:cs="宋体"/>
                <w:sz w:val="18"/>
                <w:szCs w:val="18"/>
              </w:rPr>
              <w:t>-mm</w:t>
            </w:r>
          </w:p>
        </w:tc>
        <w:tc>
          <w:tcPr>
            <w:tcW w:w="446" w:type="dxa"/>
            <w:tcBorders>
              <w:top w:val="single" w:color="auto" w:sz="4" w:space="0"/>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管材</w:t>
            </w:r>
          </w:p>
        </w:tc>
        <w:tc>
          <w:tcPr>
            <w:tcW w:w="398" w:type="dxa"/>
            <w:tcBorders>
              <w:top w:val="single" w:color="auto" w:sz="4" w:space="0"/>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流动性质</w:t>
            </w:r>
          </w:p>
        </w:tc>
        <w:tc>
          <w:tcPr>
            <w:tcW w:w="541" w:type="dxa"/>
            <w:tcBorders>
              <w:top w:val="single" w:color="auto" w:sz="4" w:space="0"/>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所属污水厂</w:t>
            </w:r>
          </w:p>
        </w:tc>
        <w:tc>
          <w:tcPr>
            <w:tcW w:w="720" w:type="dxa"/>
            <w:tcBorders>
              <w:top w:val="single" w:color="auto" w:sz="4" w:space="0"/>
              <w:left w:val="nil"/>
              <w:bottom w:val="single" w:color="auto" w:sz="4" w:space="0"/>
              <w:right w:val="single" w:color="auto" w:sz="4" w:space="0"/>
            </w:tcBorders>
            <w:noWrap w:val="0"/>
            <w:vAlign w:val="top"/>
          </w:tcPr>
          <w:p>
            <w:pPr>
              <w:widowControl/>
              <w:jc w:val="center"/>
              <w:rPr>
                <w:rFonts w:ascii="宋体"/>
                <w:sz w:val="18"/>
                <w:szCs w:val="18"/>
              </w:rPr>
            </w:pPr>
            <w:r>
              <w:rPr>
                <w:rFonts w:hint="eastAsia" w:ascii="宋体" w:hAnsi="宋体" w:cs="宋体"/>
                <w:sz w:val="18"/>
                <w:szCs w:val="18"/>
              </w:rPr>
              <w:t>上游</w:t>
            </w:r>
            <w:r>
              <w:rPr>
                <w:rFonts w:ascii="宋体" w:hAnsi="宋体" w:cs="宋体"/>
                <w:sz w:val="18"/>
                <w:szCs w:val="18"/>
              </w:rPr>
              <w:t>X</w:t>
            </w:r>
            <w:r>
              <w:rPr>
                <w:rFonts w:hint="eastAsia" w:ascii="宋体" w:hAnsi="宋体" w:cs="宋体"/>
                <w:sz w:val="18"/>
                <w:szCs w:val="18"/>
              </w:rPr>
              <w:t>坐标</w:t>
            </w:r>
            <w:r>
              <w:rPr>
                <w:rFonts w:ascii="宋体" w:hAnsi="宋体" w:cs="宋体"/>
                <w:sz w:val="18"/>
                <w:szCs w:val="18"/>
              </w:rPr>
              <w:t>-m</w:t>
            </w:r>
          </w:p>
        </w:tc>
        <w:tc>
          <w:tcPr>
            <w:tcW w:w="720" w:type="dxa"/>
            <w:tcBorders>
              <w:top w:val="single" w:color="auto" w:sz="4" w:space="0"/>
              <w:left w:val="single" w:color="auto" w:sz="4" w:space="0"/>
              <w:bottom w:val="single" w:color="auto" w:sz="4" w:space="0"/>
              <w:right w:val="nil"/>
            </w:tcBorders>
            <w:noWrap w:val="0"/>
            <w:vAlign w:val="top"/>
          </w:tcPr>
          <w:p>
            <w:pPr>
              <w:widowControl/>
              <w:jc w:val="center"/>
              <w:rPr>
                <w:rFonts w:ascii="宋体"/>
                <w:sz w:val="18"/>
                <w:szCs w:val="18"/>
              </w:rPr>
            </w:pPr>
            <w:r>
              <w:rPr>
                <w:rFonts w:hint="eastAsia" w:ascii="宋体" w:hAnsi="宋体" w:cs="宋体"/>
                <w:sz w:val="18"/>
                <w:szCs w:val="18"/>
              </w:rPr>
              <w:t>上游</w:t>
            </w:r>
            <w:r>
              <w:rPr>
                <w:rFonts w:ascii="宋体" w:hAnsi="宋体" w:cs="宋体"/>
                <w:sz w:val="18"/>
                <w:szCs w:val="18"/>
              </w:rPr>
              <w:t>Y</w:t>
            </w:r>
            <w:r>
              <w:rPr>
                <w:rFonts w:hint="eastAsia" w:ascii="宋体" w:hAnsi="宋体" w:cs="宋体"/>
                <w:sz w:val="18"/>
                <w:szCs w:val="18"/>
              </w:rPr>
              <w:t>坐标</w:t>
            </w:r>
            <w:r>
              <w:rPr>
                <w:rFonts w:ascii="宋体" w:hAnsi="宋体" w:cs="宋体"/>
                <w:sz w:val="18"/>
                <w:szCs w:val="18"/>
              </w:rPr>
              <w:t>-m</w:t>
            </w: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sz w:val="18"/>
                <w:szCs w:val="18"/>
              </w:rPr>
            </w:pPr>
            <w:r>
              <w:rPr>
                <w:rFonts w:hint="eastAsia" w:ascii="宋体" w:hAnsi="宋体" w:cs="宋体"/>
                <w:sz w:val="18"/>
                <w:szCs w:val="18"/>
              </w:rPr>
              <w:t>上游地面高程</w:t>
            </w:r>
            <w:r>
              <w:rPr>
                <w:rFonts w:ascii="宋体" w:hAnsi="宋体" w:cs="宋体"/>
                <w:sz w:val="18"/>
                <w:szCs w:val="18"/>
              </w:rPr>
              <w:t>-m</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上游管底高程</w:t>
            </w:r>
            <w:r>
              <w:rPr>
                <w:rFonts w:ascii="宋体" w:hAnsi="宋体" w:cs="宋体"/>
                <w:sz w:val="18"/>
                <w:szCs w:val="18"/>
              </w:rPr>
              <w:t>-m</w:t>
            </w:r>
          </w:p>
        </w:tc>
        <w:tc>
          <w:tcPr>
            <w:tcW w:w="720" w:type="dxa"/>
            <w:tcBorders>
              <w:top w:val="single" w:color="auto" w:sz="4" w:space="0"/>
              <w:left w:val="nil"/>
              <w:bottom w:val="single" w:color="auto" w:sz="4" w:space="0"/>
              <w:right w:val="single" w:color="auto" w:sz="4" w:space="0"/>
            </w:tcBorders>
            <w:noWrap w:val="0"/>
            <w:vAlign w:val="top"/>
          </w:tcPr>
          <w:p>
            <w:pPr>
              <w:widowControl/>
              <w:jc w:val="center"/>
              <w:rPr>
                <w:rFonts w:hint="eastAsia" w:ascii="宋体" w:hAnsi="宋体" w:cs="宋体"/>
                <w:sz w:val="18"/>
                <w:szCs w:val="18"/>
              </w:rPr>
            </w:pPr>
            <w:r>
              <w:rPr>
                <w:rFonts w:hint="eastAsia" w:ascii="宋体" w:hAnsi="宋体" w:cs="宋体"/>
                <w:sz w:val="18"/>
                <w:szCs w:val="18"/>
              </w:rPr>
              <w:t>下游</w:t>
            </w:r>
            <w:r>
              <w:rPr>
                <w:rFonts w:ascii="宋体" w:hAnsi="宋体" w:cs="宋体"/>
                <w:sz w:val="18"/>
                <w:szCs w:val="18"/>
              </w:rPr>
              <w:t>X</w:t>
            </w:r>
            <w:r>
              <w:rPr>
                <w:rFonts w:hint="eastAsia" w:ascii="宋体" w:hAnsi="宋体" w:cs="宋体"/>
                <w:sz w:val="18"/>
                <w:szCs w:val="18"/>
              </w:rPr>
              <w:t>坐标</w:t>
            </w:r>
          </w:p>
          <w:p>
            <w:pPr>
              <w:widowControl/>
              <w:jc w:val="center"/>
              <w:rPr>
                <w:rFonts w:ascii="宋体"/>
                <w:sz w:val="18"/>
                <w:szCs w:val="18"/>
              </w:rPr>
            </w:pPr>
            <w:r>
              <w:rPr>
                <w:rFonts w:ascii="宋体" w:hAnsi="宋体" w:cs="宋体"/>
                <w:sz w:val="18"/>
                <w:szCs w:val="18"/>
              </w:rPr>
              <w:t>-m</w:t>
            </w:r>
          </w:p>
        </w:tc>
        <w:tc>
          <w:tcPr>
            <w:tcW w:w="717" w:type="dxa"/>
            <w:tcBorders>
              <w:top w:val="single" w:color="auto" w:sz="4" w:space="0"/>
              <w:left w:val="single" w:color="auto" w:sz="4" w:space="0"/>
              <w:bottom w:val="single" w:color="auto" w:sz="4" w:space="0"/>
              <w:right w:val="nil"/>
            </w:tcBorders>
            <w:noWrap w:val="0"/>
            <w:vAlign w:val="top"/>
          </w:tcPr>
          <w:p>
            <w:pPr>
              <w:widowControl/>
              <w:jc w:val="center"/>
              <w:rPr>
                <w:rFonts w:hint="eastAsia" w:ascii="宋体" w:hAnsi="宋体" w:cs="宋体"/>
                <w:sz w:val="18"/>
                <w:szCs w:val="18"/>
              </w:rPr>
            </w:pPr>
            <w:r>
              <w:rPr>
                <w:rFonts w:hint="eastAsia" w:ascii="宋体" w:hAnsi="宋体" w:cs="宋体"/>
                <w:sz w:val="18"/>
                <w:szCs w:val="18"/>
              </w:rPr>
              <w:t>下游</w:t>
            </w:r>
            <w:r>
              <w:rPr>
                <w:rFonts w:ascii="宋体" w:hAnsi="宋体" w:cs="宋体"/>
                <w:sz w:val="18"/>
                <w:szCs w:val="18"/>
              </w:rPr>
              <w:t>X</w:t>
            </w:r>
            <w:r>
              <w:rPr>
                <w:rFonts w:hint="eastAsia" w:ascii="宋体" w:hAnsi="宋体" w:cs="宋体"/>
                <w:sz w:val="18"/>
                <w:szCs w:val="18"/>
              </w:rPr>
              <w:t>坐标</w:t>
            </w:r>
          </w:p>
          <w:p>
            <w:pPr>
              <w:widowControl/>
              <w:jc w:val="center"/>
              <w:rPr>
                <w:rFonts w:ascii="宋体"/>
                <w:sz w:val="18"/>
                <w:szCs w:val="18"/>
              </w:rPr>
            </w:pPr>
            <w:r>
              <w:rPr>
                <w:rFonts w:ascii="宋体" w:hAnsi="宋体" w:cs="宋体"/>
                <w:sz w:val="18"/>
                <w:szCs w:val="18"/>
              </w:rPr>
              <w:t>-m</w:t>
            </w:r>
          </w:p>
        </w:tc>
        <w:tc>
          <w:tcPr>
            <w:tcW w:w="717"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宋体" w:hAnsi="宋体" w:cs="宋体"/>
                <w:sz w:val="18"/>
                <w:szCs w:val="18"/>
              </w:rPr>
            </w:pPr>
            <w:r>
              <w:rPr>
                <w:rFonts w:hint="eastAsia" w:ascii="宋体" w:hAnsi="宋体" w:cs="宋体"/>
                <w:sz w:val="18"/>
                <w:szCs w:val="18"/>
              </w:rPr>
              <w:t>下游</w:t>
            </w:r>
            <w:r>
              <w:rPr>
                <w:rFonts w:ascii="宋体" w:hAnsi="宋体" w:cs="宋体"/>
                <w:sz w:val="18"/>
                <w:szCs w:val="18"/>
              </w:rPr>
              <w:t>Y</w:t>
            </w:r>
            <w:r>
              <w:rPr>
                <w:rFonts w:hint="eastAsia" w:ascii="宋体" w:hAnsi="宋体" w:cs="宋体"/>
                <w:sz w:val="18"/>
                <w:szCs w:val="18"/>
              </w:rPr>
              <w:t>坐标</w:t>
            </w:r>
          </w:p>
          <w:p>
            <w:pPr>
              <w:widowControl/>
              <w:jc w:val="center"/>
              <w:rPr>
                <w:rFonts w:ascii="宋体"/>
                <w:sz w:val="18"/>
                <w:szCs w:val="18"/>
              </w:rPr>
            </w:pPr>
            <w:r>
              <w:rPr>
                <w:rFonts w:ascii="宋体" w:hAnsi="宋体" w:cs="宋体"/>
                <w:sz w:val="18"/>
                <w:szCs w:val="18"/>
              </w:rPr>
              <w:t>-m</w:t>
            </w:r>
          </w:p>
        </w:tc>
        <w:tc>
          <w:tcPr>
            <w:tcW w:w="7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下游管底高程</w:t>
            </w:r>
            <w:r>
              <w:rPr>
                <w:rFonts w:ascii="宋体" w:hAnsi="宋体" w:cs="宋体"/>
                <w:sz w:val="18"/>
                <w:szCs w:val="18"/>
              </w:rPr>
              <w:t>-m</w:t>
            </w:r>
          </w:p>
        </w:tc>
        <w:tc>
          <w:tcPr>
            <w:tcW w:w="717" w:type="dxa"/>
            <w:tcBorders>
              <w:top w:val="single" w:color="auto" w:sz="4" w:space="0"/>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建设日期</w:t>
            </w:r>
          </w:p>
        </w:tc>
        <w:tc>
          <w:tcPr>
            <w:tcW w:w="720" w:type="dxa"/>
            <w:tcBorders>
              <w:top w:val="single" w:color="auto" w:sz="4" w:space="0"/>
              <w:bottom w:val="single" w:color="auto" w:sz="4" w:space="0"/>
              <w:right w:val="single" w:color="auto" w:sz="4" w:space="0"/>
            </w:tcBorders>
            <w:noWrap w:val="0"/>
            <w:vAlign w:val="top"/>
          </w:tcPr>
          <w:p>
            <w:pPr>
              <w:widowControl/>
              <w:jc w:val="center"/>
              <w:rPr>
                <w:sz w:val="18"/>
                <w:szCs w:val="18"/>
              </w:rPr>
            </w:pPr>
            <w:r>
              <w:rPr>
                <w:rFonts w:hint="eastAsia" w:cs="宋体"/>
                <w:sz w:val="18"/>
                <w:szCs w:val="18"/>
              </w:rPr>
              <w:t>备注</w:t>
            </w:r>
          </w:p>
        </w:tc>
      </w:tr>
      <w:tr>
        <w:tblPrEx>
          <w:tblCellMar>
            <w:top w:w="0" w:type="dxa"/>
            <w:left w:w="108" w:type="dxa"/>
            <w:bottom w:w="0" w:type="dxa"/>
            <w:right w:w="108" w:type="dxa"/>
          </w:tblCellMar>
        </w:tblPrEx>
        <w:trPr>
          <w:trHeight w:val="388" w:hRule="atLeast"/>
        </w:trPr>
        <w:tc>
          <w:tcPr>
            <w:tcW w:w="4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文本</w:t>
            </w:r>
          </w:p>
        </w:tc>
        <w:tc>
          <w:tcPr>
            <w:tcW w:w="5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文本</w:t>
            </w:r>
          </w:p>
        </w:tc>
        <w:tc>
          <w:tcPr>
            <w:tcW w:w="337" w:type="dxa"/>
            <w:tcBorders>
              <w:top w:val="single" w:color="auto" w:sz="4" w:space="0"/>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文本</w:t>
            </w:r>
          </w:p>
        </w:tc>
        <w:tc>
          <w:tcPr>
            <w:tcW w:w="450" w:type="dxa"/>
            <w:tcBorders>
              <w:top w:val="single" w:color="auto" w:sz="4" w:space="0"/>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整数</w:t>
            </w:r>
          </w:p>
        </w:tc>
        <w:tc>
          <w:tcPr>
            <w:tcW w:w="446" w:type="dxa"/>
            <w:tcBorders>
              <w:top w:val="single" w:color="auto" w:sz="4" w:space="0"/>
              <w:left w:val="nil"/>
              <w:bottom w:val="single" w:color="auto" w:sz="4" w:space="0"/>
              <w:right w:val="single" w:color="auto" w:sz="4" w:space="0"/>
            </w:tcBorders>
            <w:noWrap w:val="0"/>
            <w:vAlign w:val="center"/>
          </w:tcPr>
          <w:p>
            <w:pPr>
              <w:widowControl/>
              <w:jc w:val="center"/>
              <w:rPr>
                <w:rFonts w:ascii="宋体"/>
                <w:sz w:val="18"/>
                <w:szCs w:val="18"/>
              </w:rPr>
            </w:pPr>
            <w:r>
              <w:rPr>
                <w:rFonts w:hint="eastAsia" w:ascii="宋体" w:hAnsi="宋体" w:cs="宋体"/>
                <w:sz w:val="18"/>
                <w:szCs w:val="18"/>
              </w:rPr>
              <w:t>文本</w:t>
            </w:r>
          </w:p>
        </w:tc>
        <w:tc>
          <w:tcPr>
            <w:tcW w:w="398" w:type="dxa"/>
            <w:tcBorders>
              <w:top w:val="single" w:color="auto" w:sz="4" w:space="0"/>
              <w:left w:val="nil"/>
              <w:bottom w:val="single" w:color="auto" w:sz="4" w:space="0"/>
              <w:right w:val="single" w:color="auto" w:sz="4" w:space="0"/>
            </w:tcBorders>
            <w:noWrap w:val="0"/>
            <w:vAlign w:val="top"/>
          </w:tcPr>
          <w:p>
            <w:pPr>
              <w:widowControl/>
              <w:jc w:val="center"/>
              <w:rPr>
                <w:rFonts w:ascii="宋体"/>
                <w:sz w:val="18"/>
                <w:szCs w:val="18"/>
              </w:rPr>
            </w:pPr>
            <w:r>
              <w:rPr>
                <w:rFonts w:hint="eastAsia" w:ascii="宋体" w:hAnsi="宋体" w:cs="宋体"/>
                <w:sz w:val="18"/>
                <w:szCs w:val="18"/>
              </w:rPr>
              <w:t>文本</w:t>
            </w:r>
          </w:p>
        </w:tc>
        <w:tc>
          <w:tcPr>
            <w:tcW w:w="541" w:type="dxa"/>
            <w:tcBorders>
              <w:top w:val="single" w:color="auto" w:sz="4" w:space="0"/>
              <w:left w:val="nil"/>
              <w:bottom w:val="single" w:color="auto" w:sz="4" w:space="0"/>
              <w:right w:val="single" w:color="auto" w:sz="4" w:space="0"/>
            </w:tcBorders>
            <w:noWrap w:val="0"/>
            <w:vAlign w:val="top"/>
          </w:tcPr>
          <w:p>
            <w:pPr>
              <w:widowControl/>
              <w:jc w:val="center"/>
              <w:rPr>
                <w:rFonts w:ascii="宋体"/>
                <w:sz w:val="18"/>
                <w:szCs w:val="18"/>
              </w:rPr>
            </w:pPr>
            <w:r>
              <w:rPr>
                <w:rFonts w:hint="eastAsia" w:ascii="宋体" w:hAnsi="宋体" w:cs="宋体"/>
                <w:sz w:val="18"/>
                <w:szCs w:val="18"/>
              </w:rPr>
              <w:t>文本</w:t>
            </w:r>
          </w:p>
        </w:tc>
        <w:tc>
          <w:tcPr>
            <w:tcW w:w="720" w:type="dxa"/>
            <w:tcBorders>
              <w:top w:val="single" w:color="auto" w:sz="4" w:space="0"/>
              <w:left w:val="nil"/>
              <w:bottom w:val="single" w:color="auto" w:sz="4" w:space="0"/>
              <w:right w:val="single" w:color="auto" w:sz="4" w:space="0"/>
            </w:tcBorders>
            <w:noWrap w:val="0"/>
            <w:vAlign w:val="top"/>
          </w:tcPr>
          <w:p>
            <w:pPr>
              <w:widowControl/>
              <w:jc w:val="center"/>
              <w:rPr>
                <w:rFonts w:ascii="宋体" w:cs="宋体"/>
                <w:sz w:val="18"/>
                <w:szCs w:val="18"/>
              </w:rPr>
            </w:pPr>
            <w:r>
              <w:rPr>
                <w:rFonts w:hint="eastAsia" w:ascii="宋体" w:hAnsi="宋体" w:cs="宋体"/>
                <w:sz w:val="18"/>
                <w:szCs w:val="18"/>
              </w:rPr>
              <w:t>实数</w:t>
            </w:r>
          </w:p>
        </w:tc>
        <w:tc>
          <w:tcPr>
            <w:tcW w:w="720" w:type="dxa"/>
            <w:tcBorders>
              <w:top w:val="single" w:color="auto" w:sz="4" w:space="0"/>
              <w:left w:val="single" w:color="auto" w:sz="4" w:space="0"/>
              <w:bottom w:val="single" w:color="auto" w:sz="4" w:space="0"/>
              <w:right w:val="nil"/>
            </w:tcBorders>
            <w:noWrap w:val="0"/>
            <w:vAlign w:val="top"/>
          </w:tcPr>
          <w:p>
            <w:pPr>
              <w:widowControl/>
              <w:jc w:val="center"/>
              <w:rPr>
                <w:rFonts w:ascii="宋体" w:cs="宋体"/>
                <w:sz w:val="18"/>
                <w:szCs w:val="18"/>
              </w:rPr>
            </w:pPr>
            <w:r>
              <w:rPr>
                <w:rFonts w:hint="eastAsia" w:ascii="宋体" w:hAnsi="宋体" w:cs="宋体"/>
                <w:sz w:val="18"/>
                <w:szCs w:val="18"/>
              </w:rPr>
              <w:t>实数</w:t>
            </w: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cs="宋体"/>
                <w:sz w:val="18"/>
                <w:szCs w:val="18"/>
              </w:rPr>
            </w:pPr>
            <w:r>
              <w:rPr>
                <w:rFonts w:hint="eastAsia" w:ascii="宋体" w:hAnsi="宋体" w:cs="宋体"/>
                <w:sz w:val="18"/>
                <w:szCs w:val="18"/>
              </w:rPr>
              <w:t>实数</w:t>
            </w:r>
          </w:p>
        </w:tc>
        <w:tc>
          <w:tcPr>
            <w:tcW w:w="720"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cs="宋体"/>
                <w:sz w:val="18"/>
                <w:szCs w:val="18"/>
              </w:rPr>
            </w:pPr>
            <w:r>
              <w:rPr>
                <w:rFonts w:hint="eastAsia" w:ascii="宋体" w:hAnsi="宋体" w:cs="宋体"/>
                <w:sz w:val="18"/>
                <w:szCs w:val="18"/>
              </w:rPr>
              <w:t>实数</w:t>
            </w:r>
          </w:p>
        </w:tc>
        <w:tc>
          <w:tcPr>
            <w:tcW w:w="720" w:type="dxa"/>
            <w:tcBorders>
              <w:top w:val="single" w:color="auto" w:sz="4" w:space="0"/>
              <w:left w:val="nil"/>
              <w:bottom w:val="single" w:color="auto" w:sz="4" w:space="0"/>
              <w:right w:val="single" w:color="auto" w:sz="4" w:space="0"/>
            </w:tcBorders>
            <w:noWrap w:val="0"/>
            <w:vAlign w:val="top"/>
          </w:tcPr>
          <w:p>
            <w:pPr>
              <w:widowControl/>
              <w:jc w:val="center"/>
              <w:rPr>
                <w:rFonts w:ascii="宋体" w:cs="宋体"/>
                <w:sz w:val="18"/>
                <w:szCs w:val="18"/>
              </w:rPr>
            </w:pPr>
            <w:r>
              <w:rPr>
                <w:rFonts w:hint="eastAsia" w:ascii="宋体" w:hAnsi="宋体" w:cs="宋体"/>
                <w:sz w:val="18"/>
                <w:szCs w:val="18"/>
              </w:rPr>
              <w:t>实数</w:t>
            </w:r>
          </w:p>
        </w:tc>
        <w:tc>
          <w:tcPr>
            <w:tcW w:w="717" w:type="dxa"/>
            <w:tcBorders>
              <w:top w:val="single" w:color="auto" w:sz="4" w:space="0"/>
              <w:left w:val="single" w:color="auto" w:sz="4" w:space="0"/>
              <w:bottom w:val="single" w:color="auto" w:sz="4" w:space="0"/>
              <w:right w:val="nil"/>
            </w:tcBorders>
            <w:noWrap w:val="0"/>
            <w:vAlign w:val="top"/>
          </w:tcPr>
          <w:p>
            <w:pPr>
              <w:widowControl/>
              <w:jc w:val="center"/>
              <w:rPr>
                <w:rFonts w:ascii="宋体" w:cs="宋体"/>
                <w:sz w:val="18"/>
                <w:szCs w:val="18"/>
              </w:rPr>
            </w:pPr>
            <w:r>
              <w:rPr>
                <w:rFonts w:hint="eastAsia" w:ascii="宋体" w:hAnsi="宋体" w:cs="宋体"/>
                <w:sz w:val="18"/>
                <w:szCs w:val="18"/>
              </w:rPr>
              <w:t>实数</w:t>
            </w:r>
          </w:p>
        </w:tc>
        <w:tc>
          <w:tcPr>
            <w:tcW w:w="717"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cs="宋体"/>
                <w:sz w:val="18"/>
                <w:szCs w:val="18"/>
              </w:rPr>
            </w:pPr>
            <w:r>
              <w:rPr>
                <w:rFonts w:hint="eastAsia" w:ascii="宋体" w:hAnsi="宋体" w:cs="宋体"/>
                <w:sz w:val="18"/>
                <w:szCs w:val="18"/>
              </w:rPr>
              <w:t>实数</w:t>
            </w:r>
          </w:p>
        </w:tc>
        <w:tc>
          <w:tcPr>
            <w:tcW w:w="717"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ascii="宋体" w:cs="宋体"/>
                <w:sz w:val="18"/>
                <w:szCs w:val="18"/>
              </w:rPr>
            </w:pPr>
            <w:r>
              <w:rPr>
                <w:rFonts w:hint="eastAsia" w:ascii="宋体" w:hAnsi="宋体" w:cs="宋体"/>
                <w:sz w:val="18"/>
                <w:szCs w:val="18"/>
              </w:rPr>
              <w:t>实数</w:t>
            </w:r>
          </w:p>
        </w:tc>
        <w:tc>
          <w:tcPr>
            <w:tcW w:w="717" w:type="dxa"/>
            <w:tcBorders>
              <w:top w:val="single" w:color="auto" w:sz="4" w:space="0"/>
              <w:left w:val="nil"/>
              <w:bottom w:val="single" w:color="auto" w:sz="4" w:space="0"/>
              <w:right w:val="single" w:color="auto" w:sz="4" w:space="0"/>
            </w:tcBorders>
            <w:noWrap w:val="0"/>
            <w:vAlign w:val="top"/>
          </w:tcPr>
          <w:p>
            <w:pPr>
              <w:widowControl/>
              <w:jc w:val="center"/>
              <w:rPr>
                <w:rFonts w:ascii="宋体" w:cs="宋体"/>
                <w:sz w:val="18"/>
                <w:szCs w:val="18"/>
              </w:rPr>
            </w:pPr>
            <w:r>
              <w:rPr>
                <w:rFonts w:hint="eastAsia" w:ascii="宋体" w:hAnsi="宋体" w:cs="宋体"/>
                <w:sz w:val="18"/>
                <w:szCs w:val="18"/>
              </w:rPr>
              <w:t>日期</w:t>
            </w:r>
          </w:p>
        </w:tc>
        <w:tc>
          <w:tcPr>
            <w:tcW w:w="720" w:type="dxa"/>
            <w:tcBorders>
              <w:top w:val="single" w:color="auto" w:sz="4" w:space="0"/>
              <w:bottom w:val="single" w:color="auto" w:sz="4" w:space="0"/>
              <w:right w:val="single" w:color="auto" w:sz="4" w:space="0"/>
            </w:tcBorders>
            <w:noWrap w:val="0"/>
            <w:vAlign w:val="top"/>
          </w:tcPr>
          <w:p>
            <w:pPr>
              <w:widowControl/>
              <w:jc w:val="center"/>
              <w:rPr>
                <w:sz w:val="18"/>
                <w:szCs w:val="18"/>
              </w:rPr>
            </w:pPr>
            <w:r>
              <w:rPr>
                <w:rFonts w:hint="eastAsia" w:cs="宋体"/>
                <w:sz w:val="18"/>
                <w:szCs w:val="18"/>
              </w:rPr>
              <w:t>文本</w:t>
            </w:r>
          </w:p>
        </w:tc>
      </w:tr>
    </w:tbl>
    <w:p>
      <w:pPr>
        <w:jc w:val="center"/>
      </w:pPr>
    </w:p>
    <w:p>
      <w:r>
        <w:rPr>
          <w:rFonts w:hint="eastAsia" w:cs="宋体"/>
        </w:rPr>
        <w:t>注：流动性质：重力流、压力流、倒虹吸；管材：按厂家习惯，统一命名；</w:t>
      </w:r>
    </w:p>
    <w:p/>
    <w:p>
      <w:pPr>
        <w:spacing w:line="440" w:lineRule="exact"/>
        <w:ind w:firstLine="210" w:firstLineChars="100"/>
        <w:rPr>
          <w:rFonts w:hint="eastAsia" w:ascii="宋体" w:hAnsi="宋体"/>
          <w:szCs w:val="21"/>
        </w:rPr>
      </w:pPr>
      <w:r>
        <w:rPr>
          <w:rFonts w:hint="eastAsia" w:ascii="宋体" w:hAnsi="宋体"/>
          <w:szCs w:val="21"/>
        </w:rPr>
        <w:t>（5）需提供竣工平面图的分幅图，要求每一分幅图不能放在同一</w:t>
      </w:r>
      <w:r>
        <w:rPr>
          <w:rFonts w:ascii="宋体" w:hAnsi="宋体"/>
          <w:szCs w:val="21"/>
        </w:rPr>
        <w:t>cad</w:t>
      </w:r>
      <w:r>
        <w:rPr>
          <w:rFonts w:hint="eastAsia" w:ascii="宋体" w:hAnsi="宋体"/>
          <w:szCs w:val="21"/>
        </w:rPr>
        <w:t>文件里，需分开保存并做好命名。</w:t>
      </w:r>
    </w:p>
    <w:p>
      <w:pPr>
        <w:spacing w:line="360" w:lineRule="auto"/>
        <w:ind w:firstLine="105" w:firstLineChars="50"/>
        <w:rPr>
          <w:rFonts w:hint="eastAsia" w:ascii="宋体" w:hAnsi="宋体"/>
          <w:szCs w:val="21"/>
        </w:rPr>
      </w:pPr>
      <w:r>
        <w:rPr>
          <w:rFonts w:hint="eastAsia" w:ascii="宋体" w:hAnsi="宋体"/>
          <w:szCs w:val="21"/>
        </w:rPr>
        <w:t xml:space="preserve"> （6）上述未尽的竣工图绘制要求，设计人应根据发包人实际需要进行调整。</w:t>
      </w:r>
    </w:p>
    <w:p>
      <w:pPr>
        <w:spacing w:line="360" w:lineRule="auto"/>
        <w:ind w:firstLine="141" w:firstLineChars="50"/>
        <w:rPr>
          <w:rFonts w:hint="eastAsia" w:ascii="宋体" w:hAnsi="宋体"/>
          <w:b/>
          <w:sz w:val="28"/>
          <w:szCs w:val="28"/>
        </w:rPr>
      </w:pPr>
    </w:p>
    <w:p>
      <w:pPr>
        <w:spacing w:line="360" w:lineRule="auto"/>
        <w:ind w:firstLine="481" w:firstLineChars="171"/>
        <w:jc w:val="center"/>
        <w:rPr>
          <w:rFonts w:hint="eastAsia" w:ascii="宋体" w:hAnsi="宋体"/>
          <w:b/>
          <w:sz w:val="28"/>
          <w:szCs w:val="28"/>
        </w:rPr>
      </w:pPr>
      <w:r>
        <w:rPr>
          <w:rFonts w:hint="eastAsia" w:ascii="宋体" w:hAnsi="宋体"/>
          <w:b/>
          <w:sz w:val="28"/>
          <w:szCs w:val="28"/>
        </w:rPr>
        <w:t>四、建筑材料和设备的选用</w:t>
      </w:r>
    </w:p>
    <w:p>
      <w:pPr>
        <w:spacing w:line="360" w:lineRule="auto"/>
        <w:ind w:firstLine="359" w:firstLineChars="171"/>
        <w:rPr>
          <w:rFonts w:hint="eastAsia" w:ascii="宋体" w:hAnsi="宋体"/>
          <w:szCs w:val="21"/>
        </w:rPr>
      </w:pPr>
      <w:r>
        <w:rPr>
          <w:rFonts w:hint="eastAsia" w:ascii="宋体" w:hAnsi="宋体"/>
          <w:szCs w:val="21"/>
        </w:rPr>
        <w:t>4.1.</w:t>
      </w:r>
      <w:r>
        <w:rPr>
          <w:rFonts w:hint="eastAsia" w:ascii="宋体" w:hAnsi="宋体"/>
          <w:b/>
          <w:szCs w:val="21"/>
        </w:rPr>
        <w:t xml:space="preserve"> </w:t>
      </w:r>
      <w:r>
        <w:rPr>
          <w:rFonts w:hint="eastAsia" w:ascii="宋体" w:hAnsi="宋体"/>
          <w:szCs w:val="21"/>
        </w:rPr>
        <w:t>设计所选用的污水管道材料及设备（包括各专业选用的材料、设备），在进行性能价格比的分析后，原则上优先选用国内的产品。但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等方面的资料）。</w:t>
      </w:r>
    </w:p>
    <w:p>
      <w:pPr>
        <w:spacing w:line="360" w:lineRule="auto"/>
        <w:ind w:firstLine="359" w:firstLineChars="171"/>
        <w:rPr>
          <w:rFonts w:hint="eastAsia" w:ascii="宋体" w:hAnsi="宋体"/>
          <w:szCs w:val="21"/>
        </w:rPr>
      </w:pPr>
      <w:r>
        <w:rPr>
          <w:rFonts w:hint="eastAsia" w:ascii="宋体" w:hAnsi="宋体"/>
          <w:szCs w:val="21"/>
        </w:rPr>
        <w:t>4.2. 对于由发包人推荐的候选建筑材料和设备，设计人须帮助发包人鉴别其优劣并提供相关咨询意见，发包人不需为此额外支付任何费用。</w:t>
      </w:r>
    </w:p>
    <w:p>
      <w:pPr>
        <w:spacing w:line="360" w:lineRule="auto"/>
        <w:ind w:firstLine="359" w:firstLineChars="171"/>
        <w:rPr>
          <w:rFonts w:hint="eastAsia" w:ascii="宋体" w:hAnsi="宋体"/>
          <w:sz w:val="24"/>
        </w:rPr>
      </w:pPr>
      <w:r>
        <w:rPr>
          <w:rFonts w:hint="eastAsia" w:ascii="宋体" w:hAnsi="宋体"/>
          <w:szCs w:val="21"/>
        </w:rPr>
        <w:t>4.3.</w:t>
      </w:r>
      <w:r>
        <w:rPr>
          <w:rFonts w:hint="eastAsia" w:ascii="宋体" w:hAnsi="宋体"/>
          <w:b/>
          <w:szCs w:val="21"/>
        </w:rPr>
        <w:t xml:space="preserve"> </w:t>
      </w:r>
      <w:r>
        <w:rPr>
          <w:rFonts w:hint="eastAsia" w:ascii="宋体" w:hAnsi="宋体"/>
          <w:szCs w:val="21"/>
        </w:rPr>
        <w:t>从国外进口的建筑材料、设备等，设计人原则上须向发包人推荐三家以上可供货的国外厂商名称、产品质量标准、价格资料等，并提出评估意见（必要时还须提供推荐的供应厂商以往业绩）。推荐材料不能含有任何倾向性和排他性，设计人不得推荐或选用具有唯一知识产权特征的独家产品，如确有必要，设计人应提前取得发包人或设计咨询方的认可</w:t>
      </w:r>
      <w:r>
        <w:rPr>
          <w:rFonts w:hint="eastAsia" w:ascii="宋体" w:hAnsi="宋体"/>
          <w:sz w:val="24"/>
        </w:rPr>
        <w:t>。</w:t>
      </w:r>
    </w:p>
    <w:p>
      <w:pPr>
        <w:spacing w:line="360" w:lineRule="auto"/>
        <w:ind w:firstLine="410" w:firstLineChars="171"/>
        <w:rPr>
          <w:rFonts w:hint="eastAsia" w:ascii="宋体" w:hAnsi="宋体"/>
          <w:sz w:val="24"/>
        </w:rPr>
      </w:pPr>
    </w:p>
    <w:p>
      <w:pPr>
        <w:spacing w:line="360" w:lineRule="auto"/>
        <w:ind w:firstLine="2642" w:firstLineChars="940"/>
        <w:rPr>
          <w:rFonts w:hint="eastAsia" w:ascii="宋体" w:hAnsi="宋体"/>
          <w:b/>
          <w:sz w:val="28"/>
          <w:szCs w:val="28"/>
        </w:rPr>
      </w:pPr>
      <w:r>
        <w:rPr>
          <w:rFonts w:hint="eastAsia" w:ascii="宋体" w:hAnsi="宋体"/>
          <w:b/>
          <w:sz w:val="28"/>
          <w:szCs w:val="28"/>
        </w:rPr>
        <w:t>五、进度控制的要求和办法</w:t>
      </w:r>
    </w:p>
    <w:p>
      <w:pPr>
        <w:spacing w:line="360" w:lineRule="auto"/>
        <w:ind w:firstLine="359" w:firstLineChars="171"/>
        <w:rPr>
          <w:rFonts w:ascii="宋体" w:hAnsi="宋体"/>
          <w:szCs w:val="21"/>
        </w:rPr>
      </w:pPr>
      <w:r>
        <w:rPr>
          <w:rFonts w:hint="eastAsia" w:ascii="宋体" w:hAnsi="宋体"/>
          <w:szCs w:val="21"/>
        </w:rPr>
        <w:t>5.1. 设计人根据合同约定及工期总体策划的要求编制各阶段设计进度计划和各专业的出图计划，各阶段中间检查内容、时间、次数和提交的设计文件、图纸，经设计咨询单位审核和发包人审查、平衡后执行。设计人根据设计进展编制短期设计计划，以使设计进度在受控状态下进行，同时便于发包人及时与设计人协调。</w:t>
      </w:r>
    </w:p>
    <w:p>
      <w:pPr>
        <w:spacing w:line="360" w:lineRule="auto"/>
        <w:ind w:firstLine="359" w:firstLineChars="171"/>
        <w:rPr>
          <w:rFonts w:hint="eastAsia" w:ascii="宋体" w:hAnsi="宋体"/>
          <w:b/>
          <w:szCs w:val="21"/>
        </w:rPr>
      </w:pPr>
      <w:r>
        <w:rPr>
          <w:rFonts w:hint="eastAsia" w:ascii="宋体" w:hAnsi="宋体"/>
          <w:szCs w:val="21"/>
        </w:rPr>
        <w:t>5.2. 设计人严格按照进度计划开展和组织设计工作，接受发包人根据合同和进度计划进行的各种设计跟踪、工作检查和协调要求。</w:t>
      </w:r>
    </w:p>
    <w:p>
      <w:pPr>
        <w:spacing w:line="360" w:lineRule="auto"/>
        <w:ind w:firstLine="359" w:firstLineChars="171"/>
        <w:rPr>
          <w:rFonts w:hint="eastAsia" w:ascii="宋体" w:hAnsi="宋体"/>
          <w:szCs w:val="21"/>
        </w:rPr>
      </w:pPr>
      <w:r>
        <w:rPr>
          <w:rFonts w:hint="eastAsia" w:ascii="宋体" w:hAnsi="宋体"/>
          <w:szCs w:val="21"/>
        </w:rPr>
        <w:t>5.3.</w:t>
      </w:r>
      <w:r>
        <w:rPr>
          <w:rFonts w:hint="eastAsia" w:ascii="宋体" w:hAnsi="宋体"/>
          <w:b/>
          <w:szCs w:val="21"/>
        </w:rPr>
        <w:t xml:space="preserve"> </w:t>
      </w:r>
      <w:r>
        <w:rPr>
          <w:rFonts w:hint="eastAsia" w:ascii="宋体" w:hAnsi="宋体"/>
          <w:szCs w:val="21"/>
        </w:rPr>
        <w:t>发包人按进度计划检查设计完成情况，检查内容包括设计进展、设计质量、限额设计落实情况、设计成果提交情况等，发现问题，有权督促设计人采取组织、经济及技术措施予以纠正。</w:t>
      </w:r>
    </w:p>
    <w:p>
      <w:pPr>
        <w:spacing w:line="360" w:lineRule="auto"/>
        <w:ind w:firstLine="359" w:firstLineChars="171"/>
        <w:rPr>
          <w:rFonts w:hint="eastAsia" w:ascii="宋体" w:hAnsi="宋体"/>
          <w:sz w:val="24"/>
        </w:rPr>
      </w:pPr>
      <w:r>
        <w:rPr>
          <w:rFonts w:hint="eastAsia" w:ascii="宋体" w:hAnsi="宋体"/>
          <w:szCs w:val="21"/>
        </w:rPr>
        <w:t>5.4. 设计人根据设计开展情况编制月工作汇报和下月进度计划，提供有关设计信息，协调发包人掌握设计工作的整体进展情况。设计人每周按要求向发包人报告进展情况。发包人有权要求修改、调整进度计划并要求设计人执行。</w:t>
      </w:r>
    </w:p>
    <w:p>
      <w:pPr>
        <w:spacing w:line="360" w:lineRule="auto"/>
        <w:ind w:firstLine="410" w:firstLineChars="171"/>
        <w:rPr>
          <w:rFonts w:hint="eastAsia" w:ascii="宋体" w:hAnsi="宋体"/>
          <w:sz w:val="24"/>
        </w:rPr>
      </w:pPr>
    </w:p>
    <w:p>
      <w:pPr>
        <w:spacing w:line="360" w:lineRule="auto"/>
        <w:jc w:val="center"/>
        <w:rPr>
          <w:rFonts w:hint="eastAsia" w:ascii="宋体" w:hAnsi="宋体"/>
          <w:b/>
          <w:sz w:val="28"/>
          <w:szCs w:val="28"/>
        </w:rPr>
      </w:pPr>
      <w:r>
        <w:rPr>
          <w:rFonts w:hint="eastAsia" w:ascii="宋体" w:hAnsi="宋体"/>
          <w:b/>
          <w:sz w:val="28"/>
          <w:szCs w:val="28"/>
        </w:rPr>
        <w:t>六、设计的配合服务要求</w:t>
      </w:r>
    </w:p>
    <w:p>
      <w:pPr>
        <w:spacing w:line="360" w:lineRule="auto"/>
        <w:ind w:firstLine="315" w:firstLineChars="150"/>
        <w:rPr>
          <w:rFonts w:hint="eastAsia" w:ascii="宋体" w:hAnsi="宋体"/>
          <w:szCs w:val="21"/>
        </w:rPr>
      </w:pPr>
      <w:r>
        <w:rPr>
          <w:rFonts w:hint="eastAsia" w:ascii="宋体" w:hAnsi="宋体"/>
          <w:szCs w:val="21"/>
        </w:rPr>
        <w:t>6.1．设计人应按要求，参加设计交底会，对设计文件进行技术交底，包括土建技术交底和机电技术交底，确保监理单位、施工单位能理解设计意图。</w:t>
      </w:r>
    </w:p>
    <w:p>
      <w:pPr>
        <w:spacing w:line="360" w:lineRule="auto"/>
        <w:ind w:firstLine="315" w:firstLineChars="150"/>
        <w:rPr>
          <w:rFonts w:hint="eastAsia" w:ascii="宋体" w:hAnsi="宋体"/>
          <w:szCs w:val="21"/>
        </w:rPr>
      </w:pPr>
      <w:r>
        <w:rPr>
          <w:rFonts w:hint="eastAsia" w:ascii="宋体" w:hAnsi="宋体"/>
          <w:szCs w:val="21"/>
        </w:rPr>
        <w:t>6.2. 设计人应派设计人员定期检查工程的施工情况，确保工程施工与设计文件的要求一致，设计人员应及时向施工单位澄清设计文件或解决在施工过程中出现的相关技术问题。</w:t>
      </w:r>
    </w:p>
    <w:p>
      <w:pPr>
        <w:spacing w:line="360" w:lineRule="auto"/>
        <w:ind w:firstLine="315" w:firstLineChars="150"/>
        <w:rPr>
          <w:rFonts w:hint="eastAsia" w:ascii="宋体" w:hAnsi="宋体"/>
          <w:szCs w:val="21"/>
        </w:rPr>
      </w:pPr>
      <w:r>
        <w:rPr>
          <w:rFonts w:hint="eastAsia" w:ascii="宋体" w:hAnsi="宋体"/>
          <w:szCs w:val="21"/>
        </w:rPr>
        <w:t>6.3．设计人应派设计人员参加发包人或监理人组织的工程例会和有关工程会议，及时解决有关设计问题。</w:t>
      </w:r>
    </w:p>
    <w:p>
      <w:pPr>
        <w:spacing w:line="360" w:lineRule="auto"/>
        <w:ind w:firstLine="315" w:firstLineChars="150"/>
        <w:rPr>
          <w:rFonts w:hint="eastAsia" w:ascii="宋体" w:hAnsi="宋体"/>
          <w:szCs w:val="21"/>
        </w:rPr>
      </w:pPr>
      <w:r>
        <w:rPr>
          <w:rFonts w:hint="eastAsia" w:ascii="宋体" w:hAnsi="宋体"/>
          <w:szCs w:val="21"/>
        </w:rPr>
        <w:t>6.4. 设计人应派设计人员参加隐蔽工程、主要分部分项工程验收及竣工验收。</w:t>
      </w:r>
    </w:p>
    <w:p>
      <w:pPr>
        <w:spacing w:line="360" w:lineRule="auto"/>
        <w:ind w:firstLine="315" w:firstLineChars="150"/>
        <w:rPr>
          <w:rFonts w:hint="eastAsia" w:ascii="宋体" w:hAnsi="宋体"/>
          <w:szCs w:val="21"/>
        </w:rPr>
      </w:pPr>
      <w:r>
        <w:rPr>
          <w:rFonts w:hint="eastAsia" w:ascii="宋体" w:hAnsi="宋体"/>
          <w:szCs w:val="21"/>
        </w:rPr>
        <w:t>6.5．严禁设计人未经发包人许可，将相关设计文件直接发往施工单位。</w:t>
      </w:r>
    </w:p>
    <w:p>
      <w:pPr>
        <w:spacing w:line="360" w:lineRule="auto"/>
        <w:ind w:firstLine="315" w:firstLineChars="150"/>
        <w:rPr>
          <w:rFonts w:hint="eastAsia" w:ascii="宋体" w:hAnsi="宋体"/>
          <w:szCs w:val="21"/>
        </w:rPr>
      </w:pPr>
      <w:r>
        <w:rPr>
          <w:rFonts w:hint="eastAsia" w:ascii="宋体" w:hAnsi="宋体"/>
          <w:szCs w:val="21"/>
        </w:rPr>
        <w:t>6.6. 设计人应在番禺本地设立项目部，且项目负责人及有关设计人员须长驻本项目部，负责处理设计、施工及报建等工作中的相关问题。</w:t>
      </w:r>
    </w:p>
    <w:p>
      <w:pPr>
        <w:spacing w:line="360" w:lineRule="auto"/>
        <w:ind w:firstLine="315" w:firstLineChars="150"/>
        <w:rPr>
          <w:rFonts w:hint="eastAsia" w:ascii="宋体" w:hAnsi="宋体"/>
          <w:szCs w:val="21"/>
        </w:rPr>
      </w:pPr>
      <w:r>
        <w:rPr>
          <w:rFonts w:hint="eastAsia" w:ascii="宋体" w:hAnsi="宋体"/>
          <w:szCs w:val="21"/>
        </w:rPr>
        <w:t>6.7. 除发包人已批准的设计文件组成清单内容外，发包人有权要求设计人补充完成增加工程实际所需要的相关的设计图纸。</w:t>
      </w:r>
    </w:p>
    <w:p>
      <w:pPr>
        <w:spacing w:line="360" w:lineRule="auto"/>
        <w:ind w:firstLine="308" w:firstLineChars="147"/>
        <w:rPr>
          <w:rFonts w:hint="eastAsia" w:ascii="宋体" w:hAnsi="宋体"/>
          <w:szCs w:val="21"/>
        </w:rPr>
      </w:pPr>
      <w:r>
        <w:rPr>
          <w:rFonts w:hint="eastAsia" w:ascii="宋体" w:hAnsi="宋体"/>
          <w:szCs w:val="21"/>
        </w:rPr>
        <w:t>6.8. 设计要考虑工程实施的需要，在计划、工期上要根据工程总体策划考虑工程招投标、设备采购、施工组织所需要的时间，提前交付设计文件。</w:t>
      </w:r>
    </w:p>
    <w:p>
      <w:pPr>
        <w:spacing w:line="360" w:lineRule="auto"/>
        <w:ind w:firstLine="315" w:firstLineChars="150"/>
        <w:rPr>
          <w:rFonts w:hint="eastAsia" w:ascii="宋体" w:hAnsi="宋体"/>
          <w:szCs w:val="21"/>
        </w:rPr>
      </w:pPr>
      <w:r>
        <w:rPr>
          <w:rFonts w:hint="eastAsia" w:ascii="宋体" w:hAnsi="宋体"/>
          <w:szCs w:val="21"/>
        </w:rPr>
        <w:t>6.9. 对于深基坑和负责编制大型临时工程的图纸，如大规模的导水、改水、围堰方案、交通疏导、改道方案、建构筑物的特殊支护、大型的施工便道、便桥等，设计人需按照上级行政部门的要求完成审查程序,并提供满足施工要求的设计图给发包人。</w:t>
      </w:r>
    </w:p>
    <w:p>
      <w:pPr>
        <w:spacing w:line="360" w:lineRule="auto"/>
        <w:ind w:firstLine="315" w:firstLineChars="150"/>
        <w:rPr>
          <w:rFonts w:hint="eastAsia" w:ascii="宋体" w:hAnsi="宋体"/>
          <w:szCs w:val="21"/>
        </w:rPr>
      </w:pPr>
      <w:r>
        <w:rPr>
          <w:rFonts w:hint="eastAsia" w:ascii="宋体" w:hAnsi="宋体"/>
          <w:szCs w:val="21"/>
        </w:rPr>
        <w:t>6.10. 设计人需配合招标工作，按发包人的要求提供满足招标使用的图纸、技术文件和工程量清单，并且项目预算应报送开发区财政部门进行评审，评审结果作为招标的参考依据。</w:t>
      </w:r>
    </w:p>
    <w:p>
      <w:pPr>
        <w:spacing w:line="360" w:lineRule="auto"/>
        <w:ind w:firstLine="315" w:firstLineChars="150"/>
        <w:rPr>
          <w:rFonts w:hint="eastAsia" w:ascii="宋体" w:hAnsi="宋体"/>
          <w:szCs w:val="21"/>
        </w:rPr>
      </w:pPr>
      <w:r>
        <w:rPr>
          <w:rFonts w:hint="eastAsia" w:ascii="宋体" w:hAnsi="宋体"/>
          <w:szCs w:val="21"/>
        </w:rPr>
        <w:t>6.11. 发包人因特殊专业委托他人设计，设计人须积极配合。</w:t>
      </w:r>
    </w:p>
    <w:p>
      <w:pPr>
        <w:spacing w:line="360" w:lineRule="auto"/>
        <w:ind w:firstLine="315" w:firstLineChars="150"/>
        <w:rPr>
          <w:rFonts w:hint="eastAsia" w:ascii="宋体" w:hAnsi="宋体"/>
          <w:szCs w:val="21"/>
        </w:rPr>
      </w:pPr>
      <w:r>
        <w:rPr>
          <w:rFonts w:hint="eastAsia" w:ascii="宋体" w:hAnsi="宋体"/>
          <w:szCs w:val="21"/>
        </w:rPr>
        <w:t>6.12. 设计人应对发包人提供的文件、资料进行认真研究，对本项目的特点和不确定因素进行认真考虑，并提出合理建议和评价，对影响设计稳定的重大问题要进行多方案比较选择。</w:t>
      </w:r>
    </w:p>
    <w:p>
      <w:pPr>
        <w:spacing w:line="360" w:lineRule="auto"/>
        <w:ind w:firstLine="315" w:firstLineChars="150"/>
        <w:rPr>
          <w:rFonts w:hint="eastAsia" w:ascii="宋体" w:hAnsi="宋体"/>
          <w:szCs w:val="21"/>
        </w:rPr>
      </w:pPr>
      <w:r>
        <w:rPr>
          <w:rFonts w:hint="eastAsia" w:ascii="宋体" w:hAnsi="宋体"/>
          <w:szCs w:val="21"/>
        </w:rPr>
        <w:t>6.13. 设计应尽可能减少施工难度，为施工创造方便合理的施工条件，应尽可能减少施工对城市交通、市民生活以及水利、通航、铁路的干扰，并尽可能减少对施工期的影响。</w:t>
      </w:r>
    </w:p>
    <w:p>
      <w:pPr>
        <w:spacing w:line="360" w:lineRule="auto"/>
        <w:ind w:firstLine="315" w:firstLineChars="150"/>
        <w:rPr>
          <w:rFonts w:hint="eastAsia" w:ascii="宋体" w:hAnsi="宋体"/>
          <w:szCs w:val="21"/>
        </w:rPr>
      </w:pPr>
      <w:r>
        <w:rPr>
          <w:rFonts w:hint="eastAsia" w:ascii="宋体" w:hAnsi="宋体"/>
          <w:szCs w:val="21"/>
        </w:rPr>
        <w:t>6.14. 对涉及建筑安全或对投资影响重大的有关数据，在发包人提出要求时，设计人必需提供设计输入条件，基础数据、计算原理和方法以及计算成果，方便发包人在必要时用其它计算程序进行验算，设计人有解释的义务，不得以专利和知识产权为借口拒绝配合。</w:t>
      </w:r>
    </w:p>
    <w:p>
      <w:pPr>
        <w:spacing w:line="360" w:lineRule="auto"/>
        <w:ind w:firstLine="315" w:firstLineChars="150"/>
        <w:rPr>
          <w:rFonts w:hint="eastAsia" w:ascii="宋体" w:hAnsi="宋体"/>
          <w:szCs w:val="21"/>
        </w:rPr>
      </w:pPr>
      <w:r>
        <w:rPr>
          <w:rFonts w:hint="eastAsia" w:ascii="宋体" w:hAnsi="宋体"/>
          <w:szCs w:val="21"/>
        </w:rPr>
        <w:t>6.15. 在设计及施工过程中，设计人应充分尊重和理解发包人、代表发包人的设计咨询及设计监理公司对设计提出的书面意见与要求，如无充分的否定理由应尽快予以处理和实施。对合同没有约定的部分和没有描述的部分，双方应另行协商。</w:t>
      </w:r>
    </w:p>
    <w:p>
      <w:pPr>
        <w:spacing w:line="360" w:lineRule="auto"/>
        <w:ind w:firstLine="315" w:firstLineChars="150"/>
        <w:rPr>
          <w:rFonts w:hint="eastAsia" w:ascii="宋体" w:hAnsi="宋体"/>
          <w:szCs w:val="21"/>
        </w:rPr>
      </w:pPr>
      <w:r>
        <w:rPr>
          <w:rFonts w:hint="eastAsia" w:ascii="宋体" w:hAnsi="宋体"/>
          <w:szCs w:val="21"/>
        </w:rPr>
        <w:t>6.16. 在设计各阶段，设计人应根据发包人或政府主管部门的意见，及时修改、完善设计，负责完成由于设计失误未获政府主管部门批准而出现的反复修改工作。</w:t>
      </w:r>
    </w:p>
    <w:p>
      <w:pPr>
        <w:spacing w:line="360" w:lineRule="auto"/>
        <w:ind w:firstLine="315" w:firstLineChars="150"/>
        <w:rPr>
          <w:rFonts w:hint="eastAsia" w:ascii="宋体" w:hAnsi="宋体"/>
          <w:szCs w:val="21"/>
        </w:rPr>
      </w:pPr>
      <w:r>
        <w:rPr>
          <w:rFonts w:hint="eastAsia" w:ascii="宋体" w:hAnsi="宋体"/>
          <w:szCs w:val="21"/>
        </w:rPr>
        <w:t>6.17. 设计人应积极主动进行与项目有关的内、外协调工作，积极配合与规划、市政、交通、水利、航运、铁路等部门的审查及报审。</w:t>
      </w:r>
    </w:p>
    <w:p>
      <w:pPr>
        <w:spacing w:line="360" w:lineRule="auto"/>
        <w:ind w:firstLine="315" w:firstLineChars="150"/>
        <w:rPr>
          <w:rFonts w:hint="eastAsia" w:ascii="宋体" w:hAnsi="宋体"/>
          <w:szCs w:val="21"/>
        </w:rPr>
      </w:pPr>
      <w:r>
        <w:rPr>
          <w:rFonts w:hint="eastAsia" w:ascii="宋体" w:hAnsi="宋体"/>
          <w:szCs w:val="21"/>
        </w:rPr>
        <w:t>6.18. 设计人承诺在交付项目的部分或全部设计文件后，如有更好的新工艺、新技术、新材料、新设备等适用于本项目，将及时向发包人推荐并提供科学的评估和来源证明。</w:t>
      </w:r>
    </w:p>
    <w:p>
      <w:pPr>
        <w:spacing w:line="360" w:lineRule="auto"/>
        <w:ind w:firstLine="315" w:firstLineChars="150"/>
        <w:rPr>
          <w:rFonts w:hint="eastAsia" w:ascii="宋体" w:hAnsi="宋体"/>
          <w:szCs w:val="21"/>
        </w:rPr>
      </w:pPr>
      <w:r>
        <w:rPr>
          <w:rFonts w:hint="eastAsia" w:ascii="宋体" w:hAnsi="宋体"/>
          <w:szCs w:val="21"/>
        </w:rPr>
        <w:t>6.19. 设计人根据合同的约定对本项目的设计进度、实际质量、施工服务等工作的完整性、连贯性和可靠性负责。</w:t>
      </w:r>
    </w:p>
    <w:p>
      <w:pPr>
        <w:spacing w:line="360" w:lineRule="auto"/>
        <w:ind w:firstLine="315" w:firstLineChars="150"/>
        <w:rPr>
          <w:rFonts w:hint="eastAsia" w:ascii="宋体" w:hAnsi="宋体"/>
          <w:szCs w:val="21"/>
        </w:rPr>
      </w:pPr>
      <w:r>
        <w:rPr>
          <w:rFonts w:hint="eastAsia" w:ascii="宋体" w:hAnsi="宋体"/>
          <w:szCs w:val="21"/>
        </w:rPr>
        <w:t>6.20. 如果发包人委托设计人编制清单预算，则设计人在初步设计图纸阶段提供的工程量清单和工程预算必须满足发包人用作于“投标限价”的要求，发包人将设计人提供的工程预算上报广州番禺区财政局审核，审核结果作为工程预算的“投标限价”。</w:t>
      </w:r>
    </w:p>
    <w:p>
      <w:pPr>
        <w:spacing w:line="360" w:lineRule="auto"/>
        <w:ind w:firstLine="315" w:firstLineChars="150"/>
        <w:rPr>
          <w:rFonts w:hint="eastAsia" w:ascii="宋体" w:hAnsi="宋体"/>
          <w:szCs w:val="21"/>
        </w:rPr>
      </w:pPr>
      <w:r>
        <w:rPr>
          <w:rFonts w:hint="eastAsia" w:ascii="宋体" w:hAnsi="宋体"/>
          <w:szCs w:val="21"/>
        </w:rPr>
        <w:t>6.21. 参与设计的技术协调会，做好设计交底工作。</w:t>
      </w:r>
    </w:p>
    <w:p>
      <w:pPr>
        <w:spacing w:line="360" w:lineRule="auto"/>
        <w:ind w:firstLine="315" w:firstLineChars="150"/>
        <w:rPr>
          <w:rFonts w:hint="eastAsia" w:ascii="宋体" w:hAnsi="宋体"/>
          <w:szCs w:val="21"/>
        </w:rPr>
      </w:pPr>
      <w:r>
        <w:rPr>
          <w:rFonts w:hint="eastAsia" w:ascii="宋体" w:hAnsi="宋体"/>
          <w:szCs w:val="21"/>
        </w:rPr>
        <w:t>6.22. 各施工阶段开始前，按设计人员的设计分工，参与图纸会审，解答有关设计问题。</w:t>
      </w:r>
    </w:p>
    <w:p>
      <w:pPr>
        <w:spacing w:line="360" w:lineRule="auto"/>
        <w:ind w:firstLine="315" w:firstLineChars="150"/>
        <w:rPr>
          <w:rFonts w:hint="eastAsia" w:ascii="宋体" w:hAnsi="宋体"/>
          <w:szCs w:val="21"/>
        </w:rPr>
      </w:pPr>
      <w:r>
        <w:rPr>
          <w:rFonts w:hint="eastAsia" w:ascii="宋体" w:hAnsi="宋体"/>
          <w:szCs w:val="21"/>
        </w:rPr>
        <w:t>6.23. 现场服务：指派设计人员常驻施工现场，按设计人分工责任分别组织进行，配合发包人进行现场巡查，直至工程竣工验收合格止。当建设过程中对设计文件有疑问，设计人在接到通知后，应及时派出专业工程师解决。属于一般设计问题，若无特殊情况，应在1天内解决。属于重大设计问题，可在5天内书面提出解决意见。对设计图纸与现场不符之处，应及时提出解决办法。</w:t>
      </w:r>
    </w:p>
    <w:p>
      <w:pPr>
        <w:spacing w:line="360" w:lineRule="auto"/>
        <w:ind w:firstLine="315" w:firstLineChars="150"/>
        <w:rPr>
          <w:rFonts w:hint="eastAsia" w:ascii="宋体" w:hAnsi="宋体"/>
          <w:szCs w:val="21"/>
        </w:rPr>
      </w:pPr>
      <w:r>
        <w:rPr>
          <w:rFonts w:hint="eastAsia" w:ascii="宋体" w:hAnsi="宋体"/>
          <w:szCs w:val="21"/>
        </w:rPr>
        <w:t>6.24. 配合发包人进行施工招标和设备、材料采购招标工作，其招标文件技术部分由设计人负责编写，并配合发包人进行合同技术条款的谈判工作。</w:t>
      </w:r>
    </w:p>
    <w:p>
      <w:pPr>
        <w:spacing w:line="360" w:lineRule="auto"/>
        <w:ind w:firstLine="315" w:firstLineChars="150"/>
        <w:rPr>
          <w:rFonts w:hint="eastAsia" w:ascii="宋体" w:hAnsi="宋体"/>
          <w:szCs w:val="21"/>
        </w:rPr>
      </w:pPr>
      <w:r>
        <w:rPr>
          <w:rFonts w:hint="eastAsia" w:ascii="宋体" w:hAnsi="宋体"/>
          <w:szCs w:val="21"/>
        </w:rPr>
        <w:t>6.25. 提供设备、材料订货清单，同时原则上须向发包人公正推荐三家以上供应商及提供相关资料，所提供的供应商和相关资料不能有倾向性和排它性。</w:t>
      </w:r>
    </w:p>
    <w:p>
      <w:pPr>
        <w:spacing w:line="360" w:lineRule="auto"/>
        <w:ind w:firstLine="315" w:firstLineChars="150"/>
        <w:rPr>
          <w:rFonts w:hint="eastAsia" w:ascii="宋体" w:hAnsi="宋体"/>
          <w:szCs w:val="21"/>
        </w:rPr>
      </w:pPr>
      <w:r>
        <w:rPr>
          <w:rFonts w:hint="eastAsia" w:ascii="宋体" w:hAnsi="宋体"/>
          <w:szCs w:val="21"/>
        </w:rPr>
        <w:t>6.26. 对设备、材料订货有关性能、参数、规格的技术确认，以及协助参与对已定设备、材料的验收工作。</w:t>
      </w:r>
    </w:p>
    <w:p>
      <w:pPr>
        <w:spacing w:line="360" w:lineRule="auto"/>
        <w:ind w:firstLine="315" w:firstLineChars="150"/>
        <w:rPr>
          <w:rFonts w:hint="eastAsia" w:ascii="宋体" w:hAnsi="宋体"/>
          <w:szCs w:val="21"/>
        </w:rPr>
      </w:pPr>
      <w:r>
        <w:rPr>
          <w:rFonts w:hint="eastAsia" w:ascii="宋体" w:hAnsi="宋体"/>
          <w:szCs w:val="21"/>
        </w:rPr>
        <w:t>6.27. 协助指定设备系统的调试计划和参与设备试车调试。</w:t>
      </w:r>
    </w:p>
    <w:p>
      <w:pPr>
        <w:spacing w:line="360" w:lineRule="auto"/>
        <w:ind w:firstLine="315" w:firstLineChars="150"/>
        <w:rPr>
          <w:rFonts w:hint="eastAsia" w:ascii="宋体" w:hAnsi="宋体"/>
          <w:szCs w:val="21"/>
        </w:rPr>
      </w:pPr>
      <w:r>
        <w:rPr>
          <w:rFonts w:hint="eastAsia" w:ascii="宋体" w:hAnsi="宋体"/>
          <w:szCs w:val="21"/>
        </w:rPr>
        <w:t>6.28. 参与工程竣工验收，参与编写工程总结。</w:t>
      </w:r>
    </w:p>
    <w:p>
      <w:pPr>
        <w:spacing w:line="360" w:lineRule="auto"/>
        <w:ind w:firstLine="315" w:firstLineChars="150"/>
        <w:rPr>
          <w:rFonts w:hint="eastAsia" w:ascii="宋体" w:hAnsi="宋体"/>
          <w:szCs w:val="21"/>
        </w:rPr>
      </w:pPr>
      <w:r>
        <w:rPr>
          <w:rFonts w:hint="eastAsia" w:ascii="宋体" w:hAnsi="宋体"/>
          <w:szCs w:val="21"/>
        </w:rPr>
        <w:t>6.29. 项目负责人应参加发包人召开的协调会、调度会。</w:t>
      </w:r>
    </w:p>
    <w:p>
      <w:pPr>
        <w:spacing w:line="360" w:lineRule="auto"/>
        <w:ind w:firstLine="308" w:firstLineChars="147"/>
        <w:rPr>
          <w:rFonts w:hint="eastAsia" w:ascii="宋体" w:hAnsi="宋体"/>
          <w:szCs w:val="21"/>
        </w:rPr>
      </w:pPr>
      <w:r>
        <w:rPr>
          <w:rFonts w:hint="eastAsia" w:ascii="宋体" w:hAnsi="宋体"/>
          <w:szCs w:val="21"/>
        </w:rPr>
        <w:t>6.30.</w:t>
      </w:r>
      <w:r>
        <w:rPr>
          <w:rFonts w:hint="eastAsia" w:ascii="宋体" w:hAnsi="宋体"/>
          <w:b/>
          <w:szCs w:val="21"/>
        </w:rPr>
        <w:t xml:space="preserve"> </w:t>
      </w:r>
      <w:r>
        <w:rPr>
          <w:rFonts w:hint="eastAsia" w:ascii="宋体" w:hAnsi="宋体"/>
          <w:szCs w:val="21"/>
        </w:rPr>
        <w:t>根据工程进展情况和需要，对一些特殊工程，设计人应向发包人提供施工组织设计的书面建议，编写工程施工技术标准（施工作业指导书），对设计各部分所应满足的规范、标准进行总说明，对各条文进行摘录汇编。若对超规范（标准）之处，应初拟技术标准，以供专家论证后执行。</w:t>
      </w:r>
    </w:p>
    <w:p>
      <w:pPr>
        <w:spacing w:line="360" w:lineRule="auto"/>
        <w:ind w:firstLine="315" w:firstLineChars="150"/>
        <w:rPr>
          <w:rFonts w:hint="eastAsia" w:ascii="宋体" w:hAnsi="宋体"/>
          <w:sz w:val="24"/>
        </w:rPr>
      </w:pPr>
      <w:r>
        <w:rPr>
          <w:rFonts w:hint="eastAsia" w:ascii="宋体" w:hAnsi="宋体"/>
          <w:szCs w:val="21"/>
        </w:rPr>
        <w:t>6.31. 本合同价已包含施工阶段设计变更、修改、补充的设计费用以及进行设计报建、配合发包人工程招标及施工等工作的费用</w:t>
      </w:r>
      <w:r>
        <w:rPr>
          <w:rFonts w:hint="eastAsia" w:ascii="宋体" w:hAnsi="宋体"/>
          <w:sz w:val="24"/>
        </w:rPr>
        <w:t>。</w:t>
      </w:r>
    </w:p>
    <w:p>
      <w:pPr>
        <w:spacing w:line="360" w:lineRule="auto"/>
        <w:rPr>
          <w:rFonts w:hint="eastAsia" w:ascii="宋体" w:hAnsi="宋体"/>
          <w:sz w:val="24"/>
        </w:rPr>
      </w:pPr>
    </w:p>
    <w:p>
      <w:pPr>
        <w:spacing w:line="360" w:lineRule="auto"/>
        <w:jc w:val="center"/>
        <w:rPr>
          <w:rFonts w:hint="eastAsia" w:ascii="宋体" w:hAnsi="宋体"/>
          <w:b/>
          <w:sz w:val="28"/>
          <w:szCs w:val="28"/>
        </w:rPr>
      </w:pPr>
    </w:p>
    <w:p>
      <w:pPr>
        <w:spacing w:line="360" w:lineRule="auto"/>
        <w:jc w:val="center"/>
        <w:rPr>
          <w:rFonts w:hint="eastAsia" w:ascii="宋体" w:hAnsi="宋体"/>
          <w:b/>
          <w:sz w:val="24"/>
        </w:rPr>
      </w:pPr>
      <w:r>
        <w:rPr>
          <w:rFonts w:ascii="宋体" w:hAnsi="宋体"/>
          <w:b/>
          <w:sz w:val="28"/>
          <w:szCs w:val="28"/>
        </w:rPr>
        <w:br w:type="page"/>
      </w:r>
      <w:r>
        <w:rPr>
          <w:rFonts w:hint="eastAsia" w:ascii="宋体" w:hAnsi="宋体"/>
          <w:b/>
          <w:sz w:val="28"/>
          <w:szCs w:val="28"/>
        </w:rPr>
        <w:t>七、设计变更</w:t>
      </w:r>
    </w:p>
    <w:p>
      <w:pPr>
        <w:spacing w:line="360" w:lineRule="auto"/>
        <w:ind w:firstLine="315" w:firstLineChars="150"/>
        <w:rPr>
          <w:rFonts w:hint="eastAsia" w:ascii="宋体" w:hAnsi="宋体"/>
          <w:szCs w:val="21"/>
        </w:rPr>
      </w:pPr>
      <w:r>
        <w:rPr>
          <w:rFonts w:hint="eastAsia" w:ascii="宋体" w:hAnsi="宋体"/>
          <w:szCs w:val="21"/>
        </w:rPr>
        <w:t>7.1．由于设计人的原因造成的设计变更而产生的投资失控，设计人应承担相应的责任，并按合同条款第十条10.3点追究设计人的违约责任。</w:t>
      </w:r>
    </w:p>
    <w:p>
      <w:pPr>
        <w:spacing w:line="360" w:lineRule="auto"/>
        <w:ind w:firstLine="315" w:firstLineChars="150"/>
        <w:rPr>
          <w:rFonts w:hint="eastAsia" w:ascii="宋体" w:hAnsi="宋体"/>
          <w:szCs w:val="21"/>
        </w:rPr>
      </w:pPr>
      <w:r>
        <w:rPr>
          <w:rFonts w:hint="eastAsia" w:ascii="宋体" w:hAnsi="宋体"/>
          <w:szCs w:val="21"/>
        </w:rPr>
        <w:t>7.2．设计人应按发包人要求，在施工过程和竣工验收后，对由于设计问题而进行相关图纸修改、或符合设计要求的施工变更进行签字确认并加盖公章。</w:t>
      </w:r>
    </w:p>
    <w:p>
      <w:pPr>
        <w:spacing w:line="360" w:lineRule="auto"/>
        <w:ind w:firstLine="315" w:firstLineChars="150"/>
        <w:rPr>
          <w:rFonts w:hint="eastAsia" w:ascii="宋体" w:hAnsi="宋体"/>
          <w:szCs w:val="21"/>
        </w:rPr>
      </w:pPr>
      <w:r>
        <w:rPr>
          <w:rFonts w:hint="eastAsia" w:ascii="宋体" w:hAnsi="宋体"/>
          <w:szCs w:val="21"/>
        </w:rPr>
        <w:t>7.3．初步图纸设计阶段，设计图纸必须满足使用功能及质量的要求，设计深度要要达到财政评审部门要求的概算编制及评审要求。若发生设计变更时，应提交设计变更图纸并同时提交设计变更预算，份数按发包人所需提供。</w:t>
      </w:r>
    </w:p>
    <w:p>
      <w:pPr>
        <w:spacing w:line="360" w:lineRule="auto"/>
        <w:ind w:firstLine="315" w:firstLineChars="150"/>
        <w:rPr>
          <w:rFonts w:hint="eastAsia" w:ascii="宋体" w:hAnsi="宋体"/>
          <w:szCs w:val="21"/>
        </w:rPr>
      </w:pPr>
      <w:r>
        <w:rPr>
          <w:rFonts w:hint="eastAsia" w:ascii="宋体" w:hAnsi="宋体"/>
          <w:szCs w:val="21"/>
        </w:rPr>
        <w:t>7.4. 工程建设过程因各种原因所发生的设计变更，应明确设计变更原因、种类、责任认定、审批权限和费用处理原则。</w:t>
      </w:r>
    </w:p>
    <w:p>
      <w:pPr>
        <w:spacing w:line="360" w:lineRule="auto"/>
        <w:ind w:firstLine="315" w:firstLineChars="150"/>
        <w:rPr>
          <w:rFonts w:hint="eastAsia" w:ascii="宋体" w:hAnsi="宋体"/>
          <w:szCs w:val="21"/>
        </w:rPr>
      </w:pPr>
      <w:r>
        <w:rPr>
          <w:rFonts w:hint="eastAsia" w:ascii="宋体" w:hAnsi="宋体"/>
          <w:szCs w:val="21"/>
        </w:rPr>
        <w:t>7.5. 设计人应承诺能够根据工程需要修改设计，对所承担项目设计的完整性负责，且修改设计完成时限应满足工程建设需要并符合本合同要求。</w:t>
      </w:r>
    </w:p>
    <w:p>
      <w:pPr>
        <w:spacing w:line="360" w:lineRule="auto"/>
        <w:ind w:firstLine="315" w:firstLineChars="150"/>
        <w:rPr>
          <w:rFonts w:hint="eastAsia" w:ascii="宋体" w:hAnsi="宋体"/>
          <w:szCs w:val="21"/>
        </w:rPr>
      </w:pPr>
      <w:r>
        <w:rPr>
          <w:rFonts w:hint="eastAsia" w:ascii="宋体" w:hAnsi="宋体"/>
          <w:szCs w:val="21"/>
        </w:rPr>
        <w:t>7.6. 因设计人所发出设计变更内容引起歧义造成估算额被核减或核增超过合同条款第十条10.3点规定的，将按合同条款第十条10.3点追究设计人的违约责任。</w:t>
      </w:r>
    </w:p>
    <w:p>
      <w:pPr>
        <w:spacing w:line="360" w:lineRule="auto"/>
        <w:ind w:firstLine="315" w:firstLineChars="150"/>
        <w:rPr>
          <w:rFonts w:hint="eastAsia" w:ascii="宋体" w:hAnsi="宋体"/>
          <w:szCs w:val="21"/>
        </w:rPr>
      </w:pPr>
      <w:r>
        <w:rPr>
          <w:rFonts w:hint="eastAsia" w:ascii="宋体" w:hAnsi="宋体"/>
          <w:szCs w:val="21"/>
        </w:rPr>
        <w:t>7.7. 在召开设计变更审查会议后的5个日历天内，设计人必须完成设计变更图纸。未按时提交变更后的图纸或变更后的图纸质量仍不符合要求的，处以5万元/日历天罚款。逾期超过10天，发包人有权以书面通知书形式解除合同，通知到达设计人即生效，由此导致的一切损失由设计人负责。</w:t>
      </w:r>
    </w:p>
    <w:p>
      <w:pPr>
        <w:spacing w:line="360" w:lineRule="auto"/>
        <w:ind w:firstLine="315" w:firstLineChars="150"/>
        <w:rPr>
          <w:rFonts w:hint="eastAsia" w:ascii="宋体" w:hAnsi="宋体"/>
          <w:szCs w:val="21"/>
        </w:rPr>
      </w:pPr>
      <w:r>
        <w:rPr>
          <w:rFonts w:hint="eastAsia" w:ascii="宋体" w:hAnsi="宋体"/>
          <w:szCs w:val="21"/>
        </w:rPr>
        <w:t>7.8. 补充设计变更后，设计人应及时编制变更设计预算，作为调整概算的依据，工程竣工验收后，如实际发生工程费用超过概算（但不得超过经相关行政部门批准的投资估算），则设计人需按发包人要求调整概算，发包人不支付设计人组织专家评审超过原审批概算所发生的费用。</w:t>
      </w:r>
    </w:p>
    <w:p>
      <w:pPr>
        <w:spacing w:line="360" w:lineRule="auto"/>
        <w:ind w:firstLine="315" w:firstLineChars="150"/>
        <w:rPr>
          <w:rFonts w:hint="eastAsia" w:ascii="宋体" w:hAnsi="宋体"/>
          <w:kern w:val="0"/>
          <w:szCs w:val="21"/>
        </w:rPr>
      </w:pPr>
      <w:r>
        <w:rPr>
          <w:rFonts w:hint="eastAsia" w:ascii="宋体" w:hAnsi="宋体"/>
          <w:szCs w:val="21"/>
        </w:rPr>
        <w:t>7.9工程变更管理执行《广州市水务局关于印发广州市水务建设工程设计变更管理办法的通知》（穗水建管</w:t>
      </w:r>
      <w:r>
        <w:rPr>
          <w:rFonts w:hint="eastAsia" w:ascii="宋体" w:hAnsi="宋体"/>
          <w:kern w:val="0"/>
          <w:szCs w:val="21"/>
        </w:rPr>
        <w:t>〔2020〕</w:t>
      </w:r>
      <w:r>
        <w:rPr>
          <w:rFonts w:hint="eastAsia" w:ascii="宋体" w:hAnsi="宋体"/>
          <w:szCs w:val="21"/>
        </w:rPr>
        <w:t>5号）、</w:t>
      </w:r>
      <w:r>
        <w:rPr>
          <w:rFonts w:hint="eastAsia" w:ascii="宋体" w:hAnsi="宋体"/>
          <w:kern w:val="0"/>
          <w:szCs w:val="21"/>
        </w:rPr>
        <w:t>《番禺区住房和城乡建设局等六部门关于印发&lt;番禺区财政学投资建设项目工程变更管理规定&gt;的通知》（番住建发〔2019〕294号）。项目执行过程中出现新的规定，则按新规定执行。</w:t>
      </w:r>
    </w:p>
    <w:p>
      <w:pPr>
        <w:spacing w:line="360" w:lineRule="auto"/>
        <w:rPr>
          <w:rFonts w:hint="eastAsia" w:ascii="宋体" w:hAnsi="宋体"/>
          <w:sz w:val="24"/>
        </w:rPr>
      </w:pPr>
      <w:r>
        <w:rPr>
          <w:rFonts w:ascii="宋体" w:hAnsi="宋体"/>
          <w:sz w:val="24"/>
        </w:rPr>
        <w:br w:type="page"/>
      </w:r>
      <w:r>
        <w:rPr>
          <w:rFonts w:hint="eastAsia" w:ascii="宋体" w:hAnsi="宋体"/>
          <w:sz w:val="24"/>
        </w:rPr>
        <w:t>附件2：</w:t>
      </w:r>
    </w:p>
    <w:p>
      <w:pPr>
        <w:adjustRightInd w:val="0"/>
        <w:snapToGrid w:val="0"/>
        <w:spacing w:line="360" w:lineRule="auto"/>
        <w:jc w:val="center"/>
        <w:rPr>
          <w:rFonts w:hint="eastAsia" w:ascii="宋体" w:hAnsi="宋体"/>
          <w:sz w:val="24"/>
        </w:rPr>
      </w:pPr>
      <w:r>
        <w:rPr>
          <w:rFonts w:hint="eastAsia" w:ascii="宋体" w:hAnsi="宋体"/>
          <w:b/>
          <w:sz w:val="24"/>
        </w:rPr>
        <w:t>本项目设计人员分工表</w:t>
      </w:r>
    </w:p>
    <w:tbl>
      <w:tblPr>
        <w:tblStyle w:val="3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1"/>
        <w:gridCol w:w="421"/>
        <w:gridCol w:w="284"/>
        <w:gridCol w:w="812"/>
        <w:gridCol w:w="38"/>
        <w:gridCol w:w="993"/>
        <w:gridCol w:w="1480"/>
        <w:gridCol w:w="1302"/>
        <w:gridCol w:w="53"/>
        <w:gridCol w:w="1667"/>
        <w:gridCol w:w="16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137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szCs w:val="21"/>
              </w:rPr>
            </w:pPr>
            <w:r>
              <w:rPr>
                <w:rFonts w:hint="eastAsia" w:ascii="宋体" w:hAnsi="宋体"/>
                <w:szCs w:val="21"/>
              </w:rPr>
              <w:t>项目负责人</w:t>
            </w: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注册号</w:t>
            </w:r>
          </w:p>
        </w:tc>
        <w:tc>
          <w:tcPr>
            <w:tcW w:w="2835"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c>
          <w:tcPr>
            <w:tcW w:w="16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联系电话</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9607" w:type="dxa"/>
            <w:gridSpan w:val="11"/>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各   专   业   负   责   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姓  名</w:t>
            </w:r>
          </w:p>
        </w:tc>
        <w:tc>
          <w:tcPr>
            <w:tcW w:w="705"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性别</w:t>
            </w:r>
          </w:p>
        </w:tc>
        <w:tc>
          <w:tcPr>
            <w:tcW w:w="81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12"/>
              <w:jc w:val="center"/>
              <w:rPr>
                <w:rFonts w:ascii="宋体" w:hAnsi="宋体"/>
                <w:szCs w:val="21"/>
              </w:rPr>
            </w:pPr>
            <w:r>
              <w:rPr>
                <w:rFonts w:hint="eastAsia" w:ascii="宋体" w:hAnsi="宋体"/>
                <w:szCs w:val="21"/>
              </w:rPr>
              <w:t>年龄</w:t>
            </w:r>
          </w:p>
        </w:tc>
        <w:tc>
          <w:tcPr>
            <w:tcW w:w="103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宋体" w:hAnsi="宋体"/>
                <w:szCs w:val="21"/>
              </w:rPr>
            </w:pPr>
            <w:r>
              <w:rPr>
                <w:rFonts w:hint="eastAsia" w:ascii="宋体" w:hAnsi="宋体"/>
                <w:szCs w:val="21"/>
              </w:rPr>
              <w:t>负责</w:t>
            </w:r>
          </w:p>
          <w:p>
            <w:pPr>
              <w:adjustRightInd w:val="0"/>
              <w:snapToGrid w:val="0"/>
              <w:jc w:val="center"/>
              <w:rPr>
                <w:rFonts w:ascii="宋体" w:hAnsi="宋体"/>
                <w:szCs w:val="21"/>
              </w:rPr>
            </w:pPr>
            <w:r>
              <w:rPr>
                <w:rFonts w:hint="eastAsia" w:ascii="宋体" w:hAnsi="宋体"/>
                <w:szCs w:val="21"/>
              </w:rPr>
              <w:t>专业</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职  称</w:t>
            </w:r>
          </w:p>
        </w:tc>
        <w:tc>
          <w:tcPr>
            <w:tcW w:w="130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注册师类别</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注册号</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7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3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r>
              <w:rPr>
                <w:rFonts w:hint="eastAsia" w:ascii="宋体" w:hAnsi="宋体"/>
                <w:szCs w:val="21"/>
              </w:rPr>
              <w:t>/</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r>
              <w:rPr>
                <w:rFonts w:hint="eastAsia" w:ascii="宋体" w:hAnsi="宋体"/>
                <w:szCs w:val="21"/>
              </w:rPr>
              <w:t>/</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7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3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r>
              <w:rPr>
                <w:rFonts w:hint="eastAsia" w:ascii="宋体" w:hAnsi="宋体"/>
                <w:szCs w:val="21"/>
              </w:rPr>
              <w:t>/</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r>
              <w:rPr>
                <w:rFonts w:hint="eastAsia" w:ascii="宋体" w:hAnsi="宋体"/>
                <w:szCs w:val="21"/>
              </w:rPr>
              <w:t>/</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7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p>
        </w:tc>
        <w:tc>
          <w:tcPr>
            <w:tcW w:w="103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w:t>
            </w: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r>
              <w:rPr>
                <w:rFonts w:hint="eastAsia" w:ascii="宋体" w:hAnsi="宋体"/>
                <w:szCs w:val="21"/>
              </w:rPr>
              <w:t>/</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r>
              <w:rPr>
                <w:rFonts w:hint="eastAsia" w:ascii="宋体" w:hAnsi="宋体"/>
                <w:szCs w:val="21"/>
              </w:rPr>
              <w:t>/</w:t>
            </w:r>
          </w:p>
        </w:tc>
        <w:tc>
          <w:tcPr>
            <w:tcW w:w="160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7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p>
        </w:tc>
        <w:tc>
          <w:tcPr>
            <w:tcW w:w="103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7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p>
        </w:tc>
        <w:tc>
          <w:tcPr>
            <w:tcW w:w="1031"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7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3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7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3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7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3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7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3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4" w:hRule="atLeast"/>
          <w:jc w:val="center"/>
        </w:trPr>
        <w:tc>
          <w:tcPr>
            <w:tcW w:w="9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70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szCs w:val="21"/>
              </w:rPr>
            </w:pPr>
          </w:p>
        </w:tc>
        <w:tc>
          <w:tcPr>
            <w:tcW w:w="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031"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p>
        </w:tc>
        <w:tc>
          <w:tcPr>
            <w:tcW w:w="1302"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c>
          <w:tcPr>
            <w:tcW w:w="1606" w:type="dxa"/>
            <w:tcBorders>
              <w:top w:val="single" w:color="auto" w:sz="4" w:space="0"/>
              <w:left w:val="single" w:color="auto" w:sz="4" w:space="0"/>
              <w:bottom w:val="single" w:color="auto" w:sz="4" w:space="0"/>
              <w:right w:val="single" w:color="auto" w:sz="4" w:space="0"/>
            </w:tcBorders>
            <w:noWrap w:val="0"/>
            <w:vAlign w:val="center"/>
          </w:tcPr>
          <w:p>
            <w:pPr>
              <w:widowControl/>
              <w:spacing w:before="100" w:beforeAutospacing="1" w:after="100" w:afterAutospacing="1"/>
              <w:jc w:val="center"/>
              <w:rPr>
                <w:rFonts w:ascii="宋体" w:hAnsi="宋体"/>
                <w:szCs w:val="21"/>
              </w:rPr>
            </w:pPr>
          </w:p>
        </w:tc>
      </w:tr>
    </w:tbl>
    <w:p>
      <w:pPr>
        <w:jc w:val="left"/>
        <w:rPr>
          <w:rFonts w:hint="eastAsia" w:ascii="宋体" w:hAnsi="宋体"/>
          <w:b/>
          <w:sz w:val="24"/>
          <w:szCs w:val="24"/>
        </w:rPr>
      </w:pPr>
    </w:p>
    <w:p>
      <w:pPr>
        <w:rPr>
          <w:rFonts w:hint="eastAsia" w:ascii="宋体" w:hAnsi="宋体" w:eastAsia="宋体"/>
          <w:sz w:val="24"/>
          <w:szCs w:val="24"/>
          <w:lang w:eastAsia="zh-CN"/>
        </w:rPr>
      </w:pPr>
      <w:r>
        <w:rPr>
          <w:rFonts w:ascii="宋体" w:hAnsi="宋体"/>
          <w:b/>
          <w:sz w:val="24"/>
          <w:szCs w:val="24"/>
        </w:rPr>
        <w:br w:type="page"/>
      </w:r>
      <w:r>
        <w:rPr>
          <w:rFonts w:hint="eastAsia" w:ascii="宋体" w:hAnsi="宋体"/>
          <w:sz w:val="24"/>
          <w:szCs w:val="24"/>
        </w:rPr>
        <w:t>附件3</w:t>
      </w:r>
      <w:r>
        <w:rPr>
          <w:rFonts w:hint="eastAsia" w:ascii="宋体" w:hAnsi="宋体"/>
          <w:sz w:val="24"/>
          <w:szCs w:val="24"/>
          <w:lang w:eastAsia="zh-CN"/>
        </w:rPr>
        <w:t>：</w:t>
      </w:r>
    </w:p>
    <w:p>
      <w:pPr>
        <w:jc w:val="center"/>
        <w:rPr>
          <w:rFonts w:hint="eastAsia" w:ascii="宋体" w:hAnsi="宋体"/>
          <w:b/>
          <w:sz w:val="24"/>
          <w:szCs w:val="24"/>
        </w:rPr>
      </w:pPr>
      <w:r>
        <w:rPr>
          <w:rFonts w:hint="eastAsia" w:ascii="宋体" w:hAnsi="宋体"/>
          <w:b/>
          <w:sz w:val="24"/>
          <w:szCs w:val="24"/>
        </w:rPr>
        <w:t>设计人的银行开户许可证</w:t>
      </w: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center"/>
        <w:rPr>
          <w:rFonts w:hint="eastAsia" w:ascii="宋体" w:hAnsi="宋体"/>
          <w:b/>
          <w:sz w:val="24"/>
          <w:szCs w:val="24"/>
        </w:rPr>
      </w:pPr>
    </w:p>
    <w:p>
      <w:pPr>
        <w:jc w:val="both"/>
        <w:rPr>
          <w:rFonts w:hint="eastAsia" w:ascii="宋体" w:hAnsi="宋体"/>
          <w:b/>
          <w:color w:val="auto"/>
          <w:sz w:val="24"/>
          <w:szCs w:val="24"/>
          <w:highlight w:val="none"/>
        </w:rPr>
      </w:pPr>
    </w:p>
    <w:p>
      <w:pPr>
        <w:jc w:val="center"/>
        <w:rPr>
          <w:rFonts w:hint="eastAsia" w:ascii="宋体" w:hAnsi="宋体"/>
          <w:b/>
          <w:color w:val="auto"/>
          <w:sz w:val="24"/>
          <w:szCs w:val="24"/>
          <w:highlight w:val="none"/>
        </w:rPr>
      </w:pPr>
    </w:p>
    <w:p>
      <w:pPr>
        <w:jc w:val="both"/>
        <w:rPr>
          <w:rFonts w:hint="eastAsia" w:ascii="宋体" w:hAnsi="宋体"/>
          <w:sz w:val="24"/>
          <w:szCs w:val="24"/>
          <w:lang w:eastAsia="zh-CN"/>
        </w:rPr>
      </w:pPr>
      <w:r>
        <w:rPr>
          <w:rFonts w:hint="eastAsia" w:ascii="宋体" w:hAnsi="宋体"/>
          <w:sz w:val="24"/>
          <w:szCs w:val="24"/>
        </w:rPr>
        <w:t>附件</w:t>
      </w:r>
      <w:r>
        <w:rPr>
          <w:rFonts w:ascii="宋体" w:hAnsi="宋体"/>
          <w:sz w:val="24"/>
          <w:szCs w:val="24"/>
        </w:rPr>
        <w:t>4</w:t>
      </w:r>
      <w:r>
        <w:rPr>
          <w:rFonts w:hint="eastAsia" w:ascii="宋体" w:hAnsi="宋体"/>
          <w:sz w:val="24"/>
          <w:szCs w:val="24"/>
          <w:lang w:eastAsia="zh-CN"/>
        </w:rPr>
        <w:t>：</w:t>
      </w:r>
    </w:p>
    <w:p>
      <w:pPr>
        <w:jc w:val="center"/>
        <w:rPr>
          <w:rFonts w:hint="eastAsia" w:ascii="宋体" w:hAnsi="宋体" w:eastAsia="宋体" w:cs="Times New Roman"/>
          <w:b/>
          <w:sz w:val="24"/>
          <w:szCs w:val="24"/>
        </w:rPr>
      </w:pPr>
      <w:r>
        <w:rPr>
          <w:rFonts w:hint="eastAsia" w:ascii="宋体" w:hAnsi="宋体" w:eastAsia="宋体" w:cs="Times New Roman"/>
          <w:b/>
          <w:sz w:val="24"/>
          <w:szCs w:val="24"/>
        </w:rPr>
        <w:t>中标通知书</w:t>
      </w:r>
    </w:p>
    <w:p>
      <w:pPr>
        <w:jc w:val="both"/>
        <w:rPr>
          <w:rFonts w:hint="eastAsia" w:ascii="宋体" w:hAnsi="宋体"/>
          <w:b/>
          <w:color w:val="auto"/>
          <w:sz w:val="24"/>
          <w:szCs w:val="24"/>
          <w:highlight w:val="none"/>
        </w:rPr>
      </w:pPr>
    </w:p>
    <w:sectPr>
      <w:pgSz w:w="11906" w:h="16838"/>
      <w:pgMar w:top="1134" w:right="1134" w:bottom="1134" w:left="113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lang/>
      </w:rPr>
      <w:t>18</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lang/>
      </w:rPr>
      <w:t>22</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N2JmMjNjMTM4MDcxMjJkMGQ2M2VhZDY1YmZkNGQifQ=="/>
  </w:docVars>
  <w:rsids>
    <w:rsidRoot w:val="00172A27"/>
    <w:rsid w:val="0000085B"/>
    <w:rsid w:val="00000F23"/>
    <w:rsid w:val="00000F58"/>
    <w:rsid w:val="00002E7E"/>
    <w:rsid w:val="0000444A"/>
    <w:rsid w:val="00004A39"/>
    <w:rsid w:val="0000654A"/>
    <w:rsid w:val="0000761F"/>
    <w:rsid w:val="00013881"/>
    <w:rsid w:val="00016981"/>
    <w:rsid w:val="00017215"/>
    <w:rsid w:val="00017C75"/>
    <w:rsid w:val="00031297"/>
    <w:rsid w:val="00036DCC"/>
    <w:rsid w:val="00045449"/>
    <w:rsid w:val="00050CBF"/>
    <w:rsid w:val="00051298"/>
    <w:rsid w:val="000538FD"/>
    <w:rsid w:val="00055C28"/>
    <w:rsid w:val="00055ED7"/>
    <w:rsid w:val="00055F07"/>
    <w:rsid w:val="00060DEA"/>
    <w:rsid w:val="0006242C"/>
    <w:rsid w:val="00065F6E"/>
    <w:rsid w:val="00066CF7"/>
    <w:rsid w:val="00073B27"/>
    <w:rsid w:val="00075ECB"/>
    <w:rsid w:val="00077DD6"/>
    <w:rsid w:val="00082517"/>
    <w:rsid w:val="0008693C"/>
    <w:rsid w:val="000924FA"/>
    <w:rsid w:val="000930A4"/>
    <w:rsid w:val="00093737"/>
    <w:rsid w:val="00093A19"/>
    <w:rsid w:val="00094C94"/>
    <w:rsid w:val="00095633"/>
    <w:rsid w:val="00097B1D"/>
    <w:rsid w:val="000A0213"/>
    <w:rsid w:val="000A25B7"/>
    <w:rsid w:val="000A6052"/>
    <w:rsid w:val="000A633A"/>
    <w:rsid w:val="000A6F80"/>
    <w:rsid w:val="000A7D68"/>
    <w:rsid w:val="000B6584"/>
    <w:rsid w:val="000B70DF"/>
    <w:rsid w:val="000C5FDE"/>
    <w:rsid w:val="000C79EC"/>
    <w:rsid w:val="000D09F9"/>
    <w:rsid w:val="000D45EF"/>
    <w:rsid w:val="000D6F20"/>
    <w:rsid w:val="000D72D5"/>
    <w:rsid w:val="000E0136"/>
    <w:rsid w:val="000E6169"/>
    <w:rsid w:val="00100AC4"/>
    <w:rsid w:val="0010249C"/>
    <w:rsid w:val="00104AF6"/>
    <w:rsid w:val="00115134"/>
    <w:rsid w:val="00122FF7"/>
    <w:rsid w:val="00123811"/>
    <w:rsid w:val="00125AAD"/>
    <w:rsid w:val="0012659C"/>
    <w:rsid w:val="001330C8"/>
    <w:rsid w:val="001339C2"/>
    <w:rsid w:val="00133CC7"/>
    <w:rsid w:val="00136038"/>
    <w:rsid w:val="00145A12"/>
    <w:rsid w:val="001462B4"/>
    <w:rsid w:val="001469AA"/>
    <w:rsid w:val="00147E8F"/>
    <w:rsid w:val="001502FA"/>
    <w:rsid w:val="0015663C"/>
    <w:rsid w:val="00162857"/>
    <w:rsid w:val="00162AA2"/>
    <w:rsid w:val="00163051"/>
    <w:rsid w:val="00165B3D"/>
    <w:rsid w:val="001708AE"/>
    <w:rsid w:val="00170CA7"/>
    <w:rsid w:val="00172B4D"/>
    <w:rsid w:val="00172D02"/>
    <w:rsid w:val="00174408"/>
    <w:rsid w:val="00176E8F"/>
    <w:rsid w:val="001864AE"/>
    <w:rsid w:val="00191C99"/>
    <w:rsid w:val="00194A86"/>
    <w:rsid w:val="001A76D5"/>
    <w:rsid w:val="001B176F"/>
    <w:rsid w:val="001B2086"/>
    <w:rsid w:val="001B308F"/>
    <w:rsid w:val="001B3E37"/>
    <w:rsid w:val="001B5CA8"/>
    <w:rsid w:val="001B6F39"/>
    <w:rsid w:val="001B7AD4"/>
    <w:rsid w:val="001C05DA"/>
    <w:rsid w:val="001C3AD7"/>
    <w:rsid w:val="001C77A5"/>
    <w:rsid w:val="001D179C"/>
    <w:rsid w:val="001D1AAA"/>
    <w:rsid w:val="001D4199"/>
    <w:rsid w:val="001E4B12"/>
    <w:rsid w:val="001E5742"/>
    <w:rsid w:val="001E5F8A"/>
    <w:rsid w:val="001E7F49"/>
    <w:rsid w:val="001F0DEC"/>
    <w:rsid w:val="001F3FB2"/>
    <w:rsid w:val="001F4EF0"/>
    <w:rsid w:val="001F6BA1"/>
    <w:rsid w:val="001F6EB3"/>
    <w:rsid w:val="002017B7"/>
    <w:rsid w:val="00204AB5"/>
    <w:rsid w:val="0021043C"/>
    <w:rsid w:val="002106C2"/>
    <w:rsid w:val="00210CEC"/>
    <w:rsid w:val="002123F6"/>
    <w:rsid w:val="00213455"/>
    <w:rsid w:val="00214B6C"/>
    <w:rsid w:val="002213EF"/>
    <w:rsid w:val="002216A5"/>
    <w:rsid w:val="0023133D"/>
    <w:rsid w:val="0023146F"/>
    <w:rsid w:val="00235BAB"/>
    <w:rsid w:val="00242129"/>
    <w:rsid w:val="0024711C"/>
    <w:rsid w:val="00252171"/>
    <w:rsid w:val="002558C5"/>
    <w:rsid w:val="00255FCB"/>
    <w:rsid w:val="00256D9C"/>
    <w:rsid w:val="00261EF3"/>
    <w:rsid w:val="0026367E"/>
    <w:rsid w:val="00266709"/>
    <w:rsid w:val="002719ED"/>
    <w:rsid w:val="002745BF"/>
    <w:rsid w:val="00277B2E"/>
    <w:rsid w:val="00280DAE"/>
    <w:rsid w:val="00281325"/>
    <w:rsid w:val="0028230B"/>
    <w:rsid w:val="00290856"/>
    <w:rsid w:val="002942EF"/>
    <w:rsid w:val="00294B58"/>
    <w:rsid w:val="00297285"/>
    <w:rsid w:val="002978FC"/>
    <w:rsid w:val="002A7C81"/>
    <w:rsid w:val="002B0041"/>
    <w:rsid w:val="002B66A1"/>
    <w:rsid w:val="002C044C"/>
    <w:rsid w:val="002C0DFA"/>
    <w:rsid w:val="002D2340"/>
    <w:rsid w:val="002D3679"/>
    <w:rsid w:val="002D4B50"/>
    <w:rsid w:val="002D562B"/>
    <w:rsid w:val="002D64FF"/>
    <w:rsid w:val="002D699A"/>
    <w:rsid w:val="002D7CBC"/>
    <w:rsid w:val="002E3162"/>
    <w:rsid w:val="002E7DCB"/>
    <w:rsid w:val="002F11CD"/>
    <w:rsid w:val="002F127D"/>
    <w:rsid w:val="002F2C54"/>
    <w:rsid w:val="002F2F01"/>
    <w:rsid w:val="00306985"/>
    <w:rsid w:val="00306BDD"/>
    <w:rsid w:val="00314D83"/>
    <w:rsid w:val="003232EA"/>
    <w:rsid w:val="00325A8A"/>
    <w:rsid w:val="003317F4"/>
    <w:rsid w:val="003318AE"/>
    <w:rsid w:val="003326D3"/>
    <w:rsid w:val="0033424E"/>
    <w:rsid w:val="00337B1D"/>
    <w:rsid w:val="00344FF4"/>
    <w:rsid w:val="0035028A"/>
    <w:rsid w:val="00350C26"/>
    <w:rsid w:val="00354EA2"/>
    <w:rsid w:val="0036172E"/>
    <w:rsid w:val="003646B2"/>
    <w:rsid w:val="003751C8"/>
    <w:rsid w:val="003813A3"/>
    <w:rsid w:val="00383666"/>
    <w:rsid w:val="0038637F"/>
    <w:rsid w:val="0038678F"/>
    <w:rsid w:val="00393602"/>
    <w:rsid w:val="0039409C"/>
    <w:rsid w:val="003972AF"/>
    <w:rsid w:val="003A1FE2"/>
    <w:rsid w:val="003A2652"/>
    <w:rsid w:val="003A2D63"/>
    <w:rsid w:val="003A4410"/>
    <w:rsid w:val="003B392C"/>
    <w:rsid w:val="003B5DB1"/>
    <w:rsid w:val="003C016C"/>
    <w:rsid w:val="003C05A5"/>
    <w:rsid w:val="003C2B2E"/>
    <w:rsid w:val="003C393B"/>
    <w:rsid w:val="003C6C7C"/>
    <w:rsid w:val="003C7DAD"/>
    <w:rsid w:val="003D12BA"/>
    <w:rsid w:val="003D2C33"/>
    <w:rsid w:val="003D3407"/>
    <w:rsid w:val="003D4596"/>
    <w:rsid w:val="003D4E0B"/>
    <w:rsid w:val="003D6545"/>
    <w:rsid w:val="003E202D"/>
    <w:rsid w:val="003E51FB"/>
    <w:rsid w:val="003E625A"/>
    <w:rsid w:val="003F3895"/>
    <w:rsid w:val="003F63AB"/>
    <w:rsid w:val="00400F32"/>
    <w:rsid w:val="00403935"/>
    <w:rsid w:val="00405BC0"/>
    <w:rsid w:val="00411F1B"/>
    <w:rsid w:val="00415035"/>
    <w:rsid w:val="004160F8"/>
    <w:rsid w:val="004173AD"/>
    <w:rsid w:val="0041793C"/>
    <w:rsid w:val="00421BD6"/>
    <w:rsid w:val="00431C22"/>
    <w:rsid w:val="0043540B"/>
    <w:rsid w:val="0044223E"/>
    <w:rsid w:val="00444158"/>
    <w:rsid w:val="00447700"/>
    <w:rsid w:val="00447C05"/>
    <w:rsid w:val="00447C57"/>
    <w:rsid w:val="0045229E"/>
    <w:rsid w:val="004526CE"/>
    <w:rsid w:val="00453311"/>
    <w:rsid w:val="004537C7"/>
    <w:rsid w:val="00455E97"/>
    <w:rsid w:val="004628F6"/>
    <w:rsid w:val="00462AC5"/>
    <w:rsid w:val="00463DBD"/>
    <w:rsid w:val="00463DFD"/>
    <w:rsid w:val="0046437B"/>
    <w:rsid w:val="004707A9"/>
    <w:rsid w:val="00472DF5"/>
    <w:rsid w:val="004749CF"/>
    <w:rsid w:val="0048283A"/>
    <w:rsid w:val="00482C21"/>
    <w:rsid w:val="00483A1A"/>
    <w:rsid w:val="00485079"/>
    <w:rsid w:val="00487292"/>
    <w:rsid w:val="004914ED"/>
    <w:rsid w:val="004A1A81"/>
    <w:rsid w:val="004A31C8"/>
    <w:rsid w:val="004A3258"/>
    <w:rsid w:val="004A5867"/>
    <w:rsid w:val="004A5945"/>
    <w:rsid w:val="004A6A8A"/>
    <w:rsid w:val="004A6DAC"/>
    <w:rsid w:val="004B5E52"/>
    <w:rsid w:val="004C25FB"/>
    <w:rsid w:val="004C5406"/>
    <w:rsid w:val="004D2D0B"/>
    <w:rsid w:val="004D3B7C"/>
    <w:rsid w:val="004D4208"/>
    <w:rsid w:val="004E27E4"/>
    <w:rsid w:val="004E32DD"/>
    <w:rsid w:val="004E793E"/>
    <w:rsid w:val="005005AD"/>
    <w:rsid w:val="0050280B"/>
    <w:rsid w:val="005069A5"/>
    <w:rsid w:val="00510A92"/>
    <w:rsid w:val="005131F9"/>
    <w:rsid w:val="005164FE"/>
    <w:rsid w:val="00516DCA"/>
    <w:rsid w:val="00520E61"/>
    <w:rsid w:val="00521DC1"/>
    <w:rsid w:val="005223AE"/>
    <w:rsid w:val="0053238E"/>
    <w:rsid w:val="00534F3E"/>
    <w:rsid w:val="0054262E"/>
    <w:rsid w:val="00543B12"/>
    <w:rsid w:val="00553D14"/>
    <w:rsid w:val="005549EA"/>
    <w:rsid w:val="005550D4"/>
    <w:rsid w:val="005612CC"/>
    <w:rsid w:val="00563387"/>
    <w:rsid w:val="00566ACA"/>
    <w:rsid w:val="005732E5"/>
    <w:rsid w:val="005757EF"/>
    <w:rsid w:val="00580456"/>
    <w:rsid w:val="00580B81"/>
    <w:rsid w:val="00580DBE"/>
    <w:rsid w:val="00582FDF"/>
    <w:rsid w:val="00583CAC"/>
    <w:rsid w:val="005846E1"/>
    <w:rsid w:val="00586A1B"/>
    <w:rsid w:val="00595788"/>
    <w:rsid w:val="00595E6D"/>
    <w:rsid w:val="00595F12"/>
    <w:rsid w:val="005A0D65"/>
    <w:rsid w:val="005A2B67"/>
    <w:rsid w:val="005A3004"/>
    <w:rsid w:val="005A3632"/>
    <w:rsid w:val="005B0927"/>
    <w:rsid w:val="005B1640"/>
    <w:rsid w:val="005B36D8"/>
    <w:rsid w:val="005B4074"/>
    <w:rsid w:val="005B6620"/>
    <w:rsid w:val="005C0F5F"/>
    <w:rsid w:val="005C5354"/>
    <w:rsid w:val="005C6370"/>
    <w:rsid w:val="005D08E9"/>
    <w:rsid w:val="005D43EB"/>
    <w:rsid w:val="005E25D9"/>
    <w:rsid w:val="005E5983"/>
    <w:rsid w:val="005E5EF8"/>
    <w:rsid w:val="005E737D"/>
    <w:rsid w:val="005F391B"/>
    <w:rsid w:val="005F689A"/>
    <w:rsid w:val="005F6C6B"/>
    <w:rsid w:val="005F7CEC"/>
    <w:rsid w:val="00600E68"/>
    <w:rsid w:val="006011F4"/>
    <w:rsid w:val="00601748"/>
    <w:rsid w:val="00602E37"/>
    <w:rsid w:val="006039C9"/>
    <w:rsid w:val="00606C13"/>
    <w:rsid w:val="0061005C"/>
    <w:rsid w:val="00610465"/>
    <w:rsid w:val="00611BF0"/>
    <w:rsid w:val="00612834"/>
    <w:rsid w:val="00612C7C"/>
    <w:rsid w:val="006137B2"/>
    <w:rsid w:val="00613E65"/>
    <w:rsid w:val="00614787"/>
    <w:rsid w:val="00617A91"/>
    <w:rsid w:val="00620F1A"/>
    <w:rsid w:val="006220F6"/>
    <w:rsid w:val="006221A7"/>
    <w:rsid w:val="006236B5"/>
    <w:rsid w:val="00625842"/>
    <w:rsid w:val="00625FCE"/>
    <w:rsid w:val="006271C2"/>
    <w:rsid w:val="006313DE"/>
    <w:rsid w:val="00633C07"/>
    <w:rsid w:val="00635D9A"/>
    <w:rsid w:val="006413DF"/>
    <w:rsid w:val="0064572C"/>
    <w:rsid w:val="00647019"/>
    <w:rsid w:val="006471C3"/>
    <w:rsid w:val="00654185"/>
    <w:rsid w:val="00661262"/>
    <w:rsid w:val="00661D76"/>
    <w:rsid w:val="006714F5"/>
    <w:rsid w:val="00675DF2"/>
    <w:rsid w:val="00680701"/>
    <w:rsid w:val="006808C5"/>
    <w:rsid w:val="00681C66"/>
    <w:rsid w:val="006822A1"/>
    <w:rsid w:val="006904CC"/>
    <w:rsid w:val="00691B20"/>
    <w:rsid w:val="006932C3"/>
    <w:rsid w:val="00693BAC"/>
    <w:rsid w:val="0069711A"/>
    <w:rsid w:val="006A3926"/>
    <w:rsid w:val="006A4CD9"/>
    <w:rsid w:val="006A4E14"/>
    <w:rsid w:val="006A5A7F"/>
    <w:rsid w:val="006A5FF3"/>
    <w:rsid w:val="006B17FE"/>
    <w:rsid w:val="006B27DB"/>
    <w:rsid w:val="006B6D33"/>
    <w:rsid w:val="006C2BC0"/>
    <w:rsid w:val="006C2F3F"/>
    <w:rsid w:val="006C68F4"/>
    <w:rsid w:val="006D0987"/>
    <w:rsid w:val="006D0E68"/>
    <w:rsid w:val="006E31A6"/>
    <w:rsid w:val="006E4359"/>
    <w:rsid w:val="006E4B7D"/>
    <w:rsid w:val="006E4D92"/>
    <w:rsid w:val="006E5F2F"/>
    <w:rsid w:val="006F0215"/>
    <w:rsid w:val="006F6179"/>
    <w:rsid w:val="006F63B2"/>
    <w:rsid w:val="006F63B5"/>
    <w:rsid w:val="00701E93"/>
    <w:rsid w:val="007059B1"/>
    <w:rsid w:val="00710C54"/>
    <w:rsid w:val="00710F0E"/>
    <w:rsid w:val="00715D0E"/>
    <w:rsid w:val="00720628"/>
    <w:rsid w:val="00721EC2"/>
    <w:rsid w:val="00723435"/>
    <w:rsid w:val="00725163"/>
    <w:rsid w:val="00732656"/>
    <w:rsid w:val="00733709"/>
    <w:rsid w:val="00733842"/>
    <w:rsid w:val="007345DA"/>
    <w:rsid w:val="007409F6"/>
    <w:rsid w:val="00741760"/>
    <w:rsid w:val="00745A74"/>
    <w:rsid w:val="007479D5"/>
    <w:rsid w:val="00755E28"/>
    <w:rsid w:val="007570D3"/>
    <w:rsid w:val="007612E1"/>
    <w:rsid w:val="00762918"/>
    <w:rsid w:val="00762AA5"/>
    <w:rsid w:val="00764E5D"/>
    <w:rsid w:val="00774CD6"/>
    <w:rsid w:val="00780280"/>
    <w:rsid w:val="0078263B"/>
    <w:rsid w:val="00783555"/>
    <w:rsid w:val="007843F2"/>
    <w:rsid w:val="0079047A"/>
    <w:rsid w:val="00792778"/>
    <w:rsid w:val="007927A3"/>
    <w:rsid w:val="0079484C"/>
    <w:rsid w:val="0079610F"/>
    <w:rsid w:val="00797687"/>
    <w:rsid w:val="007A2233"/>
    <w:rsid w:val="007A2EBF"/>
    <w:rsid w:val="007A47BC"/>
    <w:rsid w:val="007A6137"/>
    <w:rsid w:val="007A7DC0"/>
    <w:rsid w:val="007B310E"/>
    <w:rsid w:val="007B4D66"/>
    <w:rsid w:val="007B56CE"/>
    <w:rsid w:val="007B68B9"/>
    <w:rsid w:val="007C27F6"/>
    <w:rsid w:val="007C43DB"/>
    <w:rsid w:val="007D1DD2"/>
    <w:rsid w:val="007D32DA"/>
    <w:rsid w:val="007D50A5"/>
    <w:rsid w:val="007D7C0E"/>
    <w:rsid w:val="007E0C35"/>
    <w:rsid w:val="007E318B"/>
    <w:rsid w:val="007E6465"/>
    <w:rsid w:val="007E670F"/>
    <w:rsid w:val="008002FE"/>
    <w:rsid w:val="00802E0C"/>
    <w:rsid w:val="00803A14"/>
    <w:rsid w:val="00806961"/>
    <w:rsid w:val="008070DA"/>
    <w:rsid w:val="008146D7"/>
    <w:rsid w:val="00814898"/>
    <w:rsid w:val="00814985"/>
    <w:rsid w:val="00827956"/>
    <w:rsid w:val="008321EB"/>
    <w:rsid w:val="00833004"/>
    <w:rsid w:val="00835A75"/>
    <w:rsid w:val="008362DB"/>
    <w:rsid w:val="008413CE"/>
    <w:rsid w:val="00843A92"/>
    <w:rsid w:val="0084600E"/>
    <w:rsid w:val="00851917"/>
    <w:rsid w:val="0085725F"/>
    <w:rsid w:val="00864007"/>
    <w:rsid w:val="00864538"/>
    <w:rsid w:val="00865701"/>
    <w:rsid w:val="008678CB"/>
    <w:rsid w:val="00871FD3"/>
    <w:rsid w:val="00873697"/>
    <w:rsid w:val="0087544A"/>
    <w:rsid w:val="00876E72"/>
    <w:rsid w:val="0088051A"/>
    <w:rsid w:val="00881683"/>
    <w:rsid w:val="00883878"/>
    <w:rsid w:val="00886495"/>
    <w:rsid w:val="00894C90"/>
    <w:rsid w:val="0089510D"/>
    <w:rsid w:val="00897451"/>
    <w:rsid w:val="00897781"/>
    <w:rsid w:val="008A214D"/>
    <w:rsid w:val="008A33B1"/>
    <w:rsid w:val="008A398F"/>
    <w:rsid w:val="008A45EB"/>
    <w:rsid w:val="008A4708"/>
    <w:rsid w:val="008B0D54"/>
    <w:rsid w:val="008B22C3"/>
    <w:rsid w:val="008B3E10"/>
    <w:rsid w:val="008B518B"/>
    <w:rsid w:val="008B7F47"/>
    <w:rsid w:val="008C147B"/>
    <w:rsid w:val="008C1A0B"/>
    <w:rsid w:val="008C1B61"/>
    <w:rsid w:val="008C3CB7"/>
    <w:rsid w:val="008C45E7"/>
    <w:rsid w:val="008D092E"/>
    <w:rsid w:val="008D416E"/>
    <w:rsid w:val="008D65A9"/>
    <w:rsid w:val="008D78AB"/>
    <w:rsid w:val="008E0B52"/>
    <w:rsid w:val="008E207D"/>
    <w:rsid w:val="008E68A3"/>
    <w:rsid w:val="008F20BA"/>
    <w:rsid w:val="008F338E"/>
    <w:rsid w:val="008F464D"/>
    <w:rsid w:val="008F47CE"/>
    <w:rsid w:val="0090044F"/>
    <w:rsid w:val="009005BD"/>
    <w:rsid w:val="00901346"/>
    <w:rsid w:val="00904450"/>
    <w:rsid w:val="00921B94"/>
    <w:rsid w:val="00922F56"/>
    <w:rsid w:val="009231D9"/>
    <w:rsid w:val="00923808"/>
    <w:rsid w:val="009249B9"/>
    <w:rsid w:val="00924D8E"/>
    <w:rsid w:val="00924F1F"/>
    <w:rsid w:val="00926B0F"/>
    <w:rsid w:val="00937E2E"/>
    <w:rsid w:val="009410D4"/>
    <w:rsid w:val="00942347"/>
    <w:rsid w:val="00942EDF"/>
    <w:rsid w:val="0094531F"/>
    <w:rsid w:val="00951517"/>
    <w:rsid w:val="00954637"/>
    <w:rsid w:val="009546A9"/>
    <w:rsid w:val="00955A2B"/>
    <w:rsid w:val="009561A7"/>
    <w:rsid w:val="009567CF"/>
    <w:rsid w:val="009610BE"/>
    <w:rsid w:val="00964FC9"/>
    <w:rsid w:val="00965049"/>
    <w:rsid w:val="00965C36"/>
    <w:rsid w:val="009717FF"/>
    <w:rsid w:val="009718E8"/>
    <w:rsid w:val="00971B31"/>
    <w:rsid w:val="009724EF"/>
    <w:rsid w:val="0097573C"/>
    <w:rsid w:val="0097576F"/>
    <w:rsid w:val="00982DA4"/>
    <w:rsid w:val="00983C40"/>
    <w:rsid w:val="00986B14"/>
    <w:rsid w:val="00992198"/>
    <w:rsid w:val="0099240F"/>
    <w:rsid w:val="00992516"/>
    <w:rsid w:val="009945F2"/>
    <w:rsid w:val="00997145"/>
    <w:rsid w:val="009A52EC"/>
    <w:rsid w:val="009B155F"/>
    <w:rsid w:val="009B3AD3"/>
    <w:rsid w:val="009B4496"/>
    <w:rsid w:val="009B4553"/>
    <w:rsid w:val="009B556D"/>
    <w:rsid w:val="009B59E8"/>
    <w:rsid w:val="009C3C30"/>
    <w:rsid w:val="009C552A"/>
    <w:rsid w:val="009C6478"/>
    <w:rsid w:val="009C7962"/>
    <w:rsid w:val="009D1F62"/>
    <w:rsid w:val="009D6532"/>
    <w:rsid w:val="009D6EF6"/>
    <w:rsid w:val="009E0A9E"/>
    <w:rsid w:val="009E17A4"/>
    <w:rsid w:val="009E6FE8"/>
    <w:rsid w:val="009E7CEF"/>
    <w:rsid w:val="009F14BF"/>
    <w:rsid w:val="009F2463"/>
    <w:rsid w:val="009F2E0C"/>
    <w:rsid w:val="009F4AC0"/>
    <w:rsid w:val="009F4EF4"/>
    <w:rsid w:val="009F610A"/>
    <w:rsid w:val="009F7E87"/>
    <w:rsid w:val="00A03362"/>
    <w:rsid w:val="00A047C7"/>
    <w:rsid w:val="00A07AFA"/>
    <w:rsid w:val="00A103D5"/>
    <w:rsid w:val="00A11B2B"/>
    <w:rsid w:val="00A1370F"/>
    <w:rsid w:val="00A324DE"/>
    <w:rsid w:val="00A32D2A"/>
    <w:rsid w:val="00A347B0"/>
    <w:rsid w:val="00A35914"/>
    <w:rsid w:val="00A406D5"/>
    <w:rsid w:val="00A4081D"/>
    <w:rsid w:val="00A42609"/>
    <w:rsid w:val="00A47F35"/>
    <w:rsid w:val="00A51606"/>
    <w:rsid w:val="00A51920"/>
    <w:rsid w:val="00A62A45"/>
    <w:rsid w:val="00A64A5A"/>
    <w:rsid w:val="00A66ED5"/>
    <w:rsid w:val="00A7002C"/>
    <w:rsid w:val="00A706AE"/>
    <w:rsid w:val="00A75248"/>
    <w:rsid w:val="00A752C1"/>
    <w:rsid w:val="00A76434"/>
    <w:rsid w:val="00A77C8A"/>
    <w:rsid w:val="00A81D0C"/>
    <w:rsid w:val="00A8244D"/>
    <w:rsid w:val="00A948E3"/>
    <w:rsid w:val="00A94B35"/>
    <w:rsid w:val="00A94CF0"/>
    <w:rsid w:val="00A97B73"/>
    <w:rsid w:val="00AA0864"/>
    <w:rsid w:val="00AA363F"/>
    <w:rsid w:val="00AA4AD2"/>
    <w:rsid w:val="00AA5AB0"/>
    <w:rsid w:val="00AA634B"/>
    <w:rsid w:val="00AA7DA9"/>
    <w:rsid w:val="00AB0AC8"/>
    <w:rsid w:val="00AB3B89"/>
    <w:rsid w:val="00AC0F5F"/>
    <w:rsid w:val="00AC1C50"/>
    <w:rsid w:val="00AC3297"/>
    <w:rsid w:val="00AC473F"/>
    <w:rsid w:val="00AD05E0"/>
    <w:rsid w:val="00AD06ED"/>
    <w:rsid w:val="00AD1441"/>
    <w:rsid w:val="00AD1C27"/>
    <w:rsid w:val="00AE2A76"/>
    <w:rsid w:val="00AE41B3"/>
    <w:rsid w:val="00AF058E"/>
    <w:rsid w:val="00AF275A"/>
    <w:rsid w:val="00AF28D9"/>
    <w:rsid w:val="00AF5FE9"/>
    <w:rsid w:val="00B0543B"/>
    <w:rsid w:val="00B11435"/>
    <w:rsid w:val="00B116B2"/>
    <w:rsid w:val="00B16F85"/>
    <w:rsid w:val="00B2007C"/>
    <w:rsid w:val="00B23169"/>
    <w:rsid w:val="00B231C0"/>
    <w:rsid w:val="00B23993"/>
    <w:rsid w:val="00B31397"/>
    <w:rsid w:val="00B32FEB"/>
    <w:rsid w:val="00B36E74"/>
    <w:rsid w:val="00B45C0C"/>
    <w:rsid w:val="00B5021D"/>
    <w:rsid w:val="00B53653"/>
    <w:rsid w:val="00B5645C"/>
    <w:rsid w:val="00B6020B"/>
    <w:rsid w:val="00B65365"/>
    <w:rsid w:val="00B65A9F"/>
    <w:rsid w:val="00B66219"/>
    <w:rsid w:val="00B67C45"/>
    <w:rsid w:val="00B725F2"/>
    <w:rsid w:val="00B73DBA"/>
    <w:rsid w:val="00B7675D"/>
    <w:rsid w:val="00B76DC4"/>
    <w:rsid w:val="00B77300"/>
    <w:rsid w:val="00B77AFA"/>
    <w:rsid w:val="00B80861"/>
    <w:rsid w:val="00B83483"/>
    <w:rsid w:val="00B878A1"/>
    <w:rsid w:val="00B91BDA"/>
    <w:rsid w:val="00B92EBB"/>
    <w:rsid w:val="00B93479"/>
    <w:rsid w:val="00B946D9"/>
    <w:rsid w:val="00B9545A"/>
    <w:rsid w:val="00BA117C"/>
    <w:rsid w:val="00BA5B27"/>
    <w:rsid w:val="00BA7C41"/>
    <w:rsid w:val="00BA7C91"/>
    <w:rsid w:val="00BB0423"/>
    <w:rsid w:val="00BB0F9B"/>
    <w:rsid w:val="00BB2841"/>
    <w:rsid w:val="00BB7833"/>
    <w:rsid w:val="00BB7FBF"/>
    <w:rsid w:val="00BC032A"/>
    <w:rsid w:val="00BC12CB"/>
    <w:rsid w:val="00BC6F2E"/>
    <w:rsid w:val="00BC6FF9"/>
    <w:rsid w:val="00BD388B"/>
    <w:rsid w:val="00BD4FD3"/>
    <w:rsid w:val="00BD64FC"/>
    <w:rsid w:val="00BD6EC1"/>
    <w:rsid w:val="00BE22B8"/>
    <w:rsid w:val="00BE5CB5"/>
    <w:rsid w:val="00BE6F55"/>
    <w:rsid w:val="00BE7642"/>
    <w:rsid w:val="00BF5466"/>
    <w:rsid w:val="00C00678"/>
    <w:rsid w:val="00C0131B"/>
    <w:rsid w:val="00C014B3"/>
    <w:rsid w:val="00C0159C"/>
    <w:rsid w:val="00C02019"/>
    <w:rsid w:val="00C02500"/>
    <w:rsid w:val="00C029B8"/>
    <w:rsid w:val="00C04884"/>
    <w:rsid w:val="00C04FA9"/>
    <w:rsid w:val="00C058D3"/>
    <w:rsid w:val="00C05AEC"/>
    <w:rsid w:val="00C065CA"/>
    <w:rsid w:val="00C0675F"/>
    <w:rsid w:val="00C070C3"/>
    <w:rsid w:val="00C13A16"/>
    <w:rsid w:val="00C1554D"/>
    <w:rsid w:val="00C1588E"/>
    <w:rsid w:val="00C223A5"/>
    <w:rsid w:val="00C2449B"/>
    <w:rsid w:val="00C32121"/>
    <w:rsid w:val="00C32E44"/>
    <w:rsid w:val="00C33071"/>
    <w:rsid w:val="00C331EB"/>
    <w:rsid w:val="00C347E7"/>
    <w:rsid w:val="00C3642C"/>
    <w:rsid w:val="00C366C6"/>
    <w:rsid w:val="00C41796"/>
    <w:rsid w:val="00C44E7B"/>
    <w:rsid w:val="00C45612"/>
    <w:rsid w:val="00C47139"/>
    <w:rsid w:val="00C47CCD"/>
    <w:rsid w:val="00C52890"/>
    <w:rsid w:val="00C5745A"/>
    <w:rsid w:val="00C6022F"/>
    <w:rsid w:val="00C6132C"/>
    <w:rsid w:val="00C624D8"/>
    <w:rsid w:val="00C764A1"/>
    <w:rsid w:val="00C76662"/>
    <w:rsid w:val="00C8245C"/>
    <w:rsid w:val="00C82F3C"/>
    <w:rsid w:val="00C8777D"/>
    <w:rsid w:val="00C87F0A"/>
    <w:rsid w:val="00C932C0"/>
    <w:rsid w:val="00C969D5"/>
    <w:rsid w:val="00C97C38"/>
    <w:rsid w:val="00CA55AD"/>
    <w:rsid w:val="00CA5C6A"/>
    <w:rsid w:val="00CB167D"/>
    <w:rsid w:val="00CB1805"/>
    <w:rsid w:val="00CB1E9E"/>
    <w:rsid w:val="00CB3303"/>
    <w:rsid w:val="00CC256F"/>
    <w:rsid w:val="00CC5642"/>
    <w:rsid w:val="00CC69BC"/>
    <w:rsid w:val="00CD1499"/>
    <w:rsid w:val="00CE1242"/>
    <w:rsid w:val="00CE1FDD"/>
    <w:rsid w:val="00CE2364"/>
    <w:rsid w:val="00CE24F8"/>
    <w:rsid w:val="00CE4E53"/>
    <w:rsid w:val="00CE785E"/>
    <w:rsid w:val="00CF01EC"/>
    <w:rsid w:val="00CF2B7A"/>
    <w:rsid w:val="00CF48EF"/>
    <w:rsid w:val="00CF7548"/>
    <w:rsid w:val="00D00339"/>
    <w:rsid w:val="00D02BAB"/>
    <w:rsid w:val="00D03982"/>
    <w:rsid w:val="00D059DF"/>
    <w:rsid w:val="00D07BED"/>
    <w:rsid w:val="00D10241"/>
    <w:rsid w:val="00D14CA7"/>
    <w:rsid w:val="00D16A7D"/>
    <w:rsid w:val="00D16D37"/>
    <w:rsid w:val="00D31036"/>
    <w:rsid w:val="00D3120D"/>
    <w:rsid w:val="00D3198F"/>
    <w:rsid w:val="00D320C7"/>
    <w:rsid w:val="00D34922"/>
    <w:rsid w:val="00D373E9"/>
    <w:rsid w:val="00D42410"/>
    <w:rsid w:val="00D449D9"/>
    <w:rsid w:val="00D44FAB"/>
    <w:rsid w:val="00D453ED"/>
    <w:rsid w:val="00D474B7"/>
    <w:rsid w:val="00D47700"/>
    <w:rsid w:val="00D52F63"/>
    <w:rsid w:val="00D5394A"/>
    <w:rsid w:val="00D55F2D"/>
    <w:rsid w:val="00D56B9C"/>
    <w:rsid w:val="00D57E10"/>
    <w:rsid w:val="00D62205"/>
    <w:rsid w:val="00D62C51"/>
    <w:rsid w:val="00D630A1"/>
    <w:rsid w:val="00D637F5"/>
    <w:rsid w:val="00D63C3B"/>
    <w:rsid w:val="00D65B85"/>
    <w:rsid w:val="00D66473"/>
    <w:rsid w:val="00D66C26"/>
    <w:rsid w:val="00D66E97"/>
    <w:rsid w:val="00D72BB8"/>
    <w:rsid w:val="00D817F2"/>
    <w:rsid w:val="00D81C82"/>
    <w:rsid w:val="00D83BE8"/>
    <w:rsid w:val="00D846B0"/>
    <w:rsid w:val="00D91919"/>
    <w:rsid w:val="00D93A01"/>
    <w:rsid w:val="00D9738D"/>
    <w:rsid w:val="00DA1EEE"/>
    <w:rsid w:val="00DA2C17"/>
    <w:rsid w:val="00DA51BF"/>
    <w:rsid w:val="00DB037F"/>
    <w:rsid w:val="00DB092F"/>
    <w:rsid w:val="00DB29CC"/>
    <w:rsid w:val="00DB2BF2"/>
    <w:rsid w:val="00DB2E6D"/>
    <w:rsid w:val="00DB4325"/>
    <w:rsid w:val="00DB4C43"/>
    <w:rsid w:val="00DB7920"/>
    <w:rsid w:val="00DC0AF1"/>
    <w:rsid w:val="00DC1E98"/>
    <w:rsid w:val="00DC44C3"/>
    <w:rsid w:val="00DC44E5"/>
    <w:rsid w:val="00DC4BA3"/>
    <w:rsid w:val="00DC7C60"/>
    <w:rsid w:val="00DD046C"/>
    <w:rsid w:val="00DD5927"/>
    <w:rsid w:val="00DD68E6"/>
    <w:rsid w:val="00DD692E"/>
    <w:rsid w:val="00DD6DD6"/>
    <w:rsid w:val="00DD72B0"/>
    <w:rsid w:val="00DD7521"/>
    <w:rsid w:val="00DE4249"/>
    <w:rsid w:val="00DE6C48"/>
    <w:rsid w:val="00E009CC"/>
    <w:rsid w:val="00E05C64"/>
    <w:rsid w:val="00E06AE0"/>
    <w:rsid w:val="00E110AD"/>
    <w:rsid w:val="00E1141A"/>
    <w:rsid w:val="00E13CE1"/>
    <w:rsid w:val="00E16405"/>
    <w:rsid w:val="00E212D9"/>
    <w:rsid w:val="00E22675"/>
    <w:rsid w:val="00E227A1"/>
    <w:rsid w:val="00E2394D"/>
    <w:rsid w:val="00E26891"/>
    <w:rsid w:val="00E26DED"/>
    <w:rsid w:val="00E310F8"/>
    <w:rsid w:val="00E362AC"/>
    <w:rsid w:val="00E37E3B"/>
    <w:rsid w:val="00E40E3C"/>
    <w:rsid w:val="00E4303C"/>
    <w:rsid w:val="00E44F88"/>
    <w:rsid w:val="00E502B1"/>
    <w:rsid w:val="00E53488"/>
    <w:rsid w:val="00E53E43"/>
    <w:rsid w:val="00E555DC"/>
    <w:rsid w:val="00E57BE7"/>
    <w:rsid w:val="00E602CD"/>
    <w:rsid w:val="00E61C9F"/>
    <w:rsid w:val="00E61DEB"/>
    <w:rsid w:val="00E842CD"/>
    <w:rsid w:val="00E87277"/>
    <w:rsid w:val="00E87669"/>
    <w:rsid w:val="00E91363"/>
    <w:rsid w:val="00E91EF9"/>
    <w:rsid w:val="00E92490"/>
    <w:rsid w:val="00E94185"/>
    <w:rsid w:val="00E94545"/>
    <w:rsid w:val="00E94916"/>
    <w:rsid w:val="00E94CE1"/>
    <w:rsid w:val="00E965BB"/>
    <w:rsid w:val="00EA227E"/>
    <w:rsid w:val="00EA5B57"/>
    <w:rsid w:val="00EA6E42"/>
    <w:rsid w:val="00EB1922"/>
    <w:rsid w:val="00EB426E"/>
    <w:rsid w:val="00EC0EA8"/>
    <w:rsid w:val="00EC25C2"/>
    <w:rsid w:val="00EC3143"/>
    <w:rsid w:val="00EC4B1E"/>
    <w:rsid w:val="00EC51B2"/>
    <w:rsid w:val="00ED06C3"/>
    <w:rsid w:val="00ED43BE"/>
    <w:rsid w:val="00ED50F9"/>
    <w:rsid w:val="00ED72EC"/>
    <w:rsid w:val="00ED7E30"/>
    <w:rsid w:val="00EE5C54"/>
    <w:rsid w:val="00EE74AC"/>
    <w:rsid w:val="00EE7A46"/>
    <w:rsid w:val="00EF38DC"/>
    <w:rsid w:val="00EF66CD"/>
    <w:rsid w:val="00EF7630"/>
    <w:rsid w:val="00F01B5C"/>
    <w:rsid w:val="00F01D29"/>
    <w:rsid w:val="00F0236F"/>
    <w:rsid w:val="00F02AF0"/>
    <w:rsid w:val="00F031BF"/>
    <w:rsid w:val="00F10366"/>
    <w:rsid w:val="00F15E0B"/>
    <w:rsid w:val="00F17E30"/>
    <w:rsid w:val="00F209E6"/>
    <w:rsid w:val="00F233B3"/>
    <w:rsid w:val="00F26EDD"/>
    <w:rsid w:val="00F2787F"/>
    <w:rsid w:val="00F316C7"/>
    <w:rsid w:val="00F32119"/>
    <w:rsid w:val="00F37D10"/>
    <w:rsid w:val="00F40D8C"/>
    <w:rsid w:val="00F41C65"/>
    <w:rsid w:val="00F42A04"/>
    <w:rsid w:val="00F46324"/>
    <w:rsid w:val="00F46F40"/>
    <w:rsid w:val="00F47E24"/>
    <w:rsid w:val="00F50626"/>
    <w:rsid w:val="00F52628"/>
    <w:rsid w:val="00F52E97"/>
    <w:rsid w:val="00F61A2E"/>
    <w:rsid w:val="00F6685B"/>
    <w:rsid w:val="00F674FF"/>
    <w:rsid w:val="00F72C95"/>
    <w:rsid w:val="00F73465"/>
    <w:rsid w:val="00F73FB8"/>
    <w:rsid w:val="00F74D3B"/>
    <w:rsid w:val="00F80AEF"/>
    <w:rsid w:val="00F810A1"/>
    <w:rsid w:val="00F865AD"/>
    <w:rsid w:val="00F91EDE"/>
    <w:rsid w:val="00F92D74"/>
    <w:rsid w:val="00F9346D"/>
    <w:rsid w:val="00F97638"/>
    <w:rsid w:val="00FA10DC"/>
    <w:rsid w:val="00FA1FE0"/>
    <w:rsid w:val="00FB2F73"/>
    <w:rsid w:val="00FB32E2"/>
    <w:rsid w:val="00FB6A9F"/>
    <w:rsid w:val="00FB71D7"/>
    <w:rsid w:val="00FB784D"/>
    <w:rsid w:val="00FC02CC"/>
    <w:rsid w:val="00FC0FEC"/>
    <w:rsid w:val="00FC3206"/>
    <w:rsid w:val="00FC46F8"/>
    <w:rsid w:val="00FC4D07"/>
    <w:rsid w:val="00FC7608"/>
    <w:rsid w:val="00FD2B67"/>
    <w:rsid w:val="00FD3FE5"/>
    <w:rsid w:val="00FE0693"/>
    <w:rsid w:val="00FE1F6E"/>
    <w:rsid w:val="00FE293E"/>
    <w:rsid w:val="00FE3A8B"/>
    <w:rsid w:val="00FF0C07"/>
    <w:rsid w:val="00FF62BC"/>
    <w:rsid w:val="0122678D"/>
    <w:rsid w:val="01374E54"/>
    <w:rsid w:val="01613CAE"/>
    <w:rsid w:val="01737108"/>
    <w:rsid w:val="01AB5989"/>
    <w:rsid w:val="02A41EC8"/>
    <w:rsid w:val="035941B7"/>
    <w:rsid w:val="04414092"/>
    <w:rsid w:val="04506958"/>
    <w:rsid w:val="0555627B"/>
    <w:rsid w:val="07016ED8"/>
    <w:rsid w:val="085955C6"/>
    <w:rsid w:val="08A23888"/>
    <w:rsid w:val="08E55020"/>
    <w:rsid w:val="09187C60"/>
    <w:rsid w:val="09B45366"/>
    <w:rsid w:val="0A5A53C4"/>
    <w:rsid w:val="0DBE0812"/>
    <w:rsid w:val="0E0E09F1"/>
    <w:rsid w:val="0EFC2E1A"/>
    <w:rsid w:val="0F5D6C4E"/>
    <w:rsid w:val="10C7491E"/>
    <w:rsid w:val="11722768"/>
    <w:rsid w:val="11E67198"/>
    <w:rsid w:val="12674905"/>
    <w:rsid w:val="127B1EE8"/>
    <w:rsid w:val="140A5C97"/>
    <w:rsid w:val="14883C21"/>
    <w:rsid w:val="14A97810"/>
    <w:rsid w:val="15ED6B64"/>
    <w:rsid w:val="167D3359"/>
    <w:rsid w:val="17F80494"/>
    <w:rsid w:val="18FA672B"/>
    <w:rsid w:val="19561A66"/>
    <w:rsid w:val="19995E05"/>
    <w:rsid w:val="1A17372E"/>
    <w:rsid w:val="1A60480E"/>
    <w:rsid w:val="1AE25F7E"/>
    <w:rsid w:val="1B156ABA"/>
    <w:rsid w:val="1B473B57"/>
    <w:rsid w:val="1C427DBE"/>
    <w:rsid w:val="1C450990"/>
    <w:rsid w:val="1C5061AC"/>
    <w:rsid w:val="1CA33C07"/>
    <w:rsid w:val="1CC049C7"/>
    <w:rsid w:val="1CDF11CE"/>
    <w:rsid w:val="1DCC627A"/>
    <w:rsid w:val="1F6F2310"/>
    <w:rsid w:val="1FB6608D"/>
    <w:rsid w:val="1FF61461"/>
    <w:rsid w:val="20214DE0"/>
    <w:rsid w:val="208D7152"/>
    <w:rsid w:val="20BF723F"/>
    <w:rsid w:val="210E2C80"/>
    <w:rsid w:val="21590D98"/>
    <w:rsid w:val="22AE7CF2"/>
    <w:rsid w:val="25AA609D"/>
    <w:rsid w:val="265A5082"/>
    <w:rsid w:val="26AD7EB9"/>
    <w:rsid w:val="26CB5659"/>
    <w:rsid w:val="27322925"/>
    <w:rsid w:val="27A4347B"/>
    <w:rsid w:val="29453001"/>
    <w:rsid w:val="298D57A0"/>
    <w:rsid w:val="29D93253"/>
    <w:rsid w:val="29FE6727"/>
    <w:rsid w:val="2AE85AD0"/>
    <w:rsid w:val="2C9157BB"/>
    <w:rsid w:val="2CA43EAC"/>
    <w:rsid w:val="2DC8627C"/>
    <w:rsid w:val="2DF12D01"/>
    <w:rsid w:val="2E291DCA"/>
    <w:rsid w:val="2E6850C4"/>
    <w:rsid w:val="2F3304AE"/>
    <w:rsid w:val="30FC552F"/>
    <w:rsid w:val="327E6E83"/>
    <w:rsid w:val="32C97E70"/>
    <w:rsid w:val="336232E2"/>
    <w:rsid w:val="33A17AD9"/>
    <w:rsid w:val="366D0B19"/>
    <w:rsid w:val="370217CF"/>
    <w:rsid w:val="38CA3287"/>
    <w:rsid w:val="393D0228"/>
    <w:rsid w:val="3A9555F6"/>
    <w:rsid w:val="3AB1114F"/>
    <w:rsid w:val="3B501E86"/>
    <w:rsid w:val="3B670E01"/>
    <w:rsid w:val="3BCD78FA"/>
    <w:rsid w:val="3D387E40"/>
    <w:rsid w:val="3F211F1D"/>
    <w:rsid w:val="412F32D9"/>
    <w:rsid w:val="418D6D1A"/>
    <w:rsid w:val="42A45EEC"/>
    <w:rsid w:val="430718F4"/>
    <w:rsid w:val="43105256"/>
    <w:rsid w:val="43850424"/>
    <w:rsid w:val="440652C4"/>
    <w:rsid w:val="45052656"/>
    <w:rsid w:val="454B7220"/>
    <w:rsid w:val="458449B8"/>
    <w:rsid w:val="46304A54"/>
    <w:rsid w:val="46F35ED9"/>
    <w:rsid w:val="470F79D6"/>
    <w:rsid w:val="476C02AA"/>
    <w:rsid w:val="47DB4857"/>
    <w:rsid w:val="47E757D8"/>
    <w:rsid w:val="47EB551F"/>
    <w:rsid w:val="48DE0965"/>
    <w:rsid w:val="491906C8"/>
    <w:rsid w:val="49A14719"/>
    <w:rsid w:val="49AD061C"/>
    <w:rsid w:val="4A5E4AB5"/>
    <w:rsid w:val="4AD608CC"/>
    <w:rsid w:val="4C204A8E"/>
    <w:rsid w:val="4CB7508B"/>
    <w:rsid w:val="4EC94233"/>
    <w:rsid w:val="4EFC047F"/>
    <w:rsid w:val="4FB97DF2"/>
    <w:rsid w:val="4FF62448"/>
    <w:rsid w:val="527C34E7"/>
    <w:rsid w:val="53AC1FB4"/>
    <w:rsid w:val="53DB2ACF"/>
    <w:rsid w:val="53FC12DE"/>
    <w:rsid w:val="545119DC"/>
    <w:rsid w:val="551E5EC7"/>
    <w:rsid w:val="5552446F"/>
    <w:rsid w:val="57572BBD"/>
    <w:rsid w:val="57751009"/>
    <w:rsid w:val="577F3FEC"/>
    <w:rsid w:val="57A77DF7"/>
    <w:rsid w:val="57D52615"/>
    <w:rsid w:val="58087A0D"/>
    <w:rsid w:val="586602B0"/>
    <w:rsid w:val="586B6023"/>
    <w:rsid w:val="59DC17F5"/>
    <w:rsid w:val="5B701AC1"/>
    <w:rsid w:val="5D1B5FB8"/>
    <w:rsid w:val="5D582108"/>
    <w:rsid w:val="5D87785D"/>
    <w:rsid w:val="5DBD7170"/>
    <w:rsid w:val="60517888"/>
    <w:rsid w:val="608358A5"/>
    <w:rsid w:val="61517CB9"/>
    <w:rsid w:val="61A721B9"/>
    <w:rsid w:val="636D7D1B"/>
    <w:rsid w:val="639D7E49"/>
    <w:rsid w:val="642A3EA7"/>
    <w:rsid w:val="643B1D3C"/>
    <w:rsid w:val="65834D22"/>
    <w:rsid w:val="65985E6A"/>
    <w:rsid w:val="66403068"/>
    <w:rsid w:val="668C1451"/>
    <w:rsid w:val="66A94E0E"/>
    <w:rsid w:val="677E221C"/>
    <w:rsid w:val="690A2977"/>
    <w:rsid w:val="696C3883"/>
    <w:rsid w:val="699F158E"/>
    <w:rsid w:val="6BAF3F32"/>
    <w:rsid w:val="6C5848CF"/>
    <w:rsid w:val="6E2C592E"/>
    <w:rsid w:val="6E7161E3"/>
    <w:rsid w:val="6EAF4F02"/>
    <w:rsid w:val="700C4FE5"/>
    <w:rsid w:val="70896EC3"/>
    <w:rsid w:val="712B50B5"/>
    <w:rsid w:val="719E59FE"/>
    <w:rsid w:val="7253123B"/>
    <w:rsid w:val="74A31D2B"/>
    <w:rsid w:val="74B420E3"/>
    <w:rsid w:val="762F1DF4"/>
    <w:rsid w:val="777F2604"/>
    <w:rsid w:val="77A32194"/>
    <w:rsid w:val="77C60DEC"/>
    <w:rsid w:val="78AB1EFD"/>
    <w:rsid w:val="792C4022"/>
    <w:rsid w:val="7A045657"/>
    <w:rsid w:val="7AA068D3"/>
    <w:rsid w:val="7BBE194D"/>
    <w:rsid w:val="7BE063DA"/>
    <w:rsid w:val="7C043480"/>
    <w:rsid w:val="7EC20F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1"/>
    <w:basedOn w:val="1"/>
    <w:next w:val="1"/>
    <w:link w:val="37"/>
    <w:qFormat/>
    <w:uiPriority w:val="0"/>
    <w:pPr>
      <w:autoSpaceDE w:val="0"/>
      <w:autoSpaceDN w:val="0"/>
      <w:adjustRightInd w:val="0"/>
      <w:jc w:val="left"/>
      <w:outlineLvl w:val="0"/>
    </w:pPr>
    <w:rPr>
      <w:rFonts w:ascii="宋体"/>
      <w:kern w:val="0"/>
      <w:sz w:val="20"/>
    </w:rPr>
  </w:style>
  <w:style w:type="paragraph" w:styleId="3">
    <w:name w:val="heading 2"/>
    <w:basedOn w:val="1"/>
    <w:next w:val="1"/>
    <w:link w:val="38"/>
    <w:qFormat/>
    <w:uiPriority w:val="0"/>
    <w:pPr>
      <w:autoSpaceDE w:val="0"/>
      <w:autoSpaceDN w:val="0"/>
      <w:adjustRightInd w:val="0"/>
      <w:jc w:val="left"/>
      <w:outlineLvl w:val="1"/>
    </w:pPr>
    <w:rPr>
      <w:rFonts w:ascii="宋体"/>
      <w:kern w:val="0"/>
      <w:sz w:val="20"/>
    </w:rPr>
  </w:style>
  <w:style w:type="paragraph" w:styleId="4">
    <w:name w:val="heading 3"/>
    <w:basedOn w:val="1"/>
    <w:next w:val="1"/>
    <w:link w:val="39"/>
    <w:qFormat/>
    <w:uiPriority w:val="0"/>
    <w:pPr>
      <w:autoSpaceDE w:val="0"/>
      <w:autoSpaceDN w:val="0"/>
      <w:adjustRightInd w:val="0"/>
      <w:jc w:val="left"/>
      <w:outlineLvl w:val="2"/>
    </w:pPr>
    <w:rPr>
      <w:rFonts w:ascii="宋体"/>
      <w:kern w:val="0"/>
      <w:sz w:val="20"/>
    </w:rPr>
  </w:style>
  <w:style w:type="paragraph" w:styleId="5">
    <w:name w:val="heading 4"/>
    <w:basedOn w:val="1"/>
    <w:next w:val="1"/>
    <w:link w:val="40"/>
    <w:qFormat/>
    <w:uiPriority w:val="0"/>
    <w:pPr>
      <w:keepNext/>
      <w:keepLines/>
      <w:spacing w:before="280" w:beforeLines="0" w:after="290" w:afterLines="0" w:line="372" w:lineRule="auto"/>
      <w:outlineLvl w:val="3"/>
    </w:pPr>
    <w:rPr>
      <w:rFonts w:ascii="Arial" w:hAnsi="Arial" w:eastAsia="黑体"/>
      <w:b/>
      <w:kern w:val="0"/>
      <w:sz w:val="28"/>
    </w:rPr>
  </w:style>
  <w:style w:type="paragraph" w:styleId="6">
    <w:name w:val="heading 5"/>
    <w:basedOn w:val="1"/>
    <w:next w:val="7"/>
    <w:link w:val="41"/>
    <w:qFormat/>
    <w:uiPriority w:val="0"/>
    <w:pPr>
      <w:keepNext/>
      <w:keepLines/>
      <w:spacing w:before="280" w:beforeLines="0" w:after="290" w:afterLines="0" w:line="372" w:lineRule="auto"/>
      <w:outlineLvl w:val="4"/>
    </w:pPr>
    <w:rPr>
      <w:b/>
      <w:kern w:val="0"/>
      <w:sz w:val="28"/>
    </w:rPr>
  </w:style>
  <w:style w:type="paragraph" w:styleId="8">
    <w:name w:val="heading 6"/>
    <w:basedOn w:val="1"/>
    <w:next w:val="7"/>
    <w:link w:val="42"/>
    <w:qFormat/>
    <w:uiPriority w:val="0"/>
    <w:pPr>
      <w:keepNext/>
      <w:keepLines/>
      <w:spacing w:before="240" w:beforeLines="0" w:after="64" w:afterLines="0" w:line="317" w:lineRule="auto"/>
      <w:outlineLvl w:val="5"/>
    </w:pPr>
    <w:rPr>
      <w:rFonts w:ascii="Arial" w:hAnsi="Arial" w:eastAsia="黑体"/>
      <w:b/>
      <w:kern w:val="0"/>
      <w:sz w:val="24"/>
    </w:rPr>
  </w:style>
  <w:style w:type="paragraph" w:styleId="9">
    <w:name w:val="heading 7"/>
    <w:basedOn w:val="1"/>
    <w:next w:val="7"/>
    <w:link w:val="43"/>
    <w:qFormat/>
    <w:uiPriority w:val="0"/>
    <w:pPr>
      <w:keepNext/>
      <w:keepLines/>
      <w:spacing w:before="240" w:beforeLines="0" w:after="64" w:afterLines="0" w:line="317" w:lineRule="auto"/>
      <w:outlineLvl w:val="6"/>
    </w:pPr>
    <w:rPr>
      <w:b/>
      <w:kern w:val="0"/>
      <w:sz w:val="24"/>
    </w:rPr>
  </w:style>
  <w:style w:type="paragraph" w:styleId="10">
    <w:name w:val="heading 8"/>
    <w:basedOn w:val="1"/>
    <w:next w:val="7"/>
    <w:link w:val="44"/>
    <w:qFormat/>
    <w:uiPriority w:val="0"/>
    <w:pPr>
      <w:keepNext/>
      <w:keepLines/>
      <w:spacing w:before="240" w:beforeLines="0" w:after="64" w:afterLines="0" w:line="317" w:lineRule="auto"/>
      <w:outlineLvl w:val="7"/>
    </w:pPr>
    <w:rPr>
      <w:rFonts w:ascii="Arial" w:hAnsi="Arial" w:eastAsia="黑体"/>
      <w:kern w:val="0"/>
      <w:sz w:val="24"/>
    </w:rPr>
  </w:style>
  <w:style w:type="paragraph" w:styleId="11">
    <w:name w:val="heading 9"/>
    <w:basedOn w:val="1"/>
    <w:next w:val="7"/>
    <w:link w:val="45"/>
    <w:qFormat/>
    <w:uiPriority w:val="0"/>
    <w:pPr>
      <w:keepNext/>
      <w:keepLines/>
      <w:spacing w:before="240" w:beforeLines="0" w:after="64" w:afterLines="0" w:line="317" w:lineRule="auto"/>
      <w:outlineLvl w:val="8"/>
    </w:pPr>
    <w:rPr>
      <w:rFonts w:ascii="Arial" w:hAnsi="Arial" w:eastAsia="黑体"/>
      <w:kern w:val="0"/>
      <w:sz w:val="20"/>
    </w:rPr>
  </w:style>
  <w:style w:type="character" w:default="1" w:styleId="31">
    <w:name w:val="Default Paragraph Font"/>
    <w:uiPriority w:val="0"/>
  </w:style>
  <w:style w:type="table" w:default="1" w:styleId="30">
    <w:name w:val="Normal Table"/>
    <w:semiHidden/>
    <w:uiPriority w:val="0"/>
    <w:tblPr>
      <w:tblStyle w:val="30"/>
      <w:tblCellMar>
        <w:top w:w="0" w:type="dxa"/>
        <w:left w:w="108" w:type="dxa"/>
        <w:bottom w:w="0" w:type="dxa"/>
        <w:right w:w="108" w:type="dxa"/>
      </w:tblCellMar>
    </w:tblPr>
  </w:style>
  <w:style w:type="paragraph" w:styleId="7">
    <w:name w:val="Normal Indent"/>
    <w:basedOn w:val="1"/>
    <w:uiPriority w:val="0"/>
    <w:pPr>
      <w:autoSpaceDE w:val="0"/>
      <w:autoSpaceDN w:val="0"/>
      <w:spacing w:line="360" w:lineRule="auto"/>
      <w:ind w:left="181" w:firstLine="420"/>
    </w:pPr>
    <w:rPr>
      <w:sz w:val="24"/>
    </w:rPr>
  </w:style>
  <w:style w:type="paragraph" w:styleId="12">
    <w:name w:val="Document Map"/>
    <w:basedOn w:val="1"/>
    <w:link w:val="46"/>
    <w:uiPriority w:val="0"/>
    <w:pPr>
      <w:shd w:val="clear" w:color="auto" w:fill="000080"/>
    </w:pPr>
    <w:rPr>
      <w:kern w:val="0"/>
      <w:sz w:val="20"/>
      <w:shd w:val="clear" w:color="auto" w:fill="000080"/>
    </w:rPr>
  </w:style>
  <w:style w:type="paragraph" w:styleId="13">
    <w:name w:val="annotation text"/>
    <w:basedOn w:val="1"/>
    <w:link w:val="47"/>
    <w:uiPriority w:val="0"/>
    <w:pPr>
      <w:jc w:val="left"/>
    </w:pPr>
    <w:rPr>
      <w:kern w:val="0"/>
      <w:sz w:val="20"/>
    </w:rPr>
  </w:style>
  <w:style w:type="paragraph" w:styleId="14">
    <w:name w:val="Body Text 3"/>
    <w:basedOn w:val="1"/>
    <w:link w:val="48"/>
    <w:uiPriority w:val="0"/>
    <w:rPr>
      <w:rFonts w:ascii="宋体" w:hAnsi="宋体"/>
      <w:kern w:val="0"/>
      <w:sz w:val="24"/>
    </w:rPr>
  </w:style>
  <w:style w:type="paragraph" w:styleId="15">
    <w:name w:val="Body Text"/>
    <w:basedOn w:val="1"/>
    <w:link w:val="49"/>
    <w:uiPriority w:val="0"/>
    <w:pPr>
      <w:spacing w:after="120" w:afterLines="0"/>
    </w:pPr>
    <w:rPr>
      <w:kern w:val="0"/>
      <w:sz w:val="20"/>
    </w:rPr>
  </w:style>
  <w:style w:type="paragraph" w:styleId="16">
    <w:name w:val="Body Text Indent"/>
    <w:basedOn w:val="1"/>
    <w:link w:val="50"/>
    <w:uiPriority w:val="0"/>
    <w:pPr>
      <w:ind w:firstLine="540" w:firstLineChars="225"/>
    </w:pPr>
    <w:rPr>
      <w:color w:val="000000"/>
      <w:kern w:val="0"/>
      <w:sz w:val="24"/>
    </w:rPr>
  </w:style>
  <w:style w:type="paragraph" w:styleId="17">
    <w:name w:val="Plain Text"/>
    <w:basedOn w:val="1"/>
    <w:link w:val="51"/>
    <w:uiPriority w:val="0"/>
    <w:rPr>
      <w:rFonts w:ascii="宋体" w:hAnsi="Courier New"/>
      <w:kern w:val="0"/>
      <w:sz w:val="20"/>
    </w:rPr>
  </w:style>
  <w:style w:type="paragraph" w:styleId="18">
    <w:name w:val="Date"/>
    <w:basedOn w:val="1"/>
    <w:next w:val="1"/>
    <w:link w:val="52"/>
    <w:uiPriority w:val="0"/>
    <w:pPr>
      <w:ind w:left="100" w:leftChars="2500"/>
    </w:pPr>
    <w:rPr>
      <w:rFonts w:ascii="黑体" w:eastAsia="黑体"/>
      <w:kern w:val="0"/>
      <w:sz w:val="32"/>
    </w:rPr>
  </w:style>
  <w:style w:type="paragraph" w:styleId="19">
    <w:name w:val="Body Text Indent 2"/>
    <w:basedOn w:val="1"/>
    <w:link w:val="53"/>
    <w:uiPriority w:val="0"/>
    <w:pPr>
      <w:ind w:firstLine="720"/>
    </w:pPr>
    <w:rPr>
      <w:rFonts w:ascii="Arial" w:hAnsi="Arial"/>
      <w:kern w:val="0"/>
      <w:sz w:val="24"/>
    </w:rPr>
  </w:style>
  <w:style w:type="paragraph" w:styleId="20">
    <w:name w:val="Balloon Text"/>
    <w:basedOn w:val="1"/>
    <w:link w:val="54"/>
    <w:uiPriority w:val="0"/>
    <w:rPr>
      <w:kern w:val="0"/>
      <w:sz w:val="18"/>
    </w:rPr>
  </w:style>
  <w:style w:type="paragraph" w:styleId="21">
    <w:name w:val="footer"/>
    <w:basedOn w:val="1"/>
    <w:link w:val="55"/>
    <w:uiPriority w:val="0"/>
    <w:pPr>
      <w:tabs>
        <w:tab w:val="center" w:pos="4153"/>
        <w:tab w:val="right" w:pos="8306"/>
      </w:tabs>
      <w:snapToGrid w:val="0"/>
      <w:jc w:val="left"/>
    </w:pPr>
    <w:rPr>
      <w:kern w:val="0"/>
      <w:sz w:val="18"/>
      <w:szCs w:val="18"/>
    </w:rPr>
  </w:style>
  <w:style w:type="paragraph" w:styleId="22">
    <w:name w:val="header"/>
    <w:basedOn w:val="1"/>
    <w:link w:val="56"/>
    <w:uiPriority w:val="0"/>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iPriority w:val="39"/>
    <w:pPr>
      <w:adjustRightInd w:val="0"/>
      <w:spacing w:line="560" w:lineRule="exact"/>
      <w:ind w:firstLine="567"/>
    </w:pPr>
    <w:rPr>
      <w:rFonts w:ascii="仿宋_GB2312" w:eastAsia="仿宋_GB2312"/>
      <w:sz w:val="28"/>
    </w:rPr>
  </w:style>
  <w:style w:type="paragraph" w:styleId="24">
    <w:name w:val="Body Text Indent 3"/>
    <w:basedOn w:val="1"/>
    <w:link w:val="57"/>
    <w:uiPriority w:val="0"/>
    <w:pPr>
      <w:ind w:firstLine="560"/>
    </w:pPr>
    <w:rPr>
      <w:kern w:val="0"/>
      <w:sz w:val="24"/>
    </w:rPr>
  </w:style>
  <w:style w:type="paragraph" w:styleId="25">
    <w:name w:val="Body Text 2"/>
    <w:basedOn w:val="1"/>
    <w:link w:val="58"/>
    <w:uiPriority w:val="0"/>
    <w:pPr>
      <w:spacing w:after="120" w:afterLines="0" w:line="480" w:lineRule="auto"/>
    </w:pPr>
    <w:rPr>
      <w:kern w:val="0"/>
      <w:sz w:val="20"/>
    </w:rPr>
  </w:style>
  <w:style w:type="paragraph" w:styleId="26">
    <w:name w:val="Normal (Web)"/>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styleId="27">
    <w:name w:val="Title"/>
    <w:basedOn w:val="1"/>
    <w:next w:val="1"/>
    <w:link w:val="59"/>
    <w:qFormat/>
    <w:uiPriority w:val="0"/>
    <w:pPr>
      <w:spacing w:before="240" w:after="60"/>
      <w:jc w:val="center"/>
      <w:outlineLvl w:val="0"/>
    </w:pPr>
    <w:rPr>
      <w:rFonts w:ascii="Cambria" w:hAnsi="Cambria"/>
      <w:b/>
      <w:bCs/>
      <w:sz w:val="32"/>
      <w:szCs w:val="32"/>
    </w:rPr>
  </w:style>
  <w:style w:type="paragraph" w:styleId="28">
    <w:name w:val="annotation subject"/>
    <w:basedOn w:val="13"/>
    <w:next w:val="13"/>
    <w:link w:val="60"/>
    <w:uiPriority w:val="0"/>
    <w:rPr>
      <w:b/>
    </w:rPr>
  </w:style>
  <w:style w:type="paragraph" w:styleId="29">
    <w:name w:val="Body Text First Indent"/>
    <w:basedOn w:val="15"/>
    <w:link w:val="61"/>
    <w:uiPriority w:val="0"/>
    <w:pPr>
      <w:adjustRightInd w:val="0"/>
      <w:snapToGrid w:val="0"/>
      <w:ind w:firstLine="420" w:firstLineChars="100"/>
    </w:pPr>
    <w:rPr>
      <w:rFonts w:ascii="宋体" w:hAnsi="宋体" w:eastAsia="仿宋_GB2312"/>
      <w:bdr w:val="single" w:color="auto" w:sz="4" w:space="0"/>
    </w:rPr>
  </w:style>
  <w:style w:type="character" w:styleId="32">
    <w:name w:val="Strong"/>
    <w:qFormat/>
    <w:uiPriority w:val="0"/>
    <w:rPr>
      <w:b/>
    </w:rPr>
  </w:style>
  <w:style w:type="character" w:styleId="33">
    <w:name w:val="page number"/>
    <w:uiPriority w:val="0"/>
  </w:style>
  <w:style w:type="character" w:styleId="34">
    <w:name w:val="FollowedHyperlink"/>
    <w:uiPriority w:val="0"/>
    <w:rPr>
      <w:color w:val="800080"/>
      <w:u w:val="single"/>
    </w:rPr>
  </w:style>
  <w:style w:type="character" w:styleId="35">
    <w:name w:val="Hyperlink"/>
    <w:uiPriority w:val="99"/>
    <w:rPr>
      <w:color w:val="0000FF"/>
      <w:u w:val="single"/>
    </w:rPr>
  </w:style>
  <w:style w:type="character" w:styleId="36">
    <w:name w:val="annotation reference"/>
    <w:uiPriority w:val="0"/>
    <w:rPr>
      <w:sz w:val="21"/>
    </w:rPr>
  </w:style>
  <w:style w:type="character" w:customStyle="1" w:styleId="37">
    <w:name w:val="标题 1 Char"/>
    <w:link w:val="2"/>
    <w:uiPriority w:val="0"/>
    <w:rPr>
      <w:rFonts w:ascii="宋体" w:hAnsi="Times New Roman" w:eastAsia="宋体" w:cs="Times New Roman"/>
      <w:kern w:val="0"/>
      <w:sz w:val="20"/>
      <w:szCs w:val="20"/>
    </w:rPr>
  </w:style>
  <w:style w:type="character" w:customStyle="1" w:styleId="38">
    <w:name w:val="标题 2 Char"/>
    <w:link w:val="3"/>
    <w:uiPriority w:val="0"/>
    <w:rPr>
      <w:rFonts w:ascii="宋体" w:hAnsi="Times New Roman" w:eastAsia="宋体" w:cs="Times New Roman"/>
      <w:kern w:val="0"/>
      <w:sz w:val="20"/>
      <w:szCs w:val="20"/>
    </w:rPr>
  </w:style>
  <w:style w:type="character" w:customStyle="1" w:styleId="39">
    <w:name w:val="标题 3 Char"/>
    <w:link w:val="4"/>
    <w:uiPriority w:val="0"/>
    <w:rPr>
      <w:rFonts w:ascii="宋体" w:hAnsi="Times New Roman" w:eastAsia="宋体" w:cs="Times New Roman"/>
      <w:kern w:val="0"/>
      <w:sz w:val="20"/>
      <w:szCs w:val="20"/>
    </w:rPr>
  </w:style>
  <w:style w:type="character" w:customStyle="1" w:styleId="40">
    <w:name w:val="标题 4 Char"/>
    <w:link w:val="5"/>
    <w:uiPriority w:val="0"/>
    <w:rPr>
      <w:rFonts w:ascii="Arial" w:hAnsi="Arial" w:eastAsia="黑体" w:cs="Times New Roman"/>
      <w:b/>
      <w:sz w:val="28"/>
      <w:szCs w:val="20"/>
    </w:rPr>
  </w:style>
  <w:style w:type="character" w:customStyle="1" w:styleId="41">
    <w:name w:val="标题 5 Char"/>
    <w:link w:val="6"/>
    <w:uiPriority w:val="0"/>
    <w:rPr>
      <w:rFonts w:ascii="Times New Roman" w:hAnsi="Times New Roman" w:eastAsia="宋体" w:cs="Times New Roman"/>
      <w:b/>
      <w:sz w:val="28"/>
      <w:szCs w:val="20"/>
    </w:rPr>
  </w:style>
  <w:style w:type="character" w:customStyle="1" w:styleId="42">
    <w:name w:val="标题 6 Char"/>
    <w:link w:val="8"/>
    <w:uiPriority w:val="0"/>
    <w:rPr>
      <w:rFonts w:ascii="Arial" w:hAnsi="Arial" w:eastAsia="黑体" w:cs="Times New Roman"/>
      <w:b/>
      <w:sz w:val="24"/>
      <w:szCs w:val="20"/>
    </w:rPr>
  </w:style>
  <w:style w:type="character" w:customStyle="1" w:styleId="43">
    <w:name w:val="标题 7 Char"/>
    <w:link w:val="9"/>
    <w:uiPriority w:val="0"/>
    <w:rPr>
      <w:rFonts w:ascii="Times New Roman" w:hAnsi="Times New Roman" w:eastAsia="宋体" w:cs="Times New Roman"/>
      <w:b/>
      <w:sz w:val="24"/>
      <w:szCs w:val="20"/>
    </w:rPr>
  </w:style>
  <w:style w:type="character" w:customStyle="1" w:styleId="44">
    <w:name w:val="标题 8 Char"/>
    <w:link w:val="10"/>
    <w:uiPriority w:val="0"/>
    <w:rPr>
      <w:rFonts w:ascii="Arial" w:hAnsi="Arial" w:eastAsia="黑体" w:cs="Times New Roman"/>
      <w:sz w:val="24"/>
      <w:szCs w:val="20"/>
    </w:rPr>
  </w:style>
  <w:style w:type="character" w:customStyle="1" w:styleId="45">
    <w:name w:val="标题 9 Char"/>
    <w:link w:val="11"/>
    <w:uiPriority w:val="0"/>
    <w:rPr>
      <w:rFonts w:ascii="Arial" w:hAnsi="Arial" w:eastAsia="黑体" w:cs="Times New Roman"/>
      <w:szCs w:val="20"/>
    </w:rPr>
  </w:style>
  <w:style w:type="character" w:customStyle="1" w:styleId="46">
    <w:name w:val="文档结构图 Char"/>
    <w:link w:val="12"/>
    <w:uiPriority w:val="0"/>
    <w:rPr>
      <w:rFonts w:ascii="Times New Roman" w:hAnsi="Times New Roman" w:eastAsia="宋体" w:cs="Times New Roman"/>
      <w:szCs w:val="20"/>
      <w:shd w:val="clear" w:color="auto" w:fill="000080"/>
    </w:rPr>
  </w:style>
  <w:style w:type="character" w:customStyle="1" w:styleId="47">
    <w:name w:val="批注文字 Char"/>
    <w:link w:val="13"/>
    <w:uiPriority w:val="0"/>
    <w:rPr>
      <w:rFonts w:ascii="Times New Roman" w:hAnsi="Times New Roman" w:eastAsia="宋体" w:cs="Times New Roman"/>
      <w:szCs w:val="20"/>
    </w:rPr>
  </w:style>
  <w:style w:type="character" w:customStyle="1" w:styleId="48">
    <w:name w:val="正文文本 3 Char"/>
    <w:link w:val="14"/>
    <w:uiPriority w:val="0"/>
    <w:rPr>
      <w:rFonts w:ascii="宋体" w:hAnsi="宋体" w:eastAsia="宋体" w:cs="Times New Roman"/>
      <w:sz w:val="24"/>
      <w:szCs w:val="20"/>
    </w:rPr>
  </w:style>
  <w:style w:type="character" w:customStyle="1" w:styleId="49">
    <w:name w:val="正文文本 Char"/>
    <w:link w:val="15"/>
    <w:uiPriority w:val="0"/>
    <w:rPr>
      <w:rFonts w:ascii="Times New Roman" w:hAnsi="Times New Roman" w:eastAsia="宋体" w:cs="Times New Roman"/>
      <w:szCs w:val="20"/>
    </w:rPr>
  </w:style>
  <w:style w:type="character" w:customStyle="1" w:styleId="50">
    <w:name w:val="正文文本缩进 Char"/>
    <w:link w:val="16"/>
    <w:uiPriority w:val="0"/>
    <w:rPr>
      <w:rFonts w:ascii="Times New Roman" w:hAnsi="Times New Roman" w:eastAsia="宋体" w:cs="Times New Roman"/>
      <w:color w:val="000000"/>
      <w:sz w:val="24"/>
      <w:szCs w:val="20"/>
    </w:rPr>
  </w:style>
  <w:style w:type="character" w:customStyle="1" w:styleId="51">
    <w:name w:val="纯文本 Char"/>
    <w:link w:val="17"/>
    <w:uiPriority w:val="0"/>
    <w:rPr>
      <w:rFonts w:ascii="宋体" w:hAnsi="Courier New" w:eastAsia="宋体" w:cs="Times New Roman"/>
      <w:szCs w:val="20"/>
    </w:rPr>
  </w:style>
  <w:style w:type="character" w:customStyle="1" w:styleId="52">
    <w:name w:val="日期 Char"/>
    <w:link w:val="18"/>
    <w:uiPriority w:val="0"/>
    <w:rPr>
      <w:rFonts w:ascii="黑体" w:hAnsi="Times New Roman" w:eastAsia="黑体" w:cs="Times New Roman"/>
      <w:sz w:val="32"/>
      <w:szCs w:val="20"/>
    </w:rPr>
  </w:style>
  <w:style w:type="character" w:customStyle="1" w:styleId="53">
    <w:name w:val="正文文本缩进 2 Char"/>
    <w:link w:val="19"/>
    <w:uiPriority w:val="0"/>
    <w:rPr>
      <w:rFonts w:ascii="Arial" w:hAnsi="Arial" w:eastAsia="宋体" w:cs="Times New Roman"/>
      <w:sz w:val="24"/>
      <w:szCs w:val="20"/>
    </w:rPr>
  </w:style>
  <w:style w:type="character" w:customStyle="1" w:styleId="54">
    <w:name w:val="批注框文本 Char"/>
    <w:link w:val="20"/>
    <w:uiPriority w:val="0"/>
    <w:rPr>
      <w:rFonts w:ascii="Times New Roman" w:hAnsi="Times New Roman" w:eastAsia="宋体" w:cs="Times New Roman"/>
      <w:sz w:val="18"/>
      <w:szCs w:val="20"/>
    </w:rPr>
  </w:style>
  <w:style w:type="character" w:customStyle="1" w:styleId="55">
    <w:name w:val="页脚 Char"/>
    <w:link w:val="21"/>
    <w:uiPriority w:val="0"/>
    <w:rPr>
      <w:sz w:val="18"/>
      <w:szCs w:val="18"/>
    </w:rPr>
  </w:style>
  <w:style w:type="character" w:customStyle="1" w:styleId="56">
    <w:name w:val="页眉 Char"/>
    <w:link w:val="22"/>
    <w:uiPriority w:val="0"/>
    <w:rPr>
      <w:sz w:val="18"/>
      <w:szCs w:val="18"/>
    </w:rPr>
  </w:style>
  <w:style w:type="character" w:customStyle="1" w:styleId="57">
    <w:name w:val="正文文本缩进 3 Char"/>
    <w:link w:val="24"/>
    <w:uiPriority w:val="0"/>
    <w:rPr>
      <w:rFonts w:ascii="Times New Roman" w:hAnsi="Times New Roman" w:eastAsia="宋体" w:cs="Times New Roman"/>
      <w:sz w:val="24"/>
      <w:szCs w:val="20"/>
    </w:rPr>
  </w:style>
  <w:style w:type="character" w:customStyle="1" w:styleId="58">
    <w:name w:val="正文文本 2 Char"/>
    <w:link w:val="25"/>
    <w:uiPriority w:val="0"/>
    <w:rPr>
      <w:rFonts w:ascii="Times New Roman" w:hAnsi="Times New Roman" w:eastAsia="宋体" w:cs="Times New Roman"/>
      <w:szCs w:val="20"/>
    </w:rPr>
  </w:style>
  <w:style w:type="character" w:customStyle="1" w:styleId="59">
    <w:name w:val="标题 Char"/>
    <w:link w:val="27"/>
    <w:uiPriority w:val="0"/>
    <w:rPr>
      <w:rFonts w:ascii="Cambria" w:hAnsi="Cambria"/>
      <w:b/>
      <w:bCs/>
      <w:kern w:val="2"/>
      <w:sz w:val="32"/>
      <w:szCs w:val="32"/>
    </w:rPr>
  </w:style>
  <w:style w:type="character" w:customStyle="1" w:styleId="60">
    <w:name w:val="批注主题 Char"/>
    <w:link w:val="28"/>
    <w:uiPriority w:val="0"/>
    <w:rPr>
      <w:rFonts w:ascii="Times New Roman" w:hAnsi="Times New Roman" w:eastAsia="宋体" w:cs="Times New Roman"/>
      <w:b/>
      <w:szCs w:val="20"/>
    </w:rPr>
  </w:style>
  <w:style w:type="character" w:customStyle="1" w:styleId="61">
    <w:name w:val="正文首行缩进 Char"/>
    <w:link w:val="29"/>
    <w:uiPriority w:val="0"/>
    <w:rPr>
      <w:rFonts w:ascii="宋体" w:hAnsi="宋体" w:eastAsia="仿宋_GB2312" w:cs="Times New Roman"/>
      <w:szCs w:val="20"/>
      <w:bdr w:val="single" w:color="auto" w:sz="4" w:space="0"/>
    </w:rPr>
  </w:style>
  <w:style w:type="character" w:customStyle="1" w:styleId="62">
    <w:name w:val="title"/>
    <w:uiPriority w:val="0"/>
  </w:style>
  <w:style w:type="character" w:customStyle="1" w:styleId="63">
    <w:name w:val="i1"/>
    <w:uiPriority w:val="0"/>
    <w:rPr>
      <w:sz w:val="18"/>
    </w:rPr>
  </w:style>
  <w:style w:type="character" w:customStyle="1" w:styleId="64">
    <w:name w:val="ggnr1"/>
    <w:uiPriority w:val="0"/>
    <w:rPr>
      <w:sz w:val="26"/>
    </w:rPr>
  </w:style>
  <w:style w:type="character" w:customStyle="1" w:styleId="65">
    <w:name w:val="样式 样式 样式 样式 表格 + 自动设置 + (西文) Times New Roman 黑色 两端对齐 + + 首行缩进:  ... Char Char"/>
    <w:link w:val="66"/>
    <w:uiPriority w:val="0"/>
    <w:rPr>
      <w:rFonts w:ascii="宋体" w:hAnsi="宋体" w:eastAsia="宋体"/>
      <w:color w:val="FF0000"/>
      <w:sz w:val="24"/>
    </w:rPr>
  </w:style>
  <w:style w:type="paragraph" w:customStyle="1" w:styleId="66">
    <w:name w:val="样式 样式 样式 样式 表格 + 自动设置 + (西文) Times New Roman 黑色 两端对齐 + + 首行缩进:  ..."/>
    <w:basedOn w:val="1"/>
    <w:link w:val="65"/>
    <w:uiPriority w:val="0"/>
    <w:pPr>
      <w:adjustRightInd w:val="0"/>
      <w:snapToGrid w:val="0"/>
      <w:spacing w:line="360" w:lineRule="exact"/>
      <w:jc w:val="center"/>
    </w:pPr>
    <w:rPr>
      <w:rFonts w:ascii="宋体" w:hAnsi="宋体"/>
      <w:color w:val="FF0000"/>
      <w:kern w:val="0"/>
      <w:sz w:val="24"/>
    </w:rPr>
  </w:style>
  <w:style w:type="character" w:customStyle="1" w:styleId="67">
    <w:name w:val="fontstyle01"/>
    <w:uiPriority w:val="0"/>
    <w:rPr>
      <w:rFonts w:hint="eastAsia" w:ascii="仿宋_GB2312" w:eastAsia="仿宋_GB2312"/>
      <w:color w:val="000000"/>
      <w:sz w:val="32"/>
      <w:szCs w:val="32"/>
    </w:rPr>
  </w:style>
  <w:style w:type="character" w:customStyle="1" w:styleId="68">
    <w:name w:val="Char Char Char"/>
    <w:uiPriority w:val="0"/>
    <w:rPr>
      <w:rFonts w:ascii="宋体" w:hAnsi="Courier New" w:eastAsia="宋体"/>
      <w:kern w:val="2"/>
      <w:sz w:val="21"/>
      <w:lang w:val="en-US" w:eastAsia="zh-CN" w:bidi="ar-SA"/>
    </w:rPr>
  </w:style>
  <w:style w:type="character" w:customStyle="1" w:styleId="69">
    <w:name w:val=" Char Char2"/>
    <w:uiPriority w:val="0"/>
    <w:rPr>
      <w:rFonts w:ascii="宋体" w:hAnsi="Courier New" w:eastAsia="宋体"/>
      <w:kern w:val="2"/>
      <w:sz w:val="21"/>
      <w:lang w:val="en-US" w:eastAsia="zh-CN" w:bidi="ar-SA"/>
    </w:rPr>
  </w:style>
  <w:style w:type="character" w:customStyle="1" w:styleId="70">
    <w:name w:val="样式 样式 样式 样式 正文文本正文文字 Char + 首行缩进:  2 字符1 Char + Times New Roman ... Char Char Char Char"/>
    <w:uiPriority w:val="0"/>
    <w:rPr>
      <w:rFonts w:ascii="宋体" w:hAnsi="宋体" w:eastAsia="宋体"/>
      <w:kern w:val="2"/>
      <w:sz w:val="24"/>
      <w:lang w:val="en-US" w:eastAsia="zh-CN"/>
    </w:rPr>
  </w:style>
  <w:style w:type="character" w:customStyle="1" w:styleId="71">
    <w:name w:val="样式 样式 样式 公表头 + 居中 + 两端对齐1 + 黑色 首行缩进:  0.74 厘米 Char Char"/>
    <w:link w:val="72"/>
    <w:uiPriority w:val="0"/>
    <w:rPr>
      <w:rFonts w:ascii="黑体" w:hAnsi="宋体" w:eastAsia="黑体" w:cs="宋体"/>
      <w:color w:val="000000"/>
      <w:sz w:val="24"/>
    </w:rPr>
  </w:style>
  <w:style w:type="paragraph" w:customStyle="1" w:styleId="72">
    <w:name w:val="样式 样式 样式 公表头 + 居中 + 两端对齐1 + 黑色 首行缩进:  0.74 厘米"/>
    <w:basedOn w:val="1"/>
    <w:link w:val="71"/>
    <w:uiPriority w:val="0"/>
    <w:pPr>
      <w:adjustRightInd w:val="0"/>
      <w:snapToGrid w:val="0"/>
      <w:spacing w:line="300" w:lineRule="auto"/>
      <w:ind w:firstLine="420"/>
      <w:jc w:val="center"/>
    </w:pPr>
    <w:rPr>
      <w:rFonts w:ascii="黑体" w:hAnsi="宋体" w:eastAsia="黑体"/>
      <w:color w:val="000000"/>
      <w:kern w:val="0"/>
      <w:sz w:val="24"/>
    </w:rPr>
  </w:style>
  <w:style w:type="character" w:customStyle="1" w:styleId="73">
    <w:name w:val="样式 样式 样式 正文文本正文文字 Char + 首行缩进:  2 字符1 Char + Times New Roman + 黑色 Char"/>
    <w:uiPriority w:val="0"/>
    <w:rPr>
      <w:rFonts w:ascii="宋体" w:hAnsi="宋体" w:eastAsia="仿宋_GB2312"/>
      <w:color w:val="000000"/>
      <w:kern w:val="2"/>
      <w:sz w:val="28"/>
      <w:lang w:val="en-US" w:eastAsia="zh-CN"/>
    </w:rPr>
  </w:style>
  <w:style w:type="character" w:customStyle="1" w:styleId="74">
    <w:name w:val="样式 样式 样式 样式 样式 公表文 + 段前: 0.2 行 段后: 0.2 行 + 段前: 0.2 行 段后: 0.2 行 +... Char Char"/>
    <w:link w:val="75"/>
    <w:uiPriority w:val="0"/>
    <w:rPr>
      <w:rFonts w:ascii="宋体" w:hAnsi="宋体" w:eastAsia="楷体_GB2312" w:cs="宋体"/>
      <w:color w:val="000000"/>
    </w:rPr>
  </w:style>
  <w:style w:type="paragraph" w:customStyle="1" w:styleId="75">
    <w:name w:val="样式 样式 样式 样式 样式 公表文 + 段前: 0.2 行 段后: 0.2 行 + 段前: 0.2 行 段后: 0.2 行 +..."/>
    <w:basedOn w:val="1"/>
    <w:link w:val="74"/>
    <w:uiPriority w:val="0"/>
    <w:pPr>
      <w:adjustRightInd w:val="0"/>
      <w:snapToGrid w:val="0"/>
      <w:spacing w:before="62" w:beforeLines="20" w:after="62" w:afterLines="20"/>
      <w:jc w:val="center"/>
    </w:pPr>
    <w:rPr>
      <w:rFonts w:ascii="宋体" w:hAnsi="宋体" w:eastAsia="楷体_GB2312"/>
      <w:color w:val="000000"/>
      <w:kern w:val="0"/>
      <w:sz w:val="20"/>
    </w:rPr>
  </w:style>
  <w:style w:type="character" w:customStyle="1" w:styleId="76">
    <w:name w:val="HTML Markup"/>
    <w:uiPriority w:val="0"/>
    <w:rPr>
      <w:vanish/>
      <w:color w:val="FF0000"/>
    </w:rPr>
  </w:style>
  <w:style w:type="paragraph" w:customStyle="1" w:styleId="77">
    <w:name w:val="Char Char1"/>
    <w:basedOn w:val="1"/>
    <w:uiPriority w:val="0"/>
    <w:pPr>
      <w:widowControl/>
      <w:spacing w:after="160" w:afterLines="0" w:line="240" w:lineRule="exact"/>
      <w:jc w:val="left"/>
    </w:pPr>
    <w:rPr>
      <w:rFonts w:ascii="Verdana" w:hAnsi="Verdana" w:eastAsia="楷体_GB2312"/>
      <w:b/>
      <w:i/>
      <w:color w:val="000000"/>
      <w:kern w:val="0"/>
      <w:sz w:val="20"/>
      <w:lang w:eastAsia="en-US"/>
    </w:rPr>
  </w:style>
  <w:style w:type="paragraph" w:customStyle="1" w:styleId="78">
    <w:name w:val="公文标题"/>
    <w:basedOn w:val="4"/>
    <w:uiPriority w:val="0"/>
    <w:pPr>
      <w:keepNext/>
      <w:keepLines/>
      <w:autoSpaceDE/>
      <w:autoSpaceDN/>
      <w:adjustRightInd/>
      <w:spacing w:before="260" w:beforeLines="0" w:after="260" w:afterLines="0"/>
      <w:ind w:left="1469" w:right="1542"/>
      <w:jc w:val="center"/>
    </w:pPr>
    <w:rPr>
      <w:rFonts w:ascii="Times New Roman"/>
      <w:b/>
      <w:kern w:val="2"/>
      <w:sz w:val="36"/>
    </w:rPr>
  </w:style>
  <w:style w:type="paragraph" w:customStyle="1" w:styleId="79">
    <w:name w:val="样式 样式 样式 样式 正文文本正文文字 Char + 首行缩进:  2 字符1 Char + Times New Roman ..."/>
    <w:basedOn w:val="1"/>
    <w:uiPriority w:val="0"/>
    <w:pPr>
      <w:adjustRightInd w:val="0"/>
      <w:snapToGrid w:val="0"/>
      <w:spacing w:line="500" w:lineRule="exact"/>
      <w:ind w:firstLine="641" w:firstLineChars="200"/>
    </w:pPr>
    <w:rPr>
      <w:rFonts w:ascii="宋体" w:hAnsi="宋体"/>
      <w:b/>
      <w:color w:val="000000"/>
      <w:sz w:val="32"/>
    </w:rPr>
  </w:style>
  <w:style w:type="paragraph" w:customStyle="1" w:styleId="80">
    <w:name w:val="样式 样式 样式 表头 + 居中 + 两端对齐 + 四号"/>
    <w:basedOn w:val="1"/>
    <w:uiPriority w:val="0"/>
    <w:pPr>
      <w:adjustRightInd w:val="0"/>
      <w:snapToGrid w:val="0"/>
      <w:spacing w:before="60" w:beforeLines="0" w:after="60" w:afterLines="0" w:line="353" w:lineRule="auto"/>
      <w:jc w:val="center"/>
    </w:pPr>
    <w:rPr>
      <w:rFonts w:ascii="宋体" w:hAnsi="宋体"/>
      <w:b/>
      <w:sz w:val="28"/>
    </w:rPr>
  </w:style>
  <w:style w:type="paragraph" w:customStyle="1" w:styleId="81">
    <w:name w:val=" Char Char Char Char Char Char Char"/>
    <w:basedOn w:val="1"/>
    <w:uiPriority w:val="0"/>
    <w:pPr>
      <w:widowControl/>
      <w:spacing w:after="160" w:afterLines="0" w:line="240" w:lineRule="exact"/>
      <w:jc w:val="left"/>
    </w:pPr>
  </w:style>
  <w:style w:type="paragraph" w:customStyle="1" w:styleId="82">
    <w:name w:val="Char"/>
    <w:basedOn w:val="1"/>
    <w:uiPriority w:val="0"/>
    <w:rPr>
      <w:rFonts w:ascii="仿宋_GB2312" w:eastAsia="仿宋_GB2312"/>
      <w:b/>
      <w:sz w:val="32"/>
    </w:rPr>
  </w:style>
  <w:style w:type="paragraph" w:customStyle="1" w:styleId="83">
    <w:name w:val="表格"/>
    <w:basedOn w:val="1"/>
    <w:uiPriority w:val="0"/>
    <w:pPr>
      <w:adjustRightInd w:val="0"/>
      <w:jc w:val="center"/>
      <w:textAlignment w:val="baseline"/>
    </w:pPr>
    <w:rPr>
      <w:rFonts w:ascii="宋体" w:hAnsi="宋体"/>
      <w:snapToGrid w:val="0"/>
      <w:color w:val="000000"/>
      <w:spacing w:val="-10"/>
      <w:sz w:val="24"/>
    </w:rPr>
  </w:style>
  <w:style w:type="paragraph" w:customStyle="1" w:styleId="84">
    <w:name w:val="样式 公正文 + 首行缩进:  2 字符"/>
    <w:basedOn w:val="1"/>
    <w:uiPriority w:val="0"/>
    <w:pPr>
      <w:adjustRightInd w:val="0"/>
      <w:snapToGrid w:val="0"/>
      <w:spacing w:line="353" w:lineRule="auto"/>
      <w:ind w:firstLine="560" w:firstLineChars="200"/>
    </w:pPr>
    <w:rPr>
      <w:rFonts w:ascii="宋体" w:hAnsi="宋体" w:eastAsia="仿宋_GB2312" w:cs="宋体"/>
      <w:sz w:val="28"/>
    </w:rPr>
  </w:style>
  <w:style w:type="paragraph" w:customStyle="1" w:styleId="85">
    <w:name w:val=" Char Char Char Char"/>
    <w:basedOn w:val="1"/>
    <w:uiPriority w:val="0"/>
    <w:pPr>
      <w:widowControl/>
      <w:spacing w:after="160" w:afterLines="0" w:line="240" w:lineRule="exact"/>
      <w:jc w:val="left"/>
    </w:pPr>
  </w:style>
  <w:style w:type="paragraph" w:customStyle="1" w:styleId="86">
    <w:name w:val=" Char Char1"/>
    <w:basedOn w:val="1"/>
    <w:uiPriority w:val="0"/>
    <w:pPr>
      <w:widowControl/>
      <w:spacing w:after="160" w:afterLines="0" w:line="240" w:lineRule="exact"/>
      <w:jc w:val="left"/>
    </w:pPr>
    <w:rPr>
      <w:rFonts w:ascii="Verdana" w:hAnsi="Verdana" w:eastAsia="楷体_GB2312"/>
      <w:b/>
      <w:i/>
      <w:color w:val="000000"/>
      <w:kern w:val="0"/>
      <w:sz w:val="20"/>
      <w:lang w:eastAsia="en-US"/>
    </w:rPr>
  </w:style>
  <w:style w:type="paragraph" w:customStyle="1" w:styleId="87">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88">
    <w:name w:val="xl22"/>
    <w:basedOn w:val="1"/>
    <w:uiPriority w:val="0"/>
    <w:pPr>
      <w:widowControl/>
      <w:pBdr>
        <w:bottom w:val="single" w:color="auto" w:sz="4" w:space="0"/>
        <w:right w:val="single" w:color="auto" w:sz="4" w:space="0"/>
      </w:pBdr>
      <w:spacing w:before="100" w:beforeLines="0" w:beforeAutospacing="1" w:after="100" w:afterLines="0" w:afterAutospacing="1"/>
      <w:jc w:val="center"/>
    </w:pPr>
    <w:rPr>
      <w:rFonts w:ascii="Arial Unicode MS" w:hAnsi="Arial Unicode MS" w:eastAsia="Arial Unicode MS"/>
      <w:kern w:val="0"/>
      <w:szCs w:val="21"/>
    </w:rPr>
  </w:style>
  <w:style w:type="paragraph" w:customStyle="1" w:styleId="89">
    <w:name w:val="标题3"/>
    <w:basedOn w:val="1"/>
    <w:uiPriority w:val="0"/>
    <w:pPr>
      <w:ind w:firstLineChars="200"/>
      <w:jc w:val="left"/>
    </w:pPr>
    <w:rPr>
      <w:rFonts w:hAnsi="宋体"/>
      <w:b/>
      <w:sz w:val="24"/>
      <w:szCs w:val="24"/>
    </w:rPr>
  </w:style>
  <w:style w:type="paragraph" w:customStyle="1" w:styleId="90">
    <w:name w:val="样式 样式 公正文 + 首行缩进:  2 字符 + 黑色"/>
    <w:uiPriority w:val="0"/>
    <w:rPr>
      <w:color w:val="000000"/>
      <w:lang w:val="en-US" w:eastAsia="zh-CN" w:bidi="ar-SA"/>
    </w:rPr>
  </w:style>
  <w:style w:type="paragraph" w:customStyle="1" w:styleId="91">
    <w:name w:val="样式 样式 标题 4 + 段前: 1 行 + 段前: 1 行"/>
    <w:basedOn w:val="1"/>
    <w:uiPriority w:val="0"/>
    <w:pPr>
      <w:keepNext/>
      <w:keepLines/>
      <w:adjustRightInd w:val="0"/>
      <w:snapToGrid w:val="0"/>
      <w:spacing w:before="240" w:beforeLines="0" w:line="360" w:lineRule="auto"/>
      <w:outlineLvl w:val="3"/>
    </w:pPr>
    <w:rPr>
      <w:rFonts w:ascii="Arial" w:hAnsi="Arial" w:eastAsia="仿宋_GB2312"/>
      <w:sz w:val="28"/>
    </w:rPr>
  </w:style>
  <w:style w:type="paragraph" w:customStyle="1" w:styleId="92">
    <w:name w:val="Plain Text"/>
    <w:basedOn w:val="1"/>
    <w:uiPriority w:val="0"/>
    <w:pPr>
      <w:adjustRightInd w:val="0"/>
      <w:textAlignment w:val="baseline"/>
    </w:pPr>
    <w:rPr>
      <w:rFonts w:ascii="宋体"/>
      <w:kern w:val="0"/>
      <w:sz w:val="24"/>
    </w:rPr>
  </w:style>
  <w:style w:type="paragraph" w:customStyle="1" w:styleId="93">
    <w:name w:val="样式 样式 标题 3Sottoparagrafoh33rd levelH3标题13一般标题标题3标题 小3标题 3 ... + ..."/>
    <w:basedOn w:val="1"/>
    <w:uiPriority w:val="0"/>
    <w:pPr>
      <w:keepNext/>
      <w:keepLines/>
      <w:tabs>
        <w:tab w:val="left" w:pos="420"/>
      </w:tabs>
      <w:autoSpaceDE w:val="0"/>
      <w:autoSpaceDN w:val="0"/>
      <w:adjustRightInd w:val="0"/>
      <w:snapToGrid w:val="0"/>
      <w:spacing w:before="100" w:beforeLines="0" w:after="100" w:afterLines="0"/>
      <w:ind w:left="420" w:hanging="420"/>
      <w:jc w:val="left"/>
      <w:outlineLvl w:val="2"/>
    </w:pPr>
    <w:rPr>
      <w:rFonts w:ascii="宋体" w:hAnsi="宋体"/>
      <w:b/>
      <w:kern w:val="0"/>
      <w:sz w:val="28"/>
      <w:lang w:val="zh-CN"/>
    </w:rPr>
  </w:style>
  <w:style w:type="paragraph" w:customStyle="1" w:styleId="94">
    <w:name w:val="样式 样式 标题 2节标题 1.11.1标题2b2H22nd levelh2Header 2l2Titre2Hea... + 首..."/>
    <w:basedOn w:val="95"/>
    <w:uiPriority w:val="0"/>
    <w:pPr>
      <w:ind w:right="-109" w:firstLine="0" w:firstLineChars="0"/>
      <w:jc w:val="both"/>
    </w:pPr>
    <w:rPr>
      <w:rFonts w:ascii="宋体" w:hAnsi="宋体" w:eastAsia="宋体"/>
      <w:b/>
      <w:color w:val="auto"/>
      <w:sz w:val="24"/>
    </w:rPr>
  </w:style>
  <w:style w:type="paragraph" w:customStyle="1" w:styleId="95">
    <w:name w:val="样式 标题 2节标题 1.11.1标题2b2H22nd levelh2Header 2l2Titre2Hea..."/>
    <w:basedOn w:val="3"/>
    <w:uiPriority w:val="0"/>
    <w:pPr>
      <w:keepNext/>
      <w:keepLines/>
      <w:autoSpaceDE/>
      <w:autoSpaceDN/>
      <w:snapToGrid w:val="0"/>
      <w:spacing w:before="120" w:beforeLines="0" w:after="120" w:afterLines="0"/>
      <w:ind w:firstLine="198" w:firstLineChars="62"/>
      <w:jc w:val="center"/>
    </w:pPr>
    <w:rPr>
      <w:rFonts w:ascii="Arial" w:hAnsi="Arial" w:eastAsia="黑体"/>
      <w:color w:val="000000"/>
      <w:kern w:val="2"/>
      <w:sz w:val="32"/>
    </w:rPr>
  </w:style>
  <w:style w:type="paragraph" w:customStyle="1" w:styleId="96">
    <w:name w:val="Body text|1"/>
    <w:basedOn w:val="1"/>
    <w:qFormat/>
    <w:uiPriority w:val="0"/>
    <w:pPr>
      <w:widowControl w:val="0"/>
      <w:shd w:val="clear" w:color="auto" w:fill="auto"/>
      <w:spacing w:line="480" w:lineRule="auto"/>
      <w:ind w:firstLine="400"/>
    </w:pPr>
    <w:rPr>
      <w:rFonts w:ascii="宋体" w:hAnsi="宋体" w:eastAsia="宋体" w:cs="宋体"/>
      <w:sz w:val="22"/>
      <w:szCs w:val="22"/>
      <w:u w:val="none"/>
      <w:shd w:val="clear" w:color="auto" w:fill="auto"/>
      <w:lang w:val="zh-TW" w:eastAsia="zh-TW" w:bidi="zh-TW"/>
    </w:rPr>
  </w:style>
  <w:style w:type="paragraph" w:customStyle="1" w:styleId="97">
    <w:name w:val="List Paragraph"/>
    <w:basedOn w:val="1"/>
    <w:uiPriority w:val="0"/>
    <w:pPr>
      <w:ind w:firstLine="420" w:firstLineChars="200"/>
    </w:pPr>
    <w:rPr>
      <w:rFonts w:ascii="Calibri" w:hAnsi="Calibri" w:cs="Calibri"/>
      <w:szCs w:val="21"/>
    </w:rPr>
  </w:style>
  <w:style w:type="paragraph" w:customStyle="1" w:styleId="98">
    <w:name w:val="_Style 24"/>
    <w:basedOn w:val="1"/>
    <w:next w:val="25"/>
    <w:uiPriority w:val="0"/>
    <w:pPr>
      <w:spacing w:after="120" w:afterLines="0" w:line="480" w:lineRule="auto"/>
    </w:pPr>
  </w:style>
  <w:style w:type="paragraph" w:styleId="99">
    <w:name w:val=""/>
    <w:semiHidden/>
    <w:uiPriority w:val="99"/>
    <w:rPr>
      <w:kern w:val="2"/>
      <w:sz w:val="21"/>
      <w:lang w:val="en-US" w:eastAsia="zh-CN" w:bidi="ar-SA"/>
    </w:rPr>
  </w:style>
  <w:style w:type="paragraph" w:customStyle="1" w:styleId="100">
    <w:name w:val=" Char"/>
    <w:basedOn w:val="1"/>
    <w:uiPriority w:val="0"/>
    <w:pPr>
      <w:widowControl/>
      <w:spacing w:after="160" w:afterLines="0" w:line="240" w:lineRule="exact"/>
      <w:jc w:val="left"/>
    </w:pPr>
    <w:rPr>
      <w:rFonts w:ascii="Verdana" w:hAnsi="Verdana" w:eastAsia="楷体_GB2312"/>
      <w:b/>
      <w:i/>
      <w:color w:val="000000"/>
      <w:kern w:val="0"/>
      <w:sz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22</Pages>
  <Words>2717</Words>
  <Characters>15489</Characters>
  <Lines>129</Lines>
  <Paragraphs>36</Paragraphs>
  <TotalTime>1</TotalTime>
  <ScaleCrop>false</ScaleCrop>
  <LinksUpToDate>false</LinksUpToDate>
  <CharactersWithSpaces>18170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2022-04-20T06:30:00Z</dcterms:created>
  <dc:creator>Administrator</dc:creator>
  <cp:lastModifiedBy>COCO</cp:lastModifiedBy>
  <cp:lastPrinted>2022-10-09T07:34:46Z</cp:lastPrinted>
  <dcterms:modified xsi:type="dcterms:W3CDTF">2023-04-07T01:09:36Z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C2B8DD674C43429DBF28982FBC4B7693</vt:lpwstr>
  </property>
</Properties>
</file>