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auto"/>
        </w:rPr>
      </w:pPr>
      <w:bookmarkStart w:id="0" w:name="_Hlk53133821"/>
    </w:p>
    <w:p>
      <w:pPr>
        <w:spacing w:line="720" w:lineRule="auto"/>
        <w:jc w:val="center"/>
        <w:rPr>
          <w:rFonts w:ascii="宋体" w:hAnsi="宋体" w:cs="宋体"/>
          <w:color w:val="auto"/>
          <w:sz w:val="36"/>
          <w:szCs w:val="36"/>
          <w:highlight w:val="none"/>
          <w:u w:val="single"/>
        </w:rPr>
      </w:pPr>
      <w:r>
        <w:rPr>
          <w:rFonts w:hint="eastAsia"/>
          <w:b/>
          <w:color w:val="auto"/>
          <w:sz w:val="48"/>
          <w:szCs w:val="48"/>
          <w:highlight w:val="none"/>
        </w:rPr>
        <w:t>黄埔区科学城连接知识城快速通道（北段）工程施工总承包</w:t>
      </w:r>
    </w:p>
    <w:bookmarkEnd w:id="0"/>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color w:val="auto"/>
          <w:sz w:val="36"/>
          <w:szCs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b/>
          <w:bCs/>
          <w:color w:val="auto"/>
          <w:spacing w:val="26"/>
          <w:sz w:val="110"/>
          <w:szCs w:val="110"/>
          <w:highlight w:val="none"/>
        </w:rPr>
        <w:t>招标文件</w:t>
      </w:r>
    </w:p>
    <w:p>
      <w:pPr>
        <w:spacing w:line="360" w:lineRule="auto"/>
        <w:jc w:val="center"/>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2560" w:firstLineChars="800"/>
        <w:rPr>
          <w:rFonts w:ascii="宋体" w:hAnsi="宋体" w:cs="宋体"/>
          <w:color w:val="auto"/>
          <w:sz w:val="32"/>
          <w:szCs w:val="32"/>
          <w:highlight w:val="none"/>
        </w:rPr>
      </w:pPr>
    </w:p>
    <w:p>
      <w:pPr>
        <w:spacing w:line="360" w:lineRule="auto"/>
        <w:ind w:firstLine="1200" w:firstLineChars="400"/>
        <w:rPr>
          <w:rFonts w:ascii="宋体" w:hAnsi="宋体" w:cs="宋体"/>
          <w:color w:val="auto"/>
          <w:sz w:val="30"/>
          <w:szCs w:val="30"/>
          <w:highlight w:val="none"/>
        </w:rPr>
      </w:pPr>
    </w:p>
    <w:p>
      <w:pPr>
        <w:spacing w:line="360" w:lineRule="auto"/>
        <w:ind w:firstLine="1200" w:firstLineChars="400"/>
        <w:rPr>
          <w:rFonts w:ascii="宋体" w:hAnsi="宋体" w:cs="宋体"/>
          <w:color w:val="auto"/>
          <w:sz w:val="30"/>
          <w:szCs w:val="30"/>
          <w:highlight w:val="none"/>
        </w:rPr>
      </w:pPr>
    </w:p>
    <w:p>
      <w:pPr>
        <w:spacing w:line="360" w:lineRule="auto"/>
        <w:jc w:val="center"/>
        <w:rPr>
          <w:rFonts w:ascii="宋体" w:hAnsi="宋体" w:cs="宋体"/>
          <w:color w:val="auto"/>
          <w:spacing w:val="-2"/>
          <w:sz w:val="30"/>
          <w:szCs w:val="30"/>
          <w:highlight w:val="none"/>
        </w:rPr>
      </w:pP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招标单位：</w:t>
      </w:r>
      <w:r>
        <w:rPr>
          <w:rFonts w:hint="eastAsia" w:ascii="宋体" w:hAnsi="宋体" w:cs="宋体"/>
          <w:b/>
          <w:bCs/>
          <w:color w:val="auto"/>
          <w:spacing w:val="-2"/>
          <w:sz w:val="30"/>
          <w:szCs w:val="30"/>
          <w:highlight w:val="none"/>
          <w:u w:val="single"/>
        </w:rPr>
        <w:t>广州开发区财政投资建设项目管理中心</w:t>
      </w: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招标代理机构：</w:t>
      </w:r>
      <w:r>
        <w:rPr>
          <w:rFonts w:hint="eastAsia" w:ascii="宋体" w:hAnsi="宋体" w:cs="宋体"/>
          <w:b/>
          <w:bCs/>
          <w:color w:val="auto"/>
          <w:spacing w:val="-2"/>
          <w:sz w:val="30"/>
          <w:szCs w:val="30"/>
          <w:highlight w:val="none"/>
          <w:u w:val="single"/>
        </w:rPr>
        <w:t xml:space="preserve"> 广州宏元建设工程咨询有限公司</w:t>
      </w:r>
      <w:r>
        <w:rPr>
          <w:rFonts w:ascii="宋体" w:hAnsi="宋体" w:cs="宋体"/>
          <w:b/>
          <w:bCs/>
          <w:color w:val="auto"/>
          <w:spacing w:val="-2"/>
          <w:sz w:val="30"/>
          <w:szCs w:val="30"/>
          <w:highlight w:val="none"/>
          <w:u w:val="single"/>
        </w:rPr>
        <w:t xml:space="preserve">  </w:t>
      </w:r>
    </w:p>
    <w:p>
      <w:pPr>
        <w:spacing w:line="360" w:lineRule="auto"/>
        <w:ind w:left="1418" w:leftChars="675"/>
        <w:jc w:val="left"/>
        <w:rPr>
          <w:rFonts w:ascii="宋体" w:hAnsi="宋体" w:cs="宋体"/>
          <w:b/>
          <w:bCs/>
          <w:color w:val="auto"/>
          <w:spacing w:val="-2"/>
          <w:sz w:val="30"/>
          <w:szCs w:val="30"/>
          <w:highlight w:val="none"/>
        </w:rPr>
      </w:pPr>
      <w:r>
        <w:rPr>
          <w:rFonts w:hint="eastAsia" w:ascii="宋体" w:hAnsi="宋体" w:cs="宋体"/>
          <w:b/>
          <w:bCs/>
          <w:color w:val="auto"/>
          <w:spacing w:val="-2"/>
          <w:sz w:val="30"/>
          <w:szCs w:val="30"/>
          <w:highlight w:val="none"/>
        </w:rPr>
        <w:t>日期：202</w:t>
      </w:r>
      <w:r>
        <w:rPr>
          <w:rFonts w:ascii="宋体" w:hAnsi="宋体" w:cs="宋体"/>
          <w:b/>
          <w:bCs/>
          <w:color w:val="auto"/>
          <w:spacing w:val="-2"/>
          <w:sz w:val="30"/>
          <w:szCs w:val="30"/>
          <w:highlight w:val="none"/>
        </w:rPr>
        <w:t>3</w:t>
      </w:r>
      <w:r>
        <w:rPr>
          <w:rFonts w:hint="eastAsia" w:ascii="宋体" w:hAnsi="宋体" w:cs="宋体"/>
          <w:b/>
          <w:bCs/>
          <w:color w:val="auto"/>
          <w:spacing w:val="-2"/>
          <w:sz w:val="30"/>
          <w:szCs w:val="30"/>
          <w:highlight w:val="none"/>
        </w:rPr>
        <w:t>年</w:t>
      </w:r>
      <w:r>
        <w:rPr>
          <w:rFonts w:ascii="宋体" w:hAnsi="宋体" w:cs="宋体"/>
          <w:b/>
          <w:bCs/>
          <w:color w:val="auto"/>
          <w:spacing w:val="-2"/>
          <w:sz w:val="30"/>
          <w:szCs w:val="30"/>
          <w:highlight w:val="none"/>
          <w:u w:val="single"/>
        </w:rPr>
        <w:t xml:space="preserve">  </w:t>
      </w:r>
      <w:r>
        <w:rPr>
          <w:rFonts w:hint="eastAsia" w:ascii="宋体" w:hAnsi="宋体" w:cs="宋体"/>
          <w:b/>
          <w:bCs/>
          <w:color w:val="auto"/>
          <w:spacing w:val="-2"/>
          <w:sz w:val="30"/>
          <w:szCs w:val="30"/>
          <w:highlight w:val="none"/>
          <w:u w:val="single"/>
          <w:lang w:val="en-US" w:eastAsia="zh-CN"/>
        </w:rPr>
        <w:t>4</w:t>
      </w:r>
      <w:r>
        <w:rPr>
          <w:rFonts w:ascii="宋体" w:hAnsi="宋体" w:cs="宋体"/>
          <w:b/>
          <w:bCs/>
          <w:color w:val="auto"/>
          <w:spacing w:val="-2"/>
          <w:sz w:val="30"/>
          <w:szCs w:val="30"/>
          <w:highlight w:val="none"/>
          <w:u w:val="single"/>
        </w:rPr>
        <w:t xml:space="preserve"> </w:t>
      </w:r>
      <w:r>
        <w:rPr>
          <w:rFonts w:hint="eastAsia" w:ascii="宋体" w:hAnsi="宋体" w:cs="宋体"/>
          <w:b/>
          <w:bCs/>
          <w:color w:val="auto"/>
          <w:spacing w:val="-2"/>
          <w:sz w:val="30"/>
          <w:szCs w:val="30"/>
          <w:highlight w:val="none"/>
        </w:rPr>
        <w:t>月</w:t>
      </w:r>
    </w:p>
    <w:p>
      <w:pPr>
        <w:spacing w:line="360" w:lineRule="auto"/>
        <w:jc w:val="center"/>
        <w:rPr>
          <w:rFonts w:ascii="宋体" w:hAnsi="宋体" w:cs="宋体"/>
          <w:b/>
          <w:bCs/>
          <w:color w:val="auto"/>
          <w:spacing w:val="-2"/>
          <w:sz w:val="30"/>
          <w:szCs w:val="30"/>
          <w:highlight w:val="none"/>
        </w:rPr>
      </w:pPr>
    </w:p>
    <w:p>
      <w:pPr>
        <w:jc w:val="center"/>
        <w:rPr>
          <w:rStyle w:val="58"/>
          <w:rFonts w:ascii="宋体" w:hAnsi="宋体" w:cs="宋体"/>
          <w:b/>
          <w:bCs/>
          <w:color w:val="auto"/>
          <w:highlight w:val="none"/>
        </w:rPr>
        <w:sectPr>
          <w:headerReference r:id="rId4" w:type="first"/>
          <w:footerReference r:id="rId6" w:type="first"/>
          <w:headerReference r:id="rId3" w:type="default"/>
          <w:footerReference r:id="rId5" w:type="default"/>
          <w:endnotePr>
            <w:numFmt w:val="decimal"/>
          </w:endnotePr>
          <w:pgSz w:w="11906" w:h="16838"/>
          <w:pgMar w:top="1134" w:right="1418" w:bottom="1247" w:left="1418" w:header="851" w:footer="907" w:gutter="0"/>
          <w:pgNumType w:fmt="decimal" w:start="1"/>
          <w:cols w:space="720" w:num="1"/>
          <w:titlePg/>
          <w:docGrid w:type="lines" w:linePitch="312" w:charSpace="0"/>
        </w:sectPr>
      </w:pPr>
    </w:p>
    <w:p>
      <w:pPr>
        <w:jc w:val="center"/>
        <w:rPr>
          <w:rStyle w:val="58"/>
          <w:rFonts w:ascii="宋体" w:hAnsi="宋体" w:cs="宋体"/>
          <w:b/>
          <w:bCs/>
          <w:color w:val="auto"/>
          <w:highlight w:val="none"/>
        </w:rPr>
      </w:pPr>
    </w:p>
    <w:p>
      <w:pPr>
        <w:jc w:val="center"/>
        <w:rPr>
          <w:rFonts w:ascii="宋体" w:hAnsi="宋体" w:cs="宋体"/>
          <w:b/>
          <w:caps/>
          <w:color w:val="auto"/>
          <w:kern w:val="0"/>
          <w:sz w:val="32"/>
          <w:szCs w:val="32"/>
          <w:highlight w:val="none"/>
        </w:rPr>
      </w:pPr>
      <w:r>
        <w:rPr>
          <w:rStyle w:val="58"/>
          <w:rFonts w:hint="eastAsia" w:ascii="宋体" w:hAnsi="宋体" w:cs="宋体"/>
          <w:b/>
          <w:bCs/>
          <w:color w:val="auto"/>
          <w:sz w:val="32"/>
          <w:szCs w:val="32"/>
          <w:highlight w:val="none"/>
          <w:u w:val="none"/>
        </w:rPr>
        <w:t>目录</w:t>
      </w:r>
    </w:p>
    <w:p>
      <w:pPr>
        <w:pStyle w:val="34"/>
        <w:tabs>
          <w:tab w:val="right" w:leader="dot" w:pos="9070"/>
          <w:tab w:val="clear" w:pos="9060"/>
        </w:tabs>
        <w:spacing w:line="240" w:lineRule="auto"/>
        <w:rPr>
          <w:color w:val="auto"/>
          <w:sz w:val="21"/>
          <w:szCs w:val="21"/>
        </w:rPr>
      </w:pPr>
      <w:r>
        <w:rPr>
          <w:rFonts w:hint="eastAsia" w:cs="宋体"/>
          <w:color w:val="auto"/>
          <w:szCs w:val="24"/>
          <w:highlight w:val="none"/>
        </w:rPr>
        <w:fldChar w:fldCharType="begin"/>
      </w:r>
      <w:r>
        <w:rPr>
          <w:rFonts w:hint="eastAsia" w:cs="宋体"/>
          <w:color w:val="auto"/>
          <w:szCs w:val="24"/>
          <w:highlight w:val="none"/>
        </w:rPr>
        <w:instrText xml:space="preserve"> TOC \o "1-3" \h \z \u </w:instrText>
      </w:r>
      <w:r>
        <w:rPr>
          <w:rFonts w:hint="eastAsia" w:cs="宋体"/>
          <w:color w:val="auto"/>
          <w:szCs w:val="24"/>
          <w:highlight w:val="none"/>
        </w:rPr>
        <w:fldChar w:fldCharType="separate"/>
      </w:r>
      <w:r>
        <w:rPr>
          <w:rFonts w:hint="eastAsia" w:cs="宋体"/>
          <w:color w:val="auto"/>
          <w:sz w:val="21"/>
          <w:szCs w:val="21"/>
          <w:highlight w:val="none"/>
        </w:rPr>
        <w:fldChar w:fldCharType="begin"/>
      </w:r>
      <w:r>
        <w:rPr>
          <w:rFonts w:hint="eastAsia" w:cs="宋体"/>
          <w:color w:val="auto"/>
          <w:sz w:val="21"/>
          <w:szCs w:val="21"/>
          <w:highlight w:val="none"/>
        </w:rPr>
        <w:instrText xml:space="preserve"> HYPERLINK \l _Toc20286 </w:instrText>
      </w:r>
      <w:r>
        <w:rPr>
          <w:rFonts w:hint="eastAsia" w:cs="宋体"/>
          <w:color w:val="auto"/>
          <w:sz w:val="21"/>
          <w:szCs w:val="21"/>
          <w:highlight w:val="none"/>
        </w:rPr>
        <w:fldChar w:fldCharType="separate"/>
      </w:r>
      <w:r>
        <w:rPr>
          <w:rFonts w:hint="eastAsia"/>
          <w:color w:val="auto"/>
          <w:sz w:val="21"/>
          <w:szCs w:val="21"/>
          <w:highlight w:val="none"/>
        </w:rPr>
        <w:t>第一章 投标须知</w:t>
      </w:r>
      <w:r>
        <w:rPr>
          <w:color w:val="auto"/>
          <w:sz w:val="21"/>
          <w:szCs w:val="21"/>
        </w:rPr>
        <w:tab/>
      </w:r>
      <w:r>
        <w:rPr>
          <w:color w:val="auto"/>
          <w:sz w:val="21"/>
          <w:szCs w:val="21"/>
        </w:rPr>
        <w:fldChar w:fldCharType="begin"/>
      </w:r>
      <w:r>
        <w:rPr>
          <w:color w:val="auto"/>
          <w:sz w:val="21"/>
          <w:szCs w:val="21"/>
        </w:rPr>
        <w:instrText xml:space="preserve"> PAGEREF _Toc20286 \h </w:instrText>
      </w:r>
      <w:r>
        <w:rPr>
          <w:color w:val="auto"/>
          <w:sz w:val="21"/>
          <w:szCs w:val="21"/>
        </w:rPr>
        <w:fldChar w:fldCharType="separate"/>
      </w:r>
      <w:r>
        <w:rPr>
          <w:color w:val="auto"/>
          <w:sz w:val="21"/>
          <w:szCs w:val="21"/>
        </w:rPr>
        <w:t>2</w:t>
      </w:r>
      <w:r>
        <w:rPr>
          <w:color w:val="auto"/>
          <w:sz w:val="21"/>
          <w:szCs w:val="21"/>
        </w:rPr>
        <w:fldChar w:fldCharType="end"/>
      </w:r>
      <w:r>
        <w:rPr>
          <w:rFonts w:hint="eastAsia" w:cs="宋体"/>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_Toc17655 </w:instrText>
      </w:r>
      <w:r>
        <w:rPr>
          <w:rFonts w:hint="eastAsia"/>
          <w:color w:val="auto"/>
          <w:sz w:val="21"/>
          <w:szCs w:val="21"/>
          <w:highlight w:val="none"/>
        </w:rPr>
        <w:fldChar w:fldCharType="separate"/>
      </w:r>
      <w:r>
        <w:rPr>
          <w:rFonts w:hint="eastAsia"/>
          <w:color w:val="auto"/>
          <w:sz w:val="21"/>
          <w:szCs w:val="21"/>
          <w:highlight w:val="none"/>
        </w:rPr>
        <w:t>一、投标须知前附表</w:t>
      </w:r>
      <w:r>
        <w:rPr>
          <w:color w:val="auto"/>
          <w:sz w:val="21"/>
          <w:szCs w:val="21"/>
        </w:rPr>
        <w:tab/>
      </w:r>
      <w:r>
        <w:rPr>
          <w:color w:val="auto"/>
          <w:sz w:val="21"/>
          <w:szCs w:val="21"/>
        </w:rPr>
        <w:fldChar w:fldCharType="begin"/>
      </w:r>
      <w:r>
        <w:rPr>
          <w:color w:val="auto"/>
          <w:sz w:val="21"/>
          <w:szCs w:val="21"/>
        </w:rPr>
        <w:instrText xml:space="preserve"> PAGEREF _Toc17655 \h </w:instrText>
      </w:r>
      <w:r>
        <w:rPr>
          <w:color w:val="auto"/>
          <w:sz w:val="21"/>
          <w:szCs w:val="21"/>
        </w:rPr>
        <w:fldChar w:fldCharType="separate"/>
      </w:r>
      <w:r>
        <w:rPr>
          <w:color w:val="auto"/>
          <w:sz w:val="21"/>
          <w:szCs w:val="21"/>
        </w:rPr>
        <w:t>2</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_Toc20639 </w:instrText>
      </w:r>
      <w:r>
        <w:rPr>
          <w:rFonts w:hint="eastAsia"/>
          <w:color w:val="auto"/>
          <w:sz w:val="21"/>
          <w:szCs w:val="21"/>
          <w:highlight w:val="none"/>
        </w:rPr>
        <w:fldChar w:fldCharType="separate"/>
      </w:r>
      <w:r>
        <w:rPr>
          <w:rFonts w:hint="eastAsia"/>
          <w:color w:val="auto"/>
          <w:sz w:val="21"/>
          <w:szCs w:val="21"/>
          <w:highlight w:val="none"/>
        </w:rPr>
        <w:t>二、投标须知修改表</w:t>
      </w:r>
      <w:r>
        <w:rPr>
          <w:color w:val="auto"/>
          <w:sz w:val="21"/>
          <w:szCs w:val="21"/>
        </w:rPr>
        <w:tab/>
      </w:r>
      <w:r>
        <w:rPr>
          <w:color w:val="auto"/>
          <w:sz w:val="21"/>
          <w:szCs w:val="21"/>
        </w:rPr>
        <w:fldChar w:fldCharType="begin"/>
      </w:r>
      <w:r>
        <w:rPr>
          <w:color w:val="auto"/>
          <w:sz w:val="21"/>
          <w:szCs w:val="21"/>
        </w:rPr>
        <w:instrText xml:space="preserve"> PAGEREF _Toc20639 \h </w:instrText>
      </w:r>
      <w:r>
        <w:rPr>
          <w:color w:val="auto"/>
          <w:sz w:val="21"/>
          <w:szCs w:val="21"/>
        </w:rPr>
        <w:fldChar w:fldCharType="separate"/>
      </w:r>
      <w:r>
        <w:rPr>
          <w:color w:val="auto"/>
          <w:sz w:val="21"/>
          <w:szCs w:val="21"/>
        </w:rPr>
        <w:t>9</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_Toc12065 </w:instrText>
      </w:r>
      <w:r>
        <w:rPr>
          <w:rFonts w:hint="eastAsia"/>
          <w:color w:val="auto"/>
          <w:sz w:val="21"/>
          <w:szCs w:val="21"/>
          <w:highlight w:val="none"/>
        </w:rPr>
        <w:fldChar w:fldCharType="separate"/>
      </w:r>
      <w:r>
        <w:rPr>
          <w:rFonts w:hint="eastAsia"/>
          <w:color w:val="auto"/>
          <w:sz w:val="21"/>
          <w:szCs w:val="21"/>
          <w:highlight w:val="none"/>
        </w:rPr>
        <w:t>三、投标须知通用条款</w:t>
      </w:r>
      <w:r>
        <w:rPr>
          <w:color w:val="auto"/>
          <w:sz w:val="21"/>
          <w:szCs w:val="21"/>
        </w:rPr>
        <w:tab/>
      </w:r>
      <w:r>
        <w:rPr>
          <w:color w:val="auto"/>
          <w:sz w:val="21"/>
          <w:szCs w:val="21"/>
        </w:rPr>
        <w:fldChar w:fldCharType="begin"/>
      </w:r>
      <w:r>
        <w:rPr>
          <w:color w:val="auto"/>
          <w:sz w:val="21"/>
          <w:szCs w:val="21"/>
        </w:rPr>
        <w:instrText xml:space="preserve"> PAGEREF _Toc12065 \h </w:instrText>
      </w:r>
      <w:r>
        <w:rPr>
          <w:color w:val="auto"/>
          <w:sz w:val="21"/>
          <w:szCs w:val="21"/>
        </w:rPr>
        <w:fldChar w:fldCharType="separate"/>
      </w:r>
      <w:r>
        <w:rPr>
          <w:color w:val="auto"/>
          <w:sz w:val="21"/>
          <w:szCs w:val="21"/>
        </w:rPr>
        <w:t>25</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_Toc30550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（一）总则</w:t>
      </w:r>
      <w:r>
        <w:rPr>
          <w:color w:val="auto"/>
          <w:sz w:val="21"/>
          <w:szCs w:val="21"/>
        </w:rPr>
        <w:tab/>
      </w:r>
      <w:r>
        <w:rPr>
          <w:color w:val="auto"/>
          <w:sz w:val="21"/>
          <w:szCs w:val="21"/>
        </w:rPr>
        <w:fldChar w:fldCharType="begin"/>
      </w:r>
      <w:r>
        <w:rPr>
          <w:color w:val="auto"/>
          <w:sz w:val="21"/>
          <w:szCs w:val="21"/>
        </w:rPr>
        <w:instrText xml:space="preserve"> PAGEREF _Toc30550 \h </w:instrText>
      </w:r>
      <w:r>
        <w:rPr>
          <w:color w:val="auto"/>
          <w:sz w:val="21"/>
          <w:szCs w:val="21"/>
        </w:rPr>
        <w:fldChar w:fldCharType="separate"/>
      </w:r>
      <w:r>
        <w:rPr>
          <w:color w:val="auto"/>
          <w:sz w:val="21"/>
          <w:szCs w:val="21"/>
        </w:rPr>
        <w:t>25</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_Toc31478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（二）招标文件</w:t>
      </w:r>
      <w:r>
        <w:rPr>
          <w:color w:val="auto"/>
          <w:sz w:val="21"/>
          <w:szCs w:val="21"/>
        </w:rPr>
        <w:tab/>
      </w:r>
      <w:r>
        <w:rPr>
          <w:color w:val="auto"/>
          <w:sz w:val="21"/>
          <w:szCs w:val="21"/>
        </w:rPr>
        <w:fldChar w:fldCharType="begin"/>
      </w:r>
      <w:r>
        <w:rPr>
          <w:color w:val="auto"/>
          <w:sz w:val="21"/>
          <w:szCs w:val="21"/>
        </w:rPr>
        <w:instrText xml:space="preserve"> PAGEREF _Toc31478 \h </w:instrText>
      </w:r>
      <w:r>
        <w:rPr>
          <w:color w:val="auto"/>
          <w:sz w:val="21"/>
          <w:szCs w:val="21"/>
        </w:rPr>
        <w:fldChar w:fldCharType="separate"/>
      </w:r>
      <w:r>
        <w:rPr>
          <w:color w:val="auto"/>
          <w:sz w:val="21"/>
          <w:szCs w:val="21"/>
        </w:rPr>
        <w:t>26</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_Toc1289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（三）投标文件的编制</w:t>
      </w:r>
      <w:r>
        <w:rPr>
          <w:color w:val="auto"/>
          <w:sz w:val="21"/>
          <w:szCs w:val="21"/>
        </w:rPr>
        <w:tab/>
      </w:r>
      <w:r>
        <w:rPr>
          <w:color w:val="auto"/>
          <w:sz w:val="21"/>
          <w:szCs w:val="21"/>
        </w:rPr>
        <w:fldChar w:fldCharType="begin"/>
      </w:r>
      <w:r>
        <w:rPr>
          <w:color w:val="auto"/>
          <w:sz w:val="21"/>
          <w:szCs w:val="21"/>
        </w:rPr>
        <w:instrText xml:space="preserve"> PAGEREF _Toc1289 \h </w:instrText>
      </w:r>
      <w:r>
        <w:rPr>
          <w:color w:val="auto"/>
          <w:sz w:val="21"/>
          <w:szCs w:val="21"/>
        </w:rPr>
        <w:fldChar w:fldCharType="separate"/>
      </w:r>
      <w:r>
        <w:rPr>
          <w:color w:val="auto"/>
          <w:sz w:val="21"/>
          <w:szCs w:val="21"/>
        </w:rPr>
        <w:t>27</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_Toc27365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（四）投标文件的提交</w:t>
      </w:r>
      <w:r>
        <w:rPr>
          <w:color w:val="auto"/>
          <w:sz w:val="21"/>
          <w:szCs w:val="21"/>
        </w:rPr>
        <w:tab/>
      </w:r>
      <w:r>
        <w:rPr>
          <w:color w:val="auto"/>
          <w:sz w:val="21"/>
          <w:szCs w:val="21"/>
        </w:rPr>
        <w:fldChar w:fldCharType="begin"/>
      </w:r>
      <w:r>
        <w:rPr>
          <w:color w:val="auto"/>
          <w:sz w:val="21"/>
          <w:szCs w:val="21"/>
        </w:rPr>
        <w:instrText xml:space="preserve"> PAGEREF _Toc27365 \h </w:instrText>
      </w:r>
      <w:r>
        <w:rPr>
          <w:color w:val="auto"/>
          <w:sz w:val="21"/>
          <w:szCs w:val="21"/>
        </w:rPr>
        <w:fldChar w:fldCharType="separate"/>
      </w:r>
      <w:r>
        <w:rPr>
          <w:color w:val="auto"/>
          <w:sz w:val="21"/>
          <w:szCs w:val="21"/>
        </w:rPr>
        <w:t>34</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_Toc9287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（五）开标、评标、定标及合同签定</w:t>
      </w:r>
      <w:r>
        <w:rPr>
          <w:color w:val="auto"/>
          <w:sz w:val="21"/>
          <w:szCs w:val="21"/>
        </w:rPr>
        <w:tab/>
      </w:r>
      <w:r>
        <w:rPr>
          <w:color w:val="auto"/>
          <w:sz w:val="21"/>
          <w:szCs w:val="21"/>
        </w:rPr>
        <w:fldChar w:fldCharType="begin"/>
      </w:r>
      <w:r>
        <w:rPr>
          <w:color w:val="auto"/>
          <w:sz w:val="21"/>
          <w:szCs w:val="21"/>
        </w:rPr>
        <w:instrText xml:space="preserve"> PAGEREF _Toc9287 \h </w:instrText>
      </w:r>
      <w:r>
        <w:rPr>
          <w:color w:val="auto"/>
          <w:sz w:val="21"/>
          <w:szCs w:val="21"/>
        </w:rPr>
        <w:fldChar w:fldCharType="separate"/>
      </w:r>
      <w:r>
        <w:rPr>
          <w:color w:val="auto"/>
          <w:sz w:val="21"/>
          <w:szCs w:val="21"/>
        </w:rPr>
        <w:t>35</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_Toc4532 </w:instrText>
      </w:r>
      <w:r>
        <w:rPr>
          <w:rFonts w:hint="eastAsia"/>
          <w:color w:val="auto"/>
          <w:sz w:val="21"/>
          <w:szCs w:val="21"/>
          <w:highlight w:val="none"/>
        </w:rPr>
        <w:fldChar w:fldCharType="separate"/>
      </w:r>
      <w:r>
        <w:rPr>
          <w:rFonts w:hint="eastAsia"/>
          <w:color w:val="auto"/>
          <w:sz w:val="21"/>
          <w:szCs w:val="21"/>
          <w:highlight w:val="none"/>
        </w:rPr>
        <w:t>第二章 开标、评标及定标办法</w:t>
      </w:r>
      <w:r>
        <w:rPr>
          <w:color w:val="auto"/>
          <w:sz w:val="21"/>
          <w:szCs w:val="21"/>
        </w:rPr>
        <w:tab/>
      </w:r>
      <w:r>
        <w:rPr>
          <w:color w:val="auto"/>
          <w:sz w:val="21"/>
          <w:szCs w:val="21"/>
        </w:rPr>
        <w:fldChar w:fldCharType="begin"/>
      </w:r>
      <w:r>
        <w:rPr>
          <w:color w:val="auto"/>
          <w:sz w:val="21"/>
          <w:szCs w:val="21"/>
        </w:rPr>
        <w:instrText xml:space="preserve"> PAGEREF _Toc4532 \h </w:instrText>
      </w:r>
      <w:r>
        <w:rPr>
          <w:color w:val="auto"/>
          <w:sz w:val="21"/>
          <w:szCs w:val="21"/>
        </w:rPr>
        <w:fldChar w:fldCharType="separate"/>
      </w:r>
      <w:r>
        <w:rPr>
          <w:color w:val="auto"/>
          <w:sz w:val="21"/>
          <w:szCs w:val="21"/>
        </w:rPr>
        <w:t>38</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_Toc11617 </w:instrText>
      </w:r>
      <w:r>
        <w:rPr>
          <w:rFonts w:hint="eastAsia"/>
          <w:color w:val="auto"/>
          <w:sz w:val="21"/>
          <w:szCs w:val="21"/>
          <w:highlight w:val="none"/>
        </w:rPr>
        <w:fldChar w:fldCharType="separate"/>
      </w:r>
      <w:r>
        <w:rPr>
          <w:rFonts w:hint="eastAsia"/>
          <w:color w:val="auto"/>
          <w:sz w:val="21"/>
          <w:szCs w:val="21"/>
          <w:highlight w:val="none"/>
        </w:rPr>
        <w:t>一、开标、评标及定标办法修改表</w:t>
      </w:r>
      <w:r>
        <w:rPr>
          <w:color w:val="auto"/>
          <w:sz w:val="21"/>
          <w:szCs w:val="21"/>
        </w:rPr>
        <w:tab/>
      </w:r>
      <w:r>
        <w:rPr>
          <w:color w:val="auto"/>
          <w:sz w:val="21"/>
          <w:szCs w:val="21"/>
        </w:rPr>
        <w:fldChar w:fldCharType="begin"/>
      </w:r>
      <w:r>
        <w:rPr>
          <w:color w:val="auto"/>
          <w:sz w:val="21"/>
          <w:szCs w:val="21"/>
        </w:rPr>
        <w:instrText xml:space="preserve"> PAGEREF _Toc11617 \h </w:instrText>
      </w:r>
      <w:r>
        <w:rPr>
          <w:color w:val="auto"/>
          <w:sz w:val="21"/>
          <w:szCs w:val="21"/>
        </w:rPr>
        <w:fldChar w:fldCharType="separate"/>
      </w:r>
      <w:r>
        <w:rPr>
          <w:color w:val="auto"/>
          <w:sz w:val="21"/>
          <w:szCs w:val="21"/>
        </w:rPr>
        <w:t>38</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_Toc23665 </w:instrText>
      </w:r>
      <w:r>
        <w:rPr>
          <w:rFonts w:hint="eastAsia"/>
          <w:color w:val="auto"/>
          <w:sz w:val="21"/>
          <w:szCs w:val="21"/>
          <w:highlight w:val="none"/>
        </w:rPr>
        <w:fldChar w:fldCharType="separate"/>
      </w:r>
      <w:r>
        <w:rPr>
          <w:rFonts w:hint="eastAsia"/>
          <w:color w:val="auto"/>
          <w:sz w:val="21"/>
          <w:szCs w:val="21"/>
          <w:highlight w:val="none"/>
        </w:rPr>
        <w:t>二、开标、评标及定标办法通用条款</w:t>
      </w:r>
      <w:r>
        <w:rPr>
          <w:color w:val="auto"/>
          <w:sz w:val="21"/>
          <w:szCs w:val="21"/>
        </w:rPr>
        <w:tab/>
      </w:r>
      <w:r>
        <w:rPr>
          <w:color w:val="auto"/>
          <w:sz w:val="21"/>
          <w:szCs w:val="21"/>
        </w:rPr>
        <w:fldChar w:fldCharType="begin"/>
      </w:r>
      <w:r>
        <w:rPr>
          <w:color w:val="auto"/>
          <w:sz w:val="21"/>
          <w:szCs w:val="21"/>
        </w:rPr>
        <w:instrText xml:space="preserve"> PAGEREF _Toc23665 \h </w:instrText>
      </w:r>
      <w:r>
        <w:rPr>
          <w:color w:val="auto"/>
          <w:sz w:val="21"/>
          <w:szCs w:val="21"/>
        </w:rPr>
        <w:fldChar w:fldCharType="separate"/>
      </w:r>
      <w:r>
        <w:rPr>
          <w:color w:val="auto"/>
          <w:sz w:val="21"/>
          <w:szCs w:val="21"/>
        </w:rPr>
        <w:t>45</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_Toc32553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（一）总则</w:t>
      </w:r>
      <w:r>
        <w:rPr>
          <w:color w:val="auto"/>
          <w:sz w:val="21"/>
          <w:szCs w:val="21"/>
        </w:rPr>
        <w:tab/>
      </w:r>
      <w:r>
        <w:rPr>
          <w:color w:val="auto"/>
          <w:sz w:val="21"/>
          <w:szCs w:val="21"/>
        </w:rPr>
        <w:fldChar w:fldCharType="begin"/>
      </w:r>
      <w:r>
        <w:rPr>
          <w:color w:val="auto"/>
          <w:sz w:val="21"/>
          <w:szCs w:val="21"/>
        </w:rPr>
        <w:instrText xml:space="preserve"> PAGEREF _Toc32553 \h </w:instrText>
      </w:r>
      <w:r>
        <w:rPr>
          <w:color w:val="auto"/>
          <w:sz w:val="21"/>
          <w:szCs w:val="21"/>
        </w:rPr>
        <w:fldChar w:fldCharType="separate"/>
      </w:r>
      <w:r>
        <w:rPr>
          <w:color w:val="auto"/>
          <w:sz w:val="21"/>
          <w:szCs w:val="21"/>
        </w:rPr>
        <w:t>45</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_Toc9400 </w:instrText>
      </w:r>
      <w:r>
        <w:rPr>
          <w:rFonts w:hint="eastAsia"/>
          <w:color w:val="auto"/>
          <w:sz w:val="21"/>
          <w:szCs w:val="21"/>
          <w:highlight w:val="none"/>
        </w:rPr>
        <w:fldChar w:fldCharType="separate"/>
      </w:r>
      <w:r>
        <w:rPr>
          <w:rFonts w:hint="eastAsia" w:ascii="宋体" w:hAnsi="宋体" w:cs="宋体"/>
          <w:color w:val="auto"/>
          <w:kern w:val="0"/>
          <w:sz w:val="21"/>
          <w:szCs w:val="21"/>
          <w:highlight w:val="none"/>
        </w:rPr>
        <w:t>（二）开标评标办法程序和细则</w:t>
      </w:r>
      <w:r>
        <w:rPr>
          <w:color w:val="auto"/>
          <w:sz w:val="21"/>
          <w:szCs w:val="21"/>
        </w:rPr>
        <w:tab/>
      </w:r>
      <w:r>
        <w:rPr>
          <w:color w:val="auto"/>
          <w:sz w:val="21"/>
          <w:szCs w:val="21"/>
        </w:rPr>
        <w:fldChar w:fldCharType="begin"/>
      </w:r>
      <w:r>
        <w:rPr>
          <w:color w:val="auto"/>
          <w:sz w:val="21"/>
          <w:szCs w:val="21"/>
        </w:rPr>
        <w:instrText xml:space="preserve"> PAGEREF _Toc9400 \h </w:instrText>
      </w:r>
      <w:r>
        <w:rPr>
          <w:color w:val="auto"/>
          <w:sz w:val="21"/>
          <w:szCs w:val="21"/>
        </w:rPr>
        <w:fldChar w:fldCharType="separate"/>
      </w:r>
      <w:r>
        <w:rPr>
          <w:color w:val="auto"/>
          <w:sz w:val="21"/>
          <w:szCs w:val="21"/>
        </w:rPr>
        <w:t>47</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_Toc29337 </w:instrText>
      </w:r>
      <w:r>
        <w:rPr>
          <w:rFonts w:hint="eastAsia"/>
          <w:color w:val="auto"/>
          <w:sz w:val="21"/>
          <w:szCs w:val="21"/>
          <w:highlight w:val="none"/>
        </w:rPr>
        <w:fldChar w:fldCharType="separate"/>
      </w:r>
      <w:r>
        <w:rPr>
          <w:rFonts w:hint="eastAsia"/>
          <w:color w:val="auto"/>
          <w:sz w:val="21"/>
          <w:szCs w:val="21"/>
          <w:highlight w:val="none"/>
        </w:rPr>
        <w:t>可选办法六（适合综合评分法三，技术标与经济标同时开启）</w:t>
      </w:r>
      <w:r>
        <w:rPr>
          <w:color w:val="auto"/>
          <w:sz w:val="21"/>
          <w:szCs w:val="21"/>
        </w:rPr>
        <w:tab/>
      </w:r>
      <w:r>
        <w:rPr>
          <w:color w:val="auto"/>
          <w:sz w:val="21"/>
          <w:szCs w:val="21"/>
        </w:rPr>
        <w:fldChar w:fldCharType="begin"/>
      </w:r>
      <w:r>
        <w:rPr>
          <w:color w:val="auto"/>
          <w:sz w:val="21"/>
          <w:szCs w:val="21"/>
        </w:rPr>
        <w:instrText xml:space="preserve"> PAGEREF _Toc29337 \h </w:instrText>
      </w:r>
      <w:r>
        <w:rPr>
          <w:color w:val="auto"/>
          <w:sz w:val="21"/>
          <w:szCs w:val="21"/>
        </w:rPr>
        <w:fldChar w:fldCharType="separate"/>
      </w:r>
      <w:r>
        <w:rPr>
          <w:color w:val="auto"/>
          <w:sz w:val="21"/>
          <w:szCs w:val="21"/>
        </w:rPr>
        <w:t>47</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_Toc22078 </w:instrText>
      </w:r>
      <w:r>
        <w:rPr>
          <w:rFonts w:hint="eastAsia"/>
          <w:color w:val="auto"/>
          <w:sz w:val="21"/>
          <w:szCs w:val="21"/>
          <w:highlight w:val="none"/>
        </w:rPr>
        <w:fldChar w:fldCharType="separate"/>
      </w:r>
      <w:r>
        <w:rPr>
          <w:rFonts w:hint="eastAsia"/>
          <w:color w:val="auto"/>
          <w:sz w:val="21"/>
          <w:szCs w:val="21"/>
          <w:highlight w:val="none"/>
        </w:rPr>
        <w:t>附表一</w:t>
      </w:r>
      <w:r>
        <w:rPr>
          <w:color w:val="auto"/>
          <w:sz w:val="21"/>
          <w:szCs w:val="21"/>
        </w:rPr>
        <w:tab/>
      </w:r>
      <w:r>
        <w:rPr>
          <w:color w:val="auto"/>
          <w:sz w:val="21"/>
          <w:szCs w:val="21"/>
        </w:rPr>
        <w:fldChar w:fldCharType="begin"/>
      </w:r>
      <w:r>
        <w:rPr>
          <w:color w:val="auto"/>
          <w:sz w:val="21"/>
          <w:szCs w:val="21"/>
        </w:rPr>
        <w:instrText xml:space="preserve"> PAGEREF _Toc22078 \h </w:instrText>
      </w:r>
      <w:r>
        <w:rPr>
          <w:color w:val="auto"/>
          <w:sz w:val="21"/>
          <w:szCs w:val="21"/>
        </w:rPr>
        <w:fldChar w:fldCharType="separate"/>
      </w:r>
      <w:r>
        <w:rPr>
          <w:color w:val="auto"/>
          <w:sz w:val="21"/>
          <w:szCs w:val="21"/>
        </w:rPr>
        <w:t>53</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_Toc26791 </w:instrText>
      </w:r>
      <w:r>
        <w:rPr>
          <w:rFonts w:hint="eastAsia"/>
          <w:color w:val="auto"/>
          <w:sz w:val="21"/>
          <w:szCs w:val="21"/>
          <w:highlight w:val="none"/>
        </w:rPr>
        <w:fldChar w:fldCharType="separate"/>
      </w:r>
      <w:r>
        <w:rPr>
          <w:rFonts w:hint="eastAsia"/>
          <w:color w:val="auto"/>
          <w:sz w:val="21"/>
          <w:szCs w:val="21"/>
          <w:highlight w:val="none"/>
        </w:rPr>
        <w:t>附表二</w:t>
      </w:r>
      <w:r>
        <w:rPr>
          <w:color w:val="auto"/>
          <w:sz w:val="21"/>
          <w:szCs w:val="21"/>
        </w:rPr>
        <w:tab/>
      </w:r>
      <w:r>
        <w:rPr>
          <w:color w:val="auto"/>
          <w:sz w:val="21"/>
          <w:szCs w:val="21"/>
        </w:rPr>
        <w:fldChar w:fldCharType="begin"/>
      </w:r>
      <w:r>
        <w:rPr>
          <w:color w:val="auto"/>
          <w:sz w:val="21"/>
          <w:szCs w:val="21"/>
        </w:rPr>
        <w:instrText xml:space="preserve"> PAGEREF _Toc26791 \h </w:instrText>
      </w:r>
      <w:r>
        <w:rPr>
          <w:color w:val="auto"/>
          <w:sz w:val="21"/>
          <w:szCs w:val="21"/>
        </w:rPr>
        <w:fldChar w:fldCharType="separate"/>
      </w:r>
      <w:r>
        <w:rPr>
          <w:color w:val="auto"/>
          <w:sz w:val="21"/>
          <w:szCs w:val="21"/>
        </w:rPr>
        <w:t>55</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_Toc18896 </w:instrText>
      </w:r>
      <w:r>
        <w:rPr>
          <w:rFonts w:hint="eastAsia"/>
          <w:color w:val="auto"/>
          <w:sz w:val="21"/>
          <w:szCs w:val="21"/>
          <w:highlight w:val="none"/>
        </w:rPr>
        <w:fldChar w:fldCharType="separate"/>
      </w:r>
      <w:r>
        <w:rPr>
          <w:rFonts w:hint="eastAsia"/>
          <w:color w:val="auto"/>
          <w:sz w:val="21"/>
          <w:szCs w:val="21"/>
          <w:highlight w:val="none"/>
        </w:rPr>
        <w:t>附表三</w:t>
      </w:r>
      <w:r>
        <w:rPr>
          <w:color w:val="auto"/>
          <w:sz w:val="21"/>
          <w:szCs w:val="21"/>
        </w:rPr>
        <w:tab/>
      </w:r>
      <w:r>
        <w:rPr>
          <w:color w:val="auto"/>
          <w:sz w:val="21"/>
          <w:szCs w:val="21"/>
        </w:rPr>
        <w:fldChar w:fldCharType="begin"/>
      </w:r>
      <w:r>
        <w:rPr>
          <w:color w:val="auto"/>
          <w:sz w:val="21"/>
          <w:szCs w:val="21"/>
        </w:rPr>
        <w:instrText xml:space="preserve"> PAGEREF _Toc18896 \h </w:instrText>
      </w:r>
      <w:r>
        <w:rPr>
          <w:color w:val="auto"/>
          <w:sz w:val="21"/>
          <w:szCs w:val="21"/>
        </w:rPr>
        <w:fldChar w:fldCharType="separate"/>
      </w:r>
      <w:r>
        <w:rPr>
          <w:color w:val="auto"/>
          <w:sz w:val="21"/>
          <w:szCs w:val="21"/>
        </w:rPr>
        <w:t>56</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_Toc11226 </w:instrText>
      </w:r>
      <w:r>
        <w:rPr>
          <w:rFonts w:hint="eastAsia"/>
          <w:color w:val="auto"/>
          <w:sz w:val="21"/>
          <w:szCs w:val="21"/>
          <w:highlight w:val="none"/>
        </w:rPr>
        <w:fldChar w:fldCharType="separate"/>
      </w:r>
      <w:r>
        <w:rPr>
          <w:rFonts w:hint="eastAsia"/>
          <w:color w:val="auto"/>
          <w:sz w:val="21"/>
          <w:szCs w:val="21"/>
          <w:highlight w:val="none"/>
        </w:rPr>
        <w:t>附表四</w:t>
      </w:r>
      <w:r>
        <w:rPr>
          <w:color w:val="auto"/>
          <w:sz w:val="21"/>
          <w:szCs w:val="21"/>
        </w:rPr>
        <w:tab/>
      </w:r>
      <w:r>
        <w:rPr>
          <w:color w:val="auto"/>
          <w:sz w:val="21"/>
          <w:szCs w:val="21"/>
        </w:rPr>
        <w:fldChar w:fldCharType="begin"/>
      </w:r>
      <w:r>
        <w:rPr>
          <w:color w:val="auto"/>
          <w:sz w:val="21"/>
          <w:szCs w:val="21"/>
        </w:rPr>
        <w:instrText xml:space="preserve"> PAGEREF _Toc11226 \h </w:instrText>
      </w:r>
      <w:r>
        <w:rPr>
          <w:color w:val="auto"/>
          <w:sz w:val="21"/>
          <w:szCs w:val="21"/>
        </w:rPr>
        <w:fldChar w:fldCharType="separate"/>
      </w:r>
      <w:r>
        <w:rPr>
          <w:color w:val="auto"/>
          <w:sz w:val="21"/>
          <w:szCs w:val="21"/>
        </w:rPr>
        <w:t>57</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_Toc18719 </w:instrText>
      </w:r>
      <w:r>
        <w:rPr>
          <w:rFonts w:hint="eastAsia"/>
          <w:color w:val="auto"/>
          <w:sz w:val="21"/>
          <w:szCs w:val="21"/>
          <w:highlight w:val="none"/>
        </w:rPr>
        <w:fldChar w:fldCharType="separate"/>
      </w:r>
      <w:r>
        <w:rPr>
          <w:rFonts w:hint="eastAsia"/>
          <w:color w:val="auto"/>
          <w:sz w:val="21"/>
          <w:szCs w:val="21"/>
          <w:highlight w:val="none"/>
        </w:rPr>
        <w:t>附表五</w:t>
      </w:r>
      <w:r>
        <w:rPr>
          <w:color w:val="auto"/>
          <w:sz w:val="21"/>
          <w:szCs w:val="21"/>
        </w:rPr>
        <w:tab/>
      </w:r>
      <w:r>
        <w:rPr>
          <w:color w:val="auto"/>
          <w:sz w:val="21"/>
          <w:szCs w:val="21"/>
        </w:rPr>
        <w:fldChar w:fldCharType="begin"/>
      </w:r>
      <w:r>
        <w:rPr>
          <w:color w:val="auto"/>
          <w:sz w:val="21"/>
          <w:szCs w:val="21"/>
        </w:rPr>
        <w:instrText xml:space="preserve"> PAGEREF _Toc18719 \h </w:instrText>
      </w:r>
      <w:r>
        <w:rPr>
          <w:color w:val="auto"/>
          <w:sz w:val="21"/>
          <w:szCs w:val="21"/>
        </w:rPr>
        <w:fldChar w:fldCharType="separate"/>
      </w:r>
      <w:r>
        <w:rPr>
          <w:color w:val="auto"/>
          <w:sz w:val="21"/>
          <w:szCs w:val="21"/>
        </w:rPr>
        <w:t>62</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_Toc27477 </w:instrText>
      </w:r>
      <w:r>
        <w:rPr>
          <w:rFonts w:hint="eastAsia"/>
          <w:color w:val="auto"/>
          <w:sz w:val="21"/>
          <w:szCs w:val="21"/>
          <w:highlight w:val="none"/>
        </w:rPr>
        <w:fldChar w:fldCharType="separate"/>
      </w:r>
      <w:r>
        <w:rPr>
          <w:rFonts w:hint="eastAsia"/>
          <w:color w:val="auto"/>
          <w:sz w:val="21"/>
          <w:szCs w:val="21"/>
          <w:highlight w:val="none"/>
        </w:rPr>
        <w:t>附表六</w:t>
      </w:r>
      <w:r>
        <w:rPr>
          <w:color w:val="auto"/>
          <w:sz w:val="21"/>
          <w:szCs w:val="21"/>
        </w:rPr>
        <w:tab/>
      </w:r>
      <w:r>
        <w:rPr>
          <w:color w:val="auto"/>
          <w:sz w:val="21"/>
          <w:szCs w:val="21"/>
        </w:rPr>
        <w:fldChar w:fldCharType="begin"/>
      </w:r>
      <w:r>
        <w:rPr>
          <w:color w:val="auto"/>
          <w:sz w:val="21"/>
          <w:szCs w:val="21"/>
        </w:rPr>
        <w:instrText xml:space="preserve"> PAGEREF _Toc27477 \h </w:instrText>
      </w:r>
      <w:r>
        <w:rPr>
          <w:color w:val="auto"/>
          <w:sz w:val="21"/>
          <w:szCs w:val="21"/>
        </w:rPr>
        <w:fldChar w:fldCharType="separate"/>
      </w:r>
      <w:r>
        <w:rPr>
          <w:color w:val="auto"/>
          <w:sz w:val="21"/>
          <w:szCs w:val="21"/>
        </w:rPr>
        <w:t>63</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_Toc2576 </w:instrText>
      </w:r>
      <w:r>
        <w:rPr>
          <w:rFonts w:hint="eastAsia"/>
          <w:color w:val="auto"/>
          <w:sz w:val="21"/>
          <w:szCs w:val="21"/>
          <w:highlight w:val="none"/>
        </w:rPr>
        <w:fldChar w:fldCharType="separate"/>
      </w:r>
      <w:r>
        <w:rPr>
          <w:rFonts w:hint="eastAsia"/>
          <w:color w:val="auto"/>
          <w:sz w:val="21"/>
          <w:szCs w:val="21"/>
        </w:rPr>
        <w:t>第三章 合同条款</w:t>
      </w:r>
      <w:r>
        <w:rPr>
          <w:color w:val="auto"/>
          <w:sz w:val="21"/>
          <w:szCs w:val="21"/>
        </w:rPr>
        <w:tab/>
      </w:r>
      <w:r>
        <w:rPr>
          <w:color w:val="auto"/>
          <w:sz w:val="21"/>
          <w:szCs w:val="21"/>
        </w:rPr>
        <w:fldChar w:fldCharType="begin"/>
      </w:r>
      <w:r>
        <w:rPr>
          <w:color w:val="auto"/>
          <w:sz w:val="21"/>
          <w:szCs w:val="21"/>
        </w:rPr>
        <w:instrText xml:space="preserve"> PAGEREF _Toc2576 \h </w:instrText>
      </w:r>
      <w:r>
        <w:rPr>
          <w:color w:val="auto"/>
          <w:sz w:val="21"/>
          <w:szCs w:val="21"/>
        </w:rPr>
        <w:fldChar w:fldCharType="separate"/>
      </w:r>
      <w:r>
        <w:rPr>
          <w:color w:val="auto"/>
          <w:sz w:val="21"/>
          <w:szCs w:val="21"/>
        </w:rPr>
        <w:t>65</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_Toc888 </w:instrText>
      </w:r>
      <w:r>
        <w:rPr>
          <w:rFonts w:hint="eastAsia"/>
          <w:color w:val="auto"/>
          <w:sz w:val="21"/>
          <w:szCs w:val="21"/>
          <w:highlight w:val="none"/>
        </w:rPr>
        <w:fldChar w:fldCharType="separate"/>
      </w:r>
      <w:r>
        <w:rPr>
          <w:rFonts w:hint="eastAsia"/>
          <w:color w:val="auto"/>
          <w:sz w:val="21"/>
          <w:szCs w:val="21"/>
          <w:highlight w:val="none"/>
        </w:rPr>
        <w:t>第四章 投标文件格式</w:t>
      </w:r>
      <w:r>
        <w:rPr>
          <w:color w:val="auto"/>
          <w:sz w:val="21"/>
          <w:szCs w:val="21"/>
        </w:rPr>
        <w:tab/>
      </w:r>
      <w:r>
        <w:rPr>
          <w:color w:val="auto"/>
          <w:sz w:val="21"/>
          <w:szCs w:val="21"/>
        </w:rPr>
        <w:fldChar w:fldCharType="begin"/>
      </w:r>
      <w:r>
        <w:rPr>
          <w:color w:val="auto"/>
          <w:sz w:val="21"/>
          <w:szCs w:val="21"/>
        </w:rPr>
        <w:instrText xml:space="preserve"> PAGEREF _Toc888 \h </w:instrText>
      </w:r>
      <w:r>
        <w:rPr>
          <w:color w:val="auto"/>
          <w:sz w:val="21"/>
          <w:szCs w:val="21"/>
        </w:rPr>
        <w:fldChar w:fldCharType="separate"/>
      </w:r>
      <w:r>
        <w:rPr>
          <w:color w:val="auto"/>
          <w:sz w:val="21"/>
          <w:szCs w:val="21"/>
        </w:rPr>
        <w:t>136</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_Toc9577 </w:instrText>
      </w:r>
      <w:r>
        <w:rPr>
          <w:rFonts w:hint="eastAsia"/>
          <w:color w:val="auto"/>
          <w:sz w:val="21"/>
          <w:szCs w:val="21"/>
          <w:highlight w:val="none"/>
        </w:rPr>
        <w:fldChar w:fldCharType="separate"/>
      </w:r>
      <w:r>
        <w:rPr>
          <w:color w:val="auto"/>
          <w:sz w:val="21"/>
          <w:szCs w:val="21"/>
          <w:highlight w:val="none"/>
        </w:rPr>
        <w:t>一、</w:t>
      </w:r>
      <w:r>
        <w:rPr>
          <w:rFonts w:hint="eastAsia"/>
          <w:color w:val="auto"/>
          <w:sz w:val="21"/>
          <w:szCs w:val="21"/>
          <w:highlight w:val="none"/>
        </w:rPr>
        <w:t>技术标</w:t>
      </w:r>
      <w:r>
        <w:rPr>
          <w:color w:val="auto"/>
          <w:sz w:val="21"/>
          <w:szCs w:val="21"/>
          <w:highlight w:val="none"/>
        </w:rPr>
        <w:t>投标文件格式</w:t>
      </w:r>
      <w:r>
        <w:rPr>
          <w:color w:val="auto"/>
          <w:sz w:val="21"/>
          <w:szCs w:val="21"/>
        </w:rPr>
        <w:tab/>
      </w:r>
      <w:r>
        <w:rPr>
          <w:color w:val="auto"/>
          <w:sz w:val="21"/>
          <w:szCs w:val="21"/>
        </w:rPr>
        <w:fldChar w:fldCharType="begin"/>
      </w:r>
      <w:r>
        <w:rPr>
          <w:color w:val="auto"/>
          <w:sz w:val="21"/>
          <w:szCs w:val="21"/>
        </w:rPr>
        <w:instrText xml:space="preserve"> PAGEREF _Toc9577 \h </w:instrText>
      </w:r>
      <w:r>
        <w:rPr>
          <w:color w:val="auto"/>
          <w:sz w:val="21"/>
          <w:szCs w:val="21"/>
        </w:rPr>
        <w:fldChar w:fldCharType="separate"/>
      </w:r>
      <w:r>
        <w:rPr>
          <w:color w:val="auto"/>
          <w:sz w:val="21"/>
          <w:szCs w:val="21"/>
        </w:rPr>
        <w:t>136</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_Toc10309 </w:instrText>
      </w:r>
      <w:r>
        <w:rPr>
          <w:rFonts w:hint="eastAsia"/>
          <w:color w:val="auto"/>
          <w:sz w:val="21"/>
          <w:szCs w:val="21"/>
          <w:highlight w:val="none"/>
        </w:rPr>
        <w:fldChar w:fldCharType="separate"/>
      </w:r>
      <w:r>
        <w:rPr>
          <w:rFonts w:hint="eastAsia"/>
          <w:color w:val="auto"/>
          <w:sz w:val="21"/>
          <w:szCs w:val="21"/>
          <w:highlight w:val="none"/>
        </w:rPr>
        <w:t>格式一：</w:t>
      </w:r>
      <w:r>
        <w:rPr>
          <w:color w:val="auto"/>
          <w:sz w:val="21"/>
          <w:szCs w:val="21"/>
        </w:rPr>
        <w:tab/>
      </w:r>
      <w:r>
        <w:rPr>
          <w:color w:val="auto"/>
          <w:sz w:val="21"/>
          <w:szCs w:val="21"/>
        </w:rPr>
        <w:fldChar w:fldCharType="begin"/>
      </w:r>
      <w:r>
        <w:rPr>
          <w:color w:val="auto"/>
          <w:sz w:val="21"/>
          <w:szCs w:val="21"/>
        </w:rPr>
        <w:instrText xml:space="preserve"> PAGEREF _Toc10309 \h </w:instrText>
      </w:r>
      <w:r>
        <w:rPr>
          <w:color w:val="auto"/>
          <w:sz w:val="21"/>
          <w:szCs w:val="21"/>
        </w:rPr>
        <w:fldChar w:fldCharType="separate"/>
      </w:r>
      <w:r>
        <w:rPr>
          <w:color w:val="auto"/>
          <w:sz w:val="21"/>
          <w:szCs w:val="21"/>
        </w:rPr>
        <w:t>136</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_Toc27671 </w:instrText>
      </w:r>
      <w:r>
        <w:rPr>
          <w:rFonts w:hint="eastAsia"/>
          <w:color w:val="auto"/>
          <w:sz w:val="21"/>
          <w:szCs w:val="21"/>
          <w:highlight w:val="none"/>
        </w:rPr>
        <w:fldChar w:fldCharType="separate"/>
      </w:r>
      <w:r>
        <w:rPr>
          <w:rFonts w:hint="eastAsia"/>
          <w:color w:val="auto"/>
          <w:sz w:val="21"/>
          <w:szCs w:val="21"/>
          <w:highlight w:val="none"/>
        </w:rPr>
        <w:t>格式二：</w:t>
      </w:r>
      <w:r>
        <w:rPr>
          <w:color w:val="auto"/>
          <w:sz w:val="21"/>
          <w:szCs w:val="21"/>
        </w:rPr>
        <w:tab/>
      </w:r>
      <w:r>
        <w:rPr>
          <w:color w:val="auto"/>
          <w:sz w:val="21"/>
          <w:szCs w:val="21"/>
        </w:rPr>
        <w:fldChar w:fldCharType="begin"/>
      </w:r>
      <w:r>
        <w:rPr>
          <w:color w:val="auto"/>
          <w:sz w:val="21"/>
          <w:szCs w:val="21"/>
        </w:rPr>
        <w:instrText xml:space="preserve"> PAGEREF _Toc27671 \h </w:instrText>
      </w:r>
      <w:r>
        <w:rPr>
          <w:color w:val="auto"/>
          <w:sz w:val="21"/>
          <w:szCs w:val="21"/>
        </w:rPr>
        <w:fldChar w:fldCharType="separate"/>
      </w:r>
      <w:r>
        <w:rPr>
          <w:color w:val="auto"/>
          <w:sz w:val="21"/>
          <w:szCs w:val="21"/>
        </w:rPr>
        <w:t>137</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_Toc26662 </w:instrText>
      </w:r>
      <w:r>
        <w:rPr>
          <w:rFonts w:hint="eastAsia"/>
          <w:color w:val="auto"/>
          <w:sz w:val="21"/>
          <w:szCs w:val="21"/>
          <w:highlight w:val="none"/>
        </w:rPr>
        <w:fldChar w:fldCharType="separate"/>
      </w:r>
      <w:r>
        <w:rPr>
          <w:rFonts w:hint="eastAsia"/>
          <w:color w:val="auto"/>
          <w:sz w:val="21"/>
          <w:szCs w:val="21"/>
          <w:highlight w:val="none"/>
        </w:rPr>
        <w:t>格式三：</w:t>
      </w:r>
      <w:r>
        <w:rPr>
          <w:color w:val="auto"/>
          <w:sz w:val="21"/>
          <w:szCs w:val="21"/>
        </w:rPr>
        <w:tab/>
      </w:r>
      <w:r>
        <w:rPr>
          <w:color w:val="auto"/>
          <w:sz w:val="21"/>
          <w:szCs w:val="21"/>
        </w:rPr>
        <w:fldChar w:fldCharType="begin"/>
      </w:r>
      <w:r>
        <w:rPr>
          <w:color w:val="auto"/>
          <w:sz w:val="21"/>
          <w:szCs w:val="21"/>
        </w:rPr>
        <w:instrText xml:space="preserve"> PAGEREF _Toc26662 \h </w:instrText>
      </w:r>
      <w:r>
        <w:rPr>
          <w:color w:val="auto"/>
          <w:sz w:val="21"/>
          <w:szCs w:val="21"/>
        </w:rPr>
        <w:fldChar w:fldCharType="separate"/>
      </w:r>
      <w:r>
        <w:rPr>
          <w:color w:val="auto"/>
          <w:sz w:val="21"/>
          <w:szCs w:val="21"/>
        </w:rPr>
        <w:t>139</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_Toc22360 </w:instrText>
      </w:r>
      <w:r>
        <w:rPr>
          <w:rFonts w:hint="eastAsia"/>
          <w:color w:val="auto"/>
          <w:sz w:val="21"/>
          <w:szCs w:val="21"/>
          <w:highlight w:val="none"/>
        </w:rPr>
        <w:fldChar w:fldCharType="separate"/>
      </w:r>
      <w:r>
        <w:rPr>
          <w:rFonts w:hint="eastAsia"/>
          <w:color w:val="auto"/>
          <w:sz w:val="21"/>
          <w:szCs w:val="21"/>
          <w:highlight w:val="none"/>
        </w:rPr>
        <w:t>格式四</w:t>
      </w:r>
      <w:r>
        <w:rPr>
          <w:rFonts w:hint="eastAsia"/>
          <w:snapToGrid w:val="0"/>
          <w:color w:val="auto"/>
          <w:spacing w:val="4"/>
          <w:sz w:val="21"/>
          <w:szCs w:val="21"/>
          <w:highlight w:val="none"/>
        </w:rPr>
        <w:t>：</w:t>
      </w:r>
      <w:r>
        <w:rPr>
          <w:color w:val="auto"/>
          <w:sz w:val="21"/>
          <w:szCs w:val="21"/>
        </w:rPr>
        <w:tab/>
      </w:r>
      <w:r>
        <w:rPr>
          <w:color w:val="auto"/>
          <w:sz w:val="21"/>
          <w:szCs w:val="21"/>
        </w:rPr>
        <w:fldChar w:fldCharType="begin"/>
      </w:r>
      <w:r>
        <w:rPr>
          <w:color w:val="auto"/>
          <w:sz w:val="21"/>
          <w:szCs w:val="21"/>
        </w:rPr>
        <w:instrText xml:space="preserve"> PAGEREF _Toc22360 \h </w:instrText>
      </w:r>
      <w:r>
        <w:rPr>
          <w:color w:val="auto"/>
          <w:sz w:val="21"/>
          <w:szCs w:val="21"/>
        </w:rPr>
        <w:fldChar w:fldCharType="separate"/>
      </w:r>
      <w:r>
        <w:rPr>
          <w:color w:val="auto"/>
          <w:sz w:val="21"/>
          <w:szCs w:val="21"/>
        </w:rPr>
        <w:t>143</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_Toc29141 </w:instrText>
      </w:r>
      <w:r>
        <w:rPr>
          <w:rFonts w:hint="eastAsia"/>
          <w:color w:val="auto"/>
          <w:sz w:val="21"/>
          <w:szCs w:val="21"/>
          <w:highlight w:val="none"/>
        </w:rPr>
        <w:fldChar w:fldCharType="separate"/>
      </w:r>
      <w:r>
        <w:rPr>
          <w:rFonts w:hint="eastAsia"/>
          <w:color w:val="auto"/>
          <w:sz w:val="21"/>
          <w:szCs w:val="21"/>
          <w:highlight w:val="none"/>
        </w:rPr>
        <w:t>格式五：</w:t>
      </w:r>
      <w:r>
        <w:rPr>
          <w:color w:val="auto"/>
          <w:sz w:val="21"/>
          <w:szCs w:val="21"/>
        </w:rPr>
        <w:tab/>
      </w:r>
      <w:r>
        <w:rPr>
          <w:color w:val="auto"/>
          <w:sz w:val="21"/>
          <w:szCs w:val="21"/>
        </w:rPr>
        <w:fldChar w:fldCharType="begin"/>
      </w:r>
      <w:r>
        <w:rPr>
          <w:color w:val="auto"/>
          <w:sz w:val="21"/>
          <w:szCs w:val="21"/>
        </w:rPr>
        <w:instrText xml:space="preserve"> PAGEREF _Toc29141 \h </w:instrText>
      </w:r>
      <w:r>
        <w:rPr>
          <w:color w:val="auto"/>
          <w:sz w:val="21"/>
          <w:szCs w:val="21"/>
        </w:rPr>
        <w:fldChar w:fldCharType="separate"/>
      </w:r>
      <w:r>
        <w:rPr>
          <w:color w:val="auto"/>
          <w:sz w:val="21"/>
          <w:szCs w:val="21"/>
        </w:rPr>
        <w:t>144</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_Toc29588 </w:instrText>
      </w:r>
      <w:r>
        <w:rPr>
          <w:rFonts w:hint="eastAsia"/>
          <w:color w:val="auto"/>
          <w:sz w:val="21"/>
          <w:szCs w:val="21"/>
          <w:highlight w:val="none"/>
        </w:rPr>
        <w:fldChar w:fldCharType="separate"/>
      </w:r>
      <w:r>
        <w:rPr>
          <w:rFonts w:hint="eastAsia"/>
          <w:strike w:val="0"/>
          <w:dstrike w:val="0"/>
          <w:color w:val="auto"/>
          <w:sz w:val="21"/>
          <w:szCs w:val="21"/>
          <w:highlight w:val="none"/>
        </w:rPr>
        <w:t>格式六：</w:t>
      </w:r>
      <w:r>
        <w:rPr>
          <w:color w:val="auto"/>
          <w:sz w:val="21"/>
          <w:szCs w:val="21"/>
        </w:rPr>
        <w:tab/>
      </w:r>
      <w:r>
        <w:rPr>
          <w:color w:val="auto"/>
          <w:sz w:val="21"/>
          <w:szCs w:val="21"/>
        </w:rPr>
        <w:fldChar w:fldCharType="begin"/>
      </w:r>
      <w:r>
        <w:rPr>
          <w:color w:val="auto"/>
          <w:sz w:val="21"/>
          <w:szCs w:val="21"/>
        </w:rPr>
        <w:instrText xml:space="preserve"> PAGEREF _Toc29588 \h </w:instrText>
      </w:r>
      <w:r>
        <w:rPr>
          <w:color w:val="auto"/>
          <w:sz w:val="21"/>
          <w:szCs w:val="21"/>
        </w:rPr>
        <w:fldChar w:fldCharType="separate"/>
      </w:r>
      <w:r>
        <w:rPr>
          <w:color w:val="auto"/>
          <w:sz w:val="21"/>
          <w:szCs w:val="21"/>
        </w:rPr>
        <w:t>146</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_Toc7782 </w:instrText>
      </w:r>
      <w:r>
        <w:rPr>
          <w:rFonts w:hint="eastAsia"/>
          <w:color w:val="auto"/>
          <w:sz w:val="21"/>
          <w:szCs w:val="21"/>
          <w:highlight w:val="none"/>
        </w:rPr>
        <w:fldChar w:fldCharType="separate"/>
      </w:r>
      <w:r>
        <w:rPr>
          <w:rFonts w:hint="eastAsia"/>
          <w:color w:val="auto"/>
          <w:sz w:val="21"/>
          <w:szCs w:val="21"/>
          <w:highlight w:val="none"/>
        </w:rPr>
        <w:t>格式七：</w:t>
      </w:r>
      <w:r>
        <w:rPr>
          <w:color w:val="auto"/>
          <w:sz w:val="21"/>
          <w:szCs w:val="21"/>
        </w:rPr>
        <w:tab/>
      </w:r>
      <w:r>
        <w:rPr>
          <w:color w:val="auto"/>
          <w:sz w:val="21"/>
          <w:szCs w:val="21"/>
        </w:rPr>
        <w:fldChar w:fldCharType="begin"/>
      </w:r>
      <w:r>
        <w:rPr>
          <w:color w:val="auto"/>
          <w:sz w:val="21"/>
          <w:szCs w:val="21"/>
        </w:rPr>
        <w:instrText xml:space="preserve"> PAGEREF _Toc7782 \h </w:instrText>
      </w:r>
      <w:r>
        <w:rPr>
          <w:color w:val="auto"/>
          <w:sz w:val="21"/>
          <w:szCs w:val="21"/>
        </w:rPr>
        <w:fldChar w:fldCharType="separate"/>
      </w:r>
      <w:r>
        <w:rPr>
          <w:color w:val="auto"/>
          <w:sz w:val="21"/>
          <w:szCs w:val="21"/>
        </w:rPr>
        <w:t>147</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_Toc25262 </w:instrText>
      </w:r>
      <w:r>
        <w:rPr>
          <w:rFonts w:hint="eastAsia"/>
          <w:color w:val="auto"/>
          <w:sz w:val="21"/>
          <w:szCs w:val="21"/>
          <w:highlight w:val="none"/>
        </w:rPr>
        <w:fldChar w:fldCharType="separate"/>
      </w:r>
      <w:r>
        <w:rPr>
          <w:rFonts w:hint="eastAsia"/>
          <w:color w:val="auto"/>
          <w:sz w:val="21"/>
          <w:szCs w:val="21"/>
          <w:highlight w:val="none"/>
        </w:rPr>
        <w:t>格式八：</w:t>
      </w:r>
      <w:r>
        <w:rPr>
          <w:color w:val="auto"/>
          <w:sz w:val="21"/>
          <w:szCs w:val="21"/>
        </w:rPr>
        <w:tab/>
      </w:r>
      <w:r>
        <w:rPr>
          <w:color w:val="auto"/>
          <w:sz w:val="21"/>
          <w:szCs w:val="21"/>
        </w:rPr>
        <w:fldChar w:fldCharType="begin"/>
      </w:r>
      <w:r>
        <w:rPr>
          <w:color w:val="auto"/>
          <w:sz w:val="21"/>
          <w:szCs w:val="21"/>
        </w:rPr>
        <w:instrText xml:space="preserve"> PAGEREF _Toc25262 \h </w:instrText>
      </w:r>
      <w:r>
        <w:rPr>
          <w:color w:val="auto"/>
          <w:sz w:val="21"/>
          <w:szCs w:val="21"/>
        </w:rPr>
        <w:fldChar w:fldCharType="separate"/>
      </w:r>
      <w:r>
        <w:rPr>
          <w:color w:val="auto"/>
          <w:sz w:val="21"/>
          <w:szCs w:val="21"/>
        </w:rPr>
        <w:t>148</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_Toc2250 </w:instrText>
      </w:r>
      <w:r>
        <w:rPr>
          <w:rFonts w:hint="eastAsia"/>
          <w:color w:val="auto"/>
          <w:sz w:val="21"/>
          <w:szCs w:val="21"/>
          <w:highlight w:val="none"/>
        </w:rPr>
        <w:fldChar w:fldCharType="separate"/>
      </w:r>
      <w:r>
        <w:rPr>
          <w:rFonts w:hint="eastAsia"/>
          <w:color w:val="auto"/>
          <w:sz w:val="21"/>
          <w:szCs w:val="21"/>
          <w:highlight w:val="none"/>
        </w:rPr>
        <w:t>格式九：</w:t>
      </w:r>
      <w:r>
        <w:rPr>
          <w:color w:val="auto"/>
          <w:sz w:val="21"/>
          <w:szCs w:val="21"/>
        </w:rPr>
        <w:tab/>
      </w:r>
      <w:r>
        <w:rPr>
          <w:color w:val="auto"/>
          <w:sz w:val="21"/>
          <w:szCs w:val="21"/>
        </w:rPr>
        <w:fldChar w:fldCharType="begin"/>
      </w:r>
      <w:r>
        <w:rPr>
          <w:color w:val="auto"/>
          <w:sz w:val="21"/>
          <w:szCs w:val="21"/>
        </w:rPr>
        <w:instrText xml:space="preserve"> PAGEREF _Toc2250 \h </w:instrText>
      </w:r>
      <w:r>
        <w:rPr>
          <w:color w:val="auto"/>
          <w:sz w:val="21"/>
          <w:szCs w:val="21"/>
        </w:rPr>
        <w:fldChar w:fldCharType="separate"/>
      </w:r>
      <w:r>
        <w:rPr>
          <w:color w:val="auto"/>
          <w:sz w:val="21"/>
          <w:szCs w:val="21"/>
        </w:rPr>
        <w:t>152</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_Toc14857 </w:instrText>
      </w:r>
      <w:r>
        <w:rPr>
          <w:rFonts w:hint="eastAsia"/>
          <w:color w:val="auto"/>
          <w:sz w:val="21"/>
          <w:szCs w:val="21"/>
          <w:highlight w:val="none"/>
        </w:rPr>
        <w:fldChar w:fldCharType="separate"/>
      </w:r>
      <w:r>
        <w:rPr>
          <w:rFonts w:hint="eastAsia"/>
          <w:color w:val="auto"/>
          <w:sz w:val="21"/>
          <w:szCs w:val="21"/>
          <w:highlight w:val="none"/>
        </w:rPr>
        <w:t>二、经济标投标文件格式</w:t>
      </w:r>
      <w:r>
        <w:rPr>
          <w:color w:val="auto"/>
          <w:sz w:val="21"/>
          <w:szCs w:val="21"/>
        </w:rPr>
        <w:tab/>
      </w:r>
      <w:r>
        <w:rPr>
          <w:color w:val="auto"/>
          <w:sz w:val="21"/>
          <w:szCs w:val="21"/>
        </w:rPr>
        <w:fldChar w:fldCharType="begin"/>
      </w:r>
      <w:r>
        <w:rPr>
          <w:color w:val="auto"/>
          <w:sz w:val="21"/>
          <w:szCs w:val="21"/>
        </w:rPr>
        <w:instrText xml:space="preserve"> PAGEREF _Toc14857 \h </w:instrText>
      </w:r>
      <w:r>
        <w:rPr>
          <w:color w:val="auto"/>
          <w:sz w:val="21"/>
          <w:szCs w:val="21"/>
        </w:rPr>
        <w:fldChar w:fldCharType="separate"/>
      </w:r>
      <w:r>
        <w:rPr>
          <w:color w:val="auto"/>
          <w:sz w:val="21"/>
          <w:szCs w:val="21"/>
        </w:rPr>
        <w:t>153</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_Toc1604 </w:instrText>
      </w:r>
      <w:r>
        <w:rPr>
          <w:rFonts w:hint="eastAsia"/>
          <w:color w:val="auto"/>
          <w:sz w:val="21"/>
          <w:szCs w:val="21"/>
          <w:highlight w:val="none"/>
        </w:rPr>
        <w:fldChar w:fldCharType="separate"/>
      </w:r>
      <w:r>
        <w:rPr>
          <w:rFonts w:hint="eastAsia"/>
          <w:snapToGrid w:val="0"/>
          <w:color w:val="auto"/>
          <w:sz w:val="21"/>
          <w:szCs w:val="21"/>
          <w:highlight w:val="none"/>
        </w:rPr>
        <w:t>格式十：</w:t>
      </w:r>
      <w:r>
        <w:rPr>
          <w:color w:val="auto"/>
          <w:sz w:val="21"/>
          <w:szCs w:val="21"/>
        </w:rPr>
        <w:tab/>
      </w:r>
      <w:r>
        <w:rPr>
          <w:color w:val="auto"/>
          <w:sz w:val="21"/>
          <w:szCs w:val="21"/>
        </w:rPr>
        <w:fldChar w:fldCharType="begin"/>
      </w:r>
      <w:r>
        <w:rPr>
          <w:color w:val="auto"/>
          <w:sz w:val="21"/>
          <w:szCs w:val="21"/>
        </w:rPr>
        <w:instrText xml:space="preserve"> PAGEREF _Toc1604 \h </w:instrText>
      </w:r>
      <w:r>
        <w:rPr>
          <w:color w:val="auto"/>
          <w:sz w:val="21"/>
          <w:szCs w:val="21"/>
        </w:rPr>
        <w:fldChar w:fldCharType="separate"/>
      </w:r>
      <w:r>
        <w:rPr>
          <w:color w:val="auto"/>
          <w:sz w:val="21"/>
          <w:szCs w:val="21"/>
        </w:rPr>
        <w:t>153</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_Toc24989 </w:instrText>
      </w:r>
      <w:r>
        <w:rPr>
          <w:rFonts w:hint="eastAsia"/>
          <w:color w:val="auto"/>
          <w:sz w:val="21"/>
          <w:szCs w:val="21"/>
          <w:highlight w:val="none"/>
        </w:rPr>
        <w:fldChar w:fldCharType="separate"/>
      </w:r>
      <w:r>
        <w:rPr>
          <w:rFonts w:hint="eastAsia"/>
          <w:snapToGrid w:val="0"/>
          <w:color w:val="auto"/>
          <w:sz w:val="21"/>
          <w:szCs w:val="21"/>
          <w:highlight w:val="none"/>
        </w:rPr>
        <w:t>格式十一：</w:t>
      </w:r>
      <w:r>
        <w:rPr>
          <w:color w:val="auto"/>
          <w:sz w:val="21"/>
          <w:szCs w:val="21"/>
        </w:rPr>
        <w:tab/>
      </w:r>
      <w:r>
        <w:rPr>
          <w:color w:val="auto"/>
          <w:sz w:val="21"/>
          <w:szCs w:val="21"/>
        </w:rPr>
        <w:fldChar w:fldCharType="begin"/>
      </w:r>
      <w:r>
        <w:rPr>
          <w:color w:val="auto"/>
          <w:sz w:val="21"/>
          <w:szCs w:val="21"/>
        </w:rPr>
        <w:instrText xml:space="preserve"> PAGEREF _Toc24989 \h </w:instrText>
      </w:r>
      <w:r>
        <w:rPr>
          <w:color w:val="auto"/>
          <w:sz w:val="21"/>
          <w:szCs w:val="21"/>
        </w:rPr>
        <w:fldChar w:fldCharType="separate"/>
      </w:r>
      <w:r>
        <w:rPr>
          <w:color w:val="auto"/>
          <w:sz w:val="21"/>
          <w:szCs w:val="21"/>
        </w:rPr>
        <w:t>154</w:t>
      </w:r>
      <w:r>
        <w:rPr>
          <w:color w:val="auto"/>
          <w:sz w:val="21"/>
          <w:szCs w:val="21"/>
        </w:rPr>
        <w:fldChar w:fldCharType="end"/>
      </w:r>
      <w:r>
        <w:rPr>
          <w:rFonts w:hint="eastAsia"/>
          <w:color w:val="auto"/>
          <w:sz w:val="21"/>
          <w:szCs w:val="21"/>
          <w:highlight w:val="none"/>
        </w:rPr>
        <w:fldChar w:fldCharType="end"/>
      </w:r>
    </w:p>
    <w:p>
      <w:pPr>
        <w:pStyle w:val="26"/>
        <w:tabs>
          <w:tab w:val="right" w:leader="dot" w:pos="907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_Toc12195 </w:instrText>
      </w:r>
      <w:r>
        <w:rPr>
          <w:rFonts w:hint="eastAsia"/>
          <w:color w:val="auto"/>
          <w:sz w:val="21"/>
          <w:szCs w:val="21"/>
          <w:highlight w:val="none"/>
        </w:rPr>
        <w:fldChar w:fldCharType="separate"/>
      </w:r>
      <w:r>
        <w:rPr>
          <w:rFonts w:hint="eastAsia"/>
          <w:color w:val="auto"/>
          <w:sz w:val="21"/>
          <w:szCs w:val="21"/>
          <w:highlight w:val="none"/>
        </w:rPr>
        <w:t>格式</w:t>
      </w:r>
      <w:r>
        <w:rPr>
          <w:rFonts w:hint="eastAsia"/>
          <w:snapToGrid w:val="0"/>
          <w:color w:val="auto"/>
          <w:sz w:val="21"/>
          <w:szCs w:val="21"/>
          <w:highlight w:val="none"/>
        </w:rPr>
        <w:t>十二</w:t>
      </w:r>
      <w:r>
        <w:rPr>
          <w:rFonts w:hint="eastAsia"/>
          <w:color w:val="auto"/>
          <w:kern w:val="2"/>
          <w:sz w:val="21"/>
          <w:szCs w:val="21"/>
          <w:highlight w:val="none"/>
        </w:rPr>
        <w:t>：</w:t>
      </w:r>
      <w:r>
        <w:rPr>
          <w:color w:val="auto"/>
          <w:sz w:val="21"/>
          <w:szCs w:val="21"/>
        </w:rPr>
        <w:tab/>
      </w:r>
      <w:r>
        <w:rPr>
          <w:color w:val="auto"/>
          <w:sz w:val="21"/>
          <w:szCs w:val="21"/>
        </w:rPr>
        <w:fldChar w:fldCharType="begin"/>
      </w:r>
      <w:r>
        <w:rPr>
          <w:color w:val="auto"/>
          <w:sz w:val="21"/>
          <w:szCs w:val="21"/>
        </w:rPr>
        <w:instrText xml:space="preserve"> PAGEREF _Toc12195 \h </w:instrText>
      </w:r>
      <w:r>
        <w:rPr>
          <w:color w:val="auto"/>
          <w:sz w:val="21"/>
          <w:szCs w:val="21"/>
        </w:rPr>
        <w:fldChar w:fldCharType="separate"/>
      </w:r>
      <w:r>
        <w:rPr>
          <w:color w:val="auto"/>
          <w:sz w:val="21"/>
          <w:szCs w:val="21"/>
        </w:rPr>
        <w:t>155</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_Toc1231 </w:instrText>
      </w:r>
      <w:r>
        <w:rPr>
          <w:rFonts w:hint="eastAsia"/>
          <w:color w:val="auto"/>
          <w:sz w:val="21"/>
          <w:szCs w:val="21"/>
          <w:highlight w:val="none"/>
        </w:rPr>
        <w:fldChar w:fldCharType="separate"/>
      </w:r>
      <w:r>
        <w:rPr>
          <w:rFonts w:hint="eastAsia"/>
          <w:color w:val="auto"/>
          <w:sz w:val="21"/>
          <w:szCs w:val="21"/>
          <w:highlight w:val="none"/>
        </w:rPr>
        <w:t>第五章 技术条件（工程建设标准）</w:t>
      </w:r>
      <w:r>
        <w:rPr>
          <w:color w:val="auto"/>
          <w:sz w:val="21"/>
          <w:szCs w:val="21"/>
        </w:rPr>
        <w:tab/>
      </w:r>
      <w:r>
        <w:rPr>
          <w:color w:val="auto"/>
          <w:sz w:val="21"/>
          <w:szCs w:val="21"/>
        </w:rPr>
        <w:fldChar w:fldCharType="begin"/>
      </w:r>
      <w:r>
        <w:rPr>
          <w:color w:val="auto"/>
          <w:sz w:val="21"/>
          <w:szCs w:val="21"/>
        </w:rPr>
        <w:instrText xml:space="preserve"> PAGEREF _Toc1231 \h </w:instrText>
      </w:r>
      <w:r>
        <w:rPr>
          <w:color w:val="auto"/>
          <w:sz w:val="21"/>
          <w:szCs w:val="21"/>
        </w:rPr>
        <w:fldChar w:fldCharType="separate"/>
      </w:r>
      <w:r>
        <w:rPr>
          <w:color w:val="auto"/>
          <w:sz w:val="21"/>
          <w:szCs w:val="21"/>
        </w:rPr>
        <w:t>156</w:t>
      </w:r>
      <w:r>
        <w:rPr>
          <w:color w:val="auto"/>
          <w:sz w:val="21"/>
          <w:szCs w:val="21"/>
        </w:rPr>
        <w:fldChar w:fldCharType="end"/>
      </w:r>
      <w:r>
        <w:rPr>
          <w:rFonts w:hint="eastAsia"/>
          <w:color w:val="auto"/>
          <w:sz w:val="21"/>
          <w:szCs w:val="21"/>
          <w:highlight w:val="none"/>
        </w:rPr>
        <w:fldChar w:fldCharType="end"/>
      </w:r>
    </w:p>
    <w:p>
      <w:pPr>
        <w:pStyle w:val="42"/>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_Toc26948 </w:instrText>
      </w:r>
      <w:r>
        <w:rPr>
          <w:rFonts w:hint="eastAsia"/>
          <w:color w:val="auto"/>
          <w:sz w:val="21"/>
          <w:szCs w:val="21"/>
          <w:highlight w:val="none"/>
        </w:rPr>
        <w:fldChar w:fldCharType="separate"/>
      </w:r>
      <w:r>
        <w:rPr>
          <w:rFonts w:hint="eastAsia"/>
          <w:color w:val="auto"/>
          <w:sz w:val="21"/>
          <w:szCs w:val="21"/>
          <w:highlight w:val="none"/>
        </w:rPr>
        <w:t>一、标准</w:t>
      </w:r>
      <w:r>
        <w:rPr>
          <w:color w:val="auto"/>
          <w:sz w:val="21"/>
          <w:szCs w:val="21"/>
        </w:rPr>
        <w:tab/>
      </w:r>
      <w:r>
        <w:rPr>
          <w:color w:val="auto"/>
          <w:sz w:val="21"/>
          <w:szCs w:val="21"/>
        </w:rPr>
        <w:fldChar w:fldCharType="begin"/>
      </w:r>
      <w:r>
        <w:rPr>
          <w:color w:val="auto"/>
          <w:sz w:val="21"/>
          <w:szCs w:val="21"/>
        </w:rPr>
        <w:instrText xml:space="preserve"> PAGEREF _Toc26948 \h </w:instrText>
      </w:r>
      <w:r>
        <w:rPr>
          <w:color w:val="auto"/>
          <w:sz w:val="21"/>
          <w:szCs w:val="21"/>
        </w:rPr>
        <w:fldChar w:fldCharType="separate"/>
      </w:r>
      <w:r>
        <w:rPr>
          <w:color w:val="auto"/>
          <w:sz w:val="21"/>
          <w:szCs w:val="21"/>
        </w:rPr>
        <w:t>156</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_Toc27367 </w:instrText>
      </w:r>
      <w:r>
        <w:rPr>
          <w:rFonts w:hint="eastAsia"/>
          <w:color w:val="auto"/>
          <w:sz w:val="21"/>
          <w:szCs w:val="21"/>
          <w:highlight w:val="none"/>
        </w:rPr>
        <w:fldChar w:fldCharType="separate"/>
      </w:r>
      <w:r>
        <w:rPr>
          <w:rFonts w:hint="eastAsia"/>
          <w:color w:val="auto"/>
          <w:sz w:val="21"/>
          <w:szCs w:val="21"/>
          <w:highlight w:val="none"/>
        </w:rPr>
        <w:t>第六章 图纸及勘察资料</w:t>
      </w:r>
      <w:r>
        <w:rPr>
          <w:color w:val="auto"/>
          <w:sz w:val="21"/>
          <w:szCs w:val="21"/>
        </w:rPr>
        <w:tab/>
      </w:r>
      <w:r>
        <w:rPr>
          <w:color w:val="auto"/>
          <w:sz w:val="21"/>
          <w:szCs w:val="21"/>
        </w:rPr>
        <w:fldChar w:fldCharType="begin"/>
      </w:r>
      <w:r>
        <w:rPr>
          <w:color w:val="auto"/>
          <w:sz w:val="21"/>
          <w:szCs w:val="21"/>
        </w:rPr>
        <w:instrText xml:space="preserve"> PAGEREF _Toc27367 \h </w:instrText>
      </w:r>
      <w:r>
        <w:rPr>
          <w:color w:val="auto"/>
          <w:sz w:val="21"/>
          <w:szCs w:val="21"/>
        </w:rPr>
        <w:fldChar w:fldCharType="separate"/>
      </w:r>
      <w:r>
        <w:rPr>
          <w:color w:val="auto"/>
          <w:sz w:val="21"/>
          <w:szCs w:val="21"/>
        </w:rPr>
        <w:t>157</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sz w:val="21"/>
          <w:szCs w:val="21"/>
        </w:rPr>
      </w:pPr>
      <w:r>
        <w:rPr>
          <w:rFonts w:hint="eastAsia"/>
          <w:color w:val="auto"/>
          <w:sz w:val="21"/>
          <w:szCs w:val="21"/>
          <w:highlight w:val="none"/>
        </w:rPr>
        <w:fldChar w:fldCharType="begin"/>
      </w:r>
      <w:r>
        <w:rPr>
          <w:rFonts w:hint="eastAsia"/>
          <w:color w:val="auto"/>
          <w:sz w:val="21"/>
          <w:szCs w:val="21"/>
          <w:highlight w:val="none"/>
        </w:rPr>
        <w:instrText xml:space="preserve"> HYPERLINK \l _Toc2087 </w:instrText>
      </w:r>
      <w:r>
        <w:rPr>
          <w:rFonts w:hint="eastAsia"/>
          <w:color w:val="auto"/>
          <w:sz w:val="21"/>
          <w:szCs w:val="21"/>
          <w:highlight w:val="none"/>
        </w:rPr>
        <w:fldChar w:fldCharType="separate"/>
      </w:r>
      <w:r>
        <w:rPr>
          <w:rFonts w:hint="eastAsia"/>
          <w:color w:val="auto"/>
          <w:sz w:val="21"/>
          <w:szCs w:val="21"/>
          <w:highlight w:val="none"/>
        </w:rPr>
        <w:t>第七章 工程量清单</w:t>
      </w:r>
      <w:r>
        <w:rPr>
          <w:color w:val="auto"/>
          <w:sz w:val="21"/>
          <w:szCs w:val="21"/>
        </w:rPr>
        <w:tab/>
      </w:r>
      <w:r>
        <w:rPr>
          <w:color w:val="auto"/>
          <w:sz w:val="21"/>
          <w:szCs w:val="21"/>
        </w:rPr>
        <w:fldChar w:fldCharType="begin"/>
      </w:r>
      <w:r>
        <w:rPr>
          <w:color w:val="auto"/>
          <w:sz w:val="21"/>
          <w:szCs w:val="21"/>
        </w:rPr>
        <w:instrText xml:space="preserve"> PAGEREF _Toc2087 \h </w:instrText>
      </w:r>
      <w:r>
        <w:rPr>
          <w:color w:val="auto"/>
          <w:sz w:val="21"/>
          <w:szCs w:val="21"/>
        </w:rPr>
        <w:fldChar w:fldCharType="separate"/>
      </w:r>
      <w:r>
        <w:rPr>
          <w:color w:val="auto"/>
          <w:sz w:val="21"/>
          <w:szCs w:val="21"/>
        </w:rPr>
        <w:t>157</w:t>
      </w:r>
      <w:r>
        <w:rPr>
          <w:color w:val="auto"/>
          <w:sz w:val="21"/>
          <w:szCs w:val="21"/>
        </w:rPr>
        <w:fldChar w:fldCharType="end"/>
      </w:r>
      <w:r>
        <w:rPr>
          <w:rFonts w:hint="eastAsia"/>
          <w:color w:val="auto"/>
          <w:sz w:val="21"/>
          <w:szCs w:val="21"/>
          <w:highlight w:val="none"/>
        </w:rPr>
        <w:fldChar w:fldCharType="end"/>
      </w:r>
    </w:p>
    <w:p>
      <w:pPr>
        <w:pStyle w:val="34"/>
        <w:tabs>
          <w:tab w:val="right" w:leader="dot" w:pos="9070"/>
          <w:tab w:val="clear" w:pos="9060"/>
        </w:tabs>
        <w:spacing w:line="240" w:lineRule="auto"/>
        <w:rPr>
          <w:color w:val="auto"/>
        </w:rPr>
      </w:pPr>
      <w:r>
        <w:rPr>
          <w:rFonts w:hint="eastAsia"/>
          <w:color w:val="auto"/>
          <w:sz w:val="21"/>
          <w:szCs w:val="21"/>
          <w:highlight w:val="none"/>
        </w:rPr>
        <w:fldChar w:fldCharType="begin"/>
      </w:r>
      <w:r>
        <w:rPr>
          <w:rFonts w:hint="eastAsia"/>
          <w:color w:val="auto"/>
          <w:sz w:val="21"/>
          <w:szCs w:val="21"/>
          <w:highlight w:val="none"/>
        </w:rPr>
        <w:instrText xml:space="preserve"> HYPERLINK \l _Toc31835 </w:instrText>
      </w:r>
      <w:r>
        <w:rPr>
          <w:rFonts w:hint="eastAsia"/>
          <w:color w:val="auto"/>
          <w:sz w:val="21"/>
          <w:szCs w:val="21"/>
          <w:highlight w:val="none"/>
        </w:rPr>
        <w:fldChar w:fldCharType="separate"/>
      </w:r>
      <w:r>
        <w:rPr>
          <w:rFonts w:hint="eastAsia"/>
          <w:color w:val="auto"/>
          <w:sz w:val="21"/>
          <w:szCs w:val="21"/>
          <w:highlight w:val="none"/>
        </w:rPr>
        <w:t>第八章 最高投标限价</w:t>
      </w:r>
      <w:r>
        <w:rPr>
          <w:color w:val="auto"/>
          <w:sz w:val="21"/>
          <w:szCs w:val="21"/>
        </w:rPr>
        <w:tab/>
      </w:r>
      <w:r>
        <w:rPr>
          <w:color w:val="auto"/>
          <w:sz w:val="21"/>
          <w:szCs w:val="21"/>
        </w:rPr>
        <w:fldChar w:fldCharType="begin"/>
      </w:r>
      <w:r>
        <w:rPr>
          <w:color w:val="auto"/>
          <w:sz w:val="21"/>
          <w:szCs w:val="21"/>
        </w:rPr>
        <w:instrText xml:space="preserve"> PAGEREF _Toc31835 \h </w:instrText>
      </w:r>
      <w:r>
        <w:rPr>
          <w:color w:val="auto"/>
          <w:sz w:val="21"/>
          <w:szCs w:val="21"/>
        </w:rPr>
        <w:fldChar w:fldCharType="separate"/>
      </w:r>
      <w:r>
        <w:rPr>
          <w:color w:val="auto"/>
          <w:sz w:val="21"/>
          <w:szCs w:val="21"/>
        </w:rPr>
        <w:t>159</w:t>
      </w:r>
      <w:r>
        <w:rPr>
          <w:color w:val="auto"/>
          <w:sz w:val="21"/>
          <w:szCs w:val="21"/>
        </w:rPr>
        <w:fldChar w:fldCharType="end"/>
      </w:r>
      <w:r>
        <w:rPr>
          <w:rFonts w:hint="eastAsia"/>
          <w:color w:val="auto"/>
          <w:sz w:val="21"/>
          <w:szCs w:val="21"/>
          <w:highlight w:val="none"/>
        </w:rPr>
        <w:fldChar w:fldCharType="end"/>
      </w:r>
    </w:p>
    <w:p>
      <w:pPr>
        <w:pStyle w:val="326"/>
        <w:spacing w:before="62" w:after="62"/>
        <w:rPr>
          <w:color w:val="auto"/>
          <w:highlight w:val="none"/>
        </w:rPr>
      </w:pPr>
      <w:r>
        <w:rPr>
          <w:rFonts w:hint="eastAsia"/>
          <w:color w:val="auto"/>
          <w:highlight w:val="none"/>
        </w:rPr>
        <w:fldChar w:fldCharType="end"/>
      </w:r>
      <w:bookmarkStart w:id="1" w:name="_Toc2272545"/>
    </w:p>
    <w:p>
      <w:pPr>
        <w:widowControl/>
        <w:jc w:val="left"/>
        <w:rPr>
          <w:rFonts w:ascii="宋体" w:hAnsi="宋体" w:cs="宋体"/>
          <w:b/>
          <w:color w:val="auto"/>
          <w:kern w:val="44"/>
          <w:sz w:val="24"/>
          <w:szCs w:val="24"/>
          <w:highlight w:val="none"/>
        </w:rPr>
      </w:pPr>
      <w:r>
        <w:rPr>
          <w:color w:val="auto"/>
          <w:sz w:val="24"/>
          <w:szCs w:val="24"/>
          <w:highlight w:val="none"/>
        </w:rPr>
        <w:br w:type="page"/>
      </w:r>
    </w:p>
    <w:p>
      <w:pPr>
        <w:pStyle w:val="3"/>
        <w:rPr>
          <w:color w:val="auto"/>
          <w:highlight w:val="none"/>
        </w:rPr>
      </w:pPr>
      <w:bookmarkStart w:id="2" w:name="_Toc20286"/>
      <w:r>
        <w:rPr>
          <w:rFonts w:hint="eastAsia"/>
          <w:color w:val="auto"/>
          <w:highlight w:val="none"/>
        </w:rPr>
        <w:t>第一章 投标须知</w:t>
      </w:r>
      <w:bookmarkEnd w:id="1"/>
      <w:bookmarkEnd w:id="2"/>
    </w:p>
    <w:p>
      <w:pPr>
        <w:pStyle w:val="7"/>
        <w:rPr>
          <w:color w:val="auto"/>
          <w:highlight w:val="none"/>
        </w:rPr>
      </w:pPr>
      <w:bookmarkStart w:id="3" w:name="_Toc17655"/>
      <w:bookmarkStart w:id="4" w:name="_Toc2272546"/>
      <w:r>
        <w:rPr>
          <w:rFonts w:hint="eastAsia"/>
          <w:color w:val="auto"/>
          <w:highlight w:val="none"/>
        </w:rPr>
        <w:t>一、投标须知前附表</w:t>
      </w:r>
      <w:bookmarkEnd w:id="3"/>
      <w:bookmarkEnd w:id="4"/>
    </w:p>
    <w:p>
      <w:pPr>
        <w:pStyle w:val="8"/>
        <w:spacing w:line="360" w:lineRule="auto"/>
        <w:ind w:firstLine="0"/>
        <w:rPr>
          <w:rFonts w:ascii="宋体" w:hAnsi="宋体" w:cs="宋体"/>
          <w:b/>
          <w:color w:val="auto"/>
          <w:sz w:val="24"/>
          <w:szCs w:val="24"/>
          <w:highlight w:val="none"/>
        </w:rPr>
      </w:pPr>
      <w:r>
        <w:rPr>
          <w:rFonts w:hint="eastAsia" w:ascii="宋体" w:hAnsi="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s="宋体"/>
                <w:color w:val="auto"/>
                <w:szCs w:val="21"/>
                <w:highlight w:val="none"/>
              </w:rPr>
            </w:pPr>
            <w:r>
              <w:rPr>
                <w:rFonts w:hint="eastAsia" w:ascii="宋体" w:hAnsi="宋体" w:cs="宋体"/>
                <w:color w:val="auto"/>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8"/>
              <w:spacing w:line="276" w:lineRule="auto"/>
              <w:ind w:firstLine="458"/>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u w:val="single"/>
              </w:rPr>
            </w:pPr>
            <w:r>
              <w:rPr>
                <w:rFonts w:hint="eastAsia" w:ascii="宋体" w:hAnsi="宋体" w:cs="宋体"/>
                <w:color w:val="auto"/>
                <w:highlight w:val="none"/>
              </w:rPr>
              <w:t>招标人（即发包人）：</w:t>
            </w:r>
            <w:r>
              <w:rPr>
                <w:rFonts w:hint="eastAsia" w:ascii="宋体" w:hAnsi="宋体" w:cs="宋体"/>
                <w:color w:val="auto"/>
                <w:highlight w:val="none"/>
                <w:u w:val="single"/>
              </w:rPr>
              <w:t>广州开发区财政投资建设项目管理中心</w:t>
            </w:r>
          </w:p>
          <w:p>
            <w:pPr>
              <w:spacing w:line="276" w:lineRule="auto"/>
              <w:rPr>
                <w:rFonts w:ascii="宋体" w:hAnsi="宋体" w:cs="宋体"/>
                <w:color w:val="auto"/>
                <w:highlight w:val="none"/>
              </w:rPr>
            </w:pPr>
            <w:r>
              <w:rPr>
                <w:rFonts w:hint="eastAsia" w:ascii="宋体" w:hAnsi="宋体" w:cs="宋体"/>
                <w:color w:val="auto"/>
                <w:highlight w:val="none"/>
              </w:rPr>
              <w:t>招标代理：</w:t>
            </w:r>
            <w:r>
              <w:rPr>
                <w:rFonts w:hint="eastAsia" w:ascii="宋体" w:hAnsi="宋体" w:cs="宋体"/>
                <w:color w:val="auto"/>
                <w:highlight w:val="none"/>
                <w:u w:val="single"/>
              </w:rPr>
              <w:t xml:space="preserve"> 广州宏元建设工程咨询有限公司</w:t>
            </w:r>
            <w:r>
              <w:rPr>
                <w:rFonts w:ascii="宋体" w:hAnsi="宋体" w:cs="宋体"/>
                <w:color w:val="auto"/>
                <w:highlight w:val="none"/>
                <w:u w:val="single"/>
              </w:rPr>
              <w:t xml:space="preserve"> </w:t>
            </w:r>
          </w:p>
          <w:p>
            <w:pPr>
              <w:spacing w:line="276" w:lineRule="auto"/>
              <w:rPr>
                <w:rFonts w:ascii="宋体" w:hAnsi="宋体" w:cs="宋体"/>
                <w:color w:val="auto"/>
                <w:highlight w:val="none"/>
              </w:rPr>
            </w:pPr>
            <w:r>
              <w:rPr>
                <w:rFonts w:hint="eastAsia" w:ascii="宋体" w:hAnsi="宋体" w:cs="宋体"/>
                <w:color w:val="auto"/>
                <w:highlight w:val="none"/>
              </w:rPr>
              <w:t>设计单位：</w:t>
            </w:r>
            <w:r>
              <w:rPr>
                <w:rFonts w:ascii="宋体" w:hAnsi="宋体" w:cs="宋体"/>
                <w:color w:val="auto"/>
                <w:highlight w:val="none"/>
                <w:u w:val="single"/>
              </w:rPr>
              <w:t xml:space="preserve">  </w:t>
            </w:r>
            <w:r>
              <w:rPr>
                <w:rFonts w:hint="eastAsia" w:ascii="宋体" w:hAnsi="宋体" w:cs="宋体"/>
                <w:color w:val="auto"/>
                <w:szCs w:val="21"/>
                <w:highlight w:val="none"/>
                <w:u w:val="single"/>
              </w:rPr>
              <w:t>广州市市政工程设计研究总院有限公司</w:t>
            </w:r>
            <w:r>
              <w:rPr>
                <w:rFonts w:ascii="宋体" w:hAnsi="宋体" w:cs="宋体"/>
                <w:color w:val="auto"/>
                <w:highlight w:val="none"/>
                <w:u w:val="single"/>
              </w:rPr>
              <w:t xml:space="preserve">  </w:t>
            </w:r>
          </w:p>
          <w:p>
            <w:pPr>
              <w:spacing w:line="276" w:lineRule="auto"/>
              <w:rPr>
                <w:rFonts w:ascii="宋体" w:hAnsi="宋体" w:cs="宋体"/>
                <w:color w:val="auto"/>
                <w:highlight w:val="none"/>
              </w:rPr>
            </w:pPr>
            <w:r>
              <w:rPr>
                <w:rFonts w:hint="eastAsia" w:ascii="宋体" w:hAnsi="宋体" w:cs="宋体"/>
                <w:color w:val="auto"/>
                <w:highlight w:val="none"/>
              </w:rPr>
              <w:t>监理单位：</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szCs w:val="21"/>
                <w:highlight w:val="none"/>
                <w:u w:val="single"/>
              </w:rPr>
              <w:t xml:space="preserve">     </w:t>
            </w:r>
          </w:p>
          <w:p>
            <w:pPr>
              <w:spacing w:line="276" w:lineRule="auto"/>
              <w:rPr>
                <w:rFonts w:ascii="宋体" w:hAnsi="宋体" w:cs="宋体"/>
                <w:color w:val="auto"/>
                <w:szCs w:val="21"/>
                <w:highlight w:val="none"/>
              </w:rPr>
            </w:pPr>
            <w:r>
              <w:rPr>
                <w:rFonts w:hint="eastAsia" w:ascii="宋体" w:hAnsi="宋体" w:cs="宋体"/>
                <w:color w:val="auto"/>
                <w:highlight w:val="none"/>
              </w:rPr>
              <w:t>检测机构：</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ascii="宋体" w:hAnsi="宋体" w:cs="宋体"/>
                <w:color w:val="auto"/>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黄埔区科学城连接知识城快速通道（北段）工程施工总承包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详见本工程招标公告，具体以工程量清单及图纸为准。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包工、包料、包工期、包质量、包安全、包文明施工、包验收、包保修、综合单价包干，措施项目费（除施工围蔽费用外）包干，施工围蔽清单综合单价包干，工程量按实计量。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b/>
                <w:color w:val="auto"/>
                <w:szCs w:val="21"/>
                <w:highlight w:val="none"/>
                <w:u w:val="single"/>
              </w:rPr>
            </w:pPr>
            <w:r>
              <w:rPr>
                <w:rFonts w:hint="eastAsia" w:ascii="宋体" w:hAnsi="宋体"/>
                <w:b/>
                <w:color w:val="auto"/>
                <w:szCs w:val="21"/>
                <w:highlight w:val="none"/>
              </w:rPr>
              <w:t>工程质量标准：</w:t>
            </w:r>
            <w:r>
              <w:rPr>
                <w:rFonts w:hint="eastAsia" w:ascii="宋体" w:hAnsi="宋体"/>
                <w:color w:val="auto"/>
                <w:szCs w:val="21"/>
                <w:highlight w:val="none"/>
                <w:u w:val="single"/>
              </w:rPr>
              <w:t>符合设计图纸要求和国家、省、市相关法律法规规定要求，且需取得“广东省市政优良样板工程”或上级别的工程质量奖。工程质量标准未达到的：如取得了“广州市建设工程优质奖”或“广州市建设工程质量五羊杯奖”的，承包人需按本工程结算价的</w:t>
            </w:r>
            <w:r>
              <w:rPr>
                <w:rFonts w:ascii="宋体" w:hAnsi="宋体"/>
                <w:color w:val="auto"/>
                <w:szCs w:val="21"/>
                <w:highlight w:val="none"/>
                <w:u w:val="single"/>
              </w:rPr>
              <w:t>0.5%</w:t>
            </w:r>
            <w:r>
              <w:rPr>
                <w:rFonts w:hint="eastAsia" w:ascii="宋体" w:hAnsi="宋体"/>
                <w:color w:val="auto"/>
                <w:szCs w:val="21"/>
                <w:highlight w:val="none"/>
                <w:u w:val="single"/>
              </w:rPr>
              <w:t>承担违约金；未取得“广州市建设工程优质奖”或“广州市建设工程质量五羊杯奖”的，承包人需按本工程结算价的</w:t>
            </w:r>
            <w:r>
              <w:rPr>
                <w:rFonts w:ascii="宋体" w:hAnsi="宋体"/>
                <w:color w:val="auto"/>
                <w:szCs w:val="21"/>
                <w:highlight w:val="none"/>
                <w:u w:val="single"/>
              </w:rPr>
              <w:t>1.5%</w:t>
            </w:r>
            <w:r>
              <w:rPr>
                <w:rFonts w:hint="eastAsia" w:ascii="宋体" w:hAnsi="宋体"/>
                <w:color w:val="auto"/>
                <w:szCs w:val="21"/>
                <w:highlight w:val="none"/>
                <w:u w:val="single"/>
              </w:rPr>
              <w:t>承担违约金。上述违约金由发包人直接从工程结算款中扣减。因非承包人原因导致本工程未能达到要求的工程质量标准的除外。</w:t>
            </w:r>
          </w:p>
          <w:p>
            <w:pPr>
              <w:spacing w:line="276" w:lineRule="auto"/>
              <w:rPr>
                <w:rFonts w:ascii="宋体" w:hAnsi="宋体" w:cs="宋体"/>
                <w:color w:val="auto"/>
                <w:highlight w:val="none"/>
                <w:u w:val="single"/>
              </w:rPr>
            </w:pPr>
            <w:r>
              <w:rPr>
                <w:rFonts w:hint="eastAsia" w:hAnsi="宋体"/>
                <w:b/>
                <w:color w:val="auto"/>
                <w:szCs w:val="21"/>
                <w:highlight w:val="none"/>
              </w:rPr>
              <w:t>安全及文明施工标准：</w:t>
            </w:r>
            <w:r>
              <w:rPr>
                <w:rFonts w:hint="eastAsia" w:hAnsi="宋体"/>
                <w:color w:val="auto"/>
                <w:szCs w:val="21"/>
                <w:highlight w:val="none"/>
                <w:u w:val="single"/>
              </w:rPr>
              <w:t>文明施工措施要符合广州市的“六个百分百”规定，保证施工场地清洁、扬尘及噪音管理符合环境卫生管理的有关规定，确保不发生一般事故等级及以上的安全生产事故且死亡人数为零，</w:t>
            </w:r>
            <w:r>
              <w:rPr>
                <w:rFonts w:hint="eastAsia" w:ascii="宋体" w:hAnsi="宋体"/>
                <w:color w:val="auto"/>
                <w:szCs w:val="21"/>
                <w:highlight w:val="none"/>
                <w:u w:val="single"/>
              </w:rPr>
              <w:t>且需取得“广东省市政工程安全生产文明施工示范工地”或以上级别的安全文明绿色施工奖项。安全及文明施工标准未达到的：如取得了“广州市安全文明绿色施工样板工地、广州市安全文明施工标准示范工地”奖项的，承包人需扣除300万元承担违约金；未取得“广州市安全文明绿色施工样板工地、广州市安全文明施工标准示范工地”奖项的，承包人需扣除800万元承担违约金。上述违约金由发包人直接从工程结算款中扣减。因非承包人原因导致本工程未能达到要求的安全及文明施工标准的除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ind w:firstLine="105" w:firstLineChars="50"/>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日计划开工，施工总期：</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1095</w:t>
            </w:r>
            <w:r>
              <w:rPr>
                <w:rFonts w:ascii="宋体" w:hAnsi="宋体" w:cs="宋体"/>
                <w:color w:val="auto"/>
                <w:szCs w:val="21"/>
                <w:highlight w:val="none"/>
                <w:u w:val="single"/>
              </w:rPr>
              <w:t xml:space="preserve"> </w:t>
            </w:r>
            <w:r>
              <w:rPr>
                <w:rFonts w:hint="eastAsia" w:ascii="宋体" w:hAnsi="宋体" w:cs="宋体"/>
                <w:color w:val="auto"/>
                <w:szCs w:val="21"/>
                <w:highlight w:val="none"/>
              </w:rPr>
              <w:t>日历天。</w:t>
            </w:r>
          </w:p>
          <w:p>
            <w:pPr>
              <w:pStyle w:val="2"/>
              <w:rPr>
                <w:color w:val="auto"/>
                <w:highlight w:val="none"/>
              </w:rPr>
            </w:pPr>
            <w:r>
              <w:rPr>
                <w:rFonts w:hint="eastAsia" w:hAnsi="宋体"/>
                <w:color w:val="auto"/>
                <w:highlight w:val="none"/>
                <w:u w:val="single"/>
              </w:rPr>
              <w:t>注：本工程正式签署合同时，施工工期按中标投标文件承诺工期。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ind w:firstLine="458"/>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bookmarkStart w:id="5" w:name="EBdfd7e3fe86a241738f1c1d356c309534"/>
            <w:r>
              <w:rPr>
                <w:rFonts w:hint="eastAsia" w:ascii="宋体" w:hAnsi="宋体" w:cs="宋体"/>
                <w:color w:val="auto"/>
                <w:szCs w:val="21"/>
                <w:highlight w:val="none"/>
              </w:rPr>
              <w:t>工程量清单计价</w:t>
            </w:r>
            <w:r>
              <w:rPr>
                <w:rFonts w:hint="eastAsia" w:ascii="宋体" w:hAnsi="宋体" w:cs="宋体"/>
                <w:color w:val="auto"/>
                <w:szCs w:val="21"/>
                <w:highlight w:val="none"/>
                <w:u w:val="single"/>
              </w:rPr>
              <w:t>，按国家、省有关计价规范执行。纳入年度审计项目计划的政府投资项目，审计机关出具的审计结果应当作为该政府投资项目价款结算的依据（适用于纳入年度审计项目计划的项目）。</w:t>
            </w:r>
            <w:bookmarkEnd w:id="5"/>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ascii="宋体" w:hAnsi="宋体" w:cs="宋体"/>
                <w:b/>
                <w:color w:val="auto"/>
                <w:szCs w:val="21"/>
                <w:highlight w:val="none"/>
                <w:u w:val="single"/>
              </w:rPr>
              <w:t>180</w:t>
            </w:r>
            <w:r>
              <w:rPr>
                <w:rFonts w:hint="eastAsia" w:ascii="宋体" w:hAnsi="宋体" w:cs="宋体"/>
                <w:color w:val="auto"/>
                <w:szCs w:val="21"/>
                <w:highlight w:val="none"/>
              </w:rPr>
              <w:t>日历天。（从投标截止之日计起）。</w:t>
            </w:r>
            <w:r>
              <w:rPr>
                <w:rFonts w:hint="eastAsia" w:ascii="宋体" w:hAnsi="宋体" w:cs="宋体"/>
                <w:color w:val="auto"/>
                <w:szCs w:val="21"/>
                <w:highlight w:val="none"/>
                <w:u w:val="single"/>
              </w:rPr>
              <w:t>如投标有效期内发生异议或投诉的，则投标有效期自动延长至异议或投诉处理结束后90日历天。中标人的投标有效期自动延期至合同履行完毕。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rPr>
            </w:pPr>
            <w:r>
              <w:rPr>
                <w:rFonts w:hint="eastAsia" w:ascii="宋体" w:hAnsi="宋体" w:cs="宋体"/>
                <w:color w:val="auto"/>
                <w:highlight w:val="none"/>
              </w:rPr>
              <w:t>是否要求投标人递交投标保证金：</w:t>
            </w:r>
          </w:p>
          <w:p>
            <w:pPr>
              <w:spacing w:line="276" w:lineRule="auto"/>
              <w:rPr>
                <w:rFonts w:ascii="宋体" w:hAnsi="宋体" w:cs="宋体"/>
                <w:color w:val="auto"/>
                <w:highlight w:val="none"/>
              </w:rPr>
            </w:pPr>
            <w:r>
              <w:rPr>
                <w:rFonts w:hint="eastAsia" w:ascii="宋体" w:hAnsi="宋体" w:cs="宋体"/>
                <w:color w:val="auto"/>
                <w:highlight w:val="none"/>
              </w:rPr>
              <w:t>□ 不要求递交投标保证金。</w:t>
            </w:r>
          </w:p>
          <w:p>
            <w:pPr>
              <w:spacing w:line="276" w:lineRule="auto"/>
              <w:rPr>
                <w:rFonts w:ascii="宋体" w:hAnsi="宋体" w:cs="宋体"/>
                <w:color w:val="auto"/>
                <w:highlight w:val="none"/>
              </w:rPr>
            </w:pPr>
            <w:r>
              <w:rPr>
                <w:rFonts w:hint="eastAsia" w:ascii="宋体" w:hAnsi="宋体" w:cs="宋体"/>
                <w:color w:val="auto"/>
                <w:kern w:val="0"/>
                <w:szCs w:val="21"/>
                <w:highlight w:val="none"/>
                <w:lang w:val="zh-CN"/>
              </w:rPr>
              <w:sym w:font="Wingdings 2" w:char="0052"/>
            </w:r>
            <w:r>
              <w:rPr>
                <w:rFonts w:hint="eastAsia" w:ascii="宋体" w:hAnsi="宋体" w:cs="宋体"/>
                <w:color w:val="auto"/>
                <w:highlight w:val="none"/>
              </w:rPr>
              <w:t>要求递交投标保证金。投标保证金的金额：</w:t>
            </w:r>
            <w:r>
              <w:rPr>
                <w:rFonts w:hint="eastAsia" w:ascii="宋体" w:hAnsi="宋体" w:cs="宋体"/>
                <w:b/>
                <w:color w:val="auto"/>
                <w:highlight w:val="none"/>
                <w:u w:val="single"/>
                <w:lang w:val="en-US" w:eastAsia="zh-CN"/>
              </w:rPr>
              <w:t>50</w:t>
            </w:r>
            <w:r>
              <w:rPr>
                <w:rFonts w:hint="eastAsia" w:ascii="宋体" w:hAnsi="宋体" w:cs="宋体"/>
                <w:color w:val="auto"/>
                <w:highlight w:val="none"/>
              </w:rPr>
              <w:t>万元</w:t>
            </w:r>
            <w:r>
              <w:rPr>
                <w:rFonts w:hint="eastAsia" w:ascii="宋体" w:hAnsi="宋体"/>
                <w:b/>
                <w:color w:val="auto"/>
                <w:szCs w:val="21"/>
                <w:highlight w:val="none"/>
                <w:u w:val="single"/>
              </w:rPr>
              <w:t>（</w:t>
            </w:r>
            <w:r>
              <w:rPr>
                <w:rFonts w:hint="eastAsia" w:ascii="宋体" w:hAnsi="宋体" w:cs="宋体"/>
                <w:b/>
                <w:color w:val="auto"/>
                <w:szCs w:val="21"/>
                <w:highlight w:val="none"/>
                <w:u w:val="single"/>
              </w:rPr>
              <w:t>如联合体投标，由主办方缴纳）</w:t>
            </w:r>
          </w:p>
          <w:p>
            <w:pPr>
              <w:spacing w:line="276" w:lineRule="auto"/>
              <w:rPr>
                <w:rFonts w:ascii="宋体" w:hAnsi="宋体" w:cs="宋体"/>
                <w:color w:val="auto"/>
                <w:highlight w:val="none"/>
              </w:rPr>
            </w:pPr>
            <w:r>
              <w:rPr>
                <w:rFonts w:hint="eastAsia" w:ascii="宋体" w:hAnsi="宋体" w:cs="宋体"/>
                <w:color w:val="auto"/>
                <w:highlight w:val="none"/>
              </w:rPr>
              <w:t>缴纳时间：</w:t>
            </w:r>
            <w:r>
              <w:rPr>
                <w:rFonts w:hint="eastAsia" w:ascii="宋体" w:hAnsi="宋体" w:cs="宋体"/>
                <w:color w:val="auto"/>
                <w:highlight w:val="none"/>
                <w:u w:val="single"/>
              </w:rPr>
              <w:t>递交投标文件截止时间前。</w:t>
            </w:r>
          </w:p>
          <w:p>
            <w:pPr>
              <w:spacing w:line="276" w:lineRule="auto"/>
              <w:rPr>
                <w:rFonts w:ascii="宋体" w:hAnsi="宋体" w:cs="宋体"/>
                <w:color w:val="auto"/>
                <w:highlight w:val="none"/>
              </w:rPr>
            </w:pPr>
            <w:r>
              <w:rPr>
                <w:rFonts w:hint="eastAsia" w:ascii="宋体" w:hAnsi="宋体" w:cs="宋体"/>
                <w:color w:val="auto"/>
                <w:highlight w:val="none"/>
              </w:rPr>
              <w:t>投标保证金有效期：</w:t>
            </w:r>
            <w:r>
              <w:rPr>
                <w:rFonts w:hint="eastAsia" w:ascii="宋体" w:hAnsi="宋体" w:cs="宋体"/>
                <w:color w:val="auto"/>
                <w:highlight w:val="none"/>
                <w:u w:val="single"/>
              </w:rPr>
              <w:t>与投标有效期一致。</w:t>
            </w:r>
          </w:p>
          <w:p>
            <w:pPr>
              <w:rPr>
                <w:rFonts w:ascii="宋体" w:hAnsi="宋体"/>
                <w:color w:val="auto"/>
                <w:szCs w:val="21"/>
                <w:highlight w:val="none"/>
                <w:u w:val="single"/>
              </w:rPr>
            </w:pPr>
            <w:r>
              <w:rPr>
                <w:rFonts w:hint="eastAsia" w:ascii="宋体" w:hAnsi="宋体" w:cs="宋体"/>
                <w:color w:val="auto"/>
                <w:highlight w:val="none"/>
                <w:u w:val="single"/>
              </w:rPr>
              <w:t>注：投标保证金相关事宜详见招标文件16款。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28"/>
              <w:spacing w:line="276" w:lineRule="auto"/>
              <w:rPr>
                <w:rFonts w:ascii="宋体" w:hAnsi="宋体" w:cs="宋体"/>
                <w:color w:val="auto"/>
                <w:szCs w:val="21"/>
                <w:highlight w:val="none"/>
              </w:rPr>
            </w:pPr>
            <w:r>
              <w:rPr>
                <w:rFonts w:hint="eastAsia" w:ascii="宋体" w:hAnsi="宋体" w:cs="宋体"/>
                <w:color w:val="auto"/>
                <w:szCs w:val="21"/>
                <w:highlight w:val="none"/>
                <w:u w:val="single"/>
              </w:rPr>
              <w:t>自行踏勘，投标人不进行踏勘的，视为已熟知现场条件，自行承担相关风险。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1.方式：网上答疑</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2.疑问提交时间：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年  月  日24时前</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3.招标人澄清、修补或答疑期限：在递交投标文件截止日期前15 日</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4.网上答疑的操作指南为：登陆广州公共资源交易中心网站-&gt;进入“我是投标人（供应商）”-&gt;“我的投标”-&gt;“招标答疑提问”查询项目并提问。</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5.网上答疑的相关事项详见招标文件8.1款。</w:t>
            </w:r>
          </w:p>
          <w:p>
            <w:pPr>
              <w:spacing w:line="276" w:lineRule="auto"/>
              <w:rPr>
                <w:rFonts w:ascii="宋体" w:hAnsi="宋体" w:cs="宋体"/>
                <w:color w:val="auto"/>
                <w:szCs w:val="21"/>
                <w:highlight w:val="none"/>
              </w:rPr>
            </w:pPr>
            <w:r>
              <w:rPr>
                <w:rFonts w:hint="eastAsia" w:ascii="宋体" w:hAnsi="宋体" w:cs="宋体"/>
                <w:color w:val="auto"/>
                <w:szCs w:val="21"/>
                <w:highlight w:val="none"/>
                <w:u w:val="single"/>
              </w:rPr>
              <w:t>6.提问一律不得署名。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（技术标和经济标同时开标）</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1、开标开始时间：</w:t>
            </w: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广州公共资源交易中心黄埔交易部   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注：投标文件解密问题。投标人只用执行一次解密，招标人执行解密次数根据招标文件开标次数确定。</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2、递交投标文件备用光盘时间：</w:t>
            </w: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45</w:t>
            </w:r>
            <w:r>
              <w:rPr>
                <w:rFonts w:hint="eastAsia" w:ascii="宋体" w:hAnsi="宋体" w:cs="宋体"/>
                <w:color w:val="auto"/>
                <w:szCs w:val="21"/>
                <w:highlight w:val="none"/>
              </w:rPr>
              <w:t>分至</w:t>
            </w:r>
            <w:r>
              <w:rPr>
                <w:rFonts w:hint="eastAsia" w:ascii="宋体" w:hAnsi="宋体" w:cs="宋体"/>
                <w:color w:val="auto"/>
                <w:szCs w:val="21"/>
                <w:highlight w:val="none"/>
                <w:u w:val="single"/>
                <w:lang w:val="en-US" w:eastAsia="zh-CN"/>
              </w:rPr>
              <w:t>2023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25</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广州公共资源交易中心黄埔交易部   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276" w:lineRule="auto"/>
              <w:rPr>
                <w:rFonts w:ascii="宋体" w:hAnsi="宋体" w:cs="宋体"/>
                <w:color w:val="auto"/>
                <w:szCs w:val="21"/>
                <w:highlight w:val="none"/>
              </w:rPr>
            </w:pPr>
            <w:r>
              <w:rPr>
                <w:rFonts w:hint="eastAsia" w:ascii="宋体" w:hAnsi="宋体" w:cs="宋体"/>
                <w:color w:val="auto"/>
                <w:highlight w:val="none"/>
              </w:rPr>
              <w:t>上述时间及地点是否有改变，请密切留意补充公告和招标答疑纪要的相关信息。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26</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spacing w:after="0" w:line="276" w:lineRule="auto"/>
              <w:ind w:firstLine="0"/>
              <w:rPr>
                <w:rFonts w:ascii="宋体" w:hAnsi="宋体"/>
                <w:color w:val="auto"/>
                <w:szCs w:val="21"/>
                <w:highlight w:val="none"/>
              </w:rPr>
            </w:pPr>
            <w:r>
              <w:rPr>
                <w:rFonts w:hint="eastAsia" w:ascii="宋体" w:hAnsi="宋体"/>
                <w:color w:val="auto"/>
                <w:szCs w:val="21"/>
                <w:highlight w:val="none"/>
              </w:rPr>
              <w:t>方式一：</w:t>
            </w:r>
            <w:r>
              <w:rPr>
                <w:rFonts w:hint="eastAsia" w:ascii="宋体" w:hAnsi="宋体"/>
                <w:color w:val="auto"/>
                <w:szCs w:val="21"/>
                <w:highlight w:val="none"/>
                <w:u w:val="single"/>
              </w:rPr>
              <w:t>办法六（适合综合评分法三，技术标与经济标同时开启）</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highlight w:val="none"/>
              </w:rPr>
            </w:pPr>
            <w:r>
              <w:rPr>
                <w:rFonts w:hint="eastAsia" w:ascii="宋体" w:hAnsi="宋体" w:cs="宋体"/>
                <w:color w:val="auto"/>
                <w:highlight w:val="none"/>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本项目最高投标限价为人民币</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1218750132.10</w:t>
            </w:r>
            <w:r>
              <w:rPr>
                <w:rFonts w:ascii="宋体" w:hAnsi="宋体" w:cs="宋体"/>
                <w:b/>
                <w:bCs/>
                <w:color w:val="auto"/>
                <w:szCs w:val="21"/>
                <w:highlight w:val="none"/>
                <w:u w:val="single"/>
              </w:rPr>
              <w:t xml:space="preserve"> </w:t>
            </w:r>
            <w:r>
              <w:rPr>
                <w:rFonts w:hint="eastAsia" w:ascii="宋体" w:hAnsi="宋体" w:cs="宋体"/>
                <w:color w:val="auto"/>
                <w:szCs w:val="21"/>
                <w:highlight w:val="none"/>
              </w:rPr>
              <w:t>元。详见招标人最终发出的《最高投标限价公布函》，投标价超过最高投标限价的投标文件将被拒绝。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ind w:left="50" w:leftChars="24" w:firstLine="1"/>
              <w:jc w:val="left"/>
              <w:rPr>
                <w:rFonts w:ascii="宋体" w:hAnsi="宋体" w:cs="宋体"/>
                <w:color w:val="auto"/>
                <w:szCs w:val="21"/>
                <w:highlight w:val="none"/>
              </w:rPr>
            </w:pPr>
            <w:r>
              <w:rPr>
                <w:rFonts w:hint="eastAsia" w:ascii="宋体" w:hAnsi="宋体" w:cs="宋体"/>
                <w:color w:val="auto"/>
                <w:szCs w:val="21"/>
                <w:highlight w:val="none"/>
              </w:rPr>
              <w:t>本项目绿色施工安全防护措施费为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53062009.15</w:t>
            </w:r>
            <w:r>
              <w:rPr>
                <w:rFonts w:ascii="宋体" w:hAnsi="宋体" w:cs="宋体"/>
                <w:b/>
                <w:bCs/>
                <w:color w:val="auto"/>
                <w:szCs w:val="21"/>
                <w:highlight w:val="none"/>
                <w:u w:val="single"/>
              </w:rPr>
              <w:t xml:space="preserve"> </w:t>
            </w:r>
            <w:r>
              <w:rPr>
                <w:rFonts w:hint="eastAsia" w:ascii="宋体" w:hAnsi="宋体" w:cs="宋体"/>
                <w:color w:val="auto"/>
                <w:szCs w:val="21"/>
                <w:highlight w:val="none"/>
              </w:rPr>
              <w:t>元，暂列金额为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88848691.70</w:t>
            </w:r>
            <w:r>
              <w:rPr>
                <w:rFonts w:ascii="宋体" w:hAnsi="宋体" w:cs="宋体"/>
                <w:b/>
                <w:bCs/>
                <w:color w:val="auto"/>
                <w:szCs w:val="21"/>
                <w:highlight w:val="none"/>
                <w:u w:val="single"/>
              </w:rPr>
              <w:t xml:space="preserve"> </w:t>
            </w:r>
            <w:r>
              <w:rPr>
                <w:rFonts w:hint="eastAsia" w:ascii="宋体" w:hAnsi="宋体" w:cs="宋体"/>
                <w:color w:val="auto"/>
                <w:szCs w:val="21"/>
                <w:highlight w:val="none"/>
              </w:rPr>
              <w:t>元，暂估价为</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spacing w:line="276" w:lineRule="auto"/>
              <w:ind w:firstLine="0"/>
              <w:rPr>
                <w:rFonts w:ascii="宋体" w:hAnsi="宋体" w:cs="宋体"/>
                <w:color w:val="auto"/>
                <w:szCs w:val="21"/>
                <w:highlight w:val="none"/>
              </w:rPr>
            </w:pPr>
            <w:r>
              <w:rPr>
                <w:rFonts w:hint="eastAsia" w:ascii="宋体" w:hAnsi="宋体" w:cs="宋体"/>
                <w:color w:val="auto"/>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szCs w:val="21"/>
                <w:highlight w:val="none"/>
              </w:rPr>
            </w:pPr>
            <w:r>
              <w:rPr>
                <w:rFonts w:hint="eastAsia" w:ascii="宋体" w:hAnsi="宋体"/>
                <w:color w:val="auto"/>
                <w:szCs w:val="21"/>
                <w:highlight w:val="none"/>
              </w:rPr>
              <w:t>①通过技术有效性审查的投标人均进入第二阶段（适用于通过技术有效性审查家数在[3,</w:t>
            </w:r>
            <w:r>
              <w:rPr>
                <w:rFonts w:hint="eastAsia" w:ascii="宋体" w:hAnsi="宋体"/>
                <w:color w:val="auto"/>
                <w:szCs w:val="21"/>
                <w:highlight w:val="none"/>
                <w:u w:val="single"/>
              </w:rPr>
              <w:t>7</w:t>
            </w:r>
            <w:r>
              <w:rPr>
                <w:rFonts w:hint="eastAsia" w:ascii="宋体" w:hAnsi="宋体"/>
                <w:color w:val="auto"/>
                <w:szCs w:val="21"/>
                <w:highlight w:val="none"/>
              </w:rPr>
              <w:t>]中的）。</w:t>
            </w:r>
          </w:p>
          <w:p>
            <w:pPr>
              <w:spacing w:line="276" w:lineRule="auto"/>
              <w:rPr>
                <w:rFonts w:ascii="宋体" w:hAnsi="宋体"/>
                <w:color w:val="auto"/>
                <w:szCs w:val="21"/>
                <w:highlight w:val="none"/>
              </w:rPr>
            </w:pPr>
            <w:r>
              <w:rPr>
                <w:rFonts w:hint="eastAsia" w:ascii="宋体" w:hAnsi="宋体"/>
                <w:color w:val="auto"/>
                <w:szCs w:val="21"/>
                <w:highlight w:val="none"/>
              </w:rPr>
              <w:t>②将第一阶段得分由高至低排序，前</w:t>
            </w:r>
            <w:r>
              <w:rPr>
                <w:rFonts w:hint="eastAsia" w:ascii="宋体" w:hAnsi="宋体"/>
                <w:color w:val="auto"/>
                <w:szCs w:val="21"/>
                <w:highlight w:val="none"/>
                <w:u w:val="single"/>
              </w:rPr>
              <w:t>7</w:t>
            </w:r>
            <w:r>
              <w:rPr>
                <w:rFonts w:hint="eastAsia" w:ascii="宋体" w:hAnsi="宋体"/>
                <w:color w:val="auto"/>
                <w:szCs w:val="21"/>
                <w:highlight w:val="none"/>
              </w:rPr>
              <w:t>名投标人进入第二阶段评审（适用于通过技术有效性审查家数大于</w:t>
            </w:r>
            <w:r>
              <w:rPr>
                <w:rFonts w:hint="eastAsia" w:ascii="宋体" w:hAnsi="宋体"/>
                <w:color w:val="auto"/>
                <w:szCs w:val="21"/>
                <w:highlight w:val="none"/>
                <w:u w:val="single"/>
              </w:rPr>
              <w:t>7</w:t>
            </w:r>
            <w:r>
              <w:rPr>
                <w:rFonts w:hint="eastAsia" w:ascii="宋体" w:hAnsi="宋体"/>
                <w:color w:val="auto"/>
                <w:szCs w:val="21"/>
                <w:highlight w:val="none"/>
              </w:rPr>
              <w:t>家的，招标人可根据工程具体情况，确定不少于</w:t>
            </w:r>
            <w:r>
              <w:rPr>
                <w:rFonts w:hint="eastAsia" w:ascii="宋体" w:hAnsi="宋体"/>
                <w:color w:val="auto"/>
                <w:szCs w:val="21"/>
                <w:highlight w:val="none"/>
                <w:u w:val="single"/>
              </w:rPr>
              <w:t>7</w:t>
            </w:r>
            <w:r>
              <w:rPr>
                <w:rFonts w:hint="eastAsia" w:ascii="宋体" w:hAnsi="宋体"/>
                <w:color w:val="auto"/>
                <w:szCs w:val="21"/>
                <w:highlight w:val="none"/>
              </w:rPr>
              <w:t>家进入第二阶段）。</w:t>
            </w:r>
          </w:p>
          <w:p>
            <w:pPr>
              <w:spacing w:line="276" w:lineRule="auto"/>
              <w:rPr>
                <w:rFonts w:ascii="宋体" w:hAnsi="宋体" w:cs="宋体"/>
                <w:strike/>
                <w:color w:val="auto"/>
                <w:szCs w:val="21"/>
                <w:highlight w:val="none"/>
              </w:rPr>
            </w:pPr>
            <w:r>
              <w:rPr>
                <w:rFonts w:hint="eastAsia" w:ascii="宋体" w:hAnsi="宋体"/>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工程成本警戒价</w:t>
            </w:r>
            <w:r>
              <w:rPr>
                <w:rFonts w:hint="eastAsia" w:ascii="宋体" w:hAnsi="宋体" w:cs="宋体"/>
                <w:color w:val="auto"/>
                <w:szCs w:val="21"/>
                <w:highlight w:val="none"/>
                <w:u w:val="single"/>
              </w:rPr>
              <w:t>按最高投标限价的90%设置</w:t>
            </w:r>
            <w:r>
              <w:rPr>
                <w:rFonts w:hint="eastAsia" w:ascii="宋体" w:hAnsi="宋体" w:cs="宋体"/>
                <w:color w:val="auto"/>
                <w:szCs w:val="21"/>
                <w:highlight w:val="none"/>
              </w:rPr>
              <w:t>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1096875118.89</w:t>
            </w:r>
            <w:r>
              <w:rPr>
                <w:rFonts w:ascii="宋体" w:hAnsi="宋体" w:cs="宋体"/>
                <w:b/>
                <w:bCs/>
                <w:color w:val="auto"/>
                <w:szCs w:val="21"/>
                <w:highlight w:val="none"/>
                <w:u w:val="single"/>
              </w:rPr>
              <w:t xml:space="preserve">  </w:t>
            </w:r>
            <w:r>
              <w:rPr>
                <w:rFonts w:hint="eastAsia" w:ascii="宋体" w:hAnsi="宋体" w:cs="宋体"/>
                <w:color w:val="auto"/>
                <w:szCs w:val="21"/>
                <w:highlight w:val="none"/>
              </w:rPr>
              <w:t>元。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u w:val="single"/>
              </w:rPr>
            </w:pPr>
            <w:r>
              <w:rPr>
                <w:rFonts w:hint="eastAsia" w:ascii="宋体" w:hAnsi="宋体" w:cs="宋体"/>
                <w:color w:val="auto"/>
                <w:szCs w:val="21"/>
                <w:highlight w:val="none"/>
              </w:rPr>
              <w:t>技术分权重为</w:t>
            </w:r>
            <w:r>
              <w:rPr>
                <w:rFonts w:hint="eastAsia" w:ascii="宋体" w:hAnsi="宋体" w:cs="宋体"/>
                <w:color w:val="auto"/>
                <w:szCs w:val="21"/>
                <w:highlight w:val="none"/>
                <w:u w:val="single"/>
              </w:rPr>
              <w:t>100</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企业诚信综合评价分数</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b/>
                <w:color w:val="auto"/>
                <w:szCs w:val="21"/>
                <w:highlight w:val="none"/>
                <w:u w:val="single"/>
              </w:rPr>
            </w:pPr>
            <w:r>
              <w:rPr>
                <w:rFonts w:hint="eastAsia" w:ascii="宋体" w:hAnsi="宋体"/>
                <w:color w:val="auto"/>
                <w:szCs w:val="21"/>
                <w:highlight w:val="none"/>
              </w:rPr>
              <w:t>本项目的企业诚信综合评价分数，以</w:t>
            </w:r>
            <w:r>
              <w:rPr>
                <w:rFonts w:hint="eastAsia" w:ascii="宋体" w:hAnsi="宋体"/>
                <w:color w:val="auto"/>
                <w:szCs w:val="21"/>
                <w:highlight w:val="none"/>
                <w:u w:val="single"/>
              </w:rPr>
              <w:t xml:space="preserve">     /     </w:t>
            </w:r>
            <w:r>
              <w:rPr>
                <w:rFonts w:hint="eastAsia" w:ascii="宋体" w:hAnsi="宋体"/>
                <w:color w:val="auto"/>
                <w:szCs w:val="21"/>
                <w:highlight w:val="none"/>
              </w:rPr>
              <w:t>排名为准。</w:t>
            </w:r>
          </w:p>
          <w:p>
            <w:pPr>
              <w:spacing w:line="276" w:lineRule="auto"/>
              <w:rPr>
                <w:rFonts w:ascii="宋体" w:hAnsi="宋体" w:cs="宋体"/>
                <w:b/>
                <w:color w:val="auto"/>
                <w:szCs w:val="21"/>
                <w:highlight w:val="none"/>
                <w:u w:val="single"/>
              </w:rPr>
            </w:pPr>
            <w:r>
              <w:rPr>
                <w:rFonts w:hint="eastAsia" w:ascii="宋体" w:hAnsi="宋体" w:cs="宋体"/>
                <w:b/>
                <w:color w:val="auto"/>
                <w:szCs w:val="21"/>
                <w:highlight w:val="none"/>
                <w:u w:val="single"/>
              </w:rPr>
              <w:t>本项目不设置企业诚信综合评价分数。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strike/>
                <w:color w:val="auto"/>
                <w:szCs w:val="21"/>
                <w:highlight w:val="none"/>
              </w:rPr>
            </w:pPr>
            <w:r>
              <w:rPr>
                <w:rFonts w:hint="eastAsia" w:ascii="宋体" w:hAnsi="宋体"/>
                <w:color w:val="auto"/>
                <w:szCs w:val="21"/>
                <w:highlight w:val="none"/>
              </w:rPr>
              <w:t>本款不适用</w:t>
            </w:r>
            <w:r>
              <w:rPr>
                <w:rFonts w:hint="eastAsia" w:ascii="宋体" w:hAnsi="宋体" w:cs="仿宋_GB2312"/>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选取方法</w:t>
            </w:r>
            <w:r>
              <w:rPr>
                <w:rFonts w:hint="eastAsia" w:ascii="宋体" w:hAnsi="宋体"/>
                <w:color w:val="auto"/>
                <w:szCs w:val="21"/>
                <w:highlight w:val="none"/>
                <w:u w:val="single"/>
              </w:rPr>
              <w:t xml:space="preserve"> 二 </w:t>
            </w:r>
          </w:p>
          <w:p>
            <w:pPr>
              <w:rPr>
                <w:rFonts w:ascii="宋体" w:hAnsi="宋体"/>
                <w:color w:val="auto"/>
                <w:szCs w:val="21"/>
                <w:highlight w:val="none"/>
              </w:rPr>
            </w:pPr>
            <w:r>
              <w:rPr>
                <w:rFonts w:hint="eastAsia" w:ascii="宋体" w:hAnsi="宋体"/>
                <w:color w:val="auto"/>
                <w:szCs w:val="21"/>
                <w:highlight w:val="none"/>
              </w:rPr>
              <w:t>方法二：</w:t>
            </w:r>
            <w:r>
              <w:rPr>
                <w:rFonts w:hint="eastAsia" w:ascii="宋体" w:hAnsi="宋体"/>
                <w:b/>
                <w:color w:val="auto"/>
                <w:szCs w:val="21"/>
                <w:highlight w:val="none"/>
                <w:u w:val="single"/>
              </w:rPr>
              <w:t>按照“总分=技术分×技术分权重（40%）+经济分×经济分权重（60%）”</w:t>
            </w:r>
            <w:r>
              <w:rPr>
                <w:rFonts w:hint="eastAsia" w:ascii="宋体" w:hAnsi="宋体"/>
                <w:color w:val="auto"/>
                <w:szCs w:val="21"/>
                <w:highlight w:val="none"/>
              </w:rPr>
              <w:t>的公式，计算各有效投标文件的总分，并按照总分从高到低排列先后次序。若投标人得分相同的，则以技术分较高的排前；投标人仍技术分相同，则以投标总报价较低的排前；如仍存在相同情况，则对具有相同情况的投标人，按中标候选人数量规定，由评标委员会采用记名投票方式，确定中标候选人的排序。</w:t>
            </w:r>
          </w:p>
          <w:p>
            <w:pPr>
              <w:rPr>
                <w:rFonts w:ascii="宋体" w:hAnsi="宋体"/>
                <w:color w:val="auto"/>
                <w:szCs w:val="21"/>
                <w:highlight w:val="none"/>
              </w:rPr>
            </w:pPr>
            <w:r>
              <w:rPr>
                <w:rFonts w:hint="eastAsia" w:ascii="宋体" w:hAnsi="宋体"/>
                <w:color w:val="auto"/>
                <w:szCs w:val="21"/>
                <w:highlight w:val="none"/>
              </w:rPr>
              <w:t>注：记名投票方式确定排序的具体操作步骤为</w:t>
            </w:r>
            <w:r>
              <w:rPr>
                <w:rFonts w:hint="eastAsia" w:ascii="宋体" w:hAnsi="宋体"/>
                <w:color w:val="auto"/>
                <w:szCs w:val="21"/>
                <w:highlight w:val="none"/>
                <w:u w:val="single"/>
              </w:rPr>
              <w:t>由评标委员会对出现该情况的投标人采取记名投票的方式确定，按得票数从高到低排列先后次序，以得票数高的排前，根据得票数高低确定中标候选人排序。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13.4、13.5.2</w:t>
            </w: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kern w:val="0"/>
                <w:szCs w:val="21"/>
                <w:highlight w:val="none"/>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根据《建设工程质量检测管理办法》（中华人民共和国住房和城乡建设部令第57号）第十六条规定，建设工程质量、安全检测业务应由建设单位依法委托，不列入本次招标范围。招标文件中与此条不一致的，以此条为准。</w:t>
            </w:r>
            <w:r>
              <w:rPr>
                <w:rFonts w:hint="eastAsia" w:ascii="宋体" w:hAnsi="宋体" w:cs="宋体"/>
                <w:color w:val="auto"/>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35</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 xml:space="preserve"> 不允许；</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52"/>
            </w:r>
            <w:r>
              <w:rPr>
                <w:rFonts w:hint="eastAsia" w:ascii="宋体" w:hAnsi="宋体" w:cs="宋体"/>
                <w:color w:val="auto"/>
                <w:kern w:val="0"/>
                <w:szCs w:val="21"/>
                <w:highlight w:val="none"/>
                <w:lang w:val="zh-CN"/>
              </w:rPr>
              <w:t>允许：分包内容要求：</w:t>
            </w:r>
            <w:r>
              <w:rPr>
                <w:rFonts w:hint="eastAsia" w:ascii="宋体" w:hAnsi="宋体" w:cs="宋体"/>
                <w:color w:val="auto"/>
                <w:kern w:val="0"/>
                <w:szCs w:val="21"/>
                <w:highlight w:val="none"/>
                <w:u w:val="single"/>
                <w:lang w:val="zh-CN"/>
              </w:rPr>
              <w:t>非主体关键工程。</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olor w:val="auto"/>
                <w:szCs w:val="21"/>
                <w:highlight w:val="none"/>
                <w:u w:val="single"/>
              </w:rPr>
              <w:t>无。</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符合有关法律法规和文件规定，并不得再次分包。</w:t>
            </w:r>
          </w:p>
          <w:p>
            <w:pPr>
              <w:spacing w:line="276" w:lineRule="auto"/>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对分包人的其他要求：</w:t>
            </w:r>
            <w:r>
              <w:rPr>
                <w:rFonts w:hint="eastAsia" w:ascii="宋体" w:hAnsi="宋体"/>
                <w:color w:val="auto"/>
                <w:szCs w:val="21"/>
                <w:highlight w:val="none"/>
                <w:u w:val="singl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s="宋体"/>
                <w:color w:val="auto"/>
                <w:highlight w:val="none"/>
              </w:rPr>
            </w:pPr>
            <w:r>
              <w:rPr>
                <w:rFonts w:hint="eastAsia" w:ascii="宋体" w:hAnsi="宋体" w:cs="宋体"/>
                <w:color w:val="auto"/>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1、按照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 xml:space="preserve">。  </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2、提交投标文件光盘备用</w:t>
            </w:r>
          </w:p>
          <w:p>
            <w:pPr>
              <w:spacing w:line="276" w:lineRule="auto"/>
              <w:rPr>
                <w:rFonts w:ascii="宋体" w:hAnsi="宋体" w:cs="宋体"/>
                <w:color w:val="auto"/>
                <w:szCs w:val="21"/>
                <w:highlight w:val="none"/>
              </w:rPr>
            </w:pPr>
            <w:r>
              <w:rPr>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rPr>
                <w:rFonts w:ascii="宋体" w:hAnsi="宋体" w:cs="宋体"/>
                <w:color w:val="auto"/>
                <w:szCs w:val="21"/>
                <w:highlight w:val="none"/>
              </w:rPr>
            </w:pPr>
            <w:r>
              <w:rPr>
                <w:rFonts w:hint="eastAsia" w:ascii="宋体" w:hAnsi="宋体" w:cs="宋体"/>
                <w:color w:val="auto"/>
                <w:szCs w:val="21"/>
                <w:highlight w:val="none"/>
              </w:rPr>
              <w:t xml:space="preserve"> 3、补救方案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（1）投标文件解密失败的补救方案：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rPr>
                <w:rFonts w:ascii="宋体" w:hAnsi="宋体" w:cs="宋体"/>
                <w:color w:val="auto"/>
                <w:szCs w:val="21"/>
                <w:highlight w:val="none"/>
              </w:rPr>
            </w:pPr>
            <w:r>
              <w:rPr>
                <w:rFonts w:hint="eastAsia" w:ascii="宋体" w:hAnsi="宋体" w:cs="宋体"/>
                <w:color w:val="auto"/>
                <w:szCs w:val="21"/>
                <w:highlight w:val="none"/>
              </w:rPr>
              <w:t>（2）评标时突发情况的补救方案</w:t>
            </w:r>
          </w:p>
          <w:p>
            <w:pPr>
              <w:spacing w:line="276" w:lineRule="auto"/>
              <w:rPr>
                <w:rFonts w:ascii="宋体" w:hAnsi="宋体" w:cs="宋体"/>
                <w:color w:val="auto"/>
                <w:szCs w:val="21"/>
                <w:highlight w:val="none"/>
              </w:rPr>
            </w:pPr>
            <w:r>
              <w:rPr>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276" w:lineRule="auto"/>
              <w:rPr>
                <w:rFonts w:ascii="宋体" w:hAnsi="宋体" w:cs="宋体"/>
                <w:color w:val="auto"/>
                <w:szCs w:val="21"/>
                <w:highlight w:val="none"/>
              </w:rPr>
            </w:pPr>
            <w:r>
              <w:rPr>
                <w:rFonts w:hint="eastAsia" w:ascii="宋体" w:hAnsi="宋体" w:cs="宋体"/>
                <w:color w:val="auto"/>
                <w:szCs w:val="21"/>
                <w:highlight w:val="none"/>
              </w:rPr>
              <w:t>（3）除发生上述情况外，开标评标均以投标人通过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招标人拒绝接收投标文件备用光盘的情况</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中标公示后中标单位提交投标文件要求</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软件或广州公共资源交易中心提供的投标书制作软件制作的工程量清单报价表和单价分析表，用 Microsoft Word 软件或广州公共资源交易中心提供的投标书制作软件制作的经济投标文件其他部分。电子文件介质使用CD-R光盘，所有电子文件不能采用压缩处理）。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39</w:t>
            </w:r>
          </w:p>
        </w:tc>
        <w:tc>
          <w:tcPr>
            <w:tcW w:w="98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color w:val="auto"/>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rPr>
            </w:pPr>
            <w:r>
              <w:rPr>
                <w:rFonts w:hint="eastAsia" w:ascii="宋体" w:hAnsi="宋体" w:cs="宋体"/>
                <w:color w:val="auto"/>
                <w:szCs w:val="21"/>
                <w:highlight w:val="none"/>
              </w:rPr>
              <w:t>安全生产责任保险</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tc>
      </w:tr>
    </w:tbl>
    <w:p>
      <w:pPr>
        <w:rPr>
          <w:rFonts w:ascii="宋体" w:hAnsi="宋体" w:cs="宋体"/>
          <w:strike/>
          <w:color w:val="auto"/>
          <w:kern w:val="0"/>
          <w:szCs w:val="21"/>
          <w:highlight w:val="none"/>
        </w:rPr>
      </w:pPr>
      <w:r>
        <w:rPr>
          <w:rFonts w:hint="eastAsia" w:ascii="宋体" w:hAnsi="宋体" w:cs="宋体"/>
          <w:strike/>
          <w:color w:val="auto"/>
          <w:szCs w:val="21"/>
          <w:highlight w:val="none"/>
        </w:rPr>
        <w:t>注：</w:t>
      </w:r>
      <w:r>
        <w:rPr>
          <w:rFonts w:hint="eastAsia" w:ascii="宋体" w:hAnsi="宋体" w:cs="宋体"/>
          <w:strike/>
          <w:color w:val="auto"/>
          <w:szCs w:val="21"/>
          <w:highlight w:val="none"/>
          <w:u w:val="single"/>
        </w:rPr>
        <w:t>企业的诚信综合评价排名以投标截止当日广州市工程招标代理行业协会网站施工企业专栏上公布的企业</w:t>
      </w:r>
      <w:r>
        <w:rPr>
          <w:rFonts w:ascii="宋体" w:hAnsi="宋体" w:cs="宋体"/>
          <w:strike/>
          <w:color w:val="auto"/>
          <w:szCs w:val="21"/>
          <w:highlight w:val="none"/>
          <w:u w:val="single"/>
        </w:rPr>
        <w:t>60日诚信分排名为准</w:t>
      </w:r>
      <w:r>
        <w:rPr>
          <w:rFonts w:hint="eastAsia" w:ascii="宋体" w:hAnsi="宋体" w:cs="宋体"/>
          <w:strike/>
          <w:color w:val="auto"/>
          <w:kern w:val="0"/>
          <w:szCs w:val="21"/>
          <w:highlight w:val="none"/>
        </w:rPr>
        <w:t>，以下同。</w:t>
      </w:r>
    </w:p>
    <w:p>
      <w:pPr>
        <w:pStyle w:val="7"/>
        <w:rPr>
          <w:color w:val="auto"/>
          <w:highlight w:val="none"/>
        </w:rPr>
      </w:pPr>
      <w:r>
        <w:rPr>
          <w:rFonts w:hint="eastAsia"/>
          <w:color w:val="auto"/>
          <w:highlight w:val="none"/>
        </w:rPr>
        <w:br w:type="page"/>
      </w:r>
      <w:bookmarkStart w:id="6" w:name="_Toc2272547"/>
      <w:bookmarkStart w:id="7" w:name="_Toc20639"/>
      <w:r>
        <w:rPr>
          <w:rFonts w:hint="eastAsia"/>
          <w:color w:val="auto"/>
          <w:highlight w:val="none"/>
        </w:rPr>
        <w:t>二、投标须知修改表</w:t>
      </w:r>
      <w:bookmarkEnd w:id="6"/>
      <w:bookmarkEnd w:id="7"/>
    </w:p>
    <w:p>
      <w:pPr>
        <w:pStyle w:val="5"/>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cs="宋体"/>
          <w:b/>
          <w:color w:val="auto"/>
          <w:szCs w:val="21"/>
          <w:highlight w:val="none"/>
          <w:u w:val="single"/>
        </w:rPr>
        <w:t>网址：http://zfcj.gz.gov.cn/</w:t>
      </w:r>
      <w:r>
        <w:rPr>
          <w:rFonts w:hint="eastAsia" w:ascii="宋体" w:hAnsi="宋体" w:cs="宋体"/>
          <w:b/>
          <w:color w:val="auto"/>
          <w:szCs w:val="21"/>
          <w:highlight w:val="none"/>
        </w:rPr>
        <w:t>）下载查阅。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Style w:val="5"/>
        <w:pBdr>
          <w:bottom w:val="single" w:color="auto" w:sz="6" w:space="1"/>
        </w:pBdr>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2.5</w:t>
      </w:r>
      <w:r>
        <w:rPr>
          <w:rFonts w:hint="eastAsia" w:ascii="宋体" w:hAnsi="宋体" w:cs="宋体"/>
          <w:color w:val="auto"/>
          <w:szCs w:val="21"/>
          <w:highlight w:val="none"/>
          <w:lang w:val="zh-CN"/>
        </w:rPr>
        <w:t>根据《建设工程质量检测管理办法》</w:t>
      </w:r>
      <w:r>
        <w:rPr>
          <w:rFonts w:hint="eastAsia" w:ascii="宋体" w:hAnsi="宋体" w:cs="宋体"/>
          <w:color w:val="auto"/>
          <w:kern w:val="0"/>
          <w:szCs w:val="21"/>
          <w:highlight w:val="none"/>
          <w:lang w:val="zh-CN"/>
        </w:rPr>
        <w:t>（中华人民共和国住房和城乡建设部令第57号）第十六条规定</w:t>
      </w:r>
      <w:r>
        <w:rPr>
          <w:rFonts w:hint="eastAsia" w:ascii="宋体" w:hAnsi="宋体" w:cs="宋体"/>
          <w:color w:val="auto"/>
          <w:szCs w:val="21"/>
          <w:highlight w:val="none"/>
          <w:lang w:val="zh-CN"/>
        </w:rPr>
        <w:t>，建设工程质量、安全检测业务应由建设单位依法委托，不列入本次招标范围。招标文件中与此条不一致的，以此条为准。</w:t>
      </w:r>
      <w:r>
        <w:rPr>
          <w:rFonts w:hint="eastAsia" w:ascii="宋体" w:hAnsi="宋体"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5"/>
        <w:pBdr>
          <w:bottom w:val="single" w:color="auto" w:sz="6" w:space="1"/>
        </w:pBdr>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Style w:val="5"/>
        <w:pBdr>
          <w:bottom w:val="single" w:color="auto" w:sz="6" w:space="1"/>
        </w:pBdr>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bCs/>
          <w:color w:val="auto"/>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5"/>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Style w:val="5"/>
        <w:pBdr>
          <w:bottom w:val="single" w:color="auto" w:sz="4" w:space="1"/>
        </w:pBdr>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 xml:space="preserve">（9）拟委派项目负责人的建造师注册证书（取自平台内上传件）； </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（15）</w:t>
      </w:r>
      <w:r>
        <w:rPr>
          <w:rFonts w:hint="eastAsia" w:ascii="宋体" w:hAnsi="宋体" w:cs="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11.2.5施工组织设计或施工方案。</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r>
        <w:rPr>
          <w:rFonts w:hint="eastAsia" w:ascii="宋体" w:hAnsi="宋体" w:cs="宋体"/>
          <w:color w:val="auto"/>
          <w:szCs w:val="21"/>
          <w:highlight w:val="none"/>
          <w:u w:val="single"/>
        </w:rPr>
        <w:t>（除注明原件外，均为清晰扫描件即可）</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(需按招标文件第四章要求的格式填写，具体格式以《广州建设工程施工招标投标书（技术标）》为准；电子投标管理软件编制的“广州建设工程施工招标投标书”不作为否决投标的条件</w:t>
      </w:r>
      <w:r>
        <w:rPr>
          <w:rFonts w:hint="eastAsia" w:ascii="宋体" w:hAnsi="宋体" w:cs="宋体"/>
          <w:bCs/>
          <w:color w:val="auto"/>
          <w:szCs w:val="21"/>
          <w:highlight w:val="none"/>
          <w:u w:val="singl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（1）投标人声明</w:t>
      </w:r>
      <w:r>
        <w:rPr>
          <w:rFonts w:hint="eastAsia" w:ascii="宋体" w:hAnsi="宋体" w:cs="宋体"/>
          <w:bCs/>
          <w:color w:val="auto"/>
          <w:szCs w:val="21"/>
          <w:highlight w:val="none"/>
          <w:u w:val="single"/>
        </w:rPr>
        <w:t>（须按招标公告附件内容及格式要求编制）</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r>
        <w:rPr>
          <w:rFonts w:hint="eastAsia" w:ascii="宋体" w:hAnsi="宋体" w:cs="宋体"/>
          <w:bCs/>
          <w:color w:val="auto"/>
          <w:szCs w:val="21"/>
          <w:highlight w:val="none"/>
          <w:u w:val="single"/>
        </w:rPr>
        <w:t>（联合体主办方提供）</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（3）企业营业执照</w:t>
      </w:r>
      <w:r>
        <w:rPr>
          <w:rFonts w:hint="eastAsia" w:ascii="宋体" w:hAnsi="宋体" w:cs="宋体"/>
          <w:bCs/>
          <w:color w:val="auto"/>
          <w:szCs w:val="21"/>
          <w:highlight w:val="none"/>
          <w:u w:val="single"/>
        </w:rPr>
        <w:t>扫描件（联合体投标的，由联合体各方提供）</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（4）企业资质证书</w:t>
      </w:r>
      <w:r>
        <w:rPr>
          <w:rFonts w:hint="eastAsia" w:ascii="宋体" w:hAnsi="宋体" w:cs="宋体"/>
          <w:bCs/>
          <w:color w:val="auto"/>
          <w:szCs w:val="21"/>
          <w:highlight w:val="none"/>
          <w:u w:val="single"/>
        </w:rPr>
        <w:t>扫描件（联合体投标的，由联合体各方提供）</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w:t>
      </w:r>
      <w:r>
        <w:rPr>
          <w:rFonts w:hint="eastAsia" w:ascii="宋体" w:hAnsi="宋体" w:cs="宋体"/>
          <w:bCs/>
          <w:color w:val="auto"/>
          <w:szCs w:val="21"/>
          <w:highlight w:val="none"/>
          <w:u w:val="single"/>
        </w:rPr>
        <w:t>扫描件（联合体投标的，由联合体各方提供）</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（6）项目负责人</w:t>
      </w:r>
      <w:r>
        <w:rPr>
          <w:rFonts w:hint="eastAsia" w:ascii="宋体" w:hAnsi="宋体" w:cs="宋体"/>
          <w:bCs/>
          <w:color w:val="auto"/>
          <w:szCs w:val="21"/>
          <w:highlight w:val="none"/>
          <w:u w:val="single"/>
        </w:rPr>
        <w:t>（联合体投标的，由联合体主办方提供）</w:t>
      </w:r>
      <w:r>
        <w:rPr>
          <w:rFonts w:hint="eastAsia" w:ascii="宋体" w:hAnsi="宋体" w:cs="宋体"/>
          <w:bCs/>
          <w:color w:val="auto"/>
          <w:szCs w:val="21"/>
          <w:highlight w:val="none"/>
        </w:rPr>
        <w:t>（按网上投标登记时选择拟投标的项目负责人）；</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（7）专职安全员</w:t>
      </w:r>
      <w:r>
        <w:rPr>
          <w:rFonts w:hint="eastAsia" w:ascii="宋体" w:hAnsi="宋体" w:cs="宋体"/>
          <w:bCs/>
          <w:color w:val="auto"/>
          <w:szCs w:val="21"/>
          <w:highlight w:val="none"/>
          <w:u w:val="single"/>
        </w:rPr>
        <w:t>（联合体投标的，由联合体主办方提供）</w:t>
      </w:r>
      <w:r>
        <w:rPr>
          <w:rFonts w:hint="eastAsia" w:ascii="宋体" w:hAnsi="宋体" w:cs="宋体"/>
          <w:bCs/>
          <w:color w:val="auto"/>
          <w:szCs w:val="21"/>
          <w:highlight w:val="none"/>
        </w:rPr>
        <w:t>（按网上投标登记时选择拟投标的专职安全员）；</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（8）</w:t>
      </w:r>
      <w:r>
        <w:rPr>
          <w:rFonts w:hint="eastAsia" w:ascii="宋体" w:hAnsi="宋体" w:cs="宋体"/>
          <w:bCs/>
          <w:color w:val="auto"/>
          <w:szCs w:val="21"/>
          <w:highlight w:val="none"/>
          <w:u w:val="single"/>
        </w:rPr>
        <w:t>拟委派技术负责人（联合体投标的，由联合体主办方提供）的职称证书扫描件；</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（9）</w:t>
      </w:r>
      <w:r>
        <w:rPr>
          <w:rFonts w:hint="eastAsia" w:ascii="宋体" w:hAnsi="宋体" w:cs="宋体"/>
          <w:bCs/>
          <w:color w:val="auto"/>
          <w:szCs w:val="21"/>
          <w:highlight w:val="none"/>
          <w:u w:val="single"/>
        </w:rPr>
        <w:t>拟委派项目负责人（联合体投标的，由联合体主办方提供）的建造师证书扫描件</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（10）项目负责人</w:t>
      </w:r>
      <w:r>
        <w:rPr>
          <w:rFonts w:hint="eastAsia" w:ascii="宋体" w:hAnsi="宋体" w:cs="宋体"/>
          <w:bCs/>
          <w:color w:val="auto"/>
          <w:szCs w:val="21"/>
          <w:highlight w:val="none"/>
          <w:u w:val="single"/>
        </w:rPr>
        <w:t>（联合体投标的，由联合体主办方提供）</w:t>
      </w:r>
      <w:r>
        <w:rPr>
          <w:rFonts w:hint="eastAsia" w:ascii="宋体" w:hAnsi="宋体" w:cs="宋体"/>
          <w:bCs/>
          <w:color w:val="auto"/>
          <w:szCs w:val="21"/>
          <w:highlight w:val="none"/>
        </w:rPr>
        <w:t>安全生产考核合格证明或在有效期内的安全考核合格证书（B类）或建筑施工企业项目负责人安全生产考核合格证书</w:t>
      </w:r>
      <w:r>
        <w:rPr>
          <w:rFonts w:hint="eastAsia" w:ascii="宋体" w:hAnsi="宋体" w:cs="宋体"/>
          <w:bCs/>
          <w:color w:val="auto"/>
          <w:szCs w:val="21"/>
          <w:highlight w:val="none"/>
          <w:u w:val="single"/>
        </w:rPr>
        <w:t>扫描件</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（11）专职安全员</w:t>
      </w:r>
      <w:r>
        <w:rPr>
          <w:rFonts w:hint="eastAsia" w:ascii="宋体" w:hAnsi="宋体" w:cs="宋体"/>
          <w:bCs/>
          <w:color w:val="auto"/>
          <w:szCs w:val="21"/>
          <w:highlight w:val="none"/>
          <w:u w:val="single"/>
        </w:rPr>
        <w:t>（联合体投标的，由联合体主办方提供）</w:t>
      </w:r>
      <w:r>
        <w:rPr>
          <w:rFonts w:hint="eastAsia" w:ascii="宋体" w:hAnsi="宋体" w:cs="宋体"/>
          <w:bCs/>
          <w:color w:val="auto"/>
          <w:szCs w:val="21"/>
          <w:highlight w:val="none"/>
        </w:rPr>
        <w:t>须具有在有效期内的安全考核合格证书（C类）或建筑施工企业专职安全生产管理人员安全生产考核合格证书</w:t>
      </w:r>
      <w:r>
        <w:rPr>
          <w:rFonts w:hint="eastAsia" w:ascii="宋体" w:hAnsi="宋体" w:cs="宋体"/>
          <w:bCs/>
          <w:color w:val="auto"/>
          <w:szCs w:val="21"/>
          <w:highlight w:val="none"/>
          <w:u w:val="single"/>
        </w:rPr>
        <w:t>（C3类）扫描件</w:t>
      </w:r>
      <w:r>
        <w:rPr>
          <w:rFonts w:hint="eastAsia" w:ascii="宋体" w:hAnsi="宋体" w:cs="宋体"/>
          <w:bCs/>
          <w:color w:val="auto"/>
          <w:szCs w:val="21"/>
          <w:highlight w:val="none"/>
        </w:rPr>
        <w:t>；</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2</w:t>
      </w:r>
      <w:r>
        <w:rPr>
          <w:rFonts w:hint="eastAsia" w:ascii="宋体" w:hAnsi="宋体" w:cs="宋体"/>
          <w:bCs/>
          <w:color w:val="auto"/>
          <w:szCs w:val="21"/>
          <w:highlight w:val="none"/>
          <w:u w:val="single"/>
        </w:rPr>
        <w:t>）</w:t>
      </w:r>
      <w:r>
        <w:rPr>
          <w:rFonts w:hint="eastAsia" w:hAnsi="宋体" w:cs="宋体"/>
          <w:bCs/>
          <w:color w:val="auto"/>
          <w:szCs w:val="21"/>
          <w:highlight w:val="none"/>
          <w:u w:val="single"/>
        </w:rPr>
        <w:t>用于资格审查的业绩资料原件扫描件</w:t>
      </w:r>
      <w:r>
        <w:rPr>
          <w:rFonts w:hint="eastAsia" w:hAnsi="宋体" w:cs="宋体"/>
          <w:bCs/>
          <w:color w:val="auto"/>
          <w:szCs w:val="21"/>
          <w:highlight w:val="none"/>
          <w:u w:val="single"/>
          <w:lang w:val="en-US" w:eastAsia="zh-CN"/>
        </w:rPr>
        <w:t>或</w:t>
      </w:r>
      <w:r>
        <w:rPr>
          <w:rFonts w:hint="eastAsia" w:ascii="宋体" w:hAnsi="宋体" w:eastAsia="宋体" w:cs="Times New Roman"/>
          <w:bCs/>
          <w:color w:val="auto"/>
          <w:szCs w:val="21"/>
          <w:highlight w:val="none"/>
          <w:u w:val="single"/>
        </w:rPr>
        <w:t>网页截图</w:t>
      </w:r>
      <w:r>
        <w:rPr>
          <w:rFonts w:hint="eastAsia" w:ascii="宋体" w:hAnsi="宋体" w:cs="宋体"/>
          <w:bCs/>
          <w:color w:val="auto"/>
          <w:szCs w:val="21"/>
          <w:highlight w:val="none"/>
          <w:u w:val="single"/>
        </w:rPr>
        <w:t>（联合体投标的，由联合体主办方提供）</w:t>
      </w:r>
      <w:r>
        <w:rPr>
          <w:rFonts w:hint="eastAsia" w:hAnsi="宋体" w:cs="宋体"/>
          <w:bCs/>
          <w:color w:val="auto"/>
          <w:szCs w:val="21"/>
          <w:highlight w:val="none"/>
          <w:u w:val="single"/>
        </w:rPr>
        <w:t>；</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）列明主办单位的联合体工作协议（采用联合体投标时需递交，投标人拟任本工程项目负责人、专职安全员应为联合体主办方信息登记中的在册人员，联合体工作协议应明确约定各方拟承担的工作和责任）。</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）投标登记前，投标人</w:t>
      </w:r>
      <w:r>
        <w:rPr>
          <w:rFonts w:hint="eastAsia" w:ascii="宋体" w:hAnsi="宋体" w:eastAsia="宋体" w:cs="宋体"/>
          <w:bCs/>
          <w:color w:val="auto"/>
          <w:szCs w:val="21"/>
          <w:highlight w:val="none"/>
          <w:u w:val="single"/>
        </w:rPr>
        <w:t>（联合体投标的，由联合体各方提供）</w:t>
      </w:r>
      <w:r>
        <w:rPr>
          <w:rFonts w:hint="eastAsia" w:ascii="宋体" w:hAnsi="宋体" w:cs="宋体"/>
          <w:bCs/>
          <w:color w:val="auto"/>
          <w:szCs w:val="21"/>
          <w:highlight w:val="none"/>
          <w:u w:val="single"/>
        </w:rPr>
        <w:t>须在广州公共资源交易中心办理企业信息登记及拟担任本工程项目负责人、专职安全员须是本企业信息登记中的在册人员。（提供网页信息截图）</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住房和城乡建设局（广州开发区建设和交通局）网页“建筑活动不良行为记录”栏目（网址： http://www.hp.gov.cn/gzjg/qzfgwhgzbm/qzfhcxjsj10/jzhdblxwjl/ ）公布名单为准。若资格审查时网址有变化，以最新网址为准。</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）投标人认为应提供的其他资料。</w:t>
      </w:r>
    </w:p>
    <w:p>
      <w:pP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注：</w:t>
      </w:r>
    </w:p>
    <w:p>
      <w:pPr>
        <w:spacing w:line="360" w:lineRule="auto"/>
        <w:ind w:firstLine="409" w:firstLineChars="195"/>
        <w:rPr>
          <w:rFonts w:ascii="宋体" w:hAnsi="宋体" w:cs="宋体"/>
          <w:bCs/>
          <w:color w:val="auto"/>
          <w:szCs w:val="21"/>
          <w:highlight w:val="none"/>
          <w:u w:val="single"/>
        </w:rPr>
      </w:pPr>
      <w:r>
        <w:rPr>
          <w:rFonts w:hint="eastAsia" w:ascii="宋体" w:hAnsi="宋体" w:cs="宋体"/>
          <w:color w:val="auto"/>
          <w:szCs w:val="21"/>
          <w:highlight w:val="none"/>
          <w:u w:val="single"/>
        </w:rPr>
        <w:t>1、上述第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w:t>
      </w:r>
      <w:r>
        <w:rPr>
          <w:rFonts w:ascii="宋体" w:hAnsi="宋体" w:cs="宋体"/>
          <w:color w:val="auto"/>
          <w:szCs w:val="21"/>
          <w:highlight w:val="none"/>
          <w:u w:val="single"/>
        </w:rPr>
        <w:t>5</w:t>
      </w:r>
      <w:r>
        <w:rPr>
          <w:rFonts w:hint="eastAsia" w:ascii="宋体" w:hAnsi="宋体" w:cs="宋体"/>
          <w:color w:val="auto"/>
          <w:szCs w:val="21"/>
          <w:highlight w:val="none"/>
          <w:u w:val="single"/>
        </w:rPr>
        <w:t>）条的不良记录具体名单以资格审查时</w:t>
      </w:r>
      <w:r>
        <w:rPr>
          <w:rFonts w:hint="eastAsia" w:ascii="宋体" w:hAnsi="宋体" w:cs="宋体"/>
          <w:bCs/>
          <w:color w:val="auto"/>
          <w:szCs w:val="21"/>
          <w:highlight w:val="none"/>
          <w:u w:val="single"/>
        </w:rPr>
        <w:t>广州市黄埔区人民政府、广州开发区管委会网站的区住房和城乡建设局（广州开发区建设和交通局）网页“建筑活动不良行为记录”栏目（网址： http://www.hp.gov.cn/gzjg/qzfgwhgzbm/qzfhcxjsj10/jzhdblxwjl/ ）公布名单为准。若资格审查时网址有变化，以最新网址为准。</w:t>
      </w:r>
    </w:p>
    <w:p>
      <w:pPr>
        <w:pBdr>
          <w:bottom w:val="single" w:color="auto" w:sz="6" w:space="1"/>
        </w:pBdr>
        <w:spacing w:line="360" w:lineRule="auto"/>
        <w:ind w:firstLine="409" w:firstLineChars="195"/>
        <w:rPr>
          <w:rFonts w:ascii="宋体" w:hAnsi="宋体"/>
          <w:bCs/>
          <w:color w:val="auto"/>
          <w:szCs w:val="21"/>
          <w:highlight w:val="none"/>
          <w:u w:val="single"/>
        </w:rPr>
      </w:pPr>
      <w:r>
        <w:rPr>
          <w:rFonts w:hint="eastAsia" w:ascii="宋体" w:hAnsi="宋体" w:cs="宋体"/>
          <w:color w:val="auto"/>
          <w:szCs w:val="21"/>
          <w:highlight w:val="none"/>
          <w:u w:val="single"/>
        </w:rPr>
        <w:t>11.2.3《投标函》、《标函承诺书》、《项目负责人驻场承诺书》（格式见第四章）。</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11.2.4《施工项目管理团队人员信息表》、《主要人员简历表》（投标人需按相应表格备注要求提供相关资料）（格式见第四章）。</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11.2.6施工组织设计。</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11.2.7《危险性较大的分部分项工程安全管理措施》（格式见第四章）。</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11.2.8《参与编制技术标投标文件人员名单》（格式见第四章）</w:t>
      </w:r>
      <w:r>
        <w:rPr>
          <w:rFonts w:hint="eastAsia" w:ascii="宋体" w:hAnsi="宋体" w:cs="宋体"/>
          <w:color w:val="auto"/>
          <w:szCs w:val="21"/>
          <w:highlight w:val="none"/>
        </w:rPr>
        <w:t>。</w:t>
      </w:r>
    </w:p>
    <w:p>
      <w:pPr>
        <w:pBdr>
          <w:bottom w:val="single" w:color="auto" w:sz="6" w:space="1"/>
        </w:pBdr>
        <w:spacing w:line="360" w:lineRule="auto"/>
        <w:ind w:firstLine="409" w:firstLineChars="195"/>
        <w:rPr>
          <w:rFonts w:hint="eastAsia" w:ascii="宋体" w:hAnsi="宋体" w:cs="宋体"/>
          <w:color w:val="auto"/>
          <w:szCs w:val="21"/>
          <w:highlight w:val="none"/>
          <w:u w:val="single"/>
        </w:rPr>
      </w:pPr>
      <w:r>
        <w:rPr>
          <w:rFonts w:hint="eastAsia" w:ascii="宋体" w:hAnsi="宋体" w:cs="宋体"/>
          <w:color w:val="auto"/>
          <w:szCs w:val="21"/>
          <w:highlight w:val="none"/>
          <w:u w:val="single"/>
        </w:rPr>
        <w:t>11.2.9投标保证金缴纳证明资料（如采用投标保函或投标保证保险形式，且未在开标前提交纸质原件，也未以交易系统支持的电子保函或电子投标保证保险递交的，须提供该项资料）。</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11.2.10</w:t>
      </w:r>
      <w:r>
        <w:rPr>
          <w:rFonts w:hint="eastAsia" w:ascii="宋体" w:hAnsi="宋体" w:cs="宋体"/>
          <w:bCs/>
          <w:color w:val="auto"/>
          <w:szCs w:val="21"/>
          <w:highlight w:val="none"/>
          <w:u w:val="single"/>
        </w:rPr>
        <w:t>投标人认为应提供的其他资料。</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条款号：11.3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bCs/>
          <w:color w:val="auto"/>
          <w:szCs w:val="21"/>
          <w:highlight w:val="none"/>
        </w:rPr>
        <w:t>原文：</w:t>
      </w:r>
    </w:p>
    <w:p>
      <w:pPr>
        <w:spacing w:line="360" w:lineRule="auto"/>
        <w:ind w:firstLine="409" w:firstLineChars="195"/>
        <w:rPr>
          <w:rFonts w:ascii="宋体" w:hAnsi="宋体" w:cs="宋体"/>
          <w:bCs/>
          <w:color w:val="auto"/>
          <w:szCs w:val="21"/>
          <w:highlight w:val="none"/>
        </w:rPr>
      </w:pPr>
      <w:r>
        <w:rPr>
          <w:rFonts w:hint="eastAsia" w:ascii="宋体" w:hAnsi="宋体" w:cs="宋体"/>
          <w:bCs/>
          <w:color w:val="auto"/>
          <w:szCs w:val="21"/>
          <w:highlight w:val="none"/>
        </w:rPr>
        <w:t>11.3</w:t>
      </w:r>
      <w:r>
        <w:rPr>
          <w:rFonts w:ascii="宋体" w:hAnsi="宋体" w:cs="宋体"/>
          <w:bCs/>
          <w:color w:val="auto"/>
          <w:szCs w:val="21"/>
          <w:highlight w:val="none"/>
        </w:rPr>
        <w:t xml:space="preserve"> </w:t>
      </w:r>
      <w:r>
        <w:rPr>
          <w:rFonts w:hint="eastAsia" w:ascii="宋体" w:hAnsi="宋体" w:cs="宋体"/>
          <w:bCs/>
          <w:color w:val="auto"/>
          <w:szCs w:val="21"/>
          <w:highlight w:val="none"/>
        </w:rPr>
        <w:t>经济部分投标文件主要包括下列内容：</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tabs>
          <w:tab w:val="left" w:pos="1125"/>
        </w:tabs>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11.3</w:t>
      </w:r>
      <w:r>
        <w:rPr>
          <w:rFonts w:ascii="宋体" w:hAnsi="宋体" w:cs="宋体"/>
          <w:bCs/>
          <w:color w:val="auto"/>
          <w:szCs w:val="21"/>
          <w:highlight w:val="none"/>
        </w:rPr>
        <w:t xml:space="preserve"> </w:t>
      </w:r>
      <w:r>
        <w:rPr>
          <w:rFonts w:hint="eastAsia" w:ascii="宋体" w:hAnsi="宋体" w:cs="宋体"/>
          <w:bCs/>
          <w:color w:val="auto"/>
          <w:szCs w:val="21"/>
          <w:highlight w:val="none"/>
        </w:rPr>
        <w:t>经济部分投标文件主要包括下列内容：</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bCs/>
          <w:color w:val="auto"/>
          <w:szCs w:val="21"/>
          <w:highlight w:val="none"/>
          <w:u w:val="single"/>
        </w:rPr>
        <w:t>广州建设工程施工招标投标书</w:t>
      </w:r>
      <w:r>
        <w:rPr>
          <w:rFonts w:ascii="宋体" w:hAnsi="宋体" w:cs="宋体"/>
          <w:bCs/>
          <w:color w:val="auto"/>
          <w:szCs w:val="21"/>
          <w:highlight w:val="none"/>
          <w:u w:val="single"/>
        </w:rPr>
        <w:t>(需按招标文件第四章要求的格式填写，具体格式以《广州建设工程施工招标投标书（</w:t>
      </w:r>
      <w:r>
        <w:rPr>
          <w:rFonts w:hint="eastAsia" w:ascii="宋体" w:hAnsi="宋体" w:cs="宋体"/>
          <w:bCs/>
          <w:color w:val="auto"/>
          <w:szCs w:val="21"/>
          <w:highlight w:val="none"/>
          <w:u w:val="single"/>
        </w:rPr>
        <w:t>经济</w:t>
      </w:r>
      <w:r>
        <w:rPr>
          <w:rFonts w:ascii="宋体" w:hAnsi="宋体" w:cs="宋体"/>
          <w:bCs/>
          <w:color w:val="auto"/>
          <w:szCs w:val="21"/>
          <w:highlight w:val="none"/>
          <w:u w:val="single"/>
        </w:rPr>
        <w:t>标）》为准；电子投标管理软件编制的“广州建设工程施工招标投标书”不作为否决投标的条件</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u w:val="single"/>
        </w:rPr>
        <w:t>（4）其它辅助说明资料（包括但不限于招标文件要求填写的《对投标文件编制的承诺》（格式见第四章））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u w:val="single"/>
        </w:rPr>
      </w:pPr>
      <w:r>
        <w:rPr>
          <w:rFonts w:hint="eastAsia" w:ascii="宋体" w:hAnsi="宋体" w:cs="宋体"/>
          <w:color w:val="auto"/>
          <w:szCs w:val="21"/>
          <w:highlight w:val="none"/>
          <w:u w:val="single"/>
        </w:rPr>
        <w:t>11.3.5投标人认为应提供的其他资料。</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r>
        <w:rPr>
          <w:rFonts w:hint="eastAsia" w:ascii="宋体" w:hAnsi="宋体"/>
          <w:b/>
          <w:color w:val="auto"/>
          <w:szCs w:val="21"/>
          <w:highlight w:val="none"/>
          <w:u w:val="single"/>
        </w:rPr>
        <w:t>如联合体投标，投标文件中的“投标人”、“声明企业”、“投标单位”应填写联合体各成员的单位全称“（主）***公司（成）***公司”。除投标文件中的联合体工作协议、投标人声明需联合体各成员按格式要求盖章或签字外，其他资料均由主办方盖章或签字即可。</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pBdr>
          <w:bottom w:val="single" w:color="auto" w:sz="6" w:space="1"/>
        </w:pBd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cs="宋体"/>
          <w:color w:val="auto"/>
          <w:szCs w:val="21"/>
          <w:highlight w:val="none"/>
          <w:u w:val="single"/>
        </w:rPr>
        <w:t>提供的招标图纸（包括有关于本项目招标的相关资料）及</w:t>
      </w:r>
      <w:r>
        <w:rPr>
          <w:rFonts w:hint="eastAsia" w:ascii="宋体" w:hAnsi="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5"/>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411" w:firstLineChars="195"/>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和措施项目费（措施项目费必须单列，没有单独列出的，视为已经包含在投标报价中），在工程结算时，按招标文件第三章合同条款相关约定调整。</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条款号：13.6.2                      修改类型：修改</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cs="宋体"/>
          <w:color w:val="auto"/>
          <w:szCs w:val="21"/>
          <w:highlight w:val="none"/>
          <w:u w:val="single"/>
        </w:rPr>
        <w:t>应由招标人招标确定承包人和承包价格。</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pBdr>
          <w:bottom w:val="single" w:color="auto" w:sz="6" w:space="1"/>
        </w:pBdr>
        <w:spacing w:after="0"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承包人有法定的承包资格的，由承包人承包，承包人无法定的承包资格但有法定的分包权的，由承包人分包，招标人同承包人结算的价格按本投标须知13.5款规定确定。</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pPr>
        <w:pStyle w:val="5"/>
        <w:spacing w:after="0"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13.8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pPr>
        <w:pStyle w:val="5"/>
        <w:spacing w:after="0" w:line="360" w:lineRule="auto"/>
        <w:ind w:firstLine="407" w:firstLineChars="193"/>
        <w:rPr>
          <w:rFonts w:ascii="宋体" w:hAnsi="宋体"/>
          <w:color w:val="auto"/>
          <w:szCs w:val="21"/>
          <w:highlight w:val="none"/>
        </w:rPr>
      </w:pPr>
      <w:r>
        <w:rPr>
          <w:rFonts w:hint="eastAsia" w:ascii="宋体" w:hAnsi="宋体" w:cs="宋体"/>
          <w:b/>
          <w:color w:val="auto"/>
          <w:szCs w:val="21"/>
          <w:highlight w:val="none"/>
        </w:rPr>
        <w:t>条款号：13.10                         修改类型：增加</w:t>
      </w:r>
    </w:p>
    <w:p>
      <w:pPr>
        <w:spacing w:line="360" w:lineRule="auto"/>
        <w:ind w:firstLine="407" w:firstLineChars="193"/>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13.10</w:t>
      </w:r>
      <w:r>
        <w:rPr>
          <w:rFonts w:hint="eastAsia" w:ascii="宋体" w:hAnsi="宋体" w:cs="宋体"/>
          <w:color w:val="auto"/>
          <w:szCs w:val="21"/>
          <w:highlight w:val="none"/>
          <w:u w:val="single"/>
        </w:rPr>
        <w:t>工程量清单报价中有关问题的说明：</w:t>
      </w:r>
    </w:p>
    <w:p>
      <w:pPr>
        <w:pStyle w:val="5"/>
        <w:pBdr>
          <w:bottom w:val="single" w:color="auto" w:sz="6" w:space="1"/>
        </w:pBdr>
        <w:spacing w:after="0" w:line="360" w:lineRule="auto"/>
        <w:ind w:firstLine="424" w:firstLineChars="202"/>
        <w:rPr>
          <w:rFonts w:hint="eastAsia" w:ascii="宋体" w:hAnsi="宋体" w:cs="宋体"/>
          <w:color w:val="auto"/>
          <w:szCs w:val="21"/>
          <w:highlight w:val="none"/>
          <w:u w:val="single"/>
        </w:rPr>
      </w:pPr>
      <w:r>
        <w:rPr>
          <w:rFonts w:hint="eastAsia" w:ascii="宋体" w:hAnsi="宋体" w:cs="宋体"/>
          <w:color w:val="auto"/>
          <w:szCs w:val="21"/>
          <w:highlight w:val="none"/>
          <w:u w:val="single"/>
        </w:rPr>
        <w:t>①投标时,土石方的弃运距离暂按15km内考虑，超过15km按15km计算，结算时按招标人确认的实际运距计算,实际运距超过15公里时按15公里包干。</w:t>
      </w:r>
    </w:p>
    <w:p>
      <w:pPr>
        <w:pStyle w:val="5"/>
        <w:pBdr>
          <w:bottom w:val="single" w:color="auto" w:sz="6" w:space="1"/>
        </w:pBdr>
        <w:spacing w:after="0" w:line="360" w:lineRule="auto"/>
        <w:ind w:firstLine="424" w:firstLineChars="202"/>
        <w:rPr>
          <w:rFonts w:ascii="宋体" w:hAnsi="宋体"/>
          <w:color w:val="auto"/>
          <w:szCs w:val="21"/>
          <w:highlight w:val="none"/>
        </w:rPr>
      </w:pPr>
      <w:r>
        <w:rPr>
          <w:rFonts w:hint="eastAsia" w:ascii="宋体" w:hAnsi="宋体" w:cs="宋体"/>
          <w:color w:val="auto"/>
          <w:szCs w:val="21"/>
          <w:highlight w:val="none"/>
          <w:u w:val="single"/>
        </w:rPr>
        <w:t>② 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pPr>
        <w:pStyle w:val="5"/>
        <w:spacing w:after="0" w:line="360" w:lineRule="auto"/>
        <w:ind w:firstLine="424" w:firstLineChars="201"/>
        <w:rPr>
          <w:rFonts w:ascii="宋体" w:hAnsi="宋体"/>
          <w:b/>
          <w:color w:val="auto"/>
          <w:szCs w:val="21"/>
          <w:highlight w:val="none"/>
        </w:rPr>
      </w:pPr>
      <w:r>
        <w:rPr>
          <w:rFonts w:hint="eastAsia" w:ascii="宋体" w:hAnsi="宋体"/>
          <w:b/>
          <w:color w:val="auto"/>
          <w:szCs w:val="21"/>
          <w:highlight w:val="none"/>
        </w:rPr>
        <w:t>条款号：13.11                          修改类型：增加</w:t>
      </w:r>
    </w:p>
    <w:p>
      <w:pPr>
        <w:pStyle w:val="5"/>
        <w:pBdr>
          <w:bottom w:val="single" w:color="auto" w:sz="6" w:space="1"/>
        </w:pBdr>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13.11中标人应对当地现有的交通道路状况进行充分调查，充分考虑该路段的交通疏导问题和文明施工，制定可行的交通疏导（包括场内和场外）方案，确保原有道路的交通畅通和施工临时排水的通畅，并符合施工环保要求。中标人应与交警及公路管理部门协商，取得同意和协助，并负责承担道路改线或改善和其他费用。相关费用计入措施项目费中，结算时按发包人批准的实施方案，按合同约定结算。如果中标人不及时按要求设置，发包人可以另行委托实施。发包人按实际发生的费用在工程款中扣除，中标人不得有任何异议。</w:t>
      </w:r>
    </w:p>
    <w:p>
      <w:pPr>
        <w:pStyle w:val="5"/>
        <w:spacing w:after="0" w:line="360" w:lineRule="auto"/>
        <w:ind w:firstLine="424" w:firstLineChars="201"/>
        <w:rPr>
          <w:rFonts w:ascii="宋体" w:hAnsi="宋体"/>
          <w:b/>
          <w:color w:val="auto"/>
          <w:szCs w:val="21"/>
          <w:highlight w:val="none"/>
        </w:rPr>
      </w:pPr>
      <w:r>
        <w:rPr>
          <w:rFonts w:hint="eastAsia" w:ascii="宋体" w:hAnsi="宋体"/>
          <w:b/>
          <w:color w:val="auto"/>
          <w:szCs w:val="21"/>
          <w:highlight w:val="none"/>
        </w:rPr>
        <w:t>条款号：13.12                          修改类型：增加</w:t>
      </w:r>
    </w:p>
    <w:p>
      <w:pPr>
        <w:pStyle w:val="5"/>
        <w:pBdr>
          <w:bottom w:val="single" w:color="auto" w:sz="6" w:space="1"/>
        </w:pBdr>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13.12中标人应加强周边学校、居民住宅的环境保护，制定绿色施工安全防护措施（包括防尘、防噪音、施工围蔽等），施工现场严格按照《广州市建设工程文明施工管理规定》（广州市人民政府令第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2018〕1008号）、《广州市建设工程绿色施工围蔽指导图集（V2.0版）的通知》(穂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如中标人未及时按要求做好围蔽、落实工地扬尘防治等绿色施工安全防护措施，业主可另行委托单位实施，业主在工程款中扣减相应措施费用。中标人应当在项目施工前编制扬尘污染防治专项方案和扬尘污染防治费用使用计划，明确扬尘控制目标、防治部位、控制措施，并将扬尘污染防治费用专项使用。</w:t>
      </w:r>
    </w:p>
    <w:p>
      <w:pPr>
        <w:pStyle w:val="5"/>
        <w:spacing w:after="0" w:line="360" w:lineRule="auto"/>
        <w:ind w:firstLine="424" w:firstLineChars="201"/>
        <w:rPr>
          <w:rFonts w:ascii="宋体" w:hAnsi="宋体"/>
          <w:b/>
          <w:color w:val="auto"/>
          <w:szCs w:val="21"/>
          <w:highlight w:val="none"/>
        </w:rPr>
      </w:pPr>
      <w:r>
        <w:rPr>
          <w:rFonts w:hint="eastAsia" w:ascii="宋体" w:hAnsi="宋体"/>
          <w:b/>
          <w:color w:val="auto"/>
          <w:szCs w:val="21"/>
          <w:highlight w:val="none"/>
        </w:rPr>
        <w:t>条款号：13.13                            修改类型：增加</w:t>
      </w:r>
    </w:p>
    <w:p>
      <w:pPr>
        <w:pStyle w:val="5"/>
        <w:pBdr>
          <w:bottom w:val="single" w:color="auto" w:sz="6" w:space="1"/>
        </w:pBdr>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包干使用（施工围蔽费用除外），且中标人不得以任何理由要求发包人另行增加该部分费用（中标人要充分考虑最不利因素影响而采用的施工方案所需的费用）。</w:t>
      </w:r>
    </w:p>
    <w:p>
      <w:pPr>
        <w:pStyle w:val="5"/>
        <w:spacing w:after="0" w:line="360" w:lineRule="auto"/>
        <w:ind w:firstLine="424" w:firstLineChars="201"/>
        <w:rPr>
          <w:rFonts w:ascii="宋体" w:hAnsi="宋体"/>
          <w:b/>
          <w:color w:val="auto"/>
          <w:szCs w:val="21"/>
          <w:highlight w:val="none"/>
        </w:rPr>
      </w:pPr>
      <w:r>
        <w:rPr>
          <w:rFonts w:hint="eastAsia" w:ascii="宋体" w:hAnsi="宋体"/>
          <w:b/>
          <w:color w:val="auto"/>
          <w:szCs w:val="21"/>
          <w:highlight w:val="none"/>
        </w:rPr>
        <w:t>条款号：13.14                             修改类型：增加</w:t>
      </w:r>
    </w:p>
    <w:p>
      <w:pPr>
        <w:pStyle w:val="5"/>
        <w:pBdr>
          <w:bottom w:val="single" w:color="auto" w:sz="6" w:space="1"/>
        </w:pBdr>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13.14中标人应结合本工程招标内容对现场进行充分的调查，充分考虑工程招标内容及施工组织方案，中标人应与相关管理部门（如铁路管理部门）协商，取得同意协调，按要求完成工程招标内容，工程及相关费用包含在合同价中，不另行计费。如果中标人不及时按要求完成，发包人可以另行委托实施，发包人按实际发生的费用在工程款中扣除，中标人不得有任何异议。</w:t>
      </w:r>
    </w:p>
    <w:p>
      <w:pPr>
        <w:pStyle w:val="5"/>
        <w:spacing w:after="0" w:line="360" w:lineRule="auto"/>
        <w:ind w:firstLine="424" w:firstLineChars="201"/>
        <w:rPr>
          <w:rFonts w:ascii="宋体" w:hAnsi="宋体"/>
          <w:b/>
          <w:color w:val="auto"/>
          <w:szCs w:val="21"/>
          <w:highlight w:val="none"/>
        </w:rPr>
      </w:pPr>
      <w:r>
        <w:rPr>
          <w:rFonts w:hint="eastAsia" w:ascii="宋体" w:hAnsi="宋体"/>
          <w:b/>
          <w:color w:val="auto"/>
          <w:szCs w:val="21"/>
          <w:highlight w:val="none"/>
        </w:rPr>
        <w:t>条款号：13.15                             修改类型：增加</w:t>
      </w:r>
    </w:p>
    <w:p>
      <w:pPr>
        <w:pStyle w:val="5"/>
        <w:pBdr>
          <w:bottom w:val="single" w:color="auto" w:sz="6" w:space="1"/>
        </w:pBdr>
        <w:spacing w:after="0" w:line="360" w:lineRule="auto"/>
        <w:ind w:firstLine="424" w:firstLineChars="201"/>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13.15中标人应根据区相关主管部门批复的水土保持实施方案及相关规定完成本工程的水土保持工作，承担防止水土流失职责，相关费用包含在合同价中，不另行计费。如果中标人不及时按要求完成上述工作，发包人可以另行委托实施，发包人按实际发生的费用在工程款中扣除，中标人不得有任何异议。</w:t>
      </w:r>
    </w:p>
    <w:p>
      <w:pPr>
        <w:pStyle w:val="5"/>
        <w:spacing w:after="0" w:line="360" w:lineRule="auto"/>
        <w:ind w:firstLine="424" w:firstLineChars="201"/>
        <w:rPr>
          <w:rFonts w:ascii="宋体" w:hAnsi="宋体"/>
          <w:b/>
          <w:color w:val="auto"/>
          <w:szCs w:val="21"/>
          <w:highlight w:val="none"/>
        </w:rPr>
      </w:pPr>
      <w:r>
        <w:rPr>
          <w:rFonts w:hint="eastAsia" w:ascii="宋体" w:hAnsi="宋体"/>
          <w:b/>
          <w:color w:val="auto"/>
          <w:szCs w:val="21"/>
          <w:highlight w:val="none"/>
        </w:rPr>
        <w:t>条款号：13.16                              修改类型：增加</w:t>
      </w:r>
    </w:p>
    <w:p>
      <w:pPr>
        <w:pStyle w:val="5"/>
        <w:pBdr>
          <w:bottom w:val="single" w:color="auto" w:sz="6" w:space="1"/>
        </w:pBdr>
        <w:spacing w:after="0" w:line="360" w:lineRule="auto"/>
        <w:ind w:firstLine="424" w:firstLineChars="201"/>
        <w:rPr>
          <w:rFonts w:ascii="宋体" w:hAnsi="宋体"/>
          <w:color w:val="auto"/>
          <w:szCs w:val="21"/>
          <w:highlight w:val="none"/>
          <w:u w:val="single"/>
        </w:rPr>
      </w:pPr>
      <w:r>
        <w:rPr>
          <w:rFonts w:hint="eastAsia" w:ascii="宋体" w:hAnsi="宋体"/>
          <w:b/>
          <w:color w:val="auto"/>
          <w:szCs w:val="21"/>
          <w:highlight w:val="none"/>
        </w:rPr>
        <w:t>现文：</w:t>
      </w:r>
      <w:r>
        <w:rPr>
          <w:rFonts w:hint="eastAsia" w:ascii="宋体" w:hAnsi="宋体"/>
          <w:color w:val="auto"/>
          <w:szCs w:val="21"/>
          <w:highlight w:val="none"/>
          <w:u w:val="single"/>
        </w:rPr>
        <w:t>13.16中标人应使用绿色生产达标企业生产的混凝土，若不遵守承诺，自愿按不履行合同约定处理。</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条款号：13.17                              修改类型：增加</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13.17中标人应按有关规定协助发包人完成公共排水设施竣工图纸备案工作。</w:t>
      </w:r>
    </w:p>
    <w:p>
      <w:pPr>
        <w:pStyle w:val="5"/>
        <w:spacing w:after="0" w:line="360" w:lineRule="auto"/>
        <w:ind w:firstLine="424" w:firstLineChars="201"/>
        <w:rPr>
          <w:rFonts w:ascii="宋体" w:hAnsi="宋体"/>
          <w:color w:val="auto"/>
          <w:szCs w:val="21"/>
          <w:highlight w:val="none"/>
        </w:rPr>
      </w:pPr>
      <w:r>
        <w:rPr>
          <w:rFonts w:hint="eastAsia" w:ascii="宋体" w:hAnsi="宋体"/>
          <w:b/>
          <w:color w:val="auto"/>
          <w:szCs w:val="21"/>
          <w:highlight w:val="none"/>
        </w:rPr>
        <w:t xml:space="preserve">条款号：16 </w:t>
      </w:r>
      <w:r>
        <w:rPr>
          <w:rFonts w:hint="eastAsia" w:ascii="宋体" w:hAnsi="宋体"/>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4" w:firstLineChars="201"/>
        <w:rPr>
          <w:rFonts w:ascii="宋体" w:hAnsi="宋体"/>
          <w:color w:val="auto"/>
          <w:szCs w:val="21"/>
          <w:highlight w:val="none"/>
        </w:rPr>
      </w:pPr>
      <w:r>
        <w:rPr>
          <w:rFonts w:hint="eastAsia" w:ascii="宋体" w:hAnsi="宋体"/>
          <w:b/>
          <w:color w:val="auto"/>
          <w:szCs w:val="21"/>
          <w:highlight w:val="none"/>
        </w:rPr>
        <w:t>原文：</w:t>
      </w:r>
    </w:p>
    <w:p>
      <w:pPr>
        <w:pStyle w:val="5"/>
        <w:spacing w:after="0"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16．投标保证金</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16.1.1采用现金或者支票形式提交的，投标保证金须从投标人的银行基本账户转出。</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16.1.3采用电子形式的保函、担保或保证保险提交投标保证金的，应在招标文件中明确电子递交途径。</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16.4如有下列情况之一的，招标人可以不予退还投标保证金（是否退还投标保证金由招标人在招标文件中规定）：</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16.4.2投标人在投标有效期内撤销投标文件；</w:t>
      </w:r>
    </w:p>
    <w:p>
      <w:pPr>
        <w:pStyle w:val="5"/>
        <w:spacing w:after="0" w:line="360" w:lineRule="auto"/>
        <w:ind w:firstLineChars="200"/>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16.5.3按招标文件要求免于提供投标保证金的投标人存在16.4条款所列情形，且未按招标人要求补交投标保证金的；</w:t>
      </w:r>
    </w:p>
    <w:p>
      <w:pP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16.5.3按招标文件要求免于提供投标保证金的投标人存在16.4条款所列情形的。</w:t>
      </w:r>
    </w:p>
    <w:p>
      <w:pPr>
        <w:pBdr>
          <w:bottom w:val="single" w:color="auto" w:sz="6" w:space="1"/>
        </w:pBdr>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现文：</w:t>
      </w:r>
    </w:p>
    <w:p>
      <w:pPr>
        <w:pBdr>
          <w:bottom w:val="single" w:color="auto" w:sz="6" w:space="1"/>
        </w:pBdr>
        <w:spacing w:line="360" w:lineRule="auto"/>
        <w:ind w:firstLine="424" w:firstLineChars="201"/>
        <w:rPr>
          <w:rFonts w:ascii="宋体" w:hAnsi="宋体"/>
          <w:b/>
          <w:bCs/>
          <w:color w:val="auto"/>
          <w:szCs w:val="21"/>
          <w:highlight w:val="none"/>
        </w:rPr>
      </w:pPr>
      <w:r>
        <w:rPr>
          <w:rFonts w:hint="eastAsia" w:ascii="宋体" w:hAnsi="宋体"/>
          <w:b/>
          <w:bCs/>
          <w:color w:val="auto"/>
          <w:szCs w:val="21"/>
          <w:highlight w:val="none"/>
        </w:rPr>
        <w:t>16．投标保证金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16.1投标人应按投标须知前附表第14项所述金额和时间递交投标保证金。</w:t>
      </w:r>
      <w:r>
        <w:rPr>
          <w:rFonts w:hint="eastAsia" w:ascii="宋体" w:hAnsi="宋体"/>
          <w:color w:val="auto"/>
          <w:szCs w:val="21"/>
          <w:highlight w:val="none"/>
          <w:u w:val="single"/>
        </w:rPr>
        <w:t>本项目</w:t>
      </w:r>
      <w:r>
        <w:rPr>
          <w:rFonts w:hint="eastAsia" w:ascii="宋体" w:hAnsi="宋体"/>
          <w:color w:val="auto"/>
          <w:szCs w:val="21"/>
          <w:highlight w:val="none"/>
        </w:rPr>
        <w:t>允许投标人自主选择现金、银行保函、保证保险、专业工程担保公司担保等方式缴纳投标保证金。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16.1.1采用现金或者支票形式提交的，投标保证金须从投标人的银行基本账户转出</w:t>
      </w:r>
      <w:r>
        <w:rPr>
          <w:rFonts w:hint="eastAsia" w:ascii="宋体" w:hAnsi="宋体"/>
          <w:color w:val="auto"/>
          <w:szCs w:val="21"/>
          <w:highlight w:val="none"/>
          <w:u w:val="single"/>
        </w:rPr>
        <w:t>，由广州交易集团有限公司（广州公共资源交易中心）代收，缴纳情况以交易平台数据库记录的信息为准。具体操作要求详见广州公共资源交易中心有关指引，递交事宜请自行咨询交易中心。</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16.1.2依法必须招标的</w:t>
      </w:r>
      <w:r>
        <w:rPr>
          <w:rFonts w:hint="eastAsia" w:ascii="宋体" w:hAnsi="宋体"/>
          <w:color w:val="auto"/>
          <w:szCs w:val="21"/>
          <w:highlight w:val="none"/>
          <w:u w:val="single"/>
        </w:rPr>
        <w:t>房屋建筑和市政工程</w:t>
      </w:r>
      <w:r>
        <w:rPr>
          <w:rFonts w:hint="eastAsia" w:ascii="宋体" w:hAnsi="宋体"/>
          <w:color w:val="auto"/>
          <w:szCs w:val="21"/>
          <w:highlight w:val="none"/>
        </w:rPr>
        <w:t>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16.1.3采用电子形式的保函、担保或保证保险提交投标保证金的，</w:t>
      </w:r>
      <w:r>
        <w:rPr>
          <w:rFonts w:hint="eastAsia" w:ascii="宋体" w:hAnsi="宋体"/>
          <w:color w:val="auto"/>
          <w:szCs w:val="21"/>
          <w:highlight w:val="none"/>
          <w:u w:val="single"/>
        </w:rPr>
        <w:t>具体操作要求详见广州公共资源交易中心有关指引，递交事宜请自行咨询交易中心。</w:t>
      </w:r>
    </w:p>
    <w:p>
      <w:pPr>
        <w:pBdr>
          <w:bottom w:val="single" w:color="auto" w:sz="6" w:space="1"/>
        </w:pBdr>
        <w:spacing w:line="360" w:lineRule="auto"/>
        <w:ind w:firstLine="422" w:firstLineChars="201"/>
        <w:rPr>
          <w:rFonts w:ascii="宋体" w:hAnsi="宋体"/>
          <w:color w:val="auto"/>
          <w:szCs w:val="21"/>
          <w:highlight w:val="none"/>
          <w:u w:val="single"/>
        </w:rPr>
      </w:pPr>
      <w:r>
        <w:rPr>
          <w:rFonts w:hint="eastAsia" w:ascii="宋体" w:hAnsi="宋体"/>
          <w:color w:val="auto"/>
          <w:szCs w:val="21"/>
          <w:highlight w:val="none"/>
          <w:u w:val="single"/>
        </w:rPr>
        <w:t>16.2开标时投标人没有按要求提供投标保证金的，其投标文件将被否决。</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16.3投标保证金应依据法律法规的相关规定退还。</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16.4如有下列情况之一的，</w:t>
      </w:r>
      <w:r>
        <w:rPr>
          <w:rFonts w:hint="eastAsia" w:ascii="宋体" w:hAnsi="宋体"/>
          <w:color w:val="auto"/>
          <w:szCs w:val="21"/>
          <w:highlight w:val="none"/>
          <w:u w:val="single"/>
        </w:rPr>
        <w:t>招标人可以不予退还投标保证金：</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16.4.1因投标人原因造成投标文件未解密的；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16.4.2投标人在投标有效期内撤销投标文件</w:t>
      </w:r>
      <w:r>
        <w:rPr>
          <w:rFonts w:hint="eastAsia" w:ascii="宋体" w:hAnsi="宋体"/>
          <w:color w:val="auto"/>
          <w:szCs w:val="21"/>
          <w:highlight w:val="none"/>
          <w:u w:val="single"/>
        </w:rPr>
        <w:t>或放弃中标资格的</w:t>
      </w:r>
      <w:r>
        <w:rPr>
          <w:rFonts w:hint="eastAsia" w:ascii="宋体" w:hAnsi="宋体"/>
          <w:color w:val="auto"/>
          <w:szCs w:val="21"/>
          <w:highlight w:val="none"/>
        </w:rPr>
        <w:t>；</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16.4.3中标人未能在规定期限内按要求提交履约担保；</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16.4.4中标人未能在规定期限内签署合同协议；</w:t>
      </w:r>
    </w:p>
    <w:p>
      <w:pPr>
        <w:pBdr>
          <w:bottom w:val="single" w:color="auto" w:sz="6" w:space="1"/>
        </w:pBdr>
        <w:spacing w:line="360" w:lineRule="auto"/>
        <w:ind w:firstLine="422" w:firstLineChars="201"/>
        <w:rPr>
          <w:rFonts w:ascii="宋体" w:hAnsi="宋体"/>
          <w:color w:val="auto"/>
          <w:szCs w:val="21"/>
          <w:highlight w:val="none"/>
        </w:rPr>
      </w:pPr>
      <w:r>
        <w:rPr>
          <w:rFonts w:ascii="宋体" w:hAnsi="宋体"/>
          <w:color w:val="auto"/>
          <w:szCs w:val="21"/>
          <w:highlight w:val="none"/>
          <w:u w:val="single"/>
        </w:rPr>
        <w:t>16.4.5</w:t>
      </w:r>
      <w:r>
        <w:rPr>
          <w:rFonts w:hint="eastAsia" w:ascii="宋体" w:hAnsi="宋体"/>
          <w:color w:val="auto"/>
          <w:szCs w:val="21"/>
          <w:highlight w:val="none"/>
          <w:u w:val="single"/>
        </w:rPr>
        <w:t>投标人弄虚作假骗取中标的。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16.5投标人如存在下列情况之一的，将被拒绝在一定时期内</w:t>
      </w:r>
      <w:r>
        <w:rPr>
          <w:rFonts w:hint="eastAsia" w:ascii="宋体" w:hAnsi="宋体"/>
          <w:color w:val="auto"/>
          <w:szCs w:val="21"/>
          <w:highlight w:val="none"/>
          <w:u w:val="single"/>
        </w:rPr>
        <w:t>（拒绝投标时限由招标人视严重程度确定，最低三个月起，自招标人发出通知之日起计）</w:t>
      </w:r>
      <w:r>
        <w:rPr>
          <w:rFonts w:hint="eastAsia" w:ascii="宋体" w:hAnsi="宋体"/>
          <w:color w:val="auto"/>
          <w:szCs w:val="21"/>
          <w:highlight w:val="none"/>
        </w:rPr>
        <w:t>参与招标人后续工程投标：</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16.5.1投标人存在16.4条款所列情形且投标人提交的保函、担保或保证保险无法兑付的；</w:t>
      </w:r>
    </w:p>
    <w:p>
      <w:pPr>
        <w:pBdr>
          <w:bottom w:val="single" w:color="auto" w:sz="6" w:space="1"/>
        </w:pBdr>
        <w:spacing w:line="360" w:lineRule="auto"/>
        <w:ind w:firstLine="422" w:firstLineChars="201"/>
        <w:rPr>
          <w:rFonts w:ascii="宋体" w:hAnsi="宋体"/>
          <w:color w:val="auto"/>
          <w:szCs w:val="21"/>
          <w:highlight w:val="none"/>
        </w:rPr>
      </w:pPr>
      <w:r>
        <w:rPr>
          <w:rFonts w:hint="eastAsia" w:ascii="宋体" w:hAnsi="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广州公共资源交易中心网站最新指引</w:t>
      </w:r>
      <w:r>
        <w:rPr>
          <w:rFonts w:hint="eastAsia" w:ascii="宋体" w:hAnsi="宋体" w:cs="宋体"/>
          <w:color w:val="auto"/>
          <w:szCs w:val="21"/>
          <w:highlight w:val="none"/>
        </w:rPr>
        <w:t>。</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原文：19.投标文件的递交和接收</w:t>
      </w:r>
    </w:p>
    <w:p>
      <w:pPr>
        <w:pBdr>
          <w:bottom w:val="single" w:color="auto" w:sz="6" w:space="1"/>
        </w:pBd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11"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条款号：19.5                       修改类型：修改</w:t>
      </w:r>
    </w:p>
    <w:p>
      <w:pPr>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Bdr>
          <w:bottom w:val="single" w:color="auto" w:sz="6" w:space="1"/>
        </w:pBdr>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交易平台将按招标文件规定的时间分别开启技术标和经济标。</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pBdr>
          <w:bottom w:val="single" w:color="auto" w:sz="6" w:space="1"/>
        </w:pBd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20.3 到投标截止时间止，招标人收到的投标文件少于3家的，招标人将重新组织招标。</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 xml:space="preserve">条款号：21.1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adjustRightInd w:val="0"/>
        <w:spacing w:line="360" w:lineRule="auto"/>
        <w:ind w:firstLine="411"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adjustRightInd w:val="0"/>
        <w:spacing w:line="360" w:lineRule="auto"/>
        <w:ind w:firstLine="411"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pPr>
        <w:spacing w:line="360" w:lineRule="auto"/>
        <w:ind w:firstLine="411" w:firstLineChars="195"/>
        <w:contextualSpacing/>
        <w:rPr>
          <w:rFonts w:ascii="宋体" w:hAnsi="宋体" w:cs="宋体"/>
          <w:b/>
          <w:color w:val="auto"/>
          <w:szCs w:val="21"/>
          <w:highlight w:val="none"/>
        </w:rPr>
      </w:pPr>
      <w:r>
        <w:rPr>
          <w:rFonts w:hint="eastAsia" w:ascii="宋体" w:hAnsi="宋体" w:cs="宋体"/>
          <w:b/>
          <w:color w:val="auto"/>
          <w:szCs w:val="21"/>
          <w:highlight w:val="none"/>
        </w:rPr>
        <w:t>条款号：28.5                        修改类型：增加</w:t>
      </w:r>
    </w:p>
    <w:p>
      <w:pPr>
        <w:pBdr>
          <w:bottom w:val="single" w:color="auto" w:sz="6" w:space="1"/>
        </w:pBdr>
        <w:spacing w:line="360" w:lineRule="auto"/>
        <w:ind w:firstLine="411" w:firstLineChars="195"/>
        <w:rPr>
          <w:rFonts w:ascii="宋体" w:hAnsi="宋体" w:cs="宋体"/>
          <w:b/>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28.5如本工程委托代建单位（项目建设管理单位），则可由代建单位作为发包人与中标人签订合同。</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条款号：29.1                        修改类型：修改</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29.1</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，中标人应按本须知前附表第20项的规定向招标人提交履约担保。</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合同正式签订之日后的30日内</w:t>
      </w:r>
      <w:r>
        <w:rPr>
          <w:rFonts w:hint="eastAsia" w:ascii="宋体" w:hAnsi="宋体"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11"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11" w:firstLineChars="195"/>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30.1在合同双方全权代表在合同协议书上签字，并分别加盖双方单位的公章</w:t>
      </w:r>
      <w:r>
        <w:rPr>
          <w:rFonts w:hint="eastAsia" w:ascii="宋体" w:hAnsi="宋体" w:cs="宋体"/>
          <w:color w:val="auto"/>
          <w:szCs w:val="21"/>
          <w:highlight w:val="none"/>
          <w:u w:val="single"/>
        </w:rPr>
        <w:t>且承包人提交履约担保后，合同正式生效。</w:t>
      </w:r>
    </w:p>
    <w:p>
      <w:pPr>
        <w:spacing w:line="360" w:lineRule="auto"/>
        <w:ind w:firstLine="411" w:firstLineChars="195"/>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pBdr>
          <w:bottom w:val="single" w:color="auto" w:sz="6" w:space="1"/>
        </w:pBdr>
        <w:spacing w:line="360" w:lineRule="auto"/>
        <w:ind w:firstLine="411" w:firstLineChars="195"/>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spacing w:line="360" w:lineRule="auto"/>
        <w:ind w:firstLine="411" w:firstLineChars="195"/>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u w:val="single"/>
        </w:rPr>
        <w:t>中标人应交纳交易服务费，该费用包含在投标价中。</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pPr>
        <w:pStyle w:val="7"/>
        <w:rPr>
          <w:color w:val="auto"/>
          <w:highlight w:val="none"/>
        </w:rPr>
      </w:pPr>
      <w:r>
        <w:rPr>
          <w:rFonts w:hint="eastAsia"/>
          <w:color w:val="auto"/>
          <w:highlight w:val="none"/>
        </w:rPr>
        <w:br w:type="page"/>
      </w:r>
      <w:bookmarkStart w:id="8" w:name="_Toc2272548"/>
      <w:bookmarkStart w:id="9" w:name="_Toc12065"/>
      <w:r>
        <w:rPr>
          <w:rFonts w:hint="eastAsia"/>
          <w:color w:val="auto"/>
          <w:highlight w:val="none"/>
        </w:rPr>
        <w:t>三、投标须知通用条款</w:t>
      </w:r>
      <w:bookmarkEnd w:id="8"/>
      <w:bookmarkEnd w:id="9"/>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0" w:name="_Toc30550"/>
      <w:bookmarkStart w:id="11" w:name="_Toc2272549"/>
      <w:bookmarkStart w:id="12" w:name="_Toc58838571"/>
      <w:r>
        <w:rPr>
          <w:rFonts w:hint="eastAsia" w:ascii="宋体" w:hAnsi="宋体" w:cs="宋体"/>
          <w:color w:val="auto"/>
          <w:kern w:val="0"/>
          <w:sz w:val="24"/>
          <w:szCs w:val="24"/>
          <w:highlight w:val="none"/>
        </w:rPr>
        <w:t>（一）总则</w:t>
      </w:r>
      <w:bookmarkEnd w:id="10"/>
      <w:bookmarkEnd w:id="11"/>
      <w:bookmarkEnd w:id="12"/>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、定义</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本招标文件使用的下列词语具有如下规定的意义：</w:t>
      </w:r>
    </w:p>
    <w:p>
      <w:pPr>
        <w:spacing w:line="360" w:lineRule="auto"/>
        <w:ind w:firstLine="480" w:firstLineChars="200"/>
        <w:rPr>
          <w:rFonts w:ascii="宋体" w:hAnsi="宋体"/>
          <w:b/>
          <w:bCs/>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）“招标人”（即发包人）、“项目建设管理单位”（或称“项目代建单位”）、“招标代理”、“设计单位”、“监理单位”均已在投标须知前附表中列明。</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）“投标人”指向招标人提交投标文件的当事人。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）“承包人”指其投标被招标人接受并与其签订承包合同的当事人。</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）“招标文件”指由招标代理发出的本文件（包括全部章节、附件）及招标答疑会会议纪要和</w:t>
      </w:r>
      <w:r>
        <w:rPr>
          <w:rFonts w:hint="eastAsia" w:ascii="宋体" w:hAnsi="宋体"/>
          <w:bCs/>
          <w:color w:val="auto"/>
          <w:sz w:val="24"/>
          <w:szCs w:val="24"/>
          <w:highlight w:val="none"/>
        </w:rPr>
        <w:t>招标文件的澄清与修改</w:t>
      </w:r>
      <w:r>
        <w:rPr>
          <w:rFonts w:hint="eastAsia" w:ascii="宋体" w:hAnsi="宋体"/>
          <w:color w:val="auto"/>
          <w:sz w:val="24"/>
          <w:szCs w:val="24"/>
          <w:highlight w:val="none"/>
        </w:rPr>
        <w:t>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）“投标文件”指投标人根据本项目招标文件向招标人提交的全部文件。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w:t>
      </w:r>
      <w:r>
        <w:rPr>
          <w:rFonts w:hint="eastAsia" w:ascii="宋体" w:hAnsi="宋体"/>
          <w:color w:val="auto"/>
          <w:sz w:val="24"/>
          <w:szCs w:val="24"/>
          <w:highlight w:val="none"/>
        </w:rPr>
        <w:t>）“书面形式”指打字或印刷的文件和数据电文（包括电报、电传、传真、电子数据交换和电子邮件）。</w:t>
      </w:r>
    </w:p>
    <w:p>
      <w:pPr>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、招标说明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2.1</w:t>
      </w:r>
      <w:r>
        <w:rPr>
          <w:rFonts w:hint="eastAsia" w:ascii="宋体" w:hAnsi="宋体"/>
          <w:bCs/>
          <w:color w:val="auto"/>
          <w:sz w:val="24"/>
          <w:szCs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2.2</w:t>
      </w:r>
      <w:r>
        <w:rPr>
          <w:rFonts w:hint="eastAsia" w:ascii="宋体" w:hAnsi="宋体"/>
          <w:bCs/>
          <w:color w:val="auto"/>
          <w:sz w:val="24"/>
          <w:szCs w:val="24"/>
          <w:highlight w:val="none"/>
        </w:rPr>
        <w:t>工程名称、建设地点、建设规模、承包方式、质量标准、招标范围、工期要求等均在投标须知前附表中列明。</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2.3</w:t>
      </w:r>
      <w:r>
        <w:rPr>
          <w:rFonts w:hint="eastAsia" w:ascii="宋体" w:hAnsi="宋体"/>
          <w:bCs/>
          <w:color w:val="auto"/>
          <w:sz w:val="24"/>
          <w:szCs w:val="24"/>
          <w:highlight w:val="none"/>
        </w:rPr>
        <w:t>设计说明：详见招标图纸。</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2.4</w:t>
      </w:r>
      <w:r>
        <w:rPr>
          <w:rFonts w:hint="eastAsia" w:ascii="宋体" w:hAnsi="宋体"/>
          <w:bCs/>
          <w:color w:val="auto"/>
          <w:sz w:val="24"/>
          <w:szCs w:val="24"/>
          <w:highlight w:val="none"/>
        </w:rPr>
        <w:t>工程施工特点：详见招标图纸。</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．资金来源</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3.1</w:t>
      </w:r>
      <w:r>
        <w:rPr>
          <w:rFonts w:hint="eastAsia" w:ascii="宋体" w:hAnsi="宋体"/>
          <w:bCs/>
          <w:color w:val="auto"/>
          <w:sz w:val="24"/>
          <w:szCs w:val="24"/>
          <w:highlight w:val="none"/>
        </w:rPr>
        <w:t>本招标工程项目资金来源见投标须知前附表第</w:t>
      </w:r>
      <w:r>
        <w:rPr>
          <w:rFonts w:ascii="宋体" w:hAnsi="宋体"/>
          <w:bCs/>
          <w:color w:val="auto"/>
          <w:sz w:val="24"/>
          <w:szCs w:val="24"/>
          <w:highlight w:val="none"/>
        </w:rPr>
        <w:t>9</w:t>
      </w:r>
      <w:r>
        <w:rPr>
          <w:rFonts w:hint="eastAsia" w:ascii="宋体" w:hAnsi="宋体"/>
          <w:bCs/>
          <w:color w:val="auto"/>
          <w:sz w:val="24"/>
          <w:szCs w:val="24"/>
          <w:highlight w:val="none"/>
        </w:rPr>
        <w:t>项</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4</w:t>
      </w:r>
      <w:r>
        <w:rPr>
          <w:rFonts w:hint="eastAsia" w:ascii="宋体" w:hAnsi="宋体"/>
          <w:b/>
          <w:color w:val="auto"/>
          <w:sz w:val="24"/>
          <w:szCs w:val="24"/>
          <w:highlight w:val="none"/>
        </w:rPr>
        <w:t>．合格投标人的条件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4.1</w:t>
      </w:r>
      <w:r>
        <w:rPr>
          <w:rFonts w:hint="eastAsia" w:ascii="宋体" w:hAnsi="宋体"/>
          <w:bCs/>
          <w:color w:val="auto"/>
          <w:sz w:val="24"/>
          <w:szCs w:val="24"/>
          <w:highlight w:val="none"/>
        </w:rPr>
        <w:t>详见本项目招标公告</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5</w:t>
      </w:r>
      <w:r>
        <w:rPr>
          <w:rFonts w:hint="eastAsia" w:ascii="宋体" w:hAnsi="宋体"/>
          <w:b/>
          <w:color w:val="auto"/>
          <w:sz w:val="24"/>
          <w:szCs w:val="24"/>
          <w:highlight w:val="none"/>
        </w:rPr>
        <w:t>．踏勘现场</w:t>
      </w:r>
    </w:p>
    <w:p>
      <w:pPr>
        <w:spacing w:line="360" w:lineRule="auto"/>
        <w:ind w:firstLine="480" w:firstLineChars="200"/>
        <w:rPr>
          <w:rFonts w:ascii="宋体" w:hAnsi="宋体"/>
          <w:bCs/>
          <w:color w:val="auto"/>
          <w:sz w:val="24"/>
          <w:szCs w:val="24"/>
          <w:highlight w:val="none"/>
          <w:u w:val="single"/>
        </w:rPr>
      </w:pPr>
      <w:r>
        <w:rPr>
          <w:rFonts w:ascii="宋体" w:hAnsi="宋体"/>
          <w:bCs/>
          <w:color w:val="auto"/>
          <w:sz w:val="24"/>
          <w:szCs w:val="24"/>
          <w:highlight w:val="none"/>
        </w:rPr>
        <w:t xml:space="preserve">5.1 </w:t>
      </w:r>
      <w:r>
        <w:rPr>
          <w:rFonts w:hint="eastAsia" w:ascii="宋体" w:hAnsi="宋体"/>
          <w:bCs/>
          <w:color w:val="auto"/>
          <w:sz w:val="24"/>
          <w:szCs w:val="24"/>
          <w:highlight w:val="none"/>
        </w:rPr>
        <w:t>投标人应按本投标须知前附表第</w:t>
      </w:r>
      <w:r>
        <w:rPr>
          <w:rFonts w:ascii="宋体" w:hAnsi="宋体"/>
          <w:bCs/>
          <w:color w:val="auto"/>
          <w:sz w:val="24"/>
          <w:szCs w:val="24"/>
          <w:highlight w:val="none"/>
        </w:rPr>
        <w:t>15</w:t>
      </w:r>
      <w:r>
        <w:rPr>
          <w:rFonts w:hint="eastAsia" w:ascii="宋体" w:hAnsi="宋体"/>
          <w:bCs/>
          <w:color w:val="auto"/>
          <w:sz w:val="24"/>
          <w:szCs w:val="24"/>
          <w:highlight w:val="none"/>
        </w:rPr>
        <w:t>项所述时间和要求对工程现场及周围环境进行踏勘，</w:t>
      </w:r>
      <w:r>
        <w:rPr>
          <w:rFonts w:hint="eastAsia" w:ascii="宋体" w:hAnsi="宋体"/>
          <w:color w:val="auto"/>
          <w:sz w:val="24"/>
          <w:szCs w:val="24"/>
          <w:highlight w:val="none"/>
        </w:rPr>
        <w:t>投标人应充分重视和仔细地进行这种考察，</w:t>
      </w:r>
      <w:r>
        <w:rPr>
          <w:rFonts w:hint="eastAsia" w:ascii="宋体" w:hAnsi="宋体"/>
          <w:bCs/>
          <w:color w:val="auto"/>
          <w:sz w:val="24"/>
          <w:szCs w:val="24"/>
          <w:highlight w:val="none"/>
        </w:rPr>
        <w:t>以便投标人获取</w:t>
      </w:r>
      <w:r>
        <w:rPr>
          <w:rFonts w:hint="eastAsia" w:ascii="宋体" w:hAnsi="宋体"/>
          <w:color w:val="auto"/>
          <w:sz w:val="24"/>
          <w:szCs w:val="24"/>
          <w:highlight w:val="none"/>
        </w:rPr>
        <w:t>那些须投标人自己负责的</w:t>
      </w:r>
      <w:r>
        <w:rPr>
          <w:rFonts w:hint="eastAsia" w:ascii="宋体" w:hAnsi="宋体"/>
          <w:bCs/>
          <w:color w:val="auto"/>
          <w:sz w:val="24"/>
          <w:szCs w:val="24"/>
          <w:highlight w:val="none"/>
        </w:rPr>
        <w:t>有关编制投标文件和签署合同所涉及现场所有的资料。</w:t>
      </w:r>
      <w:r>
        <w:rPr>
          <w:rFonts w:hint="eastAsia" w:ascii="宋体" w:hAnsi="宋体"/>
          <w:color w:val="auto"/>
          <w:sz w:val="24"/>
          <w:szCs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5.2 </w:t>
      </w:r>
      <w:r>
        <w:rPr>
          <w:rFonts w:hint="eastAsia" w:ascii="宋体" w:hAnsi="宋体"/>
          <w:bCs/>
          <w:color w:val="auto"/>
          <w:sz w:val="24"/>
          <w:szCs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5.3 </w:t>
      </w:r>
      <w:r>
        <w:rPr>
          <w:rFonts w:hint="eastAsia" w:ascii="宋体" w:hAnsi="宋体"/>
          <w:bCs/>
          <w:color w:val="auto"/>
          <w:sz w:val="24"/>
          <w:szCs w:val="24"/>
          <w:highlight w:val="none"/>
        </w:rPr>
        <w:t>经招标人允许，投标人可为踏勘目的进入招标人的项目现场。</w:t>
      </w:r>
      <w:r>
        <w:rPr>
          <w:rFonts w:hint="eastAsia" w:ascii="宋体" w:hAnsi="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szCs w:val="24"/>
          <w:highlight w:val="none"/>
        </w:rPr>
        <w:t>投标人不得因此使招标人承担有关的责任和蒙受损失。</w:t>
      </w:r>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6</w:t>
      </w:r>
      <w:r>
        <w:rPr>
          <w:rFonts w:hint="eastAsia" w:ascii="宋体" w:hAnsi="宋体"/>
          <w:b/>
          <w:color w:val="auto"/>
          <w:sz w:val="24"/>
          <w:szCs w:val="24"/>
          <w:highlight w:val="none"/>
        </w:rPr>
        <w:t>．投标费用</w:t>
      </w:r>
    </w:p>
    <w:p>
      <w:pPr>
        <w:tabs>
          <w:tab w:val="left" w:pos="105"/>
        </w:tabs>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6.1</w:t>
      </w:r>
      <w:r>
        <w:rPr>
          <w:rFonts w:hint="eastAsia" w:ascii="宋体" w:hAnsi="宋体"/>
          <w:color w:val="auto"/>
          <w:sz w:val="24"/>
          <w:szCs w:val="24"/>
          <w:highlight w:val="none"/>
        </w:rPr>
        <w:t>不论投标结果如何，投标人应承担</w:t>
      </w:r>
      <w:r>
        <w:rPr>
          <w:rFonts w:hint="eastAsia" w:ascii="宋体" w:hAnsi="宋体"/>
          <w:bCs/>
          <w:color w:val="auto"/>
          <w:sz w:val="24"/>
          <w:szCs w:val="24"/>
          <w:highlight w:val="none"/>
        </w:rPr>
        <w:t>自身</w:t>
      </w:r>
      <w:r>
        <w:rPr>
          <w:rFonts w:hint="eastAsia" w:ascii="宋体" w:hAnsi="宋体"/>
          <w:color w:val="auto"/>
          <w:sz w:val="24"/>
          <w:szCs w:val="24"/>
          <w:highlight w:val="none"/>
        </w:rPr>
        <w:t>因投标文件编制、递交及其他</w:t>
      </w:r>
      <w:r>
        <w:rPr>
          <w:rFonts w:hint="eastAsia" w:ascii="宋体" w:hAnsi="宋体"/>
          <w:bCs/>
          <w:color w:val="auto"/>
          <w:sz w:val="24"/>
          <w:szCs w:val="24"/>
          <w:highlight w:val="none"/>
        </w:rPr>
        <w:t>参加本招标活动</w:t>
      </w:r>
      <w:r>
        <w:rPr>
          <w:rFonts w:hint="eastAsia" w:ascii="宋体" w:hAnsi="宋体"/>
          <w:color w:val="auto"/>
          <w:sz w:val="24"/>
          <w:szCs w:val="24"/>
          <w:highlight w:val="none"/>
        </w:rPr>
        <w:t>所涉及的一切费用，招标人对上述费用不负任何责任。</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3" w:name="_Toc31478"/>
      <w:bookmarkStart w:id="14" w:name="_Toc2272550"/>
      <w:bookmarkStart w:id="15" w:name="_Toc58838572"/>
      <w:r>
        <w:rPr>
          <w:rFonts w:hint="eastAsia" w:ascii="宋体" w:hAnsi="宋体" w:cs="宋体"/>
          <w:color w:val="auto"/>
          <w:kern w:val="0"/>
          <w:sz w:val="24"/>
          <w:szCs w:val="24"/>
          <w:highlight w:val="none"/>
        </w:rPr>
        <w:t>（二）招标文件</w:t>
      </w:r>
      <w:bookmarkEnd w:id="13"/>
      <w:bookmarkEnd w:id="14"/>
      <w:bookmarkEnd w:id="15"/>
    </w:p>
    <w:p>
      <w:pPr>
        <w:tabs>
          <w:tab w:val="left" w:pos="105"/>
        </w:tabs>
        <w:spacing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7.</w:t>
      </w:r>
      <w:r>
        <w:rPr>
          <w:rFonts w:hint="eastAsia" w:ascii="宋体" w:hAnsi="宋体"/>
          <w:b/>
          <w:color w:val="auto"/>
          <w:sz w:val="24"/>
          <w:szCs w:val="24"/>
          <w:highlight w:val="none"/>
        </w:rPr>
        <w:t>招标文件的组成</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7.1</w:t>
      </w:r>
      <w:r>
        <w:rPr>
          <w:rFonts w:hint="eastAsia" w:ascii="宋体" w:hAnsi="宋体"/>
          <w:color w:val="auto"/>
          <w:sz w:val="24"/>
          <w:szCs w:val="24"/>
          <w:highlight w:val="none"/>
        </w:rPr>
        <w:t>本招标文件包括下列文件，以及所有按本须知第</w:t>
      </w:r>
      <w:r>
        <w:rPr>
          <w:rFonts w:ascii="宋体" w:hAnsi="宋体"/>
          <w:color w:val="auto"/>
          <w:sz w:val="24"/>
          <w:szCs w:val="24"/>
          <w:highlight w:val="none"/>
        </w:rPr>
        <w:t>8</w:t>
      </w:r>
      <w:r>
        <w:rPr>
          <w:rFonts w:hint="eastAsia" w:ascii="宋体" w:hAnsi="宋体"/>
          <w:color w:val="auto"/>
          <w:sz w:val="24"/>
          <w:szCs w:val="24"/>
          <w:highlight w:val="none"/>
        </w:rPr>
        <w:t>条发出的招标答疑会会议纪要和按本须知第</w:t>
      </w:r>
      <w:r>
        <w:rPr>
          <w:rFonts w:ascii="宋体" w:hAnsi="宋体"/>
          <w:color w:val="auto"/>
          <w:sz w:val="24"/>
          <w:szCs w:val="24"/>
          <w:highlight w:val="none"/>
        </w:rPr>
        <w:t>9</w:t>
      </w:r>
      <w:r>
        <w:rPr>
          <w:rFonts w:hint="eastAsia" w:ascii="宋体" w:hAnsi="宋体"/>
          <w:color w:val="auto"/>
          <w:sz w:val="24"/>
          <w:szCs w:val="24"/>
          <w:highlight w:val="none"/>
        </w:rPr>
        <w:t>条发出的澄清或修改：</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第一章</w:t>
      </w:r>
      <w:r>
        <w:rPr>
          <w:rFonts w:ascii="宋体" w:hAnsi="宋体"/>
          <w:bCs/>
          <w:color w:val="auto"/>
          <w:sz w:val="24"/>
          <w:szCs w:val="24"/>
          <w:highlight w:val="none"/>
        </w:rPr>
        <w:t xml:space="preserve">  </w:t>
      </w:r>
      <w:r>
        <w:rPr>
          <w:rFonts w:hint="eastAsia" w:ascii="宋体" w:hAnsi="宋体"/>
          <w:color w:val="auto"/>
          <w:sz w:val="24"/>
          <w:szCs w:val="24"/>
          <w:highlight w:val="none"/>
        </w:rPr>
        <w:t>投标须知</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第二章</w:t>
      </w:r>
      <w:r>
        <w:rPr>
          <w:rFonts w:ascii="宋体" w:hAnsi="宋体"/>
          <w:bCs/>
          <w:color w:val="auto"/>
          <w:sz w:val="24"/>
          <w:szCs w:val="24"/>
          <w:highlight w:val="none"/>
        </w:rPr>
        <w:t xml:space="preserve">  </w:t>
      </w:r>
      <w:r>
        <w:rPr>
          <w:rFonts w:hint="eastAsia" w:ascii="宋体" w:hAnsi="宋体"/>
          <w:color w:val="auto"/>
          <w:sz w:val="24"/>
          <w:szCs w:val="24"/>
          <w:highlight w:val="none"/>
        </w:rPr>
        <w:t>开标、评标及定标办法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第三章</w:t>
      </w:r>
      <w:r>
        <w:rPr>
          <w:rFonts w:ascii="宋体" w:hAnsi="宋体"/>
          <w:color w:val="auto"/>
          <w:sz w:val="24"/>
          <w:szCs w:val="24"/>
          <w:highlight w:val="none"/>
        </w:rPr>
        <w:t xml:space="preserve">  </w:t>
      </w:r>
      <w:r>
        <w:rPr>
          <w:rFonts w:hint="eastAsia" w:ascii="宋体" w:hAnsi="宋体"/>
          <w:color w:val="auto"/>
          <w:sz w:val="24"/>
          <w:szCs w:val="24"/>
          <w:highlight w:val="none"/>
        </w:rPr>
        <w:t>合同条款</w:t>
      </w:r>
    </w:p>
    <w:p>
      <w:pPr>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第四章</w:t>
      </w:r>
      <w:r>
        <w:rPr>
          <w:rFonts w:ascii="宋体" w:hAnsi="宋体"/>
          <w:bCs/>
          <w:color w:val="auto"/>
          <w:sz w:val="24"/>
          <w:szCs w:val="24"/>
          <w:highlight w:val="none"/>
        </w:rPr>
        <w:t xml:space="preserve">  </w:t>
      </w:r>
      <w:r>
        <w:rPr>
          <w:rFonts w:hint="eastAsia" w:ascii="宋体" w:hAnsi="宋体"/>
          <w:color w:val="auto"/>
          <w:sz w:val="24"/>
          <w:szCs w:val="24"/>
          <w:highlight w:val="none"/>
        </w:rPr>
        <w:t>投标文件格式</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第五章</w:t>
      </w:r>
      <w:r>
        <w:rPr>
          <w:rFonts w:ascii="宋体" w:hAnsi="宋体"/>
          <w:bCs/>
          <w:color w:val="auto"/>
          <w:sz w:val="24"/>
          <w:szCs w:val="24"/>
          <w:highlight w:val="none"/>
        </w:rPr>
        <w:t xml:space="preserve">  </w:t>
      </w:r>
      <w:r>
        <w:rPr>
          <w:rFonts w:hint="eastAsia" w:ascii="宋体" w:hAnsi="宋体"/>
          <w:color w:val="auto"/>
          <w:sz w:val="24"/>
          <w:szCs w:val="24"/>
          <w:highlight w:val="none"/>
        </w:rPr>
        <w:t>技术条件（工程建设标准）（另册）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第六章</w:t>
      </w:r>
      <w:r>
        <w:rPr>
          <w:rFonts w:ascii="宋体" w:hAnsi="宋体"/>
          <w:bCs/>
          <w:color w:val="auto"/>
          <w:sz w:val="24"/>
          <w:szCs w:val="24"/>
          <w:highlight w:val="none"/>
        </w:rPr>
        <w:t xml:space="preserve">  </w:t>
      </w:r>
      <w:r>
        <w:rPr>
          <w:rFonts w:hint="eastAsia" w:ascii="宋体" w:hAnsi="宋体"/>
          <w:color w:val="auto"/>
          <w:sz w:val="24"/>
          <w:szCs w:val="24"/>
          <w:highlight w:val="none"/>
        </w:rPr>
        <w:t>图纸及勘察资料（另册）</w:t>
      </w:r>
    </w:p>
    <w:p>
      <w:pPr>
        <w:spacing w:line="360" w:lineRule="auto"/>
        <w:ind w:left="-2" w:firstLine="480" w:firstLineChars="200"/>
        <w:rPr>
          <w:rFonts w:ascii="宋体" w:hAnsi="宋体"/>
          <w:color w:val="auto"/>
          <w:sz w:val="24"/>
          <w:szCs w:val="24"/>
          <w:highlight w:val="none"/>
        </w:rPr>
      </w:pPr>
      <w:r>
        <w:rPr>
          <w:rFonts w:hint="eastAsia" w:ascii="宋体" w:hAnsi="宋体"/>
          <w:bCs/>
          <w:color w:val="auto"/>
          <w:sz w:val="24"/>
          <w:szCs w:val="24"/>
          <w:highlight w:val="none"/>
        </w:rPr>
        <w:t>第七章</w:t>
      </w:r>
      <w:r>
        <w:rPr>
          <w:rFonts w:ascii="宋体" w:hAnsi="宋体"/>
          <w:bCs/>
          <w:color w:val="auto"/>
          <w:sz w:val="24"/>
          <w:szCs w:val="24"/>
          <w:highlight w:val="none"/>
        </w:rPr>
        <w:t xml:space="preserve">  </w:t>
      </w:r>
      <w:r>
        <w:rPr>
          <w:rFonts w:hint="eastAsia" w:ascii="宋体" w:hAnsi="宋体"/>
          <w:bCs/>
          <w:color w:val="auto"/>
          <w:sz w:val="24"/>
          <w:szCs w:val="24"/>
          <w:highlight w:val="none"/>
        </w:rPr>
        <w:t>招标</w:t>
      </w:r>
      <w:r>
        <w:rPr>
          <w:rFonts w:hint="eastAsia" w:ascii="宋体" w:hAnsi="宋体"/>
          <w:color w:val="auto"/>
          <w:sz w:val="24"/>
          <w:szCs w:val="24"/>
          <w:highlight w:val="none"/>
        </w:rPr>
        <w:t>工程量清单（另册）</w:t>
      </w:r>
    </w:p>
    <w:p>
      <w:pPr>
        <w:spacing w:line="360" w:lineRule="auto"/>
        <w:ind w:left="-2" w:firstLine="480" w:firstLineChars="200"/>
        <w:rPr>
          <w:rFonts w:ascii="宋体" w:hAnsi="宋体"/>
          <w:color w:val="auto"/>
          <w:sz w:val="24"/>
          <w:szCs w:val="24"/>
          <w:highlight w:val="none"/>
        </w:rPr>
      </w:pPr>
      <w:r>
        <w:rPr>
          <w:rFonts w:hint="eastAsia" w:ascii="宋体" w:hAnsi="宋体"/>
          <w:color w:val="auto"/>
          <w:sz w:val="24"/>
          <w:szCs w:val="24"/>
          <w:highlight w:val="none"/>
        </w:rPr>
        <w:t>第八章</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7.2 </w:t>
      </w:r>
      <w:r>
        <w:rPr>
          <w:rFonts w:hint="eastAsia" w:ascii="宋体" w:hAnsi="宋体"/>
          <w:color w:val="auto"/>
          <w:sz w:val="24"/>
          <w:szCs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7.3 </w:t>
      </w:r>
      <w:r>
        <w:rPr>
          <w:rFonts w:hint="eastAsia" w:ascii="宋体" w:hAnsi="宋体"/>
          <w:color w:val="auto"/>
          <w:sz w:val="24"/>
          <w:szCs w:val="24"/>
          <w:highlight w:val="none"/>
        </w:rPr>
        <w:t>投标人一旦中标，招标文件的内容对招标人和中标人双方均有约束力。</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8</w:t>
      </w:r>
      <w:r>
        <w:rPr>
          <w:rFonts w:hint="eastAsia" w:ascii="宋体" w:hAnsi="宋体"/>
          <w:b/>
          <w:bCs/>
          <w:color w:val="auto"/>
          <w:sz w:val="24"/>
          <w:szCs w:val="24"/>
          <w:highlight w:val="none"/>
        </w:rPr>
        <w:t>．招标答疑</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8.1 </w:t>
      </w:r>
      <w:r>
        <w:rPr>
          <w:rFonts w:hint="eastAsia" w:ascii="宋体" w:hAnsi="宋体"/>
          <w:color w:val="auto"/>
          <w:sz w:val="24"/>
          <w:szCs w:val="24"/>
          <w:highlight w:val="none"/>
        </w:rPr>
        <w:t>投标人若对招标文件（包括招标图纸）中有疑问，可以书面形式通过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交易平台提交给招标人或招标代理人，提交形式见本须知前附表第</w:t>
      </w:r>
      <w:r>
        <w:rPr>
          <w:rFonts w:ascii="宋体" w:hAnsi="宋体"/>
          <w:color w:val="auto"/>
          <w:sz w:val="24"/>
          <w:szCs w:val="24"/>
          <w:highlight w:val="none"/>
        </w:rPr>
        <w:t>16</w:t>
      </w:r>
      <w:r>
        <w:rPr>
          <w:rFonts w:hint="eastAsia" w:ascii="宋体" w:hAnsi="宋体"/>
          <w:color w:val="auto"/>
          <w:sz w:val="24"/>
          <w:szCs w:val="24"/>
          <w:highlight w:val="none"/>
        </w:rPr>
        <w:t>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8.2</w:t>
      </w:r>
      <w:r>
        <w:rPr>
          <w:rFonts w:hint="eastAsia" w:ascii="宋体" w:hAnsi="宋体"/>
          <w:color w:val="auto"/>
          <w:sz w:val="24"/>
          <w:szCs w:val="24"/>
          <w:highlight w:val="none"/>
        </w:rPr>
        <w:t>招标答疑会会议纪要将在提交投标文件截止时间15日前在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 “项目答疑纪要”专区公开发布。答疑纪要一经在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交易平台发布，视作已发放给所有投标人。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8.3</w:t>
      </w:r>
      <w:r>
        <w:rPr>
          <w:rFonts w:hint="eastAsia" w:ascii="宋体" w:hAnsi="宋体"/>
          <w:color w:val="auto"/>
          <w:sz w:val="24"/>
          <w:szCs w:val="24"/>
          <w:highlight w:val="none"/>
        </w:rPr>
        <w:t>答疑会会议纪要为招标文件的一部分。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8.4</w:t>
      </w:r>
      <w:r>
        <w:rPr>
          <w:rFonts w:hint="eastAsia" w:ascii="宋体" w:hAnsi="宋体"/>
          <w:color w:val="auto"/>
          <w:sz w:val="24"/>
          <w:szCs w:val="24"/>
          <w:highlight w:val="none"/>
        </w:rPr>
        <w:t>若招标答疑会会议纪要与招标文件有矛盾，以答疑会议纪要最后发出的书面形式的文件为准。</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9.</w:t>
      </w:r>
      <w:r>
        <w:rPr>
          <w:rFonts w:hint="eastAsia" w:ascii="宋体" w:hAnsi="宋体"/>
          <w:b/>
          <w:bCs/>
          <w:color w:val="auto"/>
          <w:sz w:val="24"/>
          <w:szCs w:val="24"/>
          <w:highlight w:val="none"/>
        </w:rPr>
        <w:t>招标文件的澄清与修改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9.1</w:t>
      </w:r>
      <w:r>
        <w:rPr>
          <w:rFonts w:hint="eastAsia" w:ascii="宋体" w:hAnsi="宋体"/>
          <w:color w:val="auto"/>
          <w:sz w:val="24"/>
          <w:szCs w:val="24"/>
          <w:highlight w:val="none"/>
        </w:rPr>
        <w:t>招标文件发出后</w:t>
      </w:r>
      <w:r>
        <w:rPr>
          <w:rFonts w:ascii="宋体" w:hAnsi="宋体"/>
          <w:color w:val="auto"/>
          <w:sz w:val="24"/>
          <w:szCs w:val="24"/>
          <w:highlight w:val="none"/>
        </w:rPr>
        <w:t>,</w:t>
      </w:r>
      <w:r>
        <w:rPr>
          <w:rFonts w:hint="eastAsia" w:ascii="宋体" w:hAnsi="宋体"/>
          <w:color w:val="auto"/>
          <w:sz w:val="24"/>
          <w:szCs w:val="24"/>
          <w:highlight w:val="none"/>
        </w:rPr>
        <w:t>在提交投标文件截止时间15日前，招标人可对招标文件进行必要的澄清或修改。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9.2</w:t>
      </w:r>
      <w:r>
        <w:rPr>
          <w:rFonts w:hint="eastAsia" w:ascii="宋体" w:hAnsi="宋体"/>
          <w:color w:val="auto"/>
          <w:sz w:val="24"/>
          <w:szCs w:val="24"/>
          <w:highlight w:val="none"/>
        </w:rPr>
        <w:t>招标文件的澄清或修改将在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交易平台“项目答疑纪要”专区公开发布。答疑纪要一经在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交易平台发布，视作已发放给所有投标人，以</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交易平台上网发布时间作为送达时间。</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招标文件的修改内容为招标文件的组成部分。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9.4</w:t>
      </w:r>
      <w:r>
        <w:rPr>
          <w:rFonts w:hint="eastAsia" w:ascii="宋体" w:hAnsi="宋体"/>
          <w:color w:val="auto"/>
          <w:sz w:val="24"/>
          <w:szCs w:val="24"/>
          <w:highlight w:val="none"/>
        </w:rPr>
        <w:t>招标文件的澄清或修改均以书面形式明确的内容为准。当招标文件的澄清、修改、补充等在同一内容的表述不一致时，以最后发出的书面形式的文件为准。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9.5</w:t>
      </w:r>
      <w:r>
        <w:rPr>
          <w:rFonts w:hint="eastAsia" w:ascii="宋体" w:hAnsi="宋体"/>
          <w:color w:val="auto"/>
          <w:sz w:val="24"/>
          <w:szCs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6" w:name="_Toc2272551"/>
      <w:bookmarkStart w:id="17" w:name="_Toc58838573"/>
      <w:bookmarkStart w:id="18" w:name="_Toc1289"/>
      <w:r>
        <w:rPr>
          <w:rFonts w:hint="eastAsia" w:ascii="宋体" w:hAnsi="宋体" w:cs="宋体"/>
          <w:color w:val="auto"/>
          <w:kern w:val="0"/>
          <w:sz w:val="24"/>
          <w:szCs w:val="24"/>
          <w:highlight w:val="none"/>
        </w:rPr>
        <w:t>（三）投标文件的编制</w:t>
      </w:r>
      <w:bookmarkEnd w:id="16"/>
      <w:bookmarkEnd w:id="17"/>
      <w:bookmarkEnd w:id="18"/>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10</w:t>
      </w:r>
      <w:r>
        <w:rPr>
          <w:rFonts w:hint="eastAsia" w:ascii="宋体" w:hAnsi="宋体"/>
          <w:b/>
          <w:bCs/>
          <w:color w:val="auto"/>
          <w:sz w:val="24"/>
          <w:szCs w:val="24"/>
          <w:highlight w:val="none"/>
        </w:rPr>
        <w:t>．投标文件的语言及度量衡单位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投标文件和与投标有关的所有文件均应使用中文。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10.2 </w:t>
      </w:r>
      <w:r>
        <w:rPr>
          <w:rFonts w:hint="eastAsia" w:ascii="宋体" w:hAnsi="宋体"/>
          <w:color w:val="auto"/>
          <w:sz w:val="24"/>
          <w:szCs w:val="24"/>
          <w:highlight w:val="none"/>
        </w:rPr>
        <w:t>除工程规范另有规定外，投标文件使用的度量衡单位，均采用中华人民共和国法定计量单位。</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11</w:t>
      </w:r>
      <w:r>
        <w:rPr>
          <w:rFonts w:hint="eastAsia" w:ascii="宋体" w:hAnsi="宋体"/>
          <w:b/>
          <w:bCs/>
          <w:color w:val="auto"/>
          <w:sz w:val="24"/>
          <w:szCs w:val="24"/>
          <w:highlight w:val="none"/>
        </w:rPr>
        <w:t>．投标文件的组成</w:t>
      </w:r>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投标文件由技术部分（含资格审查文件）和经济部分二部分投标文件组成</w:t>
      </w:r>
      <w:r>
        <w:rPr>
          <w:rFonts w:hint="eastAsia" w:ascii="宋体" w:hAnsi="宋体"/>
          <w:b/>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11.2</w:t>
      </w:r>
      <w:r>
        <w:rPr>
          <w:rFonts w:hint="eastAsia" w:ascii="宋体" w:hAnsi="宋体"/>
          <w:bCs/>
          <w:color w:val="auto"/>
          <w:sz w:val="24"/>
          <w:szCs w:val="24"/>
          <w:highlight w:val="none"/>
        </w:rPr>
        <w:t>投标文件技术标部分主要包括下列内容</w:t>
      </w:r>
      <w:r>
        <w:rPr>
          <w:rFonts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11.2.1 技术投标文件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11.2.2 资格审查文件：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（1）投标人声明；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（2）法定代表人证明书、法定代表人签字或盖章的本投标文件授权委托证明书；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（3）企业营业执照（取自平台内上传件）；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（4）企业资质证书（取自平台内上传件）；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（8）拟委托技术负责人的相关证书、资料（具体要求由招标人明确）</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（9）拟委派项目负责人的建造师注册证书（取自平台内上传件）；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（11）专职安全员须具有在有效期内的安全考核合格证书（C类）或建筑施工企业专职安全生产管理人员安全生产考核合格证书（取自平台内上传件）；</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（12）用于资格审查的业绩（设置业绩要求时选择此项，投标人</w:t>
      </w:r>
      <w:r>
        <w:rPr>
          <w:rFonts w:hint="eastAsia" w:ascii="宋体" w:hAnsi="宋体"/>
          <w:color w:val="auto"/>
          <w:sz w:val="24"/>
          <w:szCs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（14）列明主办单位的联合体工作协议（采用联合体投标时需递交，投标人拟任本工程项目负责人、专职安全员应为联合体主办方信用档案中的在册人员，联合体工作协议应明确约定各方拟承担的工作和责任）；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11.2.3</w:t>
      </w:r>
      <w:r>
        <w:rPr>
          <w:rFonts w:hint="eastAsia" w:ascii="宋体" w:hAnsi="宋体"/>
          <w:color w:val="auto"/>
          <w:sz w:val="24"/>
          <w:szCs w:val="24"/>
          <w:highlight w:val="none"/>
        </w:rPr>
        <w:t>项目管理机构配备。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）投标人应列出该项目工程的施工组织机构构成和画出机构框架图及其负责人；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）其他辅助说明资料。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11.2.4</w:t>
      </w:r>
      <w:r>
        <w:rPr>
          <w:rFonts w:hint="eastAsia" w:ascii="宋体" w:hAnsi="宋体"/>
          <w:color w:val="auto"/>
          <w:sz w:val="24"/>
          <w:szCs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11.2.5</w:t>
      </w:r>
      <w:r>
        <w:rPr>
          <w:rFonts w:hint="eastAsia" w:ascii="宋体" w:hAnsi="宋体"/>
          <w:color w:val="auto"/>
          <w:sz w:val="24"/>
          <w:szCs w:val="24"/>
          <w:highlight w:val="none"/>
        </w:rPr>
        <w:t>施工组织设计或施工方案。</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11.2.</w:t>
      </w:r>
      <w:r>
        <w:rPr>
          <w:rFonts w:hint="eastAsia" w:ascii="宋体" w:hAnsi="宋体"/>
          <w:color w:val="auto"/>
          <w:sz w:val="24"/>
          <w:szCs w:val="24"/>
          <w:highlight w:val="none"/>
        </w:rPr>
        <w:t>6按照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填写的《参与编制技术标投标文件人员名单》。</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 xml:space="preserve">11.3 </w:t>
      </w:r>
      <w:r>
        <w:rPr>
          <w:rFonts w:hint="eastAsia" w:ascii="宋体" w:hAnsi="宋体"/>
          <w:bCs/>
          <w:color w:val="auto"/>
          <w:sz w:val="24"/>
          <w:szCs w:val="24"/>
          <w:highlight w:val="none"/>
        </w:rPr>
        <w:t>经济部分投标文件主要包括下列内容：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11.3.1 </w:t>
      </w:r>
      <w:r>
        <w:rPr>
          <w:rFonts w:hint="eastAsia" w:ascii="宋体" w:hAnsi="宋体"/>
          <w:color w:val="auto"/>
          <w:sz w:val="24"/>
          <w:szCs w:val="24"/>
          <w:highlight w:val="none"/>
        </w:rPr>
        <w:t>经济投标文件</w:t>
      </w:r>
      <w:r>
        <w:rPr>
          <w:rFonts w:ascii="宋体" w:hAnsi="宋体"/>
          <w:color w:val="auto"/>
          <w:sz w:val="24"/>
          <w:szCs w:val="24"/>
          <w:highlight w:val="none"/>
        </w:rPr>
        <w:t>(</w:t>
      </w:r>
      <w:r>
        <w:rPr>
          <w:rFonts w:hint="eastAsia" w:ascii="宋体" w:hAnsi="宋体"/>
          <w:color w:val="auto"/>
          <w:sz w:val="24"/>
          <w:szCs w:val="24"/>
          <w:highlight w:val="none"/>
        </w:rPr>
        <w:t>按招标文件的要求填写</w:t>
      </w:r>
      <w:r>
        <w:rPr>
          <w:rFonts w:ascii="宋体" w:hAnsi="宋体"/>
          <w:color w:val="auto"/>
          <w:sz w:val="24"/>
          <w:szCs w:val="24"/>
          <w:highlight w:val="none"/>
        </w:rPr>
        <w:t>)</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11.3.2</w:t>
      </w:r>
      <w:r>
        <w:rPr>
          <w:rFonts w:hint="eastAsia" w:ascii="宋体" w:hAnsi="宋体"/>
          <w:color w:val="auto"/>
          <w:sz w:val="24"/>
          <w:szCs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rFonts w:ascii="宋体" w:hAnsi="宋体"/>
          <w:color w:val="auto"/>
          <w:sz w:val="24"/>
          <w:szCs w:val="24"/>
          <w:highlight w:val="none"/>
        </w:rPr>
        <w:t xml:space="preserve"> </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564" w:firstLineChars="235"/>
        <w:rPr>
          <w:rFonts w:ascii="宋体" w:hAnsi="宋体"/>
          <w:color w:val="auto"/>
          <w:sz w:val="24"/>
          <w:szCs w:val="24"/>
          <w:highlight w:val="none"/>
        </w:rPr>
      </w:pPr>
      <w:r>
        <w:rPr>
          <w:rFonts w:hint="eastAsia" w:ascii="宋体" w:hAnsi="宋体"/>
          <w:color w:val="auto"/>
          <w:sz w:val="24"/>
          <w:szCs w:val="24"/>
          <w:highlight w:val="none"/>
        </w:rPr>
        <w:t>（17）人工、主要材料和设备一览表</w:t>
      </w:r>
    </w:p>
    <w:p>
      <w:pPr>
        <w:tabs>
          <w:tab w:val="left" w:pos="1125"/>
        </w:tabs>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11.3.</w:t>
      </w:r>
      <w:r>
        <w:rPr>
          <w:rFonts w:hint="eastAsia" w:ascii="宋体" w:hAnsi="宋体"/>
          <w:color w:val="auto"/>
          <w:sz w:val="24"/>
          <w:szCs w:val="24"/>
          <w:highlight w:val="none"/>
        </w:rPr>
        <w:t>3按照</w:t>
      </w:r>
      <w:r>
        <w:rPr>
          <w:rFonts w:hint="eastAsia" w:ascii="宋体" w:hAnsi="宋体"/>
          <w:bCs/>
          <w:color w:val="auto"/>
          <w:sz w:val="24"/>
          <w:szCs w:val="24"/>
          <w:highlight w:val="none"/>
        </w:rPr>
        <w:t>招标文件要求</w:t>
      </w:r>
      <w:r>
        <w:rPr>
          <w:rFonts w:hint="eastAsia" w:ascii="宋体" w:hAnsi="宋体"/>
          <w:color w:val="auto"/>
          <w:sz w:val="24"/>
          <w:szCs w:val="24"/>
          <w:highlight w:val="none"/>
        </w:rPr>
        <w:t>填写的《参与编制经济标投标文件人员名单》。</w:t>
      </w:r>
    </w:p>
    <w:p>
      <w:pPr>
        <w:tabs>
          <w:tab w:val="left" w:pos="112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12</w:t>
      </w:r>
      <w:r>
        <w:rPr>
          <w:rFonts w:hint="eastAsia" w:ascii="宋体" w:hAnsi="宋体"/>
          <w:b/>
          <w:bCs/>
          <w:color w:val="auto"/>
          <w:sz w:val="24"/>
          <w:szCs w:val="24"/>
          <w:highlight w:val="none"/>
        </w:rPr>
        <w:t>．投标文件格式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rPr>
        <w:t>投标文件包括本须知第</w:t>
      </w:r>
      <w:r>
        <w:rPr>
          <w:rFonts w:ascii="宋体" w:hAnsi="宋体"/>
          <w:color w:val="auto"/>
          <w:sz w:val="24"/>
          <w:szCs w:val="24"/>
          <w:highlight w:val="none"/>
        </w:rPr>
        <w:t>11</w:t>
      </w:r>
      <w:r>
        <w:rPr>
          <w:rFonts w:hint="eastAsia" w:ascii="宋体" w:hAnsi="宋体"/>
          <w:color w:val="auto"/>
          <w:sz w:val="24"/>
          <w:szCs w:val="24"/>
          <w:highlight w:val="none"/>
        </w:rPr>
        <w:t>条中规定的内容，投标人提交的投标文件应当使用招标文件所提供的投标文件全部格式（表格可以按同样格式扩展）。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szCs w:val="24"/>
          <w:highlight w:val="none"/>
        </w:rPr>
        <w:t>照交易平台关于全流程电子化项目的相关指南进行编制，详见：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13</w:t>
      </w:r>
      <w:r>
        <w:rPr>
          <w:rFonts w:hint="eastAsia" w:ascii="宋体" w:hAnsi="宋体"/>
          <w:b/>
          <w:bCs/>
          <w:color w:val="auto"/>
          <w:sz w:val="24"/>
          <w:szCs w:val="24"/>
          <w:highlight w:val="none"/>
        </w:rPr>
        <w:t>．投标报价及造价承包和变更结算方式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本工程的投标报价采用投标须知前附表第</w:t>
      </w:r>
      <w:r>
        <w:rPr>
          <w:rFonts w:ascii="宋体" w:hAnsi="宋体"/>
          <w:color w:val="auto"/>
          <w:sz w:val="24"/>
          <w:szCs w:val="24"/>
          <w:highlight w:val="none"/>
        </w:rPr>
        <w:t>12</w:t>
      </w:r>
      <w:r>
        <w:rPr>
          <w:rFonts w:hint="eastAsia" w:ascii="宋体" w:hAnsi="宋体"/>
          <w:color w:val="auto"/>
          <w:sz w:val="24"/>
          <w:szCs w:val="24"/>
          <w:highlight w:val="none"/>
        </w:rPr>
        <w:t>项所规定的方式。投标报价（含单价及总价）精确到“分”。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13.2</w:t>
      </w:r>
      <w:r>
        <w:rPr>
          <w:rFonts w:hint="eastAsia" w:ascii="宋体" w:hAnsi="宋体"/>
          <w:color w:val="auto"/>
          <w:sz w:val="24"/>
          <w:szCs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13.3</w:t>
      </w:r>
      <w:r>
        <w:rPr>
          <w:rFonts w:hint="eastAsia" w:ascii="宋体" w:hAnsi="宋体"/>
          <w:color w:val="auto"/>
          <w:sz w:val="24"/>
          <w:szCs w:val="24"/>
          <w:highlight w:val="none"/>
        </w:rPr>
        <w:t>投标人的投标报价，应是按照投标须知前附表第</w:t>
      </w:r>
      <w:r>
        <w:rPr>
          <w:rFonts w:ascii="宋体" w:hAnsi="宋体"/>
          <w:color w:val="auto"/>
          <w:sz w:val="24"/>
          <w:szCs w:val="24"/>
          <w:highlight w:val="none"/>
        </w:rPr>
        <w:t>8</w:t>
      </w:r>
      <w:r>
        <w:rPr>
          <w:rFonts w:hint="eastAsia" w:ascii="宋体" w:hAnsi="宋体"/>
          <w:color w:val="auto"/>
          <w:sz w:val="24"/>
          <w:szCs w:val="24"/>
          <w:highlight w:val="none"/>
        </w:rPr>
        <w:t>项的工期要求，在投标须知前附表第</w:t>
      </w:r>
      <w:r>
        <w:rPr>
          <w:rFonts w:ascii="宋体" w:hAnsi="宋体"/>
          <w:color w:val="auto"/>
          <w:sz w:val="24"/>
          <w:szCs w:val="24"/>
          <w:highlight w:val="none"/>
        </w:rPr>
        <w:t>3</w:t>
      </w:r>
      <w:r>
        <w:rPr>
          <w:rFonts w:hint="eastAsia" w:ascii="宋体" w:hAnsi="宋体"/>
          <w:color w:val="auto"/>
          <w:sz w:val="24"/>
          <w:szCs w:val="24"/>
          <w:highlight w:val="none"/>
        </w:rPr>
        <w:t>项的建设地点，完成投标须知前附表第</w:t>
      </w:r>
      <w:r>
        <w:rPr>
          <w:rFonts w:ascii="宋体" w:hAnsi="宋体"/>
          <w:color w:val="auto"/>
          <w:sz w:val="24"/>
          <w:szCs w:val="24"/>
          <w:highlight w:val="none"/>
        </w:rPr>
        <w:t>7</w:t>
      </w:r>
      <w:r>
        <w:rPr>
          <w:rFonts w:hint="eastAsia" w:ascii="宋体" w:hAnsi="宋体"/>
          <w:color w:val="auto"/>
          <w:sz w:val="24"/>
          <w:szCs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13.4</w:t>
      </w:r>
      <w:r>
        <w:rPr>
          <w:rFonts w:hint="eastAsia" w:ascii="宋体" w:hAnsi="宋体"/>
          <w:color w:val="auto"/>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w:t>
      </w:r>
      <w:r>
        <w:rPr>
          <w:rFonts w:hint="eastAsia" w:ascii="宋体" w:hAnsi="宋体"/>
          <w:color w:val="auto"/>
          <w:sz w:val="24"/>
          <w:szCs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13.5.1</w:t>
      </w:r>
      <w:r>
        <w:rPr>
          <w:rFonts w:hint="eastAsia" w:ascii="宋体" w:hAnsi="宋体"/>
          <w:color w:val="auto"/>
          <w:sz w:val="24"/>
          <w:szCs w:val="24"/>
          <w:highlight w:val="none"/>
        </w:rPr>
        <w:t>中标的投标文件工程量清单中已有相同项目的适用综合单价，则沿用；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13.5.2</w:t>
      </w:r>
      <w:r>
        <w:rPr>
          <w:rFonts w:hint="eastAsia" w:ascii="宋体" w:hAnsi="宋体"/>
          <w:color w:val="auto"/>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13.5.3 </w:t>
      </w:r>
      <w:r>
        <w:rPr>
          <w:rFonts w:hint="eastAsia" w:ascii="宋体" w:hAnsi="宋体"/>
          <w:color w:val="auto"/>
          <w:sz w:val="24"/>
          <w:szCs w:val="24"/>
          <w:highlight w:val="none"/>
        </w:rPr>
        <w:t>中标的投标文件工程量清单中没有相同项目或类似项目的，如可套取相关定额，则以相关定额为基数下浮计算单价</w:t>
      </w:r>
      <w:r>
        <w:rPr>
          <w:rFonts w:ascii="宋体" w:hAnsi="宋体"/>
          <w:color w:val="auto"/>
          <w:sz w:val="24"/>
          <w:szCs w:val="24"/>
          <w:highlight w:val="none"/>
        </w:rPr>
        <w:t>,</w:t>
      </w:r>
      <w:r>
        <w:rPr>
          <w:rFonts w:hint="eastAsia" w:ascii="宋体" w:hAnsi="宋体"/>
          <w:color w:val="auto"/>
          <w:sz w:val="24"/>
          <w:szCs w:val="24"/>
          <w:highlight w:val="none"/>
        </w:rPr>
        <w:t>下浮率为中标价相对于最高投标限价的下浮率（下浮率</w:t>
      </w:r>
      <w:r>
        <w:rPr>
          <w:rFonts w:ascii="宋体" w:hAnsi="宋体"/>
          <w:color w:val="auto"/>
          <w:sz w:val="24"/>
          <w:szCs w:val="24"/>
          <w:highlight w:val="none"/>
        </w:rPr>
        <w:t>=(</w:t>
      </w:r>
      <w:r>
        <w:rPr>
          <w:rFonts w:hint="eastAsia" w:ascii="宋体" w:hAnsi="宋体"/>
          <w:color w:val="auto"/>
          <w:sz w:val="24"/>
          <w:szCs w:val="24"/>
          <w:highlight w:val="none"/>
        </w:rPr>
        <w:t>最高投标限价</w:t>
      </w:r>
      <w:r>
        <w:rPr>
          <w:rFonts w:ascii="宋体" w:hAnsi="宋体"/>
          <w:color w:val="auto"/>
          <w:sz w:val="24"/>
          <w:szCs w:val="24"/>
          <w:highlight w:val="none"/>
        </w:rPr>
        <w:t>-</w:t>
      </w:r>
      <w:r>
        <w:rPr>
          <w:rFonts w:hint="eastAsia" w:ascii="宋体" w:hAnsi="宋体"/>
          <w:color w:val="auto"/>
          <w:sz w:val="24"/>
          <w:szCs w:val="24"/>
          <w:highlight w:val="none"/>
        </w:rPr>
        <w:t>中标价</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13.5.4 </w:t>
      </w:r>
      <w:r>
        <w:rPr>
          <w:rFonts w:hint="eastAsia" w:ascii="宋体" w:hAnsi="宋体"/>
          <w:color w:val="auto"/>
          <w:sz w:val="24"/>
          <w:szCs w:val="24"/>
          <w:highlight w:val="none"/>
        </w:rPr>
        <w:t>如相关定额没有相应子目的，其计价方式由招标人在本招标文件第三章中另行规定。未规定的，中标后双方协商约定。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w:t>
      </w:r>
      <w:r>
        <w:rPr>
          <w:rFonts w:hint="eastAsia" w:ascii="宋体" w:hAnsi="宋体"/>
          <w:color w:val="auto"/>
          <w:sz w:val="24"/>
          <w:szCs w:val="24"/>
          <w:highlight w:val="none"/>
        </w:rPr>
        <w:t>暂列金额、暂估价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13.6.1</w:t>
      </w:r>
      <w:r>
        <w:rPr>
          <w:rFonts w:hint="eastAsia" w:ascii="宋体" w:hAnsi="宋体"/>
          <w:color w:val="auto"/>
          <w:sz w:val="24"/>
          <w:szCs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暂估价是指招标人在工程量清单中提供的用于支付必然发生但暂时不能确定价格的材料的单价以及专业工程的金额。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13.6.2</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13.6.3</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13.6.4</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szCs w:val="24"/>
          <w:highlight w:val="none"/>
        </w:rPr>
        <w:t>13.5</w:t>
      </w:r>
      <w:r>
        <w:rPr>
          <w:rFonts w:hint="eastAsia" w:ascii="宋体" w:hAnsi="宋体"/>
          <w:color w:val="auto"/>
          <w:sz w:val="24"/>
          <w:szCs w:val="24"/>
          <w:highlight w:val="none"/>
        </w:rPr>
        <w:t>款规定确定。</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13.6.5</w:t>
      </w:r>
      <w:r>
        <w:rPr>
          <w:rFonts w:hint="eastAsia" w:ascii="宋体" w:hAnsi="宋体"/>
          <w:color w:val="auto"/>
          <w:sz w:val="24"/>
          <w:szCs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13.6.6 </w:t>
      </w:r>
      <w:r>
        <w:rPr>
          <w:rFonts w:hint="eastAsia" w:ascii="宋体" w:hAnsi="宋体"/>
          <w:color w:val="auto"/>
          <w:sz w:val="24"/>
          <w:szCs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13.7</w:t>
      </w:r>
      <w:r>
        <w:rPr>
          <w:rFonts w:hint="eastAsia" w:ascii="宋体" w:hAnsi="宋体"/>
          <w:color w:val="auto"/>
          <w:sz w:val="24"/>
          <w:szCs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13.8</w:t>
      </w:r>
      <w:r>
        <w:rPr>
          <w:rFonts w:hint="eastAsia" w:ascii="宋体" w:hAnsi="宋体"/>
          <w:color w:val="auto"/>
          <w:sz w:val="24"/>
          <w:szCs w:val="24"/>
          <w:highlight w:val="none"/>
        </w:rPr>
        <w:t>属于承包人自行采购的主要材料、设备，招标人应当在招标文件中提出材料、设备的技术标准或者质量要求，或者提出不少于</w:t>
      </w:r>
      <w:r>
        <w:rPr>
          <w:rFonts w:ascii="宋体" w:hAnsi="宋体"/>
          <w:color w:val="auto"/>
          <w:sz w:val="24"/>
          <w:szCs w:val="24"/>
          <w:highlight w:val="none"/>
        </w:rPr>
        <w:t>3</w:t>
      </w:r>
      <w:r>
        <w:rPr>
          <w:rFonts w:hint="eastAsia" w:ascii="宋体" w:hAnsi="宋体"/>
          <w:color w:val="auto"/>
          <w:sz w:val="24"/>
          <w:szCs w:val="24"/>
          <w:highlight w:val="none"/>
        </w:rPr>
        <w:t>个同等档次品牌或分包商供投标人报价时选择</w:t>
      </w:r>
      <w:r>
        <w:rPr>
          <w:rFonts w:ascii="宋体" w:hAnsi="宋体"/>
          <w:color w:val="auto"/>
          <w:sz w:val="24"/>
          <w:szCs w:val="24"/>
          <w:highlight w:val="none"/>
        </w:rPr>
        <w:t>,</w:t>
      </w:r>
      <w:r>
        <w:rPr>
          <w:rFonts w:hint="eastAsia" w:ascii="宋体" w:hAnsi="宋体"/>
          <w:color w:val="auto"/>
          <w:sz w:val="24"/>
          <w:szCs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13.9</w:t>
      </w:r>
      <w:r>
        <w:rPr>
          <w:rFonts w:hint="eastAsia" w:ascii="宋体" w:hAns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14</w:t>
      </w:r>
      <w:r>
        <w:rPr>
          <w:rFonts w:hint="eastAsia" w:ascii="宋体" w:hAnsi="宋体"/>
          <w:b/>
          <w:bCs/>
          <w:color w:val="auto"/>
          <w:sz w:val="24"/>
          <w:szCs w:val="24"/>
          <w:highlight w:val="none"/>
        </w:rPr>
        <w:t>．投标货币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14.1 </w:t>
      </w:r>
      <w:r>
        <w:rPr>
          <w:rFonts w:hint="eastAsia" w:ascii="宋体" w:hAnsi="宋体"/>
          <w:color w:val="auto"/>
          <w:sz w:val="24"/>
          <w:szCs w:val="24"/>
          <w:highlight w:val="none"/>
        </w:rPr>
        <w:t>本工程投标报价采用的币种为人民币。</w:t>
      </w:r>
    </w:p>
    <w:p>
      <w:pPr>
        <w:spacing w:line="360" w:lineRule="auto"/>
        <w:ind w:firstLine="482" w:firstLineChars="200"/>
        <w:rPr>
          <w:rFonts w:ascii="宋体" w:hAnsi="宋体"/>
          <w:color w:val="auto"/>
          <w:sz w:val="24"/>
          <w:szCs w:val="24"/>
          <w:highlight w:val="none"/>
        </w:rPr>
      </w:pPr>
      <w:r>
        <w:rPr>
          <w:rFonts w:ascii="宋体" w:hAnsi="宋体"/>
          <w:b/>
          <w:bCs/>
          <w:color w:val="auto"/>
          <w:sz w:val="24"/>
          <w:szCs w:val="24"/>
          <w:highlight w:val="none"/>
        </w:rPr>
        <w:t>15</w:t>
      </w:r>
      <w:r>
        <w:rPr>
          <w:rFonts w:hint="eastAsia" w:ascii="宋体" w:hAnsi="宋体"/>
          <w:b/>
          <w:bCs/>
          <w:color w:val="auto"/>
          <w:sz w:val="24"/>
          <w:szCs w:val="24"/>
          <w:highlight w:val="none"/>
        </w:rPr>
        <w:t>．投标有效期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投标有效期见投标须知前附表第</w:t>
      </w:r>
      <w:r>
        <w:rPr>
          <w:rFonts w:ascii="宋体" w:hAnsi="宋体"/>
          <w:color w:val="auto"/>
          <w:sz w:val="24"/>
          <w:szCs w:val="24"/>
          <w:highlight w:val="none"/>
        </w:rPr>
        <w:t>13</w:t>
      </w:r>
      <w:r>
        <w:rPr>
          <w:rFonts w:hint="eastAsia" w:ascii="宋体" w:hAnsi="宋体"/>
          <w:color w:val="auto"/>
          <w:sz w:val="24"/>
          <w:szCs w:val="24"/>
          <w:highlight w:val="none"/>
        </w:rPr>
        <w:t>项所规定的期限，在此期限内，凡符合本招标文件要求的投标文件均保持有效。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szCs w:val="24"/>
          <w:highlight w:val="none"/>
        </w:rPr>
        <w:t>16</w:t>
      </w:r>
      <w:r>
        <w:rPr>
          <w:rFonts w:hint="eastAsia" w:ascii="宋体" w:hAnsi="宋体"/>
          <w:color w:val="auto"/>
          <w:sz w:val="24"/>
          <w:szCs w:val="24"/>
          <w:highlight w:val="none"/>
        </w:rPr>
        <w:t>条关于投标保证金的退还与不予退还的规定仍然适用。</w:t>
      </w:r>
    </w:p>
    <w:p>
      <w:pPr>
        <w:pStyle w:val="5"/>
        <w:spacing w:after="0"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16．投标保证金</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16.1投标人应按投标须知前附表第14项所述金额和时间递交投标保证金。招标人应当允许投标人自主选择现金、银行保函、保证保险、专业工程担保公司担保等方式缴纳投标保证金。</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16.1.1采用现金或者支票形式提交的，投标保证金须从投标人的银行基本账户转出。</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16.1.3采用电子形式的保函、担保或保证保险提交投标保证金的，应在招标文件中明确电子递交途径。</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16.3投标保证金应依据法律法规的相关规定退还。</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16.4如有下列情况之一的，招标人可以不予退还投标保证金（是否退还投标保证金由招标人在招标文件中规定）：</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16.4.1因投标人原因造成投标文件未解密的；</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16.4.2投标人在投标有效期内撤销投标文件；</w:t>
      </w:r>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16.4.3中标人未能在规定期限内按要求提交履约担保；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16.4.4中标人未能在规定期限内签署合同协议。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16.5.3按招标文件要求免于提供投标保证金的投标人存在16.4条款所列情形的。</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highlight w:val="none"/>
        </w:rPr>
        <w:t>注：16.5.3款由招标人二选一，需在招标文件中明确。</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17</w:t>
      </w:r>
      <w:r>
        <w:rPr>
          <w:rFonts w:hint="eastAsia" w:ascii="宋体" w:hAnsi="宋体"/>
          <w:b/>
          <w:bCs/>
          <w:color w:val="auto"/>
          <w:sz w:val="24"/>
          <w:szCs w:val="24"/>
          <w:highlight w:val="none"/>
        </w:rPr>
        <w:t>．投标文件的签署</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17.1</w:t>
      </w:r>
      <w:r>
        <w:rPr>
          <w:rFonts w:hint="eastAsia" w:ascii="宋体" w:hAnsi="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19" w:name="_Toc27365"/>
      <w:bookmarkStart w:id="20" w:name="_Toc2272552"/>
      <w:bookmarkStart w:id="21" w:name="_Toc58838574"/>
      <w:r>
        <w:rPr>
          <w:rFonts w:hint="eastAsia" w:ascii="宋体" w:hAnsi="宋体" w:cs="宋体"/>
          <w:color w:val="auto"/>
          <w:kern w:val="0"/>
          <w:sz w:val="24"/>
          <w:szCs w:val="24"/>
          <w:highlight w:val="none"/>
        </w:rPr>
        <w:t>（四）投标文件的提交</w:t>
      </w:r>
      <w:bookmarkEnd w:id="19"/>
      <w:bookmarkEnd w:id="20"/>
      <w:bookmarkEnd w:id="21"/>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18</w:t>
      </w:r>
      <w:r>
        <w:rPr>
          <w:rFonts w:hint="eastAsia" w:ascii="宋体" w:hAnsi="宋体"/>
          <w:b/>
          <w:bCs/>
          <w:color w:val="auto"/>
          <w:sz w:val="24"/>
          <w:szCs w:val="24"/>
          <w:highlight w:val="none"/>
        </w:rPr>
        <w:t>．</w:t>
      </w:r>
      <w:r>
        <w:rPr>
          <w:rFonts w:hint="eastAsia" w:ascii="宋体" w:hAnsi="宋体"/>
          <w:b/>
          <w:color w:val="auto"/>
          <w:sz w:val="24"/>
          <w:szCs w:val="24"/>
          <w:highlight w:val="none"/>
        </w:rPr>
        <w:t>投标文件的密封和标记</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.1</w:t>
      </w:r>
      <w:r>
        <w:rPr>
          <w:rFonts w:hint="eastAsia" w:ascii="宋体" w:hAnsi="宋体"/>
          <w:bCs/>
          <w:color w:val="auto"/>
          <w:sz w:val="24"/>
          <w:szCs w:val="24"/>
          <w:highlight w:val="none"/>
        </w:rPr>
        <w:t>递交的电子投标文件（不含备用光盘）必须进行加密。按照交易平台关于</w:t>
      </w:r>
      <w:r>
        <w:rPr>
          <w:rFonts w:hint="eastAsia" w:ascii="宋体" w:hAnsi="宋体"/>
          <w:color w:val="auto"/>
          <w:sz w:val="24"/>
          <w:szCs w:val="24"/>
          <w:highlight w:val="none"/>
        </w:rPr>
        <w:t>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8</w:t>
      </w:r>
      <w:r>
        <w:rPr>
          <w:rFonts w:ascii="宋体" w:hAnsi="宋体"/>
          <w:bCs/>
          <w:color w:val="auto"/>
          <w:sz w:val="24"/>
          <w:szCs w:val="24"/>
          <w:highlight w:val="none"/>
        </w:rPr>
        <w:t xml:space="preserve">.2 </w:t>
      </w:r>
      <w:r>
        <w:rPr>
          <w:rFonts w:hint="eastAsia" w:ascii="宋体" w:hAnsi="宋体"/>
          <w:bCs/>
          <w:color w:val="auto"/>
          <w:sz w:val="24"/>
          <w:szCs w:val="24"/>
          <w:highlight w:val="none"/>
        </w:rPr>
        <w:t>未按要求加密的投标文件，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bCs/>
          <w:color w:val="auto"/>
          <w:sz w:val="24"/>
          <w:szCs w:val="24"/>
          <w:highlight w:val="none"/>
        </w:rPr>
        <w:t>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19</w:t>
      </w:r>
      <w:r>
        <w:rPr>
          <w:rFonts w:hint="eastAsia" w:ascii="宋体" w:hAnsi="宋体"/>
          <w:b/>
          <w:bCs/>
          <w:color w:val="auto"/>
          <w:sz w:val="24"/>
          <w:szCs w:val="24"/>
          <w:highlight w:val="none"/>
        </w:rPr>
        <w:t>．投标文件的递交和接收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1投标人通过</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交易平台递交电子投标文件。</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2投标人完成电子</w:t>
      </w:r>
      <w:r>
        <w:rPr>
          <w:rFonts w:hint="eastAsia" w:ascii="宋体" w:hAnsi="宋体"/>
          <w:color w:val="auto"/>
          <w:sz w:val="24"/>
          <w:szCs w:val="24"/>
          <w:highlight w:val="none"/>
        </w:rPr>
        <w:t>投标文件</w:t>
      </w:r>
      <w:r>
        <w:rPr>
          <w:rFonts w:hint="eastAsia" w:ascii="宋体" w:hAnsi="宋体"/>
          <w:bCs/>
          <w:color w:val="auto"/>
          <w:sz w:val="24"/>
          <w:szCs w:val="24"/>
          <w:highlight w:val="none"/>
        </w:rPr>
        <w:t>上传后，</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1</w:t>
      </w:r>
      <w:r>
        <w:rPr>
          <w:rFonts w:hint="eastAsia" w:ascii="宋体" w:hAnsi="宋体"/>
          <w:bCs/>
          <w:color w:val="auto"/>
          <w:sz w:val="24"/>
          <w:szCs w:val="24"/>
          <w:highlight w:val="none"/>
        </w:rPr>
        <w:t>9</w:t>
      </w:r>
      <w:r>
        <w:rPr>
          <w:rFonts w:ascii="宋体" w:hAnsi="宋体"/>
          <w:bCs/>
          <w:color w:val="auto"/>
          <w:sz w:val="24"/>
          <w:szCs w:val="24"/>
          <w:highlight w:val="none"/>
        </w:rPr>
        <w:t>.</w:t>
      </w:r>
      <w:r>
        <w:rPr>
          <w:rFonts w:hint="eastAsia" w:ascii="宋体" w:hAnsi="宋体"/>
          <w:bCs/>
          <w:color w:val="auto"/>
          <w:sz w:val="24"/>
          <w:szCs w:val="24"/>
          <w:highlight w:val="none"/>
        </w:rPr>
        <w:t>3逾期送达的电子投标文件，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交易平台将予以拒收。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19.</w:t>
      </w:r>
      <w:r>
        <w:rPr>
          <w:rFonts w:hint="eastAsia" w:ascii="宋体" w:hAnsi="宋体"/>
          <w:color w:val="auto"/>
          <w:sz w:val="24"/>
          <w:szCs w:val="24"/>
          <w:highlight w:val="none"/>
        </w:rPr>
        <w:t>5如技术标和经济标先后分别开启，</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交易平台将按招标文件规定的时间分别开启技术标和经济标。</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20</w:t>
      </w:r>
      <w:r>
        <w:rPr>
          <w:rFonts w:hint="eastAsia" w:ascii="宋体" w:hAnsi="宋体"/>
          <w:b/>
          <w:bCs/>
          <w:color w:val="auto"/>
          <w:sz w:val="24"/>
          <w:szCs w:val="24"/>
          <w:highlight w:val="none"/>
        </w:rPr>
        <w:t>．投标文件提交的截止时间</w:t>
      </w:r>
    </w:p>
    <w:p>
      <w:pPr>
        <w:spacing w:line="360" w:lineRule="auto"/>
        <w:ind w:firstLine="480" w:firstLineChars="200"/>
        <w:rPr>
          <w:rFonts w:ascii="宋体" w:hAnsi="宋体"/>
          <w:b/>
          <w:bCs/>
          <w:color w:val="auto"/>
          <w:sz w:val="24"/>
          <w:szCs w:val="24"/>
          <w:highlight w:val="none"/>
        </w:rPr>
      </w:pPr>
      <w:r>
        <w:rPr>
          <w:rFonts w:ascii="宋体" w:hAnsi="宋体"/>
          <w:color w:val="auto"/>
          <w:sz w:val="24"/>
          <w:szCs w:val="24"/>
          <w:highlight w:val="none"/>
        </w:rPr>
        <w:t>20.1</w:t>
      </w:r>
      <w:r>
        <w:rPr>
          <w:rFonts w:hint="eastAsia" w:ascii="宋体" w:hAnsi="宋体"/>
          <w:color w:val="auto"/>
          <w:sz w:val="24"/>
          <w:szCs w:val="24"/>
          <w:highlight w:val="none"/>
        </w:rPr>
        <w:t>投标人应在投标须知前附表第17项所述的时间前提交投标文件。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20.2</w:t>
      </w:r>
      <w:r>
        <w:rPr>
          <w:rFonts w:hint="eastAsia" w:ascii="宋体" w:hAnsi="宋体"/>
          <w:color w:val="auto"/>
          <w:sz w:val="24"/>
          <w:szCs w:val="24"/>
          <w:highlight w:val="none"/>
        </w:rPr>
        <w:t>招标人可按本须知第</w:t>
      </w:r>
      <w:r>
        <w:rPr>
          <w:rFonts w:ascii="宋体" w:hAnsi="宋体"/>
          <w:color w:val="auto"/>
          <w:sz w:val="24"/>
          <w:szCs w:val="24"/>
          <w:highlight w:val="none"/>
        </w:rPr>
        <w:t>9</w:t>
      </w:r>
      <w:r>
        <w:rPr>
          <w:rFonts w:hint="eastAsia" w:ascii="宋体" w:hAnsi="宋体"/>
          <w:color w:val="auto"/>
          <w:sz w:val="24"/>
          <w:szCs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20.3 </w:t>
      </w:r>
      <w:r>
        <w:rPr>
          <w:rFonts w:hint="eastAsia" w:ascii="宋体" w:hAnsi="宋体"/>
          <w:color w:val="auto"/>
          <w:sz w:val="24"/>
          <w:szCs w:val="24"/>
          <w:highlight w:val="none"/>
        </w:rPr>
        <w:t>到投标截止时间止，招标人收到的投标文件少于3家的，招标人将重新组织招标（当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21</w:t>
      </w:r>
      <w:r>
        <w:rPr>
          <w:rFonts w:hint="eastAsia" w:ascii="宋体" w:hAnsi="宋体"/>
          <w:b/>
          <w:bCs/>
          <w:color w:val="auto"/>
          <w:sz w:val="24"/>
          <w:szCs w:val="24"/>
          <w:highlight w:val="none"/>
        </w:rPr>
        <w:t>．迟交的投标文件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21.1 </w:t>
      </w:r>
      <w:r>
        <w:rPr>
          <w:rFonts w:hint="eastAsia" w:ascii="宋体" w:hAnsi="宋体"/>
          <w:color w:val="auto"/>
          <w:sz w:val="24"/>
          <w:szCs w:val="24"/>
          <w:highlight w:val="none"/>
        </w:rPr>
        <w:t>本须知前附表第</w:t>
      </w:r>
      <w:r>
        <w:rPr>
          <w:rFonts w:ascii="宋体" w:hAnsi="宋体"/>
          <w:color w:val="auto"/>
          <w:sz w:val="24"/>
          <w:szCs w:val="24"/>
          <w:highlight w:val="none"/>
        </w:rPr>
        <w:t>1</w:t>
      </w:r>
      <w:r>
        <w:rPr>
          <w:rFonts w:hint="eastAsia" w:ascii="宋体" w:hAnsi="宋体"/>
          <w:color w:val="auto"/>
          <w:sz w:val="24"/>
          <w:szCs w:val="24"/>
          <w:highlight w:val="none"/>
        </w:rPr>
        <w:t>7项规定的投标截止时间</w:t>
      </w:r>
      <w:r>
        <w:rPr>
          <w:rFonts w:hint="eastAsia" w:ascii="宋体" w:hAnsi="宋体"/>
          <w:bCs/>
          <w:color w:val="auto"/>
          <w:sz w:val="24"/>
          <w:szCs w:val="24"/>
          <w:highlight w:val="none"/>
        </w:rPr>
        <w:t>后送达的电子投标文件，</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交易平台将予以拒收。</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22</w:t>
      </w:r>
      <w:r>
        <w:rPr>
          <w:rFonts w:hint="eastAsia" w:ascii="宋体" w:hAnsi="宋体"/>
          <w:b/>
          <w:bCs/>
          <w:color w:val="auto"/>
          <w:sz w:val="24"/>
          <w:szCs w:val="24"/>
          <w:highlight w:val="none"/>
        </w:rPr>
        <w:t>．投标文件的修改与撤回</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在规定的投标截止时间前，投标人可以修改或撤回已递交的投标文件，但应以书面形式通知招标人。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22.2投标人修改或撤回已递交</w:t>
      </w:r>
      <w:r>
        <w:rPr>
          <w:rFonts w:hint="eastAsia" w:ascii="宋体" w:hAnsi="宋体"/>
          <w:color w:val="auto"/>
          <w:sz w:val="24"/>
          <w:szCs w:val="24"/>
          <w:highlight w:val="none"/>
        </w:rPr>
        <w:t>的</w:t>
      </w:r>
      <w:r>
        <w:rPr>
          <w:rFonts w:ascii="宋体" w:hAnsi="宋体"/>
          <w:color w:val="auto"/>
          <w:sz w:val="24"/>
          <w:szCs w:val="24"/>
          <w:highlight w:val="none"/>
        </w:rPr>
        <w:t>投标文件</w:t>
      </w:r>
      <w:r>
        <w:rPr>
          <w:rFonts w:hint="eastAsia" w:ascii="宋体" w:hAnsi="宋体"/>
          <w:color w:val="auto"/>
          <w:sz w:val="24"/>
          <w:szCs w:val="24"/>
          <w:highlight w:val="none"/>
        </w:rPr>
        <w:t>，需在交易平台发出修改或撤回</w:t>
      </w:r>
      <w:r>
        <w:rPr>
          <w:rFonts w:ascii="宋体" w:hAnsi="宋体"/>
          <w:color w:val="auto"/>
          <w:sz w:val="24"/>
          <w:szCs w:val="24"/>
          <w:highlight w:val="none"/>
        </w:rPr>
        <w:t>通知，</w:t>
      </w:r>
      <w:r>
        <w:rPr>
          <w:rFonts w:hint="eastAsia" w:ascii="宋体" w:hAnsi="宋体"/>
          <w:color w:val="auto"/>
          <w:sz w:val="24"/>
          <w:szCs w:val="24"/>
          <w:highlight w:val="none"/>
        </w:rPr>
        <w:t>并按</w:t>
      </w:r>
      <w:r>
        <w:rPr>
          <w:rFonts w:ascii="宋体" w:hAnsi="宋体"/>
          <w:color w:val="auto"/>
          <w:sz w:val="24"/>
          <w:szCs w:val="24"/>
          <w:highlight w:val="none"/>
        </w:rPr>
        <w:t>要求加盖电子印章。</w:t>
      </w:r>
      <w:r>
        <w:rPr>
          <w:rFonts w:ascii="宋体" w:hAnsi="宋体"/>
          <w:bCs/>
          <w:iCs/>
          <w:color w:val="auto"/>
          <w:sz w:val="24"/>
          <w:szCs w:val="24"/>
          <w:highlight w:val="none"/>
        </w:rPr>
        <w:t>电子招标投标交易平台收到通知后，</w:t>
      </w:r>
      <w:r>
        <w:rPr>
          <w:rFonts w:ascii="宋体" w:hAnsi="宋体"/>
          <w:color w:val="auto"/>
          <w:sz w:val="24"/>
          <w:szCs w:val="24"/>
          <w:highlight w:val="none"/>
        </w:rPr>
        <w:t>即时向投标人发出确认回执通知。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22.3修改后再次递交的，按19点的规定执行。</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w:t>
      </w:r>
      <w:r>
        <w:rPr>
          <w:rFonts w:hint="eastAsia" w:ascii="宋体" w:hAnsi="宋体"/>
          <w:color w:val="auto"/>
          <w:sz w:val="24"/>
          <w:szCs w:val="24"/>
          <w:highlight w:val="none"/>
        </w:rPr>
        <w:t>4</w:t>
      </w:r>
      <w:r>
        <w:rPr>
          <w:rFonts w:ascii="宋体" w:hAnsi="宋体"/>
          <w:color w:val="auto"/>
          <w:sz w:val="24"/>
          <w:szCs w:val="24"/>
          <w:highlight w:val="none"/>
        </w:rPr>
        <w:t xml:space="preserve"> </w:t>
      </w:r>
      <w:r>
        <w:rPr>
          <w:rFonts w:hint="eastAsia" w:ascii="宋体" w:hAnsi="宋体"/>
          <w:color w:val="auto"/>
          <w:sz w:val="24"/>
          <w:szCs w:val="24"/>
          <w:highlight w:val="none"/>
        </w:rPr>
        <w:t>在投标截止时间之后，投标人不得补充、修改和更换投标文件。</w:t>
      </w:r>
    </w:p>
    <w:p>
      <w:pPr>
        <w:widowControl/>
        <w:spacing w:before="100" w:beforeAutospacing="1" w:after="100" w:afterAutospacing="1" w:line="360" w:lineRule="auto"/>
        <w:jc w:val="left"/>
        <w:outlineLvl w:val="2"/>
        <w:rPr>
          <w:rFonts w:ascii="宋体" w:hAnsi="宋体" w:cs="宋体"/>
          <w:color w:val="auto"/>
          <w:kern w:val="0"/>
          <w:sz w:val="24"/>
          <w:szCs w:val="24"/>
          <w:highlight w:val="none"/>
        </w:rPr>
      </w:pPr>
      <w:bookmarkStart w:id="22" w:name="_Toc58838575"/>
      <w:bookmarkStart w:id="23" w:name="_Toc2272553"/>
      <w:bookmarkStart w:id="24" w:name="_Toc9287"/>
      <w:r>
        <w:rPr>
          <w:rFonts w:hint="eastAsia" w:ascii="宋体" w:hAnsi="宋体" w:cs="宋体"/>
          <w:color w:val="auto"/>
          <w:kern w:val="0"/>
          <w:sz w:val="24"/>
          <w:szCs w:val="24"/>
          <w:highlight w:val="none"/>
        </w:rPr>
        <w:t>（五）开标、评标、定标及合同签定</w:t>
      </w:r>
      <w:bookmarkEnd w:id="22"/>
      <w:bookmarkEnd w:id="23"/>
      <w:bookmarkEnd w:id="24"/>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23</w:t>
      </w:r>
      <w:r>
        <w:rPr>
          <w:rFonts w:hint="eastAsia" w:ascii="宋体" w:hAnsi="宋体"/>
          <w:b/>
          <w:bCs/>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24</w:t>
      </w:r>
      <w:r>
        <w:rPr>
          <w:rFonts w:hint="eastAsia" w:ascii="宋体" w:hAnsi="宋体"/>
          <w:b/>
          <w:bCs/>
          <w:color w:val="auto"/>
          <w:sz w:val="24"/>
          <w:szCs w:val="24"/>
          <w:highlight w:val="none"/>
        </w:rPr>
        <w:t>．评标过程的保密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24.1 </w:t>
      </w:r>
      <w:r>
        <w:rPr>
          <w:rFonts w:hint="eastAsia" w:ascii="宋体" w:hAnsi="宋体"/>
          <w:color w:val="auto"/>
          <w:sz w:val="24"/>
          <w:szCs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24.2 </w:t>
      </w:r>
      <w:r>
        <w:rPr>
          <w:rFonts w:hint="eastAsia" w:ascii="宋体" w:hAnsi="宋体"/>
          <w:color w:val="auto"/>
          <w:sz w:val="24"/>
          <w:szCs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25</w:t>
      </w:r>
      <w:r>
        <w:rPr>
          <w:rFonts w:hint="eastAsia" w:ascii="宋体" w:hAnsi="宋体"/>
          <w:b/>
          <w:bCs/>
          <w:color w:val="auto"/>
          <w:sz w:val="24"/>
          <w:szCs w:val="24"/>
          <w:highlight w:val="none"/>
        </w:rPr>
        <w:t>．投标文件的澄清，计算错误的修正</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26</w:t>
      </w:r>
      <w:r>
        <w:rPr>
          <w:rFonts w:hint="eastAsia" w:ascii="宋体" w:hAnsi="宋体"/>
          <w:b/>
          <w:bCs/>
          <w:color w:val="auto"/>
          <w:sz w:val="24"/>
          <w:szCs w:val="24"/>
          <w:highlight w:val="none"/>
        </w:rPr>
        <w:t>．投标文件的评审、比较和否决</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详见招标文件第二章开标、评标及定标办法。</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27</w:t>
      </w:r>
      <w:r>
        <w:rPr>
          <w:rFonts w:hint="eastAsia" w:ascii="宋体" w:hAnsi="宋体"/>
          <w:b/>
          <w:bCs/>
          <w:color w:val="auto"/>
          <w:sz w:val="24"/>
          <w:szCs w:val="24"/>
          <w:highlight w:val="none"/>
        </w:rPr>
        <w:t>．中标通知书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27.1</w:t>
      </w:r>
      <w:r>
        <w:rPr>
          <w:rFonts w:hint="eastAsia" w:ascii="宋体" w:hAnsi="宋体"/>
          <w:color w:val="auto"/>
          <w:sz w:val="24"/>
          <w:szCs w:val="24"/>
          <w:highlight w:val="none"/>
        </w:rPr>
        <w:t>招标人将在</w:t>
      </w:r>
      <w:r>
        <w:rPr>
          <w:rFonts w:ascii="宋体" w:hAnsi="宋体"/>
          <w:color w:val="auto"/>
          <w:sz w:val="24"/>
          <w:szCs w:val="24"/>
          <w:highlight w:val="none"/>
          <w:u w:val="single"/>
        </w:rPr>
        <w:t xml:space="preserve">        </w:t>
      </w:r>
      <w:r>
        <w:rPr>
          <w:rFonts w:hint="eastAsia" w:ascii="宋体" w:hAnsi="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27.2</w:t>
      </w:r>
      <w:r>
        <w:rPr>
          <w:rFonts w:hint="eastAsia" w:ascii="宋体" w:hAnsi="宋体"/>
          <w:color w:val="auto"/>
          <w:sz w:val="24"/>
          <w:szCs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27.3</w:t>
      </w:r>
      <w:r>
        <w:rPr>
          <w:rFonts w:hint="eastAsia" w:ascii="宋体" w:hAnsi="宋体"/>
          <w:color w:val="auto"/>
          <w:sz w:val="24"/>
          <w:szCs w:val="24"/>
          <w:highlight w:val="none"/>
        </w:rPr>
        <w:t>中标人必须在收到中标通知书后</w:t>
      </w:r>
      <w:r>
        <w:rPr>
          <w:rFonts w:ascii="宋体" w:hAnsi="宋体"/>
          <w:color w:val="auto"/>
          <w:sz w:val="24"/>
          <w:szCs w:val="24"/>
          <w:highlight w:val="none"/>
        </w:rPr>
        <w:t>24</w:t>
      </w:r>
      <w:r>
        <w:rPr>
          <w:rFonts w:hint="eastAsia" w:ascii="宋体" w:hAnsi="宋体"/>
          <w:color w:val="auto"/>
          <w:sz w:val="24"/>
          <w:szCs w:val="24"/>
          <w:highlight w:val="none"/>
        </w:rPr>
        <w:t>小时之内以书面形式回复招标人，确认收到。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27.4在产生中标候选人后，招标人将中标候选人的投标文件商务部分文件的所有内容（包括人员、业绩、奖项等资料）在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交易平台和广东省招标投标监管网公开。</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28</w:t>
      </w:r>
      <w:r>
        <w:rPr>
          <w:rFonts w:hint="eastAsia" w:ascii="宋体" w:hAnsi="宋体"/>
          <w:b/>
          <w:bCs/>
          <w:color w:val="auto"/>
          <w:sz w:val="24"/>
          <w:szCs w:val="24"/>
          <w:highlight w:val="none"/>
        </w:rPr>
        <w:t>．合同协议书的签订</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28.1 </w:t>
      </w:r>
      <w:r>
        <w:rPr>
          <w:rFonts w:hint="eastAsia" w:ascii="宋体" w:hAnsi="宋体"/>
          <w:color w:val="auto"/>
          <w:sz w:val="24"/>
          <w:szCs w:val="24"/>
          <w:highlight w:val="none"/>
        </w:rPr>
        <w:t>招标人与中标人将于中标通知书发出之日起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28.2</w:t>
      </w:r>
      <w:r>
        <w:rPr>
          <w:rFonts w:hint="eastAsia" w:ascii="宋体" w:hAnsi="宋体"/>
          <w:color w:val="auto"/>
          <w:sz w:val="24"/>
          <w:szCs w:val="24"/>
          <w:highlight w:val="none"/>
        </w:rPr>
        <w:t>中标通知书发出之日起</w:t>
      </w:r>
      <w:r>
        <w:rPr>
          <w:rFonts w:ascii="宋体" w:hAnsi="宋体"/>
          <w:color w:val="auto"/>
          <w:sz w:val="24"/>
          <w:szCs w:val="24"/>
          <w:highlight w:val="non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28.3</w:t>
      </w:r>
      <w:r>
        <w:rPr>
          <w:rFonts w:hint="eastAsia" w:ascii="宋体" w:hAnsi="宋体"/>
          <w:color w:val="auto"/>
          <w:sz w:val="24"/>
          <w:szCs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28.4</w:t>
      </w:r>
      <w:r>
        <w:rPr>
          <w:rFonts w:hint="eastAsia" w:ascii="宋体" w:hAnsi="宋体"/>
          <w:color w:val="auto"/>
          <w:sz w:val="24"/>
          <w:szCs w:val="24"/>
          <w:highlight w:val="none"/>
        </w:rPr>
        <w:t>招标人支付工程款时，中标人应按规定开具发票。</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29</w:t>
      </w:r>
      <w:r>
        <w:rPr>
          <w:rFonts w:hint="eastAsia" w:ascii="宋体" w:hAnsi="宋体"/>
          <w:b/>
          <w:bCs/>
          <w:color w:val="auto"/>
          <w:sz w:val="24"/>
          <w:szCs w:val="24"/>
          <w:highlight w:val="none"/>
        </w:rPr>
        <w:t>．履约担保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29.1</w:t>
      </w:r>
      <w:r>
        <w:rPr>
          <w:rFonts w:hint="eastAsia" w:ascii="宋体" w:hAnsi="宋体"/>
          <w:color w:val="auto"/>
          <w:sz w:val="24"/>
          <w:szCs w:val="24"/>
          <w:highlight w:val="none"/>
        </w:rPr>
        <w:t>在收到中标通知书后的15日内，中标人应按本须知前附表第20项的规定向招标人提交履约担保。</w:t>
      </w:r>
    </w:p>
    <w:p>
      <w:pPr>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29.2</w:t>
      </w:r>
      <w:r>
        <w:rPr>
          <w:rFonts w:hint="eastAsia" w:ascii="宋体" w:hAnsi="宋体"/>
          <w:color w:val="auto"/>
          <w:sz w:val="24"/>
          <w:szCs w:val="24"/>
          <w:highlight w:val="none"/>
        </w:rPr>
        <w:t>中标通知书发出之日起</w:t>
      </w:r>
      <w:r>
        <w:rPr>
          <w:rFonts w:ascii="宋体" w:hAnsi="宋体"/>
          <w:color w:val="auto"/>
          <w:sz w:val="24"/>
          <w:szCs w:val="24"/>
          <w:highlight w:val="none"/>
        </w:rPr>
        <w:t>15</w:t>
      </w:r>
      <w:r>
        <w:rPr>
          <w:rFonts w:hint="eastAsia" w:ascii="宋体" w:hAnsi="宋体"/>
          <w:color w:val="auto"/>
          <w:sz w:val="24"/>
          <w:szCs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30</w:t>
      </w:r>
      <w:r>
        <w:rPr>
          <w:rFonts w:hint="eastAsia" w:ascii="宋体" w:hAnsi="宋体"/>
          <w:b/>
          <w:bCs/>
          <w:color w:val="auto"/>
          <w:sz w:val="24"/>
          <w:szCs w:val="24"/>
          <w:highlight w:val="none"/>
        </w:rPr>
        <w:t>．合同生效</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30.1</w:t>
      </w:r>
      <w:r>
        <w:rPr>
          <w:rFonts w:hint="eastAsia" w:ascii="宋体" w:hAnsi="宋体"/>
          <w:color w:val="auto"/>
          <w:sz w:val="24"/>
          <w:szCs w:val="24"/>
          <w:highlight w:val="none"/>
        </w:rPr>
        <w:t>在合同双方全权代表在合同协议书上签字，并分别加盖双方单位的公章后，合同正式生效。</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31</w:t>
      </w:r>
      <w:r>
        <w:rPr>
          <w:rFonts w:hint="eastAsia" w:ascii="宋体" w:hAnsi="宋体"/>
          <w:b/>
          <w:bCs/>
          <w:color w:val="auto"/>
          <w:sz w:val="24"/>
          <w:szCs w:val="24"/>
          <w:highlight w:val="none"/>
        </w:rPr>
        <w:t>．其它费用</w:t>
      </w:r>
    </w:p>
    <w:p>
      <w:pPr>
        <w:spacing w:line="360" w:lineRule="auto"/>
        <w:ind w:firstLine="482" w:firstLineChars="200"/>
        <w:rPr>
          <w:rFonts w:ascii="宋体" w:hAnsi="宋体"/>
          <w:b/>
          <w:bCs/>
          <w:color w:val="auto"/>
          <w:sz w:val="24"/>
          <w:szCs w:val="24"/>
          <w:highlight w:val="none"/>
        </w:rPr>
      </w:pPr>
      <w:r>
        <w:rPr>
          <w:rFonts w:ascii="宋体" w:hAnsi="宋体"/>
          <w:b/>
          <w:bCs/>
          <w:color w:val="auto"/>
          <w:sz w:val="24"/>
          <w:szCs w:val="24"/>
          <w:highlight w:val="none"/>
        </w:rPr>
        <w:t>32</w:t>
      </w:r>
      <w:r>
        <w:rPr>
          <w:rFonts w:hint="eastAsia" w:ascii="宋体" w:hAnsi="宋体"/>
          <w:b/>
          <w:bCs/>
          <w:color w:val="auto"/>
          <w:sz w:val="24"/>
          <w:szCs w:val="24"/>
          <w:highlight w:val="none"/>
        </w:rPr>
        <w:t>．腐败与欺诈行为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在招标和合同实施期间，招标人要求投标人和承包人遵守最高的道德标准。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对本条款的规定，特定义如下词汇：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）、“腐败行为”是指在招标或合同执行期间，通过提供、给予、接受或索要任何有价值的东西，从而影响招标人有关人员工作的行为；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如果投标人被认定在本招标的竞争中有腐败或欺诈行为，则会被取消投标资格。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3"/>
        <w:rPr>
          <w:color w:val="auto"/>
          <w:highlight w:val="none"/>
        </w:rPr>
      </w:pPr>
      <w:r>
        <w:rPr>
          <w:rFonts w:hint="eastAsia"/>
          <w:color w:val="auto"/>
          <w:sz w:val="24"/>
          <w:highlight w:val="none"/>
        </w:rPr>
        <w:br w:type="page"/>
      </w:r>
      <w:bookmarkStart w:id="25" w:name="_Toc4532"/>
      <w:bookmarkStart w:id="26" w:name="_Toc2272554"/>
      <w:r>
        <w:rPr>
          <w:rFonts w:hint="eastAsia"/>
          <w:color w:val="auto"/>
          <w:highlight w:val="none"/>
        </w:rPr>
        <w:t>第二章 开标、评标及定标办法</w:t>
      </w:r>
      <w:bookmarkEnd w:id="25"/>
      <w:bookmarkEnd w:id="26"/>
    </w:p>
    <w:p>
      <w:pPr>
        <w:pStyle w:val="7"/>
        <w:rPr>
          <w:color w:val="auto"/>
          <w:highlight w:val="none"/>
        </w:rPr>
      </w:pPr>
      <w:bookmarkStart w:id="27" w:name="_Toc11617"/>
      <w:bookmarkStart w:id="28" w:name="_Toc2272555"/>
      <w:r>
        <w:rPr>
          <w:rFonts w:hint="eastAsia"/>
          <w:color w:val="auto"/>
          <w:sz w:val="28"/>
          <w:szCs w:val="28"/>
          <w:highlight w:val="none"/>
        </w:rPr>
        <w:t>一、</w:t>
      </w:r>
      <w:r>
        <w:rPr>
          <w:rFonts w:hint="eastAsia"/>
          <w:color w:val="auto"/>
          <w:highlight w:val="none"/>
        </w:rPr>
        <w:t>开标、评标及定标办法修改表</w:t>
      </w:r>
      <w:bookmarkEnd w:id="27"/>
    </w:p>
    <w:p>
      <w:pPr>
        <w:pStyle w:val="5"/>
        <w:pBdr>
          <w:bottom w:val="single" w:color="auto" w:sz="6" w:space="1"/>
        </w:pBdr>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hint="eastAsia" w:ascii="宋体" w:hAnsi="宋体" w:cs="宋体"/>
          <w:b/>
          <w:color w:val="auto"/>
          <w:szCs w:val="21"/>
          <w:highlight w:val="none"/>
          <w:u w:val="single"/>
        </w:rPr>
        <w:t>网址：http://zfcj.gz.gov.cn/</w:t>
      </w:r>
      <w:r>
        <w:rPr>
          <w:rStyle w:val="58"/>
          <w:rFonts w:hint="eastAsia" w:ascii="宋体" w:hAnsi="宋体" w:cs="宋体"/>
          <w:b/>
          <w:color w:val="auto"/>
          <w:szCs w:val="21"/>
          <w:highlight w:val="none"/>
          <w:u w:val="none"/>
        </w:rPr>
        <w:t>）下载GZZB2018-3</w:t>
      </w:r>
      <w:r>
        <w:rPr>
          <w:rStyle w:val="58"/>
          <w:rFonts w:hint="eastAsia" w:ascii="宋体" w:hAnsi="宋体" w:cs="宋体"/>
          <w:b/>
          <w:color w:val="auto"/>
          <w:szCs w:val="21"/>
          <w:highlight w:val="none"/>
          <w:u w:val="none"/>
        </w:rPr>
        <w:fldChar w:fldCharType="end"/>
      </w:r>
      <w:r>
        <w:rPr>
          <w:rFonts w:hint="eastAsia" w:ascii="宋体" w:hAnsi="宋体" w:cs="宋体"/>
          <w:b/>
          <w:color w:val="auto"/>
          <w:szCs w:val="21"/>
          <w:highlight w:val="none"/>
        </w:rPr>
        <w:t>范本查阅。</w:t>
      </w:r>
    </w:p>
    <w:bookmarkEnd w:id="28"/>
    <w:p>
      <w:pPr>
        <w:spacing w:line="360" w:lineRule="auto"/>
        <w:ind w:firstLine="424" w:firstLineChars="201"/>
        <w:rPr>
          <w:rFonts w:ascii="宋体" w:hAnsi="宋体" w:cs="宋体"/>
          <w:b/>
          <w:color w:val="auto"/>
          <w:szCs w:val="21"/>
          <w:highlight w:val="none"/>
        </w:rPr>
      </w:pPr>
      <w:bookmarkStart w:id="29" w:name="_Toc2272556"/>
      <w:r>
        <w:rPr>
          <w:rFonts w:hint="eastAsia" w:ascii="宋体" w:hAnsi="宋体" w:cs="宋体"/>
          <w:b/>
          <w:color w:val="auto"/>
          <w:szCs w:val="21"/>
          <w:highlight w:val="none"/>
        </w:rPr>
        <w:t>条款号：36.3                        修改类型：删除</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8"/>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36.4若递交投标文件的投标人不足3家，则重新组织招标。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pacing w:line="360" w:lineRule="auto"/>
        <w:ind w:firstLine="424" w:firstLineChars="201"/>
        <w:rPr>
          <w:rFonts w:ascii="宋体" w:hAnsi="宋体" w:cs="宋体"/>
          <w:color w:val="auto"/>
          <w:sz w:val="24"/>
          <w:szCs w:val="24"/>
          <w:highlight w:val="none"/>
        </w:rPr>
      </w:pPr>
      <w:r>
        <w:rPr>
          <w:rFonts w:hint="eastAsia" w:ascii="宋体" w:hAnsi="宋体" w:cs="宋体"/>
          <w:b/>
          <w:color w:val="auto"/>
          <w:szCs w:val="21"/>
          <w:highlight w:val="none"/>
        </w:rPr>
        <w:t xml:space="preserve">条款号：39.3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职的，或者被查实存在影响中标结果的违法行为等情形，不符合中标条件的，招标人可以确定排名第二的中标候选人为中标人。</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可选办法二（适合综合评分法一，技术标与经济标同时开启）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可选办法四（适合综合评分法二，技术标与经济标同时开启）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可选办法六（适合综合评分法三，技术标与经济标同时开启）</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可选办法七（适合综合评分法四，技术标与经济标同时开启）</w:t>
      </w:r>
      <w:r>
        <w:rPr>
          <w:rFonts w:hint="eastAsia" w:ascii="宋体" w:hAnsi="宋体" w:cs="宋体"/>
          <w:b/>
          <w:color w:val="auto"/>
          <w:szCs w:val="21"/>
          <w:highlight w:val="none"/>
        </w:rPr>
        <w:t xml:space="preserve">     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可选办法七（适合综合评分法四，技术标与经济标同时开启）</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18"/>
          <w:szCs w:val="18"/>
          <w:highlight w:val="none"/>
        </w:rPr>
        <w:t xml:space="preserve">可选办法八（适合经评审的最低投标价法，技术标与经济标同时开启）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条款号：40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40．开标和评标程序：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40.4技术标投标文件有效性审查；</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40.5技术标详细审查评分；</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 xml:space="preserve">40.6计算第一阶段得分，并按照总分从高到低排列先后次序，编写第一阶段评审报告； </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spacing w:line="360" w:lineRule="auto"/>
        <w:ind w:firstLine="422" w:firstLineChars="201"/>
        <w:rPr>
          <w:rFonts w:ascii="宋体" w:hAnsi="宋体" w:cs="宋体"/>
          <w:b/>
          <w:color w:val="auto"/>
          <w:szCs w:val="21"/>
          <w:highlight w:val="none"/>
        </w:rPr>
      </w:pPr>
      <w:r>
        <w:rPr>
          <w:rFonts w:hint="eastAsia" w:ascii="宋体" w:hAnsi="宋体" w:cs="宋体"/>
          <w:color w:val="auto"/>
          <w:szCs w:val="21"/>
          <w:highlight w:val="none"/>
        </w:rPr>
        <w:t>40.10评标委员会编写评标报告，向招标人推荐中标候选人名单。</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40．开标和评标程序：</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40.1投标人递交技术标、经济标投标文件；</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40.2技术标与经济标投标文件同时公开开标；</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40.3由评标委员会对所有已公开开标的投标人进行资格审查</w:t>
      </w:r>
      <w:r>
        <w:rPr>
          <w:rFonts w:hint="eastAsia" w:ascii="宋体" w:hAnsi="宋体" w:cs="宋体"/>
          <w:color w:val="auto"/>
          <w:szCs w:val="21"/>
          <w:highlight w:val="none"/>
          <w:u w:val="single"/>
        </w:rPr>
        <w:t>，并编写资格审查报告</w:t>
      </w:r>
      <w:r>
        <w:rPr>
          <w:rFonts w:hint="eastAsia" w:ascii="宋体" w:hAnsi="宋体" w:cs="宋体"/>
          <w:color w:val="auto"/>
          <w:szCs w:val="21"/>
          <w:highlight w:val="none"/>
        </w:rPr>
        <w:t>；</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40.4技术标投标文件有效性审查；</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40.5技术标详细审查评分；</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 xml:space="preserve">40.6计算第一阶段得分，并按照总分从高到低排列先后次序，编写第一阶段评审报告； </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40.7按投标须知前附表第25项规定，确定进入第二阶段评审的投标人；</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40.8将进入第二阶段评审的投标人进行排序；</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40.9按排序对经济标投标文件进行有效性审查（含投标报价算术校核），直至评出所有中标候选人；</w:t>
      </w:r>
    </w:p>
    <w:p>
      <w:pPr>
        <w:pBdr>
          <w:bottom w:val="single" w:color="auto" w:sz="6" w:space="1"/>
        </w:pBdr>
        <w:spacing w:line="360" w:lineRule="auto"/>
        <w:ind w:firstLine="422" w:firstLineChars="201"/>
        <w:rPr>
          <w:rFonts w:ascii="宋体" w:hAnsi="宋体"/>
          <w:color w:val="auto"/>
          <w:szCs w:val="21"/>
          <w:highlight w:val="none"/>
          <w:u w:val="single"/>
        </w:rPr>
      </w:pPr>
      <w:r>
        <w:rPr>
          <w:rFonts w:hint="eastAsia" w:ascii="宋体" w:hAnsi="宋体" w:cs="宋体"/>
          <w:color w:val="auto"/>
          <w:szCs w:val="21"/>
          <w:highlight w:val="none"/>
        </w:rPr>
        <w:t>40.10评标委员会编写评标报告，向招标人推荐中标候选人名单。</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w:t>
      </w:r>
      <w:r>
        <w:rPr>
          <w:rFonts w:hint="eastAsia" w:ascii="宋体" w:hAnsi="宋体" w:cs="宋体"/>
          <w:color w:val="auto"/>
          <w:szCs w:val="21"/>
          <w:highlight w:val="none"/>
          <w:u w:val="single"/>
        </w:rPr>
        <w:t>技术标投标文件（含资格审查文件）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 xml:space="preserve">4 </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41.4招标人对开标过程进行记录，并存档备查，投标人在开标记录上签字。</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投标人在开标记录上签字。</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条款号：42.</w:t>
      </w:r>
      <w:r>
        <w:rPr>
          <w:rFonts w:ascii="宋体" w:hAnsi="宋体" w:cs="宋体"/>
          <w:b/>
          <w:color w:val="auto"/>
          <w:szCs w:val="21"/>
          <w:highlight w:val="none"/>
        </w:rPr>
        <w:t>1</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一：评标委员会为综合评标委员会，负责资格审查及评标工作。</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条款号：42.2.6                      修改类型：修改</w:t>
      </w:r>
    </w:p>
    <w:p>
      <w:pPr>
        <w:widowControl/>
        <w:spacing w:line="360" w:lineRule="auto"/>
        <w:ind w:firstLine="422" w:firstLineChars="200"/>
        <w:rPr>
          <w:rFonts w:ascii="宋体" w:hAnsi="宋体" w:cs="宋体"/>
          <w:color w:val="auto"/>
          <w:kern w:val="0"/>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42.2.6资格审查合格的投标人少于3名的（当N个标段同时招标且不允许兼中时，资格审查合格的投标人少于N+2名），则本项目招标失败。</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42.2.6若满足资格审查合格条件的投标申请人不足3名，则重新招标。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42.3.1</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w:t>
      </w:r>
      <w:r>
        <w:rPr>
          <w:rFonts w:hint="eastAsia" w:ascii="宋体" w:hAnsi="宋体"/>
          <w:color w:val="auto"/>
          <w:szCs w:val="21"/>
          <w:highlight w:val="none"/>
          <w:u w:val="single"/>
        </w:rPr>
        <w:t>若通过技术标有效性审查的投标人不足三家，则重新招标。</w:t>
      </w:r>
      <w:r>
        <w:rPr>
          <w:rFonts w:hint="eastAsia" w:ascii="宋体" w:hAnsi="宋体"/>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42.3.2</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42.3.2</w:t>
      </w:r>
      <w:r>
        <w:rPr>
          <w:rFonts w:hint="eastAsia" w:ascii="宋体" w:hAnsi="宋体"/>
          <w:color w:val="auto"/>
          <w:szCs w:val="21"/>
          <w:highlight w:val="none"/>
          <w:u w:val="single"/>
        </w:rPr>
        <w:t xml:space="preserve">     </w:t>
      </w:r>
      <w:r>
        <w:rPr>
          <w:rFonts w:hint="eastAsia" w:ascii="宋体" w:hAnsi="宋体"/>
          <w:color w:val="auto"/>
          <w:szCs w:val="21"/>
          <w:highlight w:val="none"/>
        </w:rPr>
        <w:t>详细审查评分：评标委员会按照本办法附表</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详细审查评分表》对通过技术标有效性审查的投标文件进行详细审查，评出</w:t>
      </w:r>
      <w:r>
        <w:rPr>
          <w:rFonts w:hint="eastAsia" w:ascii="宋体" w:hAnsi="宋体"/>
          <w:color w:val="auto"/>
          <w:szCs w:val="21"/>
          <w:highlight w:val="none"/>
          <w:u w:val="single"/>
        </w:rPr>
        <w:t xml:space="preserve">     </w:t>
      </w:r>
      <w:r>
        <w:rPr>
          <w:rFonts w:hint="eastAsia" w:ascii="宋体" w:hAnsi="宋体"/>
          <w:color w:val="auto"/>
          <w:szCs w:val="21"/>
          <w:highlight w:val="none"/>
        </w:rPr>
        <w:t>得分。</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42.3.2</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详细审查评分：评标委员会按照本办法附表</w:t>
      </w:r>
      <w:r>
        <w:rPr>
          <w:rFonts w:hint="eastAsia" w:ascii="宋体" w:hAnsi="宋体" w:cs="宋体"/>
          <w:color w:val="auto"/>
          <w:szCs w:val="21"/>
          <w:highlight w:val="none"/>
          <w:u w:val="single"/>
        </w:rPr>
        <w:t>四</w:t>
      </w:r>
      <w:r>
        <w:rPr>
          <w:rFonts w:hint="eastAsia" w:ascii="宋体" w:hAnsi="宋体" w:cs="宋体"/>
          <w:color w:val="auto"/>
          <w:szCs w:val="21"/>
          <w:highlight w:val="none"/>
        </w:rPr>
        <w:t>《</w:t>
      </w:r>
      <w:r>
        <w:rPr>
          <w:rFonts w:hint="eastAsia" w:ascii="宋体" w:hAnsi="宋体" w:cs="宋体"/>
          <w:color w:val="auto"/>
          <w:szCs w:val="21"/>
          <w:highlight w:val="none"/>
          <w:u w:val="single"/>
        </w:rPr>
        <w:t>技术标</w:t>
      </w:r>
      <w:r>
        <w:rPr>
          <w:rFonts w:hint="eastAsia" w:ascii="宋体" w:hAnsi="宋体" w:cs="宋体"/>
          <w:color w:val="auto"/>
          <w:szCs w:val="21"/>
          <w:highlight w:val="none"/>
        </w:rPr>
        <w:t>详细审查评分表》对通过技术标有效性审查的投标文件进行详细审查，评出</w:t>
      </w:r>
      <w:r>
        <w:rPr>
          <w:rFonts w:hint="eastAsia" w:ascii="宋体" w:hAnsi="宋体" w:cs="宋体"/>
          <w:color w:val="auto"/>
          <w:szCs w:val="21"/>
          <w:highlight w:val="none"/>
          <w:u w:val="single"/>
        </w:rPr>
        <w:t>技术标</w:t>
      </w:r>
      <w:r>
        <w:rPr>
          <w:rFonts w:hint="eastAsia" w:ascii="宋体" w:hAnsi="宋体" w:cs="宋体"/>
          <w:color w:val="auto"/>
          <w:szCs w:val="21"/>
          <w:highlight w:val="none"/>
        </w:rPr>
        <w:t>得分</w:t>
      </w:r>
      <w:r>
        <w:rPr>
          <w:rFonts w:hint="eastAsia" w:ascii="宋体" w:hAnsi="宋体" w:cs="宋体"/>
          <w:color w:val="auto"/>
          <w:szCs w:val="21"/>
          <w:highlight w:val="none"/>
          <w:u w:val="single"/>
        </w:rPr>
        <w:t>（即技术分）</w:t>
      </w:r>
      <w:r>
        <w:rPr>
          <w:rFonts w:hint="eastAsia" w:ascii="宋体" w:hAnsi="宋体" w:cs="宋体"/>
          <w:color w:val="auto"/>
          <w:szCs w:val="21"/>
          <w:highlight w:val="none"/>
        </w:rPr>
        <w:t>。</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42.3.4</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42.3.4评标委员会按照“第一阶段得分=</w:t>
      </w:r>
      <w:r>
        <w:rPr>
          <w:rFonts w:hint="eastAsia" w:ascii="宋体" w:hAnsi="宋体"/>
          <w:color w:val="auto"/>
          <w:szCs w:val="21"/>
          <w:highlight w:val="none"/>
          <w:u w:val="single"/>
        </w:rPr>
        <w:t xml:space="preserve">               </w:t>
      </w:r>
      <w:r>
        <w:rPr>
          <w:rFonts w:hint="eastAsia" w:ascii="宋体" w:hAnsi="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42.3.4评标委员会按照“第一阶段得分=</w:t>
      </w:r>
      <w:r>
        <w:rPr>
          <w:rFonts w:hint="eastAsia" w:ascii="宋体" w:hAnsi="宋体"/>
          <w:color w:val="auto"/>
          <w:szCs w:val="21"/>
          <w:highlight w:val="none"/>
          <w:u w:val="single"/>
        </w:rPr>
        <w:t>技术分</w:t>
      </w:r>
      <w:r>
        <w:rPr>
          <w:rFonts w:hint="eastAsia" w:ascii="宋体" w:hAnsi="宋体" w:cs="宋体"/>
          <w:color w:val="auto"/>
          <w:szCs w:val="21"/>
          <w:highlight w:val="none"/>
          <w:u w:val="single"/>
        </w:rPr>
        <w:t>（满分为100分）×技术分权重（100%）</w:t>
      </w:r>
      <w:r>
        <w:rPr>
          <w:rFonts w:hint="eastAsia" w:ascii="宋体" w:hAnsi="宋体"/>
          <w:color w:val="auto"/>
          <w:szCs w:val="21"/>
          <w:highlight w:val="none"/>
        </w:rPr>
        <w:t>的公式及投标须知前附表第27项的规定，计算各投标人第一阶段得分(按四舍五入的原则保留两位小数)，并按照得分从高到低排列先后次序，若投标人得分相同的，</w:t>
      </w:r>
      <w:r>
        <w:rPr>
          <w:rFonts w:hint="eastAsia" w:ascii="宋体" w:hAnsi="宋体" w:cs="宋体"/>
          <w:color w:val="auto"/>
          <w:szCs w:val="21"/>
          <w:highlight w:val="none"/>
          <w:u w:val="single"/>
        </w:rPr>
        <w:t>则以投标总报价较低的排前；如仍存在相同情况，则对具有相同情况的投标人，由评标委员会采用记名投票方式，确定投标人第一阶段名次的排序。编写第一阶段评审报告。</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42.4.2</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42.4.2若进入第二阶段投标人中所有投标报价均大于等于最高投标限价*D%（D的取值范围为[94,100],由招标人自主确定）的（具体金额为：</w:t>
      </w:r>
      <w:r>
        <w:rPr>
          <w:rFonts w:hint="eastAsia" w:ascii="宋体" w:hAnsi="宋体"/>
          <w:color w:val="auto"/>
          <w:szCs w:val="21"/>
          <w:highlight w:val="none"/>
          <w:u w:val="single"/>
        </w:rPr>
        <w:t xml:space="preserve">      </w:t>
      </w:r>
      <w:r>
        <w:rPr>
          <w:rFonts w:hint="eastAsia" w:ascii="宋体" w:hAnsi="宋体"/>
          <w:color w:val="auto"/>
          <w:szCs w:val="21"/>
          <w:highlight w:val="none"/>
        </w:rPr>
        <w:t>元），则本项目招标失败，由招标人依法重新招标。</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42.4.2若进入第二阶段投标人中所有投标报价均大于等于最高投标限价*</w:t>
      </w:r>
      <w:r>
        <w:rPr>
          <w:rFonts w:ascii="宋体" w:hAnsi="宋体"/>
          <w:color w:val="auto"/>
          <w:szCs w:val="21"/>
          <w:highlight w:val="none"/>
          <w:u w:val="single"/>
        </w:rPr>
        <w:t xml:space="preserve"> 97 </w:t>
      </w:r>
      <w:r>
        <w:rPr>
          <w:rFonts w:hint="eastAsia" w:ascii="宋体" w:hAnsi="宋体"/>
          <w:color w:val="auto"/>
          <w:szCs w:val="21"/>
          <w:highlight w:val="none"/>
        </w:rPr>
        <w:t>%的（具体金额为：</w:t>
      </w:r>
      <w:r>
        <w:rPr>
          <w:rFonts w:hint="eastAsia" w:ascii="宋体" w:hAnsi="宋体"/>
          <w:b/>
          <w:bCs/>
          <w:color w:val="auto"/>
          <w:szCs w:val="21"/>
          <w:highlight w:val="none"/>
          <w:u w:val="single"/>
          <w:lang w:val="en-US" w:eastAsia="zh-CN"/>
        </w:rPr>
        <w:t>1182187628.14</w:t>
      </w:r>
      <w:r>
        <w:rPr>
          <w:rFonts w:hint="eastAsia" w:ascii="宋体" w:hAnsi="宋体"/>
          <w:b/>
          <w:bCs/>
          <w:color w:val="auto"/>
          <w:szCs w:val="21"/>
          <w:highlight w:val="none"/>
          <w:u w:val="single"/>
        </w:rPr>
        <w:t>元</w:t>
      </w:r>
      <w:r>
        <w:rPr>
          <w:rFonts w:hint="eastAsia" w:ascii="宋体" w:hAnsi="宋体"/>
          <w:color w:val="auto"/>
          <w:szCs w:val="21"/>
          <w:highlight w:val="none"/>
        </w:rPr>
        <w:t>），则本项目招标失败，由招标人依法重新招标。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42.4.3.1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42.4.3.1按方法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技术标或技术标加诚信得分或第一阶段入围得分（具体由招标人自定）前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szCs w:val="21"/>
          <w:highlight w:val="none"/>
        </w:rPr>
        <w:drawing>
          <wp:inline distT="0" distB="0" distL="0" distR="0">
            <wp:extent cx="381000" cy="447675"/>
            <wp:effectExtent l="0" t="0" r="0" b="0"/>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szCs w:val="21"/>
          <w:highlight w:val="none"/>
        </w:rPr>
        <w:drawing>
          <wp:inline distT="0" distB="0" distL="0" distR="0">
            <wp:extent cx="381000" cy="4476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），第二名投标人的权重为（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0" distR="0">
            <wp:extent cx="323850" cy="400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0" distR="0">
            <wp:extent cx="323850" cy="400050"/>
            <wp:effectExtent l="0" t="0" r="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），以此类推，最后一名投标人的权重为（</w:t>
      </w:r>
      <w:r>
        <w:rPr>
          <w:rFonts w:ascii="宋体" w:hAnsi="宋体" w:cs="仿宋"/>
          <w:color w:val="auto"/>
          <w:szCs w:val="21"/>
          <w:highlight w:val="none"/>
        </w:rPr>
        <w:fldChar w:fldCharType="begin"/>
      </w:r>
      <w:r>
        <w:rPr>
          <w:rFonts w:ascii="宋体" w:hAnsi="宋体" w:cs="仿宋"/>
          <w:color w:val="auto"/>
          <w:szCs w:val="21"/>
          <w:highlight w:val="none"/>
        </w:rPr>
        <w:instrText xml:space="preserve"> QUOTE </w:instrText>
      </w:r>
      <w:r>
        <w:rPr>
          <w:rFonts w:ascii="宋体" w:hAnsi="宋体"/>
          <w:color w:val="auto"/>
          <w:position w:val="-23"/>
          <w:szCs w:val="21"/>
          <w:highlight w:val="none"/>
        </w:rPr>
        <w:drawing>
          <wp:inline distT="0" distB="0" distL="0" distR="0">
            <wp:extent cx="323850" cy="400050"/>
            <wp:effectExtent l="0" t="0" r="0" b="0"/>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separate"/>
      </w:r>
      <w:r>
        <w:rPr>
          <w:rFonts w:ascii="宋体" w:hAnsi="宋体"/>
          <w:color w:val="auto"/>
          <w:position w:val="-23"/>
          <w:szCs w:val="21"/>
          <w:highlight w:val="none"/>
        </w:rPr>
        <w:drawing>
          <wp:inline distT="0" distB="0" distL="0" distR="0">
            <wp:extent cx="323850" cy="400050"/>
            <wp:effectExtent l="0" t="0" r="0" b="0"/>
            <wp:docPr id="1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Cs w:val="21"/>
          <w:highlight w:val="none"/>
        </w:rPr>
        <w:fldChar w:fldCharType="end"/>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2" w:firstLineChars="201"/>
        <w:rPr>
          <w:rFonts w:ascii="宋体" w:hAnsi="宋体" w:cs="宋体"/>
          <w:color w:val="auto"/>
          <w:szCs w:val="21"/>
          <w:highlight w:val="none"/>
        </w:rPr>
      </w:pPr>
      <w:r>
        <w:rPr>
          <w:rFonts w:hint="eastAsia" w:ascii="宋体" w:hAnsi="宋体" w:cs="仿宋"/>
          <w:color w:val="auto"/>
          <w:szCs w:val="21"/>
          <w:highlight w:val="none"/>
        </w:rPr>
        <w:t xml:space="preserve">    </w:t>
      </w:r>
      <w:r>
        <w:rPr>
          <w:rFonts w:ascii="宋体" w:hAnsi="宋体" w:cs="仿宋"/>
          <w:color w:val="auto"/>
          <w:szCs w:val="21"/>
          <w:highlight w:val="none"/>
        </w:rPr>
        <w:t>X:</w:t>
      </w:r>
      <w:r>
        <w:rPr>
          <w:rFonts w:hint="eastAsia" w:ascii="宋体" w:hAnsi="宋体" w:cs="仿宋"/>
          <w:color w:val="auto"/>
          <w:szCs w:val="21"/>
          <w:highlight w:val="none"/>
        </w:rPr>
        <w:t>为等分点值，在开标前从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42.4.3.1</w:t>
      </w:r>
      <w:r>
        <w:rPr>
          <w:rFonts w:hint="eastAsia" w:ascii="宋体" w:hAnsi="宋体" w:cs="宋体"/>
          <w:color w:val="auto"/>
          <w:szCs w:val="21"/>
          <w:highlight w:val="none"/>
        </w:rPr>
        <w:t>按方法</w:t>
      </w:r>
      <w:r>
        <w:rPr>
          <w:rFonts w:hint="eastAsia" w:ascii="宋体" w:hAnsi="宋体" w:cs="宋体"/>
          <w:color w:val="auto"/>
          <w:szCs w:val="21"/>
          <w:highlight w:val="none"/>
          <w:u w:val="single"/>
        </w:rPr>
        <w:t xml:space="preserve">  一  </w:t>
      </w:r>
      <w:r>
        <w:rPr>
          <w:rFonts w:hint="eastAsia" w:ascii="宋体" w:hAnsi="宋体" w:cs="宋体"/>
          <w:color w:val="auto"/>
          <w:szCs w:val="21"/>
          <w:highlight w:val="none"/>
        </w:rPr>
        <w:t xml:space="preserve">计算评标参考价： </w:t>
      </w:r>
    </w:p>
    <w:p>
      <w:pPr>
        <w:spacing w:line="360" w:lineRule="auto"/>
        <w:ind w:firstLine="424" w:firstLineChars="201"/>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2" w:firstLineChars="201"/>
        <w:rPr>
          <w:rFonts w:ascii="宋体" w:hAnsi="宋体" w:cs="宋体"/>
          <w:color w:val="auto"/>
          <w:szCs w:val="21"/>
          <w:highlight w:val="none"/>
        </w:rPr>
      </w:pPr>
      <w:r>
        <w:rPr>
          <w:rFonts w:hint="eastAsia" w:ascii="宋体" w:hAnsi="宋体"/>
          <w:color w:val="auto"/>
          <w:szCs w:val="21"/>
          <w:highlight w:val="none"/>
          <w:u w:val="single"/>
        </w:rPr>
        <w:t>技术分前N名（当通过技术标有效性审查的投标人家数大于等于3家且小于5家的，N取通过技术标有效性审查的全部家数；当通过技术标有效性审查的投标人家数大于或等于5家的，N=5）</w:t>
      </w:r>
      <w:r>
        <w:rPr>
          <w:rFonts w:hint="eastAsia" w:ascii="宋体" w:hAnsi="宋体" w:cs="宋体"/>
          <w:color w:val="auto"/>
          <w:szCs w:val="21"/>
          <w:highlight w:val="none"/>
        </w:rPr>
        <w:t>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w:t>
      </w:r>
      <w:r>
        <w:rPr>
          <w:rFonts w:hint="eastAsia" w:ascii="宋体" w:hAnsi="宋体"/>
          <w:b/>
          <w:color w:val="auto"/>
          <w:szCs w:val="21"/>
          <w:highlight w:val="none"/>
          <w:u w:val="single"/>
        </w:rPr>
        <w:t>技术分</w:t>
      </w:r>
      <w:r>
        <w:rPr>
          <w:rFonts w:hint="eastAsia" w:ascii="宋体" w:hAnsi="宋体" w:cs="宋体"/>
          <w:color w:val="auto"/>
          <w:szCs w:val="21"/>
          <w:highlight w:val="none"/>
        </w:rPr>
        <w:t>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w:t>
      </w:r>
    </w:p>
    <w:p>
      <w:pPr>
        <w:pBdr>
          <w:bottom w:val="single" w:color="auto" w:sz="6" w:space="1"/>
        </w:pBdr>
        <w:spacing w:line="360"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u w:val="single"/>
        </w:rPr>
        <w:t>若投标人技术标得分相同的，则以投标总报价较低的排前；若投标总报价仍相同的，则对具有相同情况的投标人，由评标委员会采用记名投票方式，确定投标人技术分名次的排序。</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kern w:val="0"/>
          <w:szCs w:val="21"/>
          <w:highlight w:val="none"/>
        </w:rPr>
        <w:t>42.4.3.2</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42.4.3.2当标价等于评标参考价时得100分，标价每高于评标参考价1%，扣1.5分，每低于评标参考价1%，扣1分，扣至0分为止，得出经济分，精确到小数点后两位。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4" w:firstLineChars="201"/>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42.4.3.2当标价等于评标参考价时得100分，标价每高于评标参考价1%，扣</w:t>
      </w:r>
      <w:r>
        <w:rPr>
          <w:rFonts w:ascii="宋体" w:hAnsi="宋体" w:cs="宋体"/>
          <w:color w:val="auto"/>
          <w:kern w:val="0"/>
          <w:szCs w:val="21"/>
          <w:highlight w:val="none"/>
          <w:u w:val="single"/>
        </w:rPr>
        <w:t xml:space="preserve"> 1 </w:t>
      </w:r>
      <w:r>
        <w:rPr>
          <w:rFonts w:hint="eastAsia" w:ascii="宋体" w:hAnsi="宋体" w:cs="宋体"/>
          <w:color w:val="auto"/>
          <w:kern w:val="0"/>
          <w:szCs w:val="21"/>
          <w:highlight w:val="none"/>
        </w:rPr>
        <w:t>分，每低于评标参考价1%，扣</w:t>
      </w:r>
      <w:r>
        <w:rPr>
          <w:rFonts w:ascii="宋体" w:hAnsi="宋体" w:cs="宋体"/>
          <w:color w:val="auto"/>
          <w:kern w:val="0"/>
          <w:szCs w:val="21"/>
          <w:highlight w:val="none"/>
          <w:u w:val="single"/>
        </w:rPr>
        <w:t xml:space="preserve"> 0.75 </w:t>
      </w:r>
      <w:r>
        <w:rPr>
          <w:rFonts w:hint="eastAsia" w:ascii="宋体" w:hAnsi="宋体" w:cs="宋体"/>
          <w:color w:val="auto"/>
          <w:kern w:val="0"/>
          <w:szCs w:val="21"/>
          <w:highlight w:val="none"/>
        </w:rPr>
        <w:t>分，扣至0分为止，得出经济分，精确到小数点后两位。</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kern w:val="0"/>
          <w:szCs w:val="21"/>
          <w:highlight w:val="none"/>
        </w:rPr>
        <w:t xml:space="preserve">42.7   </w:t>
      </w:r>
      <w:r>
        <w:rPr>
          <w:rFonts w:hint="eastAsia" w:ascii="宋体" w:hAnsi="宋体" w:cs="宋体"/>
          <w:b/>
          <w:color w:val="auto"/>
          <w:szCs w:val="21"/>
          <w:highlight w:val="none"/>
        </w:rPr>
        <w:t xml:space="preserve">            </w:t>
      </w:r>
      <w:r>
        <w:rPr>
          <w:rFonts w:ascii="宋体" w:hAnsi="宋体" w:cs="宋体"/>
          <w:b/>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42.7若通过经济标有效性审查的投标人不足三家，应当依法重新招标。（当N个标段同时招标且不允许兼中时，若有效投标人不足N+2家，应当依法重新招标）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4" w:firstLineChars="201"/>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u w:val="single"/>
        </w:rPr>
        <w:t>42.7若通过经济标有效性审查的投标人不足三家，应当依法重新招标。</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详见本招标文件第二章附表一《资格审查表》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pPr>
        <w:pBdr>
          <w:bottom w:val="single" w:color="auto" w:sz="6" w:space="1"/>
        </w:pBd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详见本招标文件第二章附表二《技术标有效性审查表》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详见本招标文件第二章附表三《经济标有效性审查表》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 xml:space="preserve">条款号：附表四《技术标详细审查评分表》         修改类型：修改  </w:t>
      </w:r>
    </w:p>
    <w:p>
      <w:pPr>
        <w:spacing w:line="360" w:lineRule="auto"/>
        <w:ind w:firstLine="424"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详见本招标文件第二章附表四《技术标详细审查评分表》</w:t>
      </w:r>
    </w:p>
    <w:p>
      <w:pP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424"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b/>
          <w:bCs/>
          <w:color w:val="auto"/>
          <w:highlight w:val="none"/>
        </w:rPr>
      </w:pPr>
      <w:r>
        <w:rPr>
          <w:rFonts w:hint="eastAsia" w:ascii="宋体" w:hAnsi="宋体" w:cs="宋体"/>
          <w:b/>
          <w:color w:val="auto"/>
          <w:szCs w:val="21"/>
          <w:highlight w:val="none"/>
        </w:rPr>
        <w:t>（以下无正文）</w:t>
      </w:r>
      <w:r>
        <w:rPr>
          <w:rFonts w:ascii="宋体" w:hAnsi="宋体" w:cs="宋体"/>
          <w:b/>
          <w:bCs/>
          <w:color w:val="auto"/>
          <w:highlight w:val="none"/>
        </w:rPr>
        <w:br w:type="page"/>
      </w:r>
    </w:p>
    <w:bookmarkEnd w:id="29"/>
    <w:p>
      <w:pPr>
        <w:pStyle w:val="7"/>
        <w:rPr>
          <w:color w:val="auto"/>
          <w:highlight w:val="none"/>
        </w:rPr>
      </w:pPr>
      <w:bookmarkStart w:id="30" w:name="_Toc23665"/>
      <w:r>
        <w:rPr>
          <w:rFonts w:hint="eastAsia"/>
          <w:color w:val="auto"/>
          <w:highlight w:val="none"/>
        </w:rPr>
        <w:t>二、开标、评标及定标办法</w:t>
      </w:r>
      <w:r>
        <w:rPr>
          <w:rFonts w:hint="eastAsia"/>
          <w:color w:val="auto"/>
          <w:szCs w:val="30"/>
          <w:highlight w:val="none"/>
        </w:rPr>
        <w:t>通用条款</w:t>
      </w:r>
      <w:bookmarkEnd w:id="30"/>
    </w:p>
    <w:p>
      <w:pPr>
        <w:widowControl/>
        <w:spacing w:before="100" w:beforeAutospacing="1" w:after="100" w:afterAutospacing="1" w:line="360" w:lineRule="auto"/>
        <w:ind w:firstLine="480" w:firstLineChars="200"/>
        <w:jc w:val="left"/>
        <w:outlineLvl w:val="2"/>
        <w:rPr>
          <w:rFonts w:ascii="宋体" w:hAnsi="宋体" w:cs="宋体"/>
          <w:color w:val="auto"/>
          <w:kern w:val="0"/>
          <w:sz w:val="24"/>
          <w:szCs w:val="24"/>
          <w:highlight w:val="none"/>
        </w:rPr>
      </w:pPr>
      <w:bookmarkStart w:id="31" w:name="_Toc58838579"/>
      <w:bookmarkStart w:id="32" w:name="_Toc32553"/>
      <w:r>
        <w:rPr>
          <w:rFonts w:hint="eastAsia" w:ascii="宋体" w:hAnsi="宋体" w:cs="宋体"/>
          <w:color w:val="auto"/>
          <w:kern w:val="0"/>
          <w:sz w:val="24"/>
          <w:szCs w:val="24"/>
          <w:highlight w:val="none"/>
        </w:rPr>
        <w:t>（一）总则</w:t>
      </w:r>
      <w:bookmarkEnd w:id="31"/>
      <w:bookmarkEnd w:id="32"/>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36.5按下列程序进行开标：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36.5.2备用光盘的读取按投标须知前附表第36项的规定执行；</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36.5.4开标结束。</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根据评标细则，对投标文件进行认真评审，完成评审报告；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widowControl/>
        <w:spacing w:before="100" w:beforeAutospacing="1" w:after="100" w:afterAutospacing="1" w:line="360" w:lineRule="auto"/>
        <w:ind w:firstLine="480" w:firstLineChars="200"/>
        <w:jc w:val="left"/>
        <w:outlineLvl w:val="2"/>
        <w:rPr>
          <w:rFonts w:ascii="宋体" w:hAnsi="宋体" w:cs="宋体"/>
          <w:color w:val="auto"/>
          <w:kern w:val="0"/>
          <w:sz w:val="24"/>
          <w:szCs w:val="24"/>
          <w:highlight w:val="none"/>
        </w:rPr>
      </w:pPr>
      <w:bookmarkStart w:id="33" w:name="_Toc9400"/>
      <w:bookmarkStart w:id="34" w:name="_Toc58838580"/>
      <w:r>
        <w:rPr>
          <w:rFonts w:hint="eastAsia" w:ascii="宋体" w:hAnsi="宋体" w:cs="宋体"/>
          <w:color w:val="auto"/>
          <w:kern w:val="0"/>
          <w:sz w:val="24"/>
          <w:szCs w:val="24"/>
          <w:highlight w:val="none"/>
        </w:rPr>
        <w:t>（二）开标评标办法程序和细则</w:t>
      </w:r>
      <w:bookmarkEnd w:id="33"/>
      <w:bookmarkEnd w:id="34"/>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注：以下八种评标办法所述企业诚信综合评价分数即投标截止当日广州市工程招标代理行业协会网站上公布的企业诚信综合评价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spacing w:line="360" w:lineRule="auto"/>
        <w:ind w:firstLine="480" w:firstLineChars="200"/>
        <w:rPr>
          <w:rFonts w:ascii="宋体" w:hAnsi="宋体"/>
          <w:color w:val="auto"/>
          <w:sz w:val="24"/>
          <w:szCs w:val="24"/>
          <w:highlight w:val="none"/>
        </w:rPr>
      </w:pPr>
    </w:p>
    <w:p>
      <w:pPr>
        <w:spacing w:line="360" w:lineRule="auto"/>
        <w:jc w:val="left"/>
        <w:rPr>
          <w:rFonts w:ascii="宋体" w:hAnsi="宋体" w:cs="宋体"/>
          <w:color w:val="auto"/>
          <w:sz w:val="24"/>
          <w:szCs w:val="24"/>
          <w:highlight w:val="none"/>
        </w:rPr>
      </w:pPr>
    </w:p>
    <w:p>
      <w:pPr>
        <w:spacing w:line="360" w:lineRule="auto"/>
        <w:jc w:val="left"/>
        <w:rPr>
          <w:rFonts w:ascii="宋体" w:hAnsi="宋体" w:cs="宋体"/>
          <w:color w:val="auto"/>
          <w:sz w:val="24"/>
          <w:szCs w:val="24"/>
          <w:highlight w:val="none"/>
        </w:rPr>
      </w:pPr>
    </w:p>
    <w:p>
      <w:pPr>
        <w:spacing w:line="360" w:lineRule="auto"/>
        <w:jc w:val="left"/>
        <w:rPr>
          <w:rFonts w:ascii="宋体" w:hAnsi="宋体" w:cs="宋体"/>
          <w:color w:val="auto"/>
          <w:sz w:val="24"/>
          <w:szCs w:val="24"/>
          <w:highlight w:val="none"/>
        </w:rPr>
      </w:pPr>
    </w:p>
    <w:p>
      <w:pPr>
        <w:pStyle w:val="9"/>
        <w:rPr>
          <w:color w:val="auto"/>
          <w:highlight w:val="none"/>
        </w:rPr>
      </w:pPr>
      <w:bookmarkStart w:id="35" w:name="_Toc21525508"/>
      <w:bookmarkStart w:id="36" w:name="_Toc2272563"/>
      <w:bookmarkStart w:id="37" w:name="_Toc29337"/>
      <w:r>
        <w:rPr>
          <w:rFonts w:hint="eastAsia"/>
          <w:color w:val="auto"/>
          <w:highlight w:val="none"/>
        </w:rPr>
        <w:t>可选办法六（适合综合评分法三，技术标与经济标同时开启）</w:t>
      </w:r>
      <w:bookmarkEnd w:id="35"/>
      <w:bookmarkEnd w:id="36"/>
      <w:bookmarkEnd w:id="37"/>
    </w:p>
    <w:p>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s="宋体"/>
          <w:strike/>
          <w:color w:val="auto"/>
          <w:szCs w:val="21"/>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s="宋体"/>
          <w:color w:val="auto"/>
          <w:sz w:val="24"/>
          <w:szCs w:val="24"/>
          <w:highlight w:val="none"/>
        </w:rPr>
      </w:pPr>
    </w:p>
    <w:p>
      <w:pPr>
        <w:spacing w:line="360" w:lineRule="auto"/>
        <w:rPr>
          <w:rFonts w:ascii="宋体" w:hAnsi="宋体" w:cs="宋体"/>
          <w:color w:val="auto"/>
          <w:sz w:val="24"/>
          <w:szCs w:val="24"/>
          <w:highlight w:val="none"/>
        </w:rPr>
        <w:sectPr>
          <w:footerReference r:id="rId9" w:type="first"/>
          <w:headerReference r:id="rId7" w:type="even"/>
          <w:footerReference r:id="rId8" w:type="even"/>
          <w:endnotePr>
            <w:numFmt w:val="decimal"/>
          </w:endnotePr>
          <w:pgSz w:w="11906" w:h="16838"/>
          <w:pgMar w:top="1134" w:right="1418" w:bottom="1247" w:left="1418" w:header="851" w:footer="907" w:gutter="0"/>
          <w:pgNumType w:fmt="decimal" w:start="1"/>
          <w:cols w:space="720" w:num="1"/>
          <w:titlePg/>
          <w:docGrid w:type="lines" w:linePitch="312" w:charSpace="0"/>
        </w:sectPr>
      </w:pPr>
    </w:p>
    <w:p>
      <w:pPr>
        <w:pStyle w:val="9"/>
        <w:rPr>
          <w:color w:val="auto"/>
          <w:highlight w:val="none"/>
        </w:rPr>
      </w:pPr>
      <w:bookmarkStart w:id="38" w:name="_Toc22078"/>
      <w:r>
        <w:rPr>
          <w:rFonts w:hint="eastAsia"/>
          <w:color w:val="auto"/>
          <w:highlight w:val="none"/>
        </w:rPr>
        <w:t>附表一</w:t>
      </w:r>
      <w:bookmarkEnd w:id="38"/>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49"/>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6831"/>
        <w:gridCol w:w="635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olor w:val="auto"/>
                <w:szCs w:val="21"/>
                <w:highlight w:val="non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资质证书及安全生产许可证</w:t>
            </w:r>
            <w:r>
              <w:rPr>
                <w:rFonts w:hint="eastAsia" w:ascii="宋体" w:hAnsi="宋体"/>
                <w:color w:val="auto"/>
                <w:szCs w:val="21"/>
                <w:highlight w:val="non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r>
              <w:rPr>
                <w:rFonts w:hint="eastAsia" w:ascii="宋体" w:hAnsi="宋体" w:cs="宋体"/>
                <w:color w:val="auto"/>
                <w:szCs w:val="21"/>
                <w:highlight w:val="none"/>
                <w:u w:val="single"/>
              </w:rPr>
              <w:t>建造师注册证书扫描件</w:t>
            </w:r>
          </w:p>
          <w:p>
            <w:pPr>
              <w:rPr>
                <w:rFonts w:ascii="宋体" w:hAnsi="宋体" w:cs="宋体"/>
                <w:color w:val="auto"/>
                <w:szCs w:val="21"/>
                <w:highlight w:val="none"/>
                <w:u w:val="single"/>
              </w:rPr>
            </w:pPr>
            <w:r>
              <w:rPr>
                <w:rFonts w:hint="eastAsia" w:ascii="宋体" w:hAnsi="宋体" w:cs="宋体"/>
                <w:color w:val="auto"/>
                <w:szCs w:val="21"/>
                <w:highlight w:val="none"/>
                <w:u w:val="single"/>
              </w:rPr>
              <w:t>（注：打印建造师电子证书后，应在个人签名处手写本人签名，未手写签名或与签名图像笔迹不一致的，该电子证书无效。）</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bCs/>
                <w:color w:val="auto"/>
                <w:szCs w:val="21"/>
                <w:highlight w:val="none"/>
                <w:u w:val="single"/>
              </w:rPr>
              <w:t>拟委派技术负责人的职称证书扫描件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专职安全员须具有安全生产考核合格证（C类）或建筑施工企业专职安全生产管理人员安全生产考核合格证书</w:t>
            </w:r>
            <w:r>
              <w:rPr>
                <w:rFonts w:hint="eastAsia" w:ascii="宋体" w:hAnsi="宋体" w:cs="宋体"/>
                <w:color w:val="auto"/>
                <w:szCs w:val="21"/>
                <w:highlight w:val="none"/>
                <w:u w:val="single"/>
              </w:rPr>
              <w:t>（C3类）</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专职安全员的安全生产考核合格证（C类）或建筑施工企业专职安全生产管理人员安全生产考核合格证书</w:t>
            </w:r>
            <w:r>
              <w:rPr>
                <w:rFonts w:hint="eastAsia" w:ascii="宋体" w:hAnsi="宋体" w:cs="宋体"/>
                <w:color w:val="auto"/>
                <w:szCs w:val="21"/>
                <w:highlight w:val="none"/>
                <w:u w:val="single"/>
              </w:rPr>
              <w:t>（C3类）</w:t>
            </w:r>
            <w:r>
              <w:rPr>
                <w:rFonts w:hint="eastAsia" w:ascii="宋体" w:hAnsi="宋体"/>
                <w:color w:val="auto"/>
                <w:szCs w:val="21"/>
                <w:highlight w:val="none"/>
              </w:rPr>
              <w:t>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olor w:val="auto"/>
                <w:szCs w:val="21"/>
                <w:highlight w:val="none"/>
              </w:rPr>
              <w:t>投标人完成过的类似工程业绩符合公告要求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olor w:val="auto"/>
                <w:szCs w:val="21"/>
                <w:highlight w:val="none"/>
              </w:rPr>
              <w:t>业绩资料扫描件</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9</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10</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11</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Style w:val="235"/>
                <w:rFonts w:hint="default" w:cs="宋体"/>
                <w:color w:val="auto"/>
                <w:sz w:val="21"/>
                <w:szCs w:val="21"/>
                <w:highlight w:val="none"/>
              </w:rPr>
              <w:t>关于联合体投标：本项目</w:t>
            </w:r>
            <w:r>
              <w:rPr>
                <w:rStyle w:val="235"/>
                <w:rFonts w:hint="default" w:cs="宋体"/>
                <w:b/>
                <w:color w:val="auto"/>
                <w:sz w:val="21"/>
                <w:szCs w:val="21"/>
                <w:highlight w:val="none"/>
              </w:rPr>
              <w:t>接受</w:t>
            </w:r>
            <w:r>
              <w:rPr>
                <w:rStyle w:val="235"/>
                <w:rFonts w:hint="default" w:cs="宋体"/>
                <w:color w:val="auto"/>
                <w:sz w:val="21"/>
                <w:szCs w:val="21"/>
                <w:highlight w:val="none"/>
              </w:rPr>
              <w:t>联合体投标。</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trike/>
                <w:color w:val="auto"/>
                <w:szCs w:val="21"/>
                <w:highlight w:val="none"/>
                <w:u w:val="single"/>
              </w:rPr>
            </w:pPr>
            <w:r>
              <w:rPr>
                <w:rFonts w:hint="eastAsia" w:ascii="宋体" w:hAnsi="宋体"/>
                <w:color w:val="auto"/>
                <w:szCs w:val="21"/>
                <w:highlight w:val="none"/>
                <w:u w:val="single"/>
              </w:rPr>
              <w:t>如联合体投标，应符合招标公告要求。</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12</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投标登记前，投标人须在广州公共资源交易中心办理企业信息登记及拟担任本工程项目负责人、专职安全员须是本企业信息登记中的在册人员。</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olor w:val="auto"/>
                <w:szCs w:val="21"/>
                <w:highlight w:val="none"/>
              </w:rPr>
              <w:t>投标人在广州公共资源交易中心企业信息登记的企业和人员信息</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p>
        </w:tc>
        <w:tc>
          <w:tcPr>
            <w:tcW w:w="6831" w:type="dxa"/>
            <w:tcBorders>
              <w:top w:val="single" w:color="auto" w:sz="4" w:space="0"/>
              <w:left w:val="single" w:color="auto" w:sz="4" w:space="0"/>
              <w:bottom w:val="single" w:color="auto" w:sz="4" w:space="0"/>
              <w:right w:val="single" w:color="auto" w:sz="4" w:space="0"/>
            </w:tcBorders>
            <w:vAlign w:val="center"/>
          </w:tcPr>
          <w:p>
            <w:pPr>
              <w:spacing w:before="120" w:after="60"/>
              <w:rPr>
                <w:rFonts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635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s="宋体"/>
                <w:color w:val="auto"/>
                <w:szCs w:val="21"/>
                <w:highlight w:val="none"/>
              </w:rPr>
              <w:t>1</w:t>
            </w:r>
            <w:r>
              <w:rPr>
                <w:rFonts w:ascii="宋体" w:hAnsi="宋体" w:cs="宋体"/>
                <w:color w:val="auto"/>
                <w:szCs w:val="21"/>
                <w:highlight w:val="none"/>
              </w:rPr>
              <w:t>4</w:t>
            </w:r>
          </w:p>
        </w:tc>
        <w:tc>
          <w:tcPr>
            <w:tcW w:w="6831"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住房和城乡建设局（广州开发区建设和交通局）网页“建筑活动不良行为记录”栏目（网址： http://www.hp.gov.cn/gzjg/qzfgwhgzbm/qzfhcxjsj10/jzhdblxwjl/ ）公布名单为准。若资格审查时网址有变化，以最新网址为准。</w:t>
            </w:r>
          </w:p>
        </w:tc>
        <w:tc>
          <w:tcPr>
            <w:tcW w:w="635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以资格审查时广州市黄埔区人民政府、广州开发区管委会网站的区住房和城乡建设局（广州开发区建设和交通局）网页“建筑活动不良行为记录”栏目（网址： http://www.hp.gov.cn/gzjg/qzfgwhgzbm/qzfhcxjsj10/jzhdblxwjl/ ）公布名单为准。若资格审查时网址有变化，以最新网址为准。若资格审查时网址有变化，以最新网址为准。</w:t>
            </w:r>
          </w:p>
        </w:tc>
        <w:tc>
          <w:tcPr>
            <w:tcW w:w="1065"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bl>
    <w:p>
      <w:pPr>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1、每一项目符合的打“○”，不符合的打“×”；</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ind w:firstLine="470" w:firstLineChars="224"/>
        <w:rPr>
          <w:rFonts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color w:val="auto"/>
          <w:highlight w:val="none"/>
        </w:rPr>
        <w:sectPr>
          <w:endnotePr>
            <w:numFmt w:val="decimal"/>
          </w:endnotePr>
          <w:pgSz w:w="16838" w:h="11906" w:orient="landscape"/>
          <w:pgMar w:top="1418" w:right="1134" w:bottom="1418" w:left="1247" w:header="851" w:footer="907" w:gutter="0"/>
          <w:pgNumType w:fmt="decimal"/>
          <w:cols w:space="720" w:num="1"/>
          <w:titlePg/>
          <w:docGrid w:type="linesAndChars" w:linePitch="312" w:charSpace="0"/>
        </w:sectPr>
      </w:pPr>
    </w:p>
    <w:p>
      <w:pPr>
        <w:pStyle w:val="9"/>
        <w:rPr>
          <w:color w:val="auto"/>
          <w:highlight w:val="none"/>
        </w:rPr>
      </w:pPr>
      <w:bookmarkStart w:id="39" w:name="_Toc26791"/>
      <w:r>
        <w:rPr>
          <w:rFonts w:hint="eastAsia"/>
          <w:color w:val="auto"/>
          <w:highlight w:val="none"/>
        </w:rPr>
        <w:t>附表二</w:t>
      </w:r>
      <w:bookmarkEnd w:id="39"/>
    </w:p>
    <w:p>
      <w:pPr>
        <w:jc w:val="center"/>
        <w:rPr>
          <w:rFonts w:ascii="宋体" w:hAnsi="宋体"/>
          <w:b/>
          <w:color w:val="auto"/>
          <w:sz w:val="36"/>
          <w:szCs w:val="36"/>
          <w:highlight w:val="none"/>
        </w:rPr>
      </w:pPr>
      <w:r>
        <w:rPr>
          <w:rFonts w:hint="eastAsia" w:ascii="宋体" w:hAnsi="宋体"/>
          <w:b/>
          <w:color w:val="auto"/>
          <w:sz w:val="36"/>
          <w:szCs w:val="36"/>
          <w:highlight w:val="none"/>
        </w:rPr>
        <w:t>技术标有效性审查表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8543"/>
        <w:gridCol w:w="934"/>
        <w:gridCol w:w="934"/>
        <w:gridCol w:w="934"/>
        <w:gridCol w:w="934"/>
        <w:gridCol w:w="934"/>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8543"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3570" w:firstLineChars="170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szCs w:val="21"/>
                <w:highlight w:val="none"/>
              </w:rPr>
              <w:t>《广州建设工程施工招标投标书（技术标）》中的总工期不符合招标文件要求的；</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《广州建设工程施工招标投标书（技术标）》中的工程质量标准不符合招标文件要求的；</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3</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w:t>
            </w:r>
            <w:r>
              <w:rPr>
                <w:rFonts w:hint="eastAsia" w:ascii="宋体" w:hAnsi="宋体"/>
                <w:color w:val="auto"/>
                <w:szCs w:val="21"/>
                <w:highlight w:val="none"/>
                <w:u w:val="single"/>
              </w:rPr>
              <w:t>盖章或签字</w:t>
            </w:r>
            <w:r>
              <w:rPr>
                <w:rFonts w:hint="eastAsia" w:ascii="宋体" w:hAnsi="宋体"/>
                <w:color w:val="auto"/>
                <w:szCs w:val="21"/>
                <w:highlight w:val="none"/>
              </w:rPr>
              <w:t>的投标文件中没有法定代表人授权书；</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4</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u w:val="singl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（指招标文件第一章第</w:t>
            </w:r>
            <w:r>
              <w:rPr>
                <w:rFonts w:ascii="宋体" w:hAnsi="宋体" w:cs="宋体"/>
                <w:color w:val="auto"/>
                <w:szCs w:val="21"/>
                <w:highlight w:val="none"/>
                <w:u w:val="single"/>
              </w:rPr>
              <w:t>11条投标文件的组成规定内容中有关</w:t>
            </w:r>
            <w:r>
              <w:rPr>
                <w:rFonts w:hint="eastAsia" w:ascii="宋体" w:hAnsi="宋体" w:cs="宋体"/>
                <w:color w:val="auto"/>
                <w:szCs w:val="21"/>
                <w:highlight w:val="none"/>
                <w:u w:val="single"/>
              </w:rPr>
              <w:t>技术标的</w:t>
            </w:r>
            <w:r>
              <w:rPr>
                <w:rFonts w:ascii="宋体" w:hAnsi="宋体" w:cs="宋体"/>
                <w:color w:val="auto"/>
                <w:szCs w:val="21"/>
                <w:highlight w:val="none"/>
                <w:u w:val="single"/>
              </w:rPr>
              <w:t>规定内容）</w:t>
            </w:r>
            <w:r>
              <w:rPr>
                <w:rFonts w:hint="eastAsia" w:ascii="宋体" w:hAnsi="宋体" w:cs="宋体"/>
                <w:color w:val="auto"/>
                <w:szCs w:val="21"/>
                <w:highlight w:val="none"/>
              </w:rPr>
              <w:t>填写，或主要内容（指投标文件组成内容）不全，或关键字迹模糊、无法辨认的；</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5</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6</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7</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ascii="宋体" w:hAnsi="宋体"/>
                <w:color w:val="auto"/>
                <w:szCs w:val="21"/>
                <w:highlight w:val="none"/>
              </w:rPr>
              <w:t>8</w:t>
            </w:r>
          </w:p>
        </w:tc>
        <w:tc>
          <w:tcPr>
            <w:tcW w:w="854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937"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ind w:firstLine="420" w:firstLineChars="200"/>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ind w:firstLine="420" w:firstLineChars="200"/>
        <w:rPr>
          <w:rFonts w:ascii="宋体" w:hAnsi="宋体"/>
          <w:color w:val="auto"/>
          <w:szCs w:val="21"/>
          <w:highlight w:val="none"/>
        </w:rPr>
      </w:pPr>
      <w:r>
        <w:rPr>
          <w:rFonts w:hint="eastAsia" w:ascii="宋体" w:hAnsi="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ind w:firstLine="420" w:firstLineChars="200"/>
        <w:rPr>
          <w:rFonts w:ascii="宋体" w:hAnsi="宋体"/>
          <w:color w:val="auto"/>
          <w:szCs w:val="21"/>
          <w:highlight w:val="none"/>
        </w:rPr>
      </w:pPr>
      <w:r>
        <w:rPr>
          <w:rFonts w:hint="eastAsia" w:ascii="宋体" w:hAnsi="宋体"/>
          <w:color w:val="auto"/>
          <w:szCs w:val="21"/>
          <w:highlight w:val="none"/>
        </w:rPr>
        <w:t>3.凡出现以上任何一项情形，结论均为无效，否则就为有效。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4.如对本表中某种情形的评审意见不一致时，以评标委员会过半数成员的意见作为评标委员会对该情形的认定结论。</w:t>
      </w:r>
    </w:p>
    <w:p>
      <w:pPr>
        <w:rPr>
          <w:rFonts w:ascii="宋体" w:hAnsi="宋体"/>
          <w:color w:val="auto"/>
          <w:highlight w:val="none"/>
        </w:rPr>
      </w:pPr>
      <w:r>
        <w:rPr>
          <w:rFonts w:hint="eastAsia" w:ascii="宋体" w:hAnsi="宋体"/>
          <w:color w:val="auto"/>
          <w:szCs w:val="21"/>
          <w:highlight w:val="none"/>
        </w:rPr>
        <w:t>评委签名：</w:t>
      </w:r>
    </w:p>
    <w:p>
      <w:pPr>
        <w:pStyle w:val="9"/>
        <w:rPr>
          <w:color w:val="auto"/>
          <w:highlight w:val="none"/>
        </w:rPr>
      </w:pPr>
      <w:r>
        <w:rPr>
          <w:rFonts w:hint="eastAsia"/>
          <w:color w:val="auto"/>
          <w:highlight w:val="none"/>
        </w:rPr>
        <w:br w:type="page"/>
      </w:r>
      <w:bookmarkStart w:id="40" w:name="_Toc18896"/>
      <w:r>
        <w:rPr>
          <w:rFonts w:hint="eastAsia"/>
          <w:color w:val="auto"/>
          <w:highlight w:val="none"/>
        </w:rPr>
        <w:t>附表三</w:t>
      </w:r>
      <w:bookmarkEnd w:id="40"/>
    </w:p>
    <w:p>
      <w:pPr>
        <w:jc w:val="center"/>
        <w:rPr>
          <w:rFonts w:ascii="宋体" w:hAnsi="宋体"/>
          <w:b/>
          <w:color w:val="auto"/>
          <w:sz w:val="36"/>
          <w:szCs w:val="36"/>
          <w:highlight w:val="none"/>
        </w:rPr>
      </w:pPr>
      <w:r>
        <w:rPr>
          <w:rFonts w:hint="eastAsia" w:ascii="宋体" w:hAnsi="宋体"/>
          <w:b/>
          <w:color w:val="auto"/>
          <w:sz w:val="36"/>
          <w:szCs w:val="36"/>
          <w:highlight w:val="none"/>
        </w:rPr>
        <w:t>经济标有效性审查表</w:t>
      </w:r>
    </w:p>
    <w:p>
      <w:pPr>
        <w:rPr>
          <w:rFonts w:ascii="宋体" w:hAnsi="宋体"/>
          <w:color w:val="auto"/>
          <w:szCs w:val="21"/>
          <w:highlight w:val="none"/>
        </w:rPr>
      </w:pPr>
      <w:r>
        <w:rPr>
          <w:rFonts w:hint="eastAsia" w:ascii="宋体" w:hAnsi="宋体"/>
          <w:color w:val="auto"/>
          <w:szCs w:val="21"/>
          <w:highlight w:val="none"/>
        </w:rPr>
        <w:t>工程名称：</w:t>
      </w:r>
    </w:p>
    <w:tbl>
      <w:tblPr>
        <w:tblStyle w:val="49"/>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609"/>
        <w:gridCol w:w="979"/>
        <w:gridCol w:w="979"/>
        <w:gridCol w:w="979"/>
        <w:gridCol w:w="979"/>
        <w:gridCol w:w="97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8609" w:type="dxa"/>
            <w:tcBorders>
              <w:top w:val="single" w:color="auto" w:sz="4" w:space="0"/>
              <w:left w:val="single" w:color="auto" w:sz="4" w:space="0"/>
              <w:bottom w:val="single" w:color="auto" w:sz="4" w:space="0"/>
              <w:right w:val="single" w:color="auto" w:sz="4" w:space="0"/>
              <w:tl2br w:val="single" w:color="auto" w:sz="4" w:space="0"/>
            </w:tcBorders>
          </w:tcPr>
          <w:p>
            <w:pPr>
              <w:ind w:firstLine="2940" w:firstLineChars="1400"/>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86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bCs/>
                <w:color w:val="auto"/>
                <w:szCs w:val="21"/>
                <w:highlight w:val="none"/>
              </w:rPr>
              <w:t>投标文件未按规定的格式填写，或主要内容</w:t>
            </w:r>
            <w:r>
              <w:rPr>
                <w:rFonts w:hint="eastAsia" w:ascii="宋体" w:hAnsi="宋体"/>
                <w:bCs/>
                <w:color w:val="auto"/>
                <w:szCs w:val="21"/>
                <w:highlight w:val="none"/>
                <w:u w:val="single"/>
              </w:rPr>
              <w:t>（指招标文件第一章第11条投标文件的组成规定内容中有关经济标的规定内容）</w:t>
            </w:r>
            <w:r>
              <w:rPr>
                <w:rFonts w:hint="eastAsia" w:ascii="宋体" w:hAnsi="宋体"/>
                <w:bCs/>
                <w:color w:val="auto"/>
                <w:szCs w:val="21"/>
                <w:highlight w:val="none"/>
              </w:rPr>
              <w:t>不全，或关键字迹模糊、无法辨认；</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p>
        </w:tc>
        <w:tc>
          <w:tcPr>
            <w:tcW w:w="86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注：1.本表使用GZZB2018-3招标文件范本，与范本内容不同之处均以下划线标明。</w:t>
      </w:r>
    </w:p>
    <w:p>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rPr>
          <w:rFonts w:ascii="宋体" w:hAnsi="宋体" w:cs="宋体"/>
          <w:color w:val="auto"/>
          <w:szCs w:val="21"/>
          <w:highlight w:val="none"/>
        </w:rPr>
        <w:sectPr>
          <w:endnotePr>
            <w:numFmt w:val="decimal"/>
          </w:endnotePr>
          <w:pgSz w:w="16838" w:h="11906" w:orient="landscape"/>
          <w:pgMar w:top="1418" w:right="1247" w:bottom="1418" w:left="1134" w:header="851" w:footer="907" w:gutter="0"/>
          <w:pgNumType w:fmt="decimal"/>
          <w:cols w:space="720" w:num="1"/>
          <w:titlePg/>
          <w:docGrid w:type="lines" w:linePitch="312" w:charSpace="0"/>
        </w:sectPr>
      </w:pPr>
      <w:r>
        <w:rPr>
          <w:rFonts w:hint="eastAsia" w:ascii="宋体" w:hAnsi="宋体"/>
          <w:color w:val="auto"/>
          <w:szCs w:val="21"/>
          <w:highlight w:val="none"/>
        </w:rPr>
        <w:t>评委签名：</w:t>
      </w:r>
    </w:p>
    <w:p>
      <w:pPr>
        <w:pStyle w:val="9"/>
        <w:rPr>
          <w:color w:val="auto"/>
          <w:highlight w:val="none"/>
        </w:rPr>
      </w:pPr>
      <w:bookmarkStart w:id="41" w:name="_Toc11226"/>
      <w:r>
        <w:rPr>
          <w:rFonts w:hint="eastAsia"/>
          <w:color w:val="auto"/>
          <w:highlight w:val="none"/>
        </w:rPr>
        <w:t>附表四</w:t>
      </w:r>
      <w:bookmarkEnd w:id="41"/>
    </w:p>
    <w:p>
      <w:pPr>
        <w:spacing w:line="360" w:lineRule="auto"/>
        <w:jc w:val="center"/>
        <w:rPr>
          <w:rFonts w:ascii="Times New Roman" w:hAnsi="Times New Roman"/>
          <w:b/>
          <w:color w:val="auto"/>
          <w:sz w:val="36"/>
          <w:szCs w:val="36"/>
          <w:highlight w:val="none"/>
        </w:rPr>
      </w:pPr>
      <w:bookmarkStart w:id="42" w:name="_Toc23494909"/>
      <w:r>
        <w:rPr>
          <w:rFonts w:hint="eastAsia" w:ascii="Times New Roman" w:hAnsi="Times New Roman"/>
          <w:b/>
          <w:color w:val="auto"/>
          <w:sz w:val="36"/>
          <w:szCs w:val="36"/>
          <w:highlight w:val="none"/>
        </w:rPr>
        <w:t>技术标详细审查评分表</w:t>
      </w:r>
    </w:p>
    <w:tbl>
      <w:tblPr>
        <w:tblStyle w:val="49"/>
        <w:tblW w:w="52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406"/>
        <w:gridCol w:w="577"/>
        <w:gridCol w:w="1513"/>
        <w:gridCol w:w="810"/>
        <w:gridCol w:w="3130"/>
        <w:gridCol w:w="3098"/>
        <w:gridCol w:w="3104"/>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8" w:hRule="atLeast"/>
          <w:jc w:val="center"/>
        </w:trPr>
        <w:tc>
          <w:tcPr>
            <w:tcW w:w="1358" w:type="dxa"/>
            <w:vMerge w:val="restart"/>
            <w:tcBorders>
              <w:top w:val="single" w:color="auto" w:sz="4" w:space="0"/>
              <w:left w:val="single" w:color="auto" w:sz="4" w:space="0"/>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评分项目</w:t>
            </w:r>
          </w:p>
        </w:tc>
        <w:tc>
          <w:tcPr>
            <w:tcW w:w="2019" w:type="dxa"/>
            <w:gridSpan w:val="2"/>
            <w:vMerge w:val="restart"/>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评分内容</w:t>
            </w:r>
          </w:p>
        </w:tc>
        <w:tc>
          <w:tcPr>
            <w:tcW w:w="782" w:type="dxa"/>
            <w:vMerge w:val="restart"/>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分值</w:t>
            </w:r>
          </w:p>
        </w:tc>
        <w:tc>
          <w:tcPr>
            <w:tcW w:w="10696" w:type="dxa"/>
            <w:gridSpan w:val="4"/>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8" w:hRule="atLeast"/>
          <w:jc w:val="center"/>
        </w:trPr>
        <w:tc>
          <w:tcPr>
            <w:tcW w:w="1358"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2019" w:type="dxa"/>
            <w:gridSpan w:val="2"/>
            <w:vMerge w:val="continue"/>
            <w:tcBorders>
              <w:top w:val="single" w:color="auto" w:sz="4" w:space="0"/>
              <w:left w:val="nil"/>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782" w:type="dxa"/>
            <w:vMerge w:val="continue"/>
            <w:tcBorders>
              <w:top w:val="single" w:color="auto" w:sz="4" w:space="0"/>
              <w:left w:val="nil"/>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3024"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优</w:t>
            </w:r>
          </w:p>
        </w:tc>
        <w:tc>
          <w:tcPr>
            <w:tcW w:w="2993"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良</w:t>
            </w:r>
          </w:p>
        </w:tc>
        <w:tc>
          <w:tcPr>
            <w:tcW w:w="2998"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一般</w:t>
            </w:r>
          </w:p>
        </w:tc>
        <w:tc>
          <w:tcPr>
            <w:tcW w:w="1681"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170" w:hRule="atLeast"/>
          <w:jc w:val="center"/>
        </w:trPr>
        <w:tc>
          <w:tcPr>
            <w:tcW w:w="1358" w:type="dxa"/>
            <w:vMerge w:val="restart"/>
            <w:tcBorders>
              <w:top w:val="nil"/>
              <w:left w:val="single" w:color="auto" w:sz="4" w:space="0"/>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一、施工组织设计（30分）</w:t>
            </w:r>
          </w:p>
        </w:tc>
        <w:tc>
          <w:tcPr>
            <w:tcW w:w="2019" w:type="dxa"/>
            <w:gridSpan w:val="2"/>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施工组织方案与技术措施</w:t>
            </w:r>
          </w:p>
        </w:tc>
        <w:tc>
          <w:tcPr>
            <w:tcW w:w="782"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5</w:t>
            </w:r>
          </w:p>
        </w:tc>
        <w:tc>
          <w:tcPr>
            <w:tcW w:w="3024"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有施工总体部署和平面布置方案、施工组织方案及施工方法、保障工程质量、工期和施工安全生产的技术措施。得5分。</w:t>
            </w:r>
          </w:p>
        </w:tc>
        <w:tc>
          <w:tcPr>
            <w:tcW w:w="2993"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有施工总体部署和平面布置方案/施工组织方案及施工方法/保障工程质量、工期和施工安全生产的技术措施当中两项。得4分。</w:t>
            </w:r>
          </w:p>
        </w:tc>
        <w:tc>
          <w:tcPr>
            <w:tcW w:w="2998"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仅有施工总体部署和平面布置方案/施工组织方案及施工方法/保障工程质量、工期和施工安全生产的技术措施当中一项。得3分。</w:t>
            </w:r>
          </w:p>
        </w:tc>
        <w:tc>
          <w:tcPr>
            <w:tcW w:w="1681" w:type="dxa"/>
            <w:tcBorders>
              <w:top w:val="single" w:color="auto" w:sz="4" w:space="0"/>
              <w:left w:val="nil"/>
              <w:bottom w:val="single" w:color="auto" w:sz="4" w:space="0"/>
              <w:right w:val="single" w:color="auto" w:sz="4" w:space="0"/>
            </w:tcBorders>
            <w:noWrap w:val="0"/>
            <w:vAlign w:val="top"/>
          </w:tcPr>
          <w:p>
            <w:pPr>
              <w:pStyle w:val="45"/>
              <w:widowControl w:val="0"/>
              <w:spacing w:before="0" w:beforeAutospacing="0" w:after="0" w:afterAutospacing="0"/>
              <w:jc w:val="both"/>
              <w:rPr>
                <w:color w:val="auto"/>
                <w:sz w:val="21"/>
                <w:szCs w:val="21"/>
                <w:highlight w:val="none"/>
              </w:rPr>
            </w:pPr>
            <w:r>
              <w:rPr>
                <w:rFonts w:hint="eastAsia"/>
                <w:color w:val="auto"/>
                <w:sz w:val="21"/>
                <w:szCs w:val="21"/>
                <w:highlight w:val="none"/>
                <w:lang w:bidi="ar"/>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590"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施工总进度计划</w:t>
            </w:r>
          </w:p>
        </w:tc>
        <w:tc>
          <w:tcPr>
            <w:tcW w:w="782"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5</w:t>
            </w:r>
          </w:p>
        </w:tc>
        <w:tc>
          <w:tcPr>
            <w:tcW w:w="3024"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制定了施工进度计划并有进度计划保证措施，施工工期计划目标对比招标文件要求提前10天或以上完工，得5分。</w:t>
            </w:r>
          </w:p>
        </w:tc>
        <w:tc>
          <w:tcPr>
            <w:tcW w:w="2993"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制定了施工进度计划并有进度计划保证措施，施工工期计划目标对比招标文件要求提前5至9天完工，得4分。</w:t>
            </w:r>
          </w:p>
        </w:tc>
        <w:tc>
          <w:tcPr>
            <w:tcW w:w="2998" w:type="dxa"/>
            <w:tcBorders>
              <w:top w:val="single" w:color="auto" w:sz="4" w:space="0"/>
              <w:left w:val="nil"/>
              <w:bottom w:val="single" w:color="auto" w:sz="4" w:space="0"/>
              <w:right w:val="single" w:color="auto" w:sz="4" w:space="0"/>
            </w:tcBorders>
            <w:noWrap w:val="0"/>
            <w:vAlign w:val="center"/>
          </w:tcPr>
          <w:p>
            <w:pP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制定了施工进度计划并有进度计划保证措施，施工工期计划目标符合招标文件要求或提前1至4天完工，得3分。</w:t>
            </w:r>
          </w:p>
        </w:tc>
        <w:tc>
          <w:tcPr>
            <w:tcW w:w="1681" w:type="dxa"/>
            <w:tcBorders>
              <w:top w:val="single" w:color="auto" w:sz="4" w:space="0"/>
              <w:left w:val="nil"/>
              <w:bottom w:val="single" w:color="auto" w:sz="4" w:space="0"/>
              <w:right w:val="single" w:color="auto" w:sz="4" w:space="0"/>
            </w:tcBorders>
            <w:noWrap w:val="0"/>
            <w:vAlign w:val="center"/>
          </w:tcPr>
          <w:p>
            <w:pPr>
              <w:pStyle w:val="45"/>
              <w:adjustRightInd w:val="0"/>
              <w:snapToGrid w:val="0"/>
              <w:spacing w:before="62" w:beforeAutospacing="0" w:after="62" w:afterAutospacing="0" w:line="240" w:lineRule="atLeast"/>
              <w:rPr>
                <w:color w:val="auto"/>
                <w:sz w:val="21"/>
                <w:szCs w:val="21"/>
                <w:highlight w:val="none"/>
              </w:rPr>
            </w:pPr>
            <w:r>
              <w:rPr>
                <w:rFonts w:hint="eastAsia"/>
                <w:color w:val="auto"/>
                <w:sz w:val="21"/>
                <w:szCs w:val="21"/>
                <w:highlight w:val="none"/>
                <w:lang w:bidi="ar"/>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854"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资源供应计划</w:t>
            </w:r>
          </w:p>
        </w:tc>
        <w:tc>
          <w:tcPr>
            <w:tcW w:w="782"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5</w:t>
            </w:r>
          </w:p>
        </w:tc>
        <w:tc>
          <w:tcPr>
            <w:tcW w:w="3024"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有劳动力需求计划及保障措施、机械设备需求计划及保障措施、材料需求计划及保障措施。得5分。</w:t>
            </w:r>
          </w:p>
        </w:tc>
        <w:tc>
          <w:tcPr>
            <w:tcW w:w="2993"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有劳动力需求计划及保障措施/机械设备需求计划及保障措施/材料需求计划及保障措施当中两项。得4分。</w:t>
            </w:r>
          </w:p>
        </w:tc>
        <w:tc>
          <w:tcPr>
            <w:tcW w:w="2998"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仅有劳动力需求计划及保障措施/机械设备需求计划及保障措施/材料需求计划及保障措施当中一项。得3分。</w:t>
            </w:r>
          </w:p>
        </w:tc>
        <w:tc>
          <w:tcPr>
            <w:tcW w:w="1681" w:type="dxa"/>
            <w:tcBorders>
              <w:top w:val="single" w:color="auto" w:sz="4" w:space="0"/>
              <w:left w:val="nil"/>
              <w:bottom w:val="single" w:color="auto" w:sz="4" w:space="0"/>
              <w:right w:val="single" w:color="auto" w:sz="4" w:space="0"/>
            </w:tcBorders>
            <w:noWrap w:val="0"/>
            <w:vAlign w:val="center"/>
          </w:tcPr>
          <w:p>
            <w:pPr>
              <w:pStyle w:val="45"/>
              <w:adjustRightInd w:val="0"/>
              <w:snapToGrid w:val="0"/>
              <w:spacing w:before="62" w:beforeAutospacing="0" w:after="62" w:afterAutospacing="0" w:line="240" w:lineRule="atLeast"/>
              <w:rPr>
                <w:color w:val="auto"/>
                <w:sz w:val="21"/>
                <w:szCs w:val="21"/>
                <w:highlight w:val="none"/>
              </w:rPr>
            </w:pPr>
            <w:r>
              <w:rPr>
                <w:rFonts w:hint="eastAsia"/>
                <w:color w:val="auto"/>
                <w:sz w:val="21"/>
                <w:szCs w:val="21"/>
                <w:highlight w:val="none"/>
                <w:lang w:bidi="ar"/>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71"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施工质量目标</w:t>
            </w:r>
          </w:p>
        </w:tc>
        <w:tc>
          <w:tcPr>
            <w:tcW w:w="782"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5</w:t>
            </w:r>
          </w:p>
        </w:tc>
        <w:tc>
          <w:tcPr>
            <w:tcW w:w="3024"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有质量创优方案、质量目标及保证措施、质量保证体系的。得</w:t>
            </w:r>
            <w:r>
              <w:rPr>
                <w:rFonts w:hint="eastAsia" w:ascii="宋体" w:hAnsi="宋体" w:eastAsia="宋体" w:cs="宋体"/>
                <w:color w:val="auto"/>
                <w:szCs w:val="21"/>
                <w:highlight w:val="none"/>
              </w:rPr>
              <w:t>5</w:t>
            </w:r>
            <w:r>
              <w:rPr>
                <w:rFonts w:hint="eastAsia" w:ascii="宋体" w:hAnsi="宋体" w:eastAsia="宋体" w:cs="宋体"/>
                <w:color w:val="auto"/>
                <w:kern w:val="0"/>
                <w:szCs w:val="21"/>
                <w:highlight w:val="none"/>
              </w:rPr>
              <w:t>分。</w:t>
            </w:r>
          </w:p>
        </w:tc>
        <w:tc>
          <w:tcPr>
            <w:tcW w:w="2993"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有质量创优方案/质量目标及保证措施/质量保证体系当中两项的。得</w:t>
            </w: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rPr>
              <w:t>分。</w:t>
            </w:r>
          </w:p>
        </w:tc>
        <w:tc>
          <w:tcPr>
            <w:tcW w:w="2998" w:type="dxa"/>
            <w:tcBorders>
              <w:top w:val="single" w:color="auto" w:sz="4" w:space="0"/>
              <w:left w:val="nil"/>
              <w:bottom w:val="single" w:color="auto" w:sz="4" w:space="0"/>
              <w:right w:val="single" w:color="auto" w:sz="4" w:space="0"/>
            </w:tcBorders>
            <w:noWrap w:val="0"/>
            <w:vAlign w:val="top"/>
          </w:tcPr>
          <w:p>
            <w:pPr>
              <w:rPr>
                <w:rFonts w:ascii="宋体" w:hAnsi="宋体" w:eastAsia="宋体" w:cs="宋体"/>
                <w:color w:val="auto"/>
                <w:szCs w:val="21"/>
                <w:highlight w:val="none"/>
              </w:rPr>
            </w:pPr>
            <w:r>
              <w:rPr>
                <w:rFonts w:hint="eastAsia" w:ascii="宋体" w:hAnsi="宋体" w:eastAsia="宋体" w:cs="宋体"/>
                <w:color w:val="auto"/>
                <w:kern w:val="0"/>
                <w:szCs w:val="21"/>
                <w:highlight w:val="none"/>
              </w:rPr>
              <w:t>仅有质量创优方案/质量目标及保证措施/质量保证体系当中一项的。得3分。</w:t>
            </w:r>
          </w:p>
        </w:tc>
        <w:tc>
          <w:tcPr>
            <w:tcW w:w="1681" w:type="dxa"/>
            <w:tcBorders>
              <w:top w:val="single" w:color="auto" w:sz="4" w:space="0"/>
              <w:left w:val="nil"/>
              <w:bottom w:val="single" w:color="auto" w:sz="4" w:space="0"/>
              <w:right w:val="single" w:color="auto" w:sz="4" w:space="0"/>
            </w:tcBorders>
            <w:noWrap w:val="0"/>
            <w:vAlign w:val="top"/>
          </w:tcPr>
          <w:p>
            <w:pPr>
              <w:pStyle w:val="45"/>
              <w:adjustRightInd w:val="0"/>
              <w:snapToGrid w:val="0"/>
              <w:spacing w:before="62" w:beforeAutospacing="0" w:after="62" w:afterAutospacing="0" w:line="240" w:lineRule="atLeast"/>
              <w:jc w:val="both"/>
              <w:rPr>
                <w:color w:val="auto"/>
                <w:sz w:val="21"/>
                <w:szCs w:val="21"/>
                <w:highlight w:val="none"/>
              </w:rPr>
            </w:pPr>
            <w:r>
              <w:rPr>
                <w:rFonts w:hint="eastAsia"/>
                <w:color w:val="auto"/>
                <w:sz w:val="21"/>
                <w:szCs w:val="21"/>
                <w:highlight w:val="none"/>
                <w:lang w:bidi="ar"/>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1033"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安全文明施工措施</w:t>
            </w:r>
          </w:p>
        </w:tc>
        <w:tc>
          <w:tcPr>
            <w:tcW w:w="782"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5</w:t>
            </w:r>
          </w:p>
        </w:tc>
        <w:tc>
          <w:tcPr>
            <w:tcW w:w="3024"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安全文明施工满足招标文件要求，有安全文明施工管理体系、安全文明施工保证措施、特发事件应急预案，得5分。</w:t>
            </w:r>
          </w:p>
        </w:tc>
        <w:tc>
          <w:tcPr>
            <w:tcW w:w="2993"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安全文明施工满足招标文件要求，有安全文明施工管理体系、安全文明施工保证措施、特发事件应急预案，缺其中一项的得4分。</w:t>
            </w:r>
          </w:p>
        </w:tc>
        <w:tc>
          <w:tcPr>
            <w:tcW w:w="2998" w:type="dxa"/>
            <w:tcBorders>
              <w:top w:val="single" w:color="auto" w:sz="4" w:space="0"/>
              <w:left w:val="nil"/>
              <w:bottom w:val="single" w:color="auto" w:sz="4" w:space="0"/>
              <w:right w:val="single" w:color="auto" w:sz="4" w:space="0"/>
            </w:tcBorders>
            <w:noWrap w:val="0"/>
            <w:vAlign w:val="center"/>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安全文明施工满足招标文件要求，有安全文明施工管理体系、安全文明施工保证措施、特发事件应急预案，缺其中两项的得3分。</w:t>
            </w:r>
          </w:p>
        </w:tc>
        <w:tc>
          <w:tcPr>
            <w:tcW w:w="1681" w:type="dxa"/>
            <w:tcBorders>
              <w:top w:val="single" w:color="auto" w:sz="4" w:space="0"/>
              <w:left w:val="nil"/>
              <w:bottom w:val="single" w:color="auto" w:sz="4" w:space="0"/>
              <w:right w:val="single" w:color="auto" w:sz="4" w:space="0"/>
            </w:tcBorders>
            <w:noWrap w:val="0"/>
            <w:vAlign w:val="center"/>
          </w:tcPr>
          <w:p>
            <w:pPr>
              <w:pStyle w:val="45"/>
              <w:adjustRightInd w:val="0"/>
              <w:snapToGrid w:val="0"/>
              <w:spacing w:before="62" w:beforeAutospacing="0" w:after="62" w:afterAutospacing="0" w:line="240" w:lineRule="atLeast"/>
              <w:rPr>
                <w:color w:val="auto"/>
                <w:sz w:val="21"/>
                <w:szCs w:val="21"/>
                <w:highlight w:val="none"/>
              </w:rPr>
            </w:pPr>
            <w:r>
              <w:rPr>
                <w:rFonts w:hint="eastAsia"/>
                <w:color w:val="auto"/>
                <w:sz w:val="21"/>
                <w:szCs w:val="21"/>
                <w:highlight w:val="none"/>
                <w:lang w:bidi="ar"/>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66" w:hRule="atLeast"/>
          <w:jc w:val="center"/>
        </w:trPr>
        <w:tc>
          <w:tcPr>
            <w:tcW w:w="1358" w:type="dxa"/>
            <w:vMerge w:val="continue"/>
            <w:tcBorders>
              <w:top w:val="nil"/>
              <w:left w:val="single" w:color="auto" w:sz="4" w:space="0"/>
              <w:bottom w:val="single" w:color="auto" w:sz="4" w:space="0"/>
              <w:right w:val="single" w:color="auto" w:sz="4" w:space="0"/>
            </w:tcBorders>
            <w:noWrap w:val="0"/>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绿色施工措施</w:t>
            </w:r>
          </w:p>
        </w:tc>
        <w:tc>
          <w:tcPr>
            <w:tcW w:w="782" w:type="dxa"/>
            <w:tcBorders>
              <w:top w:val="single" w:color="auto" w:sz="4" w:space="0"/>
              <w:left w:val="nil"/>
              <w:bottom w:val="single" w:color="auto" w:sz="4" w:space="0"/>
              <w:right w:val="single" w:color="auto" w:sz="4" w:space="0"/>
            </w:tcBorders>
            <w:noWrap w:val="0"/>
            <w:vAlign w:val="center"/>
          </w:tcPr>
          <w:p>
            <w:pPr>
              <w:pStyle w:val="45"/>
              <w:widowControl w:val="0"/>
              <w:adjustRightInd w:val="0"/>
              <w:snapToGrid w:val="0"/>
              <w:spacing w:before="62" w:beforeAutospacing="0" w:after="62" w:afterAutospacing="0" w:line="360" w:lineRule="auto"/>
              <w:jc w:val="center"/>
              <w:rPr>
                <w:color w:val="auto"/>
                <w:sz w:val="21"/>
                <w:szCs w:val="21"/>
                <w:highlight w:val="none"/>
              </w:rPr>
            </w:pPr>
            <w:r>
              <w:rPr>
                <w:rFonts w:hint="eastAsia"/>
                <w:color w:val="auto"/>
                <w:sz w:val="21"/>
                <w:szCs w:val="21"/>
                <w:highlight w:val="none"/>
                <w:lang w:bidi="ar"/>
              </w:rPr>
              <w:t>5</w:t>
            </w:r>
          </w:p>
        </w:tc>
        <w:tc>
          <w:tcPr>
            <w:tcW w:w="3024" w:type="dxa"/>
            <w:tcBorders>
              <w:top w:val="single" w:color="auto" w:sz="4" w:space="0"/>
              <w:left w:val="nil"/>
              <w:bottom w:val="single" w:color="auto" w:sz="4" w:space="0"/>
              <w:right w:val="single" w:color="auto" w:sz="4" w:space="0"/>
            </w:tcBorders>
            <w:noWrap w:val="0"/>
            <w:vAlign w:val="top"/>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有绿色施工保证体系及组织机构（有机构框图）、绿色文明施工和环境保护各项措施（有“扬尘污染防治专项方案”、“扬尘污染防治费用使用计划”）、“新能源工程车和其他节能施工设备应用”方案的，得5分。</w:t>
            </w:r>
          </w:p>
        </w:tc>
        <w:tc>
          <w:tcPr>
            <w:tcW w:w="2993" w:type="dxa"/>
            <w:tcBorders>
              <w:top w:val="single" w:color="auto" w:sz="4" w:space="0"/>
              <w:left w:val="nil"/>
              <w:bottom w:val="single" w:color="auto" w:sz="4" w:space="0"/>
              <w:right w:val="single" w:color="auto" w:sz="4" w:space="0"/>
            </w:tcBorders>
            <w:noWrap w:val="0"/>
            <w:vAlign w:val="top"/>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具有绿色施工保证体系及组织机构（有机构框图）、绿色文明施工和环境保护各项措施（有“扬尘污染防治专项方案”、“扬尘污染防治费用使用计划”）、“新能源工程车和其他节能施工设备应用”方案当中两项的，得4分。</w:t>
            </w:r>
          </w:p>
        </w:tc>
        <w:tc>
          <w:tcPr>
            <w:tcW w:w="2998" w:type="dxa"/>
            <w:tcBorders>
              <w:top w:val="single" w:color="auto" w:sz="4" w:space="0"/>
              <w:left w:val="nil"/>
              <w:bottom w:val="single" w:color="auto" w:sz="4" w:space="0"/>
              <w:right w:val="single" w:color="auto" w:sz="4" w:space="0"/>
            </w:tcBorders>
            <w:noWrap w:val="0"/>
            <w:vAlign w:val="top"/>
          </w:tcPr>
          <w:p>
            <w:pP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仅有绿色施工保证体系及组织机构（有机构框图）、绿色文明施工和环境保护各项措施（有“扬尘污染防治专项方案”、“扬尘污染防治费用使用计划”）、“新能源工程车和其他节能施工设备应用”方案当中一项的，得3分。</w:t>
            </w:r>
          </w:p>
        </w:tc>
        <w:tc>
          <w:tcPr>
            <w:tcW w:w="1681" w:type="dxa"/>
            <w:tcBorders>
              <w:top w:val="single" w:color="auto" w:sz="4" w:space="0"/>
              <w:left w:val="nil"/>
              <w:bottom w:val="single" w:color="auto" w:sz="4" w:space="0"/>
              <w:right w:val="single" w:color="auto" w:sz="4" w:space="0"/>
            </w:tcBorders>
            <w:noWrap w:val="0"/>
            <w:vAlign w:val="center"/>
          </w:tcPr>
          <w:p>
            <w:pPr>
              <w:pStyle w:val="45"/>
              <w:adjustRightInd w:val="0"/>
              <w:snapToGrid w:val="0"/>
              <w:spacing w:before="62" w:beforeAutospacing="0" w:after="62" w:afterAutospacing="0" w:line="240" w:lineRule="atLeast"/>
              <w:rPr>
                <w:color w:val="auto"/>
                <w:sz w:val="21"/>
                <w:szCs w:val="21"/>
                <w:highlight w:val="none"/>
              </w:rPr>
            </w:pPr>
            <w:r>
              <w:rPr>
                <w:rFonts w:hint="eastAsia"/>
                <w:color w:val="auto"/>
                <w:sz w:val="21"/>
                <w:szCs w:val="21"/>
                <w:highlight w:val="none"/>
                <w:lang w:bidi="ar"/>
              </w:rPr>
              <w:t>不满足前述要求者，得0分。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0" w:hRule="atLeast"/>
          <w:jc w:val="center"/>
        </w:trPr>
        <w:tc>
          <w:tcPr>
            <w:tcW w:w="1358" w:type="dxa"/>
            <w:vMerge w:val="restart"/>
            <w:tcBorders>
              <w:top w:val="nil"/>
              <w:left w:val="single" w:color="auto" w:sz="8" w:space="0"/>
              <w:right w:val="single" w:color="auto" w:sz="4" w:space="0"/>
            </w:tcBorders>
            <w:noWrap w:val="0"/>
            <w:tcMar>
              <w:top w:w="0" w:type="dxa"/>
              <w:bottom w:w="0" w:type="dxa"/>
            </w:tcMar>
            <w:vAlign w:val="center"/>
          </w:tcPr>
          <w:p>
            <w:pPr>
              <w:numPr>
                <w:ilvl w:val="0"/>
                <w:numId w:val="3"/>
              </w:numPr>
              <w:adjustRightInd w:val="0"/>
              <w:snapToGrid w:val="0"/>
              <w:jc w:val="center"/>
              <w:rPr>
                <w:color w:val="auto"/>
                <w:highlight w:val="none"/>
              </w:rPr>
            </w:pPr>
            <w:r>
              <w:rPr>
                <w:rFonts w:hint="eastAsia"/>
                <w:color w:val="auto"/>
                <w:highlight w:val="none"/>
              </w:rPr>
              <w:t>项目组织管理机构能力（40分）</w:t>
            </w:r>
          </w:p>
        </w:tc>
        <w:tc>
          <w:tcPr>
            <w:tcW w:w="557" w:type="dxa"/>
            <w:vMerge w:val="restart"/>
            <w:tcBorders>
              <w:top w:val="nil"/>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项目管理机构</w:t>
            </w:r>
          </w:p>
        </w:tc>
        <w:tc>
          <w:tcPr>
            <w:tcW w:w="1462" w:type="dxa"/>
            <w:tcBorders>
              <w:top w:val="single" w:color="auto" w:sz="4" w:space="0"/>
              <w:left w:val="nil"/>
              <w:bottom w:val="single" w:color="auto" w:sz="4" w:space="0"/>
              <w:right w:val="single" w:color="auto" w:sz="4" w:space="0"/>
            </w:tcBorders>
            <w:noWrap w:val="0"/>
            <w:tcMar>
              <w:top w:w="0" w:type="dxa"/>
              <w:bottom w:w="0" w:type="dxa"/>
            </w:tcMar>
            <w:vAlign w:val="center"/>
          </w:tcPr>
          <w:p>
            <w:pPr>
              <w:adjustRightInd w:val="0"/>
              <w:snapToGrid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项目负责人</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adjustRightInd w:val="0"/>
              <w:snapToGrid w:val="0"/>
              <w:jc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10</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spacing w:line="240" w:lineRule="auto"/>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①从业能力：具有工程类专业高级工程师（正高级或教授级）技术职称，得4分；具有工程类专业高级工程师（副高级）技术职称，得2分；</w:t>
            </w:r>
          </w:p>
          <w:p>
            <w:pPr>
              <w:spacing w:line="240" w:lineRule="auto"/>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②业绩：项目负责人自2018年1月1日至今担任项目负责人（即项目经理）职务完成过质量合格的工程造价大于或等于</w:t>
            </w:r>
            <w:r>
              <w:rPr>
                <w:rFonts w:hint="eastAsia" w:ascii="宋体" w:hAnsi="宋体" w:cs="宋体"/>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val="en-US" w:eastAsia="zh-CN" w:bidi="ar"/>
              </w:rPr>
              <w:t>000万元的市政公用工程施工业绩，得3分；</w:t>
            </w:r>
          </w:p>
          <w:p>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③获奖：项目负责人自2018年1月1日至今担任项目负责人（即项目经理）职务完成过的市政公用工程业绩获得过国家级质量奖的，得3分。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048"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numPr>
                <w:ilvl w:val="0"/>
                <w:numId w:val="3"/>
              </w:numPr>
              <w:adjustRightInd w:val="0"/>
              <w:snapToGrid w:val="0"/>
              <w:jc w:val="center"/>
              <w:rPr>
                <w:rFonts w:hint="eastAsia"/>
                <w:color w:val="auto"/>
                <w:highlight w:val="none"/>
              </w:rPr>
            </w:pPr>
          </w:p>
        </w:tc>
        <w:tc>
          <w:tcPr>
            <w:tcW w:w="557" w:type="dxa"/>
            <w:vMerge w:val="continue"/>
            <w:tcBorders>
              <w:left w:val="nil"/>
              <w:right w:val="single" w:color="auto" w:sz="4" w:space="0"/>
            </w:tcBorders>
            <w:noWrap w:val="0"/>
            <w:tcMar>
              <w:top w:w="0" w:type="dxa"/>
              <w:bottom w:w="0" w:type="dxa"/>
            </w:tcMar>
            <w:vAlign w:val="center"/>
          </w:tcPr>
          <w:p>
            <w:pPr>
              <w:widowControl/>
              <w:adjustRightInd w:val="0"/>
              <w:snapToGrid w:val="0"/>
              <w:jc w:val="center"/>
              <w:rPr>
                <w:rFonts w:hint="eastAsia" w:ascii="宋体" w:hAnsi="宋体" w:eastAsia="宋体" w:cs="宋体"/>
                <w:color w:val="auto"/>
                <w:kern w:val="0"/>
                <w:szCs w:val="21"/>
                <w:highlight w:val="none"/>
                <w:lang w:bidi="ar"/>
              </w:rPr>
            </w:pPr>
          </w:p>
        </w:tc>
        <w:tc>
          <w:tcPr>
            <w:tcW w:w="1462" w:type="dxa"/>
            <w:tcBorders>
              <w:top w:val="single" w:color="auto" w:sz="4" w:space="0"/>
              <w:left w:val="nil"/>
              <w:bottom w:val="single" w:color="auto" w:sz="4" w:space="0"/>
              <w:right w:val="single" w:color="auto" w:sz="4" w:space="0"/>
            </w:tcBorders>
            <w:noWrap w:val="0"/>
            <w:tcMar>
              <w:top w:w="0" w:type="dxa"/>
              <w:bottom w:w="0" w:type="dxa"/>
            </w:tcMar>
            <w:vAlign w:val="center"/>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技术负责人</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bidi="ar"/>
              </w:rPr>
              <w:t>4</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①从业能力：具有市政类专业高级工程师（副高级或以上）技术职称，得</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分；</w:t>
            </w:r>
          </w:p>
          <w:p>
            <w:pPr>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②经历：具有10年或以上（含10年）施工管理工作经验，得</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分；具有5年（含5年）至10年（不含10年）施工管理工作经验，得</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78"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557" w:type="dxa"/>
            <w:vMerge w:val="continue"/>
            <w:tcBorders>
              <w:top w:val="nil"/>
              <w:left w:val="nil"/>
              <w:bottom w:val="single" w:color="auto" w:sz="4"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146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质量负责人</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4</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①从业能力：具有市政类专业高级工程师（副高级或以上）技术职称，得3分；</w:t>
            </w:r>
          </w:p>
          <w:p>
            <w:pPr>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②经历：具有10年或以上（含10年）施工管理工作经验，得</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分；具有5年（含5年）至10年（不含10年）施工管理工作经验，得</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520"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557" w:type="dxa"/>
            <w:vMerge w:val="continue"/>
            <w:tcBorders>
              <w:top w:val="nil"/>
              <w:left w:val="nil"/>
              <w:bottom w:val="single" w:color="auto" w:sz="4"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146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安全负责人</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4</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①从业能力：具有安全工程专业高级或以上技术职称或市政类专业高级或以上技术职称，且同时具有有效的安全生产考核合格证（B类）或建筑施工企业项目负责人安全生产考核合格证书或安全生产考核合格证（C类）或建筑施工企业专职安全生产管理人员安全生产考核合格证书（C3类），得3分；根据《建</w:t>
            </w:r>
            <w:r>
              <w:rPr>
                <w:rFonts w:hint="eastAsia" w:ascii="宋体" w:hAnsi="宋体" w:eastAsia="宋体" w:cs="宋体"/>
                <w:color w:val="auto"/>
                <w:kern w:val="0"/>
                <w:szCs w:val="21"/>
                <w:highlight w:val="none"/>
                <w:u w:val="single"/>
                <w:lang w:bidi="ar"/>
              </w:rPr>
              <w:t>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w:t>
            </w:r>
          </w:p>
          <w:p>
            <w:pPr>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②经历：具有10年或以上（含10年）施工管理工作经验，得</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分；具有5年（含5年）至10年（不含10年）施工管理工作经验，得</w:t>
            </w:r>
            <w:r>
              <w:rPr>
                <w:rFonts w:hint="eastAsia" w:ascii="宋体" w:hAnsi="宋体" w:eastAsia="宋体" w:cs="宋体"/>
                <w:color w:val="auto"/>
                <w:kern w:val="0"/>
                <w:szCs w:val="21"/>
                <w:highlight w:val="none"/>
                <w:lang w:val="en-US" w:eastAsia="zh-CN" w:bidi="ar"/>
              </w:rPr>
              <w:t>0.5</w:t>
            </w:r>
            <w:r>
              <w:rPr>
                <w:rFonts w:hint="eastAsia" w:ascii="宋体" w:hAnsi="宋体" w:eastAsia="宋体" w:cs="宋体"/>
                <w:color w:val="auto"/>
                <w:kern w:val="0"/>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586"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557" w:type="dxa"/>
            <w:vMerge w:val="continue"/>
            <w:tcBorders>
              <w:top w:val="nil"/>
              <w:left w:val="nil"/>
              <w:bottom w:val="single" w:color="auto" w:sz="4"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146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造价负责人</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4</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both"/>
              <w:rPr>
                <w:color w:val="auto"/>
                <w:sz w:val="21"/>
                <w:szCs w:val="21"/>
                <w:highlight w:val="none"/>
              </w:rPr>
            </w:pPr>
            <w:r>
              <w:rPr>
                <w:rFonts w:hint="eastAsia"/>
                <w:color w:val="auto"/>
                <w:sz w:val="21"/>
                <w:szCs w:val="21"/>
                <w:highlight w:val="none"/>
                <w:lang w:bidi="ar"/>
              </w:rPr>
              <w:t>①从业能力：具有有效的一级注册造价</w:t>
            </w:r>
            <w:r>
              <w:rPr>
                <w:rFonts w:hint="eastAsia"/>
                <w:color w:val="auto"/>
                <w:sz w:val="21"/>
                <w:szCs w:val="21"/>
                <w:highlight w:val="none"/>
                <w:lang w:val="en-US" w:eastAsia="zh-CN" w:bidi="ar"/>
              </w:rPr>
              <w:t>工程</w:t>
            </w:r>
            <w:r>
              <w:rPr>
                <w:rFonts w:hint="eastAsia"/>
                <w:color w:val="auto"/>
                <w:sz w:val="21"/>
                <w:szCs w:val="21"/>
                <w:highlight w:val="none"/>
                <w:lang w:bidi="ar"/>
              </w:rPr>
              <w:t>师证书</w:t>
            </w:r>
            <w:r>
              <w:rPr>
                <w:rFonts w:hint="eastAsia"/>
                <w:color w:val="auto"/>
                <w:sz w:val="21"/>
                <w:szCs w:val="21"/>
                <w:highlight w:val="none"/>
                <w:lang w:val="en-US" w:eastAsia="zh-CN" w:bidi="ar"/>
              </w:rPr>
              <w:t>且</w:t>
            </w:r>
            <w:r>
              <w:rPr>
                <w:rFonts w:hint="eastAsia"/>
                <w:color w:val="auto"/>
                <w:sz w:val="21"/>
                <w:szCs w:val="21"/>
                <w:highlight w:val="none"/>
                <w:lang w:bidi="ar"/>
              </w:rPr>
              <w:t>同时具有造价专业高级工程师（副高级或以上）技术职称，得3分；</w:t>
            </w:r>
          </w:p>
          <w:p>
            <w:pPr>
              <w:pStyle w:val="45"/>
              <w:widowControl w:val="0"/>
              <w:adjustRightInd w:val="0"/>
              <w:snapToGrid w:val="0"/>
              <w:spacing w:before="0" w:beforeAutospacing="0" w:after="0" w:afterAutospacing="0"/>
              <w:jc w:val="both"/>
              <w:rPr>
                <w:color w:val="auto"/>
                <w:sz w:val="21"/>
                <w:szCs w:val="21"/>
                <w:highlight w:val="none"/>
              </w:rPr>
            </w:pPr>
            <w:r>
              <w:rPr>
                <w:rFonts w:hint="eastAsia"/>
                <w:color w:val="auto"/>
                <w:sz w:val="21"/>
                <w:szCs w:val="21"/>
                <w:highlight w:val="none"/>
                <w:lang w:bidi="ar"/>
              </w:rPr>
              <w:t>②经历：具有10年或以上（含10年）造价管理工作经验，得</w:t>
            </w:r>
            <w:r>
              <w:rPr>
                <w:rFonts w:hint="eastAsia"/>
                <w:color w:val="auto"/>
                <w:sz w:val="21"/>
                <w:szCs w:val="21"/>
                <w:highlight w:val="none"/>
                <w:lang w:val="en-US" w:eastAsia="zh-CN" w:bidi="ar"/>
              </w:rPr>
              <w:t>1</w:t>
            </w:r>
            <w:r>
              <w:rPr>
                <w:rFonts w:hint="eastAsia"/>
                <w:color w:val="auto"/>
                <w:sz w:val="21"/>
                <w:szCs w:val="21"/>
                <w:highlight w:val="none"/>
                <w:lang w:bidi="ar"/>
              </w:rPr>
              <w:t>分；具有5年（含5年）至10年（不含10年）造价管理工作经验，得</w:t>
            </w:r>
            <w:r>
              <w:rPr>
                <w:rFonts w:hint="eastAsia"/>
                <w:color w:val="auto"/>
                <w:sz w:val="21"/>
                <w:szCs w:val="21"/>
                <w:highlight w:val="none"/>
                <w:lang w:val="en-US" w:eastAsia="zh-CN" w:bidi="ar"/>
              </w:rPr>
              <w:t>0.5</w:t>
            </w:r>
            <w:r>
              <w:rPr>
                <w:rFonts w:hint="eastAsia"/>
                <w:color w:val="auto"/>
                <w:sz w:val="21"/>
                <w:szCs w:val="21"/>
                <w:highlight w:val="none"/>
                <w:lang w:bidi="ar"/>
              </w:rPr>
              <w:t>分。</w:t>
            </w:r>
          </w:p>
          <w:p>
            <w:pPr>
              <w:pStyle w:val="45"/>
              <w:widowControl w:val="0"/>
              <w:adjustRightInd w:val="0"/>
              <w:snapToGrid w:val="0"/>
              <w:spacing w:before="0" w:beforeAutospacing="0" w:after="0" w:afterAutospacing="0"/>
              <w:jc w:val="both"/>
              <w:rPr>
                <w:color w:val="auto"/>
                <w:sz w:val="21"/>
                <w:szCs w:val="21"/>
                <w:highlight w:val="none"/>
              </w:rPr>
            </w:pPr>
            <w:r>
              <w:rPr>
                <w:rFonts w:hint="eastAsia"/>
                <w:color w:val="auto"/>
                <w:sz w:val="21"/>
                <w:szCs w:val="21"/>
                <w:highlight w:val="none"/>
                <w:lang w:bidi="ar"/>
              </w:rPr>
              <w:t>注：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934"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557" w:type="dxa"/>
            <w:vMerge w:val="continue"/>
            <w:tcBorders>
              <w:top w:val="nil"/>
              <w:left w:val="nil"/>
              <w:bottom w:val="single" w:color="auto" w:sz="4"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146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管理团队专业工程师</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widowControl/>
              <w:adjustRightInd w:val="0"/>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bidi="ar"/>
              </w:rPr>
              <w:t>14</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①从业能力：每个专业的工程师（该专业有多名工程师的，只计1人）具有对应专业高级工程师（副高级或以上）技术职称的，每专业得2分，最高得14分。</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【其他专业指：1、市政道路（桥梁、隧道）类；2、给排水；3、岩土类；4、电气类；5、测量类；6、机电类；7、园林绿化</w:t>
            </w:r>
            <w:r>
              <w:rPr>
                <w:rFonts w:hint="eastAsia" w:ascii="宋体" w:hAnsi="宋体" w:eastAsia="宋体" w:cs="宋体"/>
                <w:color w:val="auto"/>
                <w:szCs w:val="21"/>
                <w:highlight w:val="none"/>
                <w:lang w:val="en-US" w:eastAsia="zh-CN" w:bidi="ar"/>
              </w:rPr>
              <w:t>类</w:t>
            </w:r>
            <w:r>
              <w:rPr>
                <w:rFonts w:hint="eastAsia" w:ascii="宋体" w:hAnsi="宋体" w:eastAsia="宋体" w:cs="宋体"/>
                <w:color w:val="auto"/>
                <w:szCs w:val="21"/>
                <w:highlight w:val="none"/>
                <w:lang w:bidi="ar"/>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注：具体专业名称按照职称证相关专业类别进行评审。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1586"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13497" w:type="dxa"/>
            <w:gridSpan w:val="7"/>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both"/>
              <w:rPr>
                <w:color w:val="auto"/>
                <w:sz w:val="21"/>
                <w:szCs w:val="21"/>
                <w:highlight w:val="none"/>
              </w:rPr>
            </w:pPr>
            <w:r>
              <w:rPr>
                <w:rFonts w:hint="eastAsia"/>
                <w:color w:val="auto"/>
                <w:sz w:val="21"/>
                <w:szCs w:val="21"/>
                <w:highlight w:val="none"/>
                <w:lang w:bidi="ar"/>
              </w:rPr>
              <w:t>注：①上述人员须提供身份证、毕业证书（大学专科(或以上)学历）及投标截止前一个月（202</w:t>
            </w:r>
            <w:r>
              <w:rPr>
                <w:color w:val="auto"/>
                <w:sz w:val="21"/>
                <w:szCs w:val="21"/>
                <w:highlight w:val="none"/>
                <w:lang w:bidi="ar"/>
              </w:rPr>
              <w:t>3</w:t>
            </w:r>
            <w:r>
              <w:rPr>
                <w:rFonts w:hint="eastAsia"/>
                <w:color w:val="auto"/>
                <w:sz w:val="21"/>
                <w:szCs w:val="21"/>
                <w:highlight w:val="none"/>
                <w:lang w:bidi="ar"/>
              </w:rPr>
              <w:t>年</w:t>
            </w:r>
            <w:r>
              <w:rPr>
                <w:rFonts w:hint="eastAsia"/>
                <w:color w:val="auto"/>
                <w:sz w:val="21"/>
                <w:szCs w:val="21"/>
                <w:highlight w:val="none"/>
                <w:lang w:val="en-US" w:eastAsia="zh-CN" w:bidi="ar"/>
              </w:rPr>
              <w:t>3</w:t>
            </w:r>
            <w:r>
              <w:rPr>
                <w:rFonts w:hint="eastAsia"/>
                <w:color w:val="auto"/>
                <w:sz w:val="21"/>
                <w:szCs w:val="21"/>
                <w:highlight w:val="none"/>
                <w:lang w:bidi="ar"/>
              </w:rPr>
              <w:t>月）有效社保证明，且须按相应要求提供职称证、有效期内的注册证及有效期内的安全生产考核合格证（B类）或建筑施工企业项目负责人安全生产考核合格证书或安全生产考核合格证（C类）或建筑施工企业专职安全生产管理人员安全生产考核合格证书（C3类），所有资料为</w:t>
            </w:r>
            <w:r>
              <w:rPr>
                <w:rFonts w:hint="eastAsia"/>
                <w:color w:val="auto"/>
                <w:sz w:val="21"/>
                <w:szCs w:val="21"/>
                <w:highlight w:val="none"/>
                <w:u w:val="single"/>
                <w:lang w:bidi="ar"/>
              </w:rPr>
              <w:t>清晰</w:t>
            </w:r>
            <w:r>
              <w:rPr>
                <w:rFonts w:hint="eastAsia"/>
                <w:color w:val="auto"/>
                <w:sz w:val="21"/>
                <w:szCs w:val="21"/>
                <w:highlight w:val="none"/>
                <w:lang w:bidi="ar"/>
              </w:rPr>
              <w:t>扫描件并加盖投标人电子印章；</w:t>
            </w:r>
          </w:p>
          <w:p>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②工作经验年限从毕业证书的核发时间（大学专科(或以上)学历）起计，造价负责人如非本专业毕业，则工作经验年限从取得</w:t>
            </w:r>
            <w:r>
              <w:rPr>
                <w:rFonts w:hint="eastAsia" w:ascii="宋体" w:hAnsi="宋体" w:eastAsia="宋体" w:cs="宋体"/>
                <w:color w:val="auto"/>
                <w:szCs w:val="21"/>
                <w:highlight w:val="none"/>
                <w:u w:val="single"/>
                <w:lang w:bidi="ar"/>
              </w:rPr>
              <w:t>注册造价工程师（或注册一级造价工程师）注册证书上的初始注册日期起计</w:t>
            </w:r>
            <w:r>
              <w:rPr>
                <w:rFonts w:hint="eastAsia" w:ascii="宋体" w:hAnsi="宋体" w:eastAsia="宋体" w:cs="宋体"/>
                <w:color w:val="auto"/>
                <w:szCs w:val="21"/>
                <w:highlight w:val="none"/>
                <w:lang w:bidi="ar"/>
              </w:rPr>
              <w:t>或造价专业工程师（或以上）技术职称的核发时间起计；</w:t>
            </w:r>
          </w:p>
          <w:p>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③项目负责人、技术负责人、质量负责人、安全负责人、造价负责人、管理团队专业工程师不得兼任，且安全负责人不能同时兼任专职安全员。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740" w:hRule="atLeast"/>
          <w:jc w:val="center"/>
        </w:trPr>
        <w:tc>
          <w:tcPr>
            <w:tcW w:w="1358" w:type="dxa"/>
            <w:vMerge w:val="restart"/>
            <w:tcBorders>
              <w:left w:val="single" w:color="auto" w:sz="8"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lang w:bidi="ar"/>
              </w:rPr>
            </w:pPr>
            <w:r>
              <w:rPr>
                <w:rFonts w:hint="eastAsia"/>
                <w:color w:val="auto"/>
                <w:sz w:val="21"/>
                <w:szCs w:val="21"/>
                <w:highlight w:val="none"/>
                <w:lang w:bidi="ar"/>
              </w:rPr>
              <w:t>三、企业资信（30分）</w:t>
            </w:r>
          </w:p>
        </w:tc>
        <w:tc>
          <w:tcPr>
            <w:tcW w:w="2019" w:type="dxa"/>
            <w:gridSpan w:val="2"/>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bidi="ar"/>
              </w:rPr>
              <w:t>企业工程项目获奖情况</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bidi="ar"/>
              </w:rPr>
              <w:t>1</w:t>
            </w:r>
            <w:r>
              <w:rPr>
                <w:rFonts w:hint="eastAsia"/>
                <w:color w:val="auto"/>
                <w:sz w:val="21"/>
                <w:szCs w:val="21"/>
                <w:highlight w:val="none"/>
                <w:lang w:val="en-US" w:eastAsia="zh-CN" w:bidi="ar"/>
              </w:rPr>
              <w:t>5</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spacing w:before="0" w:beforeAutospacing="0" w:after="0" w:afterAutospacing="0"/>
              <w:rPr>
                <w:rFonts w:hint="eastAsia" w:eastAsia="宋体"/>
                <w:color w:val="auto"/>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投标人（若为联合体，指联合体主办方）</w:t>
            </w:r>
            <w:r>
              <w:rPr>
                <w:rFonts w:hint="eastAsia"/>
                <w:color w:val="auto"/>
                <w:sz w:val="21"/>
                <w:szCs w:val="21"/>
                <w:highlight w:val="none"/>
                <w:lang w:bidi="ar"/>
              </w:rPr>
              <w:t>自2020年1月1日至今承接的市政公用工程获得过国家级奖项，一项得1</w:t>
            </w:r>
            <w:r>
              <w:rPr>
                <w:rFonts w:hint="eastAsia"/>
                <w:color w:val="auto"/>
                <w:sz w:val="21"/>
                <w:szCs w:val="21"/>
                <w:highlight w:val="none"/>
                <w:lang w:val="en-US" w:eastAsia="zh-CN" w:bidi="ar"/>
              </w:rPr>
              <w:t>.5</w:t>
            </w:r>
            <w:r>
              <w:rPr>
                <w:rFonts w:hint="eastAsia"/>
                <w:color w:val="auto"/>
                <w:sz w:val="21"/>
                <w:szCs w:val="21"/>
                <w:highlight w:val="none"/>
                <w:lang w:bidi="ar"/>
              </w:rPr>
              <w:t>分</w:t>
            </w:r>
            <w:r>
              <w:rPr>
                <w:rFonts w:hint="eastAsia"/>
                <w:color w:val="auto"/>
                <w:sz w:val="21"/>
                <w:szCs w:val="21"/>
                <w:highlight w:val="none"/>
                <w:lang w:eastAsia="zh-CN" w:bidi="ar"/>
              </w:rPr>
              <w:t>，</w:t>
            </w:r>
            <w:r>
              <w:rPr>
                <w:rFonts w:hint="eastAsia"/>
                <w:color w:val="auto"/>
                <w:sz w:val="21"/>
                <w:szCs w:val="21"/>
                <w:highlight w:val="none"/>
                <w:lang w:bidi="ar"/>
              </w:rPr>
              <w:t>最多得</w:t>
            </w:r>
            <w:r>
              <w:rPr>
                <w:rFonts w:hint="eastAsia"/>
                <w:color w:val="auto"/>
                <w:sz w:val="21"/>
                <w:szCs w:val="21"/>
                <w:highlight w:val="none"/>
                <w:lang w:val="en-US" w:eastAsia="zh-CN" w:bidi="ar"/>
              </w:rPr>
              <w:t>15</w:t>
            </w:r>
            <w:r>
              <w:rPr>
                <w:rFonts w:hint="eastAsia"/>
                <w:color w:val="auto"/>
                <w:sz w:val="21"/>
                <w:szCs w:val="21"/>
                <w:highlight w:val="none"/>
                <w:lang w:bidi="ar"/>
              </w:rPr>
              <w:t>分；获得省级奖项，一项得</w:t>
            </w:r>
            <w:r>
              <w:rPr>
                <w:rFonts w:hint="eastAsia"/>
                <w:color w:val="auto"/>
                <w:sz w:val="21"/>
                <w:szCs w:val="21"/>
                <w:highlight w:val="none"/>
                <w:lang w:val="en-US" w:eastAsia="zh-CN" w:bidi="ar"/>
              </w:rPr>
              <w:t>1</w:t>
            </w:r>
            <w:r>
              <w:rPr>
                <w:rFonts w:hint="eastAsia"/>
                <w:color w:val="auto"/>
                <w:sz w:val="21"/>
                <w:szCs w:val="21"/>
                <w:highlight w:val="none"/>
                <w:lang w:bidi="ar"/>
              </w:rPr>
              <w:t>分，最多得</w:t>
            </w:r>
            <w:r>
              <w:rPr>
                <w:rFonts w:hint="eastAsia"/>
                <w:color w:val="auto"/>
                <w:sz w:val="21"/>
                <w:szCs w:val="21"/>
                <w:highlight w:val="none"/>
                <w:lang w:val="en-US" w:eastAsia="zh-CN" w:bidi="ar"/>
              </w:rPr>
              <w:t>10</w:t>
            </w:r>
            <w:r>
              <w:rPr>
                <w:rFonts w:hint="eastAsia"/>
                <w:color w:val="auto"/>
                <w:sz w:val="21"/>
                <w:szCs w:val="21"/>
                <w:highlight w:val="none"/>
                <w:lang w:bidi="ar"/>
              </w:rPr>
              <w:t>分；获得市级奖项，一项得0.5分，最多得</w:t>
            </w:r>
            <w:r>
              <w:rPr>
                <w:rFonts w:hint="eastAsia"/>
                <w:color w:val="auto"/>
                <w:sz w:val="21"/>
                <w:szCs w:val="21"/>
                <w:highlight w:val="none"/>
                <w:lang w:val="en-US" w:eastAsia="zh-CN" w:bidi="ar"/>
              </w:rPr>
              <w:t>5</w:t>
            </w:r>
            <w:r>
              <w:rPr>
                <w:rFonts w:hint="eastAsia"/>
                <w:color w:val="auto"/>
                <w:sz w:val="21"/>
                <w:szCs w:val="21"/>
                <w:highlight w:val="none"/>
                <w:lang w:bidi="ar"/>
              </w:rPr>
              <w:t>分</w:t>
            </w:r>
            <w:r>
              <w:rPr>
                <w:rFonts w:hint="eastAsia"/>
                <w:color w:val="auto"/>
                <w:sz w:val="21"/>
                <w:szCs w:val="21"/>
                <w:highlight w:val="none"/>
                <w:lang w:eastAsia="zh-CN" w:bidi="ar"/>
              </w:rPr>
              <w:t>。</w:t>
            </w:r>
          </w:p>
          <w:p>
            <w:pPr>
              <w:pStyle w:val="45"/>
              <w:widowControl w:val="0"/>
              <w:spacing w:before="0" w:beforeAutospacing="0" w:after="0" w:afterAutospacing="0"/>
              <w:rPr>
                <w:rFonts w:hint="eastAsia" w:ascii="宋体" w:hAnsi="宋体" w:eastAsia="宋体" w:cs="宋体"/>
                <w:color w:val="auto"/>
                <w:kern w:val="0"/>
                <w:sz w:val="21"/>
                <w:szCs w:val="21"/>
                <w:highlight w:val="none"/>
                <w:lang w:val="en-US" w:eastAsia="zh-CN" w:bidi="ar"/>
              </w:rPr>
            </w:pPr>
            <w:r>
              <w:rPr>
                <w:rFonts w:hint="eastAsia"/>
                <w:color w:val="auto"/>
                <w:sz w:val="21"/>
                <w:szCs w:val="21"/>
                <w:highlight w:val="none"/>
                <w:lang w:bidi="ar"/>
              </w:rPr>
              <w:t>相同项目按最高级别奖项只计一次得分。本项最多得1</w:t>
            </w:r>
            <w:r>
              <w:rPr>
                <w:rFonts w:hint="eastAsia"/>
                <w:color w:val="auto"/>
                <w:sz w:val="21"/>
                <w:szCs w:val="21"/>
                <w:highlight w:val="none"/>
                <w:lang w:val="en-US" w:eastAsia="zh-CN" w:bidi="ar"/>
              </w:rPr>
              <w:t>5</w:t>
            </w:r>
            <w:r>
              <w:rPr>
                <w:rFonts w:hint="eastAsia"/>
                <w:color w:val="auto"/>
                <w:sz w:val="21"/>
                <w:szCs w:val="21"/>
                <w:highlight w:val="none"/>
                <w:lang w:bidi="ar"/>
              </w:rPr>
              <w:t>分</w:t>
            </w:r>
            <w:r>
              <w:rPr>
                <w:rFonts w:hint="eastAsia"/>
                <w:color w:val="auto"/>
                <w:sz w:val="21"/>
                <w:szCs w:val="21"/>
                <w:highlight w:val="none"/>
                <w:lang w:eastAsia="zh-CN" w:bidi="ar"/>
              </w:rPr>
              <w:t>，</w:t>
            </w:r>
            <w:r>
              <w:rPr>
                <w:rFonts w:hint="eastAsia"/>
                <w:color w:val="auto"/>
                <w:sz w:val="21"/>
                <w:szCs w:val="21"/>
                <w:highlight w:val="none"/>
                <w:lang w:bidi="ar"/>
              </w:rPr>
              <w:t>奖项须为质量奖项，时间以发证日期为准。不满足前述要求的不得分。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615" w:hRule="atLeast"/>
          <w:jc w:val="center"/>
        </w:trPr>
        <w:tc>
          <w:tcPr>
            <w:tcW w:w="1358" w:type="dxa"/>
            <w:vMerge w:val="continue"/>
            <w:tcBorders>
              <w:left w:val="single" w:color="auto" w:sz="8"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lang w:bidi="ar"/>
              </w:rPr>
              <w:t>工程研发能力</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lang w:bidi="ar"/>
              </w:rPr>
              <w:t>9</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w:t>
            </w:r>
            <w:r>
              <w:rPr>
                <w:rFonts w:hint="eastAsia" w:ascii="宋体" w:hAnsi="宋体" w:eastAsia="宋体" w:cs="宋体"/>
                <w:color w:val="auto"/>
                <w:kern w:val="0"/>
                <w:sz w:val="21"/>
                <w:szCs w:val="21"/>
                <w:highlight w:val="none"/>
                <w:lang w:val="en-US" w:eastAsia="zh-CN" w:bidi="ar"/>
              </w:rPr>
              <w:t>标人（若为联合体，指联合体主办方）</w:t>
            </w:r>
            <w:r>
              <w:rPr>
                <w:rFonts w:hint="eastAsia" w:ascii="宋体" w:hAnsi="宋体" w:eastAsia="宋体" w:cs="宋体"/>
                <w:color w:val="auto"/>
                <w:szCs w:val="21"/>
                <w:highlight w:val="none"/>
                <w:lang w:bidi="ar"/>
              </w:rPr>
              <w:t>参与编制过仍在使用的工程类国家（或行业）标准（或规范或规程）</w:t>
            </w:r>
            <w:r>
              <w:rPr>
                <w:rFonts w:ascii="宋体" w:hAnsi="宋体" w:eastAsia="宋体" w:cs="宋体"/>
                <w:color w:val="auto"/>
                <w:szCs w:val="21"/>
                <w:highlight w:val="none"/>
                <w:lang w:bidi="ar"/>
              </w:rPr>
              <w:t>1</w:t>
            </w:r>
            <w:r>
              <w:rPr>
                <w:rFonts w:hint="eastAsia" w:ascii="宋体" w:hAnsi="宋体" w:cs="宋体"/>
                <w:color w:val="auto"/>
                <w:szCs w:val="21"/>
                <w:highlight w:val="none"/>
                <w:lang w:val="en-US" w:eastAsia="zh-CN" w:bidi="ar"/>
              </w:rPr>
              <w:t>0</w:t>
            </w:r>
            <w:r>
              <w:rPr>
                <w:rFonts w:ascii="宋体" w:hAnsi="宋体" w:eastAsia="宋体" w:cs="宋体"/>
                <w:color w:val="auto"/>
                <w:szCs w:val="21"/>
                <w:highlight w:val="none"/>
                <w:lang w:bidi="ar"/>
              </w:rPr>
              <w:t>项（</w:t>
            </w:r>
            <w:r>
              <w:rPr>
                <w:rFonts w:hint="eastAsia" w:ascii="宋体" w:hAnsi="宋体" w:cs="宋体"/>
                <w:color w:val="auto"/>
                <w:szCs w:val="21"/>
                <w:highlight w:val="none"/>
                <w:lang w:eastAsia="zh-CN" w:bidi="ar"/>
              </w:rPr>
              <w:t>不</w:t>
            </w:r>
            <w:r>
              <w:rPr>
                <w:rFonts w:ascii="宋体" w:hAnsi="宋体" w:eastAsia="宋体" w:cs="宋体"/>
                <w:color w:val="auto"/>
                <w:szCs w:val="21"/>
                <w:highlight w:val="none"/>
                <w:lang w:bidi="ar"/>
              </w:rPr>
              <w:t>含</w:t>
            </w:r>
            <w:r>
              <w:rPr>
                <w:rFonts w:hint="eastAsia" w:ascii="宋体" w:hAnsi="宋体" w:cs="宋体"/>
                <w:color w:val="auto"/>
                <w:szCs w:val="21"/>
                <w:highlight w:val="none"/>
                <w:lang w:val="en-US" w:eastAsia="zh-CN" w:bidi="ar"/>
              </w:rPr>
              <w:t>10项</w:t>
            </w:r>
            <w:r>
              <w:rPr>
                <w:rFonts w:ascii="宋体" w:hAnsi="宋体" w:eastAsia="宋体" w:cs="宋体"/>
                <w:color w:val="auto"/>
                <w:szCs w:val="21"/>
                <w:highlight w:val="none"/>
                <w:lang w:bidi="ar"/>
              </w:rPr>
              <w:t>）以上得9分；</w:t>
            </w:r>
            <w:r>
              <w:rPr>
                <w:rFonts w:hint="eastAsia" w:ascii="宋体" w:hAnsi="宋体" w:eastAsia="宋体" w:cs="宋体"/>
                <w:color w:val="auto"/>
                <w:szCs w:val="21"/>
                <w:highlight w:val="none"/>
                <w:lang w:bidi="ar"/>
              </w:rPr>
              <w:t>9</w:t>
            </w:r>
            <w:r>
              <w:rPr>
                <w:rFonts w:ascii="宋体" w:hAnsi="宋体" w:eastAsia="宋体" w:cs="宋体"/>
                <w:color w:val="auto"/>
                <w:szCs w:val="21"/>
                <w:highlight w:val="none"/>
                <w:lang w:bidi="ar"/>
              </w:rPr>
              <w:t>-10项得</w:t>
            </w:r>
            <w:r>
              <w:rPr>
                <w:rFonts w:hint="eastAsia" w:ascii="宋体" w:hAnsi="宋体" w:eastAsia="宋体" w:cs="宋体"/>
                <w:color w:val="auto"/>
                <w:szCs w:val="21"/>
                <w:highlight w:val="none"/>
                <w:lang w:bidi="ar"/>
              </w:rPr>
              <w:t>5</w:t>
            </w:r>
            <w:r>
              <w:rPr>
                <w:rFonts w:ascii="宋体" w:hAnsi="宋体" w:eastAsia="宋体" w:cs="宋体"/>
                <w:color w:val="auto"/>
                <w:szCs w:val="21"/>
                <w:highlight w:val="none"/>
                <w:lang w:bidi="ar"/>
              </w:rPr>
              <w:t>分；</w:t>
            </w:r>
            <w:r>
              <w:rPr>
                <w:rFonts w:hint="eastAsia" w:ascii="宋体" w:hAnsi="宋体" w:eastAsia="宋体" w:cs="宋体"/>
                <w:color w:val="auto"/>
                <w:szCs w:val="21"/>
                <w:highlight w:val="none"/>
                <w:lang w:bidi="ar"/>
              </w:rPr>
              <w:t>6</w:t>
            </w:r>
            <w:r>
              <w:rPr>
                <w:rFonts w:ascii="宋体" w:hAnsi="宋体" w:eastAsia="宋体" w:cs="宋体"/>
                <w:color w:val="auto"/>
                <w:szCs w:val="21"/>
                <w:highlight w:val="none"/>
                <w:lang w:bidi="ar"/>
              </w:rPr>
              <w:t>-8项得3分；1-</w:t>
            </w:r>
            <w:r>
              <w:rPr>
                <w:rFonts w:hint="eastAsia" w:ascii="宋体" w:hAnsi="宋体" w:eastAsia="宋体" w:cs="宋体"/>
                <w:color w:val="auto"/>
                <w:szCs w:val="21"/>
                <w:highlight w:val="none"/>
                <w:lang w:bidi="ar"/>
              </w:rPr>
              <w:t>5</w:t>
            </w:r>
            <w:r>
              <w:rPr>
                <w:rFonts w:ascii="宋体" w:hAnsi="宋体" w:eastAsia="宋体" w:cs="宋体"/>
                <w:color w:val="auto"/>
                <w:szCs w:val="21"/>
                <w:highlight w:val="none"/>
                <w:lang w:bidi="ar"/>
              </w:rPr>
              <w:t>项得1分。</w:t>
            </w:r>
          </w:p>
          <w:p>
            <w:pPr>
              <w:rPr>
                <w:rFonts w:ascii="宋体" w:hAnsi="宋体" w:eastAsia="宋体" w:cs="宋体"/>
                <w:color w:val="auto"/>
                <w:szCs w:val="21"/>
                <w:highlight w:val="none"/>
              </w:rPr>
            </w:pPr>
            <w:r>
              <w:rPr>
                <w:rFonts w:ascii="宋体" w:hAnsi="宋体" w:eastAsia="宋体" w:cs="宋体"/>
                <w:color w:val="auto"/>
                <w:szCs w:val="21"/>
                <w:highlight w:val="none"/>
                <w:lang w:bidi="ar"/>
              </w:rPr>
              <w:t>本项最多得9分</w:t>
            </w: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不满足前述要求的不得分。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709" w:hRule="atLeast"/>
          <w:jc w:val="center"/>
        </w:trPr>
        <w:tc>
          <w:tcPr>
            <w:tcW w:w="1358" w:type="dxa"/>
            <w:vMerge w:val="continue"/>
            <w:tcBorders>
              <w:left w:val="single" w:color="auto" w:sz="8" w:space="0"/>
              <w:bottom w:val="single" w:color="auto" w:sz="4" w:space="0"/>
              <w:right w:val="single" w:color="auto" w:sz="4" w:space="0"/>
            </w:tcBorders>
            <w:noWrap w:val="0"/>
            <w:tcMar>
              <w:top w:w="0" w:type="dxa"/>
              <w:bottom w:w="0" w:type="dxa"/>
            </w:tcMar>
            <w:vAlign w:val="center"/>
          </w:tcPr>
          <w:p>
            <w:pPr>
              <w:rPr>
                <w:rFonts w:ascii="宋体" w:hAnsi="宋体" w:eastAsia="宋体"/>
                <w:color w:val="auto"/>
                <w:sz w:val="20"/>
                <w:szCs w:val="20"/>
                <w:highlight w:val="none"/>
              </w:rPr>
            </w:pPr>
          </w:p>
        </w:tc>
        <w:tc>
          <w:tcPr>
            <w:tcW w:w="2019" w:type="dxa"/>
            <w:gridSpan w:val="2"/>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lang w:bidi="ar"/>
              </w:rPr>
              <w:t>第三方评价</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lang w:bidi="ar"/>
              </w:rPr>
              <w:t>6</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投标人</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val="en-US" w:eastAsia="zh-CN" w:bidi="ar"/>
              </w:rPr>
              <w:t>若为联合体，指联合体主办方</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自2020年1月1日至今</w:t>
            </w:r>
            <w:r>
              <w:rPr>
                <w:rFonts w:hint="eastAsia" w:ascii="宋体" w:hAnsi="宋体" w:eastAsia="宋体" w:cs="宋体"/>
                <w:color w:val="auto"/>
                <w:szCs w:val="21"/>
                <w:highlight w:val="none"/>
                <w:lang w:eastAsia="zh-CN" w:bidi="ar"/>
              </w:rPr>
              <w:t>：</w:t>
            </w:r>
          </w:p>
          <w:p>
            <w:pPr>
              <w:numPr>
                <w:ilvl w:val="0"/>
                <w:numId w:val="4"/>
              </w:num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获得过省级或以上市政行业协会颁发的</w:t>
            </w:r>
            <w:r>
              <w:rPr>
                <w:rFonts w:hint="eastAsia" w:ascii="宋体" w:hAnsi="宋体" w:eastAsia="宋体" w:cs="宋体"/>
                <w:color w:val="auto"/>
                <w:szCs w:val="21"/>
                <w:highlight w:val="none"/>
                <w:lang w:val="zh-CN" w:bidi="ar"/>
              </w:rPr>
              <w:t>企业信用等级评价AAAAA级证书</w:t>
            </w:r>
            <w:r>
              <w:rPr>
                <w:rFonts w:hint="eastAsia" w:ascii="宋体" w:hAnsi="宋体" w:eastAsia="宋体" w:cs="宋体"/>
                <w:color w:val="auto"/>
                <w:szCs w:val="21"/>
                <w:highlight w:val="none"/>
                <w:lang w:val="en-US" w:eastAsia="zh-CN" w:bidi="ar"/>
              </w:rPr>
              <w:t>，</w:t>
            </w:r>
            <w:r>
              <w:rPr>
                <w:rFonts w:hint="eastAsia" w:ascii="宋体" w:hAnsi="宋体" w:eastAsia="宋体" w:cs="宋体"/>
                <w:color w:val="auto"/>
                <w:szCs w:val="21"/>
                <w:highlight w:val="none"/>
                <w:lang w:val="zh-CN" w:bidi="ar"/>
              </w:rPr>
              <w:t>得</w:t>
            </w:r>
            <w:r>
              <w:rPr>
                <w:rFonts w:hint="eastAsia" w:ascii="宋体" w:hAnsi="宋体" w:eastAsia="宋体" w:cs="宋体"/>
                <w:color w:val="auto"/>
                <w:szCs w:val="21"/>
                <w:highlight w:val="none"/>
                <w:lang w:val="en-US" w:eastAsia="zh-CN" w:bidi="ar"/>
              </w:rPr>
              <w:t>6</w:t>
            </w:r>
            <w:r>
              <w:rPr>
                <w:rFonts w:hint="eastAsia" w:ascii="宋体" w:hAnsi="宋体" w:eastAsia="宋体" w:cs="宋体"/>
                <w:color w:val="auto"/>
                <w:szCs w:val="21"/>
                <w:highlight w:val="none"/>
                <w:lang w:val="zh-CN" w:bidi="ar"/>
              </w:rPr>
              <w:t>分</w:t>
            </w:r>
            <w:r>
              <w:rPr>
                <w:rFonts w:hint="eastAsia" w:ascii="宋体" w:hAnsi="宋体" w:eastAsia="宋体" w:cs="宋体"/>
                <w:color w:val="auto"/>
                <w:szCs w:val="21"/>
                <w:highlight w:val="none"/>
                <w:lang w:bidi="ar"/>
              </w:rPr>
              <w:t>；</w:t>
            </w:r>
          </w:p>
          <w:p>
            <w:pPr>
              <w:numPr>
                <w:ilvl w:val="0"/>
                <w:numId w:val="4"/>
              </w:numP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获得过省级或以上市政行业协会颁发的</w:t>
            </w:r>
            <w:r>
              <w:rPr>
                <w:rFonts w:hint="eastAsia" w:ascii="宋体" w:hAnsi="宋体" w:eastAsia="宋体" w:cs="宋体"/>
                <w:color w:val="auto"/>
                <w:szCs w:val="21"/>
                <w:highlight w:val="none"/>
                <w:lang w:val="zh-CN" w:bidi="ar"/>
              </w:rPr>
              <w:t>企业信用等级评价AAAA级证书</w:t>
            </w:r>
            <w:r>
              <w:rPr>
                <w:rFonts w:hint="eastAsia" w:ascii="宋体" w:hAnsi="宋体" w:eastAsia="宋体" w:cs="宋体"/>
                <w:color w:val="auto"/>
                <w:szCs w:val="21"/>
                <w:highlight w:val="none"/>
                <w:lang w:val="en-US" w:eastAsia="zh-CN" w:bidi="ar"/>
              </w:rPr>
              <w:t>，</w:t>
            </w:r>
            <w:r>
              <w:rPr>
                <w:rFonts w:hint="eastAsia" w:ascii="宋体" w:hAnsi="宋体" w:eastAsia="宋体" w:cs="宋体"/>
                <w:color w:val="auto"/>
                <w:szCs w:val="21"/>
                <w:highlight w:val="none"/>
                <w:lang w:val="zh-CN" w:bidi="ar"/>
              </w:rPr>
              <w:t>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val="zh-CN" w:bidi="ar"/>
              </w:rPr>
              <w:t>分</w:t>
            </w:r>
            <w:r>
              <w:rPr>
                <w:rFonts w:hint="eastAsia" w:ascii="宋体" w:hAnsi="宋体" w:eastAsia="宋体" w:cs="宋体"/>
                <w:color w:val="auto"/>
                <w:szCs w:val="21"/>
                <w:highlight w:val="none"/>
                <w:lang w:bidi="ar"/>
              </w:rPr>
              <w:t>；</w:t>
            </w:r>
          </w:p>
          <w:p>
            <w:pPr>
              <w:numPr>
                <w:ilvl w:val="0"/>
                <w:numId w:val="4"/>
              </w:numP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获得过省级或以上市政行业协会颁发的</w:t>
            </w:r>
            <w:r>
              <w:rPr>
                <w:rFonts w:hint="eastAsia" w:ascii="宋体" w:hAnsi="宋体" w:eastAsia="宋体" w:cs="宋体"/>
                <w:color w:val="auto"/>
                <w:szCs w:val="21"/>
                <w:highlight w:val="none"/>
                <w:lang w:val="zh-CN" w:bidi="ar"/>
              </w:rPr>
              <w:t>企业信用等级评价AAA级证书</w:t>
            </w:r>
            <w:r>
              <w:rPr>
                <w:rFonts w:hint="eastAsia" w:ascii="宋体" w:hAnsi="宋体" w:eastAsia="宋体" w:cs="宋体"/>
                <w:color w:val="auto"/>
                <w:szCs w:val="21"/>
                <w:highlight w:val="none"/>
                <w:lang w:val="en-US" w:eastAsia="zh-CN" w:bidi="ar"/>
              </w:rPr>
              <w:t>，</w:t>
            </w:r>
            <w:r>
              <w:rPr>
                <w:rFonts w:hint="eastAsia" w:ascii="宋体" w:hAnsi="宋体" w:eastAsia="宋体" w:cs="宋体"/>
                <w:color w:val="auto"/>
                <w:szCs w:val="21"/>
                <w:highlight w:val="none"/>
                <w:lang w:val="zh-CN" w:bidi="ar"/>
              </w:rPr>
              <w:t>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val="zh-CN" w:bidi="ar"/>
              </w:rPr>
              <w:t>分</w:t>
            </w:r>
            <w:r>
              <w:rPr>
                <w:rFonts w:hint="eastAsia" w:ascii="宋体" w:hAnsi="宋体" w:eastAsia="宋体" w:cs="宋体"/>
                <w:color w:val="auto"/>
                <w:szCs w:val="21"/>
                <w:highlight w:val="none"/>
                <w:lang w:bidi="ar"/>
              </w:rPr>
              <w:t>；</w:t>
            </w:r>
          </w:p>
          <w:p>
            <w:pP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bidi="ar"/>
              </w:rPr>
              <w:t>按</w:t>
            </w:r>
            <w:r>
              <w:rPr>
                <w:rFonts w:hint="eastAsia" w:ascii="宋体" w:hAnsi="宋体" w:eastAsia="宋体" w:cs="宋体"/>
                <w:color w:val="auto"/>
                <w:szCs w:val="21"/>
                <w:highlight w:val="none"/>
                <w:lang w:bidi="ar"/>
              </w:rPr>
              <w:t>最高级别</w:t>
            </w:r>
            <w:r>
              <w:rPr>
                <w:rFonts w:hint="eastAsia" w:ascii="宋体" w:hAnsi="宋体" w:eastAsia="宋体" w:cs="宋体"/>
                <w:color w:val="auto"/>
                <w:szCs w:val="21"/>
                <w:highlight w:val="none"/>
                <w:lang w:val="en-US" w:eastAsia="zh-CN" w:bidi="ar"/>
              </w:rPr>
              <w:t>评价</w:t>
            </w:r>
            <w:r>
              <w:rPr>
                <w:rFonts w:hint="eastAsia" w:ascii="宋体" w:hAnsi="宋体" w:eastAsia="宋体" w:cs="宋体"/>
                <w:color w:val="auto"/>
                <w:szCs w:val="21"/>
                <w:highlight w:val="none"/>
                <w:lang w:bidi="ar"/>
              </w:rPr>
              <w:t>只计一次得分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本项最多得6分。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cantSplit/>
          <w:trHeight w:val="272" w:hRule="atLeast"/>
          <w:jc w:val="center"/>
        </w:trPr>
        <w:tc>
          <w:tcPr>
            <w:tcW w:w="3377" w:type="dxa"/>
            <w:gridSpan w:val="3"/>
            <w:tcBorders>
              <w:top w:val="single" w:color="auto" w:sz="4" w:space="0"/>
              <w:left w:val="single" w:color="auto" w:sz="8" w:space="0"/>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lang w:bidi="ar"/>
              </w:rPr>
              <w:t>合计（一+二+三）</w:t>
            </w:r>
          </w:p>
        </w:tc>
        <w:tc>
          <w:tcPr>
            <w:tcW w:w="782" w:type="dxa"/>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center"/>
              <w:rPr>
                <w:color w:val="auto"/>
                <w:sz w:val="21"/>
                <w:szCs w:val="21"/>
                <w:highlight w:val="none"/>
              </w:rPr>
            </w:pPr>
            <w:r>
              <w:rPr>
                <w:rFonts w:hint="eastAsia"/>
                <w:color w:val="auto"/>
                <w:sz w:val="21"/>
                <w:szCs w:val="21"/>
                <w:highlight w:val="none"/>
                <w:lang w:bidi="ar"/>
              </w:rPr>
              <w:t>100</w:t>
            </w:r>
          </w:p>
        </w:tc>
        <w:tc>
          <w:tcPr>
            <w:tcW w:w="10696" w:type="dxa"/>
            <w:gridSpan w:val="4"/>
            <w:tcBorders>
              <w:top w:val="single" w:color="auto" w:sz="4" w:space="0"/>
              <w:left w:val="nil"/>
              <w:bottom w:val="single" w:color="auto" w:sz="4" w:space="0"/>
              <w:right w:val="single" w:color="auto" w:sz="4" w:space="0"/>
            </w:tcBorders>
            <w:noWrap w:val="0"/>
            <w:tcMar>
              <w:top w:w="0" w:type="dxa"/>
              <w:bottom w:w="0" w:type="dxa"/>
            </w:tcMar>
            <w:vAlign w:val="center"/>
          </w:tcPr>
          <w:p>
            <w:pPr>
              <w:pStyle w:val="45"/>
              <w:widowControl w:val="0"/>
              <w:adjustRightInd w:val="0"/>
              <w:snapToGrid w:val="0"/>
              <w:spacing w:before="0" w:beforeAutospacing="0" w:after="0" w:afterAutospacing="0"/>
              <w:jc w:val="both"/>
              <w:rPr>
                <w:color w:val="auto"/>
                <w:sz w:val="21"/>
                <w:szCs w:val="21"/>
                <w:highlight w:val="none"/>
              </w:rPr>
            </w:pPr>
          </w:p>
        </w:tc>
      </w:tr>
    </w:tbl>
    <w:p>
      <w:pPr>
        <w:pStyle w:val="284"/>
        <w:ind w:firstLine="422" w:firstLineChars="200"/>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备注</w:t>
      </w:r>
      <w:r>
        <w:rPr>
          <w:rFonts w:hint="eastAsia" w:ascii="宋体" w:hAnsi="宋体" w:eastAsia="宋体" w:cs="宋体"/>
          <w:color w:val="auto"/>
          <w:sz w:val="21"/>
          <w:szCs w:val="21"/>
          <w:highlight w:val="none"/>
        </w:rPr>
        <w:t>：</w:t>
      </w:r>
    </w:p>
    <w:p>
      <w:pPr>
        <w:pStyle w:val="284"/>
        <w:numPr>
          <w:ilvl w:val="0"/>
          <w:numId w:val="5"/>
        </w:numPr>
        <w:ind w:firstLine="420" w:firstLineChars="200"/>
        <w:rPr>
          <w:rFonts w:ascii="宋体" w:hAnsi="宋体" w:eastAsia="宋体" w:cs="宋体"/>
          <w:color w:val="auto"/>
          <w:sz w:val="21"/>
          <w:szCs w:val="21"/>
          <w:highlight w:val="none"/>
        </w:rPr>
      </w:pPr>
      <w:r>
        <w:rPr>
          <w:rFonts w:ascii="宋体" w:hAnsi="宋体" w:eastAsia="宋体" w:cs="宋体"/>
          <w:color w:val="auto"/>
          <w:sz w:val="21"/>
          <w:szCs w:val="21"/>
          <w:highlight w:val="none"/>
        </w:rPr>
        <w:t>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Style w:val="284"/>
        <w:numPr>
          <w:ilvl w:val="0"/>
          <w:numId w:val="5"/>
        </w:numPr>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项目负责人业绩：</w:t>
      </w:r>
    </w:p>
    <w:p>
      <w:pPr>
        <w:pStyle w:val="284"/>
        <w:numPr>
          <w:ilvl w:val="0"/>
          <w:numId w:val="0"/>
        </w:numPr>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（1）业绩包括施工总承包或工程总承包（即EPC）的施工部分或PPP项目的施工部分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工程总承包业绩包括勘察设计施工总承包或设计施工总承包或设计采购施工总承包或勘察设计采购施工总承包业绩等。</w:t>
      </w:r>
    </w:p>
    <w:p>
      <w:pPr>
        <w:pStyle w:val="284"/>
        <w:numPr>
          <w:ilvl w:val="0"/>
          <w:numId w:val="0"/>
        </w:num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须提供业绩的施工合同（不含补充合同）、竣工验收报告或工程竣工备案表或建设工程质量监督部门出具的工程竣工合格验收的证明（验收文件至少具有建设单位、设计、施工和监理单位盖章）。完成时间以竣工验收证明材料为准；业绩金额以施工合同（不含补充合同）为准。项目负责人业绩，须是项目负责人在投标人企业任职时的业绩，竣工验收证明材料</w:t>
      </w:r>
      <w:r>
        <w:rPr>
          <w:rFonts w:hint="eastAsia" w:ascii="宋体" w:hAnsi="宋体" w:eastAsia="宋体" w:cs="宋体"/>
          <w:color w:val="auto"/>
          <w:sz w:val="21"/>
          <w:szCs w:val="21"/>
          <w:highlight w:val="none"/>
          <w:lang w:val="en-US" w:eastAsia="zh-CN"/>
        </w:rPr>
        <w:t>能</w:t>
      </w:r>
      <w:r>
        <w:rPr>
          <w:rFonts w:hint="eastAsia" w:ascii="宋体" w:hAnsi="宋体" w:eastAsia="宋体" w:cs="宋体"/>
          <w:color w:val="auto"/>
          <w:sz w:val="21"/>
          <w:szCs w:val="21"/>
          <w:highlight w:val="none"/>
        </w:rPr>
        <w:t>体现证明本项目拟派项目负责人担任相关业绩的项目负责人（即项目经理）职务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符合上述条件或提供的资料不齐全的业绩不予评审。评标委员会对业绩的评审以投标人提供的完整的证明资料为依据（中标单位须准备相关证明材料的原件待查，如原件不齐或与投标文件不符的，招标人有权取消其中标人资格，并上报建设行政主管部门）。只计算市政公用工程施工项目</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得分，其他非市政公用工程施工项目，如：房建、公路、铁路、水利、电力、化工、冶金、矿山的</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不参与计分。</w:t>
      </w:r>
    </w:p>
    <w:p>
      <w:pPr>
        <w:pStyle w:val="284"/>
        <w:numPr>
          <w:ilvl w:val="0"/>
          <w:numId w:val="0"/>
        </w:numPr>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val="en-US" w:eastAsia="zh-CN"/>
        </w:rPr>
        <w:t>获奖：</w:t>
      </w:r>
      <w:r>
        <w:rPr>
          <w:rFonts w:hint="eastAsia" w:ascii="宋体" w:hAnsi="宋体" w:eastAsia="宋体" w:cs="宋体"/>
          <w:color w:val="auto"/>
          <w:sz w:val="21"/>
          <w:szCs w:val="21"/>
          <w:highlight w:val="none"/>
          <w:u w:val="none"/>
        </w:rPr>
        <w:t>奖项须为市政公用工程获得的质量奖项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需提供奖项证书</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施工合同或工程总承包合同（不含补充合同）</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竣工验收证明文件（验收文件至少具有建设单位、设计、施工和监理单位盖章）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时间以奖项证书发证时间为准，奖项只计算承建单位，不含参建单位，境外工程项目不参与计算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只计算市政公用工程施工项目获奖得分，其他非市政公用工程施工项目，如：房建、公路、铁路、水利、电力、化工、冶金、矿山的获奖不参与计分。</w:t>
      </w:r>
    </w:p>
    <w:p>
      <w:pPr>
        <w:pStyle w:val="284"/>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、企业工程项目获奖情况：</w:t>
      </w:r>
      <w:r>
        <w:rPr>
          <w:rFonts w:hint="eastAsia" w:ascii="宋体" w:hAnsi="宋体" w:eastAsia="宋体" w:cs="宋体"/>
          <w:color w:val="auto"/>
          <w:sz w:val="21"/>
          <w:szCs w:val="21"/>
          <w:highlight w:val="none"/>
          <w:u w:val="single"/>
        </w:rPr>
        <w:t>奖项须为市政公用工程获得的质量奖项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需提供奖项证书、施工合同或工程总承包合同（不含补充合同）或竣工验收证明文件扫描件</w:t>
      </w:r>
      <w:r>
        <w:rPr>
          <w:rFonts w:hint="eastAsia" w:ascii="宋体" w:hAnsi="宋体" w:eastAsia="宋体" w:cs="宋体"/>
          <w:color w:val="auto"/>
          <w:sz w:val="21"/>
          <w:szCs w:val="21"/>
          <w:highlight w:val="none"/>
        </w:rPr>
        <w:t>，时间以奖项证书发证时间为准，奖项只计算承建单位，不含参建单位，境外工程项目不参与计算。其中国家级奖项包括：中国建设工程鲁班奖、国家优质工程（金质奖）、国家优质工程（银质奖）、国家优质工程奖、中国土木工程詹天佑奖、全国市政金杯示范工程奖。只计算含有与本项目主要招标内容相关的道路、桥梁、隧道等一项或多项专业</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市政公用工程施工项目获奖得分，其他非市政公用工程施工项目，如：房建、公路、铁路、水利、电力、化工、冶金、矿山的获奖不参与计分。提交获奖工程项目的施工合同或工程总承包合同（不含补充合同）或竣工验收证明文件须体现投标人担任该项目的施工单位。同一项目按最高级别奖项只计一次得分。没有提供上述证明材料或不符合条件的奖项不计分。只计算投标人自身，不计算投标人的子公司、分公司及分支机构。</w:t>
      </w:r>
    </w:p>
    <w:p>
      <w:pPr>
        <w:pStyle w:val="284"/>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工程研发能力：工程类国家（或行业）标准（或规范或规程）须提供在中华人民共和国住房和城乡建设部官网（https://www.mohurd.gov.cn/）查询到该标准（或规范或规程）发布公告的网页截图以及该标准（或规范或规程）的前面关键页（需能体现投标人为主编或参编或起草或参加单位）扫描件并加盖电子公章。工程类标准（或规范或规程）包括但不限于：工程类质量检测技术标准（或规范或规程）、工程类施工质量验收标准（或规范或规程）、工程类施工标准（或规范或规程）、工程类技术标准（或规范或规程）、工程类检测与监测技术标准（或规范或规程）、工程类测量标准（或规范或规程）、城镇建设行业或建筑工业行业产品标准（或规范或规程）等。只计算投标人自身，不计算投标人的子公司、分公司及分支机构。不符合上述条件或未提供上述资料的不得分。</w:t>
      </w:r>
    </w:p>
    <w:p>
      <w:pPr>
        <w:pStyle w:val="284"/>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第三方评价</w:t>
      </w:r>
      <w:r>
        <w:rPr>
          <w:rFonts w:hint="eastAsia" w:ascii="宋体" w:hAnsi="宋体" w:eastAsia="宋体" w:cs="宋体"/>
          <w:color w:val="auto"/>
          <w:sz w:val="21"/>
          <w:szCs w:val="21"/>
          <w:highlight w:val="none"/>
        </w:rPr>
        <w:t>：须提供荣誉证书扫描件及省级或以上市政行业协会网站公示文件截图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信用</w:t>
      </w:r>
      <w:r>
        <w:rPr>
          <w:rFonts w:hint="eastAsia" w:ascii="宋体" w:hAnsi="宋体" w:eastAsia="宋体" w:cs="宋体"/>
          <w:color w:val="auto"/>
          <w:sz w:val="21"/>
          <w:szCs w:val="21"/>
          <w:highlight w:val="none"/>
        </w:rPr>
        <w:t>评价证书须在有效期内。只计算投标人自身，不计算投标人的子公司、分公司及分支机构。没有提供上述资料或不符合条件的不得分。</w:t>
      </w:r>
    </w:p>
    <w:p>
      <w:pPr>
        <w:pStyle w:val="284"/>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本表按百分制评分，所有评委每个分项的分数汇总后去掉一个最高分和一个最低分的算术平均值为投标人的最终得分。分数出现小数点，保留小数点后二位小数，第三位小数四舍五入，若投标人满足多个档次的，按最高档计分。</w:t>
      </w:r>
    </w:p>
    <w:p>
      <w:pPr>
        <w:pStyle w:val="284"/>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、项目管理机构人员不得兼任。</w:t>
      </w:r>
    </w:p>
    <w:p>
      <w:pPr>
        <w:pStyle w:val="284"/>
        <w:ind w:firstLine="420" w:firstLineChars="200"/>
        <w:rPr>
          <w:rFonts w:ascii="宋体" w:hAnsi="宋体" w:eastAsia="宋体"/>
          <w:color w:val="auto"/>
          <w:highlight w:val="none"/>
        </w:rPr>
      </w:pP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、投标人提供的网页信息截图或证明材料扫描件内容必须清晰可辨，如因网页信息截图或证明材料扫描件内容模糊导致评标时无法判断的，后果由投标人自负。</w:t>
      </w:r>
    </w:p>
    <w:p>
      <w:pPr>
        <w:ind w:firstLine="422" w:firstLineChars="201"/>
        <w:jc w:val="left"/>
        <w:rPr>
          <w:color w:val="auto"/>
          <w:highlight w:val="none"/>
          <w:u w:val="single"/>
        </w:rPr>
      </w:pPr>
    </w:p>
    <w:p>
      <w:pPr>
        <w:pStyle w:val="7"/>
        <w:rPr>
          <w:color w:val="auto"/>
          <w:highlight w:val="none"/>
        </w:rPr>
      </w:pPr>
      <w:r>
        <w:rPr>
          <w:color w:val="auto"/>
          <w:highlight w:val="none"/>
        </w:rPr>
        <w:br w:type="page"/>
      </w:r>
      <w:bookmarkEnd w:id="42"/>
    </w:p>
    <w:p>
      <w:pPr>
        <w:pStyle w:val="9"/>
        <w:rPr>
          <w:color w:val="auto"/>
          <w:highlight w:val="none"/>
        </w:rPr>
      </w:pPr>
      <w:bookmarkStart w:id="43" w:name="_Toc18719"/>
      <w:r>
        <w:rPr>
          <w:rFonts w:hint="eastAsia"/>
          <w:color w:val="auto"/>
          <w:highlight w:val="none"/>
        </w:rPr>
        <w:t>附表五</w:t>
      </w:r>
      <w:bookmarkEnd w:id="43"/>
    </w:p>
    <w:p>
      <w:pPr>
        <w:jc w:val="center"/>
        <w:rPr>
          <w:rFonts w:ascii="宋体" w:hAnsi="宋体"/>
          <w:b/>
          <w:color w:val="auto"/>
          <w:sz w:val="36"/>
          <w:szCs w:val="36"/>
          <w:highlight w:val="none"/>
        </w:rPr>
      </w:pPr>
      <w:r>
        <w:rPr>
          <w:rFonts w:hint="eastAsia" w:ascii="宋体" w:hAnsi="宋体"/>
          <w:b/>
          <w:color w:val="auto"/>
          <w:sz w:val="36"/>
          <w:szCs w:val="36"/>
          <w:highlight w:val="none"/>
        </w:rPr>
        <w:t>经济标评分表</w:t>
      </w:r>
    </w:p>
    <w:p>
      <w:pPr>
        <w:rPr>
          <w:rFonts w:ascii="宋体" w:hAnsi="宋体"/>
          <w:color w:val="auto"/>
          <w:szCs w:val="21"/>
          <w:highlight w:val="none"/>
        </w:rPr>
      </w:pPr>
      <w:r>
        <w:rPr>
          <w:rFonts w:hint="eastAsia" w:ascii="宋体" w:hAnsi="宋体"/>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1025"/>
        <w:gridCol w:w="12"/>
        <w:gridCol w:w="1051"/>
        <w:gridCol w:w="1050"/>
        <w:gridCol w:w="1050"/>
        <w:gridCol w:w="1050"/>
        <w:gridCol w:w="1050"/>
        <w:gridCol w:w="1050"/>
        <w:gridCol w:w="1050"/>
        <w:gridCol w:w="1050"/>
        <w:gridCol w:w="1050"/>
        <w:gridCol w:w="105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2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6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587"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37"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rFonts w:ascii="宋体" w:hAnsi="宋体"/>
          <w:color w:val="auto"/>
          <w:highlight w:val="none"/>
        </w:rPr>
      </w:pPr>
      <w:r>
        <w:rPr>
          <w:rFonts w:hint="eastAsia" w:ascii="宋体" w:hAnsi="宋体"/>
          <w:color w:val="auto"/>
          <w:szCs w:val="21"/>
          <w:highlight w:val="none"/>
        </w:rPr>
        <w:t>评委签名：</w:t>
      </w:r>
    </w:p>
    <w:p>
      <w:pPr>
        <w:pStyle w:val="9"/>
        <w:rPr>
          <w:color w:val="auto"/>
          <w:highlight w:val="none"/>
        </w:rPr>
      </w:pPr>
      <w:r>
        <w:rPr>
          <w:rFonts w:hint="eastAsia"/>
          <w:color w:val="auto"/>
          <w:sz w:val="36"/>
          <w:szCs w:val="36"/>
          <w:highlight w:val="none"/>
        </w:rPr>
        <w:br w:type="page"/>
      </w:r>
      <w:bookmarkStart w:id="44" w:name="_Toc27477"/>
      <w:r>
        <w:rPr>
          <w:rFonts w:hint="eastAsia"/>
          <w:color w:val="auto"/>
          <w:highlight w:val="none"/>
        </w:rPr>
        <w:t>附表六</w:t>
      </w:r>
      <w:bookmarkEnd w:id="44"/>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 xml:space="preserve">工程名称：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投标人:                                                  单位：元</w:t>
      </w:r>
    </w:p>
    <w:tbl>
      <w:tblPr>
        <w:tblStyle w:val="49"/>
        <w:tblW w:w="0" w:type="auto"/>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修正率</w:t>
            </w:r>
          </w:p>
          <w:p>
            <w:pPr>
              <w:rPr>
                <w:rFonts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原投标报价（A）</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12" w:type="first"/>
          <w:headerReference r:id="rId10" w:type="default"/>
          <w:headerReference r:id="rId11" w:type="even"/>
          <w:footerReference r:id="rId13" w:type="even"/>
          <w:endnotePr>
            <w:numFmt w:val="decimal"/>
          </w:endnotePr>
          <w:pgSz w:w="16838" w:h="11906" w:orient="landscape"/>
          <w:pgMar w:top="1418" w:right="1247" w:bottom="1418" w:left="1134" w:header="851" w:footer="907" w:gutter="0"/>
          <w:pgNumType w:fmt="decimal"/>
          <w:cols w:space="720" w:num="1"/>
          <w:titlePg/>
          <w:docGrid w:type="lines" w:linePitch="312" w:charSpace="0"/>
        </w:sectPr>
      </w:pPr>
    </w:p>
    <w:p>
      <w:pPr>
        <w:pStyle w:val="3"/>
        <w:outlineLvl w:val="0"/>
        <w:rPr>
          <w:color w:val="auto"/>
        </w:rPr>
      </w:pPr>
      <w:bookmarkStart w:id="45" w:name="_Toc2576"/>
      <w:bookmarkStart w:id="46" w:name="_Toc2272567"/>
      <w:r>
        <w:rPr>
          <w:rFonts w:hint="eastAsia"/>
          <w:color w:val="auto"/>
        </w:rPr>
        <w:t>第三章 合同条款</w:t>
      </w:r>
      <w:bookmarkEnd w:id="45"/>
    </w:p>
    <w:p>
      <w:pPr>
        <w:ind w:firstLine="420" w:firstLineChars="200"/>
        <w:rPr>
          <w:rFonts w:ascii="宋体" w:hAnsi="宋体"/>
          <w:color w:val="auto"/>
        </w:rPr>
      </w:pPr>
      <w:r>
        <w:rPr>
          <w:rFonts w:hint="eastAsia" w:ascii="宋体" w:hAnsi="宋体"/>
          <w:color w:val="auto"/>
        </w:rPr>
        <w:drawing>
          <wp:anchor distT="0" distB="0" distL="114300" distR="114300" simplePos="0" relativeHeight="251662336" behindDoc="0" locked="0" layoutInCell="1" allowOverlap="1">
            <wp:simplePos x="0" y="0"/>
            <wp:positionH relativeFrom="column">
              <wp:posOffset>4003040</wp:posOffset>
            </wp:positionH>
            <wp:positionV relativeFrom="paragraph">
              <wp:posOffset>173355</wp:posOffset>
            </wp:positionV>
            <wp:extent cx="1725295" cy="1388110"/>
            <wp:effectExtent l="0" t="0" r="8255" b="2540"/>
            <wp:wrapSquare wrapText="bothSides"/>
            <wp:docPr id="43" name="图片 43"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C:\Users\lanxing\Desktop\93b1542184114cf8b316f10d4b2d5c42.png93b1542184114cf8b316f10d4b2d5c4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725295" cy="1388110"/>
                    </a:xfrm>
                    <a:prstGeom prst="rect">
                      <a:avLst/>
                    </a:prstGeom>
                    <a:noFill/>
                    <a:ln>
                      <a:noFill/>
                    </a:ln>
                  </pic:spPr>
                </pic:pic>
              </a:graphicData>
            </a:graphic>
          </wp:anchor>
        </w:drawing>
      </w:r>
    </w:p>
    <w:p>
      <w:pPr>
        <w:rPr>
          <w:rFonts w:ascii="宋体" w:hAnsi="宋体"/>
          <w:color w:val="auto"/>
        </w:rPr>
      </w:pPr>
      <w:r>
        <w:rPr>
          <w:rFonts w:ascii="宋体" w:hAnsi="宋体"/>
          <w:color w:val="auto"/>
        </w:rPr>
        <w:drawing>
          <wp:inline distT="0" distB="0" distL="0" distR="0">
            <wp:extent cx="2495550" cy="257175"/>
            <wp:effectExtent l="0" t="0" r="0"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495550" cy="257175"/>
                    </a:xfrm>
                    <a:prstGeom prst="rect">
                      <a:avLst/>
                    </a:prstGeom>
                    <a:noFill/>
                    <a:ln>
                      <a:noFill/>
                    </a:ln>
                  </pic:spPr>
                </pic:pic>
              </a:graphicData>
            </a:graphic>
          </wp:inline>
        </w:drawing>
      </w:r>
    </w:p>
    <w:p>
      <w:pPr>
        <w:ind w:firstLine="8400" w:firstLineChars="3500"/>
        <w:rPr>
          <w:rFonts w:ascii="宋体" w:hAnsi="宋体"/>
          <w:color w:val="auto"/>
          <w:sz w:val="24"/>
        </w:rPr>
      </w:pPr>
      <w:r>
        <w:rPr>
          <w:rFonts w:ascii="宋体" w:hAnsi="宋体"/>
          <w:color w:val="auto"/>
          <w:sz w:val="24"/>
        </w:rPr>
        <w:drawing>
          <wp:anchor distT="0" distB="0" distL="114300" distR="114300" simplePos="0" relativeHeight="251661312" behindDoc="1" locked="0" layoutInCell="1" allowOverlap="0">
            <wp:simplePos x="0" y="0"/>
            <wp:positionH relativeFrom="column">
              <wp:posOffset>0</wp:posOffset>
            </wp:positionH>
            <wp:positionV relativeFrom="paragraph">
              <wp:posOffset>198120</wp:posOffset>
            </wp:positionV>
            <wp:extent cx="790575" cy="161925"/>
            <wp:effectExtent l="0" t="0" r="9525" b="9525"/>
            <wp:wrapTight wrapText="bothSides">
              <wp:wrapPolygon>
                <wp:start x="16655" y="0"/>
                <wp:lineTo x="3123" y="0"/>
                <wp:lineTo x="0" y="2372"/>
                <wp:lineTo x="520" y="18974"/>
                <wp:lineTo x="21340" y="18974"/>
                <wp:lineTo x="21340" y="9487"/>
                <wp:lineTo x="18737" y="0"/>
                <wp:lineTo x="16655" y="0"/>
              </wp:wrapPolygon>
            </wp:wrapTight>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790575" cy="161925"/>
                    </a:xfrm>
                    <a:prstGeom prst="rect">
                      <a:avLst/>
                    </a:prstGeom>
                    <a:noFill/>
                    <a:ln>
                      <a:noFill/>
                    </a:ln>
                  </pic:spPr>
                </pic:pic>
              </a:graphicData>
            </a:graphic>
          </wp:anchor>
        </w:drawing>
      </w:r>
      <w:r>
        <w:rPr>
          <w:rFonts w:hint="eastAsia" w:ascii="宋体" w:hAnsi="宋体"/>
          <w:color w:val="auto"/>
          <w:sz w:val="24"/>
        </w:rPr>
        <w:t xml:space="preserve">                            </w:t>
      </w:r>
    </w:p>
    <w:p>
      <w:pPr>
        <w:tabs>
          <w:tab w:val="left" w:pos="870"/>
        </w:tabs>
        <w:rPr>
          <w:rFonts w:ascii="宋体" w:hAnsi="宋体"/>
          <w:color w:val="auto"/>
          <w:sz w:val="24"/>
        </w:rPr>
      </w:pPr>
      <w:r>
        <w:rPr>
          <w:rFonts w:hint="eastAsia" w:ascii="宋体" w:hAnsi="宋体"/>
          <w:color w:val="auto"/>
          <w:sz w:val="24"/>
        </w:rPr>
        <w:t>穗开建管施[202</w:t>
      </w:r>
      <w:r>
        <w:rPr>
          <w:rFonts w:ascii="宋体" w:hAnsi="宋体"/>
          <w:color w:val="auto"/>
          <w:sz w:val="24"/>
        </w:rPr>
        <w:t>3</w:t>
      </w:r>
      <w:r>
        <w:rPr>
          <w:rFonts w:hint="eastAsia" w:ascii="宋体" w:hAnsi="宋体"/>
          <w:color w:val="auto"/>
          <w:sz w:val="24"/>
        </w:rPr>
        <w:t>]  号/               /</w:t>
      </w:r>
    </w:p>
    <w:p>
      <w:pPr>
        <w:rPr>
          <w:rFonts w:ascii="宋体" w:hAnsi="宋体"/>
          <w:color w:val="auto"/>
          <w:sz w:val="28"/>
          <w:szCs w:val="28"/>
        </w:rPr>
      </w:pPr>
      <w:r>
        <w:rPr>
          <w:rFonts w:hint="eastAsia" w:ascii="宋体" w:hAnsi="宋体"/>
          <w:color w:val="auto"/>
          <w:sz w:val="28"/>
          <w:szCs w:val="28"/>
        </w:rPr>
        <w:t xml:space="preserve"> </w:t>
      </w:r>
    </w:p>
    <w:p>
      <w:pPr>
        <w:ind w:firstLine="840" w:firstLineChars="400"/>
        <w:rPr>
          <w:rFonts w:ascii="宋体" w:hAnsi="宋体"/>
          <w:color w:val="auto"/>
        </w:rPr>
      </w:pPr>
    </w:p>
    <w:p>
      <w:pPr>
        <w:ind w:firstLine="840" w:firstLineChars="400"/>
        <w:rPr>
          <w:rFonts w:ascii="宋体" w:hAnsi="宋体"/>
          <w:color w:val="auto"/>
        </w:rPr>
      </w:pPr>
      <w:r>
        <w:rPr>
          <w:rFonts w:hint="eastAsia" w:ascii="宋体" w:hAnsi="宋体"/>
          <w:color w:val="auto"/>
        </w:rPr>
        <w:t xml:space="preserve">                                                              </w:t>
      </w:r>
    </w:p>
    <w:p>
      <w:pPr>
        <w:ind w:firstLine="840" w:firstLineChars="400"/>
        <w:rPr>
          <w:rFonts w:ascii="宋体" w:hAnsi="宋体"/>
          <w:color w:val="auto"/>
        </w:rPr>
      </w:pPr>
      <w:r>
        <w:rPr>
          <w:rFonts w:hint="eastAsia" w:ascii="宋体" w:hAnsi="宋体"/>
          <w:color w:val="auto"/>
        </w:rPr>
        <w:t xml:space="preserve">                     </w:t>
      </w:r>
    </w:p>
    <w:p>
      <w:pPr>
        <w:snapToGrid w:val="0"/>
        <w:spacing w:line="440" w:lineRule="exact"/>
        <w:ind w:left="-197" w:leftChars="-94"/>
        <w:jc w:val="center"/>
        <w:rPr>
          <w:rFonts w:ascii="宋体" w:hAnsi="宋体"/>
          <w:color w:val="auto"/>
        </w:rPr>
      </w:pPr>
    </w:p>
    <w:p>
      <w:pPr>
        <w:snapToGrid w:val="0"/>
        <w:spacing w:line="440" w:lineRule="exact"/>
        <w:ind w:left="-197" w:leftChars="-94"/>
        <w:jc w:val="center"/>
        <w:rPr>
          <w:rFonts w:ascii="宋体" w:hAnsi="宋体"/>
          <w:color w:val="auto"/>
        </w:rPr>
      </w:pPr>
      <w:r>
        <w:rPr>
          <w:rFonts w:hint="eastAsia" w:ascii="宋体" w:hAnsi="宋体"/>
          <w:color w:val="auto"/>
        </w:rPr>
        <w:drawing>
          <wp:anchor distT="0" distB="0" distL="114300" distR="114300" simplePos="0" relativeHeight="251660288" behindDoc="0" locked="0" layoutInCell="1" allowOverlap="1">
            <wp:simplePos x="0" y="0"/>
            <wp:positionH relativeFrom="column">
              <wp:posOffset>114300</wp:posOffset>
            </wp:positionH>
            <wp:positionV relativeFrom="paragraph">
              <wp:posOffset>134620</wp:posOffset>
            </wp:positionV>
            <wp:extent cx="5295900" cy="590550"/>
            <wp:effectExtent l="0" t="0" r="0" b="0"/>
            <wp:wrapSquare wrapText="bothSides"/>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295900" cy="590550"/>
                    </a:xfrm>
                    <a:prstGeom prst="rect">
                      <a:avLst/>
                    </a:prstGeom>
                    <a:noFill/>
                    <a:ln>
                      <a:noFill/>
                    </a:ln>
                  </pic:spPr>
                </pic:pic>
              </a:graphicData>
            </a:graphic>
          </wp:anchor>
        </w:drawing>
      </w:r>
    </w:p>
    <w:p>
      <w:pPr>
        <w:spacing w:line="480" w:lineRule="exact"/>
        <w:jc w:val="center"/>
        <w:rPr>
          <w:rFonts w:ascii="宋体" w:hAnsi="宋体"/>
          <w:color w:val="auto"/>
          <w:sz w:val="28"/>
          <w:szCs w:val="28"/>
        </w:rPr>
      </w:pPr>
      <w:r>
        <w:rPr>
          <w:rFonts w:hint="eastAsia" w:ascii="宋体" w:hAnsi="宋体"/>
          <w:color w:val="auto"/>
          <w:sz w:val="28"/>
          <w:szCs w:val="28"/>
        </w:rPr>
        <w:t xml:space="preserve">        </w:t>
      </w:r>
    </w:p>
    <w:p>
      <w:pPr>
        <w:spacing w:line="480" w:lineRule="exact"/>
        <w:jc w:val="center"/>
        <w:rPr>
          <w:rFonts w:ascii="宋体" w:hAnsi="宋体"/>
          <w:color w:val="auto"/>
          <w:sz w:val="28"/>
          <w:szCs w:val="28"/>
        </w:rPr>
      </w:pPr>
    </w:p>
    <w:p>
      <w:pPr>
        <w:spacing w:line="480" w:lineRule="exact"/>
        <w:rPr>
          <w:rFonts w:ascii="宋体" w:hAnsi="宋体"/>
          <w:color w:val="auto"/>
          <w:sz w:val="28"/>
          <w:szCs w:val="28"/>
          <w:u w:val="single"/>
        </w:rPr>
      </w:pPr>
      <w:r>
        <w:rPr>
          <w:rFonts w:hint="eastAsia" w:ascii="宋体" w:hAnsi="宋体"/>
          <w:color w:val="auto"/>
          <w:sz w:val="28"/>
          <w:szCs w:val="28"/>
        </w:rPr>
        <w:t>项目名称：</w:t>
      </w:r>
      <w:r>
        <w:rPr>
          <w:rFonts w:hint="eastAsia" w:ascii="宋体" w:hAnsi="宋体"/>
          <w:color w:val="auto"/>
          <w:sz w:val="28"/>
          <w:szCs w:val="28"/>
          <w:u w:val="single"/>
        </w:rPr>
        <w:t xml:space="preserve">                                       </w:t>
      </w:r>
    </w:p>
    <w:p>
      <w:pPr>
        <w:spacing w:line="480" w:lineRule="exact"/>
        <w:rPr>
          <w:rFonts w:ascii="宋体" w:hAnsi="宋体"/>
          <w:color w:val="auto"/>
          <w:sz w:val="28"/>
          <w:szCs w:val="28"/>
          <w:u w:val="single"/>
        </w:rPr>
      </w:pPr>
      <w:r>
        <w:rPr>
          <w:rFonts w:hint="eastAsia" w:ascii="宋体" w:hAnsi="宋体"/>
          <w:color w:val="auto"/>
          <w:sz w:val="28"/>
          <w:szCs w:val="28"/>
        </w:rPr>
        <w:t>发包人（甲方）：</w:t>
      </w:r>
      <w:r>
        <w:rPr>
          <w:rFonts w:hint="eastAsia" w:ascii="宋体" w:hAnsi="宋体"/>
          <w:color w:val="auto"/>
          <w:sz w:val="28"/>
          <w:szCs w:val="28"/>
          <w:u w:val="single"/>
        </w:rPr>
        <w:t>广州开发区财政投资建设项目管理中心</w:t>
      </w:r>
    </w:p>
    <w:p>
      <w:pPr>
        <w:snapToGrid w:val="0"/>
        <w:spacing w:line="440" w:lineRule="exact"/>
        <w:rPr>
          <w:rFonts w:ascii="宋体" w:hAnsi="宋体"/>
          <w:color w:val="auto"/>
          <w:sz w:val="28"/>
          <w:szCs w:val="28"/>
          <w:u w:val="single"/>
        </w:rPr>
      </w:pPr>
      <w:r>
        <w:rPr>
          <w:rFonts w:hint="eastAsia" w:ascii="宋体" w:hAnsi="宋体"/>
          <w:color w:val="auto"/>
          <w:sz w:val="28"/>
          <w:szCs w:val="28"/>
        </w:rPr>
        <w:t>承包人（乙方）：</w:t>
      </w:r>
      <w:r>
        <w:rPr>
          <w:rFonts w:hint="eastAsia" w:ascii="宋体" w:hAnsi="宋体"/>
          <w:color w:val="auto"/>
          <w:sz w:val="28"/>
          <w:szCs w:val="28"/>
          <w:u w:val="single"/>
        </w:rPr>
        <w:t xml:space="preserve">                                   </w:t>
      </w:r>
    </w:p>
    <w:p>
      <w:pPr>
        <w:spacing w:line="480" w:lineRule="exact"/>
        <w:rPr>
          <w:rFonts w:ascii="宋体" w:hAnsi="宋体"/>
          <w:color w:val="auto"/>
          <w:sz w:val="28"/>
          <w:szCs w:val="28"/>
          <w:u w:val="single"/>
        </w:rPr>
      </w:pPr>
      <w:r>
        <w:rPr>
          <w:rFonts w:hint="eastAsia" w:ascii="宋体" w:hAnsi="宋体"/>
          <w:color w:val="auto"/>
          <w:sz w:val="28"/>
          <w:szCs w:val="28"/>
        </w:rPr>
        <w:t>合同签订日期：</w:t>
      </w:r>
      <w:r>
        <w:rPr>
          <w:rFonts w:hint="eastAsia" w:ascii="宋体" w:hAnsi="宋体"/>
          <w:color w:val="auto"/>
          <w:sz w:val="28"/>
          <w:szCs w:val="28"/>
          <w:u w:val="single"/>
        </w:rPr>
        <w:t>202</w:t>
      </w:r>
      <w:r>
        <w:rPr>
          <w:rFonts w:ascii="宋体" w:hAnsi="宋体"/>
          <w:color w:val="auto"/>
          <w:sz w:val="28"/>
          <w:szCs w:val="28"/>
          <w:u w:val="single"/>
        </w:rPr>
        <w:t>3</w:t>
      </w:r>
      <w:r>
        <w:rPr>
          <w:rFonts w:hint="eastAsia" w:ascii="宋体" w:hAnsi="宋体"/>
          <w:color w:val="auto"/>
          <w:sz w:val="28"/>
          <w:szCs w:val="28"/>
          <w:u w:val="single"/>
        </w:rPr>
        <w:t>年  月    日</w:t>
      </w:r>
    </w:p>
    <w:p>
      <w:pPr>
        <w:spacing w:line="360" w:lineRule="auto"/>
        <w:rPr>
          <w:rFonts w:ascii="宋体" w:hAnsi="宋体"/>
          <w:color w:val="auto"/>
          <w:sz w:val="24"/>
          <w:szCs w:val="24"/>
        </w:rPr>
      </w:pPr>
      <w:r>
        <w:rPr>
          <w:rFonts w:hint="eastAsia" w:ascii="宋体" w:hAnsi="宋体"/>
          <w:color w:val="auto"/>
          <w:sz w:val="28"/>
          <w:szCs w:val="28"/>
        </w:rPr>
        <w:t>签订地点：</w:t>
      </w:r>
      <w:r>
        <w:rPr>
          <w:rFonts w:hint="eastAsia" w:ascii="宋体" w:hAnsi="宋体"/>
          <w:color w:val="auto"/>
          <w:sz w:val="28"/>
          <w:szCs w:val="28"/>
          <w:u w:val="single"/>
        </w:rPr>
        <w:t>广州市黄埔区</w:t>
      </w:r>
    </w:p>
    <w:p>
      <w:pPr>
        <w:snapToGrid w:val="0"/>
        <w:spacing w:line="440" w:lineRule="exact"/>
        <w:jc w:val="center"/>
        <w:rPr>
          <w:rFonts w:ascii="宋体" w:hAnsi="宋体"/>
          <w:b/>
          <w:bCs/>
          <w:color w:val="auto"/>
          <w:sz w:val="24"/>
        </w:rPr>
      </w:pPr>
      <w:r>
        <w:rPr>
          <w:rFonts w:ascii="宋体" w:hAnsi="宋体"/>
          <w:color w:val="auto"/>
          <w:sz w:val="24"/>
          <w:szCs w:val="24"/>
        </w:rPr>
        <w:drawing>
          <wp:anchor distT="0" distB="0" distL="114300" distR="114300" simplePos="0" relativeHeight="251663360" behindDoc="0" locked="0" layoutInCell="1" allowOverlap="0">
            <wp:simplePos x="0" y="0"/>
            <wp:positionH relativeFrom="column">
              <wp:posOffset>-1141095</wp:posOffset>
            </wp:positionH>
            <wp:positionV relativeFrom="paragraph">
              <wp:posOffset>786765</wp:posOffset>
            </wp:positionV>
            <wp:extent cx="7562850" cy="2633980"/>
            <wp:effectExtent l="0" t="0" r="0" b="13970"/>
            <wp:wrapSquare wrapText="bothSides"/>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7562850" cy="2633980"/>
                    </a:xfrm>
                    <a:prstGeom prst="rect">
                      <a:avLst/>
                    </a:prstGeom>
                    <a:noFill/>
                    <a:ln>
                      <a:noFill/>
                    </a:ln>
                  </pic:spPr>
                </pic:pic>
              </a:graphicData>
            </a:graphic>
          </wp:anchor>
        </w:drawing>
      </w:r>
      <w:r>
        <w:rPr>
          <w:rFonts w:ascii="宋体" w:hAnsi="宋体"/>
          <w:color w:val="auto"/>
          <w:sz w:val="24"/>
          <w:szCs w:val="24"/>
        </w:rPr>
        <w:br w:type="page"/>
      </w:r>
      <w:r>
        <w:rPr>
          <w:rFonts w:hint="eastAsia" w:ascii="宋体" w:hAnsi="宋体"/>
          <w:b/>
          <w:color w:val="auto"/>
          <w:sz w:val="24"/>
        </w:rPr>
        <w:t>第一部分</w:t>
      </w:r>
      <w:r>
        <w:rPr>
          <w:rFonts w:ascii="宋体" w:hAnsi="宋体"/>
          <w:b/>
          <w:color w:val="auto"/>
          <w:sz w:val="24"/>
        </w:rPr>
        <w:t xml:space="preserve">   </w:t>
      </w:r>
      <w:r>
        <w:rPr>
          <w:rFonts w:hint="eastAsia" w:ascii="宋体" w:hAnsi="宋体"/>
          <w:b/>
          <w:color w:val="auto"/>
          <w:sz w:val="24"/>
        </w:rPr>
        <w:t>协议书</w:t>
      </w:r>
    </w:p>
    <w:p>
      <w:pPr>
        <w:snapToGrid w:val="0"/>
        <w:spacing w:line="440" w:lineRule="exact"/>
        <w:ind w:firstLine="480"/>
        <w:rPr>
          <w:rFonts w:ascii="宋体" w:hAnsi="宋体"/>
          <w:color w:val="auto"/>
          <w:sz w:val="24"/>
          <w:u w:val="single"/>
        </w:rPr>
      </w:pPr>
      <w:r>
        <w:rPr>
          <w:rFonts w:hint="eastAsia" w:ascii="宋体" w:hAnsi="宋体"/>
          <w:color w:val="auto"/>
          <w:sz w:val="24"/>
        </w:rPr>
        <w:t>发包人（甲方）：</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rPr>
          <w:rFonts w:ascii="宋体" w:hAnsi="宋体"/>
          <w:color w:val="auto"/>
          <w:sz w:val="24"/>
          <w:u w:val="single"/>
        </w:rPr>
      </w:pPr>
      <w:r>
        <w:rPr>
          <w:rFonts w:hint="eastAsia" w:ascii="宋体" w:hAnsi="宋体"/>
          <w:color w:val="auto"/>
          <w:sz w:val="24"/>
        </w:rPr>
        <w:t>承包人（乙方）：</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rPr>
          <w:rFonts w:ascii="宋体" w:hAnsi="宋体"/>
          <w:color w:val="auto"/>
          <w:sz w:val="24"/>
          <w:szCs w:val="24"/>
        </w:rPr>
      </w:pPr>
      <w:r>
        <w:rPr>
          <w:rFonts w:hint="eastAsia" w:ascii="宋体" w:hAnsi="宋体"/>
          <w:color w:val="auto"/>
          <w:sz w:val="24"/>
          <w:szCs w:val="24"/>
        </w:rPr>
        <w:t>依照《中华人民共和国民法典》、《中华人民共和国建筑法》及其他有关法律、行政法规，遵循平等、自愿、公平和诚实信用的原则，双方就本建设工程施工事项协商一致，订立本合同。</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一、工程概况</w:t>
      </w:r>
    </w:p>
    <w:p>
      <w:pPr>
        <w:snapToGrid w:val="0"/>
        <w:spacing w:line="440" w:lineRule="exact"/>
        <w:ind w:firstLine="480" w:firstLineChars="200"/>
        <w:rPr>
          <w:rFonts w:ascii="宋体" w:hAnsi="宋体"/>
          <w:color w:val="auto"/>
          <w:sz w:val="24"/>
        </w:rPr>
      </w:pPr>
      <w:r>
        <w:rPr>
          <w:rFonts w:hint="eastAsia" w:ascii="宋体" w:hAnsi="宋体"/>
          <w:color w:val="auto"/>
          <w:sz w:val="24"/>
        </w:rPr>
        <w:t>工程名称：</w:t>
      </w:r>
      <w:r>
        <w:rPr>
          <w:rFonts w:ascii="宋体" w:hAnsi="宋体"/>
          <w:bCs/>
          <w:color w:val="auto"/>
          <w:sz w:val="24"/>
          <w:u w:val="single"/>
        </w:rPr>
        <w:t xml:space="preserve">                            </w:t>
      </w:r>
      <w:r>
        <w:rPr>
          <w:rFonts w:hint="eastAsia" w:ascii="宋体" w:hAnsi="宋体"/>
          <w:bCs/>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工程地点：</w:t>
      </w:r>
      <w:r>
        <w:rPr>
          <w:rFonts w:ascii="宋体" w:hAnsi="宋体"/>
          <w:bCs/>
          <w:color w:val="auto"/>
          <w:sz w:val="24"/>
          <w:u w:val="single"/>
        </w:rPr>
        <w:t xml:space="preserve">                            </w:t>
      </w:r>
      <w:r>
        <w:rPr>
          <w:rFonts w:hint="eastAsia" w:ascii="宋体" w:hAnsi="宋体"/>
          <w:bCs/>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工程内容：</w:t>
      </w:r>
      <w:r>
        <w:rPr>
          <w:rFonts w:ascii="宋体" w:hAnsi="宋体"/>
          <w:color w:val="auto"/>
          <w:sz w:val="24"/>
          <w:u w:val="single"/>
        </w:rPr>
        <w:t xml:space="preserve">                    </w:t>
      </w:r>
      <w:r>
        <w:rPr>
          <w:rFonts w:hint="eastAsia" w:ascii="宋体" w:hAnsi="宋体"/>
          <w:color w:val="auto"/>
          <w:sz w:val="24"/>
        </w:rPr>
        <w:t>。具体内容以施工图纸及工程量清单为准。</w:t>
      </w:r>
    </w:p>
    <w:p>
      <w:pPr>
        <w:snapToGrid w:val="0"/>
        <w:spacing w:line="440" w:lineRule="exact"/>
        <w:ind w:firstLine="480" w:firstLineChars="200"/>
        <w:rPr>
          <w:rFonts w:ascii="宋体" w:hAnsi="宋体"/>
          <w:color w:val="auto"/>
          <w:sz w:val="24"/>
        </w:rPr>
      </w:pPr>
      <w:r>
        <w:rPr>
          <w:rFonts w:hint="eastAsia" w:ascii="宋体" w:hAnsi="宋体"/>
          <w:color w:val="auto"/>
          <w:sz w:val="24"/>
          <w:u w:val="single"/>
        </w:rPr>
        <w:t>建设业主有权根据工程实施情况，对承包人的承包范围和承包工程量进行适当调整</w:t>
      </w:r>
      <w:r>
        <w:rPr>
          <w:rFonts w:hint="eastAsia" w:ascii="宋体" w:hAnsi="宋体"/>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工程立项批准文号：</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jc w:val="left"/>
        <w:rPr>
          <w:rFonts w:ascii="宋体" w:hAnsi="宋体"/>
          <w:color w:val="auto"/>
          <w:sz w:val="24"/>
          <w:u w:val="single"/>
        </w:rPr>
      </w:pPr>
      <w:r>
        <w:rPr>
          <w:rFonts w:hint="eastAsia" w:ascii="宋体" w:hAnsi="宋体"/>
          <w:color w:val="auto"/>
          <w:sz w:val="24"/>
        </w:rPr>
        <w:t>资金来源：</w:t>
      </w:r>
      <w:r>
        <w:rPr>
          <w:rFonts w:hint="eastAsia" w:ascii="宋体" w:hAnsi="宋体"/>
          <w:color w:val="auto"/>
          <w:sz w:val="24"/>
          <w:u w:val="single"/>
        </w:rPr>
        <w:t>财政投资</w:t>
      </w:r>
      <w:r>
        <w:rPr>
          <w:rFonts w:hint="eastAsia" w:ascii="宋体" w:hAnsi="宋体"/>
          <w:color w:val="auto"/>
          <w:sz w:val="24"/>
        </w:rPr>
        <w:t>。</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二、工程承包范围及承包方式</w:t>
      </w:r>
    </w:p>
    <w:p>
      <w:pPr>
        <w:snapToGrid w:val="0"/>
        <w:spacing w:line="440" w:lineRule="exact"/>
        <w:ind w:firstLine="480" w:firstLineChars="200"/>
        <w:rPr>
          <w:rFonts w:ascii="宋体" w:hAnsi="宋体"/>
          <w:color w:val="auto"/>
          <w:sz w:val="24"/>
        </w:rPr>
      </w:pPr>
      <w:r>
        <w:rPr>
          <w:rFonts w:hint="eastAsia" w:ascii="宋体" w:hAnsi="宋体"/>
          <w:color w:val="auto"/>
          <w:sz w:val="24"/>
        </w:rPr>
        <w:t>（一）承包范围：</w:t>
      </w:r>
      <w:r>
        <w:rPr>
          <w:rFonts w:hint="eastAsia" w:ascii="宋体" w:hAnsi="宋体"/>
          <w:color w:val="auto"/>
          <w:sz w:val="24"/>
          <w:u w:val="single"/>
        </w:rPr>
        <w:t>按发包人确认的施工图纸、图纸会审纪录和有关变更文件、资料、招标文件、承包人投标文件以及双方签订的有关协议所包含的内容</w:t>
      </w:r>
      <w:r>
        <w:rPr>
          <w:rFonts w:hint="eastAsia" w:ascii="宋体" w:hAnsi="宋体"/>
          <w:color w:val="auto"/>
          <w:sz w:val="24"/>
        </w:rPr>
        <w:t>。</w:t>
      </w:r>
    </w:p>
    <w:p>
      <w:pPr>
        <w:snapToGrid w:val="0"/>
        <w:spacing w:line="440" w:lineRule="exact"/>
        <w:ind w:firstLine="480" w:firstLineChars="200"/>
        <w:rPr>
          <w:rFonts w:ascii="宋体" w:hAnsi="宋体"/>
          <w:color w:val="auto"/>
          <w:sz w:val="24"/>
          <w:u w:val="single"/>
        </w:rPr>
      </w:pPr>
      <w:r>
        <w:rPr>
          <w:rFonts w:hint="eastAsia" w:ascii="宋体" w:hAnsi="宋体"/>
          <w:color w:val="auto"/>
          <w:sz w:val="24"/>
        </w:rPr>
        <w:t>（二）承包方式：</w:t>
      </w:r>
      <w:r>
        <w:rPr>
          <w:rFonts w:ascii="宋体" w:hAnsi="宋体"/>
          <w:color w:val="auto"/>
          <w:sz w:val="24"/>
          <w:u w:val="single"/>
        </w:rPr>
        <w:t>包工、包料、包工期、包质量、包安全、包文</w:t>
      </w:r>
      <w:r>
        <w:rPr>
          <w:rFonts w:hint="eastAsia" w:ascii="宋体" w:hAnsi="宋体"/>
          <w:color w:val="auto"/>
          <w:sz w:val="24"/>
          <w:u w:val="single"/>
        </w:rPr>
        <w:t>明施工、包验收、包保修、综合单价包干，</w:t>
      </w:r>
      <w:r>
        <w:rPr>
          <w:rFonts w:ascii="宋体" w:hAnsi="宋体"/>
          <w:color w:val="auto"/>
          <w:sz w:val="24"/>
          <w:szCs w:val="24"/>
          <w:u w:val="single"/>
        </w:rPr>
        <w:t>措施项目费（除施工围蔽费用外）包干，施工围蔽清单综合单价包干，工程量按实计量</w:t>
      </w:r>
      <w:r>
        <w:rPr>
          <w:rFonts w:hint="eastAsia" w:ascii="宋体" w:hAnsi="宋体"/>
          <w:color w:val="auto"/>
          <w:sz w:val="24"/>
        </w:rPr>
        <w:t>。</w:t>
      </w:r>
    </w:p>
    <w:p>
      <w:pPr>
        <w:snapToGrid w:val="0"/>
        <w:spacing w:line="440" w:lineRule="exact"/>
        <w:ind w:firstLine="482" w:firstLineChars="200"/>
        <w:rPr>
          <w:rFonts w:ascii="宋体" w:hAnsi="宋体"/>
          <w:b/>
          <w:bCs/>
          <w:color w:val="auto"/>
          <w:sz w:val="24"/>
          <w:u w:val="single"/>
        </w:rPr>
      </w:pPr>
      <w:r>
        <w:rPr>
          <w:rFonts w:hint="eastAsia" w:ascii="宋体" w:hAnsi="宋体"/>
          <w:b/>
          <w:bCs/>
          <w:color w:val="auto"/>
          <w:sz w:val="24"/>
        </w:rPr>
        <w:t>三、合同工期</w:t>
      </w:r>
    </w:p>
    <w:p>
      <w:pPr>
        <w:snapToGrid w:val="0"/>
        <w:spacing w:line="440" w:lineRule="exact"/>
        <w:ind w:left="480"/>
        <w:rPr>
          <w:rFonts w:ascii="宋体" w:hAnsi="宋体"/>
          <w:color w:val="auto"/>
          <w:sz w:val="24"/>
          <w:u w:val="single"/>
        </w:rPr>
      </w:pPr>
      <w:r>
        <w:rPr>
          <w:rFonts w:hint="eastAsia" w:ascii="宋体" w:hAnsi="宋体"/>
          <w:color w:val="auto"/>
          <w:sz w:val="24"/>
        </w:rPr>
        <w:t>暂定开工日期：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napToGrid w:val="0"/>
        <w:spacing w:line="440" w:lineRule="exact"/>
        <w:ind w:left="480"/>
        <w:rPr>
          <w:rFonts w:ascii="宋体" w:hAnsi="宋体"/>
          <w:color w:val="auto"/>
          <w:sz w:val="24"/>
          <w:u w:val="single"/>
        </w:rPr>
      </w:pPr>
      <w:r>
        <w:rPr>
          <w:rFonts w:hint="eastAsia" w:ascii="宋体" w:hAnsi="宋体"/>
          <w:color w:val="auto"/>
          <w:sz w:val="24"/>
        </w:rPr>
        <w:t>暂定竣工日期：</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w:t>
      </w:r>
    </w:p>
    <w:p>
      <w:pPr>
        <w:snapToGrid w:val="0"/>
        <w:spacing w:line="440" w:lineRule="exact"/>
        <w:ind w:left="480"/>
        <w:rPr>
          <w:rFonts w:ascii="宋体" w:hAnsi="宋体"/>
          <w:color w:val="auto"/>
          <w:sz w:val="24"/>
        </w:rPr>
      </w:pPr>
      <w:r>
        <w:rPr>
          <w:rFonts w:hint="eastAsia" w:ascii="宋体" w:hAnsi="宋体"/>
          <w:color w:val="auto"/>
          <w:sz w:val="24"/>
        </w:rPr>
        <w:t>合同工期为</w:t>
      </w:r>
      <w:r>
        <w:rPr>
          <w:rFonts w:ascii="宋体" w:hAnsi="宋体"/>
          <w:color w:val="auto"/>
          <w:sz w:val="24"/>
          <w:u w:val="single"/>
        </w:rPr>
        <w:t xml:space="preserve">     </w:t>
      </w:r>
      <w:r>
        <w:rPr>
          <w:rFonts w:hint="eastAsia" w:ascii="宋体" w:hAnsi="宋体"/>
          <w:color w:val="auto"/>
          <w:sz w:val="24"/>
        </w:rPr>
        <w:t>日历天。实际开工日期以批准的开工报告为准。</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四、质量标准</w:t>
      </w:r>
    </w:p>
    <w:p>
      <w:pPr>
        <w:snapToGrid w:val="0"/>
        <w:spacing w:line="400" w:lineRule="exact"/>
        <w:ind w:firstLine="480" w:firstLineChars="200"/>
        <w:rPr>
          <w:rFonts w:ascii="宋体" w:hAnsi="宋体"/>
          <w:color w:val="auto"/>
          <w:kern w:val="0"/>
          <w:sz w:val="24"/>
          <w:szCs w:val="20"/>
        </w:rPr>
      </w:pPr>
      <w:r>
        <w:rPr>
          <w:rFonts w:hint="eastAsia" w:ascii="宋体" w:hAnsi="宋体"/>
          <w:color w:val="auto"/>
          <w:kern w:val="0"/>
          <w:sz w:val="24"/>
          <w:szCs w:val="20"/>
        </w:rPr>
        <w:t>施工要求：符合设计图纸要求和国家、省、市相关法律法规规定要求及行业工程质量标准，</w:t>
      </w:r>
      <w:r>
        <w:rPr>
          <w:rFonts w:hint="eastAsia" w:ascii="宋体" w:hAnsi="宋体"/>
          <w:color w:val="auto"/>
          <w:kern w:val="0"/>
          <w:sz w:val="24"/>
          <w:szCs w:val="20"/>
          <w:u w:val="single"/>
        </w:rPr>
        <w:t>且达到投标承诺的       标准</w:t>
      </w:r>
      <w:r>
        <w:rPr>
          <w:rFonts w:hint="eastAsia" w:ascii="宋体" w:hAnsi="宋体"/>
          <w:color w:val="auto"/>
          <w:kern w:val="0"/>
          <w:sz w:val="24"/>
          <w:szCs w:val="20"/>
        </w:rPr>
        <w:t>。</w:t>
      </w:r>
    </w:p>
    <w:p>
      <w:pPr>
        <w:spacing w:line="400" w:lineRule="exact"/>
        <w:ind w:firstLine="480" w:firstLineChars="200"/>
        <w:rPr>
          <w:rFonts w:ascii="宋体" w:hAnsi="宋体"/>
          <w:color w:val="auto"/>
          <w:kern w:val="0"/>
          <w:sz w:val="24"/>
          <w:szCs w:val="20"/>
          <w:u w:val="single"/>
        </w:rPr>
      </w:pPr>
      <w:r>
        <w:rPr>
          <w:rFonts w:hint="eastAsia" w:ascii="宋体" w:hAnsi="宋体"/>
          <w:color w:val="auto"/>
          <w:kern w:val="0"/>
          <w:sz w:val="24"/>
          <w:szCs w:val="20"/>
        </w:rPr>
        <w:t>工程质量标准：合格，</w:t>
      </w:r>
      <w:r>
        <w:rPr>
          <w:rFonts w:hint="eastAsia" w:ascii="宋体" w:hAnsi="宋体"/>
          <w:color w:val="auto"/>
          <w:kern w:val="0"/>
          <w:sz w:val="24"/>
          <w:szCs w:val="20"/>
          <w:u w:val="single"/>
        </w:rPr>
        <w:t>且达到投标承诺的    标准。</w:t>
      </w:r>
    </w:p>
    <w:p>
      <w:pPr>
        <w:pStyle w:val="2"/>
        <w:numPr>
          <w:ilvl w:val="0"/>
          <w:numId w:val="6"/>
        </w:numPr>
        <w:rPr>
          <w:b/>
          <w:bCs/>
          <w:color w:val="auto"/>
          <w:sz w:val="24"/>
          <w:szCs w:val="22"/>
        </w:rPr>
      </w:pPr>
      <w:r>
        <w:rPr>
          <w:rFonts w:hint="eastAsia"/>
          <w:b/>
          <w:bCs/>
          <w:color w:val="auto"/>
          <w:sz w:val="24"/>
          <w:szCs w:val="22"/>
        </w:rPr>
        <w:t>安全及文明施工目标</w:t>
      </w:r>
    </w:p>
    <w:p>
      <w:pPr>
        <w:pStyle w:val="2"/>
        <w:numPr>
          <w:ilvl w:val="255"/>
          <w:numId w:val="0"/>
        </w:numPr>
        <w:ind w:firstLine="480" w:firstLineChars="200"/>
        <w:rPr>
          <w:rFonts w:hAnsi="宋体"/>
          <w:color w:val="auto"/>
          <w:kern w:val="0"/>
          <w:sz w:val="24"/>
        </w:rPr>
      </w:pPr>
      <w:r>
        <w:rPr>
          <w:rFonts w:hint="eastAsia" w:hAnsi="宋体"/>
          <w:color w:val="auto"/>
          <w:kern w:val="0"/>
          <w:sz w:val="24"/>
        </w:rPr>
        <w:t>文明施工措施要符合广州市的“六个百分百”规定，保证施工场地清洁、扬尘及噪音管理符合环境卫生管理的有关规定，确保不发生一般事故等级及以上的安全生产事故且死亡人数为零，</w:t>
      </w:r>
      <w:r>
        <w:rPr>
          <w:rFonts w:hint="eastAsia" w:hAnsi="宋体"/>
          <w:color w:val="auto"/>
          <w:kern w:val="0"/>
          <w:sz w:val="24"/>
          <w:u w:val="single"/>
        </w:rPr>
        <w:t>且达到投标承诺的    标准。</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六、合同价款</w:t>
      </w:r>
    </w:p>
    <w:p>
      <w:pPr>
        <w:spacing w:line="440" w:lineRule="exact"/>
        <w:ind w:firstLine="480" w:firstLineChars="200"/>
        <w:rPr>
          <w:rFonts w:ascii="宋体" w:hAnsi="宋体"/>
          <w:bCs/>
          <w:snapToGrid w:val="0"/>
          <w:color w:val="auto"/>
          <w:kern w:val="0"/>
          <w:sz w:val="24"/>
        </w:rPr>
      </w:pPr>
      <w:r>
        <w:rPr>
          <w:rFonts w:hint="eastAsia" w:ascii="宋体" w:hAnsi="宋体"/>
          <w:bCs/>
          <w:snapToGrid w:val="0"/>
          <w:color w:val="auto"/>
          <w:kern w:val="0"/>
          <w:sz w:val="24"/>
        </w:rPr>
        <w:t>合同价款暂定为￥</w:t>
      </w:r>
      <w:r>
        <w:rPr>
          <w:rFonts w:ascii="宋体" w:hAnsi="宋体"/>
          <w:bCs/>
          <w:snapToGrid w:val="0"/>
          <w:color w:val="auto"/>
          <w:kern w:val="0"/>
          <w:sz w:val="24"/>
          <w:u w:val="single"/>
        </w:rPr>
        <w:t xml:space="preserve">             </w:t>
      </w:r>
      <w:r>
        <w:rPr>
          <w:rFonts w:hint="eastAsia" w:ascii="宋体" w:hAnsi="宋体"/>
          <w:bCs/>
          <w:snapToGrid w:val="0"/>
          <w:color w:val="auto"/>
          <w:kern w:val="0"/>
          <w:sz w:val="24"/>
        </w:rPr>
        <w:t>元（大写：人民币</w:t>
      </w:r>
      <w:r>
        <w:rPr>
          <w:rFonts w:ascii="宋体" w:hAnsi="宋体"/>
          <w:bCs/>
          <w:snapToGrid w:val="0"/>
          <w:color w:val="auto"/>
          <w:kern w:val="0"/>
          <w:sz w:val="24"/>
          <w:u w:val="single"/>
        </w:rPr>
        <w:t xml:space="preserve">             </w:t>
      </w:r>
      <w:r>
        <w:rPr>
          <w:rFonts w:hint="eastAsia" w:ascii="宋体" w:hAnsi="宋体"/>
          <w:bCs/>
          <w:snapToGrid w:val="0"/>
          <w:color w:val="auto"/>
          <w:kern w:val="0"/>
          <w:sz w:val="24"/>
        </w:rPr>
        <w:t>），其中绿色施工安全防护措施费为</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元、暂列金额为</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元，人工费     元，工人工资比例为</w:t>
      </w:r>
      <w:r>
        <w:rPr>
          <w:rFonts w:hint="eastAsia" w:ascii="宋体" w:hAnsi="宋体"/>
          <w:bCs/>
          <w:snapToGrid w:val="0"/>
          <w:color w:val="auto"/>
          <w:kern w:val="0"/>
          <w:sz w:val="24"/>
          <w:u w:val="single"/>
        </w:rPr>
        <w:t xml:space="preserve">      </w:t>
      </w:r>
      <w:r>
        <w:rPr>
          <w:rFonts w:hint="eastAsia" w:ascii="宋体" w:hAnsi="宋体"/>
          <w:bCs/>
          <w:snapToGrid w:val="0"/>
          <w:color w:val="auto"/>
          <w:kern w:val="0"/>
          <w:sz w:val="24"/>
        </w:rPr>
        <w:t>。</w:t>
      </w:r>
    </w:p>
    <w:p>
      <w:pPr>
        <w:spacing w:line="440" w:lineRule="exact"/>
        <w:ind w:firstLine="480" w:firstLineChars="200"/>
        <w:rPr>
          <w:rFonts w:ascii="宋体" w:hAnsi="宋体"/>
          <w:bCs/>
          <w:snapToGrid w:val="0"/>
          <w:color w:val="auto"/>
          <w:kern w:val="0"/>
          <w:sz w:val="24"/>
        </w:rPr>
      </w:pPr>
      <w:r>
        <w:rPr>
          <w:rFonts w:hint="eastAsia" w:ascii="宋体" w:hAnsi="宋体"/>
          <w:bCs/>
          <w:snapToGrid w:val="0"/>
          <w:color w:val="auto"/>
          <w:kern w:val="0"/>
          <w:sz w:val="24"/>
          <w:u w:val="single"/>
        </w:rPr>
        <w:t>工程结算价款以广州开发区财政局审定结算为准</w:t>
      </w:r>
      <w:r>
        <w:rPr>
          <w:rFonts w:hint="eastAsia" w:ascii="宋体" w:hAnsi="宋体"/>
          <w:bCs/>
          <w:snapToGrid w:val="0"/>
          <w:color w:val="auto"/>
          <w:kern w:val="0"/>
          <w:sz w:val="24"/>
        </w:rPr>
        <w:t>。</w:t>
      </w:r>
      <w:r>
        <w:rPr>
          <w:rFonts w:hint="eastAsia" w:ascii="宋体" w:hAnsi="宋体"/>
          <w:bCs/>
          <w:snapToGrid w:val="0"/>
          <w:color w:val="auto"/>
          <w:kern w:val="0"/>
          <w:sz w:val="24"/>
          <w:szCs w:val="24"/>
        </w:rPr>
        <w:t>如遇审计部门审计发现本合同结算价款存在超付的情形，发包人有权据实要求承包人返还该部分款项。</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七、组成合同的文件</w:t>
      </w:r>
    </w:p>
    <w:p>
      <w:pPr>
        <w:spacing w:line="440" w:lineRule="exact"/>
        <w:ind w:firstLine="444" w:firstLineChars="185"/>
        <w:rPr>
          <w:rFonts w:ascii="宋体" w:hAnsi="宋体"/>
          <w:color w:val="auto"/>
          <w:sz w:val="24"/>
        </w:rPr>
      </w:pPr>
      <w:r>
        <w:rPr>
          <w:rFonts w:hint="eastAsia" w:ascii="宋体" w:hAnsi="宋体"/>
          <w:color w:val="auto"/>
          <w:sz w:val="24"/>
        </w:rPr>
        <w:t>组成本合同的文件包括：</w:t>
      </w:r>
    </w:p>
    <w:p>
      <w:pPr>
        <w:spacing w:line="440" w:lineRule="exact"/>
        <w:ind w:firstLine="444" w:firstLineChars="185"/>
        <w:rPr>
          <w:rFonts w:ascii="宋体" w:hAnsi="宋体"/>
          <w:color w:val="auto"/>
          <w:sz w:val="24"/>
        </w:rPr>
      </w:pPr>
      <w:r>
        <w:rPr>
          <w:rFonts w:ascii="宋体" w:hAnsi="宋体"/>
          <w:color w:val="auto"/>
          <w:sz w:val="24"/>
        </w:rPr>
        <w:t>1.本合同履行期间发包人与承包人双方签订的补充合同（协议）或修正文件；</w:t>
      </w:r>
    </w:p>
    <w:p>
      <w:pPr>
        <w:spacing w:line="440" w:lineRule="exact"/>
        <w:ind w:firstLine="444" w:firstLineChars="185"/>
        <w:rPr>
          <w:rFonts w:ascii="宋体" w:hAnsi="宋体"/>
          <w:color w:val="auto"/>
          <w:sz w:val="24"/>
        </w:rPr>
      </w:pPr>
      <w:r>
        <w:rPr>
          <w:rFonts w:ascii="宋体" w:hAnsi="宋体"/>
          <w:color w:val="auto"/>
          <w:sz w:val="24"/>
        </w:rPr>
        <w:t>2.本合同协议书</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3.国家、广东省、广州市、广州开发区、</w:t>
      </w:r>
      <w:r>
        <w:rPr>
          <w:rFonts w:hint="eastAsia" w:ascii="宋体" w:hAnsi="宋体"/>
          <w:color w:val="auto"/>
          <w:sz w:val="24"/>
        </w:rPr>
        <w:t>黄埔</w:t>
      </w:r>
      <w:r>
        <w:rPr>
          <w:rFonts w:ascii="宋体" w:hAnsi="宋体"/>
          <w:color w:val="auto"/>
          <w:sz w:val="24"/>
        </w:rPr>
        <w:t>区关于本工程施工的有关文件（发包人在收到后尽快通报给承包人）；</w:t>
      </w:r>
    </w:p>
    <w:p>
      <w:pPr>
        <w:spacing w:line="440" w:lineRule="exact"/>
        <w:ind w:firstLine="444" w:firstLineChars="185"/>
        <w:rPr>
          <w:rFonts w:ascii="宋体" w:hAnsi="宋体"/>
          <w:color w:val="auto"/>
          <w:sz w:val="24"/>
        </w:rPr>
      </w:pPr>
      <w:r>
        <w:rPr>
          <w:rFonts w:ascii="宋体" w:hAnsi="宋体"/>
          <w:color w:val="auto"/>
          <w:sz w:val="24"/>
        </w:rPr>
        <w:t>4.</w:t>
      </w:r>
      <w:r>
        <w:rPr>
          <w:rFonts w:hint="eastAsia" w:ascii="宋体" w:hAnsi="宋体"/>
          <w:color w:val="auto"/>
          <w:sz w:val="24"/>
        </w:rPr>
        <w:t>建设业主</w:t>
      </w:r>
      <w:r>
        <w:rPr>
          <w:rFonts w:ascii="宋体" w:hAnsi="宋体"/>
          <w:color w:val="auto"/>
          <w:sz w:val="24"/>
        </w:rPr>
        <w:t>针对本工程建设管理的各项制度、规定；</w:t>
      </w:r>
    </w:p>
    <w:p>
      <w:pPr>
        <w:spacing w:line="440" w:lineRule="exact"/>
        <w:ind w:firstLine="444" w:firstLineChars="185"/>
        <w:rPr>
          <w:rFonts w:ascii="宋体" w:hAnsi="宋体"/>
          <w:color w:val="auto"/>
          <w:sz w:val="24"/>
        </w:rPr>
      </w:pPr>
      <w:r>
        <w:rPr>
          <w:rFonts w:ascii="宋体" w:hAnsi="宋体"/>
          <w:color w:val="auto"/>
          <w:sz w:val="24"/>
        </w:rPr>
        <w:t>5.中标通知书</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6.本合同专用条款</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7.招标文件及附件（包括补充、修改、澄清文件及答疑纪要等）</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8.本合同通用条款</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9.投标文件及附件</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10.标准、规范和其他有关技术文件</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11.图纸</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12.工程量清单</w:t>
      </w:r>
      <w:r>
        <w:rPr>
          <w:rFonts w:hint="eastAsia" w:ascii="宋体" w:hAnsi="宋体"/>
          <w:color w:val="auto"/>
          <w:sz w:val="24"/>
        </w:rPr>
        <w:t>；</w:t>
      </w:r>
    </w:p>
    <w:p>
      <w:pPr>
        <w:spacing w:line="440" w:lineRule="exact"/>
        <w:ind w:firstLine="444" w:firstLineChars="185"/>
        <w:rPr>
          <w:rFonts w:ascii="宋体" w:hAnsi="宋体"/>
          <w:color w:val="auto"/>
          <w:sz w:val="24"/>
        </w:rPr>
      </w:pPr>
      <w:r>
        <w:rPr>
          <w:rFonts w:ascii="宋体" w:hAnsi="宋体"/>
          <w:color w:val="auto"/>
          <w:sz w:val="24"/>
        </w:rPr>
        <w:t>13.合同附件（工程质量保修责任书、</w:t>
      </w:r>
      <w:r>
        <w:rPr>
          <w:rFonts w:hint="eastAsia" w:ascii="宋体" w:hAnsi="宋体"/>
          <w:color w:val="auto"/>
          <w:sz w:val="24"/>
        </w:rPr>
        <w:t>标函承诺书、项目负责人驻场承诺书、工程建设廉政协议书等）；</w:t>
      </w:r>
    </w:p>
    <w:p>
      <w:pP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双方有关工程的洽商、变更等书面协议或文件视为本合同的组成部分。</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八、协议书中有关词语含义与本合同第二部分《通用条款》中分别赋予它们的定义相同。</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九、承包人向发包人承诺按照合同约定进行施工、竣工并在质量保修期内承担工程质量保修责任。</w:t>
      </w:r>
    </w:p>
    <w:p>
      <w:pPr>
        <w:snapToGrid w:val="0"/>
        <w:spacing w:line="440" w:lineRule="exact"/>
        <w:ind w:firstLine="482" w:firstLineChars="200"/>
        <w:rPr>
          <w:rFonts w:ascii="宋体" w:hAnsi="宋体"/>
          <w:bCs/>
          <w:color w:val="auto"/>
          <w:sz w:val="24"/>
        </w:rPr>
      </w:pPr>
      <w:r>
        <w:rPr>
          <w:rFonts w:hint="eastAsia" w:ascii="宋体" w:hAnsi="宋体"/>
          <w:b/>
          <w:bCs/>
          <w:color w:val="auto"/>
          <w:sz w:val="24"/>
        </w:rPr>
        <w:t>十、发包人向承包人承诺按照合同约定的期限和方式支付合同价款及其他应当支付的款项。</w:t>
      </w:r>
    </w:p>
    <w:p>
      <w:pPr>
        <w:snapToGrid w:val="0"/>
        <w:spacing w:line="440" w:lineRule="exact"/>
        <w:ind w:firstLine="482" w:firstLineChars="200"/>
        <w:rPr>
          <w:rFonts w:ascii="宋体" w:hAnsi="宋体"/>
          <w:b/>
          <w:bCs/>
          <w:color w:val="auto"/>
          <w:sz w:val="24"/>
        </w:rPr>
      </w:pPr>
      <w:r>
        <w:rPr>
          <w:rFonts w:hint="eastAsia" w:ascii="宋体" w:hAnsi="宋体"/>
          <w:b/>
          <w:bCs/>
          <w:color w:val="auto"/>
          <w:sz w:val="24"/>
        </w:rPr>
        <w:t>十一、合同生效</w:t>
      </w:r>
    </w:p>
    <w:p>
      <w:pPr>
        <w:snapToGrid w:val="0"/>
        <w:spacing w:line="440" w:lineRule="exact"/>
        <w:ind w:firstLine="482"/>
        <w:rPr>
          <w:rFonts w:ascii="宋体" w:hAnsi="宋体"/>
          <w:color w:val="auto"/>
          <w:sz w:val="24"/>
        </w:rPr>
      </w:pPr>
      <w:r>
        <w:rPr>
          <w:rFonts w:hint="eastAsia" w:ascii="宋体" w:hAnsi="宋体"/>
          <w:color w:val="auto"/>
          <w:sz w:val="24"/>
        </w:rPr>
        <w:t>合同订立时间：</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日</w:t>
      </w:r>
    </w:p>
    <w:p>
      <w:pPr>
        <w:snapToGrid w:val="0"/>
        <w:spacing w:line="440" w:lineRule="exact"/>
        <w:ind w:firstLine="480"/>
        <w:rPr>
          <w:rFonts w:ascii="宋体" w:hAnsi="宋体"/>
          <w:color w:val="auto"/>
          <w:sz w:val="24"/>
        </w:rPr>
      </w:pPr>
      <w:r>
        <w:rPr>
          <w:rFonts w:hint="eastAsia" w:ascii="宋体" w:hAnsi="宋体"/>
          <w:color w:val="auto"/>
          <w:sz w:val="24"/>
        </w:rPr>
        <w:t>合同订立地点：</w:t>
      </w:r>
      <w:r>
        <w:rPr>
          <w:rFonts w:hint="eastAsia" w:ascii="宋体" w:hAnsi="宋体"/>
          <w:color w:val="auto"/>
          <w:sz w:val="24"/>
          <w:u w:val="single"/>
        </w:rPr>
        <w:t>广州市黄埔区</w:t>
      </w:r>
    </w:p>
    <w:p>
      <w:pPr>
        <w:snapToGrid w:val="0"/>
        <w:spacing w:line="440" w:lineRule="exact"/>
        <w:ind w:firstLine="480"/>
        <w:rPr>
          <w:rFonts w:ascii="宋体" w:hAnsi="宋体"/>
          <w:color w:val="auto"/>
          <w:sz w:val="24"/>
        </w:rPr>
      </w:pPr>
      <w:r>
        <w:rPr>
          <w:rFonts w:hint="eastAsia" w:ascii="宋体" w:hAnsi="宋体"/>
          <w:color w:val="auto"/>
          <w:sz w:val="24"/>
        </w:rPr>
        <w:t>本合同双方约定：</w:t>
      </w:r>
      <w:r>
        <w:rPr>
          <w:rFonts w:hint="eastAsia" w:ascii="宋体" w:hAnsi="宋体"/>
          <w:color w:val="auto"/>
          <w:sz w:val="24"/>
          <w:u w:val="single"/>
        </w:rPr>
        <w:t>双方签名、盖章并在承包人提交履约担保</w:t>
      </w:r>
      <w:r>
        <w:rPr>
          <w:rFonts w:hint="eastAsia" w:ascii="宋体" w:hAnsi="宋体"/>
          <w:color w:val="auto"/>
          <w:sz w:val="24"/>
        </w:rPr>
        <w:t>后生效。</w:t>
      </w:r>
    </w:p>
    <w:p>
      <w:pPr>
        <w:snapToGrid w:val="0"/>
        <w:spacing w:line="440" w:lineRule="exact"/>
        <w:rPr>
          <w:rFonts w:ascii="宋体" w:hAnsi="宋体"/>
          <w:color w:val="auto"/>
          <w:sz w:val="24"/>
        </w:rPr>
      </w:pPr>
    </w:p>
    <w:tbl>
      <w:tblPr>
        <w:tblStyle w:val="49"/>
        <w:tblW w:w="0" w:type="auto"/>
        <w:tblInd w:w="0" w:type="dxa"/>
        <w:tblLayout w:type="fixed"/>
        <w:tblCellMar>
          <w:top w:w="0" w:type="dxa"/>
          <w:left w:w="108" w:type="dxa"/>
          <w:bottom w:w="0" w:type="dxa"/>
          <w:right w:w="108" w:type="dxa"/>
        </w:tblCellMar>
      </w:tblPr>
      <w:tblGrid>
        <w:gridCol w:w="4839"/>
        <w:gridCol w:w="4839"/>
      </w:tblGrid>
      <w:tr>
        <w:trPr>
          <w:trHeight w:val="1134" w:hRule="atLeast"/>
        </w:trPr>
        <w:tc>
          <w:tcPr>
            <w:tcW w:w="4839" w:type="dxa"/>
          </w:tcPr>
          <w:p>
            <w:pPr>
              <w:snapToGrid w:val="0"/>
              <w:spacing w:line="440" w:lineRule="exact"/>
              <w:rPr>
                <w:rFonts w:ascii="宋体" w:hAnsi="宋体"/>
                <w:color w:val="auto"/>
                <w:sz w:val="24"/>
              </w:rPr>
            </w:pPr>
            <w:r>
              <w:rPr>
                <w:rFonts w:ascii="宋体" w:hAnsi="宋体"/>
                <w:color w:val="auto"/>
                <w:sz w:val="24"/>
              </w:rPr>
              <w:t>发包人：（公章）</w:t>
            </w:r>
          </w:p>
        </w:tc>
        <w:tc>
          <w:tcPr>
            <w:tcW w:w="4839" w:type="dxa"/>
          </w:tcPr>
          <w:p>
            <w:pPr>
              <w:snapToGrid w:val="0"/>
              <w:spacing w:line="440" w:lineRule="exact"/>
              <w:rPr>
                <w:rFonts w:ascii="宋体" w:hAnsi="宋体"/>
                <w:color w:val="auto"/>
                <w:sz w:val="24"/>
              </w:rPr>
            </w:pPr>
            <w:r>
              <w:rPr>
                <w:rFonts w:ascii="宋体" w:hAnsi="宋体"/>
                <w:color w:val="auto"/>
                <w:sz w:val="24"/>
              </w:rPr>
              <w:t>承包人：（公章）</w:t>
            </w:r>
          </w:p>
        </w:tc>
      </w:tr>
      <w:tr>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住</w:t>
            </w:r>
            <w:r>
              <w:rPr>
                <w:rFonts w:ascii="宋体" w:hAnsi="宋体"/>
                <w:color w:val="auto"/>
                <w:sz w:val="24"/>
              </w:rPr>
              <w:t xml:space="preserve">  </w:t>
            </w:r>
            <w:r>
              <w:rPr>
                <w:rFonts w:hint="eastAsia" w:ascii="宋体" w:hAnsi="宋体"/>
                <w:color w:val="auto"/>
                <w:sz w:val="24"/>
              </w:rPr>
              <w:t>所：</w:t>
            </w:r>
          </w:p>
        </w:tc>
        <w:tc>
          <w:tcPr>
            <w:tcW w:w="4839" w:type="dxa"/>
          </w:tcPr>
          <w:p>
            <w:pPr>
              <w:snapToGrid w:val="0"/>
              <w:spacing w:line="440" w:lineRule="exact"/>
              <w:rPr>
                <w:rFonts w:ascii="宋体" w:hAnsi="宋体"/>
                <w:color w:val="auto"/>
                <w:sz w:val="24"/>
              </w:rPr>
            </w:pPr>
            <w:r>
              <w:rPr>
                <w:rFonts w:hint="eastAsia" w:ascii="宋体" w:hAnsi="宋体"/>
                <w:color w:val="auto"/>
                <w:sz w:val="24"/>
              </w:rPr>
              <w:t>住</w:t>
            </w:r>
            <w:r>
              <w:rPr>
                <w:rFonts w:ascii="宋体" w:hAnsi="宋体"/>
                <w:color w:val="auto"/>
                <w:sz w:val="24"/>
              </w:rPr>
              <w:t xml:space="preserve">  </w:t>
            </w:r>
            <w:r>
              <w:rPr>
                <w:rFonts w:hint="eastAsia" w:ascii="宋体" w:hAnsi="宋体"/>
                <w:color w:val="auto"/>
                <w:sz w:val="24"/>
              </w:rPr>
              <w:t>所：</w:t>
            </w:r>
          </w:p>
        </w:tc>
      </w:tr>
      <w:tr>
        <w:trPr>
          <w:trHeight w:val="1134" w:hRule="atLeast"/>
        </w:trPr>
        <w:tc>
          <w:tcPr>
            <w:tcW w:w="4839" w:type="dxa"/>
          </w:tcPr>
          <w:p>
            <w:pPr>
              <w:snapToGrid w:val="0"/>
              <w:spacing w:line="440" w:lineRule="exact"/>
              <w:rPr>
                <w:rFonts w:ascii="宋体" w:hAnsi="宋体"/>
                <w:color w:val="auto"/>
                <w:sz w:val="24"/>
              </w:rPr>
            </w:pPr>
            <w:r>
              <w:rPr>
                <w:rFonts w:ascii="宋体" w:hAnsi="宋体"/>
                <w:color w:val="auto"/>
                <w:sz w:val="24"/>
              </w:rPr>
              <w:t>法定代表人：</w:t>
            </w:r>
          </w:p>
        </w:tc>
        <w:tc>
          <w:tcPr>
            <w:tcW w:w="4839" w:type="dxa"/>
          </w:tcPr>
          <w:p>
            <w:pPr>
              <w:snapToGrid w:val="0"/>
              <w:spacing w:line="440" w:lineRule="exact"/>
              <w:rPr>
                <w:rFonts w:ascii="宋体" w:hAnsi="宋体"/>
                <w:color w:val="auto"/>
                <w:sz w:val="24"/>
              </w:rPr>
            </w:pPr>
            <w:r>
              <w:rPr>
                <w:rFonts w:ascii="宋体" w:hAnsi="宋体"/>
                <w:color w:val="auto"/>
                <w:sz w:val="24"/>
              </w:rPr>
              <w:t>法定代表人：</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委托代理人：</w:t>
            </w:r>
          </w:p>
        </w:tc>
        <w:tc>
          <w:tcPr>
            <w:tcW w:w="4839" w:type="dxa"/>
          </w:tcPr>
          <w:p>
            <w:pPr>
              <w:snapToGrid w:val="0"/>
              <w:spacing w:line="440" w:lineRule="exact"/>
              <w:rPr>
                <w:rFonts w:ascii="宋体" w:hAnsi="宋体"/>
                <w:color w:val="auto"/>
                <w:sz w:val="24"/>
              </w:rPr>
            </w:pPr>
            <w:r>
              <w:rPr>
                <w:rFonts w:hint="eastAsia" w:ascii="宋体" w:hAnsi="宋体"/>
                <w:color w:val="auto"/>
                <w:sz w:val="24"/>
              </w:rPr>
              <w:t>委托代理人：</w:t>
            </w:r>
          </w:p>
        </w:tc>
      </w:tr>
      <w:tr>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话：</w:t>
            </w:r>
          </w:p>
        </w:tc>
        <w:tc>
          <w:tcPr>
            <w:tcW w:w="4839" w:type="dxa"/>
          </w:tcPr>
          <w:p>
            <w:pPr>
              <w:snapToGrid w:val="0"/>
              <w:spacing w:line="440" w:lineRule="exact"/>
              <w:rPr>
                <w:rFonts w:ascii="宋体" w:hAnsi="宋体"/>
                <w:color w:val="auto"/>
                <w:sz w:val="24"/>
              </w:rPr>
            </w:pPr>
            <w:r>
              <w:rPr>
                <w:rFonts w:hint="eastAsia" w:ascii="宋体" w:hAnsi="宋体"/>
                <w:color w:val="auto"/>
                <w:sz w:val="24"/>
              </w:rPr>
              <w:t>电</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话：</w:t>
            </w:r>
          </w:p>
        </w:tc>
      </w:tr>
      <w:tr>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真：</w:t>
            </w:r>
          </w:p>
        </w:tc>
        <w:tc>
          <w:tcPr>
            <w:tcW w:w="4839" w:type="dxa"/>
          </w:tcPr>
          <w:p>
            <w:pPr>
              <w:snapToGrid w:val="0"/>
              <w:spacing w:line="440" w:lineRule="exact"/>
              <w:rPr>
                <w:rFonts w:ascii="宋体" w:hAnsi="宋体"/>
                <w:color w:val="auto"/>
                <w:sz w:val="24"/>
              </w:rPr>
            </w:pPr>
            <w:r>
              <w:rPr>
                <w:rFonts w:hint="eastAsia" w:ascii="宋体" w:hAnsi="宋体"/>
                <w:color w:val="auto"/>
                <w:sz w:val="24"/>
              </w:rPr>
              <w:t>传</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真：</w:t>
            </w:r>
          </w:p>
        </w:tc>
      </w:tr>
      <w:tr>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开户银行：</w:t>
            </w:r>
          </w:p>
        </w:tc>
        <w:tc>
          <w:tcPr>
            <w:tcW w:w="4839" w:type="dxa"/>
          </w:tcPr>
          <w:p>
            <w:pPr>
              <w:snapToGrid w:val="0"/>
              <w:spacing w:line="440" w:lineRule="exact"/>
              <w:rPr>
                <w:rFonts w:ascii="宋体" w:hAnsi="宋体"/>
                <w:color w:val="auto"/>
                <w:sz w:val="24"/>
              </w:rPr>
            </w:pPr>
            <w:r>
              <w:rPr>
                <w:rFonts w:hint="eastAsia" w:ascii="宋体" w:hAnsi="宋体"/>
                <w:color w:val="auto"/>
                <w:sz w:val="24"/>
              </w:rPr>
              <w:t>开户银行：</w:t>
            </w:r>
          </w:p>
        </w:tc>
      </w:tr>
      <w:tr>
        <w:tblPrEx>
          <w:tblCellMar>
            <w:top w:w="0" w:type="dxa"/>
            <w:left w:w="108" w:type="dxa"/>
            <w:bottom w:w="0" w:type="dxa"/>
            <w:right w:w="108" w:type="dxa"/>
          </w:tblCellMar>
        </w:tblPrEx>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帐</w:t>
            </w:r>
            <w:r>
              <w:rPr>
                <w:rFonts w:ascii="宋体" w:hAnsi="宋体"/>
                <w:color w:val="auto"/>
                <w:sz w:val="24"/>
              </w:rPr>
              <w:t xml:space="preserve">    号：</w:t>
            </w:r>
          </w:p>
        </w:tc>
        <w:tc>
          <w:tcPr>
            <w:tcW w:w="4839" w:type="dxa"/>
          </w:tcPr>
          <w:p>
            <w:pPr>
              <w:snapToGrid w:val="0"/>
              <w:spacing w:line="440" w:lineRule="exact"/>
              <w:rPr>
                <w:rFonts w:ascii="宋体" w:hAnsi="宋体"/>
                <w:color w:val="auto"/>
                <w:sz w:val="24"/>
              </w:rPr>
            </w:pPr>
            <w:r>
              <w:rPr>
                <w:rFonts w:hint="eastAsia" w:ascii="宋体" w:hAnsi="宋体"/>
                <w:color w:val="auto"/>
                <w:sz w:val="24"/>
              </w:rPr>
              <w:t>帐</w:t>
            </w:r>
            <w:r>
              <w:rPr>
                <w:rFonts w:ascii="宋体" w:hAnsi="宋体"/>
                <w:color w:val="auto"/>
                <w:sz w:val="24"/>
              </w:rPr>
              <w:t xml:space="preserve">    号：</w:t>
            </w:r>
          </w:p>
        </w:tc>
      </w:tr>
      <w:tr>
        <w:trPr>
          <w:trHeight w:val="1134" w:hRule="atLeast"/>
        </w:trPr>
        <w:tc>
          <w:tcPr>
            <w:tcW w:w="4839" w:type="dxa"/>
          </w:tcPr>
          <w:p>
            <w:pPr>
              <w:snapToGrid w:val="0"/>
              <w:spacing w:line="440" w:lineRule="exact"/>
              <w:rPr>
                <w:rFonts w:ascii="宋体" w:hAnsi="宋体"/>
                <w:color w:val="auto"/>
                <w:sz w:val="24"/>
              </w:rPr>
            </w:pPr>
            <w:r>
              <w:rPr>
                <w:rFonts w:hint="eastAsia" w:ascii="宋体" w:hAnsi="宋体"/>
                <w:color w:val="auto"/>
                <w:sz w:val="24"/>
              </w:rPr>
              <w:t>邮政编码：</w:t>
            </w:r>
          </w:p>
        </w:tc>
        <w:tc>
          <w:tcPr>
            <w:tcW w:w="4839" w:type="dxa"/>
          </w:tcPr>
          <w:p>
            <w:pPr>
              <w:snapToGrid w:val="0"/>
              <w:spacing w:line="440" w:lineRule="exact"/>
              <w:rPr>
                <w:rFonts w:ascii="宋体" w:hAnsi="宋体"/>
                <w:color w:val="auto"/>
                <w:sz w:val="24"/>
              </w:rPr>
            </w:pPr>
            <w:r>
              <w:rPr>
                <w:rFonts w:hint="eastAsia" w:ascii="宋体" w:hAnsi="宋体"/>
                <w:color w:val="auto"/>
                <w:sz w:val="24"/>
              </w:rPr>
              <w:t>邮政编码：</w:t>
            </w:r>
          </w:p>
        </w:tc>
      </w:tr>
    </w:tbl>
    <w:p>
      <w:pPr>
        <w:snapToGrid w:val="0"/>
        <w:spacing w:line="440" w:lineRule="exact"/>
        <w:ind w:firstLine="120" w:firstLineChars="50"/>
        <w:rPr>
          <w:rFonts w:ascii="宋体" w:hAnsi="宋体"/>
          <w:color w:val="auto"/>
          <w:sz w:val="24"/>
        </w:rPr>
      </w:pPr>
    </w:p>
    <w:p>
      <w:pPr>
        <w:snapToGrid w:val="0"/>
        <w:spacing w:line="440" w:lineRule="exact"/>
        <w:jc w:val="center"/>
        <w:rPr>
          <w:rFonts w:ascii="宋体" w:hAnsi="宋体"/>
          <w:color w:val="auto"/>
          <w:sz w:val="24"/>
        </w:rPr>
      </w:pPr>
      <w:r>
        <w:rPr>
          <w:rFonts w:ascii="宋体" w:hAnsi="宋体"/>
          <w:color w:val="auto"/>
          <w:sz w:val="24"/>
        </w:rPr>
        <w:br w:type="page"/>
      </w:r>
      <w:r>
        <w:rPr>
          <w:rFonts w:hint="eastAsia" w:ascii="宋体" w:hAnsi="宋体"/>
          <w:color w:val="auto"/>
          <w:sz w:val="24"/>
        </w:rPr>
        <w:t>第二部分</w:t>
      </w:r>
      <w:r>
        <w:rPr>
          <w:rFonts w:ascii="宋体" w:hAnsi="宋体"/>
          <w:color w:val="auto"/>
          <w:sz w:val="24"/>
        </w:rPr>
        <w:t xml:space="preserve"> </w:t>
      </w:r>
      <w:r>
        <w:rPr>
          <w:rFonts w:hint="eastAsia" w:ascii="宋体" w:hAnsi="宋体"/>
          <w:color w:val="auto"/>
          <w:sz w:val="24"/>
        </w:rPr>
        <w:t>通用条款</w:t>
      </w:r>
    </w:p>
    <w:p>
      <w:pPr>
        <w:spacing w:line="440" w:lineRule="exact"/>
        <w:jc w:val="center"/>
        <w:rPr>
          <w:rFonts w:ascii="宋体" w:hAnsi="宋体"/>
          <w:color w:val="auto"/>
          <w:sz w:val="24"/>
        </w:rPr>
      </w:pPr>
    </w:p>
    <w:p>
      <w:pPr>
        <w:spacing w:line="440" w:lineRule="exact"/>
        <w:ind w:firstLine="359" w:firstLineChars="171"/>
        <w:rPr>
          <w:rFonts w:ascii="宋体" w:hAnsi="宋体"/>
          <w:color w:val="auto"/>
          <w:szCs w:val="21"/>
        </w:rPr>
      </w:pPr>
      <w:r>
        <w:rPr>
          <w:rFonts w:hint="eastAsia" w:ascii="宋体" w:hAnsi="宋体"/>
          <w:color w:val="auto"/>
          <w:szCs w:val="21"/>
        </w:rPr>
        <w:t>一、词语定义及合同文件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1.</w:t>
      </w:r>
      <w:r>
        <w:rPr>
          <w:rFonts w:hint="eastAsia" w:ascii="宋体" w:hAnsi="宋体"/>
          <w:color w:val="auto"/>
          <w:szCs w:val="21"/>
        </w:rPr>
        <w:t>词语定义</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下列词语除专用条款另有约定外，应具有本条所赋予的定义：</w:t>
      </w:r>
    </w:p>
    <w:p>
      <w:pPr>
        <w:spacing w:line="440" w:lineRule="exact"/>
        <w:ind w:firstLine="359" w:firstLineChars="171"/>
        <w:rPr>
          <w:rFonts w:ascii="宋体" w:hAnsi="宋体"/>
          <w:color w:val="auto"/>
          <w:szCs w:val="21"/>
        </w:rPr>
      </w:pPr>
      <w:r>
        <w:rPr>
          <w:rFonts w:ascii="宋体" w:hAnsi="宋体"/>
          <w:color w:val="auto"/>
          <w:szCs w:val="21"/>
        </w:rPr>
        <w:t xml:space="preserve">1.1 通用条款：是根据法律、行政法规规定及建设工程施工的需要订立，通用于建设工程施工的条款。 </w:t>
      </w:r>
    </w:p>
    <w:p>
      <w:pPr>
        <w:spacing w:line="440" w:lineRule="exact"/>
        <w:ind w:firstLine="359" w:firstLineChars="171"/>
        <w:rPr>
          <w:rFonts w:ascii="宋体" w:hAnsi="宋体"/>
          <w:color w:val="auto"/>
          <w:szCs w:val="21"/>
        </w:rPr>
      </w:pPr>
      <w:r>
        <w:rPr>
          <w:rFonts w:ascii="宋体" w:hAnsi="宋体"/>
          <w:color w:val="auto"/>
          <w:szCs w:val="21"/>
        </w:rPr>
        <w:t xml:space="preserve">1.2 专用条款：是发包人与承包人根据法律、行政法规规定，结合具体工程实际，经协商达成一致意见的条款，是对通用条款的具体化、补充或修改。 </w:t>
      </w:r>
    </w:p>
    <w:p>
      <w:pPr>
        <w:spacing w:line="440" w:lineRule="exact"/>
        <w:ind w:firstLine="359" w:firstLineChars="171"/>
        <w:rPr>
          <w:rFonts w:ascii="宋体" w:hAnsi="宋体"/>
          <w:color w:val="auto"/>
          <w:szCs w:val="21"/>
        </w:rPr>
      </w:pPr>
      <w:r>
        <w:rPr>
          <w:rFonts w:ascii="宋体" w:hAnsi="宋体"/>
          <w:color w:val="auto"/>
          <w:szCs w:val="21"/>
        </w:rPr>
        <w:t xml:space="preserve">1.3 发包人：指在协议书中约定，具有工程发包主体资格和支付工程价款能力的当事人以及取得该当事人资格的合法继承人。 </w:t>
      </w:r>
    </w:p>
    <w:p>
      <w:pPr>
        <w:spacing w:line="440" w:lineRule="exact"/>
        <w:ind w:firstLine="359" w:firstLineChars="171"/>
        <w:rPr>
          <w:rFonts w:ascii="宋体" w:hAnsi="宋体"/>
          <w:color w:val="auto"/>
          <w:szCs w:val="21"/>
        </w:rPr>
      </w:pPr>
      <w:r>
        <w:rPr>
          <w:rFonts w:ascii="宋体" w:hAnsi="宋体"/>
          <w:color w:val="auto"/>
          <w:szCs w:val="21"/>
        </w:rPr>
        <w:t xml:space="preserve">1.4 承包人：指在协议书中约定，被发包人接受的具有工程施工承包主体资格的当事人以及取得该当事人资格的合法继承人。 </w:t>
      </w:r>
    </w:p>
    <w:p>
      <w:pPr>
        <w:spacing w:line="440" w:lineRule="exact"/>
        <w:ind w:firstLine="359" w:firstLineChars="171"/>
        <w:rPr>
          <w:rFonts w:ascii="宋体" w:hAnsi="宋体"/>
          <w:color w:val="auto"/>
          <w:szCs w:val="21"/>
        </w:rPr>
      </w:pPr>
      <w:r>
        <w:rPr>
          <w:rFonts w:ascii="宋体" w:hAnsi="宋体"/>
          <w:color w:val="auto"/>
          <w:szCs w:val="21"/>
        </w:rPr>
        <w:t xml:space="preserve">1.5 </w:t>
      </w:r>
      <w:r>
        <w:rPr>
          <w:rFonts w:hint="eastAsia" w:ascii="宋体" w:hAnsi="宋体"/>
          <w:color w:val="auto"/>
          <w:szCs w:val="21"/>
        </w:rPr>
        <w:t>项目负责人：指承包人在专用条款中指定的负责施工管理和合同履行的代表。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1.6 设计单位：指发包人委托的负责本工程设计并取得相应工程设计资质等级证书的单位。 </w:t>
      </w:r>
    </w:p>
    <w:p>
      <w:pPr>
        <w:spacing w:line="440" w:lineRule="exact"/>
        <w:ind w:firstLine="359" w:firstLineChars="171"/>
        <w:rPr>
          <w:rFonts w:ascii="宋体" w:hAnsi="宋体"/>
          <w:color w:val="auto"/>
          <w:szCs w:val="21"/>
        </w:rPr>
      </w:pPr>
      <w:r>
        <w:rPr>
          <w:rFonts w:ascii="宋体" w:hAnsi="宋体"/>
          <w:color w:val="auto"/>
          <w:szCs w:val="21"/>
        </w:rPr>
        <w:t xml:space="preserve">1.7 监理单位：指发包人委托的负责本工程监理并取得相应在工程监理资质等级证书的单位。 </w:t>
      </w:r>
    </w:p>
    <w:p>
      <w:pPr>
        <w:spacing w:line="440" w:lineRule="exact"/>
        <w:ind w:firstLine="359" w:firstLineChars="171"/>
        <w:rPr>
          <w:rFonts w:ascii="宋体" w:hAnsi="宋体"/>
          <w:color w:val="auto"/>
          <w:szCs w:val="21"/>
        </w:rPr>
      </w:pPr>
      <w:r>
        <w:rPr>
          <w:rFonts w:ascii="宋体" w:hAnsi="宋体"/>
          <w:color w:val="auto"/>
          <w:szCs w:val="21"/>
        </w:rPr>
        <w:t xml:space="preserve">1.8 工程师：指本工程监理单位委派的总监理工程师或发包人指定的履行本合同的代表，其具体身份和职权由发包人承包人在专用条款中约定。 </w:t>
      </w:r>
    </w:p>
    <w:p>
      <w:pPr>
        <w:spacing w:line="440" w:lineRule="exact"/>
        <w:ind w:firstLine="359" w:firstLineChars="171"/>
        <w:rPr>
          <w:rFonts w:ascii="宋体" w:hAnsi="宋体"/>
          <w:color w:val="auto"/>
          <w:szCs w:val="21"/>
        </w:rPr>
      </w:pPr>
      <w:r>
        <w:rPr>
          <w:rFonts w:ascii="宋体" w:hAnsi="宋体"/>
          <w:color w:val="auto"/>
          <w:szCs w:val="21"/>
        </w:rPr>
        <w:t xml:space="preserve">1.9 工程造价管理部门：指国务院有关部门、县级以上人民政府建设行政主管部门或其委托的工程造价管理机构。 </w:t>
      </w:r>
    </w:p>
    <w:p>
      <w:pPr>
        <w:spacing w:line="440" w:lineRule="exact"/>
        <w:ind w:firstLine="359" w:firstLineChars="171"/>
        <w:rPr>
          <w:rFonts w:ascii="宋体" w:hAnsi="宋体"/>
          <w:color w:val="auto"/>
          <w:szCs w:val="21"/>
        </w:rPr>
      </w:pPr>
      <w:r>
        <w:rPr>
          <w:rFonts w:ascii="宋体" w:hAnsi="宋体"/>
          <w:color w:val="auto"/>
          <w:szCs w:val="21"/>
        </w:rPr>
        <w:t xml:space="preserve">1.10 工程：指发包人承包人在协议书中约定的承包范围内的工程。 </w:t>
      </w:r>
    </w:p>
    <w:p>
      <w:pPr>
        <w:spacing w:line="440" w:lineRule="exact"/>
        <w:ind w:firstLine="359" w:firstLineChars="171"/>
        <w:rPr>
          <w:rFonts w:ascii="宋体" w:hAnsi="宋体"/>
          <w:color w:val="auto"/>
          <w:szCs w:val="21"/>
        </w:rPr>
      </w:pPr>
      <w:r>
        <w:rPr>
          <w:rFonts w:ascii="宋体" w:hAnsi="宋体"/>
          <w:color w:val="auto"/>
          <w:szCs w:val="21"/>
        </w:rPr>
        <w:t xml:space="preserve">1.11 合同价款：指发包人承包人在协议书中约定，发包人用以支付承包人按照合同约定完成承包范围内全部工程并承担质量保修责任的款项。 </w:t>
      </w:r>
    </w:p>
    <w:p>
      <w:pPr>
        <w:spacing w:line="440" w:lineRule="exact"/>
        <w:ind w:firstLine="359" w:firstLineChars="171"/>
        <w:rPr>
          <w:rFonts w:ascii="宋体" w:hAnsi="宋体"/>
          <w:color w:val="auto"/>
          <w:szCs w:val="21"/>
        </w:rPr>
      </w:pPr>
      <w:r>
        <w:rPr>
          <w:rFonts w:ascii="宋体" w:hAnsi="宋体"/>
          <w:color w:val="auto"/>
          <w:szCs w:val="21"/>
        </w:rPr>
        <w:t xml:space="preserve">1.12 追加合同价款：指在合同履行中发生需要增加合同价款的情况，经发包人确认后按计算合同价款的方法增加的合同价款。 </w:t>
      </w:r>
    </w:p>
    <w:p>
      <w:pPr>
        <w:spacing w:line="440" w:lineRule="exact"/>
        <w:ind w:firstLine="359" w:firstLineChars="171"/>
        <w:rPr>
          <w:rFonts w:ascii="宋体" w:hAnsi="宋体"/>
          <w:color w:val="auto"/>
          <w:szCs w:val="21"/>
        </w:rPr>
      </w:pPr>
      <w:r>
        <w:rPr>
          <w:rFonts w:ascii="宋体" w:hAnsi="宋体"/>
          <w:color w:val="auto"/>
          <w:szCs w:val="21"/>
        </w:rPr>
        <w:t xml:space="preserve">1.13 </w:t>
      </w:r>
      <w:r>
        <w:rPr>
          <w:rFonts w:hint="eastAsia" w:ascii="宋体" w:hAnsi="宋体"/>
          <w:color w:val="auto"/>
          <w:szCs w:val="21"/>
        </w:rPr>
        <w:t>费用：指不包含在合同价款之内的应当由发包人或承包人承担的经济支出。</w:t>
      </w:r>
    </w:p>
    <w:p>
      <w:pPr>
        <w:spacing w:line="440" w:lineRule="exact"/>
        <w:ind w:firstLine="359" w:firstLineChars="171"/>
        <w:rPr>
          <w:rFonts w:ascii="宋体" w:hAnsi="宋体"/>
          <w:color w:val="auto"/>
          <w:szCs w:val="21"/>
        </w:rPr>
      </w:pPr>
      <w:r>
        <w:rPr>
          <w:rFonts w:ascii="宋体" w:hAnsi="宋体"/>
          <w:color w:val="auto"/>
          <w:szCs w:val="21"/>
        </w:rPr>
        <w:t xml:space="preserve">1.14 </w:t>
      </w:r>
      <w:r>
        <w:rPr>
          <w:rFonts w:hint="eastAsia" w:ascii="宋体" w:hAnsi="宋体"/>
          <w:color w:val="auto"/>
          <w:szCs w:val="21"/>
        </w:rPr>
        <w:t>工期：指发包人承包人在协议书中约定，按总日历天数（包括法定节假日）计算的承包天数。</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1.15 开工日期：指发包人承包人在协议书中约定，承包人开始施工的绝对或相对的日期。 </w:t>
      </w:r>
    </w:p>
    <w:p>
      <w:pPr>
        <w:spacing w:line="440" w:lineRule="exact"/>
        <w:ind w:firstLine="359" w:firstLineChars="171"/>
        <w:rPr>
          <w:rFonts w:ascii="宋体" w:hAnsi="宋体"/>
          <w:color w:val="auto"/>
          <w:szCs w:val="21"/>
        </w:rPr>
      </w:pPr>
      <w:r>
        <w:rPr>
          <w:rFonts w:ascii="宋体" w:hAnsi="宋体"/>
          <w:color w:val="auto"/>
          <w:szCs w:val="21"/>
        </w:rPr>
        <w:t xml:space="preserve">1.16 竣工日期：指发包人承包人在协议书中约定，承包人完成承包范围内工程的绝对或相对的日期。 </w:t>
      </w:r>
    </w:p>
    <w:p>
      <w:pPr>
        <w:spacing w:line="440" w:lineRule="exact"/>
        <w:ind w:firstLine="359" w:firstLineChars="171"/>
        <w:rPr>
          <w:rFonts w:ascii="宋体" w:hAnsi="宋体"/>
          <w:color w:val="auto"/>
          <w:szCs w:val="21"/>
        </w:rPr>
      </w:pPr>
      <w:r>
        <w:rPr>
          <w:rFonts w:ascii="宋体" w:hAnsi="宋体"/>
          <w:color w:val="auto"/>
          <w:szCs w:val="21"/>
        </w:rPr>
        <w:t xml:space="preserve">1.17 图纸：指由发包人提供或承包人提供并经发包人批准，满足承包人施工需要的所有图纸（包括配套说明和有关资料）。 </w:t>
      </w:r>
    </w:p>
    <w:p>
      <w:pPr>
        <w:spacing w:line="440" w:lineRule="exact"/>
        <w:ind w:firstLine="359" w:firstLineChars="171"/>
        <w:rPr>
          <w:rFonts w:ascii="宋体" w:hAnsi="宋体"/>
          <w:color w:val="auto"/>
          <w:szCs w:val="21"/>
        </w:rPr>
      </w:pPr>
      <w:r>
        <w:rPr>
          <w:rFonts w:ascii="宋体" w:hAnsi="宋体"/>
          <w:color w:val="auto"/>
          <w:szCs w:val="21"/>
        </w:rPr>
        <w:t xml:space="preserve">1.18 施工场地：指由发包人提供的用于工程施工的场所以及发包人在图纸中具体指定的供施工使用的任何其他场所。 </w:t>
      </w:r>
    </w:p>
    <w:p>
      <w:pPr>
        <w:spacing w:line="440" w:lineRule="exact"/>
        <w:ind w:firstLine="359" w:firstLineChars="171"/>
        <w:rPr>
          <w:rFonts w:ascii="宋体" w:hAnsi="宋体"/>
          <w:color w:val="auto"/>
          <w:szCs w:val="21"/>
        </w:rPr>
      </w:pPr>
      <w:r>
        <w:rPr>
          <w:rFonts w:ascii="宋体" w:hAnsi="宋体"/>
          <w:color w:val="auto"/>
          <w:szCs w:val="21"/>
        </w:rPr>
        <w:t xml:space="preserve">1.19 书面形式：指合同书、信件和数据电文（包括电报、电传、传真、电子数据交换和电子邮件）等可以有形地表现所载内容的形式。 </w:t>
      </w:r>
    </w:p>
    <w:p>
      <w:pPr>
        <w:spacing w:line="440" w:lineRule="exact"/>
        <w:ind w:firstLine="359" w:firstLineChars="171"/>
        <w:rPr>
          <w:rFonts w:ascii="宋体" w:hAnsi="宋体"/>
          <w:color w:val="auto"/>
          <w:szCs w:val="21"/>
        </w:rPr>
      </w:pPr>
      <w:r>
        <w:rPr>
          <w:rFonts w:ascii="宋体" w:hAnsi="宋体"/>
          <w:color w:val="auto"/>
          <w:szCs w:val="21"/>
        </w:rPr>
        <w:t xml:space="preserve">1.20 违约责任：指合同一方不履行合同义务或履行合同义务不符合约定所应承担的责任。 </w:t>
      </w:r>
    </w:p>
    <w:p>
      <w:pPr>
        <w:spacing w:line="440" w:lineRule="exact"/>
        <w:ind w:firstLine="359" w:firstLineChars="171"/>
        <w:rPr>
          <w:rFonts w:ascii="宋体" w:hAnsi="宋体"/>
          <w:color w:val="auto"/>
          <w:szCs w:val="21"/>
        </w:rPr>
      </w:pPr>
      <w:r>
        <w:rPr>
          <w:rFonts w:ascii="宋体" w:hAnsi="宋体"/>
          <w:color w:val="auto"/>
          <w:szCs w:val="21"/>
        </w:rPr>
        <w:t xml:space="preserve">1.21 索赔：指在合同履行过程中，对于并非自己的过错，而是应由对方承担责任的情况造成的实际损失，向对方提出经济补偿和（或）工期顺延的要求。 </w:t>
      </w:r>
    </w:p>
    <w:p>
      <w:pPr>
        <w:spacing w:line="440" w:lineRule="exact"/>
        <w:ind w:firstLine="359" w:firstLineChars="171"/>
        <w:rPr>
          <w:rFonts w:ascii="宋体" w:hAnsi="宋体"/>
          <w:color w:val="auto"/>
          <w:szCs w:val="21"/>
        </w:rPr>
      </w:pPr>
      <w:r>
        <w:rPr>
          <w:rFonts w:ascii="宋体" w:hAnsi="宋体"/>
          <w:color w:val="auto"/>
          <w:szCs w:val="21"/>
        </w:rPr>
        <w:t xml:space="preserve">1.22 不可抗力：指不能预见、不能避免并不能克服的客观情况。 </w:t>
      </w:r>
    </w:p>
    <w:p>
      <w:pPr>
        <w:spacing w:line="440" w:lineRule="exact"/>
        <w:ind w:firstLine="359" w:firstLineChars="171"/>
        <w:rPr>
          <w:rFonts w:ascii="宋体" w:hAnsi="宋体"/>
          <w:color w:val="auto"/>
          <w:szCs w:val="21"/>
        </w:rPr>
      </w:pPr>
      <w:r>
        <w:rPr>
          <w:rFonts w:ascii="宋体" w:hAnsi="宋体"/>
          <w:color w:val="auto"/>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spacing w:line="440" w:lineRule="exact"/>
        <w:ind w:firstLine="359" w:firstLineChars="171"/>
        <w:rPr>
          <w:rFonts w:ascii="宋体" w:hAnsi="宋体"/>
          <w:color w:val="auto"/>
          <w:szCs w:val="21"/>
        </w:rPr>
      </w:pPr>
      <w:r>
        <w:rPr>
          <w:rFonts w:ascii="宋体" w:hAnsi="宋体"/>
          <w:color w:val="auto"/>
          <w:szCs w:val="21"/>
        </w:rPr>
        <w:t xml:space="preserve">2、合同文件及解释顺序 </w:t>
      </w:r>
    </w:p>
    <w:p>
      <w:pPr>
        <w:spacing w:line="440" w:lineRule="exact"/>
        <w:ind w:firstLine="359" w:firstLineChars="171"/>
        <w:rPr>
          <w:rFonts w:ascii="宋体" w:hAnsi="宋体"/>
          <w:color w:val="auto"/>
          <w:szCs w:val="21"/>
        </w:rPr>
      </w:pPr>
      <w:r>
        <w:rPr>
          <w:rFonts w:ascii="宋体" w:hAnsi="宋体"/>
          <w:color w:val="auto"/>
          <w:szCs w:val="21"/>
        </w:rPr>
        <w:t xml:space="preserve">2.1 合同文件应能相互解释，互为说明。除专用条款另有约定外，组成本合同的文件及优先解释顺序如下：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1）本合同协议书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2）中标通知书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3）投标书及其附件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4）本合同专用条款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5）本合同通用条款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6）标准、规范及有关技术文件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7）图纸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 xml:space="preserve">8）工程量清单 </w:t>
      </w:r>
    </w:p>
    <w:p>
      <w:pPr>
        <w:spacing w:line="440" w:lineRule="exact"/>
        <w:ind w:firstLine="359" w:firstLineChars="171"/>
        <w:rPr>
          <w:rFonts w:ascii="宋体" w:hAnsi="宋体"/>
          <w:color w:val="auto"/>
          <w:szCs w:val="21"/>
        </w:rPr>
      </w:pPr>
      <w:r>
        <w:rPr>
          <w:rFonts w:hint="eastAsia" w:ascii="宋体" w:hAnsi="宋体"/>
          <w:color w:val="auto"/>
          <w:szCs w:val="21"/>
        </w:rPr>
        <w:t>（</w:t>
      </w:r>
      <w:r>
        <w:rPr>
          <w:rFonts w:ascii="宋体" w:hAnsi="宋体"/>
          <w:color w:val="auto"/>
          <w:szCs w:val="21"/>
        </w:rPr>
        <w:t>9）工程报价单或预算书</w:t>
      </w:r>
    </w:p>
    <w:p>
      <w:pPr>
        <w:spacing w:line="440" w:lineRule="exact"/>
        <w:ind w:firstLine="359" w:firstLineChars="171"/>
        <w:rPr>
          <w:rFonts w:ascii="宋体" w:hAnsi="宋体"/>
          <w:color w:val="auto"/>
          <w:szCs w:val="21"/>
        </w:rPr>
      </w:pPr>
      <w:r>
        <w:rPr>
          <w:rFonts w:hint="eastAsia" w:ascii="宋体" w:hAnsi="宋体"/>
          <w:color w:val="auto"/>
          <w:szCs w:val="21"/>
        </w:rPr>
        <w:t>合同履行中，发包人承包人有关工程的洽商、变更等书面协议或文件视为本合同的组成部分。</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spacing w:line="440" w:lineRule="exact"/>
        <w:ind w:firstLine="359" w:firstLineChars="171"/>
        <w:rPr>
          <w:rFonts w:ascii="宋体" w:hAnsi="宋体"/>
          <w:color w:val="auto"/>
          <w:szCs w:val="21"/>
        </w:rPr>
      </w:pPr>
      <w:r>
        <w:rPr>
          <w:rFonts w:ascii="宋体" w:hAnsi="宋体"/>
          <w:color w:val="auto"/>
          <w:szCs w:val="21"/>
        </w:rPr>
        <w:t xml:space="preserve">3、语言文字和适用法律、标准及规范 </w:t>
      </w:r>
    </w:p>
    <w:p>
      <w:pPr>
        <w:spacing w:line="440" w:lineRule="exact"/>
        <w:ind w:firstLine="359" w:firstLineChars="171"/>
        <w:rPr>
          <w:rFonts w:ascii="宋体" w:hAnsi="宋体"/>
          <w:color w:val="auto"/>
          <w:szCs w:val="21"/>
        </w:rPr>
      </w:pPr>
      <w:r>
        <w:rPr>
          <w:rFonts w:ascii="宋体" w:hAnsi="宋体"/>
          <w:color w:val="auto"/>
          <w:szCs w:val="21"/>
        </w:rPr>
        <w:t xml:space="preserve">3.1 语言文字 </w:t>
      </w:r>
    </w:p>
    <w:p>
      <w:pPr>
        <w:spacing w:line="440" w:lineRule="exact"/>
        <w:ind w:firstLine="359" w:firstLineChars="171"/>
        <w:rPr>
          <w:rFonts w:ascii="宋体" w:hAnsi="宋体"/>
          <w:color w:val="auto"/>
          <w:szCs w:val="21"/>
        </w:rPr>
      </w:pPr>
      <w:r>
        <w:rPr>
          <w:rFonts w:hint="eastAsia" w:ascii="宋体" w:hAnsi="宋体"/>
          <w:color w:val="auto"/>
          <w:szCs w:val="21"/>
        </w:rPr>
        <w:t>本合同文件使用汉语语言文字书写、解释和说明。如专用条款约定使用两种以上（含两种）语言文字时，汉语应为解释和说明本合同的标准语言文字。</w:t>
      </w:r>
    </w:p>
    <w:p>
      <w:pPr>
        <w:spacing w:line="440" w:lineRule="exact"/>
        <w:ind w:firstLine="359" w:firstLineChars="171"/>
        <w:rPr>
          <w:rFonts w:ascii="宋体" w:hAnsi="宋体"/>
          <w:color w:val="auto"/>
          <w:szCs w:val="21"/>
        </w:rPr>
      </w:pPr>
      <w:r>
        <w:rPr>
          <w:rFonts w:hint="eastAsia" w:ascii="宋体" w:hAnsi="宋体"/>
          <w:color w:val="auto"/>
          <w:szCs w:val="21"/>
        </w:rPr>
        <w:t>在少数民族地区，双方可以约定使用少数民族语言文字书写和解释、说明本合同。</w:t>
      </w:r>
    </w:p>
    <w:p>
      <w:pPr>
        <w:spacing w:line="440" w:lineRule="exact"/>
        <w:ind w:firstLine="359" w:firstLineChars="171"/>
        <w:rPr>
          <w:rFonts w:ascii="宋体" w:hAnsi="宋体"/>
          <w:color w:val="auto"/>
          <w:szCs w:val="21"/>
        </w:rPr>
      </w:pPr>
      <w:r>
        <w:rPr>
          <w:rFonts w:ascii="宋体" w:hAnsi="宋体"/>
          <w:color w:val="auto"/>
          <w:szCs w:val="21"/>
        </w:rPr>
        <w:t xml:space="preserve">3.2 适用法律和法规 </w:t>
      </w:r>
    </w:p>
    <w:p>
      <w:pPr>
        <w:spacing w:line="440" w:lineRule="exact"/>
        <w:ind w:firstLine="359" w:firstLineChars="171"/>
        <w:rPr>
          <w:rFonts w:ascii="宋体" w:hAnsi="宋体"/>
          <w:color w:val="auto"/>
          <w:szCs w:val="21"/>
        </w:rPr>
      </w:pPr>
      <w:r>
        <w:rPr>
          <w:rFonts w:hint="eastAsia" w:ascii="宋体" w:hAnsi="宋体"/>
          <w:color w:val="auto"/>
          <w:szCs w:val="21"/>
        </w:rPr>
        <w:t>本合同文件适用国家的法律和行政法规。需要明示的法律、行政法规，由双方在专用条款中约定。</w:t>
      </w:r>
    </w:p>
    <w:p>
      <w:pPr>
        <w:spacing w:line="440" w:lineRule="exact"/>
        <w:ind w:firstLine="359" w:firstLineChars="171"/>
        <w:rPr>
          <w:rFonts w:ascii="宋体" w:hAnsi="宋体"/>
          <w:color w:val="auto"/>
          <w:szCs w:val="21"/>
        </w:rPr>
      </w:pPr>
      <w:r>
        <w:rPr>
          <w:rFonts w:ascii="宋体" w:hAnsi="宋体"/>
          <w:color w:val="auto"/>
          <w:szCs w:val="21"/>
        </w:rPr>
        <w:t xml:space="preserve">3.3 适用标准、规范 </w:t>
      </w:r>
    </w:p>
    <w:p>
      <w:pPr>
        <w:spacing w:line="440" w:lineRule="exact"/>
        <w:ind w:firstLine="359" w:firstLineChars="171"/>
        <w:rPr>
          <w:rFonts w:ascii="宋体" w:hAnsi="宋体"/>
          <w:color w:val="auto"/>
          <w:szCs w:val="21"/>
        </w:rPr>
      </w:pPr>
      <w:r>
        <w:rPr>
          <w:rFonts w:hint="eastAsia" w:ascii="宋体" w:hAnsi="宋体"/>
          <w:color w:val="auto"/>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spacing w:line="440" w:lineRule="exact"/>
        <w:ind w:firstLine="359" w:firstLineChars="171"/>
        <w:rPr>
          <w:rFonts w:ascii="宋体" w:hAnsi="宋体"/>
          <w:color w:val="auto"/>
          <w:szCs w:val="21"/>
        </w:rPr>
      </w:pPr>
      <w:r>
        <w:rPr>
          <w:rFonts w:hint="eastAsia" w:ascii="宋体" w:hAnsi="宋体"/>
          <w:color w:val="auto"/>
          <w:szCs w:val="21"/>
        </w:rPr>
        <w:t>国内没有相应标准、规范的，由发包人按专用条款约定的时间向承包人</w:t>
      </w:r>
      <w:r>
        <w:rPr>
          <w:rFonts w:hint="eastAsia" w:ascii="宋体" w:hAnsi="宋体"/>
          <w:color w:val="auto"/>
          <w:spacing w:val="4"/>
          <w:szCs w:val="21"/>
        </w:rPr>
        <w:t>提出施工技术要求，承包人按约定的时间和要求提出施工工艺，经发包人认</w:t>
      </w:r>
      <w:r>
        <w:rPr>
          <w:rFonts w:hint="eastAsia" w:ascii="宋体" w:hAnsi="宋体"/>
          <w:color w:val="auto"/>
          <w:szCs w:val="21"/>
        </w:rPr>
        <w:t>可后执行。发包人要求使用国外标准、规范的，应负责提供中文译本。</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本条所发生的购买、翻译标准、规范或制定施工工艺的费用，由发包人承担。</w:t>
      </w:r>
    </w:p>
    <w:p>
      <w:pPr>
        <w:spacing w:line="440" w:lineRule="exact"/>
        <w:ind w:firstLine="359" w:firstLineChars="171"/>
        <w:rPr>
          <w:rFonts w:ascii="宋体" w:hAnsi="宋体"/>
          <w:color w:val="auto"/>
          <w:szCs w:val="21"/>
        </w:rPr>
      </w:pPr>
      <w:r>
        <w:rPr>
          <w:rFonts w:ascii="宋体" w:hAnsi="宋体"/>
          <w:color w:val="auto"/>
          <w:szCs w:val="21"/>
        </w:rPr>
        <w:t xml:space="preserve">4、图纸 </w:t>
      </w:r>
    </w:p>
    <w:p>
      <w:pPr>
        <w:spacing w:line="440" w:lineRule="exact"/>
        <w:ind w:firstLine="359" w:firstLineChars="171"/>
        <w:rPr>
          <w:rFonts w:ascii="宋体" w:hAnsi="宋体"/>
          <w:color w:val="auto"/>
          <w:szCs w:val="21"/>
        </w:rPr>
      </w:pPr>
      <w:r>
        <w:rPr>
          <w:rFonts w:ascii="宋体" w:hAnsi="宋体"/>
          <w:color w:val="auto"/>
          <w:szCs w:val="21"/>
        </w:rPr>
        <w:t xml:space="preserve">4.1 </w:t>
      </w:r>
      <w:r>
        <w:rPr>
          <w:rFonts w:hint="eastAsia" w:ascii="宋体" w:hAnsi="宋体"/>
          <w:color w:val="auto"/>
          <w:szCs w:val="21"/>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4.2 承包人未经发包人同意，不得将本工程图纸转给第三人。工程质量保修期满后，除承包人存档需要的图纸外，应将全部图纸退还给发包人。 </w:t>
      </w:r>
    </w:p>
    <w:p>
      <w:pPr>
        <w:spacing w:line="440" w:lineRule="exact"/>
        <w:ind w:firstLine="359" w:firstLineChars="171"/>
        <w:rPr>
          <w:rFonts w:ascii="宋体" w:hAnsi="宋体"/>
          <w:color w:val="auto"/>
          <w:szCs w:val="21"/>
        </w:rPr>
      </w:pPr>
      <w:r>
        <w:rPr>
          <w:rFonts w:ascii="宋体" w:hAnsi="宋体"/>
          <w:color w:val="auto"/>
          <w:szCs w:val="21"/>
        </w:rPr>
        <w:t xml:space="preserve">4.3 承包人应在施工现场保留一套完整图纸，供工程师及有关人员进行工程检查时使用。 </w:t>
      </w:r>
    </w:p>
    <w:p>
      <w:pPr>
        <w:spacing w:line="440" w:lineRule="exact"/>
        <w:ind w:firstLine="359" w:firstLineChars="171"/>
        <w:rPr>
          <w:rFonts w:ascii="宋体" w:hAnsi="宋体"/>
          <w:color w:val="auto"/>
          <w:szCs w:val="21"/>
        </w:rPr>
      </w:pPr>
      <w:r>
        <w:rPr>
          <w:rFonts w:hint="eastAsia" w:ascii="宋体" w:hAnsi="宋体"/>
          <w:color w:val="auto"/>
          <w:szCs w:val="21"/>
        </w:rPr>
        <w:t>二、双方一般权利和义务</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5、工程师 </w:t>
      </w:r>
    </w:p>
    <w:p>
      <w:pPr>
        <w:spacing w:line="440" w:lineRule="exact"/>
        <w:ind w:firstLine="359" w:firstLineChars="171"/>
        <w:rPr>
          <w:rFonts w:ascii="宋体" w:hAnsi="宋体"/>
          <w:color w:val="auto"/>
          <w:szCs w:val="21"/>
        </w:rPr>
      </w:pPr>
      <w:r>
        <w:rPr>
          <w:rFonts w:ascii="宋体" w:hAnsi="宋体"/>
          <w:color w:val="auto"/>
          <w:szCs w:val="21"/>
        </w:rPr>
        <w:t xml:space="preserve">5.1实行工程监理的，发包人应在实施监理前将委托的监理单位名称、监理内容及监理权限以书面形式通知承包人。 </w:t>
      </w:r>
    </w:p>
    <w:p>
      <w:pPr>
        <w:spacing w:line="440" w:lineRule="exact"/>
        <w:ind w:firstLine="359" w:firstLineChars="171"/>
        <w:rPr>
          <w:rFonts w:ascii="宋体" w:hAnsi="宋体"/>
          <w:color w:val="auto"/>
          <w:szCs w:val="21"/>
        </w:rPr>
      </w:pPr>
      <w:r>
        <w:rPr>
          <w:rFonts w:ascii="宋体" w:hAnsi="宋体"/>
          <w:color w:val="auto"/>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spacing w:line="440" w:lineRule="exact"/>
        <w:ind w:firstLine="359" w:firstLineChars="171"/>
        <w:rPr>
          <w:rFonts w:ascii="宋体" w:hAnsi="宋体"/>
          <w:color w:val="auto"/>
          <w:szCs w:val="21"/>
        </w:rPr>
      </w:pPr>
      <w:r>
        <w:rPr>
          <w:rFonts w:ascii="宋体" w:hAnsi="宋体"/>
          <w:color w:val="auto"/>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spacing w:line="440" w:lineRule="exact"/>
        <w:ind w:firstLine="359" w:firstLineChars="171"/>
        <w:rPr>
          <w:rFonts w:ascii="宋体" w:hAnsi="宋体"/>
          <w:color w:val="auto"/>
          <w:szCs w:val="21"/>
        </w:rPr>
      </w:pPr>
      <w:r>
        <w:rPr>
          <w:rFonts w:ascii="宋体" w:hAnsi="宋体"/>
          <w:color w:val="auto"/>
          <w:szCs w:val="21"/>
        </w:rPr>
        <w:t xml:space="preserve">5.4 </w:t>
      </w:r>
      <w:r>
        <w:rPr>
          <w:rFonts w:hint="eastAsia" w:ascii="宋体" w:hAnsi="宋体"/>
          <w:color w:val="auto"/>
          <w:szCs w:val="21"/>
        </w:rPr>
        <w:t>合同履行中，发生影响发包人承包人双方权利或义务的事件时，负责监理的工程师应依据合同在其职权范围内客观公正地进行处理。一方对工程师的处理有异议时，按本通用条款</w:t>
      </w:r>
      <w:r>
        <w:rPr>
          <w:rFonts w:ascii="宋体" w:hAnsi="宋体"/>
          <w:color w:val="auto"/>
          <w:szCs w:val="21"/>
        </w:rPr>
        <w:t xml:space="preserve">37条关于争议的约定处理。 </w:t>
      </w:r>
    </w:p>
    <w:p>
      <w:pPr>
        <w:spacing w:line="440" w:lineRule="exact"/>
        <w:ind w:firstLine="359" w:firstLineChars="171"/>
        <w:rPr>
          <w:rFonts w:ascii="宋体" w:hAnsi="宋体"/>
          <w:color w:val="auto"/>
          <w:szCs w:val="21"/>
        </w:rPr>
      </w:pPr>
      <w:r>
        <w:rPr>
          <w:rFonts w:ascii="宋体" w:hAnsi="宋体"/>
          <w:color w:val="auto"/>
          <w:szCs w:val="21"/>
        </w:rPr>
        <w:t xml:space="preserve">5.5 </w:t>
      </w:r>
      <w:r>
        <w:rPr>
          <w:rFonts w:hint="eastAsia" w:ascii="宋体" w:hAnsi="宋体"/>
          <w:color w:val="auto"/>
          <w:szCs w:val="21"/>
        </w:rPr>
        <w:t>除合同内有明确约定或经发包人同意外，负责监理的工程师无权解除本合同约定的承包人的任何权利与义务。</w:t>
      </w:r>
    </w:p>
    <w:p>
      <w:pPr>
        <w:spacing w:line="440" w:lineRule="exact"/>
        <w:ind w:firstLine="359" w:firstLineChars="171"/>
        <w:rPr>
          <w:rFonts w:ascii="宋体" w:hAnsi="宋体"/>
          <w:color w:val="auto"/>
          <w:szCs w:val="21"/>
        </w:rPr>
      </w:pPr>
      <w:r>
        <w:rPr>
          <w:rFonts w:ascii="宋体" w:hAnsi="宋体"/>
          <w:color w:val="auto"/>
          <w:szCs w:val="21"/>
        </w:rPr>
        <w:t xml:space="preserve">5.6 不实行工程监理的，本合同中工程师专指发包人派驻施工现场履行合同的代表，其具体职权由发包人在专用条款中写明。 </w:t>
      </w:r>
    </w:p>
    <w:p>
      <w:pPr>
        <w:spacing w:line="440" w:lineRule="exact"/>
        <w:ind w:firstLine="359" w:firstLineChars="171"/>
        <w:rPr>
          <w:rFonts w:ascii="宋体" w:hAnsi="宋体"/>
          <w:color w:val="auto"/>
          <w:szCs w:val="21"/>
        </w:rPr>
      </w:pPr>
      <w:r>
        <w:rPr>
          <w:rFonts w:ascii="宋体" w:hAnsi="宋体"/>
          <w:color w:val="auto"/>
          <w:szCs w:val="21"/>
        </w:rPr>
        <w:t xml:space="preserve">6、工程师的委派和指令 </w:t>
      </w:r>
    </w:p>
    <w:p>
      <w:pPr>
        <w:spacing w:line="440" w:lineRule="exact"/>
        <w:ind w:firstLine="359" w:firstLineChars="171"/>
        <w:rPr>
          <w:rFonts w:ascii="宋体" w:hAnsi="宋体"/>
          <w:color w:val="auto"/>
          <w:szCs w:val="21"/>
        </w:rPr>
      </w:pPr>
      <w:r>
        <w:rPr>
          <w:rFonts w:ascii="宋体" w:hAnsi="宋体"/>
          <w:color w:val="auto"/>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pPr>
        <w:spacing w:line="440" w:lineRule="exact"/>
        <w:ind w:firstLine="359" w:firstLineChars="171"/>
        <w:rPr>
          <w:rFonts w:ascii="宋体" w:hAnsi="宋体"/>
          <w:color w:val="auto"/>
          <w:szCs w:val="21"/>
        </w:rPr>
      </w:pPr>
      <w:r>
        <w:rPr>
          <w:rFonts w:hint="eastAsia" w:ascii="宋体" w:hAnsi="宋体"/>
          <w:color w:val="auto"/>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除工程师或工程师代表外，发包人派驻工地的其他人员均无权向承包人发出任何指令。</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6.2 </w:t>
      </w:r>
      <w:r>
        <w:rPr>
          <w:rFonts w:hint="eastAsia" w:ascii="宋体" w:hAnsi="宋体"/>
          <w:color w:val="auto"/>
          <w:szCs w:val="21"/>
        </w:rPr>
        <w:t>工程师的指令、通知由其本人签字后，以书面形式交给项目负责人，项目负责人在回执上签署姓名和收到时间后生效。确有必要时，工程师可发出口头指令，并在</w:t>
      </w:r>
      <w:r>
        <w:rPr>
          <w:rFonts w:ascii="宋体" w:hAnsi="宋体"/>
          <w:color w:val="auto"/>
          <w:szCs w:val="21"/>
        </w:rPr>
        <w:t xml:space="preserve">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spacing w:line="440" w:lineRule="exact"/>
        <w:ind w:firstLine="359" w:firstLineChars="171"/>
        <w:rPr>
          <w:rFonts w:ascii="宋体" w:hAnsi="宋体"/>
          <w:color w:val="auto"/>
          <w:szCs w:val="21"/>
        </w:rPr>
      </w:pPr>
      <w:r>
        <w:rPr>
          <w:rFonts w:hint="eastAsia" w:ascii="宋体" w:hAnsi="宋体"/>
          <w:color w:val="auto"/>
          <w:szCs w:val="21"/>
        </w:rPr>
        <w:t>承包人认为工程师指令不合理，应在收到指令后</w:t>
      </w:r>
      <w:r>
        <w:rPr>
          <w:rFonts w:ascii="宋体" w:hAnsi="宋体"/>
          <w:color w:val="auto"/>
          <w:szCs w:val="21"/>
        </w:rPr>
        <w:t>24小时内向工程师提出修改指令的书面报告，工程师在收到承包人报告后24小时内</w:t>
      </w:r>
      <w:r>
        <w:rPr>
          <w:rFonts w:hint="eastAsia" w:ascii="宋体" w:hAnsi="宋体"/>
          <w:color w:val="auto"/>
          <w:szCs w:val="21"/>
        </w:rPr>
        <w:t>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本款规定同样适用于由工程师代表发出的指令、通知。</w:t>
      </w:r>
    </w:p>
    <w:p>
      <w:pPr>
        <w:spacing w:line="440" w:lineRule="exact"/>
        <w:ind w:firstLine="359" w:firstLineChars="171"/>
        <w:rPr>
          <w:rFonts w:ascii="宋体" w:hAnsi="宋体"/>
          <w:color w:val="auto"/>
          <w:szCs w:val="21"/>
        </w:rPr>
      </w:pPr>
      <w:r>
        <w:rPr>
          <w:rFonts w:ascii="宋体" w:hAnsi="宋体"/>
          <w:color w:val="auto"/>
          <w:szCs w:val="21"/>
        </w:rPr>
        <w:t xml:space="preserve">6.3 </w:t>
      </w:r>
      <w:r>
        <w:rPr>
          <w:rFonts w:hint="eastAsia" w:ascii="宋体" w:hAnsi="宋体"/>
          <w:color w:val="auto"/>
          <w:szCs w:val="21"/>
        </w:rPr>
        <w:t>工程师应按合同约定，及时向承包人提供所需指令、批准并履行约定的</w:t>
      </w:r>
      <w:r>
        <w:rPr>
          <w:rFonts w:hint="eastAsia" w:ascii="宋体" w:hAnsi="宋体"/>
          <w:color w:val="auto"/>
          <w:spacing w:val="4"/>
          <w:szCs w:val="21"/>
        </w:rPr>
        <w:t>其他义务。由于工程师未能按合同约定履行义务造成工期延误，发包人应承</w:t>
      </w:r>
      <w:r>
        <w:rPr>
          <w:rFonts w:hint="eastAsia" w:ascii="宋体" w:hAnsi="宋体"/>
          <w:color w:val="auto"/>
          <w:szCs w:val="21"/>
        </w:rPr>
        <w:t>担延误造成的追加合同价款，并赔偿承包人有关损失，顺延延误的工期。</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6.4 如需更换工程师，发包人应至少提前7天以书面形式通知承包人，后任继续行使合同文件约定的前任的职权，履行前任的义务。 </w:t>
      </w:r>
    </w:p>
    <w:p>
      <w:pPr>
        <w:spacing w:line="440" w:lineRule="exact"/>
        <w:ind w:firstLine="359" w:firstLineChars="171"/>
        <w:rPr>
          <w:rFonts w:ascii="宋体" w:hAnsi="宋体"/>
          <w:color w:val="auto"/>
          <w:szCs w:val="21"/>
        </w:rPr>
      </w:pPr>
      <w:r>
        <w:rPr>
          <w:rFonts w:ascii="宋体" w:hAnsi="宋体"/>
          <w:color w:val="auto"/>
          <w:szCs w:val="21"/>
        </w:rPr>
        <w:t>7、</w:t>
      </w:r>
      <w:r>
        <w:rPr>
          <w:rFonts w:hint="eastAsia" w:ascii="宋体" w:hAnsi="宋体"/>
          <w:color w:val="auto"/>
          <w:szCs w:val="21"/>
        </w:rPr>
        <w:t>项目负责人</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7.1 </w:t>
      </w:r>
      <w:r>
        <w:rPr>
          <w:rFonts w:hint="eastAsia" w:ascii="宋体" w:hAnsi="宋体"/>
          <w:color w:val="auto"/>
          <w:szCs w:val="21"/>
        </w:rPr>
        <w:t>项目负责人的姓名、职务在专用条款内写明。</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7.2 </w:t>
      </w:r>
      <w:r>
        <w:rPr>
          <w:rFonts w:hint="eastAsia" w:ascii="宋体" w:hAnsi="宋体"/>
          <w:color w:val="auto"/>
          <w:szCs w:val="21"/>
        </w:rPr>
        <w:t>承包人依据合同发出的通知，以书面形式由项目负责人签字后送交工程师，工程师在回执上签署姓名和收到时间后生效。</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7.3 </w:t>
      </w:r>
      <w:r>
        <w:rPr>
          <w:rFonts w:hint="eastAsia" w:ascii="宋体" w:hAnsi="宋体"/>
          <w:color w:val="auto"/>
          <w:szCs w:val="21"/>
        </w:rPr>
        <w:t>项目负责人按发包人认可的施工组织设计（施工方案）和工程师依据合同发出的指令组织施工。在情况紧急且无法与工程师联系时，项目负责人应当采取保证人员生命和工程、财产安全的紧急措施，并在采取措施后</w:t>
      </w:r>
      <w:r>
        <w:rPr>
          <w:rFonts w:ascii="宋体" w:hAnsi="宋体"/>
          <w:color w:val="auto"/>
          <w:szCs w:val="21"/>
        </w:rPr>
        <w:t xml:space="preserve">48小时内向工程师送交报告。责任在发包人或第三人，由发包人承担由此发生的追加合同价款，相应顺延工期；责任在承包人，由承包人承担费用，不顺延工期。 </w:t>
      </w:r>
    </w:p>
    <w:p>
      <w:pPr>
        <w:spacing w:line="440" w:lineRule="exact"/>
        <w:ind w:firstLine="359" w:firstLineChars="171"/>
        <w:rPr>
          <w:rFonts w:ascii="宋体" w:hAnsi="宋体"/>
          <w:color w:val="auto"/>
          <w:szCs w:val="21"/>
        </w:rPr>
      </w:pPr>
      <w:r>
        <w:rPr>
          <w:rFonts w:ascii="宋体" w:hAnsi="宋体"/>
          <w:color w:val="auto"/>
          <w:szCs w:val="21"/>
        </w:rPr>
        <w:t xml:space="preserve">7.4 </w:t>
      </w:r>
      <w:r>
        <w:rPr>
          <w:rFonts w:hint="eastAsia" w:ascii="宋体" w:hAnsi="宋体"/>
          <w:color w:val="auto"/>
          <w:szCs w:val="21"/>
        </w:rPr>
        <w:t>承包人如需更换项目负责人，应至少提前</w:t>
      </w:r>
      <w:r>
        <w:rPr>
          <w:rFonts w:ascii="宋体" w:hAnsi="宋体"/>
          <w:color w:val="auto"/>
          <w:szCs w:val="21"/>
        </w:rPr>
        <w:t xml:space="preserve">7天以书面形式通知发包人，并征得发包人同意。后任继续行使合同文件约定的前任的职权，履行前任的义务。 </w:t>
      </w:r>
    </w:p>
    <w:p>
      <w:pPr>
        <w:spacing w:line="440" w:lineRule="exact"/>
        <w:ind w:firstLine="359" w:firstLineChars="171"/>
        <w:rPr>
          <w:rFonts w:ascii="宋体" w:hAnsi="宋体"/>
          <w:color w:val="auto"/>
          <w:szCs w:val="21"/>
        </w:rPr>
      </w:pPr>
      <w:r>
        <w:rPr>
          <w:rFonts w:ascii="宋体" w:hAnsi="宋体"/>
          <w:color w:val="auto"/>
          <w:szCs w:val="21"/>
        </w:rPr>
        <w:t xml:space="preserve">7.5 </w:t>
      </w:r>
      <w:r>
        <w:rPr>
          <w:rFonts w:hint="eastAsia" w:ascii="宋体" w:hAnsi="宋体"/>
          <w:color w:val="auto"/>
          <w:szCs w:val="21"/>
        </w:rPr>
        <w:t>发包人可以与承包人协商，建议更换其认为不称职的项目负责人。</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8、发包人工作 </w:t>
      </w:r>
    </w:p>
    <w:p>
      <w:pPr>
        <w:spacing w:line="440" w:lineRule="exact"/>
        <w:ind w:firstLine="359" w:firstLineChars="171"/>
        <w:rPr>
          <w:rFonts w:ascii="宋体" w:hAnsi="宋体"/>
          <w:color w:val="auto"/>
          <w:szCs w:val="21"/>
        </w:rPr>
      </w:pPr>
      <w:r>
        <w:rPr>
          <w:rFonts w:ascii="宋体" w:hAnsi="宋体"/>
          <w:color w:val="auto"/>
          <w:szCs w:val="21"/>
        </w:rPr>
        <w:t xml:space="preserve">8.1 发包人按专用条款约定的内容和时间完成以下工作: </w:t>
      </w:r>
    </w:p>
    <w:p>
      <w:pPr>
        <w:spacing w:line="440" w:lineRule="exact"/>
        <w:ind w:firstLine="359" w:firstLineChars="171"/>
        <w:rPr>
          <w:rFonts w:ascii="宋体" w:hAnsi="宋体"/>
          <w:color w:val="auto"/>
          <w:szCs w:val="21"/>
        </w:rPr>
      </w:pPr>
      <w:r>
        <w:rPr>
          <w:rFonts w:ascii="宋体" w:hAnsi="宋体"/>
          <w:color w:val="auto"/>
          <w:szCs w:val="21"/>
        </w:rPr>
        <w:t xml:space="preserve">(1) 办理土地征用、拆迁补偿、平整施工场地等工作，使施工场地具备施工条件，在开工后继续负责解决以上事项遗留问题； </w:t>
      </w:r>
    </w:p>
    <w:p>
      <w:pPr>
        <w:spacing w:line="440" w:lineRule="exact"/>
        <w:ind w:firstLine="359" w:firstLineChars="171"/>
        <w:rPr>
          <w:rFonts w:ascii="宋体" w:hAnsi="宋体"/>
          <w:color w:val="auto"/>
          <w:szCs w:val="21"/>
        </w:rPr>
      </w:pPr>
      <w:r>
        <w:rPr>
          <w:rFonts w:ascii="宋体" w:hAnsi="宋体"/>
          <w:color w:val="auto"/>
          <w:szCs w:val="21"/>
        </w:rPr>
        <w:t xml:space="preserve">(2) 将施工所需水、电、电讯线路从施工场地外部接至专用条款约定地点，保证施工期间的需要； </w:t>
      </w:r>
    </w:p>
    <w:p>
      <w:pPr>
        <w:spacing w:line="440" w:lineRule="exact"/>
        <w:ind w:firstLine="359" w:firstLineChars="171"/>
        <w:rPr>
          <w:rFonts w:ascii="宋体" w:hAnsi="宋体"/>
          <w:color w:val="auto"/>
          <w:szCs w:val="21"/>
        </w:rPr>
      </w:pPr>
      <w:r>
        <w:rPr>
          <w:rFonts w:ascii="宋体" w:hAnsi="宋体"/>
          <w:color w:val="auto"/>
          <w:szCs w:val="21"/>
        </w:rPr>
        <w:t xml:space="preserve">(3) 开通施工场地与城乡公共道路的通道，以及专用条款约定的施工场地内的主要道路，满足施工运输的需要，保证施工期间的畅通。 </w:t>
      </w:r>
    </w:p>
    <w:p>
      <w:pPr>
        <w:spacing w:line="440" w:lineRule="exact"/>
        <w:ind w:firstLine="359" w:firstLineChars="171"/>
        <w:rPr>
          <w:rFonts w:ascii="宋体" w:hAnsi="宋体"/>
          <w:color w:val="auto"/>
          <w:szCs w:val="21"/>
        </w:rPr>
      </w:pPr>
      <w:r>
        <w:rPr>
          <w:rFonts w:ascii="宋体" w:hAnsi="宋体"/>
          <w:color w:val="auto"/>
          <w:szCs w:val="21"/>
        </w:rPr>
        <w:t xml:space="preserve">(4) 向承包人提供施工场地的工程地质和地下管线资料，对资料的真实准确性负责； </w:t>
      </w:r>
    </w:p>
    <w:p>
      <w:pPr>
        <w:spacing w:line="440" w:lineRule="exact"/>
        <w:ind w:firstLine="359" w:firstLineChars="171"/>
        <w:rPr>
          <w:rFonts w:ascii="宋体" w:hAnsi="宋体"/>
          <w:color w:val="auto"/>
          <w:szCs w:val="21"/>
        </w:rPr>
      </w:pPr>
      <w:r>
        <w:rPr>
          <w:rFonts w:ascii="宋体" w:hAnsi="宋体"/>
          <w:color w:val="auto"/>
          <w:szCs w:val="21"/>
        </w:rPr>
        <w:t xml:space="preserve">(5) </w:t>
      </w:r>
      <w:r>
        <w:rPr>
          <w:rFonts w:hint="eastAsia" w:ascii="宋体" w:hAnsi="宋体"/>
          <w:color w:val="auto"/>
          <w:szCs w:val="21"/>
        </w:rPr>
        <w:t>办理施工许可证及其他施工所需证件、批件和临时用地、停水、停电、中断道路交通、爆破作业等的申请批准文件（证明承包人自身资质的证件除外）；</w:t>
      </w:r>
    </w:p>
    <w:p>
      <w:pPr>
        <w:spacing w:line="440" w:lineRule="exact"/>
        <w:ind w:firstLine="359" w:firstLineChars="171"/>
        <w:rPr>
          <w:rFonts w:ascii="宋体" w:hAnsi="宋体"/>
          <w:color w:val="auto"/>
          <w:szCs w:val="21"/>
        </w:rPr>
      </w:pPr>
      <w:r>
        <w:rPr>
          <w:rFonts w:ascii="宋体" w:hAnsi="宋体"/>
          <w:color w:val="auto"/>
          <w:szCs w:val="21"/>
        </w:rPr>
        <w:t xml:space="preserve">(6) </w:t>
      </w:r>
      <w:r>
        <w:rPr>
          <w:rFonts w:hint="eastAsia" w:ascii="宋体" w:hAnsi="宋体"/>
          <w:color w:val="auto"/>
          <w:szCs w:val="21"/>
        </w:rPr>
        <w:t>确定水准点与坐标控制点，以书面形式交给承包人，进行现场交验；</w:t>
      </w:r>
    </w:p>
    <w:p>
      <w:pPr>
        <w:spacing w:line="440" w:lineRule="exact"/>
        <w:ind w:firstLine="359" w:firstLineChars="171"/>
        <w:rPr>
          <w:rFonts w:ascii="宋体" w:hAnsi="宋体"/>
          <w:color w:val="auto"/>
          <w:szCs w:val="21"/>
        </w:rPr>
      </w:pPr>
      <w:r>
        <w:rPr>
          <w:rFonts w:ascii="宋体" w:hAnsi="宋体"/>
          <w:color w:val="auto"/>
          <w:szCs w:val="21"/>
        </w:rPr>
        <w:t xml:space="preserve">(7) </w:t>
      </w:r>
      <w:r>
        <w:rPr>
          <w:rFonts w:hint="eastAsia" w:ascii="宋体" w:hAnsi="宋体"/>
          <w:color w:val="auto"/>
          <w:szCs w:val="21"/>
        </w:rPr>
        <w:t>组织承包人和设计单位进行图纸会审和设计交底；</w:t>
      </w:r>
    </w:p>
    <w:p>
      <w:pPr>
        <w:spacing w:line="440" w:lineRule="exact"/>
        <w:ind w:firstLine="359" w:firstLineChars="171"/>
        <w:rPr>
          <w:rFonts w:ascii="宋体" w:hAnsi="宋体"/>
          <w:color w:val="auto"/>
          <w:szCs w:val="21"/>
        </w:rPr>
      </w:pPr>
      <w:r>
        <w:rPr>
          <w:rFonts w:ascii="宋体" w:hAnsi="宋体"/>
          <w:color w:val="auto"/>
          <w:szCs w:val="21"/>
        </w:rPr>
        <w:t xml:space="preserve">(8) 协调管理施工场地周围地下管线和邻近建筑物、构筑物（包括文物保护建筑）、古树名木的保护工作，承担有关费用； </w:t>
      </w:r>
    </w:p>
    <w:p>
      <w:pPr>
        <w:spacing w:line="440" w:lineRule="exact"/>
        <w:ind w:firstLine="359" w:firstLineChars="171"/>
        <w:rPr>
          <w:rFonts w:ascii="宋体" w:hAnsi="宋体"/>
          <w:color w:val="auto"/>
          <w:szCs w:val="21"/>
        </w:rPr>
      </w:pPr>
      <w:r>
        <w:rPr>
          <w:rFonts w:ascii="宋体" w:hAnsi="宋体"/>
          <w:color w:val="auto"/>
          <w:szCs w:val="21"/>
        </w:rPr>
        <w:t xml:space="preserve">(9) 发包人应做的其他工作，双方在专用条款内约定。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8.2 发包人未履行8.1款各项义务，导致工期延误或给承包人造成损失的，发包人赔偿承包人有关损失，顺延延误的工期。 </w:t>
      </w:r>
    </w:p>
    <w:p>
      <w:pPr>
        <w:spacing w:line="440" w:lineRule="exact"/>
        <w:ind w:firstLine="359" w:firstLineChars="171"/>
        <w:rPr>
          <w:rFonts w:ascii="宋体" w:hAnsi="宋体"/>
          <w:color w:val="auto"/>
          <w:szCs w:val="21"/>
        </w:rPr>
      </w:pPr>
      <w:r>
        <w:rPr>
          <w:rFonts w:ascii="宋体" w:hAnsi="宋体"/>
          <w:color w:val="auto"/>
          <w:szCs w:val="21"/>
        </w:rPr>
        <w:t xml:space="preserve">9、承包人工作 </w:t>
      </w:r>
    </w:p>
    <w:p>
      <w:pPr>
        <w:spacing w:line="440" w:lineRule="exact"/>
        <w:ind w:firstLine="359" w:firstLineChars="171"/>
        <w:rPr>
          <w:rFonts w:ascii="宋体" w:hAnsi="宋体"/>
          <w:color w:val="auto"/>
          <w:szCs w:val="21"/>
        </w:rPr>
      </w:pPr>
      <w:r>
        <w:rPr>
          <w:rFonts w:ascii="宋体" w:hAnsi="宋体"/>
          <w:color w:val="auto"/>
          <w:szCs w:val="21"/>
        </w:rPr>
        <w:t xml:space="preserve">9.1 承包人按专用条款约定的内容和时间完成以下工作： </w:t>
      </w:r>
    </w:p>
    <w:p>
      <w:pPr>
        <w:spacing w:line="440" w:lineRule="exact"/>
        <w:ind w:firstLine="359" w:firstLineChars="171"/>
        <w:rPr>
          <w:rFonts w:ascii="宋体" w:hAnsi="宋体"/>
          <w:color w:val="auto"/>
          <w:szCs w:val="21"/>
        </w:rPr>
      </w:pPr>
      <w:r>
        <w:rPr>
          <w:rFonts w:ascii="宋体" w:hAnsi="宋体"/>
          <w:color w:val="auto"/>
          <w:szCs w:val="21"/>
        </w:rPr>
        <w:t>(1)</w:t>
      </w:r>
      <w:r>
        <w:rPr>
          <w:rFonts w:hint="eastAsia" w:ascii="宋体" w:hAnsi="宋体"/>
          <w:color w:val="auto"/>
          <w:szCs w:val="21"/>
        </w:rPr>
        <w:t>根据发包人委托，在其设计资质等级和业务允许的范围内，完成施工图设计或与工程配套的设计，经工程师确认后使用，发包人承担由此发生的费用；</w:t>
      </w:r>
    </w:p>
    <w:p>
      <w:pPr>
        <w:spacing w:line="440" w:lineRule="exact"/>
        <w:ind w:firstLine="359" w:firstLineChars="171"/>
        <w:rPr>
          <w:rFonts w:ascii="宋体" w:hAnsi="宋体"/>
          <w:color w:val="auto"/>
          <w:szCs w:val="21"/>
        </w:rPr>
      </w:pPr>
      <w:r>
        <w:rPr>
          <w:rFonts w:ascii="宋体" w:hAnsi="宋体"/>
          <w:color w:val="auto"/>
          <w:szCs w:val="21"/>
        </w:rPr>
        <w:t>(2)</w:t>
      </w:r>
      <w:r>
        <w:rPr>
          <w:rFonts w:hint="eastAsia" w:ascii="宋体" w:hAnsi="宋体"/>
          <w:color w:val="auto"/>
          <w:szCs w:val="21"/>
        </w:rPr>
        <w:t>向工程师提供年、季、月度工程进度计划及相应进度统计报表；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(3)</w:t>
      </w:r>
      <w:r>
        <w:rPr>
          <w:rFonts w:hint="eastAsia" w:ascii="宋体" w:hAnsi="宋体"/>
          <w:color w:val="auto"/>
          <w:szCs w:val="21"/>
        </w:rPr>
        <w:t>根据工程需要，提供和维修非夜间施工使用的照明、围栏设施，并负责安全保卫；</w:t>
      </w:r>
    </w:p>
    <w:p>
      <w:pPr>
        <w:spacing w:line="440" w:lineRule="exact"/>
        <w:ind w:firstLine="359" w:firstLineChars="171"/>
        <w:rPr>
          <w:rFonts w:ascii="宋体" w:hAnsi="宋体"/>
          <w:color w:val="auto"/>
          <w:szCs w:val="21"/>
        </w:rPr>
      </w:pPr>
      <w:r>
        <w:rPr>
          <w:rFonts w:ascii="宋体" w:hAnsi="宋体"/>
          <w:color w:val="auto"/>
          <w:szCs w:val="21"/>
        </w:rPr>
        <w:t>(4)</w:t>
      </w:r>
      <w:r>
        <w:rPr>
          <w:rFonts w:hint="eastAsia" w:ascii="宋体" w:hAnsi="宋体"/>
          <w:color w:val="auto"/>
          <w:szCs w:val="21"/>
        </w:rPr>
        <w:t>按专用条款约定的数量和要求，向发包人提供施工场地办公和生活的房屋及设施，发包人承担由此发生的费用；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(5)</w:t>
      </w:r>
      <w:r>
        <w:rPr>
          <w:rFonts w:hint="eastAsia" w:ascii="宋体" w:hAnsi="宋体"/>
          <w:color w:val="auto"/>
          <w:szCs w:val="21"/>
        </w:rPr>
        <w:t>遵守政府有关主管部门对施工场地交通、施工噪音以及环境保护和安全生产等的管理规定，按规定办理有关手续，并以书面形式通知发包人，发包人承担由此发生的费用，因承包人责任造成的罚款除外；</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(6)</w:t>
      </w:r>
      <w:r>
        <w:rPr>
          <w:rFonts w:hint="eastAsia" w:ascii="宋体" w:hAnsi="宋体"/>
          <w:color w:val="auto"/>
          <w:szCs w:val="21"/>
        </w:rPr>
        <w:t>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spacing w:line="440" w:lineRule="exact"/>
        <w:ind w:firstLine="359" w:firstLineChars="171"/>
        <w:rPr>
          <w:rFonts w:ascii="宋体" w:hAnsi="宋体"/>
          <w:color w:val="auto"/>
          <w:szCs w:val="21"/>
        </w:rPr>
      </w:pPr>
      <w:r>
        <w:rPr>
          <w:rFonts w:ascii="宋体" w:hAnsi="宋体"/>
          <w:color w:val="auto"/>
          <w:szCs w:val="21"/>
        </w:rPr>
        <w:t>(7)</w:t>
      </w:r>
      <w:r>
        <w:rPr>
          <w:rFonts w:hint="eastAsia" w:ascii="宋体" w:hAnsi="宋体"/>
          <w:color w:val="auto"/>
          <w:szCs w:val="21"/>
        </w:rPr>
        <w:t>按专用条款约定做好施工场地地下管线和邻近建筑物、构筑物（包括文物保护建筑）、古树名木的保护工作；</w:t>
      </w:r>
    </w:p>
    <w:p>
      <w:pPr>
        <w:spacing w:line="440" w:lineRule="exact"/>
        <w:ind w:firstLine="359" w:firstLineChars="171"/>
        <w:rPr>
          <w:rFonts w:ascii="宋体" w:hAnsi="宋体"/>
          <w:color w:val="auto"/>
          <w:szCs w:val="21"/>
        </w:rPr>
      </w:pPr>
      <w:r>
        <w:rPr>
          <w:rFonts w:ascii="宋体" w:hAnsi="宋体"/>
          <w:color w:val="auto"/>
          <w:szCs w:val="21"/>
        </w:rPr>
        <w:t>(8)</w:t>
      </w:r>
      <w:r>
        <w:rPr>
          <w:rFonts w:hint="eastAsia" w:ascii="宋体" w:hAnsi="宋体"/>
          <w:color w:val="auto"/>
          <w:szCs w:val="21"/>
        </w:rPr>
        <w:t>保证施工场地清洁符合环境卫生管理的有关规定，交工前清理现场达到专用条款约定的要求，承担因自身原因违反有关规定造成的损失和罚款；</w:t>
      </w:r>
    </w:p>
    <w:p>
      <w:pPr>
        <w:spacing w:line="440" w:lineRule="exact"/>
        <w:ind w:firstLine="359" w:firstLineChars="171"/>
        <w:rPr>
          <w:rFonts w:ascii="宋体" w:hAnsi="宋体"/>
          <w:color w:val="auto"/>
          <w:szCs w:val="21"/>
        </w:rPr>
      </w:pPr>
      <w:r>
        <w:rPr>
          <w:rFonts w:ascii="宋体" w:hAnsi="宋体"/>
          <w:color w:val="auto"/>
          <w:szCs w:val="21"/>
        </w:rPr>
        <w:t>(9)</w:t>
      </w:r>
      <w:r>
        <w:rPr>
          <w:rFonts w:hint="eastAsia" w:ascii="宋体" w:hAnsi="宋体"/>
          <w:color w:val="auto"/>
          <w:spacing w:val="-6"/>
          <w:szCs w:val="21"/>
        </w:rPr>
        <w:t>办理施工许可证及施工所需证件、批件和临时用地、停水、停电、中断</w:t>
      </w:r>
      <w:r>
        <w:rPr>
          <w:rFonts w:hint="eastAsia" w:ascii="宋体" w:hAnsi="宋体"/>
          <w:color w:val="auto"/>
          <w:szCs w:val="21"/>
        </w:rPr>
        <w:t>道路交通、爆破作业等的申请批准手续（证明承包人自身资质的证件除外）；</w:t>
      </w:r>
    </w:p>
    <w:p>
      <w:pPr>
        <w:spacing w:line="440" w:lineRule="exact"/>
        <w:ind w:firstLine="359" w:firstLineChars="171"/>
        <w:rPr>
          <w:rFonts w:ascii="宋体" w:hAnsi="宋体"/>
          <w:color w:val="auto"/>
          <w:szCs w:val="21"/>
        </w:rPr>
      </w:pPr>
      <w:r>
        <w:rPr>
          <w:rFonts w:ascii="宋体" w:hAnsi="宋体"/>
          <w:color w:val="auto"/>
          <w:szCs w:val="21"/>
        </w:rPr>
        <w:t>(10)承包人应做的其他工作，双方在专用条款内约定。</w:t>
      </w:r>
    </w:p>
    <w:p>
      <w:pPr>
        <w:spacing w:line="440" w:lineRule="exact"/>
        <w:ind w:firstLine="359" w:firstLineChars="171"/>
        <w:rPr>
          <w:rFonts w:ascii="宋体" w:hAnsi="宋体"/>
          <w:color w:val="auto"/>
          <w:szCs w:val="21"/>
        </w:rPr>
      </w:pPr>
      <w:r>
        <w:rPr>
          <w:rFonts w:ascii="宋体" w:hAnsi="宋体"/>
          <w:color w:val="auto"/>
          <w:szCs w:val="21"/>
        </w:rPr>
        <w:t>9.2承包人未能履行9.1款各项义务，造成发包人损失的，承包人赔偿发包人有关损失。</w:t>
      </w:r>
    </w:p>
    <w:p>
      <w:pPr>
        <w:spacing w:line="440" w:lineRule="exact"/>
        <w:ind w:firstLine="359" w:firstLineChars="171"/>
        <w:rPr>
          <w:rFonts w:ascii="宋体" w:hAnsi="宋体"/>
          <w:color w:val="auto"/>
          <w:szCs w:val="21"/>
        </w:rPr>
      </w:pPr>
      <w:r>
        <w:rPr>
          <w:rFonts w:hint="eastAsia" w:ascii="宋体" w:hAnsi="宋体"/>
          <w:color w:val="auto"/>
          <w:szCs w:val="21"/>
        </w:rPr>
        <w:t>三、施工组织设计和工期</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10、进度计划 </w:t>
      </w:r>
    </w:p>
    <w:p>
      <w:pPr>
        <w:spacing w:line="440" w:lineRule="exact"/>
        <w:ind w:firstLine="359" w:firstLineChars="171"/>
        <w:rPr>
          <w:rFonts w:ascii="宋体" w:hAnsi="宋体"/>
          <w:color w:val="auto"/>
          <w:szCs w:val="21"/>
        </w:rPr>
      </w:pPr>
      <w:r>
        <w:rPr>
          <w:rFonts w:ascii="宋体" w:hAnsi="宋体"/>
          <w:color w:val="auto"/>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pPr>
        <w:spacing w:line="440" w:lineRule="exact"/>
        <w:ind w:firstLine="359" w:firstLineChars="171"/>
        <w:rPr>
          <w:rFonts w:ascii="宋体" w:hAnsi="宋体"/>
          <w:color w:val="auto"/>
          <w:szCs w:val="21"/>
        </w:rPr>
      </w:pPr>
      <w:r>
        <w:rPr>
          <w:rFonts w:ascii="宋体" w:hAnsi="宋体"/>
          <w:color w:val="auto"/>
          <w:szCs w:val="21"/>
        </w:rPr>
        <w:t xml:space="preserve">10.2群体工程中单位工程分期进行施工的，承包人应按照发包人提供图纸及有关资料的时间，按单位工程编制进度计划，其具体内容双方在专用条款中约定。 </w:t>
      </w:r>
    </w:p>
    <w:p>
      <w:pPr>
        <w:spacing w:line="440" w:lineRule="exact"/>
        <w:ind w:firstLine="359" w:firstLineChars="171"/>
        <w:rPr>
          <w:rFonts w:ascii="宋体" w:hAnsi="宋体"/>
          <w:color w:val="auto"/>
          <w:szCs w:val="21"/>
        </w:rPr>
      </w:pPr>
      <w:r>
        <w:rPr>
          <w:rFonts w:ascii="宋体" w:hAnsi="宋体"/>
          <w:color w:val="auto"/>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spacing w:line="440" w:lineRule="exact"/>
        <w:ind w:firstLine="359" w:firstLineChars="171"/>
        <w:rPr>
          <w:rFonts w:ascii="宋体" w:hAnsi="宋体"/>
          <w:color w:val="auto"/>
          <w:szCs w:val="21"/>
        </w:rPr>
      </w:pPr>
      <w:r>
        <w:rPr>
          <w:rFonts w:ascii="宋体" w:hAnsi="宋体"/>
          <w:color w:val="auto"/>
          <w:szCs w:val="21"/>
        </w:rPr>
        <w:t xml:space="preserve">11、开工及延期开工 </w:t>
      </w:r>
    </w:p>
    <w:p>
      <w:pPr>
        <w:spacing w:line="440" w:lineRule="exact"/>
        <w:ind w:firstLine="359" w:firstLineChars="171"/>
        <w:rPr>
          <w:rFonts w:ascii="宋体" w:hAnsi="宋体"/>
          <w:color w:val="auto"/>
          <w:szCs w:val="21"/>
        </w:rPr>
      </w:pPr>
      <w:r>
        <w:rPr>
          <w:rFonts w:ascii="宋体" w:hAnsi="宋体"/>
          <w:color w:val="auto"/>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spacing w:line="440" w:lineRule="exact"/>
        <w:ind w:firstLine="359" w:firstLineChars="171"/>
        <w:rPr>
          <w:rFonts w:ascii="宋体" w:hAnsi="宋体"/>
          <w:color w:val="auto"/>
          <w:szCs w:val="21"/>
        </w:rPr>
      </w:pPr>
      <w:r>
        <w:rPr>
          <w:rFonts w:ascii="宋体" w:hAnsi="宋体"/>
          <w:color w:val="auto"/>
          <w:szCs w:val="21"/>
        </w:rPr>
        <w:t>11.2因发包人原因不能按照协议书约定的开工日期开工，工程师应以书面形式通知承</w:t>
      </w:r>
      <w:r>
        <w:rPr>
          <w:rFonts w:hint="eastAsia" w:ascii="宋体" w:hAnsi="宋体"/>
          <w:color w:val="auto"/>
          <w:szCs w:val="21"/>
        </w:rPr>
        <w:t>包人，推迟开工日期。发包人赔偿承包人因延期开工造成的损失，并相应顺延工期。</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12、暂停施工 </w:t>
      </w:r>
    </w:p>
    <w:p>
      <w:pPr>
        <w:spacing w:line="440" w:lineRule="exact"/>
        <w:ind w:firstLine="359" w:firstLineChars="171"/>
        <w:rPr>
          <w:rFonts w:ascii="宋体" w:hAnsi="宋体"/>
          <w:color w:val="auto"/>
          <w:szCs w:val="21"/>
        </w:rPr>
      </w:pPr>
      <w:r>
        <w:rPr>
          <w:rFonts w:hint="eastAsia" w:ascii="宋体" w:hAnsi="宋体"/>
          <w:color w:val="auto"/>
          <w:szCs w:val="21"/>
        </w:rPr>
        <w:t>工程师认为确有必要暂停施工时，应当以书面形式要求承包人暂停施工，并在提出要求后</w:t>
      </w:r>
      <w:r>
        <w:rPr>
          <w:rFonts w:ascii="宋体" w:hAnsi="宋体"/>
          <w:color w:val="auto"/>
          <w:szCs w:val="21"/>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13、工期延误 </w:t>
      </w:r>
    </w:p>
    <w:p>
      <w:pPr>
        <w:spacing w:line="440" w:lineRule="exact"/>
        <w:ind w:firstLine="359" w:firstLineChars="171"/>
        <w:rPr>
          <w:rFonts w:ascii="宋体" w:hAnsi="宋体"/>
          <w:color w:val="auto"/>
          <w:szCs w:val="21"/>
        </w:rPr>
      </w:pPr>
      <w:r>
        <w:rPr>
          <w:rFonts w:ascii="宋体" w:hAnsi="宋体"/>
          <w:color w:val="auto"/>
          <w:szCs w:val="21"/>
        </w:rPr>
        <w:t xml:space="preserve">13.1因以下原因造成工期延误，经工程师确认工期相应顺延； </w:t>
      </w:r>
    </w:p>
    <w:p>
      <w:pPr>
        <w:spacing w:line="440" w:lineRule="exact"/>
        <w:ind w:firstLine="359" w:firstLineChars="171"/>
        <w:rPr>
          <w:rFonts w:ascii="宋体" w:hAnsi="宋体"/>
          <w:color w:val="auto"/>
          <w:szCs w:val="21"/>
        </w:rPr>
      </w:pPr>
      <w:r>
        <w:rPr>
          <w:rFonts w:ascii="宋体" w:hAnsi="宋体"/>
          <w:color w:val="auto"/>
          <w:szCs w:val="21"/>
        </w:rPr>
        <w:t xml:space="preserve">(1) 发包人未能按专用条款的约定提供图纸及开工条件； </w:t>
      </w:r>
    </w:p>
    <w:p>
      <w:pPr>
        <w:spacing w:line="440" w:lineRule="exact"/>
        <w:ind w:firstLine="359" w:firstLineChars="171"/>
        <w:rPr>
          <w:rFonts w:ascii="宋体" w:hAnsi="宋体"/>
          <w:color w:val="auto"/>
          <w:szCs w:val="21"/>
        </w:rPr>
      </w:pPr>
      <w:r>
        <w:rPr>
          <w:rFonts w:ascii="宋体" w:hAnsi="宋体"/>
          <w:color w:val="auto"/>
          <w:szCs w:val="21"/>
        </w:rPr>
        <w:t xml:space="preserve">(2) </w:t>
      </w:r>
      <w:r>
        <w:rPr>
          <w:rFonts w:hint="eastAsia" w:ascii="宋体" w:hAnsi="宋体"/>
          <w:color w:val="auto"/>
          <w:szCs w:val="21"/>
        </w:rPr>
        <w:t>发包人未能按约定日期支付工程预付款、进度款，致使施工不能正常进行；</w:t>
      </w:r>
    </w:p>
    <w:p>
      <w:pPr>
        <w:spacing w:line="440" w:lineRule="exact"/>
        <w:ind w:firstLine="359" w:firstLineChars="171"/>
        <w:rPr>
          <w:rFonts w:ascii="宋体" w:hAnsi="宋体"/>
          <w:color w:val="auto"/>
          <w:szCs w:val="21"/>
        </w:rPr>
      </w:pPr>
      <w:r>
        <w:rPr>
          <w:rFonts w:ascii="宋体" w:hAnsi="宋体"/>
          <w:color w:val="auto"/>
          <w:szCs w:val="21"/>
        </w:rPr>
        <w:t xml:space="preserve">(3) </w:t>
      </w:r>
      <w:r>
        <w:rPr>
          <w:rFonts w:hint="eastAsia" w:ascii="宋体" w:hAnsi="宋体"/>
          <w:color w:val="auto"/>
          <w:szCs w:val="21"/>
        </w:rPr>
        <w:t>工程师未按合同约定提供所需指令、批准等，致使施工不能正常进行；</w:t>
      </w:r>
    </w:p>
    <w:p>
      <w:pPr>
        <w:spacing w:line="440" w:lineRule="exact"/>
        <w:ind w:firstLine="359" w:firstLineChars="171"/>
        <w:rPr>
          <w:rFonts w:ascii="宋体" w:hAnsi="宋体"/>
          <w:color w:val="auto"/>
          <w:szCs w:val="21"/>
        </w:rPr>
      </w:pPr>
      <w:r>
        <w:rPr>
          <w:rFonts w:ascii="宋体" w:hAnsi="宋体"/>
          <w:color w:val="auto"/>
          <w:szCs w:val="21"/>
        </w:rPr>
        <w:t xml:space="preserve">(4) 设计变更和工程量增加； </w:t>
      </w:r>
    </w:p>
    <w:p>
      <w:pPr>
        <w:spacing w:line="440" w:lineRule="exact"/>
        <w:ind w:firstLine="359" w:firstLineChars="171"/>
        <w:rPr>
          <w:rFonts w:ascii="宋体" w:hAnsi="宋体"/>
          <w:color w:val="auto"/>
          <w:szCs w:val="21"/>
        </w:rPr>
      </w:pPr>
      <w:r>
        <w:rPr>
          <w:rFonts w:ascii="宋体" w:hAnsi="宋体"/>
          <w:color w:val="auto"/>
          <w:szCs w:val="21"/>
        </w:rPr>
        <w:t xml:space="preserve">(5) </w:t>
      </w:r>
      <w:r>
        <w:rPr>
          <w:rFonts w:hint="eastAsia" w:ascii="宋体" w:hAnsi="宋体"/>
          <w:color w:val="auto"/>
          <w:szCs w:val="21"/>
        </w:rPr>
        <w:t>一周内非承包人原因停水、停电、停气造成停工累计超过</w:t>
      </w:r>
      <w:r>
        <w:rPr>
          <w:rFonts w:ascii="宋体" w:hAnsi="宋体"/>
          <w:color w:val="auto"/>
          <w:szCs w:val="21"/>
        </w:rPr>
        <w:t>8小时；</w:t>
      </w:r>
    </w:p>
    <w:p>
      <w:pPr>
        <w:spacing w:line="440" w:lineRule="exact"/>
        <w:ind w:firstLine="359" w:firstLineChars="171"/>
        <w:rPr>
          <w:rFonts w:ascii="宋体" w:hAnsi="宋体"/>
          <w:color w:val="auto"/>
          <w:szCs w:val="21"/>
        </w:rPr>
      </w:pPr>
      <w:r>
        <w:rPr>
          <w:rFonts w:ascii="宋体" w:hAnsi="宋体"/>
          <w:color w:val="auto"/>
          <w:szCs w:val="21"/>
        </w:rPr>
        <w:t xml:space="preserve">(6) </w:t>
      </w:r>
      <w:r>
        <w:rPr>
          <w:rFonts w:hint="eastAsia" w:ascii="宋体" w:hAnsi="宋体"/>
          <w:color w:val="auto"/>
          <w:szCs w:val="21"/>
        </w:rPr>
        <w:t>不可抗力；</w:t>
      </w:r>
    </w:p>
    <w:p>
      <w:pPr>
        <w:spacing w:line="440" w:lineRule="exact"/>
        <w:ind w:firstLine="359" w:firstLineChars="171"/>
        <w:rPr>
          <w:rFonts w:ascii="宋体" w:hAnsi="宋体"/>
          <w:color w:val="auto"/>
          <w:szCs w:val="21"/>
        </w:rPr>
      </w:pPr>
      <w:r>
        <w:rPr>
          <w:rFonts w:ascii="宋体" w:hAnsi="宋体"/>
          <w:color w:val="auto"/>
          <w:szCs w:val="21"/>
        </w:rPr>
        <w:t xml:space="preserve">(7) </w:t>
      </w:r>
      <w:r>
        <w:rPr>
          <w:rFonts w:hint="eastAsia" w:ascii="宋体" w:hAnsi="宋体"/>
          <w:color w:val="auto"/>
          <w:szCs w:val="21"/>
        </w:rPr>
        <w:t>专用条款中约定或工程师同意工期顺延的其他情况。</w:t>
      </w:r>
    </w:p>
    <w:p>
      <w:pPr>
        <w:spacing w:line="440" w:lineRule="exact"/>
        <w:ind w:firstLine="359" w:firstLineChars="171"/>
        <w:rPr>
          <w:rFonts w:ascii="宋体" w:hAnsi="宋体"/>
          <w:color w:val="auto"/>
          <w:szCs w:val="21"/>
        </w:rPr>
      </w:pPr>
      <w:r>
        <w:rPr>
          <w:rFonts w:ascii="宋体" w:hAnsi="宋体"/>
          <w:color w:val="auto"/>
          <w:szCs w:val="21"/>
        </w:rPr>
        <w:t xml:space="preserve">13.2承包人在13.1款情况发生后14天内，就延误的工期以书面形式向工程师提出报告。工程师在收到报告后14天内予以确认，逾期不予确认也不提出修改意见，视为同意顺延工期。 </w:t>
      </w:r>
    </w:p>
    <w:p>
      <w:pPr>
        <w:spacing w:line="440" w:lineRule="exact"/>
        <w:ind w:firstLine="359" w:firstLineChars="171"/>
        <w:rPr>
          <w:rFonts w:ascii="宋体" w:hAnsi="宋体"/>
          <w:color w:val="auto"/>
          <w:szCs w:val="21"/>
        </w:rPr>
      </w:pPr>
      <w:r>
        <w:rPr>
          <w:rFonts w:ascii="宋体" w:hAnsi="宋体"/>
          <w:color w:val="auto"/>
          <w:szCs w:val="21"/>
        </w:rPr>
        <w:t xml:space="preserve">14、工程竣工 </w:t>
      </w:r>
    </w:p>
    <w:p>
      <w:pPr>
        <w:spacing w:line="440" w:lineRule="exact"/>
        <w:ind w:firstLine="359" w:firstLineChars="171"/>
        <w:rPr>
          <w:rFonts w:ascii="宋体" w:hAnsi="宋体"/>
          <w:color w:val="auto"/>
          <w:szCs w:val="21"/>
        </w:rPr>
      </w:pPr>
      <w:r>
        <w:rPr>
          <w:rFonts w:ascii="宋体" w:hAnsi="宋体"/>
          <w:color w:val="auto"/>
          <w:szCs w:val="21"/>
        </w:rPr>
        <w:t xml:space="preserve">14.1 承包人必须按照协议书约定的竣工日期或工程师同意顺延的工期竣工。 </w:t>
      </w:r>
    </w:p>
    <w:p>
      <w:pPr>
        <w:spacing w:line="440" w:lineRule="exact"/>
        <w:ind w:firstLine="359" w:firstLineChars="171"/>
        <w:rPr>
          <w:rFonts w:ascii="宋体" w:hAnsi="宋体"/>
          <w:color w:val="auto"/>
          <w:szCs w:val="21"/>
        </w:rPr>
      </w:pPr>
      <w:r>
        <w:rPr>
          <w:rFonts w:ascii="宋体" w:hAnsi="宋体"/>
          <w:color w:val="auto"/>
          <w:szCs w:val="21"/>
        </w:rPr>
        <w:t xml:space="preserve">14.2 因承包人原因不能按照协议书约定的竣工日期或工程师同意顺延的工期竣工的，承包人承担违约责任。 </w:t>
      </w:r>
    </w:p>
    <w:p>
      <w:pPr>
        <w:spacing w:line="440" w:lineRule="exact"/>
        <w:ind w:firstLine="359" w:firstLineChars="171"/>
        <w:rPr>
          <w:rFonts w:ascii="宋体" w:hAnsi="宋体"/>
          <w:color w:val="auto"/>
          <w:szCs w:val="21"/>
        </w:rPr>
      </w:pPr>
      <w:r>
        <w:rPr>
          <w:rFonts w:ascii="宋体" w:hAnsi="宋体"/>
          <w:color w:val="auto"/>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spacing w:line="440" w:lineRule="exact"/>
        <w:ind w:firstLine="359" w:firstLineChars="171"/>
        <w:rPr>
          <w:rFonts w:ascii="宋体" w:hAnsi="宋体"/>
          <w:color w:val="auto"/>
          <w:szCs w:val="21"/>
        </w:rPr>
      </w:pPr>
      <w:r>
        <w:rPr>
          <w:rFonts w:hint="eastAsia" w:ascii="宋体" w:hAnsi="宋体"/>
          <w:color w:val="auto"/>
          <w:szCs w:val="21"/>
        </w:rPr>
        <w:t>四、质量与检验</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15、工程质量 </w:t>
      </w:r>
    </w:p>
    <w:p>
      <w:pPr>
        <w:spacing w:line="440" w:lineRule="exact"/>
        <w:ind w:firstLine="359" w:firstLineChars="171"/>
        <w:rPr>
          <w:rFonts w:ascii="宋体" w:hAnsi="宋体"/>
          <w:color w:val="auto"/>
          <w:szCs w:val="21"/>
        </w:rPr>
      </w:pPr>
      <w:r>
        <w:rPr>
          <w:rFonts w:ascii="宋体" w:hAnsi="宋体"/>
          <w:color w:val="auto"/>
          <w:szCs w:val="21"/>
        </w:rPr>
        <w:t>1</w:t>
      </w:r>
      <w:r>
        <w:rPr>
          <w:rFonts w:ascii="宋体" w:hAnsi="宋体"/>
          <w:color w:val="auto"/>
          <w:spacing w:val="6"/>
          <w:szCs w:val="21"/>
        </w:rPr>
        <w:t xml:space="preserve">5.1 </w:t>
      </w:r>
      <w:r>
        <w:rPr>
          <w:rFonts w:hint="eastAsia" w:ascii="宋体" w:hAnsi="宋体"/>
          <w:color w:val="auto"/>
          <w:spacing w:val="6"/>
          <w:szCs w:val="21"/>
        </w:rPr>
        <w:t>工程质量应当达到协议书约定的质量标准，质量标准的评定以国家或</w:t>
      </w:r>
      <w:r>
        <w:rPr>
          <w:rFonts w:hint="eastAsia" w:ascii="宋体" w:hAnsi="宋体"/>
          <w:color w:val="auto"/>
          <w:szCs w:val="21"/>
        </w:rPr>
        <w:t>行业的质量检验评定标准为依据。因承包人原因工程质量达不到约定的质量标准，承包人承担违约责任。</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15.2 双方对工程质量有争议，由双方同意的工程质量检测机构鉴定，所需费用及因此造成的损失，由责任方承担。双方均有责任，由双方根据其责任分别承担。 </w:t>
      </w:r>
    </w:p>
    <w:p>
      <w:pPr>
        <w:spacing w:line="440" w:lineRule="exact"/>
        <w:ind w:firstLine="359" w:firstLineChars="171"/>
        <w:rPr>
          <w:rFonts w:ascii="宋体" w:hAnsi="宋体"/>
          <w:color w:val="auto"/>
          <w:szCs w:val="21"/>
        </w:rPr>
      </w:pPr>
      <w:r>
        <w:rPr>
          <w:rFonts w:ascii="宋体" w:hAnsi="宋体"/>
          <w:color w:val="auto"/>
          <w:szCs w:val="21"/>
        </w:rPr>
        <w:t xml:space="preserve">16、检查和返工 </w:t>
      </w:r>
    </w:p>
    <w:p>
      <w:pPr>
        <w:spacing w:line="440" w:lineRule="exact"/>
        <w:ind w:firstLine="359" w:firstLineChars="171"/>
        <w:rPr>
          <w:rFonts w:ascii="宋体" w:hAnsi="宋体"/>
          <w:color w:val="auto"/>
          <w:szCs w:val="21"/>
        </w:rPr>
      </w:pPr>
      <w:r>
        <w:rPr>
          <w:rFonts w:ascii="宋体" w:hAnsi="宋体"/>
          <w:color w:val="auto"/>
          <w:szCs w:val="21"/>
        </w:rPr>
        <w:t xml:space="preserve">16.1 承包人应认真按照标准、规范和设计图纸要求以及工程师依据合同发出的指令施工，随时接受工程师的检查检验，为检查检验提供便利条件。 </w:t>
      </w:r>
    </w:p>
    <w:p>
      <w:pPr>
        <w:spacing w:line="440" w:lineRule="exact"/>
        <w:ind w:firstLine="359" w:firstLineChars="171"/>
        <w:rPr>
          <w:rFonts w:ascii="宋体" w:hAnsi="宋体"/>
          <w:color w:val="auto"/>
          <w:szCs w:val="21"/>
        </w:rPr>
      </w:pPr>
      <w:r>
        <w:rPr>
          <w:rFonts w:ascii="宋体" w:hAnsi="宋体"/>
          <w:color w:val="auto"/>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spacing w:line="440" w:lineRule="exact"/>
        <w:ind w:firstLine="359" w:firstLineChars="171"/>
        <w:rPr>
          <w:rFonts w:ascii="宋体" w:hAnsi="宋体"/>
          <w:color w:val="auto"/>
          <w:szCs w:val="21"/>
        </w:rPr>
      </w:pPr>
      <w:r>
        <w:rPr>
          <w:rFonts w:ascii="宋体" w:hAnsi="宋体"/>
          <w:color w:val="auto"/>
          <w:szCs w:val="21"/>
        </w:rPr>
        <w:t xml:space="preserve">16.4 因工程师指令失误或其他非承包人原因发生的追加合同价款，由发包人承担。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17、隐蔽工程和中间验收 </w:t>
      </w:r>
    </w:p>
    <w:p>
      <w:pPr>
        <w:spacing w:line="440" w:lineRule="exact"/>
        <w:ind w:firstLine="359" w:firstLineChars="171"/>
        <w:rPr>
          <w:rFonts w:ascii="宋体" w:hAnsi="宋体"/>
          <w:color w:val="auto"/>
          <w:szCs w:val="21"/>
        </w:rPr>
      </w:pPr>
      <w:r>
        <w:rPr>
          <w:rFonts w:ascii="宋体" w:hAnsi="宋体"/>
          <w:color w:val="auto"/>
          <w:szCs w:val="21"/>
        </w:rPr>
        <w:t xml:space="preserve">17.1 </w:t>
      </w:r>
      <w:r>
        <w:rPr>
          <w:rFonts w:hint="eastAsia" w:ascii="宋体" w:hAnsi="宋体"/>
          <w:color w:val="auto"/>
          <w:szCs w:val="21"/>
        </w:rPr>
        <w:t>工程具备隐蔽条件或达到专用条款约定的中间验收部位，承包人进行自检，并在隐蔽或中间验收前</w:t>
      </w:r>
      <w:r>
        <w:rPr>
          <w:rFonts w:ascii="宋体" w:hAnsi="宋体"/>
          <w:color w:val="auto"/>
          <w:szCs w:val="21"/>
        </w:rPr>
        <w:t>48小时以书面形式通知工程师验收。通知包括隐蔽和中间验收的内容、验收时间和地点。承包人准备验收记录，验收合格，</w:t>
      </w:r>
      <w:r>
        <w:rPr>
          <w:rFonts w:hint="eastAsia" w:ascii="宋体" w:hAnsi="宋体"/>
          <w:color w:val="auto"/>
          <w:spacing w:val="4"/>
          <w:szCs w:val="21"/>
        </w:rPr>
        <w:t>工程师在验收记录上签字后，承包人可进行隐蔽和继续施工。验收不合格</w:t>
      </w:r>
      <w:r>
        <w:rPr>
          <w:rFonts w:hint="eastAsia" w:ascii="宋体" w:hAnsi="宋体"/>
          <w:color w:val="auto"/>
          <w:szCs w:val="21"/>
        </w:rPr>
        <w:t>，承包人在工程师限定的时间内修改后重新验收。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spacing w:line="440" w:lineRule="exact"/>
        <w:ind w:firstLine="359" w:firstLineChars="171"/>
        <w:rPr>
          <w:rFonts w:ascii="宋体" w:hAnsi="宋体"/>
          <w:color w:val="auto"/>
          <w:szCs w:val="21"/>
        </w:rPr>
      </w:pPr>
      <w:r>
        <w:rPr>
          <w:rFonts w:ascii="宋体" w:hAnsi="宋体"/>
          <w:color w:val="auto"/>
          <w:szCs w:val="21"/>
        </w:rPr>
        <w:t xml:space="preserve">17.3 </w:t>
      </w:r>
      <w:r>
        <w:rPr>
          <w:rFonts w:hint="eastAsia" w:ascii="宋体" w:hAnsi="宋体"/>
          <w:color w:val="auto"/>
          <w:szCs w:val="21"/>
        </w:rPr>
        <w:t>经工程师验收，工程质量符合标准、规范和设计图纸等要求，验收</w:t>
      </w:r>
      <w:r>
        <w:rPr>
          <w:rFonts w:ascii="宋体" w:hAnsi="宋体"/>
          <w:color w:val="auto"/>
          <w:szCs w:val="21"/>
        </w:rPr>
        <w:t>24</w:t>
      </w:r>
      <w:r>
        <w:rPr>
          <w:rFonts w:hint="eastAsia" w:ascii="宋体" w:hAnsi="宋体"/>
          <w:color w:val="auto"/>
          <w:spacing w:val="4"/>
          <w:szCs w:val="21"/>
        </w:rPr>
        <w:t>小时后，工程师不在验收记录上签字，视为工程师已经认可验收记录，承包</w:t>
      </w:r>
      <w:r>
        <w:rPr>
          <w:rFonts w:hint="eastAsia" w:ascii="宋体" w:hAnsi="宋体"/>
          <w:color w:val="auto"/>
          <w:szCs w:val="21"/>
        </w:rPr>
        <w:t>人可进行隐蔽或继续施工。</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18、重新检验 </w:t>
      </w:r>
    </w:p>
    <w:p>
      <w:pPr>
        <w:spacing w:line="440" w:lineRule="exact"/>
        <w:ind w:firstLine="359" w:firstLineChars="171"/>
        <w:rPr>
          <w:rFonts w:ascii="宋体" w:hAnsi="宋体"/>
          <w:color w:val="auto"/>
          <w:szCs w:val="21"/>
        </w:rPr>
      </w:pPr>
      <w:r>
        <w:rPr>
          <w:rFonts w:hint="eastAsia" w:ascii="宋体" w:hAnsi="宋体"/>
          <w:color w:val="auto"/>
          <w:szCs w:val="21"/>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19、工程试车 </w:t>
      </w:r>
    </w:p>
    <w:p>
      <w:pPr>
        <w:spacing w:line="440" w:lineRule="exact"/>
        <w:ind w:firstLine="359" w:firstLineChars="171"/>
        <w:rPr>
          <w:rFonts w:ascii="宋体" w:hAnsi="宋体"/>
          <w:color w:val="auto"/>
          <w:szCs w:val="21"/>
        </w:rPr>
      </w:pPr>
      <w:r>
        <w:rPr>
          <w:rFonts w:ascii="宋体" w:hAnsi="宋体"/>
          <w:color w:val="auto"/>
          <w:szCs w:val="21"/>
        </w:rPr>
        <w:t xml:space="preserve">19.1 双方约定需要试车的，试车内容应与承包人承包的安装范围相一致。 </w:t>
      </w:r>
    </w:p>
    <w:p>
      <w:pPr>
        <w:spacing w:line="440" w:lineRule="exact"/>
        <w:ind w:firstLine="359" w:firstLineChars="171"/>
        <w:rPr>
          <w:rFonts w:ascii="宋体" w:hAnsi="宋体"/>
          <w:color w:val="auto"/>
          <w:szCs w:val="21"/>
        </w:rPr>
      </w:pPr>
      <w:r>
        <w:rPr>
          <w:rFonts w:ascii="宋体" w:hAnsi="宋体"/>
          <w:color w:val="auto"/>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spacing w:line="440" w:lineRule="exact"/>
        <w:ind w:firstLine="359" w:firstLineChars="171"/>
        <w:rPr>
          <w:rFonts w:ascii="宋体" w:hAnsi="宋体"/>
          <w:color w:val="auto"/>
          <w:szCs w:val="21"/>
        </w:rPr>
      </w:pPr>
      <w:r>
        <w:rPr>
          <w:rFonts w:ascii="宋体" w:hAnsi="宋体"/>
          <w:color w:val="auto"/>
          <w:szCs w:val="21"/>
        </w:rPr>
        <w:t xml:space="preserve">19.3 工程师不能按时参加试车，须在开始试车前24小时以书面形式向承包人提出延期要求，延期不能超过48小时。工程师未能按以上时间提出延期要求，不参加试车，应承认试车记录。 </w:t>
      </w:r>
    </w:p>
    <w:p>
      <w:pPr>
        <w:spacing w:line="440" w:lineRule="exact"/>
        <w:ind w:firstLine="359" w:firstLineChars="171"/>
        <w:rPr>
          <w:rFonts w:ascii="宋体" w:hAnsi="宋体"/>
          <w:color w:val="auto"/>
          <w:szCs w:val="21"/>
        </w:rPr>
      </w:pPr>
      <w:r>
        <w:rPr>
          <w:rFonts w:ascii="宋体" w:hAnsi="宋体"/>
          <w:color w:val="auto"/>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spacing w:line="440" w:lineRule="exact"/>
        <w:ind w:firstLine="359" w:firstLineChars="171"/>
        <w:rPr>
          <w:rFonts w:ascii="宋体" w:hAnsi="宋体"/>
          <w:color w:val="auto"/>
          <w:szCs w:val="21"/>
        </w:rPr>
      </w:pPr>
      <w:r>
        <w:rPr>
          <w:rFonts w:ascii="宋体" w:hAnsi="宋体"/>
          <w:color w:val="auto"/>
          <w:szCs w:val="21"/>
        </w:rPr>
        <w:t xml:space="preserve">19.5双方责任 </w:t>
      </w:r>
    </w:p>
    <w:p>
      <w:pPr>
        <w:spacing w:line="440" w:lineRule="exact"/>
        <w:ind w:firstLine="359" w:firstLineChars="171"/>
        <w:rPr>
          <w:rFonts w:ascii="宋体" w:hAnsi="宋体"/>
          <w:color w:val="auto"/>
          <w:szCs w:val="21"/>
        </w:rPr>
      </w:pPr>
      <w:r>
        <w:rPr>
          <w:rFonts w:ascii="宋体" w:hAnsi="宋体"/>
          <w:color w:val="auto"/>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pPr>
        <w:spacing w:line="440" w:lineRule="exact"/>
        <w:ind w:firstLine="359" w:firstLineChars="171"/>
        <w:rPr>
          <w:rFonts w:ascii="宋体" w:hAnsi="宋体"/>
          <w:color w:val="auto"/>
          <w:szCs w:val="21"/>
        </w:rPr>
      </w:pPr>
      <w:r>
        <w:rPr>
          <w:rFonts w:ascii="宋体" w:hAnsi="宋体"/>
          <w:color w:val="auto"/>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spacing w:line="440" w:lineRule="exact"/>
        <w:ind w:firstLine="359" w:firstLineChars="171"/>
        <w:rPr>
          <w:rFonts w:ascii="宋体" w:hAnsi="宋体"/>
          <w:color w:val="auto"/>
          <w:szCs w:val="21"/>
        </w:rPr>
      </w:pPr>
      <w:r>
        <w:rPr>
          <w:rFonts w:ascii="宋体" w:hAnsi="宋体"/>
          <w:color w:val="auto"/>
          <w:szCs w:val="21"/>
        </w:rPr>
        <w:t xml:space="preserve">(3) 由于承包人施工原因试车达不到验收要求，承包人按工程师要求重新安装和试车，并承担重新安装和试车的费用，工期不予顺延。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(4) </w:t>
      </w:r>
      <w:r>
        <w:rPr>
          <w:rFonts w:hint="eastAsia" w:ascii="宋体" w:hAnsi="宋体"/>
          <w:color w:val="auto"/>
          <w:szCs w:val="21"/>
        </w:rPr>
        <w:t>试车费用除已包括在合同价款之内或专用条款另有约定外，均由发包人承担。</w:t>
      </w:r>
    </w:p>
    <w:p>
      <w:pPr>
        <w:spacing w:line="440" w:lineRule="exact"/>
        <w:ind w:firstLine="359" w:firstLineChars="171"/>
        <w:rPr>
          <w:rFonts w:ascii="宋体" w:hAnsi="宋体"/>
          <w:color w:val="auto"/>
          <w:szCs w:val="21"/>
        </w:rPr>
      </w:pPr>
      <w:r>
        <w:rPr>
          <w:rFonts w:ascii="宋体" w:hAnsi="宋体"/>
          <w:color w:val="auto"/>
          <w:szCs w:val="21"/>
        </w:rPr>
        <w:t xml:space="preserve">(5) 工程师在试车合格后不在试车记录上签字，试车结束24小时后，视为工程师已经认可试车记录，承包人可继续施工或办理竣工手续。 </w:t>
      </w:r>
    </w:p>
    <w:p>
      <w:pPr>
        <w:spacing w:line="440" w:lineRule="exact"/>
        <w:ind w:firstLine="359" w:firstLineChars="171"/>
        <w:rPr>
          <w:rFonts w:ascii="宋体" w:hAnsi="宋体"/>
          <w:color w:val="auto"/>
          <w:szCs w:val="21"/>
        </w:rPr>
      </w:pPr>
      <w:r>
        <w:rPr>
          <w:rFonts w:ascii="宋体" w:hAnsi="宋体"/>
          <w:color w:val="auto"/>
          <w:szCs w:val="21"/>
        </w:rPr>
        <w:t xml:space="preserve">19.6 投料试车应在工程竣工验收后由发包人负责，如发包人要求在工程竣工验收前进行或需要承包人配合时，应征得承包人同意，另行签订补充协议。 </w:t>
      </w:r>
    </w:p>
    <w:p>
      <w:pPr>
        <w:spacing w:line="440" w:lineRule="exact"/>
        <w:ind w:firstLine="359" w:firstLineChars="171"/>
        <w:rPr>
          <w:rFonts w:ascii="宋体" w:hAnsi="宋体"/>
          <w:color w:val="auto"/>
          <w:szCs w:val="21"/>
        </w:rPr>
      </w:pPr>
      <w:r>
        <w:rPr>
          <w:rFonts w:hint="eastAsia" w:ascii="宋体" w:hAnsi="宋体"/>
          <w:color w:val="auto"/>
          <w:szCs w:val="21"/>
        </w:rPr>
        <w:t>五、安全施工</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20、安全施工与检查 </w:t>
      </w:r>
    </w:p>
    <w:p>
      <w:pPr>
        <w:spacing w:line="440" w:lineRule="exact"/>
        <w:ind w:firstLine="359" w:firstLineChars="171"/>
        <w:rPr>
          <w:rFonts w:ascii="宋体" w:hAnsi="宋体"/>
          <w:color w:val="auto"/>
          <w:szCs w:val="21"/>
        </w:rPr>
      </w:pPr>
      <w:r>
        <w:rPr>
          <w:rFonts w:ascii="宋体" w:hAnsi="宋体"/>
          <w:color w:val="auto"/>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spacing w:line="440" w:lineRule="exact"/>
        <w:ind w:firstLine="359" w:firstLineChars="171"/>
        <w:rPr>
          <w:rFonts w:ascii="宋体" w:hAnsi="宋体"/>
          <w:color w:val="auto"/>
          <w:szCs w:val="21"/>
        </w:rPr>
      </w:pPr>
      <w:r>
        <w:rPr>
          <w:rFonts w:ascii="宋体" w:hAnsi="宋体"/>
          <w:color w:val="auto"/>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spacing w:line="440" w:lineRule="exact"/>
        <w:ind w:firstLine="359" w:firstLineChars="171"/>
        <w:rPr>
          <w:rFonts w:ascii="宋体" w:hAnsi="宋体"/>
          <w:color w:val="auto"/>
          <w:szCs w:val="21"/>
        </w:rPr>
      </w:pPr>
      <w:r>
        <w:rPr>
          <w:rFonts w:ascii="宋体" w:hAnsi="宋体"/>
          <w:color w:val="auto"/>
          <w:szCs w:val="21"/>
        </w:rPr>
        <w:t xml:space="preserve">21、安全防护 </w:t>
      </w:r>
    </w:p>
    <w:p>
      <w:pPr>
        <w:spacing w:line="440" w:lineRule="exact"/>
        <w:ind w:firstLine="359" w:firstLineChars="171"/>
        <w:rPr>
          <w:rFonts w:ascii="宋体" w:hAnsi="宋体"/>
          <w:color w:val="auto"/>
          <w:szCs w:val="21"/>
        </w:rPr>
      </w:pPr>
      <w:r>
        <w:rPr>
          <w:rFonts w:ascii="宋体" w:hAnsi="宋体"/>
          <w:color w:val="auto"/>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spacing w:line="440" w:lineRule="exact"/>
        <w:ind w:firstLine="359" w:firstLineChars="171"/>
        <w:rPr>
          <w:rFonts w:ascii="宋体" w:hAnsi="宋体"/>
          <w:color w:val="auto"/>
          <w:szCs w:val="21"/>
        </w:rPr>
      </w:pPr>
      <w:r>
        <w:rPr>
          <w:rFonts w:ascii="宋体" w:hAnsi="宋体"/>
          <w:color w:val="auto"/>
          <w:szCs w:val="21"/>
        </w:rPr>
        <w:t>21.2实施爆破作业，在放射、毒害性环境中施工（含储存、运输、使用）及使用毒害性、腐蚀性物品施工时，承包人应在施工前14天以书面形式通知工</w:t>
      </w:r>
      <w:r>
        <w:rPr>
          <w:rFonts w:hint="eastAsia" w:ascii="宋体" w:hAnsi="宋体"/>
          <w:color w:val="auto"/>
          <w:spacing w:val="2"/>
          <w:szCs w:val="21"/>
        </w:rPr>
        <w:t>程师，并提出相应的安全防护措施，经工程师认可后实施</w:t>
      </w:r>
      <w:r>
        <w:rPr>
          <w:rFonts w:ascii="宋体" w:hAnsi="宋体"/>
          <w:color w:val="auto"/>
          <w:spacing w:val="2"/>
          <w:szCs w:val="21"/>
        </w:rPr>
        <w:t>,由发包人承担安全</w:t>
      </w:r>
      <w:r>
        <w:rPr>
          <w:rFonts w:hint="eastAsia" w:ascii="宋体" w:hAnsi="宋体"/>
          <w:color w:val="auto"/>
          <w:szCs w:val="21"/>
        </w:rPr>
        <w:t>防护措施费用。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22、事故处理 </w:t>
      </w:r>
    </w:p>
    <w:p>
      <w:pPr>
        <w:spacing w:line="440" w:lineRule="exact"/>
        <w:ind w:firstLine="359" w:firstLineChars="171"/>
        <w:rPr>
          <w:rFonts w:ascii="宋体" w:hAnsi="宋体"/>
          <w:color w:val="auto"/>
          <w:szCs w:val="21"/>
        </w:rPr>
      </w:pPr>
      <w:r>
        <w:rPr>
          <w:rFonts w:ascii="宋体" w:hAnsi="宋体"/>
          <w:color w:val="auto"/>
          <w:szCs w:val="21"/>
        </w:rPr>
        <w:t>22.1发生重大伤亡及其他安全事故，承包人应按有关规定立即上报有关部门并通知工程师，同时按政府有关部门要求处理，由事故责任方承担发生的费用。</w:t>
      </w:r>
    </w:p>
    <w:p>
      <w:pPr>
        <w:spacing w:line="440" w:lineRule="exact"/>
        <w:ind w:firstLine="359" w:firstLineChars="171"/>
        <w:rPr>
          <w:rFonts w:ascii="宋体" w:hAnsi="宋体"/>
          <w:color w:val="auto"/>
          <w:szCs w:val="21"/>
        </w:rPr>
      </w:pPr>
      <w:r>
        <w:rPr>
          <w:rFonts w:ascii="宋体" w:hAnsi="宋体"/>
          <w:color w:val="auto"/>
          <w:szCs w:val="21"/>
        </w:rPr>
        <w:t xml:space="preserve">22.2发包人承包人对事故责任有争议时，应按政府有关部门的认定处理。 </w:t>
      </w:r>
    </w:p>
    <w:p>
      <w:pPr>
        <w:spacing w:line="440" w:lineRule="exact"/>
        <w:ind w:firstLine="359" w:firstLineChars="171"/>
        <w:rPr>
          <w:rFonts w:ascii="宋体" w:hAnsi="宋体"/>
          <w:color w:val="auto"/>
          <w:szCs w:val="21"/>
        </w:rPr>
      </w:pPr>
      <w:r>
        <w:rPr>
          <w:rFonts w:hint="eastAsia" w:ascii="宋体" w:hAnsi="宋体"/>
          <w:color w:val="auto"/>
          <w:szCs w:val="21"/>
        </w:rPr>
        <w:t>六、合同价款与支付</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23、合同价款及调整 </w:t>
      </w:r>
    </w:p>
    <w:p>
      <w:pPr>
        <w:spacing w:line="440" w:lineRule="exact"/>
        <w:ind w:firstLine="359" w:firstLineChars="171"/>
        <w:rPr>
          <w:rFonts w:ascii="宋体" w:hAnsi="宋体"/>
          <w:color w:val="auto"/>
          <w:szCs w:val="21"/>
        </w:rPr>
      </w:pPr>
      <w:r>
        <w:rPr>
          <w:rFonts w:ascii="宋体" w:hAnsi="宋体"/>
          <w:color w:val="auto"/>
          <w:szCs w:val="21"/>
        </w:rPr>
        <w:t xml:space="preserve">23.1招标工程的合同价款由发包人承包人依据中标通知书中的中标价格在协议书内约定。非招标工程的合同价款由发包人承包人依据工程预算书在协议书内约定。 </w:t>
      </w:r>
    </w:p>
    <w:p>
      <w:pPr>
        <w:spacing w:line="440" w:lineRule="exact"/>
        <w:ind w:firstLine="359" w:firstLineChars="171"/>
        <w:rPr>
          <w:rFonts w:ascii="宋体" w:hAnsi="宋体"/>
          <w:color w:val="auto"/>
          <w:szCs w:val="21"/>
        </w:rPr>
      </w:pPr>
      <w:r>
        <w:rPr>
          <w:rFonts w:ascii="宋体" w:hAnsi="宋体"/>
          <w:color w:val="auto"/>
          <w:szCs w:val="21"/>
        </w:rPr>
        <w:t xml:space="preserve">23.2合同价款在协议书内约定后，任何一方不得擅自改变。下列三种确定合同价款的方式，双方可在专用条款内约定采用其中一种： </w:t>
      </w:r>
    </w:p>
    <w:p>
      <w:pPr>
        <w:spacing w:line="440" w:lineRule="exact"/>
        <w:ind w:firstLine="359" w:firstLineChars="171"/>
        <w:rPr>
          <w:rFonts w:ascii="宋体" w:hAnsi="宋体"/>
          <w:color w:val="auto"/>
          <w:szCs w:val="21"/>
        </w:rPr>
      </w:pPr>
      <w:r>
        <w:rPr>
          <w:rFonts w:ascii="宋体" w:hAnsi="宋体"/>
          <w:color w:val="auto"/>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(2) </w:t>
      </w:r>
      <w:r>
        <w:rPr>
          <w:rFonts w:hint="eastAsia" w:ascii="宋体" w:hAnsi="宋体"/>
          <w:color w:val="auto"/>
          <w:szCs w:val="21"/>
        </w:rPr>
        <w:t>可调价格合同。合同价款可根据双方的约定而调整，双方在专用条款内约定合同价款调整方法。</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 成本加酬金合同。合同价款包括成本和酬金两部分，双方在专用条款内约定成本构成和酬金的计算方法。 </w:t>
      </w:r>
    </w:p>
    <w:p>
      <w:pPr>
        <w:spacing w:line="440" w:lineRule="exact"/>
        <w:ind w:firstLine="359" w:firstLineChars="171"/>
        <w:rPr>
          <w:rFonts w:ascii="宋体" w:hAnsi="宋体"/>
          <w:color w:val="auto"/>
          <w:szCs w:val="21"/>
        </w:rPr>
      </w:pPr>
      <w:r>
        <w:rPr>
          <w:rFonts w:ascii="宋体" w:hAnsi="宋体"/>
          <w:color w:val="auto"/>
          <w:szCs w:val="21"/>
        </w:rPr>
        <w:t>23.3可调价格合同中合同价款的调整因素包括：</w:t>
      </w:r>
    </w:p>
    <w:p>
      <w:pPr>
        <w:spacing w:line="440" w:lineRule="exact"/>
        <w:ind w:firstLine="359" w:firstLineChars="171"/>
        <w:rPr>
          <w:rFonts w:ascii="宋体" w:hAnsi="宋体"/>
          <w:color w:val="auto"/>
          <w:szCs w:val="21"/>
        </w:rPr>
      </w:pPr>
      <w:r>
        <w:rPr>
          <w:rFonts w:ascii="宋体" w:hAnsi="宋体"/>
          <w:color w:val="auto"/>
          <w:szCs w:val="21"/>
        </w:rPr>
        <w:t xml:space="preserve">(1) 法律、行政法规和国家有关政策变化影响合同价款； </w:t>
      </w:r>
    </w:p>
    <w:p>
      <w:pPr>
        <w:spacing w:line="440" w:lineRule="exact"/>
        <w:ind w:firstLine="359" w:firstLineChars="171"/>
        <w:rPr>
          <w:rFonts w:ascii="宋体" w:hAnsi="宋体"/>
          <w:color w:val="auto"/>
          <w:szCs w:val="21"/>
        </w:rPr>
      </w:pPr>
      <w:r>
        <w:rPr>
          <w:rFonts w:ascii="宋体" w:hAnsi="宋体"/>
          <w:color w:val="auto"/>
          <w:szCs w:val="21"/>
        </w:rPr>
        <w:t xml:space="preserve">(2) 工程造价管理部门公布的价格调整； </w:t>
      </w:r>
    </w:p>
    <w:p>
      <w:pPr>
        <w:spacing w:line="440" w:lineRule="exact"/>
        <w:ind w:firstLine="359" w:firstLineChars="171"/>
        <w:rPr>
          <w:rFonts w:ascii="宋体" w:hAnsi="宋体"/>
          <w:color w:val="auto"/>
          <w:szCs w:val="21"/>
        </w:rPr>
      </w:pPr>
      <w:r>
        <w:rPr>
          <w:rFonts w:ascii="宋体" w:hAnsi="宋体"/>
          <w:color w:val="auto"/>
          <w:szCs w:val="21"/>
        </w:rPr>
        <w:t xml:space="preserve">(3) 一周内非承包人原因停水、停电、停气造成的停工累计超过8小时； </w:t>
      </w:r>
    </w:p>
    <w:p>
      <w:pPr>
        <w:spacing w:line="440" w:lineRule="exact"/>
        <w:ind w:firstLine="359" w:firstLineChars="171"/>
        <w:rPr>
          <w:rFonts w:ascii="宋体" w:hAnsi="宋体"/>
          <w:color w:val="auto"/>
          <w:szCs w:val="21"/>
        </w:rPr>
      </w:pPr>
      <w:r>
        <w:rPr>
          <w:rFonts w:ascii="宋体" w:hAnsi="宋体"/>
          <w:color w:val="auto"/>
          <w:szCs w:val="21"/>
        </w:rPr>
        <w:t xml:space="preserve">(4) 双方约定的其他因素。 </w:t>
      </w:r>
    </w:p>
    <w:p>
      <w:pPr>
        <w:spacing w:line="440" w:lineRule="exact"/>
        <w:ind w:firstLine="359" w:firstLineChars="171"/>
        <w:rPr>
          <w:rFonts w:ascii="宋体" w:hAnsi="宋体"/>
          <w:color w:val="auto"/>
          <w:szCs w:val="21"/>
        </w:rPr>
      </w:pPr>
      <w:r>
        <w:rPr>
          <w:rFonts w:ascii="宋体" w:hAnsi="宋体"/>
          <w:color w:val="auto"/>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spacing w:line="440" w:lineRule="exact"/>
        <w:ind w:firstLine="359" w:firstLineChars="171"/>
        <w:rPr>
          <w:rFonts w:ascii="宋体" w:hAnsi="宋体"/>
          <w:color w:val="auto"/>
          <w:szCs w:val="21"/>
        </w:rPr>
      </w:pPr>
      <w:r>
        <w:rPr>
          <w:rFonts w:ascii="宋体" w:hAnsi="宋体"/>
          <w:color w:val="auto"/>
          <w:szCs w:val="21"/>
        </w:rPr>
        <w:t xml:space="preserve">24、工程预付款 </w:t>
      </w:r>
    </w:p>
    <w:p>
      <w:pPr>
        <w:spacing w:line="440" w:lineRule="exact"/>
        <w:ind w:firstLine="359" w:firstLineChars="171"/>
        <w:rPr>
          <w:rFonts w:ascii="宋体" w:hAnsi="宋体"/>
          <w:color w:val="auto"/>
          <w:szCs w:val="21"/>
        </w:rPr>
      </w:pPr>
      <w:r>
        <w:rPr>
          <w:rFonts w:hint="eastAsia" w:ascii="宋体" w:hAnsi="宋体"/>
          <w:color w:val="auto"/>
          <w:szCs w:val="21"/>
        </w:rPr>
        <w:t>实行工程预付款的，双方应当在专用条款内约定发包人向承包人预付工程款的时间和数额，开工后按约定的时间和比例逐次扣回。预付时间应不迟于约定的开工日期前</w:t>
      </w:r>
      <w:r>
        <w:rPr>
          <w:rFonts w:ascii="宋体" w:hAnsi="宋体"/>
          <w:color w:val="auto"/>
          <w:szCs w:val="21"/>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spacing w:line="440" w:lineRule="exact"/>
        <w:ind w:firstLine="359" w:firstLineChars="171"/>
        <w:rPr>
          <w:rFonts w:ascii="宋体" w:hAnsi="宋体"/>
          <w:color w:val="auto"/>
          <w:szCs w:val="21"/>
        </w:rPr>
      </w:pPr>
      <w:r>
        <w:rPr>
          <w:rFonts w:ascii="宋体" w:hAnsi="宋体"/>
          <w:color w:val="auto"/>
          <w:szCs w:val="21"/>
        </w:rPr>
        <w:t xml:space="preserve">25、工程量的确认 </w:t>
      </w:r>
    </w:p>
    <w:p>
      <w:pPr>
        <w:spacing w:line="440" w:lineRule="exact"/>
        <w:ind w:firstLine="359" w:firstLineChars="171"/>
        <w:rPr>
          <w:rFonts w:ascii="宋体" w:hAnsi="宋体"/>
          <w:color w:val="auto"/>
          <w:szCs w:val="21"/>
        </w:rPr>
      </w:pPr>
      <w:r>
        <w:rPr>
          <w:rFonts w:ascii="宋体" w:hAnsi="宋体"/>
          <w:color w:val="auto"/>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spacing w:line="440" w:lineRule="exact"/>
        <w:ind w:firstLine="359" w:firstLineChars="171"/>
        <w:rPr>
          <w:rFonts w:ascii="宋体" w:hAnsi="宋体"/>
          <w:color w:val="auto"/>
          <w:szCs w:val="21"/>
        </w:rPr>
      </w:pPr>
      <w:r>
        <w:rPr>
          <w:rFonts w:ascii="宋体" w:hAnsi="宋体"/>
          <w:color w:val="auto"/>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spacing w:line="440" w:lineRule="exact"/>
        <w:ind w:firstLine="359" w:firstLineChars="171"/>
        <w:rPr>
          <w:rFonts w:ascii="宋体" w:hAnsi="宋体"/>
          <w:color w:val="auto"/>
          <w:szCs w:val="21"/>
        </w:rPr>
      </w:pPr>
      <w:r>
        <w:rPr>
          <w:rFonts w:ascii="宋体" w:hAnsi="宋体"/>
          <w:color w:val="auto"/>
          <w:szCs w:val="21"/>
        </w:rPr>
        <w:t xml:space="preserve">25.3对承包人超出设计图纸范围和因承包人原因造成返工的工程量，工程师不予计量。 </w:t>
      </w:r>
    </w:p>
    <w:p>
      <w:pPr>
        <w:spacing w:line="440" w:lineRule="exact"/>
        <w:ind w:firstLine="359" w:firstLineChars="171"/>
        <w:rPr>
          <w:rFonts w:ascii="宋体" w:hAnsi="宋体"/>
          <w:color w:val="auto"/>
          <w:szCs w:val="21"/>
        </w:rPr>
      </w:pPr>
      <w:r>
        <w:rPr>
          <w:rFonts w:ascii="宋体" w:hAnsi="宋体"/>
          <w:color w:val="auto"/>
          <w:szCs w:val="21"/>
        </w:rPr>
        <w:t xml:space="preserve">26、工程款（进度款）支付。 </w:t>
      </w:r>
    </w:p>
    <w:p>
      <w:pPr>
        <w:spacing w:line="440" w:lineRule="exact"/>
        <w:ind w:firstLine="359" w:firstLineChars="171"/>
        <w:rPr>
          <w:rFonts w:ascii="宋体" w:hAnsi="宋体"/>
          <w:color w:val="auto"/>
          <w:szCs w:val="21"/>
        </w:rPr>
      </w:pPr>
      <w:r>
        <w:rPr>
          <w:rFonts w:ascii="宋体" w:hAnsi="宋体"/>
          <w:color w:val="auto"/>
          <w:szCs w:val="21"/>
        </w:rPr>
        <w:t xml:space="preserve">26.1 在确认计量结果后14天内，发包人应向承包人支付工程款（进度款）。按约定时间发包人应扣回的预付款，与工程款（进度款）同期结算。 </w:t>
      </w:r>
    </w:p>
    <w:p>
      <w:pPr>
        <w:spacing w:line="440" w:lineRule="exact"/>
        <w:ind w:firstLine="359" w:firstLineChars="171"/>
        <w:rPr>
          <w:rFonts w:ascii="宋体" w:hAnsi="宋体"/>
          <w:color w:val="auto"/>
          <w:szCs w:val="21"/>
        </w:rPr>
      </w:pPr>
      <w:r>
        <w:rPr>
          <w:rFonts w:ascii="宋体" w:hAnsi="宋体"/>
          <w:color w:val="auto"/>
          <w:szCs w:val="21"/>
        </w:rPr>
        <w:t xml:space="preserve">26.2 本通用条款第23条确定调整的合同价款，第31条工程变更调整的合同价款及其他条款中约定的追加合同价款，应与工程款（进度款）同期调整支付。 </w:t>
      </w:r>
    </w:p>
    <w:p>
      <w:pPr>
        <w:spacing w:line="440" w:lineRule="exact"/>
        <w:ind w:firstLine="359" w:firstLineChars="171"/>
        <w:rPr>
          <w:rFonts w:ascii="宋体" w:hAnsi="宋体"/>
          <w:color w:val="auto"/>
          <w:szCs w:val="21"/>
        </w:rPr>
      </w:pPr>
      <w:r>
        <w:rPr>
          <w:rFonts w:ascii="宋体" w:hAnsi="宋体"/>
          <w:color w:val="auto"/>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spacing w:line="440" w:lineRule="exact"/>
        <w:ind w:firstLine="359" w:firstLineChars="171"/>
        <w:rPr>
          <w:rFonts w:ascii="宋体" w:hAnsi="宋体"/>
          <w:color w:val="auto"/>
          <w:szCs w:val="21"/>
        </w:rPr>
      </w:pPr>
      <w:r>
        <w:rPr>
          <w:rFonts w:ascii="宋体" w:hAnsi="宋体"/>
          <w:color w:val="auto"/>
          <w:szCs w:val="21"/>
        </w:rPr>
        <w:t xml:space="preserve">26.4 发包人不按合同约定支付工程款（进度款），双方又未达成延期付款协议，导致施工无法进行，承包人可停止施工，由发包人承担违约责任。 </w:t>
      </w:r>
    </w:p>
    <w:p>
      <w:pPr>
        <w:spacing w:line="440" w:lineRule="exact"/>
        <w:ind w:firstLine="359" w:firstLineChars="171"/>
        <w:rPr>
          <w:rFonts w:ascii="宋体" w:hAnsi="宋体"/>
          <w:color w:val="auto"/>
          <w:szCs w:val="21"/>
        </w:rPr>
      </w:pPr>
      <w:r>
        <w:rPr>
          <w:rFonts w:hint="eastAsia" w:ascii="宋体" w:hAnsi="宋体"/>
          <w:color w:val="auto"/>
          <w:szCs w:val="21"/>
        </w:rPr>
        <w:t>七、材料设备供应</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27、发包人供应材料设备 </w:t>
      </w:r>
    </w:p>
    <w:p>
      <w:pPr>
        <w:spacing w:line="440" w:lineRule="exact"/>
        <w:ind w:firstLine="359" w:firstLineChars="171"/>
        <w:rPr>
          <w:rFonts w:ascii="宋体" w:hAnsi="宋体"/>
          <w:color w:val="auto"/>
          <w:szCs w:val="21"/>
        </w:rPr>
      </w:pPr>
      <w:r>
        <w:rPr>
          <w:rFonts w:ascii="宋体" w:hAnsi="宋体"/>
          <w:color w:val="auto"/>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pPr>
        <w:spacing w:line="440" w:lineRule="exact"/>
        <w:ind w:firstLine="359" w:firstLineChars="171"/>
        <w:rPr>
          <w:rFonts w:ascii="宋体" w:hAnsi="宋体"/>
          <w:color w:val="auto"/>
          <w:szCs w:val="21"/>
        </w:rPr>
      </w:pPr>
      <w:r>
        <w:rPr>
          <w:rFonts w:ascii="宋体" w:hAnsi="宋体"/>
          <w:color w:val="auto"/>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pPr>
        <w:spacing w:line="440" w:lineRule="exact"/>
        <w:ind w:firstLine="359" w:firstLineChars="171"/>
        <w:rPr>
          <w:rFonts w:ascii="宋体" w:hAnsi="宋体"/>
          <w:color w:val="auto"/>
          <w:szCs w:val="21"/>
        </w:rPr>
      </w:pPr>
      <w:r>
        <w:rPr>
          <w:rFonts w:ascii="宋体" w:hAnsi="宋体"/>
          <w:color w:val="auto"/>
          <w:szCs w:val="21"/>
        </w:rPr>
        <w:t xml:space="preserve">27.3 发包人供应的材料设备，承包人派人参加清点后由承包人妥善保管，发包人支付相应保管费用。因承包人原因发生丢失损坏，由承包人负责赔偿。 </w:t>
      </w:r>
    </w:p>
    <w:p>
      <w:pPr>
        <w:spacing w:line="440" w:lineRule="exact"/>
        <w:ind w:firstLine="359" w:firstLineChars="171"/>
        <w:rPr>
          <w:rFonts w:ascii="宋体" w:hAnsi="宋体"/>
          <w:color w:val="auto"/>
          <w:szCs w:val="21"/>
        </w:rPr>
      </w:pPr>
      <w:r>
        <w:rPr>
          <w:rFonts w:hint="eastAsia" w:ascii="宋体" w:hAnsi="宋体"/>
          <w:color w:val="auto"/>
          <w:szCs w:val="21"/>
        </w:rPr>
        <w:t>发包人未通知承包人清点，承包人不负责材料设备的保管，丢失损坏由发包人负责。</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27.4发包人供应的材料设备与一览表不符时，发包人承担有关责任。发包人应承担责任的具体内容，双方根据下列情况在专用条款内约定。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(1) 材料设备单价与一览表不符，由发包人承担所有价差； </w:t>
      </w:r>
    </w:p>
    <w:p>
      <w:pPr>
        <w:spacing w:line="440" w:lineRule="exact"/>
        <w:ind w:firstLine="359" w:firstLineChars="171"/>
        <w:rPr>
          <w:rFonts w:ascii="宋体" w:hAnsi="宋体"/>
          <w:color w:val="auto"/>
          <w:szCs w:val="21"/>
        </w:rPr>
      </w:pPr>
      <w:r>
        <w:rPr>
          <w:rFonts w:ascii="宋体" w:hAnsi="宋体"/>
          <w:color w:val="auto"/>
          <w:szCs w:val="21"/>
        </w:rPr>
        <w:t xml:space="preserve">(2) 材料设备的品种、规格、型号、质量等级与一览表不符，承包人可拒绝接收保管，由发包人运出施工场地并重新采购； </w:t>
      </w:r>
    </w:p>
    <w:p>
      <w:pPr>
        <w:spacing w:line="440" w:lineRule="exact"/>
        <w:ind w:firstLine="359" w:firstLineChars="171"/>
        <w:rPr>
          <w:rFonts w:ascii="宋体" w:hAnsi="宋体"/>
          <w:color w:val="auto"/>
          <w:szCs w:val="21"/>
        </w:rPr>
      </w:pPr>
      <w:r>
        <w:rPr>
          <w:rFonts w:ascii="宋体" w:hAnsi="宋体"/>
          <w:color w:val="auto"/>
          <w:szCs w:val="21"/>
        </w:rPr>
        <w:t xml:space="preserve">(3) 发包人供应的材料规格、型号与一览表不符，经发包人同意，承包人可代为调剂串换，由发包人承担相应费用； </w:t>
      </w:r>
    </w:p>
    <w:p>
      <w:pPr>
        <w:spacing w:line="440" w:lineRule="exact"/>
        <w:ind w:firstLine="359" w:firstLineChars="171"/>
        <w:rPr>
          <w:rFonts w:ascii="宋体" w:hAnsi="宋体"/>
          <w:color w:val="auto"/>
          <w:szCs w:val="21"/>
        </w:rPr>
      </w:pPr>
      <w:r>
        <w:rPr>
          <w:rFonts w:ascii="宋体" w:hAnsi="宋体"/>
          <w:color w:val="auto"/>
          <w:szCs w:val="21"/>
        </w:rPr>
        <w:t xml:space="preserve">(4) 到货地点与一览表不符，由发包人负责运至一览表指定地点： </w:t>
      </w:r>
    </w:p>
    <w:p>
      <w:pPr>
        <w:spacing w:line="440" w:lineRule="exact"/>
        <w:ind w:firstLine="359" w:firstLineChars="171"/>
        <w:rPr>
          <w:rFonts w:ascii="宋体" w:hAnsi="宋体"/>
          <w:color w:val="auto"/>
          <w:szCs w:val="21"/>
        </w:rPr>
      </w:pPr>
      <w:r>
        <w:rPr>
          <w:rFonts w:ascii="宋体" w:hAnsi="宋体"/>
          <w:color w:val="auto"/>
          <w:szCs w:val="21"/>
        </w:rPr>
        <w:t xml:space="preserve">(5) 供应数量少于一览表约定的数量时，由发包人补齐，多于一览表约定数量时，发包人负责将多出部分运出施工场地； </w:t>
      </w:r>
    </w:p>
    <w:p>
      <w:pPr>
        <w:spacing w:line="440" w:lineRule="exact"/>
        <w:ind w:firstLine="359" w:firstLineChars="171"/>
        <w:rPr>
          <w:rFonts w:ascii="宋体" w:hAnsi="宋体"/>
          <w:color w:val="auto"/>
          <w:szCs w:val="21"/>
        </w:rPr>
      </w:pPr>
      <w:r>
        <w:rPr>
          <w:rFonts w:ascii="宋体" w:hAnsi="宋体"/>
          <w:color w:val="auto"/>
          <w:szCs w:val="21"/>
        </w:rPr>
        <w:t xml:space="preserve">(6) 到货时间早于一览表约定时间，由发包人承担因此发生的保管费用；到货时间迟于一览表约定的供应时间，发包人赔偿由此造成的承包人损失，造成工期延误的，相应顺延工期。 </w:t>
      </w:r>
    </w:p>
    <w:p>
      <w:pPr>
        <w:spacing w:line="440" w:lineRule="exact"/>
        <w:ind w:firstLine="359" w:firstLineChars="171"/>
        <w:rPr>
          <w:rFonts w:ascii="宋体" w:hAnsi="宋体"/>
          <w:color w:val="auto"/>
          <w:szCs w:val="21"/>
        </w:rPr>
      </w:pPr>
      <w:r>
        <w:rPr>
          <w:rFonts w:ascii="宋体" w:hAnsi="宋体"/>
          <w:color w:val="auto"/>
          <w:szCs w:val="21"/>
        </w:rPr>
        <w:t xml:space="preserve">27.5发包人供应的材料设备使用前，由承包人负责检验或试验，不合格的不得使用，检验或试验费用由发包人承担。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27.6发包人供应材料设备的结算方法，双方在专用条款内约定。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28、承包人采购材料设备 </w:t>
      </w:r>
    </w:p>
    <w:p>
      <w:pPr>
        <w:spacing w:line="440" w:lineRule="exact"/>
        <w:ind w:firstLine="359" w:firstLineChars="171"/>
        <w:rPr>
          <w:rFonts w:ascii="宋体" w:hAnsi="宋体"/>
          <w:color w:val="auto"/>
          <w:szCs w:val="21"/>
        </w:rPr>
      </w:pPr>
      <w:r>
        <w:rPr>
          <w:rFonts w:ascii="宋体" w:hAnsi="宋体"/>
          <w:color w:val="auto"/>
          <w:szCs w:val="21"/>
        </w:rPr>
        <w:t xml:space="preserve">28.1 </w:t>
      </w:r>
      <w:r>
        <w:rPr>
          <w:rFonts w:hint="eastAsia" w:ascii="宋体" w:hAnsi="宋体"/>
          <w:color w:val="auto"/>
          <w:szCs w:val="21"/>
        </w:rPr>
        <w:t>承包人负责采购材料设备的，应按照专用条款约定及设计和有关标准要求采购，并提供产品合格证明，对材料设备质量负责。承包人在材料设备到货前</w:t>
      </w:r>
      <w:r>
        <w:rPr>
          <w:rFonts w:ascii="宋体" w:hAnsi="宋体"/>
          <w:color w:val="auto"/>
          <w:szCs w:val="21"/>
        </w:rPr>
        <w:t>24小时通知工程师清点。</w:t>
      </w:r>
    </w:p>
    <w:p>
      <w:pPr>
        <w:spacing w:line="440" w:lineRule="exact"/>
        <w:ind w:firstLine="359" w:firstLineChars="171"/>
        <w:rPr>
          <w:rFonts w:ascii="宋体" w:hAnsi="宋体"/>
          <w:color w:val="auto"/>
          <w:szCs w:val="21"/>
        </w:rPr>
      </w:pPr>
      <w:r>
        <w:rPr>
          <w:rFonts w:ascii="宋体" w:hAnsi="宋体"/>
          <w:color w:val="auto"/>
          <w:szCs w:val="21"/>
        </w:rPr>
        <w:t>28.2</w:t>
      </w:r>
      <w:r>
        <w:rPr>
          <w:rFonts w:ascii="宋体" w:hAnsi="宋体"/>
          <w:color w:val="auto"/>
          <w:spacing w:val="8"/>
          <w:szCs w:val="21"/>
        </w:rPr>
        <w:t xml:space="preserve"> 承包人采购的材料设备与设计或标准要求不符时，承包人应按工程师要</w:t>
      </w:r>
      <w:r>
        <w:rPr>
          <w:rFonts w:hint="eastAsia" w:ascii="宋体" w:hAnsi="宋体"/>
          <w:color w:val="auto"/>
          <w:szCs w:val="21"/>
        </w:rPr>
        <w:t>求的时间运出施工场地，重新采购符合要求的产品，承担由此发生的费用，由此延误的工期不予顺延。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28.3 承包人采购的材料设备在使用前，承包人应按工程师的要求进行检验或试验，不合格的不得使用，检验或试验费用由承包人承担。 </w:t>
      </w:r>
    </w:p>
    <w:p>
      <w:pPr>
        <w:spacing w:line="440" w:lineRule="exact"/>
        <w:ind w:firstLine="359" w:firstLineChars="171"/>
        <w:rPr>
          <w:rFonts w:ascii="宋体" w:hAnsi="宋体"/>
          <w:color w:val="auto"/>
          <w:szCs w:val="21"/>
        </w:rPr>
      </w:pPr>
      <w:r>
        <w:rPr>
          <w:rFonts w:ascii="宋体" w:hAnsi="宋体"/>
          <w:color w:val="auto"/>
          <w:szCs w:val="21"/>
        </w:rPr>
        <w:t xml:space="preserve">28.4 工程师发现承包人采购并使用不符合设计或标准要求的材料设备时，应要求由承包人负责修复、拆除或重新采购，并承担发生的费用，由此延误的工期不予顺延。 </w:t>
      </w:r>
    </w:p>
    <w:p>
      <w:pPr>
        <w:spacing w:line="440" w:lineRule="exact"/>
        <w:ind w:firstLine="359" w:firstLineChars="171"/>
        <w:rPr>
          <w:rFonts w:ascii="宋体" w:hAnsi="宋体"/>
          <w:color w:val="auto"/>
          <w:szCs w:val="21"/>
        </w:rPr>
      </w:pPr>
      <w:r>
        <w:rPr>
          <w:rFonts w:ascii="宋体" w:hAnsi="宋体"/>
          <w:color w:val="auto"/>
          <w:szCs w:val="21"/>
        </w:rPr>
        <w:t xml:space="preserve">28.5 承包人需要使用代用材料时，应经工程师认可后才能使用，由此增减的合同价款双方以书面形式议定。 </w:t>
      </w:r>
    </w:p>
    <w:p>
      <w:pPr>
        <w:spacing w:line="440" w:lineRule="exact"/>
        <w:ind w:firstLine="359" w:firstLineChars="171"/>
        <w:rPr>
          <w:rFonts w:ascii="宋体" w:hAnsi="宋体"/>
          <w:color w:val="auto"/>
          <w:szCs w:val="21"/>
        </w:rPr>
      </w:pPr>
      <w:r>
        <w:rPr>
          <w:rFonts w:ascii="宋体" w:hAnsi="宋体"/>
          <w:color w:val="auto"/>
          <w:szCs w:val="21"/>
        </w:rPr>
        <w:t xml:space="preserve">28.6 由承包人采购的材料设备，发包人不得指定生产厂或供应商。 </w:t>
      </w:r>
    </w:p>
    <w:p>
      <w:pPr>
        <w:spacing w:line="440" w:lineRule="exact"/>
        <w:ind w:firstLine="359" w:firstLineChars="171"/>
        <w:rPr>
          <w:rFonts w:ascii="宋体" w:hAnsi="宋体"/>
          <w:color w:val="auto"/>
          <w:szCs w:val="21"/>
        </w:rPr>
      </w:pPr>
      <w:r>
        <w:rPr>
          <w:rFonts w:hint="eastAsia" w:ascii="宋体" w:hAnsi="宋体"/>
          <w:color w:val="auto"/>
          <w:szCs w:val="21"/>
        </w:rPr>
        <w:t>八、工程变更</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29、工程设计变更 </w:t>
      </w:r>
    </w:p>
    <w:p>
      <w:pPr>
        <w:spacing w:line="440" w:lineRule="exact"/>
        <w:ind w:firstLine="359" w:firstLineChars="171"/>
        <w:rPr>
          <w:rFonts w:ascii="宋体" w:hAnsi="宋体"/>
          <w:color w:val="auto"/>
          <w:szCs w:val="21"/>
        </w:rPr>
      </w:pPr>
      <w:r>
        <w:rPr>
          <w:rFonts w:ascii="宋体" w:hAnsi="宋体"/>
          <w:color w:val="auto"/>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spacing w:line="440" w:lineRule="exact"/>
        <w:ind w:firstLine="359" w:firstLineChars="171"/>
        <w:rPr>
          <w:rFonts w:ascii="宋体" w:hAnsi="宋体"/>
          <w:color w:val="auto"/>
          <w:szCs w:val="21"/>
        </w:rPr>
      </w:pPr>
      <w:r>
        <w:rPr>
          <w:rFonts w:ascii="宋体" w:hAnsi="宋体"/>
          <w:color w:val="auto"/>
          <w:szCs w:val="21"/>
        </w:rPr>
        <w:t xml:space="preserve">(1) 更改工程有关部分的标高、基线、位置和尺寸； </w:t>
      </w:r>
    </w:p>
    <w:p>
      <w:pPr>
        <w:spacing w:line="440" w:lineRule="exact"/>
        <w:ind w:firstLine="359" w:firstLineChars="171"/>
        <w:rPr>
          <w:rFonts w:ascii="宋体" w:hAnsi="宋体"/>
          <w:color w:val="auto"/>
          <w:szCs w:val="21"/>
        </w:rPr>
      </w:pPr>
      <w:r>
        <w:rPr>
          <w:rFonts w:ascii="宋体" w:hAnsi="宋体"/>
          <w:color w:val="auto"/>
          <w:szCs w:val="21"/>
        </w:rPr>
        <w:t xml:space="preserve">(2) 增减合同中约定的工程量； </w:t>
      </w:r>
    </w:p>
    <w:p>
      <w:pPr>
        <w:spacing w:line="440" w:lineRule="exact"/>
        <w:ind w:firstLine="359" w:firstLineChars="171"/>
        <w:rPr>
          <w:rFonts w:ascii="宋体" w:hAnsi="宋体"/>
          <w:color w:val="auto"/>
          <w:szCs w:val="21"/>
        </w:rPr>
      </w:pPr>
      <w:r>
        <w:rPr>
          <w:rFonts w:ascii="宋体" w:hAnsi="宋体"/>
          <w:color w:val="auto"/>
          <w:szCs w:val="21"/>
        </w:rPr>
        <w:t xml:space="preserve">(3) 改变有关工程的施工时间和顺序； </w:t>
      </w:r>
    </w:p>
    <w:p>
      <w:pPr>
        <w:spacing w:line="440" w:lineRule="exact"/>
        <w:ind w:firstLine="359" w:firstLineChars="171"/>
        <w:rPr>
          <w:rFonts w:ascii="宋体" w:hAnsi="宋体"/>
          <w:color w:val="auto"/>
          <w:szCs w:val="21"/>
        </w:rPr>
      </w:pPr>
      <w:r>
        <w:rPr>
          <w:rFonts w:ascii="宋体" w:hAnsi="宋体"/>
          <w:color w:val="auto"/>
          <w:szCs w:val="21"/>
        </w:rPr>
        <w:t xml:space="preserve">(4) 其他有关工程变更需要的附加工作。 </w:t>
      </w:r>
    </w:p>
    <w:p>
      <w:pPr>
        <w:spacing w:line="440" w:lineRule="exact"/>
        <w:ind w:firstLine="359" w:firstLineChars="171"/>
        <w:rPr>
          <w:rFonts w:ascii="宋体" w:hAnsi="宋体"/>
          <w:color w:val="auto"/>
          <w:szCs w:val="21"/>
        </w:rPr>
      </w:pPr>
      <w:r>
        <w:rPr>
          <w:rFonts w:hint="eastAsia" w:ascii="宋体" w:hAnsi="宋体"/>
          <w:color w:val="auto"/>
          <w:szCs w:val="21"/>
        </w:rPr>
        <w:t>因变更导致合同价款的增减及造成的承包人损失，由发包人承担，延误的工期相应顺延。</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29.2施工中承包人不得对原工程设计进行变更。因承包人擅自变更设计发生的费用和由此导致发包人的直接损失，由承包人承担，延误的工期不予顺延。</w:t>
      </w:r>
    </w:p>
    <w:p>
      <w:pPr>
        <w:spacing w:line="440" w:lineRule="exact"/>
        <w:ind w:firstLine="359" w:firstLineChars="171"/>
        <w:rPr>
          <w:rFonts w:ascii="宋体" w:hAnsi="宋体"/>
          <w:color w:val="auto"/>
          <w:szCs w:val="21"/>
        </w:rPr>
      </w:pPr>
      <w:r>
        <w:rPr>
          <w:rFonts w:ascii="宋体" w:hAnsi="宋体"/>
          <w:color w:val="auto"/>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spacing w:line="440" w:lineRule="exact"/>
        <w:ind w:firstLine="359" w:firstLineChars="171"/>
        <w:rPr>
          <w:rFonts w:ascii="宋体" w:hAnsi="宋体"/>
          <w:color w:val="auto"/>
          <w:szCs w:val="21"/>
        </w:rPr>
      </w:pPr>
      <w:r>
        <w:rPr>
          <w:rFonts w:hint="eastAsia" w:ascii="宋体" w:hAnsi="宋体"/>
          <w:color w:val="auto"/>
          <w:szCs w:val="21"/>
        </w:rPr>
        <w:t>工程师同意采用承包人合理化建议，所发生的费用和获得的收益，发包人承包人另行约定分担或分享。</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30、其他变更 </w:t>
      </w:r>
    </w:p>
    <w:p>
      <w:pPr>
        <w:spacing w:line="440" w:lineRule="exact"/>
        <w:ind w:firstLine="359" w:firstLineChars="171"/>
        <w:rPr>
          <w:rFonts w:ascii="宋体" w:hAnsi="宋体"/>
          <w:color w:val="auto"/>
          <w:szCs w:val="21"/>
        </w:rPr>
      </w:pPr>
      <w:r>
        <w:rPr>
          <w:rFonts w:hint="eastAsia" w:ascii="宋体" w:hAnsi="宋体"/>
          <w:color w:val="auto"/>
          <w:szCs w:val="21"/>
        </w:rPr>
        <w:t>合同履行中发包人要求变更工程质量标准及发生其他实质性变更，由双方协商解决。</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31、确定变更价款 </w:t>
      </w:r>
    </w:p>
    <w:p>
      <w:pPr>
        <w:spacing w:line="440" w:lineRule="exact"/>
        <w:ind w:firstLine="359" w:firstLineChars="171"/>
        <w:rPr>
          <w:rFonts w:ascii="宋体" w:hAnsi="宋体"/>
          <w:color w:val="auto"/>
          <w:szCs w:val="21"/>
        </w:rPr>
      </w:pPr>
      <w:r>
        <w:rPr>
          <w:rFonts w:ascii="宋体" w:hAnsi="宋体"/>
          <w:color w:val="auto"/>
          <w:szCs w:val="21"/>
        </w:rPr>
        <w:t xml:space="preserve">31.1承包人在工程变更确定后14天内，提出变更工程价款的报告，经工程师确认后调整合同价款。变更合同价款按下列方法进行： </w:t>
      </w:r>
    </w:p>
    <w:p>
      <w:pPr>
        <w:spacing w:line="440" w:lineRule="exact"/>
        <w:ind w:firstLine="359" w:firstLineChars="171"/>
        <w:rPr>
          <w:rFonts w:ascii="宋体" w:hAnsi="宋体"/>
          <w:color w:val="auto"/>
          <w:szCs w:val="21"/>
        </w:rPr>
      </w:pPr>
      <w:r>
        <w:rPr>
          <w:rFonts w:ascii="宋体" w:hAnsi="宋体"/>
          <w:color w:val="auto"/>
          <w:szCs w:val="21"/>
        </w:rPr>
        <w:t xml:space="preserve">(1) 合同中已有适用于变更工程的价格，按合同已有的价格变更合同价款； </w:t>
      </w:r>
    </w:p>
    <w:p>
      <w:pPr>
        <w:spacing w:line="440" w:lineRule="exact"/>
        <w:ind w:firstLine="359" w:firstLineChars="171"/>
        <w:rPr>
          <w:rFonts w:ascii="宋体" w:hAnsi="宋体"/>
          <w:color w:val="auto"/>
          <w:szCs w:val="21"/>
        </w:rPr>
      </w:pPr>
      <w:r>
        <w:rPr>
          <w:rFonts w:ascii="宋体" w:hAnsi="宋体"/>
          <w:color w:val="auto"/>
          <w:szCs w:val="21"/>
        </w:rPr>
        <w:t xml:space="preserve">(2) 合同中只有类似于变更工程的价格，可以参照类似价格变更合同价款； </w:t>
      </w:r>
    </w:p>
    <w:p>
      <w:pPr>
        <w:spacing w:line="440" w:lineRule="exact"/>
        <w:ind w:firstLine="359" w:firstLineChars="171"/>
        <w:rPr>
          <w:rFonts w:ascii="宋体" w:hAnsi="宋体"/>
          <w:color w:val="auto"/>
          <w:szCs w:val="21"/>
        </w:rPr>
      </w:pPr>
      <w:r>
        <w:rPr>
          <w:rFonts w:ascii="宋体" w:hAnsi="宋体"/>
          <w:color w:val="auto"/>
          <w:szCs w:val="21"/>
        </w:rPr>
        <w:t xml:space="preserve">(3) 合同中没有适用或类似于变更工程的价格，由承包人提出适当的变更价格，经工程师确认后执行。 </w:t>
      </w:r>
    </w:p>
    <w:p>
      <w:pPr>
        <w:spacing w:line="440" w:lineRule="exact"/>
        <w:ind w:firstLine="359" w:firstLineChars="171"/>
        <w:rPr>
          <w:rFonts w:ascii="宋体" w:hAnsi="宋体"/>
          <w:color w:val="auto"/>
          <w:szCs w:val="21"/>
        </w:rPr>
      </w:pPr>
      <w:r>
        <w:rPr>
          <w:rFonts w:ascii="宋体" w:hAnsi="宋体"/>
          <w:color w:val="auto"/>
          <w:szCs w:val="21"/>
        </w:rPr>
        <w:t xml:space="preserve">31.2承包人在双方确定变更后14天内不向工程师提出变更工程价款报告时，视为该项变更不涉及合同价款的变更。 </w:t>
      </w:r>
    </w:p>
    <w:p>
      <w:pPr>
        <w:spacing w:line="440" w:lineRule="exact"/>
        <w:ind w:firstLine="359" w:firstLineChars="171"/>
        <w:rPr>
          <w:rFonts w:ascii="宋体" w:hAnsi="宋体"/>
          <w:color w:val="auto"/>
          <w:szCs w:val="21"/>
        </w:rPr>
      </w:pPr>
      <w:r>
        <w:rPr>
          <w:rFonts w:ascii="宋体" w:hAnsi="宋体"/>
          <w:color w:val="auto"/>
          <w:szCs w:val="21"/>
        </w:rPr>
        <w:t xml:space="preserve">31.3工程师应在收到变更工程价款报告之日起14天内予以确认，工程师无正当理由不确认时，自变更工程价款报告送达之日起14天后视为变更工程价款报告已被确认。 </w:t>
      </w:r>
    </w:p>
    <w:p>
      <w:pPr>
        <w:spacing w:line="440" w:lineRule="exact"/>
        <w:ind w:firstLine="359" w:firstLineChars="171"/>
        <w:rPr>
          <w:rFonts w:ascii="宋体" w:hAnsi="宋体"/>
          <w:color w:val="auto"/>
          <w:szCs w:val="21"/>
        </w:rPr>
      </w:pPr>
      <w:r>
        <w:rPr>
          <w:rFonts w:ascii="宋体" w:hAnsi="宋体"/>
          <w:color w:val="auto"/>
          <w:szCs w:val="21"/>
        </w:rPr>
        <w:t xml:space="preserve">31.4工程师不同意承包人提出的变更价款，按本通用条款第37条关于争议的约定处理。 </w:t>
      </w:r>
    </w:p>
    <w:p>
      <w:pPr>
        <w:spacing w:line="440" w:lineRule="exact"/>
        <w:ind w:firstLine="359" w:firstLineChars="171"/>
        <w:rPr>
          <w:rFonts w:ascii="宋体" w:hAnsi="宋体"/>
          <w:color w:val="auto"/>
          <w:szCs w:val="21"/>
        </w:rPr>
      </w:pPr>
      <w:r>
        <w:rPr>
          <w:rFonts w:ascii="宋体" w:hAnsi="宋体"/>
          <w:color w:val="auto"/>
          <w:szCs w:val="21"/>
        </w:rPr>
        <w:t>31.5工程师确认增加的工程变更价款作为追加合同价款，与工程款同期支付。</w:t>
      </w:r>
    </w:p>
    <w:p>
      <w:pPr>
        <w:spacing w:line="440" w:lineRule="exact"/>
        <w:ind w:firstLine="359" w:firstLineChars="171"/>
        <w:rPr>
          <w:rFonts w:ascii="宋体" w:hAnsi="宋体"/>
          <w:color w:val="auto"/>
          <w:szCs w:val="21"/>
        </w:rPr>
      </w:pPr>
      <w:r>
        <w:rPr>
          <w:rFonts w:ascii="宋体" w:hAnsi="宋体"/>
          <w:color w:val="auto"/>
          <w:szCs w:val="21"/>
        </w:rPr>
        <w:t xml:space="preserve">31.6因承包人自身原因导致的工程变更，承包人无权要求追加合同价款。 </w:t>
      </w:r>
    </w:p>
    <w:p>
      <w:pPr>
        <w:spacing w:line="440" w:lineRule="exact"/>
        <w:ind w:firstLine="359" w:firstLineChars="171"/>
        <w:rPr>
          <w:rFonts w:ascii="宋体" w:hAnsi="宋体"/>
          <w:color w:val="auto"/>
          <w:szCs w:val="21"/>
        </w:rPr>
      </w:pPr>
      <w:r>
        <w:rPr>
          <w:rFonts w:hint="eastAsia" w:ascii="宋体" w:hAnsi="宋体"/>
          <w:color w:val="auto"/>
          <w:szCs w:val="21"/>
        </w:rPr>
        <w:t>九、竣工验收与结算</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32、竣工验收 </w:t>
      </w:r>
    </w:p>
    <w:p>
      <w:pPr>
        <w:spacing w:line="440" w:lineRule="exact"/>
        <w:ind w:firstLine="359" w:firstLineChars="171"/>
        <w:rPr>
          <w:rFonts w:ascii="宋体" w:hAnsi="宋体"/>
          <w:color w:val="auto"/>
          <w:szCs w:val="21"/>
        </w:rPr>
      </w:pPr>
      <w:r>
        <w:rPr>
          <w:rFonts w:ascii="宋体" w:hAnsi="宋体"/>
          <w:color w:val="auto"/>
          <w:szCs w:val="21"/>
        </w:rPr>
        <w:t xml:space="preserve">32.1 </w:t>
      </w:r>
      <w:r>
        <w:rPr>
          <w:rFonts w:hint="eastAsia" w:ascii="宋体" w:hAnsi="宋体"/>
          <w:color w:val="auto"/>
          <w:szCs w:val="21"/>
        </w:rPr>
        <w:t>工程具备竣工验收条件，承包人按国家工程竣工验收有关规定，向发包人提供完整竣工资料及竣工验收报告。双方约定由承包人提供竣工图的，应当在专用条款内约定提供的日期和份数。</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32.2 </w:t>
      </w:r>
      <w:r>
        <w:rPr>
          <w:rFonts w:hint="eastAsia" w:ascii="宋体" w:hAnsi="宋体"/>
          <w:color w:val="auto"/>
          <w:szCs w:val="21"/>
        </w:rPr>
        <w:t>发包人收到竣工验收报告后</w:t>
      </w:r>
      <w:r>
        <w:rPr>
          <w:rFonts w:ascii="宋体" w:hAnsi="宋体"/>
          <w:color w:val="auto"/>
          <w:szCs w:val="21"/>
        </w:rPr>
        <w:t>28天内组织有关单位验收，并在验收后14天内给予认可或提出修改意见。承包人按要求修改，并承担由自身原因造成修改的费用。</w:t>
      </w:r>
    </w:p>
    <w:p>
      <w:pPr>
        <w:spacing w:line="440" w:lineRule="exact"/>
        <w:ind w:firstLine="359" w:firstLineChars="171"/>
        <w:rPr>
          <w:rFonts w:ascii="宋体" w:hAnsi="宋体"/>
          <w:color w:val="auto"/>
          <w:szCs w:val="21"/>
        </w:rPr>
      </w:pPr>
      <w:r>
        <w:rPr>
          <w:rFonts w:ascii="宋体" w:hAnsi="宋体"/>
          <w:color w:val="auto"/>
          <w:szCs w:val="21"/>
        </w:rPr>
        <w:t xml:space="preserve">32.3 发包人收到承包人送交的竣工验收报告后28天内不组织验收，或验收后14天内不提出修改意见，视为竣工验收报告已被认可。 </w:t>
      </w:r>
    </w:p>
    <w:p>
      <w:pPr>
        <w:spacing w:line="440" w:lineRule="exact"/>
        <w:ind w:firstLine="359" w:firstLineChars="171"/>
        <w:rPr>
          <w:rFonts w:ascii="宋体" w:hAnsi="宋体"/>
          <w:color w:val="auto"/>
          <w:szCs w:val="21"/>
        </w:rPr>
      </w:pPr>
      <w:r>
        <w:rPr>
          <w:rFonts w:ascii="宋体" w:hAnsi="宋体"/>
          <w:color w:val="auto"/>
          <w:szCs w:val="21"/>
        </w:rPr>
        <w:t xml:space="preserve">32.4 工程竣工验收通过，承包人送交竣工验收报告的日期为实际竣工日期。工程按发包人要求修改后通过竣工验收的，实际竣工日期为承包人修改后提请发包人验收的日期。 </w:t>
      </w:r>
    </w:p>
    <w:p>
      <w:pPr>
        <w:spacing w:line="440" w:lineRule="exact"/>
        <w:ind w:firstLine="359" w:firstLineChars="171"/>
        <w:rPr>
          <w:rFonts w:ascii="宋体" w:hAnsi="宋体"/>
          <w:color w:val="auto"/>
          <w:szCs w:val="21"/>
        </w:rPr>
      </w:pPr>
      <w:r>
        <w:rPr>
          <w:rFonts w:ascii="宋体" w:hAnsi="宋体"/>
          <w:color w:val="auto"/>
          <w:szCs w:val="21"/>
        </w:rPr>
        <w:t xml:space="preserve">32.5 发包人收到承包人竣工验收报告后28天内不组织验收，从第29天起承担工程保管及一切意外责任。 </w:t>
      </w:r>
    </w:p>
    <w:p>
      <w:pPr>
        <w:spacing w:line="440" w:lineRule="exact"/>
        <w:ind w:firstLine="359" w:firstLineChars="171"/>
        <w:rPr>
          <w:rFonts w:ascii="宋体" w:hAnsi="宋体"/>
          <w:color w:val="auto"/>
          <w:szCs w:val="21"/>
        </w:rPr>
      </w:pPr>
      <w:r>
        <w:rPr>
          <w:rFonts w:ascii="宋体" w:hAnsi="宋体"/>
          <w:color w:val="auto"/>
          <w:szCs w:val="21"/>
        </w:rPr>
        <w:t xml:space="preserve">32.6 中间交工工程的范围和竣工时间，双方在专用条款内约定，其验收程序按本通用条款32.1款至32.4款办理。 </w:t>
      </w:r>
    </w:p>
    <w:p>
      <w:pPr>
        <w:spacing w:line="440" w:lineRule="exact"/>
        <w:ind w:firstLine="359" w:firstLineChars="171"/>
        <w:rPr>
          <w:rFonts w:ascii="宋体" w:hAnsi="宋体"/>
          <w:color w:val="auto"/>
          <w:szCs w:val="21"/>
        </w:rPr>
      </w:pPr>
      <w:r>
        <w:rPr>
          <w:rFonts w:ascii="宋体" w:hAnsi="宋体"/>
          <w:color w:val="auto"/>
          <w:szCs w:val="21"/>
        </w:rPr>
        <w:t xml:space="preserve">32.7 因特殊原因，发包人要求部分单位工程或工程部位甩项竣工的，双方另行签订甩项竣工协议，明确双方责任和工程价款支付方法。 </w:t>
      </w:r>
    </w:p>
    <w:p>
      <w:pPr>
        <w:spacing w:line="440" w:lineRule="exact"/>
        <w:ind w:firstLine="359" w:firstLineChars="171"/>
        <w:rPr>
          <w:rFonts w:ascii="宋体" w:hAnsi="宋体"/>
          <w:color w:val="auto"/>
          <w:szCs w:val="21"/>
        </w:rPr>
      </w:pPr>
      <w:r>
        <w:rPr>
          <w:rFonts w:ascii="宋体" w:hAnsi="宋体"/>
          <w:color w:val="auto"/>
          <w:szCs w:val="21"/>
        </w:rPr>
        <w:t xml:space="preserve">32.8 工程未经竣工验收或竣工验收未通过的，发包人不得使用。发包人强行使用时，由此发生的质量问题及其他问题，由发包人承担责任。 </w:t>
      </w:r>
    </w:p>
    <w:p>
      <w:pPr>
        <w:spacing w:line="440" w:lineRule="exact"/>
        <w:ind w:firstLine="359" w:firstLineChars="171"/>
        <w:rPr>
          <w:rFonts w:ascii="宋体" w:hAnsi="宋体"/>
          <w:color w:val="auto"/>
          <w:szCs w:val="21"/>
        </w:rPr>
      </w:pPr>
      <w:r>
        <w:rPr>
          <w:rFonts w:ascii="宋体" w:hAnsi="宋体"/>
          <w:color w:val="auto"/>
          <w:szCs w:val="21"/>
        </w:rPr>
        <w:t xml:space="preserve">33、竣工结算 </w:t>
      </w:r>
    </w:p>
    <w:p>
      <w:pPr>
        <w:spacing w:line="440" w:lineRule="exact"/>
        <w:ind w:firstLine="359" w:firstLineChars="171"/>
        <w:rPr>
          <w:rFonts w:ascii="宋体" w:hAnsi="宋体"/>
          <w:color w:val="auto"/>
          <w:szCs w:val="21"/>
        </w:rPr>
      </w:pPr>
      <w:r>
        <w:rPr>
          <w:rFonts w:ascii="宋体" w:hAnsi="宋体"/>
          <w:color w:val="auto"/>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spacing w:line="440" w:lineRule="exact"/>
        <w:ind w:firstLine="359" w:firstLineChars="171"/>
        <w:rPr>
          <w:rFonts w:ascii="宋体" w:hAnsi="宋体"/>
          <w:color w:val="auto"/>
          <w:szCs w:val="21"/>
        </w:rPr>
      </w:pPr>
      <w:r>
        <w:rPr>
          <w:rFonts w:ascii="宋体" w:hAnsi="宋体"/>
          <w:color w:val="auto"/>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spacing w:line="440" w:lineRule="exact"/>
        <w:ind w:firstLine="359" w:firstLineChars="171"/>
        <w:rPr>
          <w:rFonts w:ascii="宋体" w:hAnsi="宋体"/>
          <w:color w:val="auto"/>
          <w:szCs w:val="21"/>
        </w:rPr>
      </w:pPr>
      <w:r>
        <w:rPr>
          <w:rFonts w:ascii="宋体" w:hAnsi="宋体"/>
          <w:color w:val="auto"/>
          <w:szCs w:val="21"/>
        </w:rPr>
        <w:t xml:space="preserve">33.3 </w:t>
      </w:r>
      <w:r>
        <w:rPr>
          <w:rFonts w:hint="eastAsia" w:ascii="宋体" w:hAnsi="宋体"/>
          <w:color w:val="auto"/>
          <w:szCs w:val="21"/>
        </w:rPr>
        <w:t>发包人收到竣工结算报告及结算资料后</w:t>
      </w:r>
      <w:r>
        <w:rPr>
          <w:rFonts w:ascii="宋体" w:hAnsi="宋体"/>
          <w:color w:val="auto"/>
          <w:szCs w:val="21"/>
        </w:rPr>
        <w:t>28天内无正当理由不支付工程竣工结算价款，从第29天起按承包人同期向银行贷款利率支付拖欠工程价款的利息，并承担违约责任。</w:t>
      </w:r>
    </w:p>
    <w:p>
      <w:pPr>
        <w:spacing w:line="440" w:lineRule="exact"/>
        <w:ind w:firstLine="359" w:firstLineChars="171"/>
        <w:rPr>
          <w:rFonts w:ascii="宋体" w:hAnsi="宋体"/>
          <w:color w:val="auto"/>
          <w:szCs w:val="21"/>
        </w:rPr>
      </w:pPr>
      <w:r>
        <w:rPr>
          <w:rFonts w:ascii="宋体" w:hAnsi="宋体"/>
          <w:color w:val="auto"/>
          <w:szCs w:val="21"/>
        </w:rPr>
        <w:t xml:space="preserve">33.4 </w:t>
      </w:r>
      <w:r>
        <w:rPr>
          <w:rFonts w:hint="eastAsia" w:ascii="宋体" w:hAnsi="宋体"/>
          <w:color w:val="auto"/>
          <w:szCs w:val="21"/>
        </w:rPr>
        <w:t>发包人收到竣工结算报告及结算资料后</w:t>
      </w:r>
      <w:r>
        <w:rPr>
          <w:rFonts w:ascii="宋体" w:hAnsi="宋体"/>
          <w:color w:val="auto"/>
          <w:szCs w:val="21"/>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spacing w:line="440" w:lineRule="exact"/>
        <w:ind w:firstLine="359" w:firstLineChars="171"/>
        <w:rPr>
          <w:rFonts w:ascii="宋体" w:hAnsi="宋体"/>
          <w:color w:val="auto"/>
          <w:szCs w:val="21"/>
        </w:rPr>
      </w:pPr>
      <w:r>
        <w:rPr>
          <w:rFonts w:ascii="宋体" w:hAnsi="宋体"/>
          <w:color w:val="auto"/>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spacing w:line="440" w:lineRule="exact"/>
        <w:ind w:firstLine="359" w:firstLineChars="171"/>
        <w:rPr>
          <w:rFonts w:ascii="宋体" w:hAnsi="宋体"/>
          <w:color w:val="auto"/>
          <w:szCs w:val="21"/>
        </w:rPr>
      </w:pPr>
      <w:r>
        <w:rPr>
          <w:rFonts w:ascii="宋体" w:hAnsi="宋体"/>
          <w:color w:val="auto"/>
          <w:szCs w:val="21"/>
        </w:rPr>
        <w:t xml:space="preserve">33.6 发包人承包人对工程竣工结算价款发生争议时，按本通用条款37条关于争议的约定处理。 </w:t>
      </w:r>
    </w:p>
    <w:p>
      <w:pPr>
        <w:spacing w:line="440" w:lineRule="exact"/>
        <w:ind w:firstLine="359" w:firstLineChars="171"/>
        <w:rPr>
          <w:rFonts w:ascii="宋体" w:hAnsi="宋体"/>
          <w:color w:val="auto"/>
          <w:szCs w:val="21"/>
        </w:rPr>
      </w:pPr>
      <w:r>
        <w:rPr>
          <w:rFonts w:ascii="宋体" w:hAnsi="宋体"/>
          <w:color w:val="auto"/>
          <w:szCs w:val="21"/>
        </w:rPr>
        <w:t xml:space="preserve">34、质量保修 </w:t>
      </w:r>
    </w:p>
    <w:p>
      <w:pPr>
        <w:spacing w:line="440" w:lineRule="exact"/>
        <w:ind w:firstLine="359" w:firstLineChars="171"/>
        <w:rPr>
          <w:rFonts w:ascii="宋体" w:hAnsi="宋体"/>
          <w:color w:val="auto"/>
          <w:szCs w:val="21"/>
        </w:rPr>
      </w:pPr>
      <w:r>
        <w:rPr>
          <w:rFonts w:ascii="宋体" w:hAnsi="宋体"/>
          <w:color w:val="auto"/>
          <w:szCs w:val="21"/>
        </w:rPr>
        <w:t xml:space="preserve">34.1 承包人应按法律、行政法规或国家关于工程质量保修的有关规定，对交付发包人使用的工程在质量保修期内承担质量保修责任。 </w:t>
      </w:r>
    </w:p>
    <w:p>
      <w:pPr>
        <w:spacing w:line="440" w:lineRule="exact"/>
        <w:ind w:firstLine="359" w:firstLineChars="171"/>
        <w:rPr>
          <w:rFonts w:ascii="宋体" w:hAnsi="宋体"/>
          <w:color w:val="auto"/>
          <w:szCs w:val="21"/>
        </w:rPr>
      </w:pPr>
      <w:r>
        <w:rPr>
          <w:rFonts w:ascii="宋体" w:hAnsi="宋体"/>
          <w:color w:val="auto"/>
          <w:szCs w:val="21"/>
        </w:rPr>
        <w:t xml:space="preserve">34.2 质量保修工作的实施。承包人应在工程竣工验收之前，与发包人签订质量保修书，作为本合同附件（附件3）。 </w:t>
      </w:r>
    </w:p>
    <w:p>
      <w:pPr>
        <w:spacing w:line="440" w:lineRule="exact"/>
        <w:ind w:firstLine="359" w:firstLineChars="171"/>
        <w:rPr>
          <w:rFonts w:ascii="宋体" w:hAnsi="宋体"/>
          <w:color w:val="auto"/>
          <w:szCs w:val="21"/>
        </w:rPr>
      </w:pPr>
      <w:r>
        <w:rPr>
          <w:rFonts w:ascii="宋体" w:hAnsi="宋体"/>
          <w:color w:val="auto"/>
          <w:szCs w:val="21"/>
        </w:rPr>
        <w:t xml:space="preserve">34.3 质量保修书的主要内容包括： </w:t>
      </w:r>
    </w:p>
    <w:p>
      <w:pPr>
        <w:spacing w:line="440" w:lineRule="exact"/>
        <w:ind w:firstLine="359" w:firstLineChars="171"/>
        <w:rPr>
          <w:rFonts w:ascii="宋体" w:hAnsi="宋体"/>
          <w:color w:val="auto"/>
          <w:szCs w:val="21"/>
        </w:rPr>
      </w:pPr>
      <w:r>
        <w:rPr>
          <w:rFonts w:ascii="宋体" w:hAnsi="宋体"/>
          <w:color w:val="auto"/>
          <w:szCs w:val="21"/>
        </w:rPr>
        <w:t xml:space="preserve">(1) 质量保修项目内容及范围； </w:t>
      </w:r>
    </w:p>
    <w:p>
      <w:pPr>
        <w:spacing w:line="440" w:lineRule="exact"/>
        <w:ind w:firstLine="359" w:firstLineChars="171"/>
        <w:rPr>
          <w:rFonts w:ascii="宋体" w:hAnsi="宋体"/>
          <w:color w:val="auto"/>
          <w:szCs w:val="21"/>
        </w:rPr>
      </w:pPr>
      <w:r>
        <w:rPr>
          <w:rFonts w:ascii="宋体" w:hAnsi="宋体"/>
          <w:color w:val="auto"/>
          <w:szCs w:val="21"/>
        </w:rPr>
        <w:t xml:space="preserve">(2) 质量保修期； </w:t>
      </w:r>
    </w:p>
    <w:p>
      <w:pPr>
        <w:spacing w:line="440" w:lineRule="exact"/>
        <w:ind w:firstLine="359" w:firstLineChars="171"/>
        <w:rPr>
          <w:rFonts w:ascii="宋体" w:hAnsi="宋体"/>
          <w:color w:val="auto"/>
          <w:szCs w:val="21"/>
        </w:rPr>
      </w:pPr>
      <w:r>
        <w:rPr>
          <w:rFonts w:ascii="宋体" w:hAnsi="宋体"/>
          <w:color w:val="auto"/>
          <w:szCs w:val="21"/>
        </w:rPr>
        <w:t xml:space="preserve">(3) 质量保修责任； </w:t>
      </w:r>
    </w:p>
    <w:p>
      <w:pPr>
        <w:spacing w:line="440" w:lineRule="exact"/>
        <w:ind w:firstLine="359" w:firstLineChars="171"/>
        <w:rPr>
          <w:rFonts w:ascii="宋体" w:hAnsi="宋体"/>
          <w:color w:val="auto"/>
          <w:szCs w:val="21"/>
        </w:rPr>
      </w:pPr>
      <w:r>
        <w:rPr>
          <w:rFonts w:ascii="宋体" w:hAnsi="宋体"/>
          <w:color w:val="auto"/>
          <w:szCs w:val="21"/>
        </w:rPr>
        <w:t xml:space="preserve">(4) 质量保修金的支付方法。 </w:t>
      </w:r>
    </w:p>
    <w:p>
      <w:pPr>
        <w:spacing w:line="440" w:lineRule="exact"/>
        <w:ind w:firstLine="359" w:firstLineChars="171"/>
        <w:rPr>
          <w:rFonts w:ascii="宋体" w:hAnsi="宋体"/>
          <w:color w:val="auto"/>
          <w:szCs w:val="21"/>
        </w:rPr>
      </w:pPr>
      <w:r>
        <w:rPr>
          <w:rFonts w:hint="eastAsia" w:ascii="宋体" w:hAnsi="宋体"/>
          <w:color w:val="auto"/>
          <w:szCs w:val="21"/>
        </w:rPr>
        <w:t>十、违约、索赔和争议</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35、违约 </w:t>
      </w:r>
    </w:p>
    <w:p>
      <w:pPr>
        <w:spacing w:line="440" w:lineRule="exact"/>
        <w:ind w:firstLine="359" w:firstLineChars="171"/>
        <w:rPr>
          <w:rFonts w:ascii="宋体" w:hAnsi="宋体"/>
          <w:color w:val="auto"/>
          <w:szCs w:val="21"/>
        </w:rPr>
      </w:pPr>
      <w:r>
        <w:rPr>
          <w:rFonts w:ascii="宋体" w:hAnsi="宋体"/>
          <w:color w:val="auto"/>
          <w:szCs w:val="21"/>
        </w:rPr>
        <w:t>35.1发包人违约。当发生下列情况时：</w:t>
      </w:r>
    </w:p>
    <w:p>
      <w:pPr>
        <w:spacing w:line="440" w:lineRule="exact"/>
        <w:ind w:firstLine="359" w:firstLineChars="171"/>
        <w:rPr>
          <w:rFonts w:ascii="宋体" w:hAnsi="宋体"/>
          <w:color w:val="auto"/>
          <w:szCs w:val="21"/>
        </w:rPr>
      </w:pPr>
      <w:r>
        <w:rPr>
          <w:rFonts w:ascii="宋体" w:hAnsi="宋体"/>
          <w:color w:val="auto"/>
          <w:szCs w:val="21"/>
        </w:rPr>
        <w:t xml:space="preserve">(1) 本通用条款第24条提到的发包人不按时支付工程预付款； </w:t>
      </w:r>
    </w:p>
    <w:p>
      <w:pPr>
        <w:spacing w:line="440" w:lineRule="exact"/>
        <w:ind w:firstLine="359" w:firstLineChars="171"/>
        <w:rPr>
          <w:rFonts w:ascii="宋体" w:hAnsi="宋体"/>
          <w:color w:val="auto"/>
          <w:szCs w:val="21"/>
        </w:rPr>
      </w:pPr>
      <w:r>
        <w:rPr>
          <w:rFonts w:ascii="宋体" w:hAnsi="宋体"/>
          <w:color w:val="auto"/>
          <w:szCs w:val="21"/>
        </w:rPr>
        <w:t xml:space="preserve">(2) 本通用条款第26.4款提到的发包人不按合同约定支付工程款，导致施工无法进行； </w:t>
      </w:r>
    </w:p>
    <w:p>
      <w:pPr>
        <w:spacing w:line="440" w:lineRule="exact"/>
        <w:ind w:firstLine="359" w:firstLineChars="171"/>
        <w:rPr>
          <w:rFonts w:ascii="宋体" w:hAnsi="宋体"/>
          <w:color w:val="auto"/>
          <w:szCs w:val="21"/>
        </w:rPr>
      </w:pPr>
      <w:r>
        <w:rPr>
          <w:rFonts w:ascii="宋体" w:hAnsi="宋体"/>
          <w:color w:val="auto"/>
          <w:szCs w:val="21"/>
        </w:rPr>
        <w:t xml:space="preserve">(3) </w:t>
      </w:r>
      <w:r>
        <w:rPr>
          <w:rFonts w:hint="eastAsia" w:ascii="宋体" w:hAnsi="宋体"/>
          <w:color w:val="auto"/>
          <w:szCs w:val="21"/>
        </w:rPr>
        <w:t>本通用条款第</w:t>
      </w:r>
      <w:r>
        <w:rPr>
          <w:rFonts w:ascii="宋体" w:hAnsi="宋体"/>
          <w:color w:val="auto"/>
          <w:szCs w:val="21"/>
        </w:rPr>
        <w:t>33.3款提到的发包人无正当理由不支付工程竣工结算价款；</w:t>
      </w:r>
    </w:p>
    <w:p>
      <w:pPr>
        <w:spacing w:line="440" w:lineRule="exact"/>
        <w:ind w:firstLine="359" w:firstLineChars="171"/>
        <w:rPr>
          <w:rFonts w:ascii="宋体" w:hAnsi="宋体"/>
          <w:color w:val="auto"/>
          <w:szCs w:val="21"/>
        </w:rPr>
      </w:pPr>
      <w:r>
        <w:rPr>
          <w:rFonts w:ascii="宋体" w:hAnsi="宋体"/>
          <w:color w:val="auto"/>
          <w:szCs w:val="21"/>
        </w:rPr>
        <w:t xml:space="preserve">(4) 发包人不履行合同义务或不按合同约定履行义务的其他情况。 </w:t>
      </w:r>
    </w:p>
    <w:p>
      <w:pPr>
        <w:spacing w:line="440" w:lineRule="exact"/>
        <w:ind w:firstLine="359" w:firstLineChars="171"/>
        <w:rPr>
          <w:rFonts w:ascii="宋体" w:hAnsi="宋体"/>
          <w:color w:val="auto"/>
          <w:szCs w:val="21"/>
        </w:rPr>
      </w:pPr>
      <w:r>
        <w:rPr>
          <w:rFonts w:hint="eastAsia" w:ascii="宋体" w:hAnsi="宋体"/>
          <w:color w:val="auto"/>
          <w:szCs w:val="21"/>
        </w:rPr>
        <w:t>发包人承担违约责任，赔偿因其违约给承包人造成的经济损失，顺延延误的工期。双方在专用条款内约定发包人赔偿承包人损失的计算方法或者发包人应当支付违约金的数额或计算方法。</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35.2承包人违约。当发生下列情况时： </w:t>
      </w:r>
    </w:p>
    <w:p>
      <w:pPr>
        <w:spacing w:line="440" w:lineRule="exact"/>
        <w:ind w:firstLine="359" w:firstLineChars="171"/>
        <w:rPr>
          <w:rFonts w:ascii="宋体" w:hAnsi="宋体"/>
          <w:color w:val="auto"/>
          <w:szCs w:val="21"/>
        </w:rPr>
      </w:pPr>
      <w:r>
        <w:rPr>
          <w:rFonts w:ascii="宋体" w:hAnsi="宋体"/>
          <w:color w:val="auto"/>
          <w:szCs w:val="21"/>
        </w:rPr>
        <w:t xml:space="preserve">(1) 本通用条款第14.2款提到的因承包人原因不能按照协议书约定的竣工日期或工程师同意顺延的工期竣工； </w:t>
      </w:r>
    </w:p>
    <w:p>
      <w:pPr>
        <w:spacing w:line="440" w:lineRule="exact"/>
        <w:ind w:firstLine="359" w:firstLineChars="171"/>
        <w:rPr>
          <w:rFonts w:ascii="宋体" w:hAnsi="宋体"/>
          <w:color w:val="auto"/>
          <w:szCs w:val="21"/>
        </w:rPr>
      </w:pPr>
      <w:r>
        <w:rPr>
          <w:rFonts w:ascii="宋体" w:hAnsi="宋体"/>
          <w:color w:val="auto"/>
          <w:szCs w:val="21"/>
        </w:rPr>
        <w:t xml:space="preserve">(2) 本通用条款第15.1款提到的因承包人原因工程质量达不到协议书约定的质量标准； </w:t>
      </w:r>
    </w:p>
    <w:p>
      <w:pPr>
        <w:spacing w:line="440" w:lineRule="exact"/>
        <w:ind w:firstLine="359" w:firstLineChars="171"/>
        <w:rPr>
          <w:rFonts w:ascii="宋体" w:hAnsi="宋体"/>
          <w:color w:val="auto"/>
          <w:szCs w:val="21"/>
        </w:rPr>
      </w:pPr>
      <w:r>
        <w:rPr>
          <w:rFonts w:ascii="宋体" w:hAnsi="宋体"/>
          <w:color w:val="auto"/>
          <w:szCs w:val="21"/>
        </w:rPr>
        <w:t xml:space="preserve">(3) 承包人不履行合同义务或不按合同约定履行义务的其他情况。 </w:t>
      </w:r>
    </w:p>
    <w:p>
      <w:pPr>
        <w:spacing w:line="440" w:lineRule="exact"/>
        <w:ind w:firstLine="359" w:firstLineChars="171"/>
        <w:rPr>
          <w:rFonts w:ascii="宋体" w:hAnsi="宋体"/>
          <w:color w:val="auto"/>
          <w:szCs w:val="21"/>
        </w:rPr>
      </w:pPr>
      <w:r>
        <w:rPr>
          <w:rFonts w:hint="eastAsia" w:ascii="宋体" w:hAnsi="宋体"/>
          <w:color w:val="auto"/>
          <w:szCs w:val="21"/>
        </w:rPr>
        <w:t>承包人承担违约责任，赔偿因其违约给发包人造成的损失。双方在专用条款内约定承包人赔偿发包人损失的计算方法或者承包人应当支付违约金的数额或计算方法。</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35.3一方违约后，另一方要求违约方继续履行合同时，违约方承担上述违约责任后仍应继续履行合同。 </w:t>
      </w:r>
    </w:p>
    <w:p>
      <w:pPr>
        <w:spacing w:line="440" w:lineRule="exact"/>
        <w:ind w:firstLine="359" w:firstLineChars="171"/>
        <w:rPr>
          <w:rFonts w:ascii="宋体" w:hAnsi="宋体"/>
          <w:color w:val="auto"/>
          <w:szCs w:val="21"/>
        </w:rPr>
      </w:pPr>
      <w:r>
        <w:rPr>
          <w:rFonts w:ascii="宋体" w:hAnsi="宋体"/>
          <w:color w:val="auto"/>
          <w:szCs w:val="21"/>
        </w:rPr>
        <w:t xml:space="preserve">36、索赔 </w:t>
      </w:r>
    </w:p>
    <w:p>
      <w:pPr>
        <w:spacing w:line="440" w:lineRule="exact"/>
        <w:ind w:firstLine="359" w:firstLineChars="171"/>
        <w:rPr>
          <w:rFonts w:ascii="宋体" w:hAnsi="宋体"/>
          <w:color w:val="auto"/>
          <w:szCs w:val="21"/>
        </w:rPr>
      </w:pPr>
      <w:r>
        <w:rPr>
          <w:rFonts w:ascii="宋体" w:hAnsi="宋体"/>
          <w:color w:val="auto"/>
          <w:szCs w:val="21"/>
        </w:rPr>
        <w:t>36.1当</w:t>
      </w:r>
      <w:r>
        <w:rPr>
          <w:rFonts w:hint="eastAsia" w:ascii="宋体" w:hAnsi="宋体"/>
          <w:color w:val="auto"/>
          <w:szCs w:val="21"/>
        </w:rPr>
        <w:t>一方向另一方提出索赔时，要有正当索赔理由，且有索赔事件发生时的有效证据。</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spacing w:line="440" w:lineRule="exact"/>
        <w:ind w:firstLine="359" w:firstLineChars="171"/>
        <w:rPr>
          <w:rFonts w:ascii="宋体" w:hAnsi="宋体"/>
          <w:color w:val="auto"/>
          <w:szCs w:val="21"/>
        </w:rPr>
      </w:pPr>
      <w:r>
        <w:rPr>
          <w:rFonts w:ascii="宋体" w:hAnsi="宋体"/>
          <w:color w:val="auto"/>
          <w:szCs w:val="21"/>
        </w:rPr>
        <w:t xml:space="preserve">(1) 索赔事件发生后28天内，向工程师发出索赔意向通知； </w:t>
      </w:r>
    </w:p>
    <w:p>
      <w:pPr>
        <w:spacing w:line="440" w:lineRule="exact"/>
        <w:ind w:firstLine="359" w:firstLineChars="171"/>
        <w:rPr>
          <w:rFonts w:ascii="宋体" w:hAnsi="宋体"/>
          <w:color w:val="auto"/>
          <w:szCs w:val="21"/>
        </w:rPr>
      </w:pPr>
      <w:r>
        <w:rPr>
          <w:rFonts w:ascii="宋体" w:hAnsi="宋体"/>
          <w:color w:val="auto"/>
          <w:szCs w:val="21"/>
        </w:rPr>
        <w:t xml:space="preserve">(2) 发出索赔意向通知后28天内，向工程师提出延长工期和（或）补偿经济损失的索赔报告及有关资料； </w:t>
      </w:r>
    </w:p>
    <w:p>
      <w:pPr>
        <w:spacing w:line="440" w:lineRule="exact"/>
        <w:ind w:firstLine="359" w:firstLineChars="171"/>
        <w:rPr>
          <w:rFonts w:ascii="宋体" w:hAnsi="宋体"/>
          <w:color w:val="auto"/>
          <w:szCs w:val="21"/>
        </w:rPr>
      </w:pPr>
      <w:r>
        <w:rPr>
          <w:rFonts w:ascii="宋体" w:hAnsi="宋体"/>
          <w:color w:val="auto"/>
          <w:szCs w:val="21"/>
        </w:rPr>
        <w:t xml:space="preserve">(3) 工程师在收到承包人送交的索赔报告及有关资料后，于28天内给予答复，或要求承包人进一步补充索赔理由和证据； </w:t>
      </w:r>
    </w:p>
    <w:p>
      <w:pPr>
        <w:spacing w:line="440" w:lineRule="exact"/>
        <w:ind w:firstLine="359" w:firstLineChars="171"/>
        <w:rPr>
          <w:rFonts w:ascii="宋体" w:hAnsi="宋体"/>
          <w:color w:val="auto"/>
          <w:szCs w:val="21"/>
        </w:rPr>
      </w:pPr>
      <w:r>
        <w:rPr>
          <w:rFonts w:ascii="宋体" w:hAnsi="宋体"/>
          <w:color w:val="auto"/>
          <w:szCs w:val="21"/>
        </w:rPr>
        <w:t xml:space="preserve">(4) 工程师在收到承包人送交的索赔报告和有关资料后28天内未予答复或未对承包人作进一步要求，视为该项索赔已经认可； </w:t>
      </w:r>
    </w:p>
    <w:p>
      <w:pPr>
        <w:spacing w:line="440" w:lineRule="exact"/>
        <w:ind w:firstLine="359" w:firstLineChars="171"/>
        <w:rPr>
          <w:rFonts w:ascii="宋体" w:hAnsi="宋体"/>
          <w:color w:val="auto"/>
          <w:szCs w:val="21"/>
        </w:rPr>
      </w:pPr>
      <w:r>
        <w:rPr>
          <w:rFonts w:ascii="宋体" w:hAnsi="宋体"/>
          <w:color w:val="auto"/>
          <w:szCs w:val="21"/>
        </w:rPr>
        <w:t xml:space="preserve">(5) 当该索赔事件持续进行时，承包人应当阶段性向工程师发出索赔意向，在索赔事件终了后28天内，向工程师送交索赔的有关资料和最终索赔报告。索赔答复程序与（3）、（4）规定相同。 </w:t>
      </w:r>
    </w:p>
    <w:p>
      <w:pPr>
        <w:spacing w:line="440" w:lineRule="exact"/>
        <w:ind w:firstLine="359" w:firstLineChars="171"/>
        <w:rPr>
          <w:rFonts w:ascii="宋体" w:hAnsi="宋体"/>
          <w:color w:val="auto"/>
          <w:szCs w:val="21"/>
        </w:rPr>
      </w:pPr>
      <w:r>
        <w:rPr>
          <w:rFonts w:ascii="宋体" w:hAnsi="宋体"/>
          <w:color w:val="auto"/>
          <w:szCs w:val="21"/>
        </w:rPr>
        <w:t xml:space="preserve">36.3承包人未能按合同约定履行自己的各项义务或发生错误，给发包人造成经济损失，发包人可按36.2款确定的时限向承包人提出索赔。 </w:t>
      </w:r>
    </w:p>
    <w:p>
      <w:pPr>
        <w:spacing w:line="440" w:lineRule="exact"/>
        <w:ind w:firstLine="359" w:firstLineChars="171"/>
        <w:rPr>
          <w:rFonts w:ascii="宋体" w:hAnsi="宋体"/>
          <w:color w:val="auto"/>
          <w:szCs w:val="21"/>
        </w:rPr>
      </w:pPr>
      <w:r>
        <w:rPr>
          <w:rFonts w:ascii="宋体" w:hAnsi="宋体"/>
          <w:color w:val="auto"/>
          <w:szCs w:val="21"/>
        </w:rPr>
        <w:t xml:space="preserve">37、争议 </w:t>
      </w:r>
    </w:p>
    <w:p>
      <w:pPr>
        <w:spacing w:line="440" w:lineRule="exact"/>
        <w:ind w:firstLine="359" w:firstLineChars="171"/>
        <w:rPr>
          <w:rFonts w:ascii="宋体" w:hAnsi="宋体"/>
          <w:color w:val="auto"/>
          <w:szCs w:val="21"/>
        </w:rPr>
      </w:pPr>
      <w:r>
        <w:rPr>
          <w:rFonts w:ascii="宋体" w:hAnsi="宋体"/>
          <w:color w:val="auto"/>
          <w:szCs w:val="21"/>
        </w:rPr>
        <w:t xml:space="preserve">37.1发包人承包人在履行合同时发生争议，可以和解或者要求有关主管部门调解。当事人不愿和解、调解或者和解、调解不成的，双方可以在专用条款内约定以下一种方式解决争议： </w:t>
      </w:r>
    </w:p>
    <w:p>
      <w:pPr>
        <w:spacing w:line="440" w:lineRule="exact"/>
        <w:ind w:firstLine="359" w:firstLineChars="171"/>
        <w:rPr>
          <w:rFonts w:ascii="宋体" w:hAnsi="宋体"/>
          <w:color w:val="auto"/>
          <w:szCs w:val="21"/>
        </w:rPr>
      </w:pPr>
      <w:r>
        <w:rPr>
          <w:rFonts w:hint="eastAsia" w:ascii="宋体" w:hAnsi="宋体"/>
          <w:color w:val="auto"/>
          <w:szCs w:val="21"/>
        </w:rPr>
        <w:t>第一种解决方式：双方达成仲裁协议，向约定的仲裁委员会申请仲裁；</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hint="eastAsia" w:ascii="宋体" w:hAnsi="宋体"/>
          <w:color w:val="auto"/>
          <w:szCs w:val="21"/>
        </w:rPr>
        <w:t>第二种解决方式：向有管辖权的人民法院起诉。</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37.2发生争议后，除非出现下列情况的，双方都应继续履行合同，保持施工连续，保护好已完工程： </w:t>
      </w:r>
    </w:p>
    <w:p>
      <w:pPr>
        <w:spacing w:line="440" w:lineRule="exact"/>
        <w:ind w:firstLine="359" w:firstLineChars="171"/>
        <w:rPr>
          <w:rFonts w:ascii="宋体" w:hAnsi="宋体"/>
          <w:color w:val="auto"/>
          <w:szCs w:val="21"/>
        </w:rPr>
      </w:pPr>
      <w:r>
        <w:rPr>
          <w:rFonts w:ascii="宋体" w:hAnsi="宋体"/>
          <w:color w:val="auto"/>
          <w:szCs w:val="21"/>
        </w:rPr>
        <w:t xml:space="preserve">(1) 单方违约导致合同确已无法履行，双方协议停止施工； </w:t>
      </w:r>
    </w:p>
    <w:p>
      <w:pPr>
        <w:spacing w:line="440" w:lineRule="exact"/>
        <w:ind w:firstLine="359" w:firstLineChars="171"/>
        <w:rPr>
          <w:rFonts w:ascii="宋体" w:hAnsi="宋体"/>
          <w:color w:val="auto"/>
          <w:szCs w:val="21"/>
        </w:rPr>
      </w:pPr>
      <w:r>
        <w:rPr>
          <w:rFonts w:ascii="宋体" w:hAnsi="宋体"/>
          <w:color w:val="auto"/>
          <w:szCs w:val="21"/>
        </w:rPr>
        <w:t xml:space="preserve">(2) 调解要求停止施工，且为双方接受； </w:t>
      </w:r>
    </w:p>
    <w:p>
      <w:pPr>
        <w:spacing w:line="440" w:lineRule="exact"/>
        <w:ind w:firstLine="359" w:firstLineChars="171"/>
        <w:rPr>
          <w:rFonts w:ascii="宋体" w:hAnsi="宋体"/>
          <w:color w:val="auto"/>
          <w:szCs w:val="21"/>
        </w:rPr>
      </w:pPr>
      <w:r>
        <w:rPr>
          <w:rFonts w:ascii="宋体" w:hAnsi="宋体"/>
          <w:color w:val="auto"/>
          <w:szCs w:val="21"/>
        </w:rPr>
        <w:t xml:space="preserve">(3) 仲裁机构要求停止施工； </w:t>
      </w:r>
    </w:p>
    <w:p>
      <w:pPr>
        <w:spacing w:line="440" w:lineRule="exact"/>
        <w:ind w:firstLine="359" w:firstLineChars="171"/>
        <w:rPr>
          <w:rFonts w:ascii="宋体" w:hAnsi="宋体"/>
          <w:color w:val="auto"/>
          <w:szCs w:val="21"/>
        </w:rPr>
      </w:pPr>
      <w:r>
        <w:rPr>
          <w:rFonts w:ascii="宋体" w:hAnsi="宋体"/>
          <w:color w:val="auto"/>
          <w:szCs w:val="21"/>
        </w:rPr>
        <w:t xml:space="preserve">(4) 法院要求停止施工。 </w:t>
      </w:r>
    </w:p>
    <w:p>
      <w:pPr>
        <w:spacing w:line="440" w:lineRule="exact"/>
        <w:ind w:firstLine="359" w:firstLineChars="171"/>
        <w:rPr>
          <w:rFonts w:ascii="宋体" w:hAnsi="宋体"/>
          <w:color w:val="auto"/>
          <w:szCs w:val="21"/>
        </w:rPr>
      </w:pPr>
      <w:r>
        <w:rPr>
          <w:rFonts w:hint="eastAsia" w:ascii="宋体" w:hAnsi="宋体"/>
          <w:color w:val="auto"/>
          <w:szCs w:val="21"/>
        </w:rPr>
        <w:t>十一、其他</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38、工程分包 </w:t>
      </w:r>
    </w:p>
    <w:p>
      <w:pPr>
        <w:spacing w:line="440" w:lineRule="exact"/>
        <w:ind w:firstLine="359" w:firstLineChars="171"/>
        <w:rPr>
          <w:rFonts w:ascii="宋体" w:hAnsi="宋体"/>
          <w:color w:val="auto"/>
          <w:szCs w:val="21"/>
        </w:rPr>
      </w:pPr>
      <w:r>
        <w:rPr>
          <w:rFonts w:ascii="宋体" w:hAnsi="宋体"/>
          <w:color w:val="auto"/>
          <w:szCs w:val="21"/>
        </w:rPr>
        <w:t xml:space="preserve">38.1 承包人按专用条款的约定分包所承包的部分工程，并与分包单位签订分包合同。非经发包人同意，承包人不得将承包工程的任何部分分包。 </w:t>
      </w:r>
    </w:p>
    <w:p>
      <w:pPr>
        <w:spacing w:line="440" w:lineRule="exact"/>
        <w:ind w:firstLine="359" w:firstLineChars="171"/>
        <w:rPr>
          <w:rFonts w:ascii="宋体" w:hAnsi="宋体"/>
          <w:color w:val="auto"/>
          <w:szCs w:val="21"/>
        </w:rPr>
      </w:pPr>
      <w:r>
        <w:rPr>
          <w:rFonts w:ascii="宋体" w:hAnsi="宋体"/>
          <w:color w:val="auto"/>
          <w:szCs w:val="21"/>
        </w:rPr>
        <w:t xml:space="preserve">38.2 承包人不得将其承包的全部工程转包给他人，也不得将其承包的全部工程肢解以后以分包的名义分别转包给他人。 </w:t>
      </w:r>
    </w:p>
    <w:p>
      <w:pPr>
        <w:spacing w:line="440" w:lineRule="exact"/>
        <w:ind w:firstLine="359" w:firstLineChars="171"/>
        <w:rPr>
          <w:rFonts w:ascii="宋体" w:hAnsi="宋体"/>
          <w:color w:val="auto"/>
          <w:szCs w:val="21"/>
        </w:rPr>
      </w:pPr>
      <w:r>
        <w:rPr>
          <w:rFonts w:ascii="宋体" w:hAnsi="宋体"/>
          <w:color w:val="auto"/>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spacing w:line="440" w:lineRule="exact"/>
        <w:ind w:firstLine="359" w:firstLineChars="171"/>
        <w:rPr>
          <w:rFonts w:ascii="宋体" w:hAnsi="宋体"/>
          <w:color w:val="auto"/>
          <w:szCs w:val="21"/>
        </w:rPr>
      </w:pPr>
      <w:r>
        <w:rPr>
          <w:rFonts w:ascii="宋体" w:hAnsi="宋体"/>
          <w:color w:val="auto"/>
          <w:szCs w:val="21"/>
        </w:rPr>
        <w:t xml:space="preserve">38.4分包工程价款由承包人与分包单位结算。发包人未经承包人同意不得以任何形式向分包单位支付各种工程款项。 </w:t>
      </w:r>
    </w:p>
    <w:p>
      <w:pPr>
        <w:spacing w:line="440" w:lineRule="exact"/>
        <w:ind w:firstLine="359" w:firstLineChars="171"/>
        <w:rPr>
          <w:rFonts w:ascii="宋体" w:hAnsi="宋体"/>
          <w:color w:val="auto"/>
          <w:szCs w:val="21"/>
        </w:rPr>
      </w:pPr>
      <w:r>
        <w:rPr>
          <w:rFonts w:ascii="宋体" w:hAnsi="宋体"/>
          <w:color w:val="auto"/>
          <w:szCs w:val="21"/>
        </w:rPr>
        <w:t xml:space="preserve">39、不可抗力 </w:t>
      </w:r>
    </w:p>
    <w:p>
      <w:pPr>
        <w:spacing w:line="440" w:lineRule="exact"/>
        <w:ind w:firstLine="359" w:firstLineChars="171"/>
        <w:rPr>
          <w:rFonts w:ascii="宋体" w:hAnsi="宋体"/>
          <w:color w:val="auto"/>
          <w:szCs w:val="21"/>
        </w:rPr>
      </w:pPr>
      <w:r>
        <w:rPr>
          <w:rFonts w:ascii="宋体" w:hAnsi="宋体"/>
          <w:color w:val="auto"/>
          <w:szCs w:val="21"/>
        </w:rPr>
        <w:t xml:space="preserve">39.1 </w:t>
      </w:r>
      <w:r>
        <w:rPr>
          <w:rFonts w:hint="eastAsia" w:ascii="宋体" w:hAnsi="宋体"/>
          <w:color w:val="auto"/>
          <w:szCs w:val="21"/>
        </w:rPr>
        <w:t>不可抗力包括因战争、动乱、空中飞行物体坠落或其他非发包人承包人责任造成的爆炸、火灾，以及专用条款约定的风、雨、雪、洪、震等自然灾害。</w:t>
      </w:r>
    </w:p>
    <w:p>
      <w:pPr>
        <w:spacing w:line="440" w:lineRule="exact"/>
        <w:ind w:firstLine="359" w:firstLineChars="171"/>
        <w:rPr>
          <w:rFonts w:ascii="宋体" w:hAnsi="宋体"/>
          <w:color w:val="auto"/>
          <w:szCs w:val="21"/>
        </w:rPr>
      </w:pPr>
      <w:r>
        <w:rPr>
          <w:rFonts w:ascii="宋体" w:hAnsi="宋体"/>
          <w:color w:val="auto"/>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spacing w:line="440" w:lineRule="exact"/>
        <w:ind w:firstLine="359" w:firstLineChars="171"/>
        <w:rPr>
          <w:rFonts w:ascii="宋体" w:hAnsi="宋体"/>
          <w:color w:val="auto"/>
          <w:szCs w:val="21"/>
        </w:rPr>
      </w:pPr>
      <w:r>
        <w:rPr>
          <w:rFonts w:ascii="宋体" w:hAnsi="宋体"/>
          <w:color w:val="auto"/>
          <w:szCs w:val="21"/>
        </w:rPr>
        <w:t xml:space="preserve">39.3 </w:t>
      </w:r>
      <w:r>
        <w:rPr>
          <w:rFonts w:hint="eastAsia" w:ascii="宋体" w:hAnsi="宋体"/>
          <w:color w:val="auto"/>
          <w:szCs w:val="21"/>
        </w:rPr>
        <w:t>因不可抗力事件导致的费用及延误的工期由双方按以下方法分别承担：</w:t>
      </w:r>
    </w:p>
    <w:p>
      <w:pPr>
        <w:spacing w:line="440" w:lineRule="exact"/>
        <w:ind w:firstLine="359" w:firstLineChars="171"/>
        <w:rPr>
          <w:rFonts w:ascii="宋体" w:hAnsi="宋体"/>
          <w:color w:val="auto"/>
          <w:szCs w:val="21"/>
        </w:rPr>
      </w:pPr>
      <w:r>
        <w:rPr>
          <w:rFonts w:ascii="宋体" w:hAnsi="宋体"/>
          <w:color w:val="auto"/>
          <w:szCs w:val="21"/>
        </w:rPr>
        <w:t xml:space="preserve">(1) </w:t>
      </w:r>
      <w:r>
        <w:rPr>
          <w:rFonts w:hint="eastAsia" w:ascii="宋体" w:hAnsi="宋体"/>
          <w:color w:val="auto"/>
          <w:szCs w:val="21"/>
        </w:rPr>
        <w:t>工程本身的损害、因工程损害导致第三人人员伤亡和财产损失以及运至施工场地用于施工的材料和待安装的设备的损害，由发包人承担；</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(2) 发包人承包人人员伤亡由其所在单位负责，并承担相应费用； </w:t>
      </w:r>
    </w:p>
    <w:p>
      <w:pPr>
        <w:spacing w:line="440" w:lineRule="exact"/>
        <w:ind w:firstLine="359" w:firstLineChars="171"/>
        <w:rPr>
          <w:rFonts w:ascii="宋体" w:hAnsi="宋体"/>
          <w:color w:val="auto"/>
          <w:szCs w:val="21"/>
        </w:rPr>
      </w:pPr>
      <w:r>
        <w:rPr>
          <w:rFonts w:ascii="宋体" w:hAnsi="宋体"/>
          <w:color w:val="auto"/>
          <w:szCs w:val="21"/>
        </w:rPr>
        <w:t xml:space="preserve">(3) 承包人机械设备损坏及停工损失，由承包人承担； </w:t>
      </w:r>
    </w:p>
    <w:p>
      <w:pPr>
        <w:spacing w:line="440" w:lineRule="exact"/>
        <w:ind w:firstLine="359" w:firstLineChars="171"/>
        <w:rPr>
          <w:rFonts w:ascii="宋体" w:hAnsi="宋体"/>
          <w:color w:val="auto"/>
          <w:szCs w:val="21"/>
        </w:rPr>
      </w:pPr>
      <w:r>
        <w:rPr>
          <w:rFonts w:ascii="宋体" w:hAnsi="宋体"/>
          <w:color w:val="auto"/>
          <w:szCs w:val="21"/>
        </w:rPr>
        <w:t xml:space="preserve">(4) 停工期间，承包人应工程师要求留在施工场地的必要的管理人员及保卫人员的费用由发包人承担；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(5) 工程所需清理、修复费用，由发包人承担；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(6) 延误的工期相应顺延。 </w:t>
      </w:r>
    </w:p>
    <w:p>
      <w:pPr>
        <w:spacing w:line="440" w:lineRule="exact"/>
        <w:ind w:firstLine="359" w:firstLineChars="171"/>
        <w:rPr>
          <w:rFonts w:ascii="宋体" w:hAnsi="宋体"/>
          <w:color w:val="auto"/>
          <w:szCs w:val="21"/>
        </w:rPr>
      </w:pPr>
      <w:r>
        <w:rPr>
          <w:rFonts w:ascii="宋体" w:hAnsi="宋体"/>
          <w:color w:val="auto"/>
          <w:szCs w:val="21"/>
        </w:rPr>
        <w:t>39.4因合同一方迟延履行合同后发生不可抗力的，不能免除迟延履行方的相应责任。</w:t>
      </w:r>
    </w:p>
    <w:p>
      <w:pPr>
        <w:spacing w:line="440" w:lineRule="exact"/>
        <w:ind w:firstLine="359" w:firstLineChars="171"/>
        <w:rPr>
          <w:rFonts w:ascii="宋体" w:hAnsi="宋体"/>
          <w:color w:val="auto"/>
          <w:szCs w:val="21"/>
        </w:rPr>
      </w:pPr>
      <w:r>
        <w:rPr>
          <w:rFonts w:ascii="宋体" w:hAnsi="宋体"/>
          <w:color w:val="auto"/>
          <w:szCs w:val="21"/>
        </w:rPr>
        <w:t xml:space="preserve">40、保险 </w:t>
      </w:r>
    </w:p>
    <w:p>
      <w:pPr>
        <w:spacing w:line="440" w:lineRule="exact"/>
        <w:ind w:firstLine="359" w:firstLineChars="171"/>
        <w:rPr>
          <w:rFonts w:ascii="宋体" w:hAnsi="宋体"/>
          <w:color w:val="auto"/>
          <w:szCs w:val="21"/>
        </w:rPr>
      </w:pPr>
      <w:r>
        <w:rPr>
          <w:rFonts w:ascii="宋体" w:hAnsi="宋体"/>
          <w:color w:val="auto"/>
          <w:szCs w:val="21"/>
        </w:rPr>
        <w:t>40.1工程开工前，发包人为建设工程和施工场地内的自有人员及第三</w:t>
      </w:r>
      <w:r>
        <w:rPr>
          <w:rFonts w:hint="eastAsia" w:ascii="宋体" w:hAnsi="宋体"/>
          <w:color w:val="auto"/>
          <w:szCs w:val="21"/>
        </w:rPr>
        <w:t>人人员生命财产办理保险，支付保险费用。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40.2运至施工场内用于工程的材料和待安装设备，由发包人办理保险，并支付保险费用。 </w:t>
      </w:r>
    </w:p>
    <w:p>
      <w:pPr>
        <w:spacing w:line="440" w:lineRule="exact"/>
        <w:ind w:firstLine="359" w:firstLineChars="171"/>
        <w:rPr>
          <w:rFonts w:ascii="宋体" w:hAnsi="宋体"/>
          <w:color w:val="auto"/>
          <w:szCs w:val="21"/>
        </w:rPr>
      </w:pPr>
      <w:r>
        <w:rPr>
          <w:rFonts w:ascii="宋体" w:hAnsi="宋体"/>
          <w:color w:val="auto"/>
          <w:szCs w:val="21"/>
        </w:rPr>
        <w:t xml:space="preserve">40.3发包人可以将有关保险事项委托承包人办理，费用由发包人承担。 </w:t>
      </w:r>
    </w:p>
    <w:p>
      <w:pPr>
        <w:spacing w:line="440" w:lineRule="exact"/>
        <w:ind w:firstLine="359" w:firstLineChars="171"/>
        <w:rPr>
          <w:rFonts w:ascii="宋体" w:hAnsi="宋体"/>
          <w:color w:val="auto"/>
          <w:szCs w:val="21"/>
        </w:rPr>
      </w:pPr>
      <w:r>
        <w:rPr>
          <w:rFonts w:ascii="宋体" w:hAnsi="宋体"/>
          <w:color w:val="auto"/>
          <w:szCs w:val="21"/>
        </w:rPr>
        <w:t xml:space="preserve">40.4承包人必须为从事危险作业的职工办理意外伤害保险，并为施工场地内自有人员生命财产和施工机械设备办理保险，支付保险费用。 </w:t>
      </w:r>
    </w:p>
    <w:p>
      <w:pPr>
        <w:spacing w:line="440" w:lineRule="exact"/>
        <w:ind w:firstLine="359" w:firstLineChars="171"/>
        <w:rPr>
          <w:rFonts w:ascii="宋体" w:hAnsi="宋体"/>
          <w:color w:val="auto"/>
          <w:szCs w:val="21"/>
        </w:rPr>
      </w:pPr>
      <w:r>
        <w:rPr>
          <w:rFonts w:ascii="宋体" w:hAnsi="宋体"/>
          <w:color w:val="auto"/>
          <w:szCs w:val="21"/>
        </w:rPr>
        <w:t xml:space="preserve">40.5保险事故发生时，发包人承包人有责任尽力采取必要的措施，防止或者减少损失。 </w:t>
      </w:r>
    </w:p>
    <w:p>
      <w:pPr>
        <w:spacing w:line="440" w:lineRule="exact"/>
        <w:ind w:firstLine="359" w:firstLineChars="171"/>
        <w:rPr>
          <w:rFonts w:ascii="宋体" w:hAnsi="宋体"/>
          <w:color w:val="auto"/>
          <w:szCs w:val="21"/>
        </w:rPr>
      </w:pPr>
      <w:r>
        <w:rPr>
          <w:rFonts w:ascii="宋体" w:hAnsi="宋体"/>
          <w:color w:val="auto"/>
          <w:szCs w:val="21"/>
        </w:rPr>
        <w:t xml:space="preserve">40.6具体投保内容和相关责任，发包人承包人在专用条款中约定。 </w:t>
      </w:r>
    </w:p>
    <w:p>
      <w:pPr>
        <w:spacing w:line="440" w:lineRule="exact"/>
        <w:ind w:firstLine="359" w:firstLineChars="171"/>
        <w:rPr>
          <w:rFonts w:ascii="宋体" w:hAnsi="宋体"/>
          <w:color w:val="auto"/>
          <w:szCs w:val="21"/>
        </w:rPr>
      </w:pPr>
      <w:r>
        <w:rPr>
          <w:rFonts w:ascii="宋体" w:hAnsi="宋体"/>
          <w:color w:val="auto"/>
          <w:szCs w:val="21"/>
        </w:rPr>
        <w:t xml:space="preserve">41、担保 </w:t>
      </w:r>
    </w:p>
    <w:p>
      <w:pPr>
        <w:spacing w:line="440" w:lineRule="exact"/>
        <w:ind w:firstLine="359" w:firstLineChars="171"/>
        <w:rPr>
          <w:rFonts w:ascii="宋体" w:hAnsi="宋体"/>
          <w:color w:val="auto"/>
          <w:szCs w:val="21"/>
        </w:rPr>
      </w:pPr>
      <w:r>
        <w:rPr>
          <w:rFonts w:ascii="宋体" w:hAnsi="宋体"/>
          <w:color w:val="auto"/>
          <w:szCs w:val="21"/>
        </w:rPr>
        <w:t xml:space="preserve">41.1发包人、承包人为了全面履行合同，应互相提供以下担保： </w:t>
      </w:r>
    </w:p>
    <w:p>
      <w:pPr>
        <w:spacing w:line="440" w:lineRule="exact"/>
        <w:ind w:firstLine="359" w:firstLineChars="171"/>
        <w:rPr>
          <w:rFonts w:ascii="宋体" w:hAnsi="宋体"/>
          <w:color w:val="auto"/>
          <w:szCs w:val="21"/>
        </w:rPr>
      </w:pPr>
      <w:r>
        <w:rPr>
          <w:rFonts w:ascii="宋体" w:hAnsi="宋体"/>
          <w:color w:val="auto"/>
          <w:szCs w:val="21"/>
        </w:rPr>
        <w:t xml:space="preserve">(1) 发包人向承包人提供履约担保，按合同约定支付工程价款及履行合同约定的其他义务。 </w:t>
      </w:r>
    </w:p>
    <w:p>
      <w:pPr>
        <w:spacing w:line="440" w:lineRule="exact"/>
        <w:ind w:firstLine="359" w:firstLineChars="171"/>
        <w:rPr>
          <w:rFonts w:ascii="宋体" w:hAnsi="宋体"/>
          <w:color w:val="auto"/>
          <w:szCs w:val="21"/>
        </w:rPr>
      </w:pPr>
      <w:r>
        <w:rPr>
          <w:rFonts w:ascii="宋体" w:hAnsi="宋体"/>
          <w:color w:val="auto"/>
          <w:szCs w:val="21"/>
        </w:rPr>
        <w:t xml:space="preserve">(2) 承包人向发包人提供履约担保，按合同约定履行自己的各项义务。 </w:t>
      </w:r>
    </w:p>
    <w:p>
      <w:pPr>
        <w:spacing w:line="440" w:lineRule="exact"/>
        <w:ind w:firstLine="359" w:firstLineChars="171"/>
        <w:rPr>
          <w:rFonts w:ascii="宋体" w:hAnsi="宋体"/>
          <w:color w:val="auto"/>
          <w:szCs w:val="21"/>
        </w:rPr>
      </w:pPr>
      <w:r>
        <w:rPr>
          <w:rFonts w:ascii="宋体" w:hAnsi="宋体"/>
          <w:color w:val="auto"/>
          <w:szCs w:val="21"/>
        </w:rPr>
        <w:t xml:space="preserve">41.2 一方违约后，另一方可要求提供担保的第三人承担相应责任。 </w:t>
      </w:r>
    </w:p>
    <w:p>
      <w:pPr>
        <w:spacing w:line="440" w:lineRule="exact"/>
        <w:ind w:firstLine="359" w:firstLineChars="171"/>
        <w:rPr>
          <w:rFonts w:ascii="宋体" w:hAnsi="宋体"/>
          <w:color w:val="auto"/>
          <w:szCs w:val="21"/>
        </w:rPr>
      </w:pPr>
      <w:r>
        <w:rPr>
          <w:rFonts w:ascii="宋体" w:hAnsi="宋体"/>
          <w:color w:val="auto"/>
          <w:szCs w:val="21"/>
        </w:rPr>
        <w:t xml:space="preserve">41.3 提供担保的内容、方式和相关责任，发包人承包人除在专用条款中约定外，被担保方与担保方还应签订担保合同，作为本合同附件。 </w:t>
      </w:r>
    </w:p>
    <w:p>
      <w:pPr>
        <w:spacing w:line="440" w:lineRule="exact"/>
        <w:ind w:firstLine="359" w:firstLineChars="171"/>
        <w:rPr>
          <w:rFonts w:ascii="宋体" w:hAnsi="宋体"/>
          <w:color w:val="auto"/>
          <w:szCs w:val="21"/>
        </w:rPr>
      </w:pPr>
      <w:r>
        <w:rPr>
          <w:rFonts w:ascii="宋体" w:hAnsi="宋体"/>
          <w:color w:val="auto"/>
          <w:szCs w:val="21"/>
        </w:rPr>
        <w:t xml:space="preserve">42、专利技术及特殊工艺 </w:t>
      </w:r>
    </w:p>
    <w:p>
      <w:pPr>
        <w:spacing w:line="440" w:lineRule="exact"/>
        <w:ind w:firstLine="359" w:firstLineChars="171"/>
        <w:rPr>
          <w:rFonts w:ascii="宋体" w:hAnsi="宋体"/>
          <w:color w:val="auto"/>
          <w:szCs w:val="21"/>
        </w:rPr>
      </w:pPr>
      <w:r>
        <w:rPr>
          <w:rFonts w:ascii="宋体" w:hAnsi="宋体"/>
          <w:color w:val="auto"/>
          <w:szCs w:val="21"/>
        </w:rPr>
        <w:t xml:space="preserve">42.1 </w:t>
      </w:r>
      <w:r>
        <w:rPr>
          <w:rFonts w:hint="eastAsia" w:ascii="宋体" w:hAnsi="宋体"/>
          <w:color w:val="auto"/>
          <w:szCs w:val="21"/>
        </w:rPr>
        <w:t>发包人要求使用专利技术或特殊工艺，应负责办理相应的申报手续，承担申报、试验、使用等费用；承包人提出使用专利技术或特殊工艺，应取得工程师认可，承包人负责办理申报手续并承担有关费用。</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42.2 擅自使用专利技术侵犯他人专利权的，责任者依法承担相应责任。 </w:t>
      </w:r>
    </w:p>
    <w:p>
      <w:pPr>
        <w:spacing w:line="440" w:lineRule="exact"/>
        <w:ind w:firstLine="359" w:firstLineChars="171"/>
        <w:rPr>
          <w:rFonts w:ascii="宋体" w:hAnsi="宋体"/>
          <w:color w:val="auto"/>
          <w:szCs w:val="21"/>
        </w:rPr>
      </w:pPr>
      <w:r>
        <w:rPr>
          <w:rFonts w:ascii="宋体" w:hAnsi="宋体"/>
          <w:color w:val="auto"/>
          <w:szCs w:val="21"/>
        </w:rPr>
        <w:t xml:space="preserve">43、文物和地下障碍物 </w:t>
      </w:r>
    </w:p>
    <w:p>
      <w:pPr>
        <w:spacing w:line="440" w:lineRule="exact"/>
        <w:ind w:firstLine="359" w:firstLineChars="171"/>
        <w:rPr>
          <w:rFonts w:ascii="宋体" w:hAnsi="宋体"/>
          <w:color w:val="auto"/>
          <w:szCs w:val="21"/>
        </w:rPr>
      </w:pPr>
      <w:r>
        <w:rPr>
          <w:rFonts w:ascii="宋体" w:hAnsi="宋体"/>
          <w:color w:val="auto"/>
          <w:szCs w:val="21"/>
        </w:rPr>
        <w:t xml:space="preserve">43.1 </w:t>
      </w:r>
      <w:r>
        <w:rPr>
          <w:rFonts w:hint="eastAsia" w:ascii="宋体" w:hAnsi="宋体"/>
          <w:color w:val="auto"/>
          <w:szCs w:val="21"/>
        </w:rPr>
        <w:t>在施工中发现古墓、古建筑遗址等文物及化石或其他有考古、地质研究等价值的物品时，承包人应立即保护好现场并于</w:t>
      </w:r>
      <w:r>
        <w:rPr>
          <w:rFonts w:ascii="宋体" w:hAnsi="宋体"/>
          <w:color w:val="auto"/>
          <w:szCs w:val="21"/>
        </w:rPr>
        <w:t>4小时内以书面形式通知工程师，工程师应于收到书面通知后24小时内报告当地文物管理部门，发包人承包人按文物管理部门的要求采取妥善保护措施。发包人承担由此发生的费用，顺延延误的工期。</w:t>
      </w:r>
    </w:p>
    <w:p>
      <w:pPr>
        <w:spacing w:line="440" w:lineRule="exact"/>
        <w:ind w:firstLine="359" w:firstLineChars="171"/>
        <w:rPr>
          <w:rFonts w:ascii="宋体" w:hAnsi="宋体"/>
          <w:color w:val="auto"/>
          <w:szCs w:val="21"/>
        </w:rPr>
      </w:pPr>
      <w:r>
        <w:rPr>
          <w:rFonts w:hint="eastAsia" w:ascii="宋体" w:hAnsi="宋体"/>
          <w:color w:val="auto"/>
          <w:szCs w:val="21"/>
        </w:rPr>
        <w:t>如发现后隐瞒不报，致使文物遭受破坏，责任者依法承担相应责任。</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43.2 </w:t>
      </w:r>
      <w:r>
        <w:rPr>
          <w:rFonts w:hint="eastAsia" w:ascii="宋体" w:hAnsi="宋体"/>
          <w:color w:val="auto"/>
          <w:szCs w:val="21"/>
        </w:rPr>
        <w:t>施工中发现影响施工的地下障碍物时，承包人应于</w:t>
      </w:r>
      <w:r>
        <w:rPr>
          <w:rFonts w:ascii="宋体" w:hAnsi="宋体"/>
          <w:color w:val="auto"/>
          <w:szCs w:val="21"/>
        </w:rPr>
        <w:t>8小时内以书面形式通知工程师，同时提出处置</w:t>
      </w:r>
      <w:r>
        <w:rPr>
          <w:rFonts w:hint="eastAsia" w:ascii="宋体" w:hAnsi="宋体"/>
          <w:color w:val="auto"/>
          <w:szCs w:val="21"/>
        </w:rPr>
        <w:t>方案，工程师收到</w:t>
      </w:r>
      <w:r>
        <w:rPr>
          <w:rFonts w:ascii="宋体" w:hAnsi="宋体"/>
          <w:color w:val="auto"/>
          <w:szCs w:val="21"/>
        </w:rPr>
        <w:t>处置</w:t>
      </w:r>
      <w:r>
        <w:rPr>
          <w:rFonts w:hint="eastAsia" w:ascii="宋体" w:hAnsi="宋体"/>
          <w:color w:val="auto"/>
          <w:szCs w:val="21"/>
        </w:rPr>
        <w:t>方案后</w:t>
      </w:r>
      <w:r>
        <w:rPr>
          <w:rFonts w:ascii="宋体" w:hAnsi="宋体"/>
          <w:color w:val="auto"/>
          <w:szCs w:val="21"/>
        </w:rPr>
        <w:t>24小时内予以认可或提出修正方案。发包人承担由此发生的费用，顺延延误的工期。</w:t>
      </w:r>
    </w:p>
    <w:p>
      <w:pPr>
        <w:spacing w:line="440" w:lineRule="exact"/>
        <w:ind w:firstLine="359" w:firstLineChars="171"/>
        <w:rPr>
          <w:rFonts w:ascii="宋体" w:hAnsi="宋体"/>
          <w:color w:val="auto"/>
          <w:szCs w:val="21"/>
        </w:rPr>
      </w:pPr>
      <w:r>
        <w:rPr>
          <w:rFonts w:hint="eastAsia" w:ascii="宋体" w:hAnsi="宋体"/>
          <w:color w:val="auto"/>
          <w:szCs w:val="21"/>
        </w:rPr>
        <w:t>所发现的地下障碍物有归属单位时，发包人应报请有关部门协同处置。</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44、合同解除 </w:t>
      </w:r>
    </w:p>
    <w:p>
      <w:pPr>
        <w:spacing w:line="440" w:lineRule="exact"/>
        <w:ind w:firstLine="359" w:firstLineChars="171"/>
        <w:rPr>
          <w:rFonts w:ascii="宋体" w:hAnsi="宋体"/>
          <w:color w:val="auto"/>
          <w:szCs w:val="21"/>
        </w:rPr>
      </w:pPr>
      <w:r>
        <w:rPr>
          <w:rFonts w:ascii="宋体" w:hAnsi="宋体"/>
          <w:color w:val="auto"/>
          <w:szCs w:val="21"/>
        </w:rPr>
        <w:t xml:space="preserve">44.1 发包人承包人协商一致，可以解除合同。 </w:t>
      </w:r>
    </w:p>
    <w:p>
      <w:pPr>
        <w:spacing w:line="440" w:lineRule="exact"/>
        <w:ind w:firstLine="359" w:firstLineChars="171"/>
        <w:rPr>
          <w:rFonts w:ascii="宋体" w:hAnsi="宋体"/>
          <w:color w:val="auto"/>
          <w:szCs w:val="21"/>
        </w:rPr>
      </w:pPr>
      <w:r>
        <w:rPr>
          <w:rFonts w:ascii="宋体" w:hAnsi="宋体"/>
          <w:color w:val="auto"/>
          <w:szCs w:val="21"/>
        </w:rPr>
        <w:t xml:space="preserve">44.2 发生本通用条款第26.4款情况，停止施工超过56天，发包人仍不支付工程款（进度款），承包人有权解除合同。 </w:t>
      </w:r>
    </w:p>
    <w:p>
      <w:pPr>
        <w:spacing w:line="440" w:lineRule="exact"/>
        <w:ind w:firstLine="359" w:firstLineChars="171"/>
        <w:rPr>
          <w:rFonts w:ascii="宋体" w:hAnsi="宋体"/>
          <w:color w:val="auto"/>
          <w:szCs w:val="21"/>
        </w:rPr>
      </w:pPr>
      <w:r>
        <w:rPr>
          <w:rFonts w:ascii="宋体" w:hAnsi="宋体"/>
          <w:color w:val="auto"/>
          <w:szCs w:val="21"/>
        </w:rPr>
        <w:t xml:space="preserve">44.3 发生本通用条款第38.2款禁止的情况，承包人将其承包的全部工程转包给他人或者肢解以后以分包的名义分别转包给他人，发包人有权解除合同。 </w:t>
      </w:r>
    </w:p>
    <w:p>
      <w:pPr>
        <w:spacing w:line="440" w:lineRule="exact"/>
        <w:ind w:firstLine="359" w:firstLineChars="171"/>
        <w:rPr>
          <w:rFonts w:ascii="宋体" w:hAnsi="宋体"/>
          <w:color w:val="auto"/>
          <w:szCs w:val="21"/>
        </w:rPr>
      </w:pPr>
      <w:r>
        <w:rPr>
          <w:rFonts w:ascii="宋体" w:hAnsi="宋体"/>
          <w:color w:val="auto"/>
          <w:szCs w:val="21"/>
        </w:rPr>
        <w:t xml:space="preserve">44.4 有下列情形之一的，发包人承包人可以解除合同： </w:t>
      </w:r>
    </w:p>
    <w:p>
      <w:pPr>
        <w:spacing w:line="440" w:lineRule="exact"/>
        <w:ind w:firstLine="359" w:firstLineChars="171"/>
        <w:rPr>
          <w:rFonts w:ascii="宋体" w:hAnsi="宋体"/>
          <w:color w:val="auto"/>
          <w:szCs w:val="21"/>
        </w:rPr>
      </w:pPr>
      <w:r>
        <w:rPr>
          <w:rFonts w:ascii="宋体" w:hAnsi="宋体"/>
          <w:color w:val="auto"/>
          <w:szCs w:val="21"/>
        </w:rPr>
        <w:t xml:space="preserve">(1) 因不可抗力致使合同无法履行； </w:t>
      </w:r>
    </w:p>
    <w:p>
      <w:pPr>
        <w:spacing w:line="440" w:lineRule="exact"/>
        <w:ind w:firstLine="359" w:firstLineChars="171"/>
        <w:rPr>
          <w:rFonts w:ascii="宋体" w:hAnsi="宋体"/>
          <w:color w:val="auto"/>
          <w:szCs w:val="21"/>
        </w:rPr>
      </w:pPr>
      <w:r>
        <w:rPr>
          <w:rFonts w:ascii="宋体" w:hAnsi="宋体"/>
          <w:color w:val="auto"/>
          <w:szCs w:val="21"/>
        </w:rPr>
        <w:t xml:space="preserve">(2) </w:t>
      </w:r>
      <w:r>
        <w:rPr>
          <w:rFonts w:hint="eastAsia" w:ascii="宋体" w:hAnsi="宋体"/>
          <w:color w:val="auto"/>
          <w:szCs w:val="21"/>
        </w:rPr>
        <w:t>因一方违约（包括因发包人原因造成工程停建或缓建）致使合同无法履行。</w:t>
      </w:r>
    </w:p>
    <w:p>
      <w:pPr>
        <w:spacing w:line="440" w:lineRule="exact"/>
        <w:ind w:firstLine="359" w:firstLineChars="171"/>
        <w:rPr>
          <w:rFonts w:ascii="宋体" w:hAnsi="宋体"/>
          <w:color w:val="auto"/>
          <w:szCs w:val="21"/>
        </w:rPr>
      </w:pPr>
      <w:r>
        <w:rPr>
          <w:rFonts w:ascii="宋体" w:hAnsi="宋体"/>
          <w:color w:val="auto"/>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spacing w:line="440" w:lineRule="exact"/>
        <w:ind w:firstLine="359" w:firstLineChars="171"/>
        <w:rPr>
          <w:rFonts w:ascii="宋体" w:hAnsi="宋体"/>
          <w:color w:val="auto"/>
          <w:szCs w:val="21"/>
        </w:rPr>
      </w:pPr>
      <w:r>
        <w:rPr>
          <w:rFonts w:ascii="宋体" w:hAnsi="宋体"/>
          <w:color w:val="auto"/>
          <w:szCs w:val="21"/>
        </w:rPr>
        <w:t>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w:t>
      </w:r>
      <w:r>
        <w:rPr>
          <w:rFonts w:hint="eastAsia" w:ascii="宋体" w:hAnsi="宋体"/>
          <w:color w:val="auto"/>
          <w:szCs w:val="21"/>
        </w:rPr>
        <w:t>合同解除给对方造成的损失。</w:t>
      </w:r>
      <w:r>
        <w:rPr>
          <w:rFonts w:ascii="宋体" w:hAnsi="宋体"/>
          <w:color w:val="auto"/>
          <w:szCs w:val="21"/>
        </w:rPr>
        <w:t xml:space="preserve"> </w:t>
      </w:r>
    </w:p>
    <w:p>
      <w:pPr>
        <w:spacing w:line="440" w:lineRule="exact"/>
        <w:ind w:firstLine="359" w:firstLineChars="171"/>
        <w:rPr>
          <w:rFonts w:ascii="宋体" w:hAnsi="宋体"/>
          <w:color w:val="auto"/>
          <w:szCs w:val="21"/>
        </w:rPr>
      </w:pPr>
      <w:r>
        <w:rPr>
          <w:rFonts w:ascii="宋体" w:hAnsi="宋体"/>
          <w:color w:val="auto"/>
          <w:szCs w:val="21"/>
        </w:rPr>
        <w:t xml:space="preserve">44.7合同解除后，不影响双方在合同中约定的结算和清理条款的效力。 </w:t>
      </w:r>
    </w:p>
    <w:p>
      <w:pPr>
        <w:spacing w:line="440" w:lineRule="exact"/>
        <w:ind w:firstLine="359" w:firstLineChars="171"/>
        <w:rPr>
          <w:rFonts w:ascii="宋体" w:hAnsi="宋体"/>
          <w:color w:val="auto"/>
          <w:szCs w:val="21"/>
        </w:rPr>
      </w:pPr>
      <w:r>
        <w:rPr>
          <w:rFonts w:ascii="宋体" w:hAnsi="宋体"/>
          <w:color w:val="auto"/>
          <w:szCs w:val="21"/>
        </w:rPr>
        <w:t xml:space="preserve">45、合同生效与终止 </w:t>
      </w:r>
    </w:p>
    <w:p>
      <w:pPr>
        <w:spacing w:line="440" w:lineRule="exact"/>
        <w:ind w:firstLine="359" w:firstLineChars="171"/>
        <w:rPr>
          <w:rFonts w:ascii="宋体" w:hAnsi="宋体"/>
          <w:color w:val="auto"/>
          <w:szCs w:val="21"/>
        </w:rPr>
      </w:pPr>
      <w:r>
        <w:rPr>
          <w:rFonts w:ascii="宋体" w:hAnsi="宋体"/>
          <w:color w:val="auto"/>
          <w:szCs w:val="21"/>
        </w:rPr>
        <w:t xml:space="preserve">45.1双方在协议书中约定合同生效方式。 </w:t>
      </w:r>
    </w:p>
    <w:p>
      <w:pPr>
        <w:spacing w:line="440" w:lineRule="exact"/>
        <w:ind w:firstLine="359" w:firstLineChars="171"/>
        <w:rPr>
          <w:rFonts w:ascii="宋体" w:hAnsi="宋体"/>
          <w:color w:val="auto"/>
          <w:szCs w:val="21"/>
        </w:rPr>
      </w:pPr>
      <w:r>
        <w:rPr>
          <w:rFonts w:ascii="宋体" w:hAnsi="宋体"/>
          <w:color w:val="auto"/>
          <w:szCs w:val="21"/>
        </w:rPr>
        <w:t xml:space="preserve">45.2除本通用条款第34条外，发包人承包人履行合同全部义务，竣工结算价款支付完毕，承包人向发包人交付竣工工程后，本合同即告终止。 </w:t>
      </w:r>
    </w:p>
    <w:p>
      <w:pPr>
        <w:spacing w:line="440" w:lineRule="exact"/>
        <w:ind w:firstLine="359" w:firstLineChars="171"/>
        <w:rPr>
          <w:rFonts w:ascii="宋体" w:hAnsi="宋体"/>
          <w:color w:val="auto"/>
          <w:szCs w:val="21"/>
        </w:rPr>
      </w:pPr>
      <w:r>
        <w:rPr>
          <w:rFonts w:ascii="宋体" w:hAnsi="宋体"/>
          <w:color w:val="auto"/>
          <w:szCs w:val="21"/>
        </w:rPr>
        <w:t xml:space="preserve">45.3合同的权利义务终止后，发包人承包人应当遵循诚实信用原则，履行通知、协助、保密等义务。 </w:t>
      </w:r>
    </w:p>
    <w:p>
      <w:pPr>
        <w:spacing w:line="440" w:lineRule="exact"/>
        <w:ind w:firstLine="359" w:firstLineChars="171"/>
        <w:rPr>
          <w:rFonts w:ascii="宋体" w:hAnsi="宋体"/>
          <w:color w:val="auto"/>
          <w:szCs w:val="21"/>
        </w:rPr>
      </w:pPr>
      <w:r>
        <w:rPr>
          <w:rFonts w:ascii="宋体" w:hAnsi="宋体"/>
          <w:color w:val="auto"/>
          <w:szCs w:val="21"/>
        </w:rPr>
        <w:t xml:space="preserve">46、合同份数 </w:t>
      </w:r>
    </w:p>
    <w:p>
      <w:pPr>
        <w:spacing w:line="440" w:lineRule="exact"/>
        <w:ind w:firstLine="359" w:firstLineChars="171"/>
        <w:rPr>
          <w:rFonts w:ascii="宋体" w:hAnsi="宋体"/>
          <w:color w:val="auto"/>
          <w:szCs w:val="21"/>
        </w:rPr>
      </w:pPr>
      <w:r>
        <w:rPr>
          <w:rFonts w:ascii="宋体" w:hAnsi="宋体"/>
          <w:color w:val="auto"/>
          <w:szCs w:val="21"/>
        </w:rPr>
        <w:t xml:space="preserve">46.1本合同正本两份，具有同等效力，由发包人承包人分别保存一份。 </w:t>
      </w:r>
    </w:p>
    <w:p>
      <w:pPr>
        <w:spacing w:line="440" w:lineRule="exact"/>
        <w:ind w:firstLine="359" w:firstLineChars="171"/>
        <w:rPr>
          <w:rFonts w:ascii="宋体" w:hAnsi="宋体"/>
          <w:color w:val="auto"/>
          <w:szCs w:val="21"/>
        </w:rPr>
      </w:pPr>
      <w:r>
        <w:rPr>
          <w:rFonts w:ascii="宋体" w:hAnsi="宋体"/>
          <w:color w:val="auto"/>
          <w:szCs w:val="21"/>
        </w:rPr>
        <w:t xml:space="preserve">46.2本合同副本份数，由双方根据需要在专用条款内约定。 </w:t>
      </w:r>
    </w:p>
    <w:p>
      <w:pPr>
        <w:spacing w:line="440" w:lineRule="exact"/>
        <w:ind w:firstLine="359" w:firstLineChars="171"/>
        <w:rPr>
          <w:rFonts w:ascii="宋体" w:hAnsi="宋体"/>
          <w:color w:val="auto"/>
          <w:szCs w:val="21"/>
        </w:rPr>
      </w:pPr>
      <w:r>
        <w:rPr>
          <w:rFonts w:ascii="宋体" w:hAnsi="宋体"/>
          <w:color w:val="auto"/>
          <w:szCs w:val="21"/>
        </w:rPr>
        <w:t xml:space="preserve">47、补充条款 </w:t>
      </w:r>
    </w:p>
    <w:p>
      <w:pPr>
        <w:spacing w:line="440" w:lineRule="exact"/>
        <w:ind w:firstLine="359" w:firstLineChars="171"/>
        <w:rPr>
          <w:rFonts w:ascii="宋体" w:hAnsi="宋体"/>
          <w:color w:val="auto"/>
          <w:szCs w:val="21"/>
        </w:rPr>
      </w:pPr>
      <w:r>
        <w:rPr>
          <w:rFonts w:hint="eastAsia" w:ascii="宋体" w:hAnsi="宋体"/>
          <w:color w:val="auto"/>
          <w:szCs w:val="21"/>
        </w:rPr>
        <w:t>双方根据有关法律、行政法规规定，结合工程实际，经协商一致后，可对本通用条款内容具体化，补充或修改，在专用条款内约定。</w:t>
      </w:r>
    </w:p>
    <w:p>
      <w:pPr>
        <w:spacing w:line="440" w:lineRule="exact"/>
        <w:ind w:firstLine="359" w:firstLineChars="171"/>
        <w:jc w:val="center"/>
        <w:rPr>
          <w:rFonts w:ascii="宋体" w:hAnsi="宋体"/>
          <w:b/>
          <w:color w:val="auto"/>
          <w:sz w:val="24"/>
        </w:rPr>
      </w:pPr>
      <w:r>
        <w:rPr>
          <w:rFonts w:ascii="宋体" w:hAnsi="宋体"/>
          <w:color w:val="auto"/>
          <w:szCs w:val="21"/>
        </w:rPr>
        <w:br w:type="page"/>
      </w:r>
      <w:r>
        <w:rPr>
          <w:rFonts w:hint="eastAsia" w:ascii="宋体" w:hAnsi="宋体"/>
          <w:b/>
          <w:color w:val="auto"/>
          <w:sz w:val="24"/>
        </w:rPr>
        <w:t>第三部分</w:t>
      </w:r>
      <w:r>
        <w:rPr>
          <w:rFonts w:ascii="宋体" w:hAnsi="宋体"/>
          <w:b/>
          <w:color w:val="auto"/>
          <w:sz w:val="24"/>
        </w:rPr>
        <w:t xml:space="preserve">  </w:t>
      </w:r>
      <w:r>
        <w:rPr>
          <w:rFonts w:hint="eastAsia" w:ascii="宋体" w:hAnsi="宋体"/>
          <w:b/>
          <w:color w:val="auto"/>
          <w:sz w:val="24"/>
        </w:rPr>
        <w:t>专用条款</w:t>
      </w:r>
    </w:p>
    <w:p>
      <w:pPr>
        <w:snapToGrid w:val="0"/>
        <w:spacing w:line="440" w:lineRule="exact"/>
        <w:ind w:firstLine="397"/>
        <w:rPr>
          <w:rFonts w:ascii="宋体" w:hAnsi="宋体"/>
          <w:b/>
          <w:color w:val="auto"/>
          <w:sz w:val="24"/>
        </w:rPr>
      </w:pPr>
    </w:p>
    <w:p>
      <w:pPr>
        <w:snapToGrid w:val="0"/>
        <w:spacing w:line="440" w:lineRule="exact"/>
        <w:ind w:firstLine="397"/>
        <w:rPr>
          <w:rFonts w:ascii="宋体" w:hAnsi="宋体"/>
          <w:b/>
          <w:color w:val="auto"/>
          <w:sz w:val="24"/>
        </w:rPr>
      </w:pPr>
      <w:r>
        <w:rPr>
          <w:rFonts w:hint="eastAsia" w:ascii="宋体" w:hAnsi="宋体"/>
          <w:b/>
          <w:color w:val="auto"/>
          <w:sz w:val="24"/>
        </w:rPr>
        <w:t>一、词语定义及合同文件</w:t>
      </w:r>
    </w:p>
    <w:p>
      <w:pPr>
        <w:snapToGrid w:val="0"/>
        <w:spacing w:line="440" w:lineRule="exact"/>
        <w:ind w:firstLine="482" w:firstLineChars="200"/>
        <w:rPr>
          <w:rFonts w:ascii="宋体" w:hAnsi="宋体"/>
          <w:color w:val="auto"/>
          <w:szCs w:val="21"/>
        </w:rPr>
      </w:pPr>
      <w:r>
        <w:rPr>
          <w:rFonts w:ascii="宋体" w:hAnsi="宋体"/>
          <w:b/>
          <w:bCs/>
          <w:color w:val="auto"/>
          <w:sz w:val="24"/>
        </w:rPr>
        <w:t>1.词语定义</w:t>
      </w:r>
    </w:p>
    <w:p>
      <w:pPr>
        <w:snapToGrid w:val="0"/>
        <w:spacing w:line="440" w:lineRule="exact"/>
        <w:ind w:firstLine="420" w:firstLineChars="200"/>
        <w:rPr>
          <w:rFonts w:ascii="宋体" w:hAnsi="宋体"/>
          <w:color w:val="auto"/>
          <w:szCs w:val="21"/>
        </w:rPr>
      </w:pPr>
      <w:r>
        <w:rPr>
          <w:rFonts w:ascii="宋体" w:hAnsi="宋体"/>
          <w:color w:val="auto"/>
          <w:szCs w:val="21"/>
        </w:rPr>
        <w:t>1.6</w:t>
      </w:r>
      <w:r>
        <w:rPr>
          <w:rFonts w:hint="eastAsia" w:ascii="宋体" w:hAnsi="宋体"/>
          <w:color w:val="auto"/>
          <w:szCs w:val="21"/>
        </w:rPr>
        <w:t>设计单位</w:t>
      </w:r>
    </w:p>
    <w:p>
      <w:pPr>
        <w:snapToGrid w:val="0"/>
        <w:spacing w:line="440" w:lineRule="exact"/>
        <w:ind w:firstLine="420" w:firstLineChars="200"/>
        <w:rPr>
          <w:rFonts w:ascii="宋体" w:hAnsi="宋体"/>
          <w:color w:val="auto"/>
          <w:szCs w:val="21"/>
        </w:rPr>
      </w:pPr>
      <w:r>
        <w:rPr>
          <w:rFonts w:hint="eastAsia" w:ascii="宋体" w:hAnsi="宋体"/>
          <w:color w:val="auto"/>
          <w:szCs w:val="21"/>
        </w:rPr>
        <w:t>本合同工程的设计单位是：</w:t>
      </w:r>
      <w:r>
        <w:rPr>
          <w:rFonts w:ascii="宋体" w:hAnsi="宋体"/>
          <w:color w:val="auto"/>
          <w:szCs w:val="21"/>
          <w:u w:val="single"/>
        </w:rPr>
        <w:t xml:space="preserve">                      </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1.7</w:t>
      </w:r>
      <w:r>
        <w:rPr>
          <w:rFonts w:hint="eastAsia" w:ascii="宋体" w:hAnsi="宋体"/>
          <w:color w:val="auto"/>
          <w:szCs w:val="21"/>
        </w:rPr>
        <w:t>监理单位</w:t>
      </w:r>
    </w:p>
    <w:p>
      <w:pPr>
        <w:snapToGrid w:val="0"/>
        <w:spacing w:line="440" w:lineRule="exact"/>
        <w:ind w:firstLine="420" w:firstLineChars="200"/>
        <w:rPr>
          <w:rFonts w:ascii="宋体" w:hAnsi="宋体"/>
          <w:color w:val="auto"/>
          <w:szCs w:val="21"/>
        </w:rPr>
      </w:pPr>
      <w:r>
        <w:rPr>
          <w:rFonts w:hint="eastAsia" w:ascii="宋体" w:hAnsi="宋体"/>
          <w:color w:val="auto"/>
          <w:szCs w:val="21"/>
        </w:rPr>
        <w:t>本合同工程的监理单位是：</w:t>
      </w:r>
      <w:r>
        <w:rPr>
          <w:rFonts w:ascii="宋体" w:hAnsi="宋体"/>
          <w:color w:val="auto"/>
          <w:szCs w:val="21"/>
          <w:u w:val="single"/>
        </w:rPr>
        <w:t xml:space="preserve">                       </w:t>
      </w:r>
      <w:r>
        <w:rPr>
          <w:rFonts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1.24招标控制价：</w:t>
      </w:r>
      <w:r>
        <w:rPr>
          <w:rFonts w:hint="eastAsia" w:ascii="宋体" w:hAnsi="宋体"/>
          <w:color w:val="auto"/>
          <w:szCs w:val="21"/>
          <w:u w:val="single"/>
        </w:rPr>
        <w:t>指经招标人确定的最高投标限价，并在广州公共资源交易中心开发区、黄埔区交易部公示</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1.25中标下浮率：</w:t>
      </w:r>
      <w:r>
        <w:rPr>
          <w:rFonts w:hint="eastAsia" w:ascii="宋体" w:hAnsi="宋体"/>
          <w:color w:val="auto"/>
          <w:szCs w:val="21"/>
          <w:u w:val="single"/>
        </w:rPr>
        <w:t>中标下浮率</w:t>
      </w:r>
      <w:r>
        <w:rPr>
          <w:rFonts w:ascii="宋体" w:hAnsi="宋体"/>
          <w:color w:val="auto"/>
          <w:szCs w:val="21"/>
          <w:u w:val="single"/>
        </w:rPr>
        <w:t>=</w:t>
      </w:r>
      <w:r>
        <w:rPr>
          <w:rFonts w:hint="eastAsia" w:ascii="宋体" w:hAnsi="宋体"/>
          <w:color w:val="auto"/>
          <w:szCs w:val="21"/>
          <w:u w:val="single"/>
        </w:rPr>
        <w:t>（</w:t>
      </w:r>
      <w:r>
        <w:rPr>
          <w:rFonts w:ascii="宋体" w:hAnsi="宋体"/>
          <w:color w:val="auto"/>
          <w:szCs w:val="21"/>
          <w:u w:val="single"/>
        </w:rPr>
        <w:t>1-中标价格÷招标控制价</w:t>
      </w:r>
      <w:r>
        <w:rPr>
          <w:rFonts w:hint="eastAsia" w:ascii="宋体" w:hAnsi="宋体"/>
          <w:color w:val="auto"/>
          <w:szCs w:val="21"/>
          <w:u w:val="single"/>
        </w:rPr>
        <w:t>）×</w:t>
      </w:r>
      <w:r>
        <w:rPr>
          <w:rFonts w:ascii="宋体" w:hAnsi="宋体"/>
          <w:color w:val="auto"/>
          <w:szCs w:val="21"/>
          <w:u w:val="single"/>
        </w:rPr>
        <w:t>100%</w:t>
      </w:r>
      <w:r>
        <w:rPr>
          <w:rFonts w:hint="eastAsia" w:ascii="宋体" w:hAnsi="宋体"/>
          <w:color w:val="auto"/>
          <w:szCs w:val="21"/>
          <w:u w:val="single"/>
        </w:rPr>
        <w:t>,式中的中标价格及招标控制价均不含不可竞争的绿色施工安全防护措施费及暂列金额。</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1.26工人工资比例=中标通知书规定的人工费金额</w:t>
      </w:r>
      <w:r>
        <w:rPr>
          <w:rFonts w:ascii="宋体" w:hAnsi="宋体"/>
          <w:color w:val="auto"/>
          <w:szCs w:val="21"/>
        </w:rPr>
        <w:t>÷</w:t>
      </w:r>
      <w:r>
        <w:rPr>
          <w:rFonts w:hint="eastAsia" w:ascii="宋体" w:hAnsi="宋体"/>
          <w:color w:val="auto"/>
          <w:szCs w:val="21"/>
        </w:rPr>
        <w:t>中标价格</w:t>
      </w:r>
    </w:p>
    <w:p>
      <w:pPr>
        <w:snapToGrid w:val="0"/>
        <w:spacing w:line="440" w:lineRule="exact"/>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、合同文件及解释顺序</w:t>
      </w:r>
    </w:p>
    <w:p>
      <w:pPr>
        <w:snapToGrid w:val="0"/>
        <w:spacing w:line="440" w:lineRule="exact"/>
        <w:ind w:firstLine="420" w:firstLineChars="200"/>
        <w:rPr>
          <w:rFonts w:ascii="宋体" w:hAnsi="宋体"/>
          <w:color w:val="auto"/>
          <w:szCs w:val="21"/>
          <w:u w:val="single"/>
        </w:rPr>
      </w:pPr>
      <w:r>
        <w:rPr>
          <w:rFonts w:ascii="宋体" w:hAnsi="宋体"/>
          <w:color w:val="auto"/>
          <w:szCs w:val="21"/>
        </w:rPr>
        <w:t>2.1</w:t>
      </w:r>
      <w:r>
        <w:rPr>
          <w:rFonts w:hint="eastAsia" w:ascii="宋体" w:hAnsi="宋体"/>
          <w:color w:val="auto"/>
          <w:szCs w:val="21"/>
        </w:rPr>
        <w:t>合同文件组成及解释顺序：</w:t>
      </w:r>
      <w:r>
        <w:rPr>
          <w:rFonts w:ascii="宋体" w:hAnsi="宋体"/>
          <w:color w:val="auto"/>
          <w:szCs w:val="21"/>
          <w:u w:val="single"/>
        </w:rPr>
        <w:t>1.</w:t>
      </w:r>
      <w:r>
        <w:rPr>
          <w:rFonts w:hint="eastAsia" w:ascii="宋体" w:hAnsi="宋体"/>
          <w:color w:val="auto"/>
          <w:szCs w:val="21"/>
          <w:u w:val="single"/>
        </w:rPr>
        <w:t>本合同履行期间发包人与承包人双方签订的补充合同（协议）或修正文件；</w:t>
      </w:r>
      <w:r>
        <w:rPr>
          <w:rFonts w:ascii="宋体" w:hAnsi="宋体"/>
          <w:color w:val="auto"/>
          <w:szCs w:val="21"/>
          <w:u w:val="single"/>
        </w:rPr>
        <w:t>2.</w:t>
      </w:r>
      <w:r>
        <w:rPr>
          <w:rFonts w:hint="eastAsia" w:ascii="宋体" w:hAnsi="宋体"/>
          <w:color w:val="auto"/>
          <w:szCs w:val="21"/>
          <w:u w:val="single"/>
        </w:rPr>
        <w:t>本合同协议书；</w:t>
      </w:r>
      <w:r>
        <w:rPr>
          <w:rFonts w:ascii="宋体" w:hAnsi="宋体"/>
          <w:color w:val="auto"/>
          <w:szCs w:val="21"/>
          <w:u w:val="single"/>
        </w:rPr>
        <w:t>3.</w:t>
      </w:r>
      <w:r>
        <w:rPr>
          <w:rFonts w:hint="eastAsia" w:ascii="宋体" w:hAnsi="宋体"/>
          <w:color w:val="auto"/>
          <w:szCs w:val="21"/>
          <w:u w:val="single"/>
        </w:rPr>
        <w:t>国家、广东省、广州市、广州开发区黄埔区关于本工程施工的有关文件（发包人在收到后尽快通报给承包人）；</w:t>
      </w:r>
      <w:r>
        <w:rPr>
          <w:rFonts w:ascii="宋体" w:hAnsi="宋体"/>
          <w:color w:val="auto"/>
          <w:szCs w:val="21"/>
          <w:u w:val="single"/>
        </w:rPr>
        <w:t>4.</w:t>
      </w:r>
      <w:r>
        <w:rPr>
          <w:rFonts w:hint="eastAsia" w:ascii="宋体" w:hAnsi="宋体"/>
          <w:color w:val="auto"/>
          <w:szCs w:val="21"/>
          <w:u w:val="single"/>
        </w:rPr>
        <w:t>发包人针对本工程建设管理的各项制度、规定；</w:t>
      </w:r>
      <w:r>
        <w:rPr>
          <w:rFonts w:ascii="宋体" w:hAnsi="宋体"/>
          <w:color w:val="auto"/>
          <w:szCs w:val="21"/>
          <w:u w:val="single"/>
        </w:rPr>
        <w:t>5.</w:t>
      </w:r>
      <w:r>
        <w:rPr>
          <w:rFonts w:hint="eastAsia" w:ascii="宋体" w:hAnsi="宋体"/>
          <w:color w:val="auto"/>
          <w:szCs w:val="21"/>
          <w:u w:val="single"/>
        </w:rPr>
        <w:t>中标通知书；</w:t>
      </w:r>
      <w:r>
        <w:rPr>
          <w:rFonts w:ascii="宋体" w:hAnsi="宋体"/>
          <w:color w:val="auto"/>
          <w:szCs w:val="21"/>
          <w:u w:val="single"/>
        </w:rPr>
        <w:t>6.</w:t>
      </w:r>
      <w:r>
        <w:rPr>
          <w:rFonts w:hint="eastAsia" w:ascii="宋体" w:hAnsi="宋体"/>
          <w:color w:val="auto"/>
          <w:szCs w:val="21"/>
          <w:u w:val="single"/>
        </w:rPr>
        <w:t>本合同专用条款；</w:t>
      </w:r>
      <w:r>
        <w:rPr>
          <w:rFonts w:ascii="宋体" w:hAnsi="宋体"/>
          <w:color w:val="auto"/>
          <w:szCs w:val="21"/>
          <w:u w:val="single"/>
        </w:rPr>
        <w:t>7.</w:t>
      </w:r>
      <w:r>
        <w:rPr>
          <w:rFonts w:hint="eastAsia" w:ascii="宋体" w:hAnsi="宋体"/>
          <w:color w:val="auto"/>
          <w:szCs w:val="21"/>
          <w:u w:val="single"/>
        </w:rPr>
        <w:t>招标文件及附件（包括补充、修改、澄清文件及答疑纪要等）；</w:t>
      </w:r>
      <w:r>
        <w:rPr>
          <w:rFonts w:ascii="宋体" w:hAnsi="宋体"/>
          <w:color w:val="auto"/>
          <w:szCs w:val="21"/>
          <w:u w:val="single"/>
        </w:rPr>
        <w:t>8.</w:t>
      </w:r>
      <w:r>
        <w:rPr>
          <w:rFonts w:hint="eastAsia" w:ascii="宋体" w:hAnsi="宋体"/>
          <w:color w:val="auto"/>
          <w:szCs w:val="21"/>
          <w:u w:val="single"/>
        </w:rPr>
        <w:t>本合同通用条款；</w:t>
      </w:r>
      <w:r>
        <w:rPr>
          <w:rFonts w:ascii="宋体" w:hAnsi="宋体"/>
          <w:color w:val="auto"/>
          <w:szCs w:val="21"/>
          <w:u w:val="single"/>
        </w:rPr>
        <w:t>9.</w:t>
      </w:r>
      <w:r>
        <w:rPr>
          <w:rFonts w:hint="eastAsia" w:ascii="宋体" w:hAnsi="宋体"/>
          <w:color w:val="auto"/>
          <w:szCs w:val="21"/>
          <w:u w:val="single"/>
        </w:rPr>
        <w:t>投标文件及附件；</w:t>
      </w:r>
      <w:r>
        <w:rPr>
          <w:rFonts w:ascii="宋体" w:hAnsi="宋体"/>
          <w:color w:val="auto"/>
          <w:szCs w:val="21"/>
          <w:u w:val="single"/>
        </w:rPr>
        <w:t>10.</w:t>
      </w:r>
      <w:r>
        <w:rPr>
          <w:rFonts w:hint="eastAsia" w:ascii="宋体" w:hAnsi="宋体"/>
          <w:color w:val="auto"/>
          <w:szCs w:val="21"/>
          <w:u w:val="single"/>
        </w:rPr>
        <w:t>标准、规范和其他有关技术文件；</w:t>
      </w:r>
      <w:r>
        <w:rPr>
          <w:rFonts w:ascii="宋体" w:hAnsi="宋体"/>
          <w:color w:val="auto"/>
          <w:szCs w:val="21"/>
          <w:u w:val="single"/>
        </w:rPr>
        <w:t>11.</w:t>
      </w:r>
      <w:r>
        <w:rPr>
          <w:rFonts w:hint="eastAsia" w:ascii="宋体" w:hAnsi="宋体"/>
          <w:color w:val="auto"/>
          <w:szCs w:val="21"/>
          <w:u w:val="single"/>
        </w:rPr>
        <w:t>图纸；</w:t>
      </w:r>
      <w:r>
        <w:rPr>
          <w:rFonts w:ascii="宋体" w:hAnsi="宋体"/>
          <w:color w:val="auto"/>
          <w:szCs w:val="21"/>
          <w:u w:val="single"/>
        </w:rPr>
        <w:t>12.</w:t>
      </w:r>
      <w:r>
        <w:rPr>
          <w:rFonts w:hint="eastAsia" w:ascii="宋体" w:hAnsi="宋体"/>
          <w:color w:val="auto"/>
          <w:szCs w:val="21"/>
          <w:u w:val="single"/>
        </w:rPr>
        <w:t>工程量清单；</w:t>
      </w:r>
      <w:r>
        <w:rPr>
          <w:rFonts w:ascii="宋体" w:hAnsi="宋体"/>
          <w:color w:val="auto"/>
          <w:szCs w:val="21"/>
          <w:u w:val="single"/>
        </w:rPr>
        <w:t>13.</w:t>
      </w:r>
      <w:r>
        <w:rPr>
          <w:rFonts w:hint="eastAsia" w:ascii="宋体" w:hAnsi="宋体"/>
          <w:color w:val="auto"/>
          <w:szCs w:val="21"/>
          <w:u w:val="single"/>
        </w:rPr>
        <w:t>合同附件（工程质量保修责任书、标函承诺书、项目负责人驻场承诺书</w:t>
      </w:r>
      <w:r>
        <w:rPr>
          <w:rFonts w:hint="eastAsia" w:ascii="宋体" w:hAnsi="宋体"/>
          <w:color w:val="auto"/>
          <w:sz w:val="28"/>
          <w:szCs w:val="28"/>
          <w:u w:val="single"/>
        </w:rPr>
        <w:t>、</w:t>
      </w:r>
      <w:r>
        <w:rPr>
          <w:rFonts w:hint="eastAsia" w:ascii="宋体" w:hAnsi="宋体"/>
          <w:color w:val="auto"/>
          <w:szCs w:val="21"/>
          <w:u w:val="single"/>
        </w:rPr>
        <w:t>工程建设廉政协议书等）</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w:t>
      </w:r>
      <w:r>
        <w:rPr>
          <w:rFonts w:hint="eastAsia" w:ascii="宋体" w:hAnsi="宋体"/>
          <w:b/>
          <w:color w:val="auto"/>
          <w:sz w:val="24"/>
        </w:rPr>
        <w:t>、语言文字和适用法律、标准及规范</w:t>
      </w:r>
    </w:p>
    <w:p>
      <w:pPr>
        <w:snapToGrid w:val="0"/>
        <w:spacing w:line="440" w:lineRule="exact"/>
        <w:ind w:firstLine="397"/>
        <w:rPr>
          <w:rFonts w:ascii="宋体" w:hAnsi="宋体"/>
          <w:color w:val="auto"/>
          <w:szCs w:val="21"/>
        </w:rPr>
      </w:pPr>
      <w:r>
        <w:rPr>
          <w:rFonts w:ascii="宋体" w:hAnsi="宋体"/>
          <w:color w:val="auto"/>
          <w:szCs w:val="21"/>
        </w:rPr>
        <w:t>3.1</w:t>
      </w:r>
      <w:r>
        <w:rPr>
          <w:rFonts w:hint="eastAsia" w:ascii="宋体" w:hAnsi="宋体"/>
          <w:color w:val="auto"/>
          <w:szCs w:val="21"/>
        </w:rPr>
        <w:t>本合同除使用汉语外，还使用</w:t>
      </w:r>
      <w:r>
        <w:rPr>
          <w:rFonts w:ascii="宋体" w:hAnsi="宋体"/>
          <w:color w:val="auto"/>
          <w:szCs w:val="21"/>
          <w:u w:val="single"/>
        </w:rPr>
        <w:t xml:space="preserve">   /   </w:t>
      </w:r>
      <w:r>
        <w:rPr>
          <w:rFonts w:hint="eastAsia" w:ascii="宋体" w:hAnsi="宋体"/>
          <w:color w:val="auto"/>
          <w:szCs w:val="21"/>
        </w:rPr>
        <w:t>语言文字。</w:t>
      </w:r>
    </w:p>
    <w:p>
      <w:pPr>
        <w:snapToGrid w:val="0"/>
        <w:spacing w:line="440" w:lineRule="exact"/>
        <w:ind w:firstLine="397"/>
        <w:rPr>
          <w:rFonts w:ascii="宋体" w:hAnsi="宋体"/>
          <w:color w:val="auto"/>
          <w:szCs w:val="21"/>
        </w:rPr>
      </w:pPr>
      <w:r>
        <w:rPr>
          <w:rFonts w:ascii="宋体" w:hAnsi="宋体"/>
          <w:color w:val="auto"/>
          <w:szCs w:val="21"/>
        </w:rPr>
        <w:t>3.2</w:t>
      </w:r>
      <w:r>
        <w:rPr>
          <w:rFonts w:hint="eastAsia" w:ascii="宋体" w:hAnsi="宋体"/>
          <w:color w:val="auto"/>
          <w:szCs w:val="21"/>
        </w:rPr>
        <w:t>适用法律和法规</w:t>
      </w:r>
    </w:p>
    <w:p>
      <w:pPr>
        <w:snapToGrid w:val="0"/>
        <w:spacing w:line="440" w:lineRule="exact"/>
        <w:ind w:firstLine="397"/>
        <w:rPr>
          <w:rFonts w:ascii="宋体" w:hAnsi="宋体"/>
          <w:color w:val="auto"/>
          <w:szCs w:val="21"/>
          <w:u w:val="single"/>
        </w:rPr>
      </w:pPr>
      <w:r>
        <w:rPr>
          <w:rFonts w:hint="eastAsia" w:ascii="宋体" w:hAnsi="宋体"/>
          <w:color w:val="auto"/>
          <w:szCs w:val="21"/>
        </w:rPr>
        <w:t>需要明示的法律、行政法规：</w:t>
      </w:r>
      <w:r>
        <w:rPr>
          <w:rFonts w:hint="eastAsia" w:ascii="宋体" w:hAnsi="宋体"/>
          <w:color w:val="auto"/>
          <w:szCs w:val="21"/>
          <w:u w:val="single"/>
        </w:rPr>
        <w:t>按照现行的法律、法规</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3.3</w:t>
      </w:r>
      <w:r>
        <w:rPr>
          <w:rFonts w:hint="eastAsia" w:ascii="宋体" w:hAnsi="宋体"/>
          <w:color w:val="auto"/>
          <w:szCs w:val="21"/>
        </w:rPr>
        <w:t>适用标准、规范</w:t>
      </w:r>
    </w:p>
    <w:p>
      <w:pPr>
        <w:snapToGrid w:val="0"/>
        <w:spacing w:line="440" w:lineRule="exact"/>
        <w:ind w:firstLine="397"/>
        <w:rPr>
          <w:rFonts w:ascii="宋体" w:hAnsi="宋体"/>
          <w:color w:val="auto"/>
          <w:szCs w:val="21"/>
        </w:rPr>
      </w:pPr>
      <w:r>
        <w:rPr>
          <w:rFonts w:hint="eastAsia" w:ascii="宋体" w:hAnsi="宋体"/>
          <w:color w:val="auto"/>
          <w:szCs w:val="21"/>
        </w:rPr>
        <w:t>适用标准、规范的名称：</w:t>
      </w:r>
      <w:r>
        <w:rPr>
          <w:rFonts w:hint="eastAsia" w:ascii="宋体" w:hAnsi="宋体"/>
          <w:color w:val="auto"/>
          <w:szCs w:val="21"/>
          <w:u w:val="single"/>
        </w:rPr>
        <w:t>相应工种现行施工规范</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发包人提供标准、规范的时间：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国内没有相应标准、规范时的约定：</w:t>
      </w:r>
      <w:r>
        <w:rPr>
          <w:rFonts w:hint="eastAsia" w:ascii="宋体" w:hAnsi="宋体"/>
          <w:color w:val="auto"/>
          <w:szCs w:val="21"/>
          <w:u w:val="single"/>
        </w:rPr>
        <w:t>按施工图纸，招标文件和广州开发区相关规定及答疑纪要的要求执行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w:t>
      </w:r>
      <w:r>
        <w:rPr>
          <w:rFonts w:hint="eastAsia" w:ascii="宋体" w:hAnsi="宋体"/>
          <w:b/>
          <w:color w:val="auto"/>
          <w:sz w:val="24"/>
        </w:rPr>
        <w:t>、图纸</w:t>
      </w:r>
    </w:p>
    <w:p>
      <w:pPr>
        <w:snapToGrid w:val="0"/>
        <w:spacing w:line="440" w:lineRule="exact"/>
        <w:ind w:firstLine="315"/>
        <w:rPr>
          <w:rFonts w:ascii="宋体" w:hAnsi="宋体"/>
          <w:color w:val="auto"/>
          <w:szCs w:val="21"/>
          <w:u w:val="single"/>
        </w:rPr>
      </w:pPr>
      <w:r>
        <w:rPr>
          <w:rFonts w:ascii="宋体" w:hAnsi="宋体"/>
          <w:color w:val="auto"/>
          <w:szCs w:val="21"/>
        </w:rPr>
        <w:t>4.1</w:t>
      </w:r>
      <w:r>
        <w:rPr>
          <w:rFonts w:hint="eastAsia" w:ascii="宋体" w:hAnsi="宋体"/>
          <w:color w:val="auto"/>
          <w:szCs w:val="21"/>
        </w:rPr>
        <w:t>发包人向承包人提供图纸日期和套数：</w:t>
      </w:r>
      <w:r>
        <w:rPr>
          <w:rFonts w:hint="eastAsia" w:ascii="宋体" w:hAnsi="宋体"/>
          <w:color w:val="auto"/>
          <w:szCs w:val="21"/>
          <w:u w:val="single"/>
        </w:rPr>
        <w:t>开工前提供肆套图纸</w:t>
      </w:r>
      <w:r>
        <w:rPr>
          <w:rFonts w:hint="eastAsia" w:ascii="宋体" w:hAnsi="宋体"/>
          <w:color w:val="auto"/>
          <w:szCs w:val="21"/>
        </w:rPr>
        <w:t>。</w:t>
      </w:r>
    </w:p>
    <w:p>
      <w:pPr>
        <w:snapToGrid w:val="0"/>
        <w:spacing w:line="440" w:lineRule="exact"/>
        <w:ind w:left="907" w:leftChars="132" w:hanging="630" w:hangingChars="300"/>
        <w:rPr>
          <w:rFonts w:ascii="宋体" w:hAnsi="宋体"/>
          <w:color w:val="auto"/>
          <w:szCs w:val="21"/>
          <w:u w:val="single"/>
        </w:rPr>
      </w:pPr>
      <w:r>
        <w:rPr>
          <w:rFonts w:hint="eastAsia" w:ascii="宋体" w:hAnsi="宋体"/>
          <w:color w:val="auto"/>
          <w:szCs w:val="21"/>
        </w:rPr>
        <w:t>发包人对图纸的保密要求：</w:t>
      </w:r>
      <w:r>
        <w:rPr>
          <w:rFonts w:hint="eastAsia" w:ascii="宋体" w:hAnsi="宋体"/>
          <w:color w:val="auto"/>
          <w:szCs w:val="21"/>
          <w:u w:val="single"/>
        </w:rPr>
        <w:t>按本合同通用条款</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使用国外图纸的要求及费用承担：</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二、双方一般权利和义务</w:t>
      </w:r>
    </w:p>
    <w:p>
      <w:pPr>
        <w:snapToGrid w:val="0"/>
        <w:spacing w:line="440" w:lineRule="exact"/>
        <w:ind w:firstLine="397"/>
        <w:rPr>
          <w:rFonts w:ascii="宋体" w:hAnsi="宋体"/>
          <w:b/>
          <w:color w:val="auto"/>
          <w:sz w:val="24"/>
        </w:rPr>
      </w:pPr>
      <w:r>
        <w:rPr>
          <w:rFonts w:ascii="宋体" w:hAnsi="宋体"/>
          <w:b/>
          <w:color w:val="auto"/>
          <w:sz w:val="24"/>
        </w:rPr>
        <w:t>5</w:t>
      </w:r>
      <w:r>
        <w:rPr>
          <w:rFonts w:hint="eastAsia" w:ascii="宋体" w:hAnsi="宋体"/>
          <w:b/>
          <w:color w:val="auto"/>
          <w:sz w:val="24"/>
        </w:rPr>
        <w:t>、工程师</w:t>
      </w:r>
    </w:p>
    <w:p>
      <w:pPr>
        <w:snapToGrid w:val="0"/>
        <w:spacing w:line="440" w:lineRule="exact"/>
        <w:ind w:firstLine="397"/>
        <w:rPr>
          <w:rFonts w:ascii="宋体" w:hAnsi="宋体"/>
          <w:color w:val="auto"/>
          <w:szCs w:val="21"/>
        </w:rPr>
      </w:pPr>
      <w:r>
        <w:rPr>
          <w:rFonts w:ascii="宋体" w:hAnsi="宋体"/>
          <w:color w:val="auto"/>
          <w:szCs w:val="21"/>
        </w:rPr>
        <w:t>5.2</w:t>
      </w:r>
      <w:r>
        <w:rPr>
          <w:rFonts w:hint="eastAsia" w:ascii="宋体" w:hAnsi="宋体"/>
          <w:color w:val="auto"/>
          <w:szCs w:val="21"/>
        </w:rPr>
        <w:t>监理单位委派的工程师</w:t>
      </w:r>
    </w:p>
    <w:p>
      <w:pPr>
        <w:snapToGrid w:val="0"/>
        <w:spacing w:line="440" w:lineRule="exact"/>
        <w:ind w:firstLine="397"/>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总监理工程师</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发包人委托的职权：</w:t>
      </w:r>
      <w:r>
        <w:rPr>
          <w:rFonts w:hint="eastAsia" w:ascii="宋体" w:hAnsi="宋体"/>
          <w:color w:val="auto"/>
          <w:szCs w:val="21"/>
          <w:u w:val="single"/>
        </w:rPr>
        <w:t>对本工程进行全过程的监理</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需要取得发包人批准才能行使的职权：</w:t>
      </w:r>
      <w:r>
        <w:rPr>
          <w:rFonts w:hint="eastAsia" w:ascii="宋体" w:hAnsi="宋体"/>
          <w:color w:val="auto"/>
          <w:szCs w:val="21"/>
          <w:u w:val="single"/>
        </w:rPr>
        <w:t>按发包人与监理单位签订的监理合同有关规定执行，涉及变更签证或费用</w:t>
      </w:r>
      <w:r>
        <w:rPr>
          <w:rFonts w:hint="eastAsia" w:ascii="宋体" w:hAnsi="宋体"/>
          <w:color w:val="auto"/>
          <w:szCs w:val="21"/>
        </w:rPr>
        <w:t>调整、发布开工、停工、复工令等均需经</w:t>
      </w:r>
      <w:r>
        <w:rPr>
          <w:rFonts w:hint="eastAsia" w:ascii="宋体" w:hAnsi="宋体"/>
          <w:color w:val="auto"/>
          <w:szCs w:val="21"/>
          <w:u w:val="single"/>
        </w:rPr>
        <w:t>发包人书面认可</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义务：</w:t>
      </w:r>
      <w:r>
        <w:rPr>
          <w:rFonts w:hint="eastAsia" w:ascii="宋体" w:hAnsi="宋体"/>
          <w:color w:val="auto"/>
          <w:szCs w:val="21"/>
          <w:u w:val="single"/>
        </w:rPr>
        <w:t>常驻现场，代表监理单位履行与发包人签订的监理合同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5.3</w:t>
      </w:r>
      <w:r>
        <w:rPr>
          <w:rFonts w:hint="eastAsia" w:ascii="宋体" w:hAnsi="宋体"/>
          <w:color w:val="auto"/>
          <w:szCs w:val="21"/>
        </w:rPr>
        <w:t>发包人派驻的工程师</w:t>
      </w:r>
    </w:p>
    <w:p>
      <w:pPr>
        <w:snapToGrid w:val="0"/>
        <w:spacing w:line="440" w:lineRule="exact"/>
        <w:ind w:firstLine="397"/>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，职务：</w:t>
      </w:r>
      <w:r>
        <w:rPr>
          <w:rFonts w:hint="eastAsia" w:ascii="宋体" w:hAnsi="宋体"/>
          <w:color w:val="auto"/>
          <w:szCs w:val="21"/>
          <w:u w:val="single"/>
        </w:rPr>
        <w:t>工程师</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职权：</w:t>
      </w:r>
      <w:r>
        <w:rPr>
          <w:rFonts w:hint="eastAsia" w:ascii="宋体" w:hAnsi="宋体"/>
          <w:color w:val="auto"/>
          <w:szCs w:val="21"/>
          <w:u w:val="single"/>
        </w:rPr>
        <w:t>发包人代表，行使发包人的权利</w:t>
      </w:r>
      <w:r>
        <w:rPr>
          <w:rFonts w:hint="eastAsia" w:ascii="宋体" w:hAnsi="宋体"/>
          <w:color w:val="auto"/>
          <w:szCs w:val="21"/>
        </w:rPr>
        <w:t>。</w:t>
      </w:r>
    </w:p>
    <w:p>
      <w:pPr>
        <w:snapToGrid w:val="0"/>
        <w:spacing w:line="440" w:lineRule="exact"/>
        <w:ind w:firstLine="397"/>
        <w:rPr>
          <w:rFonts w:ascii="宋体" w:hAnsi="宋体"/>
          <w:color w:val="auto"/>
          <w:spacing w:val="-8"/>
          <w:szCs w:val="21"/>
          <w:u w:val="single"/>
        </w:rPr>
      </w:pPr>
      <w:r>
        <w:rPr>
          <w:rFonts w:hint="eastAsia" w:ascii="宋体" w:hAnsi="宋体"/>
          <w:color w:val="auto"/>
          <w:spacing w:val="-8"/>
          <w:szCs w:val="21"/>
        </w:rPr>
        <w:t>义务：</w:t>
      </w:r>
      <w:r>
        <w:rPr>
          <w:rFonts w:hint="eastAsia" w:ascii="宋体" w:hAnsi="宋体"/>
          <w:color w:val="auto"/>
          <w:spacing w:val="-8"/>
          <w:szCs w:val="21"/>
          <w:u w:val="single"/>
        </w:rPr>
        <w:t>常驻现场，代表发包人负责工程质量、进度、技术、投资控制等施工期间的日常管理工作，履行与承包人签订的本建设工程施工合同。</w:t>
      </w:r>
    </w:p>
    <w:p>
      <w:pPr>
        <w:snapToGrid w:val="0"/>
        <w:spacing w:line="440" w:lineRule="exact"/>
        <w:ind w:firstLine="397"/>
        <w:rPr>
          <w:rFonts w:ascii="宋体" w:hAnsi="宋体"/>
          <w:color w:val="auto"/>
          <w:szCs w:val="21"/>
        </w:rPr>
      </w:pPr>
      <w:r>
        <w:rPr>
          <w:rFonts w:ascii="宋体" w:hAnsi="宋体"/>
          <w:color w:val="auto"/>
          <w:szCs w:val="21"/>
        </w:rPr>
        <w:t>5.6</w:t>
      </w:r>
      <w:r>
        <w:rPr>
          <w:rFonts w:hint="eastAsia" w:ascii="宋体" w:hAnsi="宋体"/>
          <w:color w:val="auto"/>
          <w:szCs w:val="21"/>
        </w:rPr>
        <w:t>不实行监理的，工程师的职权：</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7</w:t>
      </w:r>
      <w:r>
        <w:rPr>
          <w:rFonts w:hint="eastAsia" w:ascii="宋体" w:hAnsi="宋体"/>
          <w:b/>
          <w:color w:val="auto"/>
          <w:sz w:val="24"/>
        </w:rPr>
        <w:t>、项目负责人</w:t>
      </w:r>
    </w:p>
    <w:p>
      <w:pPr>
        <w:snapToGrid w:val="0"/>
        <w:spacing w:line="360" w:lineRule="auto"/>
        <w:ind w:firstLine="397"/>
        <w:rPr>
          <w:rFonts w:ascii="宋体" w:hAnsi="宋体"/>
          <w:color w:val="auto"/>
          <w:szCs w:val="21"/>
        </w:rPr>
      </w:pPr>
      <w:r>
        <w:rPr>
          <w:rFonts w:ascii="宋体" w:hAnsi="宋体"/>
          <w:color w:val="auto"/>
          <w:szCs w:val="21"/>
        </w:rPr>
        <w:t>7.1</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项目负责人</w:t>
      </w:r>
    </w:p>
    <w:p>
      <w:pPr>
        <w:snapToGrid w:val="0"/>
        <w:spacing w:line="360" w:lineRule="auto"/>
        <w:ind w:firstLine="397"/>
        <w:rPr>
          <w:rFonts w:ascii="宋体" w:hAnsi="宋体"/>
          <w:color w:val="auto"/>
          <w:szCs w:val="21"/>
          <w:u w:val="single"/>
        </w:rPr>
      </w:pPr>
      <w:r>
        <w:rPr>
          <w:rFonts w:hint="eastAsia" w:ascii="宋体" w:hAnsi="宋体"/>
          <w:color w:val="auto"/>
          <w:szCs w:val="21"/>
        </w:rPr>
        <w:t>姓名：</w:t>
      </w:r>
      <w:r>
        <w:rPr>
          <w:rFonts w:ascii="宋体" w:hAnsi="宋体"/>
          <w:color w:val="auto"/>
          <w:szCs w:val="21"/>
          <w:u w:val="single"/>
        </w:rPr>
        <w:t xml:space="preserve">        </w:t>
      </w:r>
      <w:r>
        <w:rPr>
          <w:rFonts w:hint="eastAsia" w:ascii="宋体" w:hAnsi="宋体"/>
          <w:color w:val="auto"/>
          <w:szCs w:val="21"/>
        </w:rPr>
        <w:t>，职权：</w:t>
      </w:r>
      <w:r>
        <w:rPr>
          <w:rFonts w:hint="eastAsia" w:ascii="宋体" w:hAnsi="宋体"/>
          <w:color w:val="auto"/>
          <w:szCs w:val="21"/>
          <w:u w:val="single"/>
        </w:rPr>
        <w:t>代表承包人全权处理本工程的一切事务</w:t>
      </w:r>
      <w:r>
        <w:rPr>
          <w:rFonts w:hint="eastAsia" w:ascii="宋体" w:hAnsi="宋体"/>
          <w:color w:val="auto"/>
          <w:szCs w:val="21"/>
        </w:rPr>
        <w:t>。</w:t>
      </w:r>
    </w:p>
    <w:p>
      <w:pPr>
        <w:snapToGrid w:val="0"/>
        <w:spacing w:line="360" w:lineRule="auto"/>
        <w:ind w:firstLine="397"/>
        <w:rPr>
          <w:rFonts w:ascii="宋体" w:hAnsi="宋体"/>
          <w:color w:val="auto"/>
          <w:szCs w:val="21"/>
        </w:rPr>
      </w:pPr>
      <w:r>
        <w:rPr>
          <w:rFonts w:hint="eastAsia" w:ascii="宋体" w:hAnsi="宋体"/>
          <w:color w:val="auto"/>
          <w:szCs w:val="21"/>
        </w:rPr>
        <w:t>义务：</w:t>
      </w:r>
      <w:r>
        <w:rPr>
          <w:rFonts w:hint="eastAsia" w:ascii="宋体" w:hAnsi="宋体"/>
          <w:color w:val="auto"/>
          <w:szCs w:val="21"/>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olor w:val="auto"/>
          <w:szCs w:val="21"/>
        </w:rPr>
        <w:t>。</w:t>
      </w:r>
    </w:p>
    <w:p>
      <w:pPr>
        <w:snapToGrid w:val="0"/>
        <w:spacing w:line="360" w:lineRule="auto"/>
        <w:ind w:firstLine="397"/>
        <w:rPr>
          <w:rFonts w:ascii="宋体" w:hAnsi="宋体"/>
          <w:color w:val="auto"/>
          <w:szCs w:val="21"/>
        </w:rPr>
      </w:pPr>
      <w:r>
        <w:rPr>
          <w:rFonts w:ascii="宋体" w:hAnsi="宋体"/>
          <w:color w:val="auto"/>
          <w:szCs w:val="21"/>
        </w:rPr>
        <w:t>7.4</w:t>
      </w:r>
      <w:r>
        <w:rPr>
          <w:rFonts w:hint="eastAsia" w:ascii="宋体" w:hAnsi="宋体"/>
          <w:color w:val="auto"/>
          <w:szCs w:val="21"/>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olor w:val="auto"/>
          <w:szCs w:val="21"/>
        </w:rPr>
        <w:t>。</w:t>
      </w:r>
    </w:p>
    <w:p>
      <w:pPr>
        <w:snapToGrid w:val="0"/>
        <w:spacing w:line="360" w:lineRule="auto"/>
        <w:ind w:firstLine="397"/>
        <w:rPr>
          <w:rFonts w:ascii="宋体" w:hAnsi="宋体"/>
          <w:color w:val="auto"/>
          <w:szCs w:val="21"/>
        </w:rPr>
      </w:pPr>
      <w:r>
        <w:rPr>
          <w:rFonts w:ascii="宋体" w:hAnsi="宋体"/>
          <w:color w:val="auto"/>
          <w:szCs w:val="21"/>
        </w:rPr>
        <w:t>7.5</w:t>
      </w:r>
      <w:r>
        <w:rPr>
          <w:rFonts w:hint="eastAsia" w:ascii="宋体" w:hAnsi="宋体"/>
          <w:color w:val="auto"/>
          <w:szCs w:val="21"/>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olor w:val="auto"/>
          <w:szCs w:val="21"/>
        </w:rPr>
        <w:t>。</w:t>
      </w:r>
    </w:p>
    <w:p>
      <w:pPr>
        <w:snapToGrid w:val="0"/>
        <w:spacing w:line="360" w:lineRule="auto"/>
        <w:ind w:firstLine="397"/>
        <w:rPr>
          <w:rFonts w:ascii="宋体" w:hAnsi="宋体"/>
          <w:color w:val="auto"/>
          <w:szCs w:val="21"/>
        </w:rPr>
      </w:pPr>
      <w:r>
        <w:rPr>
          <w:rFonts w:ascii="宋体" w:hAnsi="宋体"/>
          <w:color w:val="auto"/>
          <w:szCs w:val="21"/>
        </w:rPr>
        <w:t>7.6</w:t>
      </w:r>
      <w:r>
        <w:rPr>
          <w:rFonts w:hint="eastAsia" w:ascii="宋体" w:hAnsi="宋体"/>
          <w:color w:val="auto"/>
          <w:szCs w:val="21"/>
          <w:u w:val="single"/>
        </w:rPr>
        <w:t>承包人项目负责人不得兼任其他工程项目负责人，否则发包人可按单方面终止合同处理</w:t>
      </w:r>
      <w:r>
        <w:rPr>
          <w:rFonts w:hint="eastAsia" w:ascii="宋体" w:hAnsi="宋体"/>
          <w:color w:val="auto"/>
          <w:szCs w:val="21"/>
        </w:rPr>
        <w:t>。</w:t>
      </w:r>
    </w:p>
    <w:p>
      <w:pPr>
        <w:snapToGrid w:val="0"/>
        <w:spacing w:line="360" w:lineRule="auto"/>
        <w:ind w:firstLine="397"/>
        <w:rPr>
          <w:rFonts w:ascii="宋体" w:hAnsi="宋体"/>
          <w:color w:val="auto"/>
          <w:szCs w:val="21"/>
        </w:rPr>
      </w:pPr>
      <w:r>
        <w:rPr>
          <w:rFonts w:hint="eastAsia" w:ascii="宋体" w:hAnsi="宋体"/>
          <w:color w:val="auto"/>
          <w:szCs w:val="21"/>
        </w:rPr>
        <w:t>7.7现场管理机构</w:t>
      </w:r>
    </w:p>
    <w:p>
      <w:pPr>
        <w:adjustRightInd w:val="0"/>
        <w:snapToGrid w:val="0"/>
        <w:spacing w:line="360" w:lineRule="auto"/>
        <w:ind w:firstLine="480"/>
        <w:rPr>
          <w:rFonts w:ascii="宋体" w:hAnsi="宋体"/>
          <w:color w:val="auto"/>
          <w:szCs w:val="21"/>
        </w:rPr>
      </w:pPr>
      <w:r>
        <w:rPr>
          <w:rFonts w:hint="eastAsia" w:ascii="宋体" w:hAnsi="宋体"/>
          <w:color w:val="auto"/>
          <w:szCs w:val="21"/>
        </w:rPr>
        <w:t>（1）承包人必须按照投标文件的承诺建立现场管理机构，严格执行现行建设工程项目管理规范，并积极主动接受建设行政主管部门的监督和检查。</w:t>
      </w:r>
    </w:p>
    <w:p>
      <w:pPr>
        <w:adjustRightInd w:val="0"/>
        <w:snapToGrid w:val="0"/>
        <w:spacing w:line="360" w:lineRule="auto"/>
        <w:ind w:right="11" w:firstLine="403" w:firstLineChars="192"/>
        <w:rPr>
          <w:rFonts w:ascii="宋体" w:hAnsi="宋体"/>
          <w:color w:val="auto"/>
          <w:szCs w:val="21"/>
        </w:rPr>
      </w:pPr>
      <w:r>
        <w:rPr>
          <w:rFonts w:hint="eastAsia" w:ascii="宋体" w:hAnsi="宋体"/>
          <w:color w:val="auto"/>
          <w:szCs w:val="21"/>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snapToGrid w:val="0"/>
        <w:spacing w:line="360" w:lineRule="auto"/>
        <w:ind w:firstLine="397"/>
        <w:rPr>
          <w:rFonts w:ascii="宋体" w:hAnsi="宋体"/>
          <w:color w:val="auto"/>
          <w:szCs w:val="21"/>
        </w:rPr>
      </w:pPr>
      <w:r>
        <w:rPr>
          <w:rFonts w:hint="eastAsia" w:ascii="宋体" w:hAnsi="宋体"/>
          <w:color w:val="auto"/>
          <w:szCs w:val="21"/>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snapToGrid w:val="0"/>
        <w:spacing w:line="360" w:lineRule="auto"/>
        <w:ind w:firstLine="420" w:firstLineChars="200"/>
        <w:rPr>
          <w:rFonts w:ascii="宋体" w:hAnsi="宋体"/>
          <w:color w:val="auto"/>
          <w:szCs w:val="21"/>
        </w:rPr>
      </w:pPr>
      <w:r>
        <w:rPr>
          <w:rFonts w:hint="eastAsia" w:ascii="宋体" w:hAnsi="宋体"/>
          <w:color w:val="auto"/>
          <w:szCs w:val="21"/>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snapToGrid w:val="0"/>
        <w:spacing w:line="360" w:lineRule="auto"/>
        <w:ind w:firstLine="397"/>
        <w:rPr>
          <w:rFonts w:ascii="宋体" w:hAnsi="宋体"/>
          <w:color w:val="auto"/>
          <w:szCs w:val="21"/>
        </w:rPr>
      </w:pPr>
      <w:r>
        <w:rPr>
          <w:rFonts w:hint="eastAsia" w:ascii="宋体" w:hAnsi="宋体"/>
          <w:color w:val="auto"/>
          <w:szCs w:val="21"/>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snapToGrid w:val="0"/>
        <w:spacing w:line="440" w:lineRule="exact"/>
        <w:ind w:firstLine="397"/>
        <w:rPr>
          <w:rFonts w:ascii="宋体" w:hAnsi="宋体"/>
          <w:b/>
          <w:color w:val="auto"/>
          <w:sz w:val="24"/>
        </w:rPr>
      </w:pPr>
      <w:r>
        <w:rPr>
          <w:rFonts w:ascii="宋体" w:hAnsi="宋体"/>
          <w:b/>
          <w:color w:val="auto"/>
          <w:sz w:val="24"/>
        </w:rPr>
        <w:t>8</w:t>
      </w:r>
      <w:r>
        <w:rPr>
          <w:rFonts w:hint="eastAsia" w:ascii="宋体" w:hAnsi="宋体"/>
          <w:b/>
          <w:color w:val="auto"/>
          <w:sz w:val="24"/>
        </w:rPr>
        <w:t>、发包人工作</w:t>
      </w:r>
    </w:p>
    <w:p>
      <w:pPr>
        <w:snapToGrid w:val="0"/>
        <w:spacing w:line="440" w:lineRule="exact"/>
        <w:ind w:firstLine="397"/>
        <w:rPr>
          <w:rFonts w:ascii="宋体" w:hAnsi="宋体"/>
          <w:color w:val="auto"/>
          <w:szCs w:val="21"/>
        </w:rPr>
      </w:pPr>
      <w:r>
        <w:rPr>
          <w:rFonts w:ascii="宋体" w:hAnsi="宋体"/>
          <w:color w:val="auto"/>
          <w:szCs w:val="21"/>
        </w:rPr>
        <w:t>8.1</w:t>
      </w:r>
      <w:r>
        <w:rPr>
          <w:rFonts w:hint="eastAsia" w:ascii="宋体" w:hAnsi="宋体"/>
          <w:color w:val="auto"/>
          <w:szCs w:val="21"/>
        </w:rPr>
        <w:t>发包人应按约定的时间和要求完成以下工作：</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）施工场地具备施工条件的要求及完成的时间：</w:t>
      </w:r>
      <w:r>
        <w:rPr>
          <w:rFonts w:hint="eastAsia" w:ascii="宋体" w:hAnsi="宋体"/>
          <w:color w:val="auto"/>
          <w:szCs w:val="21"/>
          <w:u w:val="single"/>
        </w:rPr>
        <w:t>土地征收、拆迁补偿工作完成时间原则上在开工前；因土地征收和拆迁补偿进度原因不能按时移交场地的，可采取分段逐步方式移交施工场地</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）将施工所需的水、电、电讯线路接至施工场地的时间、地点和供应要求：</w:t>
      </w:r>
      <w:r>
        <w:rPr>
          <w:rFonts w:hint="eastAsia" w:ascii="宋体" w:hAnsi="宋体"/>
          <w:color w:val="auto"/>
          <w:szCs w:val="21"/>
          <w:u w:val="single"/>
        </w:rPr>
        <w:t>由承包人自行解决，费用已包在本工程中标总造价中</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）施工场地与公共道路的通道开通时间和要求：</w:t>
      </w:r>
      <w:r>
        <w:rPr>
          <w:rFonts w:hint="eastAsia" w:ascii="宋体" w:hAnsi="宋体"/>
          <w:color w:val="auto"/>
          <w:szCs w:val="21"/>
          <w:u w:val="single"/>
        </w:rPr>
        <w:t>通道按现状，不论满足施工要求与否，该通道及施工便道均由承包人自行解决，费用已包在本工程中标总造价中</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）工程地质和地下管线资料的提供时间：</w:t>
      </w:r>
      <w:r>
        <w:rPr>
          <w:rFonts w:hint="eastAsia" w:ascii="宋体" w:hAnsi="宋体"/>
          <w:color w:val="auto"/>
          <w:szCs w:val="21"/>
          <w:u w:val="single"/>
        </w:rPr>
        <w:t>根据施工计划提前提供</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）由发包人办理的施工所需证件、批件的名称和完成时间：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）水准点与坐标控制点交验要求：</w:t>
      </w:r>
      <w:r>
        <w:rPr>
          <w:rFonts w:hint="eastAsia" w:ascii="宋体" w:hAnsi="宋体"/>
          <w:color w:val="auto"/>
          <w:szCs w:val="21"/>
          <w:u w:val="single"/>
        </w:rPr>
        <w:t>开工前交验</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）图纸会审和设计交底时间：</w:t>
      </w:r>
      <w:r>
        <w:rPr>
          <w:rFonts w:hint="eastAsia" w:ascii="宋体" w:hAnsi="宋体"/>
          <w:color w:val="auto"/>
          <w:szCs w:val="21"/>
          <w:u w:val="single"/>
        </w:rPr>
        <w:t>工程施工前</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8</w:t>
      </w:r>
      <w:r>
        <w:rPr>
          <w:rFonts w:hint="eastAsia" w:ascii="宋体" w:hAnsi="宋体"/>
          <w:color w:val="auto"/>
          <w:szCs w:val="21"/>
        </w:rPr>
        <w:t>）协调处理施工场地周围地下管线和邻近建筑物、构筑物（含文物保护建筑）、古树名木的保护工作：</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9</w:t>
      </w:r>
      <w:r>
        <w:rPr>
          <w:rFonts w:hint="eastAsia" w:ascii="宋体" w:hAnsi="宋体"/>
          <w:color w:val="auto"/>
          <w:szCs w:val="21"/>
        </w:rPr>
        <w:t>）双方约定发包人应做的其他工作：</w:t>
      </w:r>
      <w:r>
        <w:rPr>
          <w:rFonts w:ascii="宋体" w:hAnsi="宋体"/>
          <w:color w:val="auto"/>
          <w:szCs w:val="21"/>
          <w:u w:val="single"/>
        </w:rPr>
        <w:t xml:space="preserve">  </w:t>
      </w:r>
      <w:r>
        <w:rPr>
          <w:rFonts w:hint="eastAsia" w:ascii="宋体" w:hAnsi="宋体"/>
          <w:color w:val="auto"/>
          <w:szCs w:val="21"/>
          <w:u w:val="single"/>
        </w:rPr>
        <w:t>发包人按现有场地移交给承包人，承包人应无条件接受。</w:t>
      </w:r>
      <w:r>
        <w:rPr>
          <w:rFonts w:ascii="宋体" w:hAnsi="宋体"/>
          <w:color w:val="auto"/>
          <w:szCs w:val="21"/>
          <w:u w:val="single"/>
        </w:rPr>
        <w:t xml:space="preserve">   </w:t>
      </w:r>
    </w:p>
    <w:p>
      <w:pPr>
        <w:snapToGrid w:val="0"/>
        <w:spacing w:line="440" w:lineRule="exact"/>
        <w:ind w:firstLine="397"/>
        <w:rPr>
          <w:rFonts w:ascii="宋体" w:hAnsi="宋体"/>
          <w:color w:val="auto"/>
          <w:szCs w:val="21"/>
          <w:u w:val="single"/>
        </w:rPr>
      </w:pPr>
      <w:r>
        <w:rPr>
          <w:rFonts w:ascii="宋体" w:hAnsi="宋体"/>
          <w:color w:val="auto"/>
          <w:szCs w:val="21"/>
        </w:rPr>
        <w:t>8.2</w:t>
      </w:r>
      <w:r>
        <w:rPr>
          <w:rFonts w:hint="eastAsia" w:ascii="宋体" w:hAnsi="宋体"/>
          <w:color w:val="auto"/>
          <w:szCs w:val="21"/>
        </w:rPr>
        <w:t>发包人委托承包人办理的工作：</w:t>
      </w:r>
      <w:r>
        <w:rPr>
          <w:rFonts w:hint="eastAsia" w:ascii="宋体" w:hAnsi="宋体"/>
          <w:color w:val="auto"/>
          <w:szCs w:val="21"/>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pPr>
        <w:snapToGrid w:val="0"/>
        <w:spacing w:line="440" w:lineRule="exact"/>
        <w:ind w:firstLine="397"/>
        <w:rPr>
          <w:rFonts w:ascii="宋体" w:hAnsi="宋体"/>
          <w:b/>
          <w:color w:val="auto"/>
          <w:sz w:val="24"/>
        </w:rPr>
      </w:pPr>
      <w:r>
        <w:rPr>
          <w:rFonts w:ascii="宋体" w:hAnsi="宋体"/>
          <w:b/>
          <w:color w:val="auto"/>
          <w:sz w:val="24"/>
        </w:rPr>
        <w:t>9</w:t>
      </w:r>
      <w:r>
        <w:rPr>
          <w:rFonts w:hint="eastAsia" w:ascii="宋体" w:hAnsi="宋体"/>
          <w:b/>
          <w:color w:val="auto"/>
          <w:sz w:val="24"/>
        </w:rPr>
        <w:t>、承包人工作</w:t>
      </w:r>
    </w:p>
    <w:p>
      <w:pPr>
        <w:snapToGrid w:val="0"/>
        <w:spacing w:line="440" w:lineRule="exact"/>
        <w:ind w:firstLine="397"/>
        <w:rPr>
          <w:rFonts w:ascii="宋体" w:hAnsi="宋体"/>
          <w:color w:val="auto"/>
          <w:szCs w:val="21"/>
        </w:rPr>
      </w:pPr>
      <w:r>
        <w:rPr>
          <w:rFonts w:ascii="宋体" w:hAnsi="宋体"/>
          <w:color w:val="auto"/>
          <w:szCs w:val="21"/>
        </w:rPr>
        <w:t>9.1</w:t>
      </w:r>
      <w:r>
        <w:rPr>
          <w:rFonts w:hint="eastAsia" w:ascii="宋体" w:hAnsi="宋体"/>
          <w:color w:val="auto"/>
          <w:szCs w:val="21"/>
        </w:rPr>
        <w:t>承包人应按约定时间和要求，完成以下工作：</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）需由设计资质等级和业务范围允许的承包人完成的设计文件提交时间：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）应提供计划、报表的名称及完成时间：</w:t>
      </w:r>
      <w:r>
        <w:rPr>
          <w:rFonts w:hint="eastAsia" w:ascii="宋体" w:hAnsi="宋体"/>
          <w:color w:val="auto"/>
          <w:szCs w:val="21"/>
          <w:u w:val="single"/>
        </w:rPr>
        <w:t>施工组织设计、管理人员架构表，于开工前三天报。提交工程年、季、月度计划及进度统计报表</w:t>
      </w:r>
      <w:r>
        <w:rPr>
          <w:rFonts w:hint="eastAsia" w:ascii="宋体" w:hAnsi="宋体"/>
          <w:color w:val="auto"/>
          <w:szCs w:val="21"/>
        </w:rPr>
        <w:t>。</w:t>
      </w:r>
    </w:p>
    <w:p>
      <w:pPr>
        <w:snapToGrid w:val="0"/>
        <w:spacing w:line="52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3）承担施工安全保卫工作及非夜间施工照明的责任和要求：</w:t>
      </w:r>
      <w:r>
        <w:rPr>
          <w:rFonts w:hint="eastAsia" w:ascii="宋体" w:hAnsi="宋体"/>
          <w:color w:val="auto"/>
          <w:szCs w:val="21"/>
          <w:u w:val="single"/>
        </w:rPr>
        <w:t>按招标文件要求及国家、省、市、区相关规定执行，并满足本工程需要</w:t>
      </w:r>
      <w:r>
        <w:rPr>
          <w:rFonts w:hint="eastAsia" w:ascii="宋体" w:hAnsi="宋体"/>
          <w:color w:val="auto"/>
          <w:szCs w:val="21"/>
        </w:rPr>
        <w:t>。</w:t>
      </w:r>
      <w:r>
        <w:rPr>
          <w:rFonts w:hint="eastAsia" w:ascii="宋体" w:hAnsi="宋体"/>
          <w:color w:val="auto"/>
          <w:szCs w:val="21"/>
          <w:u w:val="single"/>
        </w:rPr>
        <w:t>根据工程需要，提供和维护施工使用的照明、围栏设施和警卫，并负责整个现场的安全生产和绿色施工、安全保卫。</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承包人自行解决办公、交通、生活及通讯等设施，费用已包含在本工程中标总造价中；</w:t>
      </w:r>
      <w:r>
        <w:rPr>
          <w:rFonts w:ascii="宋体" w:hAnsi="宋体"/>
          <w:color w:val="auto"/>
          <w:szCs w:val="21"/>
        </w:rPr>
        <w:t>向发包人或监理工程师提供的办公、交通和生活、通讯设施的要求：</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5）需承包人办理有关施工场地交通、环卫和施工噪音管理等手续：</w:t>
      </w:r>
      <w:r>
        <w:rPr>
          <w:rFonts w:hint="eastAsia" w:ascii="宋体" w:hAnsi="宋体"/>
          <w:color w:val="auto"/>
          <w:szCs w:val="21"/>
          <w:u w:val="single"/>
        </w:rPr>
        <w:t>承包人按本合同通用条款要求执行，并承担相关费用</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）已完工程成品保护的特殊要求及费用承担：</w:t>
      </w:r>
      <w:r>
        <w:rPr>
          <w:rFonts w:hint="eastAsia" w:ascii="宋体" w:hAnsi="宋体"/>
          <w:color w:val="auto"/>
          <w:szCs w:val="21"/>
          <w:u w:val="single"/>
        </w:rPr>
        <w:t>按本合同通用条款执行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）施工场地周围地下管线和邻近建筑物、构筑物（含文物保护建筑）、古树名木的保护要求及费用承担：</w:t>
      </w:r>
      <w:r>
        <w:rPr>
          <w:rFonts w:hint="eastAsia" w:ascii="宋体" w:hAnsi="宋体"/>
          <w:color w:val="auto"/>
          <w:szCs w:val="21"/>
          <w:u w:val="single"/>
        </w:rPr>
        <w:t>除文物保护外的保护费全部由承包人承担</w:t>
      </w:r>
      <w:r>
        <w:rPr>
          <w:rFonts w:hint="eastAsia" w:ascii="宋体" w:hAnsi="宋体"/>
          <w:color w:val="auto"/>
          <w:szCs w:val="21"/>
        </w:rPr>
        <w:t>。</w:t>
      </w:r>
    </w:p>
    <w:p>
      <w:pPr>
        <w:snapToGrid w:val="0"/>
        <w:spacing w:line="440" w:lineRule="exact"/>
        <w:ind w:left="397"/>
        <w:rPr>
          <w:rFonts w:ascii="宋体" w:hAnsi="宋体"/>
          <w:color w:val="auto"/>
          <w:szCs w:val="21"/>
          <w:u w:val="single"/>
        </w:rPr>
      </w:pPr>
      <w:r>
        <w:rPr>
          <w:rFonts w:hint="eastAsia" w:ascii="宋体" w:hAnsi="宋体"/>
          <w:color w:val="auto"/>
          <w:szCs w:val="21"/>
        </w:rPr>
        <w:t>（</w:t>
      </w:r>
      <w:r>
        <w:rPr>
          <w:rFonts w:ascii="宋体" w:hAnsi="宋体"/>
          <w:color w:val="auto"/>
          <w:szCs w:val="21"/>
        </w:rPr>
        <w:t>8）</w:t>
      </w:r>
      <w:r>
        <w:rPr>
          <w:rFonts w:hint="eastAsia" w:ascii="宋体" w:hAnsi="宋体"/>
          <w:color w:val="auto"/>
          <w:szCs w:val="21"/>
        </w:rPr>
        <w:t>施工场地清洁卫生的要求：</w:t>
      </w:r>
      <w:r>
        <w:rPr>
          <w:rFonts w:hint="eastAsia" w:ascii="宋体" w:hAnsi="宋体"/>
          <w:color w:val="auto"/>
          <w:szCs w:val="21"/>
          <w:u w:val="single"/>
        </w:rPr>
        <w:t>满足</w:t>
      </w:r>
      <w:r>
        <w:rPr>
          <w:rFonts w:hint="eastAsia" w:ascii="宋体" w:hAnsi="宋体"/>
          <w:color w:val="auto"/>
          <w:spacing w:val="-10"/>
          <w:szCs w:val="21"/>
          <w:u w:val="single"/>
        </w:rPr>
        <w:t>文明施工要求及广州市、黄埔区关于扬尘治理的有关要求</w:t>
      </w:r>
      <w:r>
        <w:rPr>
          <w:rFonts w:hint="eastAsia" w:ascii="宋体" w:hAnsi="宋体"/>
          <w:color w:val="auto"/>
          <w:spacing w:val="-10"/>
          <w:szCs w:val="21"/>
        </w:rPr>
        <w:t>。</w:t>
      </w:r>
      <w:r>
        <w:rPr>
          <w:rFonts w:hint="eastAsia" w:ascii="宋体" w:hAnsi="宋体"/>
          <w:color w:val="auto"/>
          <w:szCs w:val="21"/>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9）双方约定承包人应做的其他工作：</w:t>
      </w:r>
    </w:p>
    <w:p>
      <w:pPr>
        <w:snapToGrid w:val="0"/>
        <w:spacing w:line="440" w:lineRule="exact"/>
        <w:rPr>
          <w:rFonts w:ascii="宋体" w:hAnsi="宋体"/>
          <w:color w:val="auto"/>
          <w:szCs w:val="21"/>
          <w:u w:val="single"/>
        </w:rPr>
      </w:pPr>
      <w:r>
        <w:rPr>
          <w:rFonts w:hint="eastAsia" w:ascii="宋体" w:hAnsi="宋体"/>
          <w:color w:val="auto"/>
          <w:szCs w:val="21"/>
          <w:u w:val="single"/>
        </w:rPr>
        <w:t xml:space="preserve">     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pPr>
        <w:snapToGrid w:val="0"/>
        <w:spacing w:line="440" w:lineRule="exact"/>
        <w:ind w:firstLine="397"/>
        <w:rPr>
          <w:rFonts w:ascii="宋体" w:hAnsi="宋体"/>
          <w:color w:val="auto"/>
          <w:szCs w:val="21"/>
        </w:rPr>
      </w:pPr>
      <w:r>
        <w:rPr>
          <w:rFonts w:hint="eastAsia" w:ascii="宋体" w:hAnsi="宋体"/>
          <w:color w:val="auto"/>
          <w:szCs w:val="21"/>
        </w:rPr>
        <w:t>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pPr>
        <w:snapToGrid w:val="0"/>
        <w:spacing w:line="440" w:lineRule="exact"/>
        <w:ind w:firstLine="397"/>
        <w:rPr>
          <w:rFonts w:ascii="宋体" w:hAnsi="宋体"/>
          <w:color w:val="auto"/>
          <w:szCs w:val="21"/>
        </w:rPr>
      </w:pPr>
      <w:r>
        <w:rPr>
          <w:rFonts w:hint="eastAsia" w:ascii="宋体" w:hAnsi="宋体"/>
          <w:color w:val="auto"/>
          <w:szCs w:val="21"/>
        </w:rPr>
        <w:t>③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pPr>
        <w:snapToGrid w:val="0"/>
        <w:spacing w:line="440" w:lineRule="exact"/>
        <w:ind w:firstLine="397"/>
        <w:rPr>
          <w:rFonts w:ascii="宋体" w:hAnsi="宋体"/>
          <w:color w:val="auto"/>
          <w:szCs w:val="21"/>
        </w:rPr>
      </w:pPr>
      <w:r>
        <w:rPr>
          <w:rFonts w:hint="eastAsia" w:ascii="宋体" w:hAnsi="宋体"/>
          <w:color w:val="auto"/>
          <w:szCs w:val="21"/>
        </w:rPr>
        <w:t>④承包人应当建立工人考勤、工资结算和支付等管理台账，存档备查，并将相关信息按月报送发包人及监理单位。</w:t>
      </w:r>
    </w:p>
    <w:p>
      <w:pPr>
        <w:snapToGrid w:val="0"/>
        <w:spacing w:line="440" w:lineRule="exact"/>
        <w:ind w:firstLine="397"/>
        <w:rPr>
          <w:rFonts w:ascii="宋体" w:hAnsi="宋体"/>
          <w:b/>
          <w:color w:val="auto"/>
          <w:sz w:val="24"/>
        </w:rPr>
      </w:pPr>
      <w:r>
        <w:rPr>
          <w:rFonts w:hint="eastAsia" w:ascii="宋体" w:hAnsi="宋体"/>
          <w:b/>
          <w:color w:val="auto"/>
          <w:sz w:val="24"/>
        </w:rPr>
        <w:t>三、施工组织设计和工期</w:t>
      </w:r>
    </w:p>
    <w:p>
      <w:pPr>
        <w:snapToGrid w:val="0"/>
        <w:spacing w:line="440" w:lineRule="exact"/>
        <w:ind w:firstLine="397"/>
        <w:rPr>
          <w:rFonts w:ascii="宋体" w:hAnsi="宋体"/>
          <w:b/>
          <w:color w:val="auto"/>
          <w:sz w:val="24"/>
        </w:rPr>
      </w:pPr>
      <w:r>
        <w:rPr>
          <w:rFonts w:ascii="宋体" w:hAnsi="宋体"/>
          <w:b/>
          <w:color w:val="auto"/>
          <w:sz w:val="24"/>
        </w:rPr>
        <w:t>10</w:t>
      </w:r>
      <w:r>
        <w:rPr>
          <w:rFonts w:hint="eastAsia" w:ascii="宋体" w:hAnsi="宋体"/>
          <w:b/>
          <w:color w:val="auto"/>
          <w:sz w:val="24"/>
        </w:rPr>
        <w:t>、进度计划</w:t>
      </w:r>
    </w:p>
    <w:p>
      <w:pPr>
        <w:snapToGrid w:val="0"/>
        <w:spacing w:line="440" w:lineRule="exact"/>
        <w:ind w:firstLine="397"/>
        <w:rPr>
          <w:rFonts w:ascii="宋体" w:hAnsi="宋体"/>
          <w:color w:val="auto"/>
          <w:szCs w:val="21"/>
        </w:rPr>
      </w:pPr>
      <w:r>
        <w:rPr>
          <w:rFonts w:ascii="宋体" w:hAnsi="宋体"/>
          <w:color w:val="auto"/>
          <w:szCs w:val="21"/>
        </w:rPr>
        <w:t>10.1</w:t>
      </w:r>
      <w:r>
        <w:rPr>
          <w:rFonts w:hint="eastAsia" w:ascii="宋体" w:hAnsi="宋体"/>
          <w:color w:val="auto"/>
          <w:szCs w:val="21"/>
        </w:rPr>
        <w:t>承包人提供施工组织设计</w:t>
      </w:r>
      <w:r>
        <w:rPr>
          <w:rFonts w:ascii="宋体" w:hAnsi="宋体"/>
          <w:color w:val="auto"/>
          <w:szCs w:val="21"/>
        </w:rPr>
        <w:t>(施工方案)和进度计划时间：</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承包人应于接到中标通知书后</w:t>
      </w:r>
      <w:r>
        <w:rPr>
          <w:rFonts w:ascii="宋体" w:hAnsi="宋体"/>
          <w:color w:val="auto"/>
          <w:szCs w:val="21"/>
          <w:u w:val="single"/>
        </w:rPr>
        <w:t>4天内向发包人提交总体工程进度计划（网络计划），并</w:t>
      </w:r>
      <w:r>
        <w:rPr>
          <w:rFonts w:hint="eastAsia" w:ascii="宋体" w:hAnsi="宋体"/>
          <w:color w:val="auto"/>
          <w:szCs w:val="21"/>
          <w:u w:val="single"/>
        </w:rPr>
        <w:t>于开工前</w:t>
      </w:r>
      <w:r>
        <w:rPr>
          <w:rFonts w:ascii="宋体" w:hAnsi="宋体"/>
          <w:color w:val="auto"/>
          <w:szCs w:val="21"/>
          <w:u w:val="single"/>
        </w:rPr>
        <w:t>3天内提交施工组织设计（施工方案）给发包人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承包人提交的施工组织设计应当按监理工程师及国家、省、市及广州开发区关于施工承包管理的要求编制</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总监理工程师在接到承包人提交的施工组织设计和工程进度计划后，予以确认或提出修改意见</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工程师确认的时间：</w:t>
      </w:r>
      <w:r>
        <w:rPr>
          <w:rFonts w:hint="eastAsia" w:ascii="宋体" w:hAnsi="宋体"/>
          <w:color w:val="auto"/>
          <w:szCs w:val="21"/>
          <w:u w:val="single"/>
        </w:rPr>
        <w:t>开工前</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10.2</w:t>
      </w:r>
      <w:r>
        <w:rPr>
          <w:rFonts w:hint="eastAsia" w:ascii="宋体" w:hAnsi="宋体"/>
          <w:color w:val="auto"/>
          <w:szCs w:val="21"/>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snapToGrid w:val="0"/>
        <w:spacing w:line="440" w:lineRule="exact"/>
        <w:ind w:firstLine="420" w:firstLineChars="200"/>
        <w:rPr>
          <w:rFonts w:ascii="宋体" w:hAnsi="宋体"/>
          <w:color w:val="auto"/>
          <w:szCs w:val="21"/>
        </w:rPr>
      </w:pPr>
      <w:r>
        <w:rPr>
          <w:rFonts w:ascii="宋体" w:hAnsi="宋体"/>
          <w:color w:val="auto"/>
          <w:szCs w:val="21"/>
        </w:rPr>
        <w:t>10.3</w:t>
      </w:r>
      <w:r>
        <w:rPr>
          <w:rFonts w:hint="eastAsia" w:ascii="宋体" w:hAnsi="宋体"/>
          <w:color w:val="auto"/>
          <w:szCs w:val="21"/>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olor w:val="auto"/>
          <w:szCs w:val="21"/>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hAnsi="宋体"/>
          <w:color w:val="auto"/>
          <w:szCs w:val="21"/>
        </w:rPr>
        <w:t>。</w:t>
      </w:r>
    </w:p>
    <w:p>
      <w:pPr>
        <w:snapToGrid w:val="0"/>
        <w:spacing w:line="440" w:lineRule="exact"/>
        <w:ind w:firstLine="482" w:firstLineChars="200"/>
        <w:rPr>
          <w:rFonts w:ascii="宋体" w:hAnsi="宋体"/>
          <w:b/>
          <w:color w:val="auto"/>
          <w:sz w:val="24"/>
        </w:rPr>
      </w:pPr>
      <w:r>
        <w:rPr>
          <w:rFonts w:ascii="宋体" w:hAnsi="宋体"/>
          <w:b/>
          <w:color w:val="auto"/>
          <w:sz w:val="24"/>
        </w:rPr>
        <w:t>11、开工及延期开工</w:t>
      </w:r>
    </w:p>
    <w:p>
      <w:pPr>
        <w:snapToGrid w:val="0"/>
        <w:spacing w:line="440" w:lineRule="exact"/>
        <w:ind w:firstLine="420" w:firstLineChars="200"/>
        <w:rPr>
          <w:rFonts w:ascii="宋体" w:hAnsi="宋体"/>
          <w:color w:val="auto"/>
          <w:szCs w:val="21"/>
        </w:rPr>
      </w:pPr>
      <w:r>
        <w:rPr>
          <w:rFonts w:ascii="宋体" w:hAnsi="宋体"/>
          <w:color w:val="auto"/>
          <w:szCs w:val="21"/>
        </w:rPr>
        <w:t>11.1</w:t>
      </w:r>
      <w:r>
        <w:rPr>
          <w:rFonts w:hint="eastAsia" w:ascii="宋体" w:hAnsi="宋体"/>
          <w:color w:val="auto"/>
          <w:szCs w:val="21"/>
        </w:rPr>
        <w:t>开工日期和竣工日期</w:t>
      </w:r>
    </w:p>
    <w:p>
      <w:pPr>
        <w:snapToGrid w:val="0"/>
        <w:spacing w:line="440" w:lineRule="exact"/>
        <w:ind w:firstLine="420" w:firstLineChars="200"/>
        <w:rPr>
          <w:rFonts w:ascii="宋体" w:hAnsi="宋体"/>
          <w:color w:val="auto"/>
          <w:szCs w:val="21"/>
          <w:u w:val="single"/>
        </w:rPr>
      </w:pPr>
      <w:r>
        <w:rPr>
          <w:rFonts w:ascii="宋体" w:hAnsi="宋体"/>
          <w:color w:val="auto"/>
          <w:szCs w:val="21"/>
        </w:rPr>
        <w:t>11.1.1</w:t>
      </w:r>
      <w:r>
        <w:rPr>
          <w:rFonts w:hint="eastAsia" w:ascii="宋体" w:hAnsi="宋体"/>
          <w:color w:val="auto"/>
          <w:szCs w:val="21"/>
        </w:rPr>
        <w:t>本工程工期为</w:t>
      </w:r>
      <w:r>
        <w:rPr>
          <w:rFonts w:ascii="宋体" w:hAnsi="宋体"/>
          <w:color w:val="auto"/>
          <w:szCs w:val="21"/>
          <w:u w:val="single"/>
        </w:rPr>
        <w:t xml:space="preserve">   </w:t>
      </w:r>
      <w:r>
        <w:rPr>
          <w:rFonts w:hint="eastAsia" w:ascii="宋体" w:hAnsi="宋体"/>
          <w:color w:val="auto"/>
          <w:szCs w:val="21"/>
        </w:rPr>
        <w:t>日历天。其中开工时间初定为</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日。（具体开工日期以发包人或监理单位开工令或批准的开工报告日期为准）</w:t>
      </w:r>
    </w:p>
    <w:p>
      <w:pPr>
        <w:snapToGrid w:val="0"/>
        <w:spacing w:line="440" w:lineRule="exact"/>
        <w:ind w:firstLine="420" w:firstLineChars="200"/>
        <w:rPr>
          <w:rFonts w:ascii="宋体" w:hAnsi="宋体"/>
          <w:color w:val="auto"/>
          <w:szCs w:val="21"/>
        </w:rPr>
      </w:pPr>
      <w:r>
        <w:rPr>
          <w:rFonts w:ascii="宋体" w:hAnsi="宋体"/>
          <w:color w:val="auto"/>
          <w:szCs w:val="21"/>
        </w:rPr>
        <w:t>11.1.2</w:t>
      </w:r>
      <w:r>
        <w:rPr>
          <w:rFonts w:hint="eastAsia" w:ascii="宋体" w:hAnsi="宋体"/>
          <w:color w:val="auto"/>
          <w:szCs w:val="21"/>
        </w:rPr>
        <w:t>承包人必须采取一切有效措施保证竣工日期，不得延误。除非发生了以下情形：</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政府对本工程建设项目作出停建、缓建的决定</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重大设计变更导致本工程在规划、使用、功能方面有重大调整</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不可抗力持续影响而延误工期超过</w:t>
      </w:r>
      <w:r>
        <w:rPr>
          <w:rFonts w:ascii="宋体" w:hAnsi="宋体"/>
          <w:color w:val="auto"/>
          <w:szCs w:val="21"/>
          <w:u w:val="single"/>
        </w:rPr>
        <w:t>12</w:t>
      </w:r>
      <w:r>
        <w:rPr>
          <w:rFonts w:hint="eastAsia" w:ascii="宋体" w:hAnsi="宋体"/>
          <w:color w:val="auto"/>
          <w:szCs w:val="21"/>
          <w:u w:val="single"/>
        </w:rPr>
        <w:t>天以上</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本合同专用条款约定的其他非承包人原因导致的工期延误</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11.2</w:t>
      </w:r>
      <w:r>
        <w:rPr>
          <w:rFonts w:hint="eastAsia" w:ascii="宋体" w:hAnsi="宋体"/>
          <w:color w:val="auto"/>
          <w:szCs w:val="21"/>
        </w:rPr>
        <w:t>延期开工：</w:t>
      </w:r>
    </w:p>
    <w:p>
      <w:pPr>
        <w:adjustRightInd w:val="0"/>
        <w:snapToGrid w:val="0"/>
        <w:spacing w:line="440" w:lineRule="exact"/>
        <w:ind w:right="11" w:firstLine="367" w:firstLineChars="175"/>
        <w:rPr>
          <w:rFonts w:ascii="宋体" w:hAnsi="宋体"/>
          <w:color w:val="auto"/>
          <w:szCs w:val="21"/>
          <w:u w:val="single"/>
        </w:rPr>
      </w:pPr>
      <w:r>
        <w:rPr>
          <w:rFonts w:ascii="宋体" w:hAnsi="宋体"/>
          <w:color w:val="auto"/>
          <w:szCs w:val="21"/>
        </w:rPr>
        <w:t>11.2.1</w:t>
      </w:r>
      <w:r>
        <w:rPr>
          <w:rFonts w:hint="eastAsia" w:ascii="宋体" w:hAnsi="宋体"/>
          <w:color w:val="auto"/>
          <w:szCs w:val="21"/>
          <w:u w:val="single"/>
        </w:rPr>
        <w:t>因发包人原因不能按照协议书约定的开工日期开工或暂停施工的，总监理工程师应通知承包人推迟开工日期，经监理单位、发包人确认后，工期可相应顺延，但不作费用补偿</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11.2.2</w:t>
      </w:r>
      <w:r>
        <w:rPr>
          <w:rFonts w:hint="eastAsia" w:ascii="宋体" w:hAnsi="宋体"/>
          <w:color w:val="auto"/>
          <w:szCs w:val="21"/>
          <w:u w:val="single"/>
        </w:rPr>
        <w:t>承包人未能主动及时地履行其协调、配合服务义务而造成专业承包单位无法开工，由此产生的工期延误等损失由承包人承担，并承担违约责任</w:t>
      </w:r>
      <w:r>
        <w:rPr>
          <w:rFonts w:hint="eastAsia" w:ascii="宋体" w:hAnsi="宋体"/>
          <w:color w:val="auto"/>
          <w:szCs w:val="21"/>
        </w:rPr>
        <w:t>。</w:t>
      </w:r>
    </w:p>
    <w:p>
      <w:pPr>
        <w:snapToGrid w:val="0"/>
        <w:spacing w:line="440" w:lineRule="exact"/>
        <w:ind w:firstLine="482" w:firstLineChars="200"/>
        <w:rPr>
          <w:rFonts w:ascii="宋体" w:hAnsi="宋体"/>
          <w:b/>
          <w:color w:val="auto"/>
          <w:sz w:val="24"/>
        </w:rPr>
      </w:pPr>
      <w:r>
        <w:rPr>
          <w:rFonts w:ascii="宋体" w:hAnsi="宋体"/>
          <w:b/>
          <w:color w:val="auto"/>
          <w:sz w:val="24"/>
        </w:rPr>
        <w:t>12、暂停施工</w:t>
      </w:r>
    </w:p>
    <w:p>
      <w:pPr>
        <w:snapToGrid w:val="0"/>
        <w:spacing w:line="440" w:lineRule="exact"/>
        <w:ind w:firstLine="420" w:firstLineChars="200"/>
        <w:rPr>
          <w:rFonts w:ascii="宋体" w:hAnsi="宋体"/>
          <w:color w:val="auto"/>
          <w:szCs w:val="21"/>
        </w:rPr>
      </w:pPr>
      <w:r>
        <w:rPr>
          <w:rFonts w:ascii="宋体" w:hAnsi="宋体"/>
          <w:color w:val="auto"/>
          <w:szCs w:val="21"/>
        </w:rPr>
        <w:t>12.1因下列原因，总监理工程师报经发包人同意，可通知承包人暂停施工：</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工程设计发生重大变更</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不可抗力</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质量事故</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安全生产事故</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u w:val="single"/>
        </w:rPr>
        <w:t>因承包人管理不善，可能导致现场混乱</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u w:val="single"/>
        </w:rPr>
        <w:t>承包人违规施工，经监理工程师通知改正但仍不执行</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u w:val="single"/>
        </w:rPr>
        <w:t>承包人不得以与发包人有争议为由或者以争议未解决为由而单方面停工。否则，应按约定承担工期延误的违约责任</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u w:val="single"/>
        </w:rPr>
        <w:t>因发生上述第（</w:t>
      </w:r>
      <w:r>
        <w:rPr>
          <w:rFonts w:ascii="宋体" w:hAnsi="宋体"/>
          <w:color w:val="auto"/>
          <w:szCs w:val="21"/>
          <w:u w:val="single"/>
        </w:rPr>
        <w:t>1）、（2）项原因而暂停施工</w:t>
      </w:r>
      <w:r>
        <w:rPr>
          <w:rFonts w:hint="eastAsia" w:ascii="宋体" w:hAnsi="宋体"/>
          <w:color w:val="auto"/>
          <w:szCs w:val="21"/>
          <w:u w:val="single"/>
        </w:rPr>
        <w:t>的，工期可协商调整，因发生上述第（</w:t>
      </w:r>
      <w:r>
        <w:rPr>
          <w:rFonts w:ascii="宋体" w:hAnsi="宋体"/>
          <w:color w:val="auto"/>
          <w:szCs w:val="21"/>
          <w:u w:val="single"/>
        </w:rPr>
        <w:t>3）、（4）、（5）、（6）项原因而暂停施工</w:t>
      </w:r>
      <w:r>
        <w:rPr>
          <w:rFonts w:hint="eastAsia" w:ascii="宋体" w:hAnsi="宋体"/>
          <w:color w:val="auto"/>
          <w:szCs w:val="21"/>
          <w:u w:val="single"/>
        </w:rPr>
        <w:t>的，工期不予顺延</w:t>
      </w:r>
      <w:r>
        <w:rPr>
          <w:rFonts w:ascii="宋体" w:hAnsi="宋体"/>
          <w:color w:val="auto"/>
          <w:szCs w:val="21"/>
          <w:u w:val="single"/>
        </w:rPr>
        <w:t>,承包人必须承担由此发生的费用并向发包人承担违约责任</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12.2为了保证工程质量安全，凡</w:t>
      </w:r>
      <w:r>
        <w:rPr>
          <w:rFonts w:hint="eastAsia" w:ascii="宋体" w:hAnsi="宋体"/>
          <w:color w:val="auto"/>
          <w:szCs w:val="21"/>
        </w:rPr>
        <w:t>承包人出现下列情况之一（不限于此）的，总监理工程师有权下达停工令，责令承包人停工整改，由此造成的损失由承包人自行承担，工期不予顺延，如果造成工期延误的，承包人还应承担违约责任。</w:t>
      </w:r>
    </w:p>
    <w:p>
      <w:pPr>
        <w:snapToGrid w:val="0"/>
        <w:spacing w:line="440" w:lineRule="exact"/>
        <w:ind w:firstLine="420" w:firstLineChars="200"/>
        <w:rPr>
          <w:rFonts w:ascii="宋体" w:hAnsi="宋体"/>
          <w:color w:val="auto"/>
          <w:szCs w:val="21"/>
          <w:u w:val="single"/>
        </w:rPr>
      </w:pPr>
      <w:r>
        <w:rPr>
          <w:rFonts w:ascii="宋体" w:hAnsi="宋体"/>
          <w:color w:val="auto"/>
          <w:szCs w:val="21"/>
        </w:rPr>
        <w:t>(1)</w:t>
      </w:r>
      <w:r>
        <w:rPr>
          <w:rFonts w:hint="eastAsia" w:ascii="宋体" w:hAnsi="宋体"/>
          <w:color w:val="auto"/>
          <w:szCs w:val="21"/>
          <w:u w:val="single"/>
        </w:rPr>
        <w:t>拒绝监理单位管理</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(2)</w:t>
      </w:r>
      <w:r>
        <w:rPr>
          <w:rFonts w:hint="eastAsia" w:ascii="宋体" w:hAnsi="宋体"/>
          <w:color w:val="auto"/>
          <w:szCs w:val="21"/>
          <w:u w:val="single"/>
        </w:rPr>
        <w:t>施工组织设计（方案）未获总监理工程师批准而进行施工</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(3)</w:t>
      </w:r>
      <w:r>
        <w:rPr>
          <w:rFonts w:hint="eastAsia" w:ascii="宋体" w:hAnsi="宋体"/>
          <w:color w:val="auto"/>
          <w:szCs w:val="21"/>
          <w:u w:val="single"/>
        </w:rPr>
        <w:t>未经监理单位检验而进行下一道工序作业者</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w:t>
      </w:r>
      <w:r>
        <w:rPr>
          <w:rFonts w:hint="eastAsia" w:ascii="宋体" w:hAnsi="宋体"/>
          <w:color w:val="auto"/>
          <w:szCs w:val="21"/>
          <w:u w:val="single"/>
        </w:rPr>
        <w:t>擅自采用未经监理单位及发包人认可或批准的材料的，或者使用的原材料、构配件不合格或未经检查确认的，或者擅自采用未经认可的代用材料的</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(5)</w:t>
      </w:r>
      <w:r>
        <w:rPr>
          <w:rFonts w:hint="eastAsia" w:ascii="宋体" w:hAnsi="宋体"/>
          <w:color w:val="auto"/>
          <w:szCs w:val="21"/>
          <w:u w:val="single"/>
        </w:rPr>
        <w:t>擅自变更设计图纸的要求</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(6)</w:t>
      </w:r>
      <w:r>
        <w:rPr>
          <w:rFonts w:hint="eastAsia" w:ascii="宋体" w:hAnsi="宋体"/>
          <w:color w:val="auto"/>
          <w:szCs w:val="21"/>
          <w:u w:val="single"/>
        </w:rPr>
        <w:t>转包工程</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(7)</w:t>
      </w:r>
      <w:r>
        <w:rPr>
          <w:rFonts w:hint="eastAsia" w:ascii="宋体" w:hAnsi="宋体"/>
          <w:color w:val="auto"/>
          <w:szCs w:val="21"/>
          <w:u w:val="single"/>
        </w:rPr>
        <w:t>擅自让未经总监理工程师批准的专业承包单位进场作业</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(8)</w:t>
      </w:r>
      <w:r>
        <w:rPr>
          <w:rFonts w:hint="eastAsia" w:ascii="宋体" w:hAnsi="宋体"/>
          <w:color w:val="auto"/>
          <w:szCs w:val="21"/>
          <w:u w:val="single"/>
        </w:rPr>
        <w:t>存在安全隐患，未按监理单位要求及时进行整改</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(9)</w:t>
      </w:r>
      <w:r>
        <w:rPr>
          <w:rFonts w:hint="eastAsia" w:ascii="宋体" w:hAnsi="宋体"/>
          <w:color w:val="auto"/>
          <w:szCs w:val="21"/>
          <w:u w:val="single"/>
        </w:rPr>
        <w:t>未按双方约定的资料上报要求上报所需资料的</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12.3因不可抗力引起工程停工，工期按</w:t>
      </w:r>
      <w:r>
        <w:rPr>
          <w:rFonts w:hint="eastAsia" w:ascii="宋体" w:hAnsi="宋体"/>
          <w:color w:val="auto"/>
          <w:szCs w:val="21"/>
          <w:u w:val="single"/>
        </w:rPr>
        <w:t>专用条款</w:t>
      </w:r>
      <w:r>
        <w:rPr>
          <w:rFonts w:ascii="宋体" w:hAnsi="宋体"/>
          <w:color w:val="auto"/>
          <w:szCs w:val="21"/>
          <w:u w:val="single"/>
        </w:rPr>
        <w:t>第12.1款</w:t>
      </w:r>
      <w:r>
        <w:rPr>
          <w:rFonts w:hint="eastAsia" w:ascii="宋体" w:hAnsi="宋体"/>
          <w:color w:val="auto"/>
          <w:szCs w:val="21"/>
        </w:rPr>
        <w:t>约定执行，费用承担按以下原则：</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运至施工场地用于施工的材料和待安装的设备的损害，属发包人供应的由发包人承担；属承包人采购的由承包人承担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发包人承包人人员伤亡由其所在单位负责，并承担相应费用</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承包人机械设备损坏及停工损失由承包人承担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u w:val="single"/>
        </w:rPr>
        <w:t>停工期间，承包人应总监理工程师要求留在施工场地的必要的管理人员及保卫人员的费用由承包人承担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u w:val="single"/>
        </w:rPr>
        <w:t>工程所需清理、修复费用由发包人承担</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12.4</w:t>
      </w:r>
      <w:r>
        <w:rPr>
          <w:rFonts w:hint="eastAsia" w:ascii="宋体" w:hAnsi="宋体"/>
          <w:color w:val="auto"/>
          <w:szCs w:val="21"/>
          <w:u w:val="single"/>
        </w:rPr>
        <w:t>由于承包人自身原因或施工承包管理、配合及协调不力，而导致专业承包工程停工，产生的费用由承包人承担</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13、工期延误</w:t>
      </w:r>
    </w:p>
    <w:p>
      <w:pPr>
        <w:snapToGrid w:val="0"/>
        <w:spacing w:line="440" w:lineRule="exact"/>
        <w:ind w:firstLine="397"/>
        <w:rPr>
          <w:rFonts w:ascii="宋体" w:hAnsi="宋体"/>
          <w:color w:val="auto"/>
          <w:szCs w:val="21"/>
        </w:rPr>
      </w:pPr>
      <w:r>
        <w:rPr>
          <w:rFonts w:ascii="宋体" w:hAnsi="宋体"/>
          <w:color w:val="auto"/>
          <w:szCs w:val="21"/>
        </w:rPr>
        <w:t>13.2</w:t>
      </w:r>
      <w:r>
        <w:rPr>
          <w:rFonts w:hint="eastAsia" w:ascii="宋体" w:hAnsi="宋体"/>
          <w:color w:val="auto"/>
          <w:szCs w:val="21"/>
          <w:u w:val="single"/>
        </w:rPr>
        <w:t>对于非因承包人原因发生的工期延误，承包人应当在工期延误事件发生后</w:t>
      </w:r>
      <w:r>
        <w:rPr>
          <w:rFonts w:ascii="宋体" w:hAnsi="宋体"/>
          <w:color w:val="auto"/>
          <w:szCs w:val="21"/>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四、质量与验收</w:t>
      </w:r>
    </w:p>
    <w:p>
      <w:pPr>
        <w:snapToGrid w:val="0"/>
        <w:spacing w:line="440" w:lineRule="exact"/>
        <w:ind w:firstLine="397"/>
        <w:rPr>
          <w:rFonts w:ascii="宋体" w:hAnsi="宋体"/>
          <w:b/>
          <w:color w:val="auto"/>
          <w:sz w:val="24"/>
        </w:rPr>
      </w:pPr>
      <w:r>
        <w:rPr>
          <w:rFonts w:ascii="宋体" w:hAnsi="宋体"/>
          <w:b/>
          <w:color w:val="auto"/>
          <w:sz w:val="24"/>
        </w:rPr>
        <w:t>15、工程质量</w:t>
      </w:r>
    </w:p>
    <w:p>
      <w:pPr>
        <w:snapToGrid w:val="0"/>
        <w:spacing w:line="440" w:lineRule="exact"/>
        <w:ind w:firstLine="397"/>
        <w:rPr>
          <w:rFonts w:ascii="宋体" w:hAnsi="宋体"/>
          <w:bCs/>
          <w:color w:val="auto"/>
          <w:szCs w:val="21"/>
        </w:rPr>
      </w:pPr>
      <w:r>
        <w:rPr>
          <w:rFonts w:ascii="宋体" w:hAnsi="宋体"/>
          <w:bCs/>
          <w:color w:val="auto"/>
          <w:szCs w:val="21"/>
        </w:rPr>
        <w:t>15.3</w:t>
      </w:r>
      <w:r>
        <w:rPr>
          <w:rFonts w:hint="eastAsia" w:ascii="宋体" w:hAnsi="宋体"/>
          <w:bCs/>
          <w:color w:val="auto"/>
          <w:szCs w:val="21"/>
          <w:u w:val="single"/>
        </w:rPr>
        <w:t>承包人必须严格按照设计施工图和国家及行业颁发的现行有关设计、施工及验收规范的要求进行施工，确保工程质量，</w:t>
      </w:r>
      <w:r>
        <w:rPr>
          <w:rFonts w:ascii="宋体" w:hAnsi="宋体"/>
          <w:bCs/>
          <w:color w:val="auto"/>
        </w:rPr>
        <w:t>工程的质量标准要求合格，且达到投标承诺的质量标准</w:t>
      </w:r>
      <w:r>
        <w:rPr>
          <w:rFonts w:hint="eastAsia" w:ascii="宋体" w:hAnsi="宋体"/>
          <w:bCs/>
          <w:color w:val="auto"/>
          <w:szCs w:val="21"/>
          <w:u w:val="single"/>
        </w:rPr>
        <w:t>。承包人对图纸中存在的问题有责任和义务提前以书面形式报告工程师及发包人，以供发包人同监理人核实并及时要求设计方修改设计图纸</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15.4</w:t>
      </w:r>
      <w:r>
        <w:rPr>
          <w:rFonts w:hint="eastAsia" w:ascii="宋体" w:hAnsi="宋体"/>
          <w:bCs/>
          <w:color w:val="auto"/>
          <w:szCs w:val="21"/>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15.5</w:t>
      </w:r>
      <w:r>
        <w:rPr>
          <w:rFonts w:hint="eastAsia" w:ascii="宋体" w:hAnsi="宋体"/>
          <w:bCs/>
          <w:color w:val="auto"/>
          <w:szCs w:val="21"/>
          <w:u w:val="single"/>
        </w:rPr>
        <w:t>工程质量不符合设计要求、质量不合格者，监理工程师可指令承包人停工或返工，返工费用由承包人承担，工期不予顺延</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15.6</w:t>
      </w:r>
      <w:r>
        <w:rPr>
          <w:rFonts w:hint="eastAsia" w:ascii="宋体" w:hAnsi="宋体"/>
          <w:bCs/>
          <w:color w:val="auto"/>
          <w:szCs w:val="21"/>
          <w:u w:val="single"/>
        </w:rPr>
        <w:t>发生须紧急抢修事故，承包人接到通知后，应立即到达事故现场抢修；否则，发包人可以另委托单位抢修，属承包人施工质量问题造成的修复等费用全部由承包人承担</w:t>
      </w:r>
      <w:r>
        <w:rPr>
          <w:rFonts w:hint="eastAsia" w:ascii="宋体" w:hAnsi="宋体"/>
          <w:bCs/>
          <w:color w:val="auto"/>
          <w:szCs w:val="21"/>
        </w:rPr>
        <w:t>。</w:t>
      </w:r>
    </w:p>
    <w:p>
      <w:pPr>
        <w:snapToGrid w:val="0"/>
        <w:spacing w:line="440" w:lineRule="exact"/>
        <w:ind w:firstLine="397"/>
        <w:rPr>
          <w:rFonts w:ascii="宋体" w:hAnsi="宋体"/>
          <w:bCs/>
          <w:color w:val="auto"/>
          <w:szCs w:val="21"/>
        </w:rPr>
      </w:pPr>
      <w:r>
        <w:rPr>
          <w:rFonts w:ascii="宋体" w:hAnsi="宋体"/>
          <w:bCs/>
          <w:color w:val="auto"/>
          <w:szCs w:val="21"/>
        </w:rPr>
        <w:t>15.7</w:t>
      </w:r>
      <w:r>
        <w:rPr>
          <w:rFonts w:hint="eastAsia" w:ascii="宋体" w:hAnsi="宋体"/>
          <w:bCs/>
          <w:color w:val="auto"/>
          <w:szCs w:val="21"/>
          <w:u w:val="single"/>
        </w:rPr>
        <w:t>本工程按照本合同专用条款</w:t>
      </w:r>
      <w:r>
        <w:rPr>
          <w:rFonts w:ascii="宋体" w:hAnsi="宋体"/>
          <w:bCs/>
          <w:color w:val="auto"/>
          <w:szCs w:val="21"/>
          <w:u w:val="single"/>
        </w:rPr>
        <w:t>3.3的约定进行质量验收。若承包人有违反操作规程和标准或施工质量不符合规定的，发包人及监理工程师有权令其停止（或暂停）施工，由此造成的损失均由承包人负责。如在施工过程中颁发新的</w:t>
      </w:r>
      <w:r>
        <w:rPr>
          <w:rFonts w:hint="eastAsia" w:ascii="宋体" w:hAnsi="宋体"/>
          <w:bCs/>
          <w:color w:val="auto"/>
          <w:szCs w:val="21"/>
          <w:u w:val="single"/>
        </w:rPr>
        <w:t>质量标准规范版本的，是否采用新版本规定，由监理工程师与有关各方洽商决定</w:t>
      </w:r>
      <w:r>
        <w:rPr>
          <w:rFonts w:hint="eastAsia" w:ascii="宋体" w:hAnsi="宋体"/>
          <w:bCs/>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16、检查和返工</w:t>
      </w:r>
    </w:p>
    <w:p>
      <w:pPr>
        <w:snapToGrid w:val="0"/>
        <w:spacing w:line="440" w:lineRule="exact"/>
        <w:ind w:firstLine="397"/>
        <w:rPr>
          <w:rFonts w:ascii="宋体" w:hAnsi="宋体"/>
          <w:bCs/>
          <w:color w:val="auto"/>
          <w:szCs w:val="21"/>
        </w:rPr>
      </w:pPr>
      <w:r>
        <w:rPr>
          <w:rFonts w:ascii="宋体" w:hAnsi="宋体"/>
          <w:bCs/>
          <w:color w:val="auto"/>
          <w:szCs w:val="21"/>
        </w:rPr>
        <w:t>16.3工程师的检查检验：</w:t>
      </w:r>
      <w:r>
        <w:rPr>
          <w:rFonts w:hint="eastAsia" w:ascii="宋体" w:hAnsi="宋体"/>
          <w:bCs/>
          <w:color w:val="auto"/>
          <w:szCs w:val="21"/>
          <w:u w:val="single"/>
        </w:rPr>
        <w:t>工程师按规范、标准、设计图纸要求和频率所进行的检查检测不应成为承包人工期顺延的理由</w:t>
      </w:r>
      <w:r>
        <w:rPr>
          <w:rFonts w:hint="eastAsia" w:ascii="宋体" w:hAnsi="宋体"/>
          <w:bCs/>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17</w:t>
      </w:r>
      <w:r>
        <w:rPr>
          <w:rFonts w:hint="eastAsia" w:ascii="宋体" w:hAnsi="宋体"/>
          <w:b/>
          <w:color w:val="auto"/>
          <w:sz w:val="24"/>
        </w:rPr>
        <w:t>、隐蔽工程和中间验收</w:t>
      </w:r>
    </w:p>
    <w:p>
      <w:pPr>
        <w:snapToGrid w:val="0"/>
        <w:spacing w:line="440" w:lineRule="exact"/>
        <w:ind w:firstLine="397"/>
        <w:rPr>
          <w:rFonts w:ascii="宋体" w:hAnsi="宋体"/>
          <w:color w:val="auto"/>
          <w:szCs w:val="21"/>
          <w:u w:val="single"/>
        </w:rPr>
      </w:pPr>
      <w:r>
        <w:rPr>
          <w:rFonts w:ascii="宋体" w:hAnsi="宋体"/>
          <w:color w:val="auto"/>
          <w:szCs w:val="21"/>
        </w:rPr>
        <w:t>17.1</w:t>
      </w:r>
      <w:r>
        <w:rPr>
          <w:rFonts w:hint="eastAsia" w:ascii="宋体" w:hAnsi="宋体"/>
          <w:color w:val="auto"/>
          <w:szCs w:val="21"/>
        </w:rPr>
        <w:t>双方约定中间验收部位：</w:t>
      </w:r>
      <w:r>
        <w:rPr>
          <w:rFonts w:hint="eastAsia" w:ascii="宋体" w:hAnsi="宋体"/>
          <w:color w:val="auto"/>
          <w:szCs w:val="21"/>
          <w:u w:val="single"/>
        </w:rPr>
        <w:t>按相应工程施工及验收规范要求执行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19</w:t>
      </w:r>
      <w:r>
        <w:rPr>
          <w:rFonts w:hint="eastAsia" w:ascii="宋体" w:hAnsi="宋体"/>
          <w:b/>
          <w:color w:val="auto"/>
          <w:sz w:val="24"/>
        </w:rPr>
        <w:t>、工程试车</w:t>
      </w:r>
    </w:p>
    <w:p>
      <w:pPr>
        <w:snapToGrid w:val="0"/>
        <w:spacing w:line="440" w:lineRule="exact"/>
        <w:ind w:firstLine="397"/>
        <w:rPr>
          <w:rFonts w:ascii="宋体" w:hAnsi="宋体"/>
          <w:color w:val="auto"/>
          <w:szCs w:val="21"/>
        </w:rPr>
      </w:pPr>
      <w:r>
        <w:rPr>
          <w:rFonts w:ascii="宋体" w:hAnsi="宋体"/>
          <w:color w:val="auto"/>
          <w:szCs w:val="21"/>
        </w:rPr>
        <w:t>19.5</w:t>
      </w:r>
      <w:r>
        <w:rPr>
          <w:rFonts w:hint="eastAsia" w:ascii="宋体" w:hAnsi="宋体"/>
          <w:color w:val="auto"/>
          <w:szCs w:val="21"/>
        </w:rPr>
        <w:t>试车费用的承担：</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 w:val="24"/>
        </w:rPr>
      </w:pPr>
      <w:r>
        <w:rPr>
          <w:rFonts w:hint="eastAsia" w:ascii="宋体" w:hAnsi="宋体"/>
          <w:b/>
          <w:color w:val="auto"/>
          <w:sz w:val="24"/>
        </w:rPr>
        <w:t>五、安全施工</w:t>
      </w:r>
    </w:p>
    <w:p>
      <w:pPr>
        <w:snapToGrid w:val="0"/>
        <w:spacing w:line="440" w:lineRule="exact"/>
        <w:ind w:firstLine="397"/>
        <w:rPr>
          <w:rFonts w:ascii="宋体" w:hAnsi="宋体"/>
          <w:b/>
          <w:color w:val="auto"/>
          <w:sz w:val="24"/>
        </w:rPr>
      </w:pPr>
      <w:r>
        <w:rPr>
          <w:rFonts w:ascii="宋体" w:hAnsi="宋体"/>
          <w:b/>
          <w:color w:val="auto"/>
          <w:sz w:val="24"/>
        </w:rPr>
        <w:t>20、安全施工与检查</w:t>
      </w:r>
    </w:p>
    <w:p>
      <w:pPr>
        <w:snapToGrid w:val="0"/>
        <w:spacing w:line="440" w:lineRule="exact"/>
        <w:ind w:firstLine="397"/>
        <w:rPr>
          <w:rFonts w:ascii="宋体" w:hAnsi="宋体"/>
          <w:color w:val="auto"/>
          <w:szCs w:val="21"/>
          <w:u w:val="single"/>
        </w:rPr>
      </w:pPr>
      <w:r>
        <w:rPr>
          <w:rFonts w:ascii="宋体" w:hAnsi="宋体"/>
          <w:color w:val="auto"/>
          <w:szCs w:val="21"/>
        </w:rPr>
        <w:t>20.3</w:t>
      </w:r>
      <w:r>
        <w:rPr>
          <w:rFonts w:hint="eastAsia" w:ascii="宋体" w:hAnsi="宋体"/>
          <w:color w:val="auto"/>
          <w:szCs w:val="21"/>
          <w:u w:val="single"/>
        </w:rPr>
        <w:t>承包人应建立安全责任制，明确各部门安全工作的岗位责任人，建立健全正常运转的各种安全工作保证体系和规章制度，将安全生产目标分解落实到实处</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20.4</w:t>
      </w:r>
      <w:r>
        <w:rPr>
          <w:rFonts w:hint="eastAsia" w:ascii="宋体" w:hAnsi="宋体"/>
          <w:color w:val="auto"/>
          <w:szCs w:val="21"/>
          <w:u w:val="single"/>
        </w:rPr>
        <w:t>承包人按规定数量配置安全员</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20.5</w:t>
      </w:r>
      <w:r>
        <w:rPr>
          <w:rFonts w:hint="eastAsia" w:ascii="宋体" w:hAnsi="宋体"/>
          <w:color w:val="auto"/>
          <w:szCs w:val="21"/>
          <w:u w:val="single"/>
        </w:rPr>
        <w:t>承包人在开工前须向质量安全监督机构提交备案的书面资料</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20.6</w:t>
      </w:r>
      <w:r>
        <w:rPr>
          <w:rFonts w:hint="eastAsia" w:ascii="宋体" w:hAnsi="宋体"/>
          <w:color w:val="auto"/>
          <w:szCs w:val="21"/>
          <w:u w:val="single"/>
        </w:rPr>
        <w:t>承包人在编制施工组织设计时，应当根据工程的特点编制相应的安全技术措施</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20.7</w:t>
      </w:r>
      <w:r>
        <w:rPr>
          <w:rFonts w:hint="eastAsia" w:ascii="宋体" w:hAnsi="宋体"/>
          <w:color w:val="auto"/>
          <w:szCs w:val="21"/>
          <w:u w:val="single"/>
        </w:rPr>
        <w:t>承包人按有关安全和防护的规定组织施工生产，不得使用不合标准的防护器材、机具和材料</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ascii="宋体" w:hAnsi="宋体"/>
          <w:color w:val="auto"/>
          <w:szCs w:val="21"/>
        </w:rPr>
        <w:t>20.8</w:t>
      </w:r>
      <w:r>
        <w:rPr>
          <w:rFonts w:hint="eastAsia" w:ascii="宋体" w:hAnsi="宋体"/>
          <w:color w:val="auto"/>
          <w:szCs w:val="21"/>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21、安全防护</w:t>
      </w:r>
    </w:p>
    <w:p>
      <w:pPr>
        <w:spacing w:line="440" w:lineRule="exact"/>
        <w:ind w:firstLine="420" w:firstLineChars="200"/>
        <w:rPr>
          <w:rFonts w:ascii="宋体" w:hAnsi="宋体"/>
          <w:color w:val="auto"/>
          <w:szCs w:val="21"/>
        </w:rPr>
      </w:pPr>
      <w:r>
        <w:rPr>
          <w:rFonts w:ascii="宋体" w:hAnsi="宋体"/>
          <w:color w:val="auto"/>
          <w:szCs w:val="21"/>
        </w:rPr>
        <w:t>21.3</w:t>
      </w:r>
      <w:r>
        <w:rPr>
          <w:rFonts w:hint="eastAsia" w:ascii="宋体" w:hAnsi="宋体"/>
          <w:color w:val="auto"/>
          <w:szCs w:val="21"/>
          <w:u w:val="single"/>
        </w:rPr>
        <w:t>承包人应在施工现场采取维护安全、防范危险、预防火灾等措施，在特殊作业环境应对作业人员采取劳动保护措施</w:t>
      </w:r>
      <w:r>
        <w:rPr>
          <w:rFonts w:hint="eastAsia" w:ascii="宋体" w:hAnsi="宋体"/>
          <w:color w:val="auto"/>
          <w:szCs w:val="21"/>
        </w:rPr>
        <w:t>。</w:t>
      </w:r>
    </w:p>
    <w:p>
      <w:pPr>
        <w:tabs>
          <w:tab w:val="left" w:pos="2340"/>
        </w:tabs>
        <w:spacing w:line="560" w:lineRule="exact"/>
        <w:jc w:val="left"/>
        <w:rPr>
          <w:rFonts w:ascii="宋体" w:hAnsi="宋体"/>
          <w:color w:val="auto"/>
          <w:szCs w:val="21"/>
          <w:u w:val="single"/>
        </w:rPr>
      </w:pPr>
      <w:r>
        <w:rPr>
          <w:rFonts w:hint="eastAsia" w:ascii="宋体" w:hAnsi="宋体"/>
          <w:color w:val="auto"/>
          <w:szCs w:val="21"/>
        </w:rPr>
        <w:t xml:space="preserve">   </w:t>
      </w:r>
      <w:r>
        <w:rPr>
          <w:rFonts w:ascii="宋体" w:hAnsi="宋体"/>
          <w:color w:val="auto"/>
          <w:szCs w:val="21"/>
        </w:rPr>
        <w:t>21.4</w:t>
      </w:r>
      <w:r>
        <w:rPr>
          <w:rFonts w:hint="eastAsia" w:ascii="宋体" w:hAnsi="宋体" w:cs="宋体"/>
          <w:color w:val="auto"/>
          <w:szCs w:val="21"/>
          <w:u w:val="single"/>
        </w:rPr>
        <w:t>承包人应加强周边学校、居民住宅的环境保护，制定绿色施工安全防护措施（包括防尘、防噪音、施工围蔽等），施工现场严格按照《广州市建设工程文明施工管理规定》（广州市人民政府令第62号）、《广州市建设工程现场文明施工管理办法》（</w:t>
      </w:r>
      <w:r>
        <w:rPr>
          <w:rFonts w:hint="eastAsia" w:ascii="宋体" w:hAnsi="宋体" w:cs="宋体"/>
          <w:bCs/>
          <w:smallCaps/>
          <w:color w:val="auto"/>
          <w:szCs w:val="21"/>
          <w:u w:val="single"/>
        </w:rPr>
        <w:t>穗建质</w:t>
      </w:r>
      <w:r>
        <w:rPr>
          <w:rFonts w:hint="eastAsia" w:ascii="宋体" w:hAnsi="宋体" w:cs="宋体"/>
          <w:color w:val="auto"/>
          <w:szCs w:val="21"/>
          <w:u w:val="single"/>
        </w:rPr>
        <w:t>〔2008〕</w:t>
      </w:r>
      <w:r>
        <w:rPr>
          <w:rFonts w:hint="eastAsia" w:ascii="宋体" w:hAnsi="宋体" w:cs="宋体"/>
          <w:bCs/>
          <w:smallCaps/>
          <w:color w:val="auto"/>
          <w:szCs w:val="21"/>
          <w:u w:val="single"/>
        </w:rPr>
        <w:t>937号）</w:t>
      </w:r>
      <w:r>
        <w:rPr>
          <w:rFonts w:hint="eastAsia" w:ascii="宋体" w:hAnsi="宋体" w:cs="宋体"/>
          <w:color w:val="auto"/>
          <w:szCs w:val="21"/>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2018〕1008号）、《广州市建设工程绿色施工围蔽指导图集（V2.0版）的通知》(穂建质〔2020〕1号)、《关于进一步落实我区市政建设项目施工围蔽提升工作的通知》（穗埔建[2019]123号）及</w:t>
      </w:r>
      <w:r>
        <w:rPr>
          <w:rFonts w:hint="eastAsia" w:ascii="宋体" w:hAnsi="宋体"/>
          <w:color w:val="auto"/>
          <w:szCs w:val="21"/>
          <w:u w:val="single"/>
        </w:rPr>
        <w:t>《黄埔区住房和城乡建设局 广州开发区建设和交通局关于进一步规范全区建设工程施工围蔽标准的通知》（穗埔建﹝2020﹞183号）实施。</w:t>
      </w:r>
      <w:r>
        <w:rPr>
          <w:rFonts w:ascii="宋体" w:hAnsi="宋体" w:cs="宋体"/>
          <w:color w:val="auto"/>
          <w:szCs w:val="21"/>
        </w:rPr>
        <w:t>以上文件要求不一致的，以后发布文件为准，若相关部门发布有关施工围蔽新文件规定的，按新规定执行。</w:t>
      </w:r>
      <w:r>
        <w:rPr>
          <w:rFonts w:hint="eastAsia" w:ascii="宋体" w:hAnsi="宋体"/>
          <w:color w:val="auto"/>
          <w:szCs w:val="21"/>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pPr>
        <w:snapToGrid w:val="0"/>
        <w:spacing w:line="440" w:lineRule="exact"/>
        <w:ind w:firstLine="397"/>
        <w:rPr>
          <w:rFonts w:ascii="宋体" w:hAnsi="宋体"/>
          <w:color w:val="auto"/>
          <w:szCs w:val="21"/>
          <w:u w:val="single"/>
        </w:rPr>
      </w:pPr>
      <w:r>
        <w:rPr>
          <w:rFonts w:ascii="宋体" w:hAnsi="宋体"/>
          <w:color w:val="auto"/>
          <w:szCs w:val="21"/>
        </w:rPr>
        <w:t>21.5</w:t>
      </w:r>
      <w:r>
        <w:rPr>
          <w:rFonts w:hint="eastAsia" w:ascii="宋体" w:hAnsi="宋体"/>
          <w:color w:val="auto"/>
          <w:szCs w:val="21"/>
          <w:u w:val="single"/>
        </w:rPr>
        <w:t>承包人应按规定对工程施工人员进行安全教育和管理</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21.6</w:t>
      </w:r>
      <w:r>
        <w:rPr>
          <w:rFonts w:hint="eastAsia" w:ascii="宋体" w:hAnsi="宋体"/>
          <w:color w:val="auto"/>
          <w:szCs w:val="21"/>
          <w:u w:val="single"/>
        </w:rPr>
        <w:t>承包人应书面记录专项安全施工组织设计方案审查、安全检查、安全技术交底、安全隐患整改、安全教育等重要安全管理活动</w:t>
      </w:r>
      <w:r>
        <w:rPr>
          <w:rFonts w:hint="eastAsia" w:ascii="宋体" w:hAnsi="宋体"/>
          <w:color w:val="auto"/>
          <w:szCs w:val="21"/>
        </w:rPr>
        <w:t>。</w:t>
      </w:r>
    </w:p>
    <w:p>
      <w:pPr>
        <w:spacing w:line="520" w:lineRule="exact"/>
        <w:ind w:firstLine="315" w:firstLineChars="150"/>
        <w:rPr>
          <w:rFonts w:ascii="宋体" w:hAnsi="宋体"/>
          <w:color w:val="auto"/>
          <w:szCs w:val="21"/>
          <w:u w:val="single"/>
        </w:rPr>
      </w:pPr>
      <w:r>
        <w:rPr>
          <w:rFonts w:hint="eastAsia" w:ascii="宋体" w:hAnsi="宋体"/>
          <w:color w:val="auto"/>
          <w:szCs w:val="21"/>
          <w:u w:val="single"/>
        </w:rPr>
        <w:t>21.7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pPr>
        <w:spacing w:line="520" w:lineRule="exact"/>
        <w:ind w:firstLine="315" w:firstLineChars="150"/>
        <w:rPr>
          <w:rFonts w:ascii="宋体" w:hAnsi="宋体"/>
          <w:color w:val="auto"/>
          <w:szCs w:val="21"/>
          <w:u w:val="single"/>
        </w:rPr>
      </w:pPr>
      <w:r>
        <w:rPr>
          <w:rFonts w:hint="eastAsia" w:ascii="宋体" w:hAnsi="宋体"/>
          <w:color w:val="auto"/>
          <w:szCs w:val="21"/>
          <w:u w:val="single"/>
        </w:rPr>
        <w:t>21.8承包人用于本项目的起重设备须严格执行《关于建筑起重机械设备安全监督管理的通知》【穗建安监字[2006]24号】、《关于加强建设工地塔式起重机安全管理的若干规定》【穗建安监字[2006]5号】、</w:t>
      </w:r>
      <w:r>
        <w:rPr>
          <w:rFonts w:ascii="宋体" w:hAnsi="宋体"/>
          <w:color w:val="auto"/>
          <w:szCs w:val="21"/>
          <w:u w:val="single"/>
        </w:rPr>
        <w:t>《关于加强塔式起重机等垂直运输设备及附着升降脚手架施工安全监督管理的通知》</w:t>
      </w:r>
      <w:r>
        <w:rPr>
          <w:rFonts w:hint="eastAsia" w:ascii="宋体" w:hAnsi="宋体"/>
          <w:color w:val="auto"/>
          <w:szCs w:val="21"/>
          <w:u w:val="single"/>
        </w:rPr>
        <w:t>【</w:t>
      </w:r>
      <w:r>
        <w:rPr>
          <w:rFonts w:ascii="宋体" w:hAnsi="宋体"/>
          <w:color w:val="auto"/>
          <w:szCs w:val="21"/>
          <w:u w:val="single"/>
        </w:rPr>
        <w:t>穗建筑[2003]84号</w:t>
      </w:r>
      <w:r>
        <w:rPr>
          <w:rFonts w:hint="eastAsia" w:ascii="宋体" w:hAnsi="宋体"/>
          <w:color w:val="auto"/>
          <w:szCs w:val="21"/>
          <w:u w:val="single"/>
        </w:rPr>
        <w:t>】等相关规定。</w:t>
      </w:r>
    </w:p>
    <w:p>
      <w:pPr>
        <w:spacing w:line="520" w:lineRule="exact"/>
        <w:ind w:firstLine="315" w:firstLineChars="150"/>
        <w:rPr>
          <w:rFonts w:ascii="宋体" w:hAnsi="宋体"/>
          <w:color w:val="auto"/>
          <w:szCs w:val="21"/>
          <w:u w:val="single"/>
        </w:rPr>
      </w:pPr>
      <w:r>
        <w:rPr>
          <w:rFonts w:hint="eastAsia" w:ascii="宋体" w:hAnsi="宋体"/>
          <w:color w:val="auto"/>
          <w:szCs w:val="21"/>
          <w:u w:val="single"/>
        </w:rPr>
        <w:t>21.9承包人在工程实施过程中，按照国家、省、市的相关规定制定相关的专项安全施工方案（如高支模、基坑支护、沉井等），组织专家评审通过后，报监理人、发包人审批后方可开展专项工程的施工。</w:t>
      </w:r>
    </w:p>
    <w:p>
      <w:pPr>
        <w:spacing w:line="520" w:lineRule="exact"/>
        <w:ind w:firstLine="315" w:firstLineChars="150"/>
        <w:rPr>
          <w:rFonts w:ascii="宋体" w:hAnsi="宋体"/>
          <w:color w:val="auto"/>
          <w:szCs w:val="21"/>
        </w:rPr>
      </w:pPr>
      <w:r>
        <w:rPr>
          <w:rFonts w:hint="eastAsia" w:ascii="宋体" w:hAnsi="宋体"/>
          <w:color w:val="auto"/>
          <w:szCs w:val="21"/>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pPr>
        <w:spacing w:line="520" w:lineRule="exact"/>
        <w:ind w:firstLine="315" w:firstLineChars="150"/>
        <w:rPr>
          <w:rFonts w:ascii="宋体" w:hAnsi="宋体"/>
          <w:color w:val="auto"/>
          <w:szCs w:val="21"/>
        </w:rPr>
      </w:pPr>
      <w:r>
        <w:rPr>
          <w:rFonts w:hint="eastAsia" w:ascii="宋体" w:hAnsi="宋体"/>
          <w:color w:val="auto"/>
          <w:szCs w:val="21"/>
        </w:rPr>
        <w:t>21.11承包人在施工期间要确保工程外场地清洁及道路畅通，如须使用他方道路，则还必须负责养护、保洁责任，否则责任自负。施工和警示标志明显，因施工造成人身损害和财产损失的，由承包人承担责任。</w:t>
      </w:r>
    </w:p>
    <w:p>
      <w:pPr>
        <w:spacing w:line="520" w:lineRule="exact"/>
        <w:ind w:firstLine="315" w:firstLineChars="150"/>
        <w:rPr>
          <w:rFonts w:ascii="宋体" w:hAnsi="宋体"/>
          <w:color w:val="auto"/>
          <w:szCs w:val="21"/>
        </w:rPr>
      </w:pPr>
      <w:r>
        <w:rPr>
          <w:rFonts w:hint="eastAsia" w:ascii="宋体" w:hAnsi="宋体"/>
          <w:color w:val="auto"/>
          <w:szCs w:val="21"/>
        </w:rPr>
        <w:t>21.12承包人必须考虑安全、环保等因素在局部施工范围进行施工，现场围蔽不符合国家有关安全措施及技术要求的，不得开展施工作业，由此造成的工期延长，由承包人自己负责，当作延误工期处理。</w:t>
      </w:r>
    </w:p>
    <w:p>
      <w:pPr>
        <w:spacing w:line="520" w:lineRule="exact"/>
        <w:ind w:firstLine="315" w:firstLineChars="150"/>
        <w:rPr>
          <w:rFonts w:ascii="宋体" w:hAnsi="宋体"/>
          <w:color w:val="auto"/>
          <w:szCs w:val="21"/>
        </w:rPr>
      </w:pPr>
      <w:r>
        <w:rPr>
          <w:rFonts w:hint="eastAsia" w:ascii="宋体" w:hAnsi="宋体"/>
          <w:color w:val="auto"/>
          <w:szCs w:val="21"/>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spacing w:line="520" w:lineRule="exact"/>
        <w:ind w:firstLine="315" w:firstLineChars="150"/>
        <w:rPr>
          <w:rFonts w:ascii="宋体" w:hAnsi="宋体"/>
          <w:color w:val="auto"/>
          <w:szCs w:val="21"/>
        </w:rPr>
      </w:pPr>
      <w:r>
        <w:rPr>
          <w:rFonts w:hint="eastAsia" w:ascii="宋体" w:hAnsi="宋体"/>
          <w:color w:val="auto"/>
          <w:szCs w:val="21"/>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结算时按发包人批准的实施方案，按合同约定结算。如果承包人不及时按要求设置，发包人可以另行委托实施。发包人按实际发生的费用在工程款中扣除，承包人不得有任何异议。</w:t>
      </w:r>
    </w:p>
    <w:p>
      <w:pPr>
        <w:snapToGrid w:val="0"/>
        <w:spacing w:line="440" w:lineRule="exact"/>
        <w:ind w:firstLine="397"/>
        <w:rPr>
          <w:rFonts w:ascii="宋体" w:hAnsi="宋体"/>
          <w:b/>
          <w:color w:val="auto"/>
          <w:sz w:val="24"/>
        </w:rPr>
      </w:pPr>
      <w:r>
        <w:rPr>
          <w:rFonts w:ascii="宋体" w:hAnsi="宋体"/>
          <w:b/>
          <w:color w:val="auto"/>
          <w:sz w:val="24"/>
        </w:rPr>
        <w:t>22、事故处理</w:t>
      </w:r>
    </w:p>
    <w:p>
      <w:pPr>
        <w:snapToGrid w:val="0"/>
        <w:spacing w:line="440" w:lineRule="exact"/>
        <w:ind w:firstLine="397"/>
        <w:rPr>
          <w:rFonts w:ascii="宋体" w:hAnsi="宋体"/>
          <w:color w:val="auto"/>
          <w:szCs w:val="21"/>
          <w:u w:val="single"/>
        </w:rPr>
      </w:pPr>
      <w:r>
        <w:rPr>
          <w:rFonts w:ascii="宋体" w:hAnsi="宋体"/>
          <w:color w:val="auto"/>
          <w:szCs w:val="21"/>
        </w:rPr>
        <w:t>22.3</w:t>
      </w:r>
      <w:r>
        <w:rPr>
          <w:rFonts w:hint="eastAsia" w:ascii="宋体" w:hAnsi="宋体"/>
          <w:color w:val="auto"/>
          <w:szCs w:val="21"/>
        </w:rPr>
        <w:t>如发生安全事故，除按法定程序办理有关事宜外，还必须按以下程序进行处理：</w:t>
      </w:r>
    </w:p>
    <w:p>
      <w:pPr>
        <w:snapToGrid w:val="0"/>
        <w:spacing w:line="440" w:lineRule="exact"/>
        <w:ind w:firstLine="397"/>
        <w:rPr>
          <w:rFonts w:ascii="宋体" w:hAnsi="宋体"/>
          <w:color w:val="auto"/>
          <w:szCs w:val="21"/>
          <w:u w:val="single"/>
        </w:rPr>
      </w:pPr>
      <w:r>
        <w:rPr>
          <w:rFonts w:ascii="宋体" w:hAnsi="宋体"/>
          <w:color w:val="auto"/>
          <w:szCs w:val="21"/>
        </w:rPr>
        <w:t>22.3.1</w:t>
      </w:r>
      <w:r>
        <w:rPr>
          <w:rFonts w:hint="eastAsia" w:ascii="宋体" w:hAnsi="宋体"/>
          <w:color w:val="auto"/>
          <w:szCs w:val="21"/>
          <w:u w:val="single"/>
        </w:rPr>
        <w:t>报告安全事故：安全事故发生后，承包人应在</w:t>
      </w:r>
      <w:r>
        <w:rPr>
          <w:rFonts w:ascii="宋体" w:hAnsi="宋体"/>
          <w:color w:val="auto"/>
          <w:szCs w:val="21"/>
          <w:u w:val="single"/>
        </w:rPr>
        <w:t>1小时内用最快的信息传递手段，将发生事故的时间、地点、伤亡人数、事故原因等情况，报工程师和发包人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22.3.2</w:t>
      </w:r>
      <w:r>
        <w:rPr>
          <w:rFonts w:hint="eastAsia" w:ascii="宋体" w:hAnsi="宋体"/>
          <w:color w:val="auto"/>
          <w:szCs w:val="21"/>
          <w:u w:val="single"/>
        </w:rPr>
        <w:t>事故处理：承包人负责抢救伤员、排除险情，防止事故扩大蔓延，保护好现场，并做好标志，启动保险理赔程序</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22.3.3</w:t>
      </w:r>
      <w:r>
        <w:rPr>
          <w:rFonts w:hint="eastAsia" w:ascii="宋体" w:hAnsi="宋体"/>
          <w:color w:val="auto"/>
          <w:szCs w:val="21"/>
          <w:u w:val="single"/>
        </w:rPr>
        <w:t>事故调查：承包人应组织内部技术安全、质量部门的人员组成调查组，开展调查，并配合做好发包人或政府有关部门组织的调查工作</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22.3.4</w:t>
      </w:r>
      <w:r>
        <w:rPr>
          <w:rFonts w:hint="eastAsia" w:ascii="宋体" w:hAnsi="宋体"/>
          <w:color w:val="auto"/>
          <w:szCs w:val="21"/>
          <w:u w:val="single"/>
        </w:rPr>
        <w:t>调查报告：承包人应把事故发生经过、原因、性质、损失、责任、处理意见、纠正和预防措施撰写成调查报告，送工程师会审后报发包人</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六、合同价款与支付</w:t>
      </w:r>
    </w:p>
    <w:p>
      <w:pPr>
        <w:snapToGrid w:val="0"/>
        <w:spacing w:line="440" w:lineRule="exact"/>
        <w:ind w:firstLine="397"/>
        <w:rPr>
          <w:rFonts w:ascii="宋体" w:hAnsi="宋体"/>
          <w:color w:val="auto"/>
          <w:sz w:val="24"/>
          <w:u w:val="single"/>
        </w:rPr>
      </w:pPr>
      <w:r>
        <w:rPr>
          <w:rFonts w:ascii="宋体" w:hAnsi="宋体"/>
          <w:b/>
          <w:color w:val="auto"/>
          <w:sz w:val="24"/>
        </w:rPr>
        <w:t>23</w:t>
      </w:r>
      <w:r>
        <w:rPr>
          <w:rFonts w:hint="eastAsia" w:ascii="宋体" w:hAnsi="宋体"/>
          <w:b/>
          <w:color w:val="auto"/>
          <w:sz w:val="24"/>
        </w:rPr>
        <w:t>、合同价款及调整</w:t>
      </w:r>
    </w:p>
    <w:p>
      <w:pPr>
        <w:snapToGrid w:val="0"/>
        <w:spacing w:line="440" w:lineRule="exact"/>
        <w:ind w:firstLine="315" w:firstLineChars="150"/>
        <w:rPr>
          <w:rFonts w:ascii="宋体" w:hAnsi="宋体"/>
          <w:color w:val="auto"/>
          <w:szCs w:val="21"/>
        </w:rPr>
      </w:pPr>
      <w:r>
        <w:rPr>
          <w:rFonts w:ascii="宋体" w:hAnsi="宋体"/>
          <w:color w:val="auto"/>
          <w:szCs w:val="21"/>
        </w:rPr>
        <w:t>23.2</w:t>
      </w:r>
      <w:r>
        <w:rPr>
          <w:rFonts w:hint="eastAsia" w:ascii="宋体" w:hAnsi="宋体"/>
          <w:color w:val="auto"/>
          <w:szCs w:val="21"/>
        </w:rPr>
        <w:t>本合同价款按照</w:t>
      </w:r>
      <w:r>
        <w:rPr>
          <w:rFonts w:hint="eastAsia" w:ascii="宋体" w:hAnsi="宋体"/>
          <w:color w:val="auto"/>
          <w:szCs w:val="21"/>
          <w:u w:val="single"/>
        </w:rPr>
        <w:t>协议书第五条、专用条款</w:t>
      </w:r>
      <w:r>
        <w:rPr>
          <w:rFonts w:ascii="宋体" w:hAnsi="宋体"/>
          <w:color w:val="auto"/>
          <w:szCs w:val="21"/>
          <w:u w:val="single"/>
        </w:rPr>
        <w:t>23.3款</w:t>
      </w:r>
      <w:r>
        <w:rPr>
          <w:rFonts w:hint="eastAsia" w:ascii="宋体" w:hAnsi="宋体"/>
          <w:color w:val="auto"/>
          <w:szCs w:val="21"/>
          <w:u w:val="single"/>
        </w:rPr>
        <w:t>和专用条款</w:t>
      </w:r>
      <w:r>
        <w:rPr>
          <w:rFonts w:ascii="宋体" w:hAnsi="宋体"/>
          <w:color w:val="auto"/>
          <w:szCs w:val="21"/>
          <w:u w:val="single"/>
        </w:rPr>
        <w:t>23.5款</w:t>
      </w:r>
      <w:r>
        <w:rPr>
          <w:rFonts w:ascii="宋体" w:hAnsi="宋体"/>
          <w:color w:val="auto"/>
          <w:szCs w:val="21"/>
        </w:rPr>
        <w:t>约定</w:t>
      </w:r>
      <w:r>
        <w:rPr>
          <w:rFonts w:hint="eastAsia" w:ascii="宋体" w:hAnsi="宋体"/>
          <w:color w:val="auto"/>
          <w:szCs w:val="21"/>
        </w:rPr>
        <w:t>执行，最终按结算终审部门审定价结算。</w:t>
      </w:r>
    </w:p>
    <w:p>
      <w:pPr>
        <w:snapToGrid w:val="0"/>
        <w:spacing w:line="440" w:lineRule="exact"/>
        <w:ind w:firstLine="315" w:firstLineChars="150"/>
        <w:rPr>
          <w:rFonts w:ascii="宋体" w:hAnsi="宋体"/>
          <w:color w:val="auto"/>
          <w:szCs w:val="21"/>
        </w:rPr>
      </w:pPr>
      <w:r>
        <w:rPr>
          <w:rFonts w:hint="eastAsia" w:ascii="宋体" w:hAnsi="宋体"/>
          <w:color w:val="auto"/>
          <w:szCs w:val="21"/>
        </w:rPr>
        <w:t>本合同价款采用分部分项工程量清单固定综合单价方式确定，具体办法如下：</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分部分项工程量清单费：</w:t>
      </w:r>
      <w:r>
        <w:rPr>
          <w:rFonts w:hint="eastAsia" w:ascii="宋体" w:hAnsi="宋体"/>
          <w:color w:val="auto"/>
          <w:szCs w:val="21"/>
          <w:u w:val="single"/>
        </w:rPr>
        <w:t>除专用条款</w:t>
      </w:r>
      <w:r>
        <w:rPr>
          <w:rFonts w:ascii="宋体" w:hAnsi="宋体"/>
          <w:color w:val="auto"/>
          <w:szCs w:val="21"/>
          <w:u w:val="single"/>
        </w:rPr>
        <w:t>23.5.1及</w:t>
      </w:r>
      <w:r>
        <w:rPr>
          <w:rFonts w:hint="eastAsia" w:ascii="宋体" w:hAnsi="宋体"/>
          <w:color w:val="auto"/>
          <w:szCs w:val="21"/>
          <w:u w:val="single"/>
        </w:rPr>
        <w:t>专用条款</w:t>
      </w:r>
      <w:r>
        <w:rPr>
          <w:rFonts w:ascii="宋体" w:hAnsi="宋体"/>
          <w:color w:val="auto"/>
          <w:szCs w:val="21"/>
          <w:u w:val="single"/>
        </w:rPr>
        <w:t>23.5.2规定情况外，分部分项工程量清单综合单价固定不变，工程量按实计量</w:t>
      </w:r>
      <w:r>
        <w:rPr>
          <w:rFonts w:hint="eastAsia" w:ascii="宋体" w:hAnsi="宋体"/>
          <w:color w:val="auto"/>
          <w:szCs w:val="21"/>
        </w:rPr>
        <w:t>。</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措施项目费：</w:t>
      </w:r>
      <w:r>
        <w:rPr>
          <w:rFonts w:hint="eastAsia" w:ascii="宋体" w:hAnsi="宋体"/>
          <w:color w:val="auto"/>
          <w:szCs w:val="21"/>
          <w:u w:val="single"/>
        </w:rPr>
        <w:t>措施项目费（除施工围蔽费用外）固定不变，包干使用，结算时不予调整，施工围蔽清单综合单价固定不变，工程量按实计量</w:t>
      </w:r>
      <w:r>
        <w:rPr>
          <w:rFonts w:hint="eastAsia" w:ascii="宋体" w:hAnsi="宋体"/>
          <w:color w:val="auto"/>
          <w:szCs w:val="21"/>
        </w:rPr>
        <w:t>。</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其他项目部分：</w:t>
      </w:r>
    </w:p>
    <w:p>
      <w:pPr>
        <w:snapToGrid w:val="0"/>
        <w:spacing w:line="440" w:lineRule="exact"/>
        <w:ind w:firstLine="315" w:firstLineChars="150"/>
        <w:rPr>
          <w:rFonts w:ascii="宋体" w:hAnsi="宋体"/>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hint="eastAsia" w:ascii="宋体" w:hAnsi="宋体"/>
          <w:color w:val="auto"/>
          <w:position w:val="-4"/>
          <w:sz w:val="31"/>
          <w:szCs w:val="21"/>
        </w:rPr>
        <w:instrText xml:space="preserve">○</w:instrText>
      </w:r>
      <w:r>
        <w:rPr>
          <w:rFonts w:hint="eastAsia" w:ascii="宋体" w:hAnsi="宋体"/>
          <w:color w:val="auto"/>
          <w:szCs w:val="21"/>
        </w:rPr>
        <w:instrText xml:space="preserve">,1)</w:instrText>
      </w:r>
      <w:r>
        <w:rPr>
          <w:rFonts w:ascii="宋体" w:hAnsi="宋体"/>
          <w:color w:val="auto"/>
          <w:szCs w:val="21"/>
        </w:rPr>
        <w:fldChar w:fldCharType="end"/>
      </w:r>
      <w:r>
        <w:rPr>
          <w:rFonts w:hint="eastAsia" w:ascii="宋体" w:hAnsi="宋体"/>
          <w:color w:val="auto"/>
          <w:szCs w:val="21"/>
          <w:u w:val="single"/>
        </w:rPr>
        <w:t>招标人部分为暂定价，按实际签订的专业承包合同或预留金使用情况进行调整和结算</w:t>
      </w:r>
      <w:r>
        <w:rPr>
          <w:rFonts w:hint="eastAsia" w:ascii="宋体" w:hAnsi="宋体"/>
          <w:color w:val="auto"/>
          <w:szCs w:val="21"/>
        </w:rPr>
        <w:t>；</w:t>
      </w:r>
    </w:p>
    <w:p>
      <w:pPr>
        <w:snapToGrid w:val="0"/>
        <w:spacing w:line="440" w:lineRule="exact"/>
        <w:ind w:firstLine="315" w:firstLineChars="150"/>
        <w:rPr>
          <w:rFonts w:ascii="宋体" w:hAnsi="宋体"/>
          <w:color w:val="auto"/>
          <w:szCs w:val="21"/>
          <w:u w:val="single"/>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hint="eastAsia" w:ascii="宋体" w:hAnsi="宋体"/>
          <w:color w:val="auto"/>
          <w:position w:val="-4"/>
          <w:sz w:val="31"/>
          <w:szCs w:val="21"/>
        </w:rPr>
        <w:instrText xml:space="preserve">○</w:instrText>
      </w:r>
      <w:r>
        <w:rPr>
          <w:rFonts w:hint="eastAsia" w:ascii="宋体" w:hAnsi="宋体"/>
          <w:color w:val="auto"/>
          <w:szCs w:val="21"/>
        </w:rPr>
        <w:instrText xml:space="preserve">,2)</w:instrText>
      </w:r>
      <w:r>
        <w:rPr>
          <w:rFonts w:ascii="宋体" w:hAnsi="宋体"/>
          <w:color w:val="auto"/>
          <w:szCs w:val="21"/>
        </w:rPr>
        <w:fldChar w:fldCharType="end"/>
      </w:r>
      <w:r>
        <w:rPr>
          <w:rFonts w:hint="eastAsia" w:ascii="宋体" w:hAnsi="宋体"/>
          <w:color w:val="auto"/>
          <w:szCs w:val="21"/>
          <w:u w:val="single"/>
        </w:rPr>
        <w:t>投标人部分为固定价格，结算时不作调整。（若实际没有发生，在结算时扣除未发生项目的费用）</w:t>
      </w:r>
    </w:p>
    <w:p>
      <w:pPr>
        <w:snapToGrid w:val="0"/>
        <w:spacing w:line="440" w:lineRule="exact"/>
        <w:ind w:firstLine="360" w:firstLineChars="150"/>
        <w:rPr>
          <w:rFonts w:ascii="宋体" w:hAnsi="宋体"/>
          <w:color w:val="auto"/>
          <w:szCs w:val="21"/>
        </w:rPr>
      </w:pPr>
      <w:r>
        <w:rPr>
          <w:rFonts w:hint="eastAsia" w:ascii="宋体" w:hAnsi="宋体"/>
          <w:color w:val="auto"/>
          <w:sz w:val="24"/>
          <w:szCs w:val="24"/>
        </w:rPr>
        <w:t>③</w:t>
      </w:r>
      <w:r>
        <w:rPr>
          <w:rFonts w:hint="eastAsia" w:ascii="宋体" w:hAnsi="宋体"/>
          <w:color w:val="auto"/>
          <w:szCs w:val="21"/>
          <w:u w:val="single"/>
        </w:rPr>
        <w:t>投标人预算包干费部分按投标人报价中的费率取费，费率结算时不作调整。</w:t>
      </w:r>
    </w:p>
    <w:p>
      <w:pPr>
        <w:snapToGrid w:val="0"/>
        <w:spacing w:line="440" w:lineRule="exact"/>
        <w:ind w:firstLine="315" w:firstLineChars="150"/>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税金：税金按实计取，费率固定不变</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23.3</w:t>
      </w:r>
      <w:r>
        <w:rPr>
          <w:rFonts w:hint="eastAsia" w:ascii="宋体" w:hAnsi="宋体"/>
          <w:color w:val="auto"/>
          <w:szCs w:val="21"/>
        </w:rPr>
        <w:t>双方约定合同价款的调整因素：</w:t>
      </w:r>
    </w:p>
    <w:p>
      <w:pPr>
        <w:numPr>
          <w:ilvl w:val="0"/>
          <w:numId w:val="7"/>
        </w:numPr>
        <w:snapToGrid w:val="0"/>
        <w:spacing w:line="440" w:lineRule="exact"/>
        <w:rPr>
          <w:rFonts w:ascii="宋体" w:hAnsi="宋体"/>
          <w:color w:val="auto"/>
          <w:szCs w:val="21"/>
        </w:rPr>
      </w:pPr>
      <w:r>
        <w:rPr>
          <w:rFonts w:hint="eastAsia" w:ascii="宋体" w:hAnsi="宋体"/>
          <w:color w:val="auto"/>
          <w:szCs w:val="21"/>
          <w:u w:val="single"/>
        </w:rPr>
        <w:t>发包人及监理单位共同确认工程量偏差</w:t>
      </w:r>
      <w:r>
        <w:rPr>
          <w:rFonts w:hint="eastAsia" w:ascii="宋体" w:hAnsi="宋体"/>
          <w:color w:val="auto"/>
          <w:szCs w:val="21"/>
        </w:rPr>
        <w:t>；</w:t>
      </w:r>
    </w:p>
    <w:p>
      <w:pPr>
        <w:numPr>
          <w:ilvl w:val="0"/>
          <w:numId w:val="7"/>
        </w:numPr>
        <w:snapToGrid w:val="0"/>
        <w:spacing w:line="440" w:lineRule="exact"/>
        <w:rPr>
          <w:rFonts w:ascii="宋体" w:hAnsi="宋体"/>
          <w:color w:val="auto"/>
          <w:szCs w:val="21"/>
        </w:rPr>
      </w:pPr>
      <w:r>
        <w:rPr>
          <w:rFonts w:hint="eastAsia" w:ascii="宋体" w:hAnsi="宋体"/>
          <w:color w:val="auto"/>
          <w:szCs w:val="21"/>
          <w:u w:val="single"/>
        </w:rPr>
        <w:t>发包人及监理单位共同确认工程变更、签证和新增工程</w:t>
      </w:r>
      <w:r>
        <w:rPr>
          <w:rFonts w:hint="eastAsia" w:ascii="宋体" w:hAnsi="宋体"/>
          <w:color w:val="auto"/>
          <w:szCs w:val="21"/>
        </w:rPr>
        <w:t>；</w:t>
      </w:r>
    </w:p>
    <w:p>
      <w:pPr>
        <w:numPr>
          <w:ilvl w:val="0"/>
          <w:numId w:val="7"/>
        </w:numPr>
        <w:snapToGrid w:val="0"/>
        <w:spacing w:line="440" w:lineRule="exact"/>
        <w:rPr>
          <w:rFonts w:ascii="宋体" w:hAnsi="宋体"/>
          <w:color w:val="auto"/>
          <w:szCs w:val="21"/>
        </w:rPr>
      </w:pPr>
      <w:r>
        <w:rPr>
          <w:rFonts w:hint="eastAsia" w:ascii="宋体" w:hAnsi="宋体"/>
          <w:color w:val="auto"/>
          <w:szCs w:val="21"/>
          <w:u w:val="single"/>
        </w:rPr>
        <w:t>物价变化</w:t>
      </w:r>
      <w:r>
        <w:rPr>
          <w:rFonts w:hint="eastAsia" w:ascii="宋体" w:hAnsi="宋体"/>
          <w:color w:val="auto"/>
          <w:szCs w:val="21"/>
        </w:rPr>
        <w:t>；</w:t>
      </w:r>
    </w:p>
    <w:p>
      <w:pPr>
        <w:numPr>
          <w:ilvl w:val="0"/>
          <w:numId w:val="7"/>
        </w:numPr>
        <w:snapToGrid w:val="0"/>
        <w:spacing w:line="440" w:lineRule="exact"/>
        <w:rPr>
          <w:rFonts w:ascii="宋体" w:hAnsi="宋体"/>
          <w:color w:val="auto"/>
          <w:szCs w:val="21"/>
        </w:rPr>
      </w:pPr>
      <w:r>
        <w:rPr>
          <w:rFonts w:hint="eastAsia" w:ascii="宋体" w:hAnsi="宋体"/>
          <w:color w:val="auto"/>
          <w:szCs w:val="21"/>
          <w:u w:val="single"/>
        </w:rPr>
        <w:t>费用索赔事件或发包人负责的其他情况</w:t>
      </w:r>
      <w:r>
        <w:rPr>
          <w:rFonts w:hint="eastAsia" w:ascii="宋体" w:hAnsi="宋体"/>
          <w:color w:val="auto"/>
          <w:szCs w:val="21"/>
        </w:rPr>
        <w:t>。</w:t>
      </w:r>
    </w:p>
    <w:p>
      <w:pPr>
        <w:snapToGrid w:val="0"/>
        <w:spacing w:line="440" w:lineRule="exact"/>
        <w:ind w:firstLine="315" w:firstLineChars="150"/>
        <w:rPr>
          <w:rFonts w:ascii="宋体" w:hAnsi="宋体"/>
          <w:color w:val="auto"/>
          <w:szCs w:val="21"/>
        </w:rPr>
      </w:pPr>
      <w:r>
        <w:rPr>
          <w:rFonts w:hint="eastAsia" w:ascii="宋体" w:hAnsi="宋体"/>
          <w:color w:val="auto"/>
          <w:szCs w:val="21"/>
        </w:rPr>
        <w:t>以上调整事项涉及的价款计价原则按专用条款</w:t>
      </w:r>
      <w:r>
        <w:rPr>
          <w:rFonts w:ascii="宋体" w:hAnsi="宋体"/>
          <w:color w:val="auto"/>
          <w:szCs w:val="21"/>
        </w:rPr>
        <w:t>2</w:t>
      </w:r>
      <w:r>
        <w:rPr>
          <w:rFonts w:hint="eastAsia" w:ascii="宋体" w:hAnsi="宋体"/>
          <w:color w:val="auto"/>
          <w:szCs w:val="21"/>
        </w:rPr>
        <w:t>3</w:t>
      </w:r>
      <w:r>
        <w:rPr>
          <w:rFonts w:ascii="宋体" w:hAnsi="宋体"/>
          <w:color w:val="auto"/>
          <w:szCs w:val="21"/>
        </w:rPr>
        <w:t>.5款约定执行。</w:t>
      </w:r>
    </w:p>
    <w:p>
      <w:pPr>
        <w:snapToGrid w:val="0"/>
        <w:spacing w:line="520" w:lineRule="exact"/>
        <w:ind w:firstLine="296" w:firstLineChars="141"/>
        <w:rPr>
          <w:rFonts w:ascii="宋体" w:hAnsi="宋体"/>
          <w:color w:val="auto"/>
          <w:szCs w:val="21"/>
        </w:rPr>
      </w:pPr>
      <w:r>
        <w:rPr>
          <w:rFonts w:ascii="宋体" w:hAnsi="宋体"/>
          <w:color w:val="auto"/>
          <w:szCs w:val="21"/>
        </w:rPr>
        <w:t>23.4</w:t>
      </w:r>
      <w:r>
        <w:rPr>
          <w:rFonts w:hint="eastAsia" w:ascii="宋体" w:hAnsi="宋体"/>
          <w:color w:val="auto"/>
          <w:szCs w:val="21"/>
        </w:rPr>
        <w:t>承包人应在专用条款</w:t>
      </w:r>
      <w:r>
        <w:rPr>
          <w:rFonts w:ascii="宋体" w:hAnsi="宋体"/>
          <w:color w:val="auto"/>
          <w:szCs w:val="21"/>
        </w:rPr>
        <w:t>23.3款情况发生后</w:t>
      </w:r>
      <w:r>
        <w:rPr>
          <w:rFonts w:ascii="宋体" w:hAnsi="宋体"/>
          <w:color w:val="auto"/>
          <w:szCs w:val="21"/>
          <w:u w:val="single"/>
        </w:rPr>
        <w:t>3天</w:t>
      </w:r>
      <w:r>
        <w:rPr>
          <w:rFonts w:ascii="宋体" w:hAnsi="宋体"/>
          <w:color w:val="auto"/>
          <w:szCs w:val="21"/>
        </w:rPr>
        <w:t>内，将调整原因、金额以书面形式通知监理单位，必须经监理单位和发包人书面批准后作为调整合同价款的依据</w:t>
      </w:r>
      <w:r>
        <w:rPr>
          <w:rFonts w:hint="eastAsia" w:ascii="宋体" w:hAnsi="宋体"/>
          <w:color w:val="auto"/>
          <w:szCs w:val="21"/>
        </w:rPr>
        <w:t>。对承包人在没有得到发包人的同意和正式盖章书面函件的前提下进行的调整，发包人不予认可，一切责任和后果由承包人承担。</w:t>
      </w:r>
    </w:p>
    <w:p>
      <w:pPr>
        <w:snapToGrid w:val="0"/>
        <w:spacing w:line="440" w:lineRule="exact"/>
        <w:ind w:firstLine="296" w:firstLineChars="141"/>
        <w:rPr>
          <w:rFonts w:ascii="宋体" w:hAnsi="宋体"/>
          <w:color w:val="auto"/>
          <w:szCs w:val="21"/>
        </w:rPr>
      </w:pPr>
      <w:r>
        <w:rPr>
          <w:rFonts w:hint="eastAsia" w:ascii="宋体" w:hAnsi="宋体"/>
          <w:color w:val="auto"/>
          <w:szCs w:val="21"/>
        </w:rPr>
        <w:t>23.5</w:t>
      </w:r>
      <w:r>
        <w:rPr>
          <w:rFonts w:hint="eastAsia" w:ascii="宋体" w:hAnsi="宋体"/>
          <w:color w:val="auto"/>
          <w:szCs w:val="21"/>
          <w:u w:val="single"/>
        </w:rPr>
        <w:t>合同价款调整原则</w:t>
      </w:r>
    </w:p>
    <w:p>
      <w:pPr>
        <w:snapToGrid w:val="0"/>
        <w:spacing w:line="440" w:lineRule="exact"/>
        <w:ind w:firstLine="296" w:firstLineChars="141"/>
        <w:rPr>
          <w:rFonts w:ascii="宋体" w:hAnsi="宋体"/>
          <w:color w:val="auto"/>
          <w:szCs w:val="21"/>
        </w:rPr>
      </w:pPr>
      <w:r>
        <w:rPr>
          <w:rFonts w:hint="eastAsia" w:ascii="宋体" w:hAnsi="宋体"/>
          <w:color w:val="auto"/>
          <w:szCs w:val="21"/>
        </w:rPr>
        <w:t>23.5.1</w:t>
      </w:r>
      <w:r>
        <w:rPr>
          <w:rFonts w:hint="eastAsia" w:ascii="宋体" w:hAnsi="宋体"/>
          <w:color w:val="auto"/>
          <w:szCs w:val="21"/>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Pr>
          <w:rFonts w:hint="eastAsia" w:ascii="宋体" w:hAnsi="宋体"/>
          <w:color w:val="auto"/>
          <w:szCs w:val="21"/>
        </w:rPr>
        <w:t>。</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（2）</w:t>
      </w:r>
      <w:r>
        <w:rPr>
          <w:rFonts w:hint="eastAsia" w:ascii="宋体" w:hAnsi="宋体"/>
          <w:color w:val="auto"/>
          <w:szCs w:val="21"/>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olor w:val="auto"/>
          <w:u w:val="single"/>
        </w:rPr>
        <w:t>且需</w:t>
      </w:r>
      <w:r>
        <w:rPr>
          <w:rFonts w:ascii="宋体" w:hAnsi="宋体"/>
          <w:color w:val="auto"/>
          <w:u w:val="single"/>
        </w:rPr>
        <w:t>对选用的厂商价格信息重新进行市场调研询价</w:t>
      </w:r>
      <w:r>
        <w:rPr>
          <w:rFonts w:hint="eastAsia" w:ascii="宋体" w:hAnsi="宋体"/>
          <w:color w:val="auto"/>
          <w:u w:val="single"/>
        </w:rPr>
        <w:t>后</w:t>
      </w:r>
      <w:r>
        <w:rPr>
          <w:rFonts w:ascii="宋体" w:hAnsi="宋体"/>
          <w:color w:val="auto"/>
          <w:u w:val="single"/>
        </w:rPr>
        <w:t>方可使用</w:t>
      </w:r>
      <w:r>
        <w:rPr>
          <w:rFonts w:hint="eastAsia" w:ascii="宋体" w:hAnsi="宋体"/>
          <w:color w:val="auto"/>
          <w:u w:val="single"/>
        </w:rPr>
        <w:t>。</w:t>
      </w:r>
      <w:r>
        <w:rPr>
          <w:rFonts w:hint="eastAsia" w:ascii="宋体" w:hAnsi="宋体"/>
          <w:color w:val="auto"/>
          <w:szCs w:val="21"/>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（3）</w:t>
      </w:r>
      <w:r>
        <w:rPr>
          <w:rFonts w:hint="eastAsia" w:ascii="宋体" w:hAnsi="宋体"/>
          <w:color w:val="auto"/>
          <w:szCs w:val="21"/>
          <w:u w:val="single"/>
        </w:rPr>
        <w:t>合同工程量清单报价中没有相同或类似适用项目的，按以下原则计价</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① </w:t>
      </w:r>
      <w:r>
        <w:rPr>
          <w:rFonts w:hint="eastAsia" w:ascii="宋体" w:hAnsi="宋体"/>
          <w:color w:val="auto"/>
          <w:szCs w:val="21"/>
          <w:u w:val="single"/>
        </w:rPr>
        <w:t>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olor w:val="auto"/>
        </w:rPr>
        <w:t>，且需</w:t>
      </w:r>
      <w:r>
        <w:rPr>
          <w:rFonts w:ascii="宋体" w:hAnsi="宋体"/>
          <w:color w:val="auto"/>
        </w:rPr>
        <w:t>对选用的厂商价格信息重新进行市场调研询价</w:t>
      </w:r>
      <w:r>
        <w:rPr>
          <w:rFonts w:hint="eastAsia" w:ascii="宋体" w:hAnsi="宋体"/>
          <w:color w:val="auto"/>
        </w:rPr>
        <w:t>后</w:t>
      </w:r>
      <w:r>
        <w:rPr>
          <w:rFonts w:ascii="宋体" w:hAnsi="宋体"/>
          <w:color w:val="auto"/>
        </w:rPr>
        <w:t>方可使用</w:t>
      </w:r>
      <w:r>
        <w:rPr>
          <w:rFonts w:hint="eastAsia" w:ascii="宋体" w:hAnsi="宋体"/>
          <w:color w:val="auto"/>
        </w:rPr>
        <w:t>。</w:t>
      </w:r>
      <w:r>
        <w:rPr>
          <w:rFonts w:hint="eastAsia" w:ascii="宋体" w:hAnsi="宋体"/>
          <w:color w:val="auto"/>
          <w:szCs w:val="21"/>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② </w:t>
      </w:r>
      <w:r>
        <w:rPr>
          <w:rFonts w:hint="eastAsia" w:ascii="宋体" w:hAnsi="宋体"/>
          <w:color w:val="auto"/>
          <w:szCs w:val="21"/>
          <w:u w:val="single"/>
        </w:rPr>
        <w:t>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Pr>
          <w:rFonts w:hint="eastAsia" w:ascii="宋体" w:hAnsi="宋体"/>
          <w:color w:val="auto"/>
        </w:rPr>
        <w:t>，且需</w:t>
      </w:r>
      <w:r>
        <w:rPr>
          <w:rFonts w:ascii="宋体" w:hAnsi="宋体"/>
          <w:color w:val="auto"/>
        </w:rPr>
        <w:t>对选用的厂商价格信息重新进行市场调研询价</w:t>
      </w:r>
      <w:r>
        <w:rPr>
          <w:rFonts w:hint="eastAsia" w:ascii="宋体" w:hAnsi="宋体"/>
          <w:color w:val="auto"/>
        </w:rPr>
        <w:t>后</w:t>
      </w:r>
      <w:r>
        <w:rPr>
          <w:rFonts w:ascii="宋体" w:hAnsi="宋体"/>
          <w:color w:val="auto"/>
        </w:rPr>
        <w:t>方可使用</w:t>
      </w:r>
      <w:r>
        <w:rPr>
          <w:rFonts w:hint="eastAsia" w:ascii="宋体" w:hAnsi="宋体"/>
          <w:color w:val="auto"/>
        </w:rPr>
        <w:t>。</w:t>
      </w:r>
      <w:r>
        <w:rPr>
          <w:rFonts w:hint="eastAsia" w:ascii="宋体" w:hAnsi="宋体"/>
          <w:color w:val="auto"/>
          <w:szCs w:val="21"/>
          <w:u w:val="single"/>
        </w:rPr>
        <w:t>《广州地区建设工程常用材料税前综合价格》及《广州地区建设工程材料（设备）厂商价格信息》均没有的相关价格的，由发包人、监理单位、承包人结合市场价共同协商确定</w:t>
      </w:r>
      <w:r>
        <w:rPr>
          <w:rFonts w:hint="eastAsia" w:ascii="宋体" w:hAnsi="宋体"/>
          <w:color w:val="auto"/>
          <w:szCs w:val="21"/>
        </w:rPr>
        <w:t>。</w:t>
      </w:r>
    </w:p>
    <w:p>
      <w:pPr>
        <w:adjustRightInd w:val="0"/>
        <w:snapToGrid w:val="0"/>
        <w:spacing w:line="360" w:lineRule="auto"/>
        <w:ind w:right="11" w:firstLine="315" w:firstLineChars="150"/>
        <w:rPr>
          <w:rFonts w:ascii="宋体" w:hAnsi="宋体"/>
          <w:color w:val="auto"/>
          <w:szCs w:val="21"/>
        </w:rPr>
      </w:pPr>
      <w:r>
        <w:rPr>
          <w:rFonts w:hint="eastAsia" w:ascii="宋体" w:hAnsi="宋体"/>
          <w:color w:val="auto"/>
          <w:szCs w:val="21"/>
        </w:rPr>
        <w:t>（4）</w:t>
      </w:r>
      <w:r>
        <w:rPr>
          <w:rFonts w:hint="eastAsia" w:ascii="宋体" w:hAnsi="宋体"/>
          <w:color w:val="auto"/>
          <w:szCs w:val="21"/>
          <w:u w:val="single"/>
        </w:rPr>
        <w:t>按上述原则确定价格时，措施项目费用（除施工围蔽外）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23.5.2 </w:t>
      </w:r>
      <w:r>
        <w:rPr>
          <w:rFonts w:hint="eastAsia" w:ascii="宋体" w:hAnsi="宋体"/>
          <w:color w:val="auto"/>
          <w:szCs w:val="21"/>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23.5.3</w:t>
      </w:r>
      <w:r>
        <w:rPr>
          <w:rFonts w:hint="eastAsia" w:ascii="宋体" w:hAnsi="宋体"/>
          <w:color w:val="auto"/>
          <w:szCs w:val="21"/>
          <w:u w:val="single"/>
        </w:rPr>
        <w:t>物价涨跌的价格调整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（2）价款调整的方法</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③ 价款调整以月为单位计算，结算时一次性调整，如施工期间需调整价款的，经发包人、承包人协商一致后可签订价差补充协议，作为追加（减）合同价款和支付工程进度款的依据。</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④ 各调价材料、设备的信息价格按广州市建设工程造价管理部门发布的当月 “综合价格”计取，综合价格中没有的材料、设备单价，价差不予调整。</w:t>
      </w:r>
    </w:p>
    <w:p>
      <w:pPr>
        <w:snapToGrid w:val="0"/>
        <w:spacing w:line="440" w:lineRule="exact"/>
        <w:ind w:firstLine="296" w:firstLineChars="141"/>
        <w:rPr>
          <w:rFonts w:ascii="宋体" w:hAnsi="宋体"/>
          <w:color w:val="auto"/>
          <w:szCs w:val="21"/>
          <w:u w:val="single"/>
        </w:rPr>
      </w:pPr>
      <w:r>
        <w:rPr>
          <w:rFonts w:hint="eastAsia" w:ascii="宋体" w:hAnsi="宋体"/>
          <w:color w:val="auto"/>
          <w:szCs w:val="21"/>
          <w:u w:val="single"/>
        </w:rPr>
        <w:t>（3）由于承包人原因导致工期延误的，所延误时段内物价上涨的风险全部由承包人承担，不予调整；如物价下跌，则仍按第（2）款约定计算及扣回相应价款。</w:t>
      </w:r>
    </w:p>
    <w:p>
      <w:pPr>
        <w:snapToGrid w:val="0"/>
        <w:spacing w:line="440" w:lineRule="exact"/>
        <w:ind w:firstLine="338" w:firstLineChars="141"/>
        <w:rPr>
          <w:rFonts w:ascii="宋体" w:hAnsi="宋体"/>
          <w:b/>
          <w:color w:val="auto"/>
          <w:sz w:val="24"/>
        </w:rPr>
      </w:pPr>
      <w:r>
        <w:rPr>
          <w:rFonts w:ascii="宋体" w:hAnsi="宋体"/>
          <w:color w:val="auto"/>
          <w:sz w:val="24"/>
        </w:rPr>
        <w:t>24</w:t>
      </w:r>
      <w:r>
        <w:rPr>
          <w:rFonts w:hint="eastAsia" w:ascii="宋体" w:hAnsi="宋体"/>
          <w:b/>
          <w:color w:val="auto"/>
          <w:sz w:val="24"/>
        </w:rPr>
        <w:t>、工程预付款、工人工资</w:t>
      </w:r>
    </w:p>
    <w:p>
      <w:pPr>
        <w:snapToGrid w:val="0"/>
        <w:spacing w:line="440" w:lineRule="exact"/>
        <w:ind w:firstLine="296" w:firstLineChars="141"/>
        <w:rPr>
          <w:rFonts w:ascii="宋体" w:hAnsi="宋体"/>
          <w:color w:val="auto"/>
          <w:szCs w:val="21"/>
        </w:rPr>
      </w:pPr>
      <w:r>
        <w:rPr>
          <w:rFonts w:hint="eastAsia" w:ascii="宋体" w:hAnsi="宋体"/>
          <w:color w:val="auto"/>
          <w:szCs w:val="21"/>
        </w:rPr>
        <w:t>24.1工程预付款</w:t>
      </w:r>
    </w:p>
    <w:p>
      <w:pPr>
        <w:snapToGrid w:val="0"/>
        <w:spacing w:line="440" w:lineRule="exact"/>
        <w:ind w:firstLine="296" w:firstLineChars="141"/>
        <w:rPr>
          <w:rFonts w:ascii="宋体" w:hAnsi="宋体"/>
          <w:color w:val="auto"/>
          <w:szCs w:val="21"/>
        </w:rPr>
      </w:pPr>
      <w:r>
        <w:rPr>
          <w:rFonts w:hint="eastAsia" w:ascii="宋体" w:hAnsi="宋体"/>
          <w:color w:val="auto"/>
          <w:szCs w:val="21"/>
        </w:rPr>
        <w:t>24.1.1发包人向承包人预付工程款的时间和金额或占合同价款总额的比例：承包人相关情况符合要求，且合同生效、承包人向发包人提供履约担保及财政拨款到位后，发包人预付合同价【扣除绿色施工安全防护措施费，若工程量清单中有暂定金则扣除暂定金（含暂列金额和暂估价）部分】的</w:t>
      </w:r>
      <w:r>
        <w:rPr>
          <w:rFonts w:hint="eastAsia" w:ascii="宋体" w:hAnsi="宋体"/>
          <w:color w:val="auto"/>
          <w:szCs w:val="21"/>
          <w:u w:val="single"/>
        </w:rPr>
        <w:t xml:space="preserve">  </w:t>
      </w:r>
      <w:r>
        <w:rPr>
          <w:rFonts w:ascii="宋体" w:hAnsi="宋体"/>
          <w:color w:val="auto"/>
          <w:szCs w:val="21"/>
          <w:u w:val="single"/>
        </w:rPr>
        <w:t xml:space="preserve">15  </w:t>
      </w:r>
      <w:r>
        <w:rPr>
          <w:rFonts w:hint="eastAsia" w:ascii="宋体" w:hAnsi="宋体"/>
          <w:color w:val="auto"/>
          <w:szCs w:val="21"/>
        </w:rPr>
        <w:t>%作为预付款。并将预付款支付至承包人按约定开设的共管银行账户。预付款中，（预付款×工人工资比例）的部分需支付至工人工资专用账户。（注：根据工程实际，执行《广州开发区财政投资建设项目管理中心建设工程招投标管理办法补充规定（2021年试行）》）</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 24.1.2承包人收取预付款后，应优先用于按有关规定缴纳工伤保险和办理建筑意外伤害险，专款专用。</w:t>
      </w:r>
    </w:p>
    <w:p>
      <w:pPr>
        <w:snapToGrid w:val="0"/>
        <w:spacing w:line="440" w:lineRule="exact"/>
        <w:ind w:firstLine="296" w:firstLineChars="141"/>
        <w:rPr>
          <w:rFonts w:ascii="宋体" w:hAnsi="宋体"/>
          <w:color w:val="auto"/>
          <w:szCs w:val="21"/>
        </w:rPr>
      </w:pPr>
      <w:r>
        <w:rPr>
          <w:rFonts w:hint="eastAsia" w:ascii="宋体" w:hAnsi="宋体"/>
          <w:color w:val="auto"/>
          <w:szCs w:val="21"/>
        </w:rPr>
        <w:t xml:space="preserve"> 24.1.3扣回预付款的时间、比例：按本合同专用条款26条约定执行。</w:t>
      </w:r>
    </w:p>
    <w:p>
      <w:pPr>
        <w:snapToGrid w:val="0"/>
        <w:spacing w:line="440" w:lineRule="exact"/>
        <w:ind w:firstLine="296" w:firstLineChars="141"/>
        <w:rPr>
          <w:rFonts w:ascii="宋体" w:hAnsi="宋体"/>
          <w:color w:val="auto"/>
          <w:szCs w:val="21"/>
        </w:rPr>
      </w:pPr>
      <w:r>
        <w:rPr>
          <w:rFonts w:hint="eastAsia" w:ascii="宋体" w:hAnsi="宋体"/>
          <w:color w:val="auto"/>
          <w:szCs w:val="21"/>
        </w:rPr>
        <w:t>24.2工人工资</w:t>
      </w:r>
    </w:p>
    <w:p>
      <w:pPr>
        <w:snapToGrid w:val="0"/>
        <w:spacing w:line="440" w:lineRule="exact"/>
        <w:ind w:firstLine="296" w:firstLineChars="141"/>
        <w:rPr>
          <w:rFonts w:ascii="宋体" w:hAnsi="宋体"/>
          <w:color w:val="auto"/>
          <w:szCs w:val="21"/>
        </w:rPr>
      </w:pPr>
      <w:r>
        <w:rPr>
          <w:rFonts w:hint="eastAsia" w:ascii="宋体" w:hAnsi="宋体"/>
          <w:color w:val="auto"/>
          <w:szCs w:val="21"/>
        </w:rPr>
        <w:t>24.2.1承包人需按有关规定与商业银行另行签订广州市建设领域工人工资支付专用账户管理协议、开设专用账户并报发包人备案,工人工资支付至专用账户。</w:t>
      </w:r>
    </w:p>
    <w:p>
      <w:pPr>
        <w:snapToGrid w:val="0"/>
        <w:spacing w:line="440" w:lineRule="exact"/>
        <w:ind w:firstLine="296" w:firstLineChars="141"/>
        <w:rPr>
          <w:rFonts w:ascii="宋体" w:hAnsi="宋体"/>
          <w:color w:val="auto"/>
          <w:szCs w:val="21"/>
        </w:rPr>
      </w:pPr>
      <w:r>
        <w:rPr>
          <w:rFonts w:hint="eastAsia" w:ascii="宋体" w:hAnsi="宋体"/>
          <w:color w:val="auto"/>
          <w:szCs w:val="21"/>
        </w:rPr>
        <w:t>24.2.2工人工资进度款与工程进度款同步支付，其中每期需支付的工程进度款×工人工资比例为该期工人工资进度款，支付至工人工资专用账户。</w:t>
      </w:r>
    </w:p>
    <w:p>
      <w:pPr>
        <w:snapToGrid w:val="0"/>
        <w:spacing w:line="440" w:lineRule="exact"/>
        <w:ind w:firstLine="360" w:firstLineChars="150"/>
        <w:rPr>
          <w:rFonts w:ascii="宋体" w:hAnsi="宋体"/>
          <w:color w:val="auto"/>
          <w:sz w:val="24"/>
        </w:rPr>
      </w:pPr>
      <w:r>
        <w:rPr>
          <w:rFonts w:ascii="宋体" w:hAnsi="宋体"/>
          <w:color w:val="auto"/>
          <w:sz w:val="24"/>
        </w:rPr>
        <w:t>25</w:t>
      </w:r>
      <w:r>
        <w:rPr>
          <w:rFonts w:hint="eastAsia" w:ascii="宋体" w:hAnsi="宋体"/>
          <w:b/>
          <w:color w:val="auto"/>
          <w:sz w:val="24"/>
        </w:rPr>
        <w:t>、工程量确认</w:t>
      </w:r>
    </w:p>
    <w:p>
      <w:pPr>
        <w:snapToGrid w:val="0"/>
        <w:spacing w:line="440" w:lineRule="exact"/>
        <w:ind w:firstLine="397"/>
        <w:rPr>
          <w:rFonts w:ascii="宋体" w:hAnsi="宋体"/>
          <w:color w:val="auto"/>
          <w:szCs w:val="21"/>
        </w:rPr>
      </w:pPr>
      <w:r>
        <w:rPr>
          <w:rFonts w:ascii="宋体" w:hAnsi="宋体"/>
          <w:color w:val="auto"/>
          <w:szCs w:val="21"/>
        </w:rPr>
        <w:t>25.1</w:t>
      </w:r>
      <w:r>
        <w:rPr>
          <w:rFonts w:hint="eastAsia" w:ascii="宋体" w:hAnsi="宋体"/>
          <w:color w:val="auto"/>
          <w:szCs w:val="21"/>
        </w:rPr>
        <w:t>承包人向工程师提交已完工程量报告的时间：</w:t>
      </w:r>
      <w:r>
        <w:rPr>
          <w:rFonts w:hint="eastAsia" w:ascii="宋体" w:hAnsi="宋体"/>
          <w:color w:val="auto"/>
          <w:szCs w:val="21"/>
          <w:u w:val="single"/>
        </w:rPr>
        <w:t>自开工之日起每周及每月报告已完成工程状况</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25.2双方一致同意不适用通用条款25.2款</w:t>
      </w:r>
      <w:r>
        <w:rPr>
          <w:rFonts w:hint="eastAsia" w:ascii="宋体" w:hAnsi="宋体"/>
          <w:color w:val="auto"/>
          <w:szCs w:val="21"/>
        </w:rPr>
        <w:t>，承包人完成工程量必须经发包人书面确认。</w:t>
      </w:r>
    </w:p>
    <w:p>
      <w:pPr>
        <w:snapToGrid w:val="0"/>
        <w:spacing w:line="440" w:lineRule="exact"/>
        <w:ind w:firstLine="397"/>
        <w:rPr>
          <w:rFonts w:ascii="宋体" w:hAnsi="宋体"/>
          <w:color w:val="auto"/>
          <w:sz w:val="24"/>
        </w:rPr>
      </w:pPr>
      <w:r>
        <w:rPr>
          <w:rFonts w:ascii="宋体" w:hAnsi="宋体"/>
          <w:color w:val="auto"/>
          <w:sz w:val="24"/>
        </w:rPr>
        <w:t>26</w:t>
      </w:r>
      <w:r>
        <w:rPr>
          <w:rFonts w:hint="eastAsia" w:ascii="宋体" w:hAnsi="宋体"/>
          <w:color w:val="auto"/>
          <w:sz w:val="24"/>
        </w:rPr>
        <w:t>、</w:t>
      </w:r>
      <w:r>
        <w:rPr>
          <w:rFonts w:hint="eastAsia" w:ascii="宋体" w:hAnsi="宋体"/>
          <w:b/>
          <w:color w:val="auto"/>
          <w:sz w:val="24"/>
        </w:rPr>
        <w:t>工程款（进度款）支付</w:t>
      </w:r>
    </w:p>
    <w:p>
      <w:pPr>
        <w:snapToGrid w:val="0"/>
        <w:spacing w:line="440" w:lineRule="exact"/>
        <w:ind w:firstLine="480"/>
        <w:rPr>
          <w:rFonts w:ascii="宋体" w:hAnsi="宋体"/>
          <w:color w:val="auto"/>
          <w:szCs w:val="21"/>
        </w:rPr>
      </w:pPr>
      <w:r>
        <w:rPr>
          <w:rFonts w:ascii="宋体" w:hAnsi="宋体"/>
          <w:color w:val="auto"/>
          <w:szCs w:val="21"/>
        </w:rPr>
        <w:t>26.1双方约定的工程款（进度款）支付采取如下的</w:t>
      </w:r>
      <w:r>
        <w:rPr>
          <w:rFonts w:ascii="宋体" w:hAnsi="宋体"/>
          <w:color w:val="auto"/>
          <w:szCs w:val="21"/>
          <w:u w:val="single"/>
        </w:rPr>
        <w:t xml:space="preserve"> </w:t>
      </w:r>
      <w:r>
        <w:rPr>
          <w:rFonts w:hint="eastAsia" w:ascii="宋体" w:hAnsi="宋体"/>
          <w:color w:val="auto"/>
          <w:szCs w:val="21"/>
          <w:u w:val="single"/>
          <w:lang w:val="en-US" w:eastAsia="zh-CN"/>
        </w:rPr>
        <w:t xml:space="preserve">26.1.2 </w:t>
      </w:r>
      <w:r>
        <w:rPr>
          <w:rFonts w:hint="eastAsia" w:ascii="宋体" w:hAnsi="宋体"/>
          <w:color w:val="auto"/>
          <w:szCs w:val="21"/>
        </w:rPr>
        <w:t>方式进行：</w:t>
      </w:r>
    </w:p>
    <w:p>
      <w:pPr>
        <w:snapToGrid w:val="0"/>
        <w:spacing w:line="440" w:lineRule="exact"/>
        <w:ind w:firstLine="480"/>
        <w:rPr>
          <w:rFonts w:ascii="宋体" w:hAnsi="宋体"/>
          <w:color w:val="auto"/>
          <w:szCs w:val="21"/>
        </w:rPr>
      </w:pPr>
      <w:r>
        <w:rPr>
          <w:rFonts w:ascii="宋体" w:hAnsi="宋体"/>
          <w:color w:val="auto"/>
          <w:szCs w:val="21"/>
        </w:rPr>
        <w:t>26.1.1</w:t>
      </w:r>
      <w:r>
        <w:rPr>
          <w:rFonts w:hint="eastAsia" w:ascii="宋体" w:hAnsi="宋体"/>
          <w:color w:val="auto"/>
          <w:szCs w:val="21"/>
        </w:rPr>
        <w:t>按累计完成工作量百分率支付工程款（进度款）方式：</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当完成工作量达到</w:t>
      </w:r>
      <w:r>
        <w:rPr>
          <w:rFonts w:ascii="宋体" w:hAnsi="宋体"/>
          <w:color w:val="auto"/>
          <w:szCs w:val="21"/>
          <w:u w:val="single"/>
        </w:rPr>
        <w:t>60%</w:t>
      </w:r>
      <w:r>
        <w:rPr>
          <w:rFonts w:hint="eastAsia" w:ascii="宋体" w:hAnsi="宋体"/>
          <w:color w:val="auto"/>
          <w:szCs w:val="21"/>
          <w:u w:val="single"/>
        </w:rPr>
        <w:t xml:space="preserve">时，支付工程进度款   </w:t>
      </w:r>
      <w:r>
        <w:rPr>
          <w:rFonts w:ascii="宋体" w:hAnsi="宋体"/>
          <w:color w:val="auto"/>
          <w:szCs w:val="21"/>
          <w:u w:val="single"/>
        </w:rPr>
        <w:t>%</w:t>
      </w:r>
      <w:r>
        <w:rPr>
          <w:rFonts w:hint="eastAsia" w:ascii="宋体" w:hAnsi="宋体"/>
          <w:color w:val="auto"/>
          <w:szCs w:val="21"/>
          <w:u w:val="single"/>
        </w:rPr>
        <w:t>【</w:t>
      </w:r>
      <w:r>
        <w:rPr>
          <w:rFonts w:ascii="宋体" w:hAnsi="宋体"/>
          <w:color w:val="auto"/>
          <w:szCs w:val="21"/>
          <w:u w:val="single"/>
        </w:rPr>
        <w:t>累计付款</w:t>
      </w:r>
      <w:r>
        <w:rPr>
          <w:rFonts w:hint="eastAsia" w:ascii="宋体" w:hAnsi="宋体"/>
          <w:color w:val="auto"/>
          <w:szCs w:val="21"/>
          <w:u w:val="single"/>
        </w:rPr>
        <w:t>(含已支付的绿色施工安全防护措施费)</w:t>
      </w:r>
      <w:r>
        <w:rPr>
          <w:rFonts w:ascii="宋体" w:hAnsi="宋体"/>
          <w:color w:val="auto"/>
          <w:szCs w:val="21"/>
          <w:u w:val="single"/>
        </w:rPr>
        <w:t>至合同价款</w:t>
      </w:r>
      <w:r>
        <w:rPr>
          <w:rFonts w:hint="eastAsia" w:ascii="宋体" w:hAnsi="宋体"/>
          <w:color w:val="auto"/>
          <w:szCs w:val="21"/>
          <w:u w:val="single"/>
        </w:rPr>
        <w:t>若有暂定金(含暂列金额和暂估价)扣除未计量部分暂定金(含暂列金额和暂估价)后的</w:t>
      </w:r>
      <w:r>
        <w:rPr>
          <w:rFonts w:ascii="宋体" w:hAnsi="宋体"/>
          <w:color w:val="auto"/>
          <w:szCs w:val="21"/>
          <w:u w:val="single"/>
        </w:rPr>
        <w:t>55%</w:t>
      </w:r>
      <w:r>
        <w:rPr>
          <w:rFonts w:hint="eastAsia" w:ascii="宋体" w:hAnsi="宋体"/>
          <w:color w:val="auto"/>
          <w:szCs w:val="21"/>
          <w:u w:val="single"/>
        </w:rPr>
        <w:t>】</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工程完工，并通过初验后支付合同价款</w:t>
      </w:r>
      <w:r>
        <w:rPr>
          <w:rFonts w:ascii="宋体" w:hAnsi="宋体"/>
          <w:color w:val="auto"/>
          <w:szCs w:val="21"/>
          <w:u w:val="single"/>
        </w:rPr>
        <w:t>30%</w:t>
      </w:r>
      <w:r>
        <w:rPr>
          <w:rFonts w:hint="eastAsia" w:ascii="宋体" w:hAnsi="宋体"/>
          <w:color w:val="auto"/>
          <w:szCs w:val="21"/>
          <w:u w:val="single"/>
        </w:rPr>
        <w:t>【</w:t>
      </w:r>
      <w:r>
        <w:rPr>
          <w:rFonts w:ascii="宋体" w:hAnsi="宋体"/>
          <w:color w:val="auto"/>
          <w:szCs w:val="21"/>
          <w:u w:val="single"/>
        </w:rPr>
        <w:t>累计付款</w:t>
      </w:r>
      <w:r>
        <w:rPr>
          <w:rFonts w:hint="eastAsia" w:ascii="宋体" w:hAnsi="宋体"/>
          <w:color w:val="auto"/>
          <w:szCs w:val="21"/>
          <w:u w:val="single"/>
        </w:rPr>
        <w:t>(含绿色施工安全防护措施费）</w:t>
      </w:r>
      <w:r>
        <w:rPr>
          <w:rFonts w:ascii="宋体" w:hAnsi="宋体"/>
          <w:color w:val="auto"/>
          <w:szCs w:val="21"/>
          <w:u w:val="single"/>
        </w:rPr>
        <w:t>至合同价款</w:t>
      </w:r>
      <w:r>
        <w:rPr>
          <w:rFonts w:hint="eastAsia" w:ascii="宋体" w:hAnsi="宋体"/>
          <w:color w:val="auto"/>
          <w:szCs w:val="21"/>
          <w:u w:val="single"/>
        </w:rPr>
        <w:t>若有暂定金(含暂列金额和暂估价)扣除未计量部分暂定金(含暂列金额和暂估价)后的</w:t>
      </w:r>
      <w:r>
        <w:rPr>
          <w:rFonts w:ascii="宋体" w:hAnsi="宋体"/>
          <w:color w:val="auto"/>
          <w:szCs w:val="21"/>
          <w:u w:val="single"/>
        </w:rPr>
        <w:t>85%</w:t>
      </w:r>
      <w:r>
        <w:rPr>
          <w:rFonts w:hint="eastAsia" w:ascii="宋体" w:hAnsi="宋体"/>
          <w:color w:val="auto"/>
          <w:szCs w:val="21"/>
          <w:u w:val="single"/>
        </w:rPr>
        <w:t>】</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工程通过验收并经广州开发区财政局审定施工结算后支付工程款(含绿色施工安全防护措施费）至结算价的</w:t>
      </w:r>
      <w:r>
        <w:rPr>
          <w:rFonts w:ascii="宋体" w:hAnsi="宋体"/>
          <w:color w:val="auto"/>
          <w:szCs w:val="21"/>
          <w:u w:val="single"/>
        </w:rPr>
        <w:t>9</w:t>
      </w:r>
      <w:r>
        <w:rPr>
          <w:rFonts w:hint="eastAsia" w:ascii="宋体" w:hAnsi="宋体"/>
          <w:color w:val="auto"/>
          <w:szCs w:val="21"/>
          <w:u w:val="single"/>
        </w:rPr>
        <w:t>7</w:t>
      </w:r>
      <w:r>
        <w:rPr>
          <w:rFonts w:ascii="宋体" w:hAnsi="宋体"/>
          <w:color w:val="auto"/>
          <w:szCs w:val="21"/>
          <w:u w:val="single"/>
        </w:rPr>
        <w:t>%；工程结算价款额度的</w:t>
      </w:r>
      <w:r>
        <w:rPr>
          <w:rFonts w:hint="eastAsia" w:ascii="宋体" w:hAnsi="宋体"/>
          <w:color w:val="auto"/>
          <w:szCs w:val="21"/>
          <w:u w:val="single"/>
        </w:rPr>
        <w:t>3</w:t>
      </w:r>
      <w:r>
        <w:rPr>
          <w:rFonts w:ascii="宋体" w:hAnsi="宋体"/>
          <w:color w:val="auto"/>
          <w:szCs w:val="21"/>
          <w:u w:val="single"/>
        </w:rPr>
        <w:t>%作为</w:t>
      </w:r>
      <w:r>
        <w:rPr>
          <w:rFonts w:hint="eastAsia" w:ascii="宋体" w:hAnsi="宋体"/>
          <w:color w:val="auto"/>
          <w:szCs w:val="21"/>
          <w:u w:val="single"/>
        </w:rPr>
        <w:t>质量</w:t>
      </w:r>
      <w:r>
        <w:rPr>
          <w:rFonts w:ascii="宋体" w:hAnsi="宋体"/>
          <w:color w:val="auto"/>
          <w:szCs w:val="21"/>
          <w:u w:val="single"/>
        </w:rPr>
        <w:t>保修金，待</w:t>
      </w:r>
      <w:r>
        <w:rPr>
          <w:rFonts w:hint="eastAsia" w:ascii="宋体" w:hAnsi="宋体"/>
          <w:color w:val="auto"/>
          <w:szCs w:val="21"/>
          <w:u w:val="single"/>
        </w:rPr>
        <w:t>缺陷责任</w:t>
      </w:r>
      <w:r>
        <w:rPr>
          <w:rFonts w:ascii="宋体" w:hAnsi="宋体"/>
          <w:color w:val="auto"/>
          <w:szCs w:val="21"/>
          <w:u w:val="single"/>
        </w:rPr>
        <w:t>期结束后结清（不计利息）</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snapToGrid w:val="0"/>
        <w:spacing w:line="440" w:lineRule="exact"/>
        <w:ind w:firstLine="420" w:firstLineChars="200"/>
        <w:rPr>
          <w:rFonts w:ascii="宋体" w:hAnsi="宋体"/>
          <w:color w:val="auto"/>
          <w:szCs w:val="21"/>
        </w:rPr>
      </w:pPr>
      <w:r>
        <w:rPr>
          <w:rFonts w:ascii="宋体" w:hAnsi="宋体"/>
          <w:color w:val="auto"/>
          <w:szCs w:val="21"/>
        </w:rPr>
        <w:t>26.1.2按月度支付工程款（进度款）</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承包人每月上报完成工程量报表，经监理审核及发包人确认后，发包人按经审定月度完成工程量的</w:t>
      </w:r>
      <w:r>
        <w:rPr>
          <w:rFonts w:ascii="宋体" w:hAnsi="宋体"/>
          <w:color w:val="auto"/>
          <w:szCs w:val="21"/>
          <w:u w:val="single"/>
        </w:rPr>
        <w:t>85%支付工程进度款</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从本工程发生的第一次进度款支付起，发包人每次按审定月度完成工程量的</w:t>
      </w:r>
      <w:r>
        <w:rPr>
          <w:rFonts w:ascii="宋体" w:hAnsi="宋体"/>
          <w:color w:val="auto"/>
          <w:szCs w:val="21"/>
          <w:u w:val="singl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w:t>
      </w:r>
      <w:r>
        <w:rPr>
          <w:rFonts w:hint="eastAsia" w:ascii="宋体" w:hAnsi="宋体"/>
          <w:color w:val="auto"/>
          <w:szCs w:val="21"/>
          <w:u w:val="single"/>
        </w:rPr>
        <w:t>工程款（含绿色施工安全防护措施费）至合同价若有暂定金（含暂列金额及暂估价）则扣除未计量部分暂定金后的</w:t>
      </w:r>
      <w:r>
        <w:rPr>
          <w:rFonts w:ascii="宋体" w:hAnsi="宋体"/>
          <w:color w:val="auto"/>
          <w:szCs w:val="21"/>
          <w:u w:val="single"/>
        </w:rPr>
        <w:t>85%</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工程通过验收并经广州开发区财政局审定施工结算后支付工程款（含绿色施工安全防护措施费）至结算价的</w:t>
      </w:r>
      <w:r>
        <w:rPr>
          <w:rFonts w:ascii="宋体" w:hAnsi="宋体"/>
          <w:color w:val="auto"/>
          <w:szCs w:val="21"/>
          <w:u w:val="single"/>
        </w:rPr>
        <w:t>9</w:t>
      </w:r>
      <w:r>
        <w:rPr>
          <w:rFonts w:hint="eastAsia" w:ascii="宋体" w:hAnsi="宋体"/>
          <w:color w:val="auto"/>
          <w:szCs w:val="21"/>
          <w:u w:val="single"/>
        </w:rPr>
        <w:t>7</w:t>
      </w:r>
      <w:r>
        <w:rPr>
          <w:rFonts w:ascii="宋体" w:hAnsi="宋体"/>
          <w:color w:val="auto"/>
          <w:szCs w:val="21"/>
          <w:u w:val="single"/>
        </w:rPr>
        <w:t>%；工程结算价款额度的</w:t>
      </w:r>
      <w:r>
        <w:rPr>
          <w:rFonts w:hint="eastAsia" w:ascii="宋体" w:hAnsi="宋体"/>
          <w:color w:val="auto"/>
          <w:szCs w:val="21"/>
          <w:u w:val="single"/>
        </w:rPr>
        <w:t>3</w:t>
      </w:r>
      <w:r>
        <w:rPr>
          <w:rFonts w:ascii="宋体" w:hAnsi="宋体"/>
          <w:color w:val="auto"/>
          <w:szCs w:val="21"/>
          <w:u w:val="single"/>
        </w:rPr>
        <w:t>%作为</w:t>
      </w:r>
      <w:r>
        <w:rPr>
          <w:rFonts w:hint="eastAsia" w:ascii="宋体" w:hAnsi="宋体"/>
          <w:color w:val="auto"/>
          <w:szCs w:val="21"/>
          <w:u w:val="single"/>
        </w:rPr>
        <w:t>质量</w:t>
      </w:r>
      <w:r>
        <w:rPr>
          <w:rFonts w:ascii="宋体" w:hAnsi="宋体"/>
          <w:color w:val="auto"/>
          <w:szCs w:val="21"/>
          <w:u w:val="single"/>
        </w:rPr>
        <w:t>保修金，待</w:t>
      </w:r>
      <w:r>
        <w:rPr>
          <w:rFonts w:hint="eastAsia" w:ascii="宋体" w:hAnsi="宋体"/>
          <w:color w:val="auto"/>
          <w:szCs w:val="21"/>
          <w:u w:val="single"/>
        </w:rPr>
        <w:t>缺陷责任</w:t>
      </w:r>
      <w:r>
        <w:rPr>
          <w:rFonts w:ascii="宋体" w:hAnsi="宋体"/>
          <w:color w:val="auto"/>
          <w:szCs w:val="21"/>
          <w:u w:val="single"/>
        </w:rPr>
        <w:t>期结束后结清（不计利息）</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pPr>
        <w:adjustRightInd w:val="0"/>
        <w:snapToGrid w:val="0"/>
        <w:spacing w:line="440" w:lineRule="exact"/>
        <w:ind w:right="11" w:firstLine="367" w:firstLineChars="175"/>
        <w:rPr>
          <w:rFonts w:ascii="宋体" w:hAnsi="宋体"/>
          <w:color w:val="auto"/>
          <w:szCs w:val="21"/>
        </w:rPr>
      </w:pPr>
      <w:r>
        <w:rPr>
          <w:rFonts w:ascii="宋体" w:hAnsi="宋体"/>
          <w:color w:val="auto"/>
          <w:szCs w:val="21"/>
        </w:rPr>
        <w:t>26.2所有因变更、签证及价格调整等原因所调整增加的工程价款均应由承包人按广州开发区、</w:t>
      </w:r>
      <w:r>
        <w:rPr>
          <w:rFonts w:hint="eastAsia" w:ascii="宋体" w:hAnsi="宋体"/>
          <w:color w:val="auto"/>
          <w:szCs w:val="21"/>
        </w:rPr>
        <w:t>黄埔</w:t>
      </w:r>
      <w:r>
        <w:rPr>
          <w:rFonts w:ascii="宋体" w:hAnsi="宋体"/>
          <w:color w:val="auto"/>
          <w:szCs w:val="21"/>
        </w:rPr>
        <w:t>区及发包人相关规定程序，报监理初审，并经发包人审批同意后，按审定金额另行签订补充协议支付，或在工程结算中一并支付。</w:t>
      </w:r>
    </w:p>
    <w:p>
      <w:pPr>
        <w:snapToGrid w:val="0"/>
        <w:spacing w:line="440" w:lineRule="exact"/>
        <w:ind w:firstLine="420" w:firstLineChars="200"/>
        <w:rPr>
          <w:rFonts w:ascii="宋体" w:hAnsi="宋体"/>
          <w:color w:val="auto"/>
          <w:szCs w:val="21"/>
        </w:rPr>
      </w:pPr>
      <w:r>
        <w:rPr>
          <w:rFonts w:ascii="宋体" w:hAnsi="宋体"/>
          <w:color w:val="auto"/>
          <w:szCs w:val="21"/>
        </w:rPr>
        <w:t>26.4</w:t>
      </w:r>
      <w:r>
        <w:rPr>
          <w:rFonts w:hint="eastAsia" w:ascii="宋体" w:hAnsi="宋体"/>
          <w:color w:val="auto"/>
          <w:szCs w:val="21"/>
        </w:rPr>
        <w:t>工程价款的支付条件：</w:t>
      </w:r>
    </w:p>
    <w:p>
      <w:pPr>
        <w:snapToGrid w:val="0"/>
        <w:spacing w:line="440" w:lineRule="exact"/>
        <w:ind w:firstLine="480"/>
        <w:rPr>
          <w:rFonts w:ascii="宋体" w:hAnsi="宋体"/>
          <w:color w:val="auto"/>
          <w:szCs w:val="21"/>
          <w:u w:val="single"/>
        </w:rPr>
      </w:pPr>
      <w:r>
        <w:rPr>
          <w:rFonts w:hint="eastAsia" w:ascii="宋体" w:hAnsi="宋体"/>
          <w:color w:val="auto"/>
          <w:szCs w:val="21"/>
        </w:rPr>
        <w:t>（</w:t>
      </w:r>
      <w:r>
        <w:rPr>
          <w:rFonts w:ascii="宋体" w:hAnsi="宋体"/>
          <w:color w:val="auto"/>
          <w:szCs w:val="21"/>
        </w:rPr>
        <w:t>1）支付</w:t>
      </w:r>
      <w:r>
        <w:rPr>
          <w:rFonts w:hint="eastAsia" w:ascii="宋体" w:hAnsi="宋体"/>
          <w:color w:val="auto"/>
          <w:szCs w:val="21"/>
        </w:rPr>
        <w:t>预付</w:t>
      </w:r>
      <w:r>
        <w:rPr>
          <w:rFonts w:ascii="宋体" w:hAnsi="宋体"/>
          <w:color w:val="auto"/>
          <w:szCs w:val="21"/>
        </w:rPr>
        <w:t>款：</w:t>
      </w:r>
      <w:r>
        <w:rPr>
          <w:rFonts w:hint="eastAsia" w:ascii="宋体" w:hAnsi="宋体"/>
          <w:color w:val="auto"/>
          <w:szCs w:val="21"/>
          <w:u w:val="single"/>
        </w:rPr>
        <w:t>承包人已与发包人签订工程施工合同，承包人承诺的项目管理人员、机械设备到位。已生效的履约担保担保已按发包人要求准时提交发包人，该工程财政拨款已到位</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w:t>
      </w:r>
      <w:r>
        <w:rPr>
          <w:rFonts w:ascii="宋体" w:hAnsi="宋体"/>
          <w:color w:val="auto"/>
          <w:szCs w:val="21"/>
        </w:rPr>
        <w:t>2）支付工程款（进度款）：</w:t>
      </w:r>
      <w:r>
        <w:rPr>
          <w:rFonts w:hint="eastAsia" w:ascii="宋体" w:hAnsi="宋体"/>
          <w:color w:val="auto"/>
          <w:szCs w:val="21"/>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hAnsi="宋体"/>
          <w:color w:val="auto"/>
          <w:szCs w:val="21"/>
        </w:rPr>
        <w:t>。</w:t>
      </w:r>
    </w:p>
    <w:p>
      <w:pPr>
        <w:snapToGrid w:val="0"/>
        <w:spacing w:line="360" w:lineRule="auto"/>
        <w:ind w:firstLine="420" w:firstLineChars="200"/>
        <w:rPr>
          <w:rFonts w:ascii="宋体" w:hAnsi="宋体" w:cs="宋体"/>
          <w:color w:val="auto"/>
          <w:kern w:val="0"/>
          <w:szCs w:val="21"/>
        </w:rPr>
      </w:pPr>
    </w:p>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26.5</w:t>
      </w:r>
      <w:r>
        <w:rPr>
          <w:rFonts w:hint="eastAsia" w:ascii="宋体" w:hAnsi="宋体"/>
          <w:color w:val="auto"/>
          <w:kern w:val="0"/>
          <w:szCs w:val="21"/>
          <w:u w:val="single"/>
        </w:rPr>
        <w:t>绿色施工安全防护措施费</w:t>
      </w:r>
      <w:r>
        <w:rPr>
          <w:rFonts w:hint="eastAsia" w:ascii="宋体" w:hAnsi="宋体" w:cs="宋体"/>
          <w:color w:val="auto"/>
          <w:kern w:val="0"/>
          <w:szCs w:val="21"/>
        </w:rPr>
        <w:t>支付的支付条件：</w:t>
      </w:r>
    </w:p>
    <w:p>
      <w:pPr>
        <w:snapToGrid w:val="0"/>
        <w:spacing w:line="360" w:lineRule="auto"/>
        <w:ind w:firstLine="420" w:firstLineChars="200"/>
        <w:rPr>
          <w:rFonts w:ascii="宋体" w:hAnsi="宋体" w:cs="宋体"/>
          <w:color w:val="auto"/>
          <w:kern w:val="0"/>
          <w:szCs w:val="21"/>
        </w:rPr>
      </w:pPr>
      <w:r>
        <w:rPr>
          <w:rFonts w:hint="eastAsia" w:ascii="宋体" w:hAnsi="宋体"/>
          <w:color w:val="auto"/>
          <w:kern w:val="0"/>
          <w:szCs w:val="21"/>
          <w:u w:val="single"/>
        </w:rPr>
        <w:t>绿色施工安全防护措施费</w:t>
      </w:r>
      <w:r>
        <w:rPr>
          <w:rFonts w:hint="eastAsia" w:ascii="宋体" w:hAnsi="宋体" w:cs="宋体"/>
          <w:color w:val="auto"/>
          <w:kern w:val="0"/>
          <w:szCs w:val="21"/>
        </w:rPr>
        <w:t>按在工程投标最高报价中的</w:t>
      </w:r>
      <w:r>
        <w:rPr>
          <w:rFonts w:hint="eastAsia" w:ascii="宋体" w:hAnsi="宋体"/>
          <w:color w:val="auto"/>
          <w:kern w:val="0"/>
          <w:szCs w:val="21"/>
          <w:u w:val="single"/>
        </w:rPr>
        <w:t>绿色施工安全防护措施费</w:t>
      </w:r>
      <w:r>
        <w:rPr>
          <w:rFonts w:hint="eastAsia" w:ascii="宋体" w:hAnsi="宋体" w:cs="宋体"/>
          <w:color w:val="auto"/>
          <w:kern w:val="0"/>
          <w:szCs w:val="21"/>
        </w:rPr>
        <w:t>用计取，专款专用，并从本施工合同价款中提取（</w:t>
      </w:r>
      <w:r>
        <w:rPr>
          <w:rFonts w:hint="eastAsia" w:ascii="宋体" w:hAnsi="宋体"/>
          <w:color w:val="auto"/>
          <w:kern w:val="0"/>
          <w:szCs w:val="21"/>
          <w:u w:val="single"/>
        </w:rPr>
        <w:t>绿色施工安全防护措施费</w:t>
      </w:r>
      <w:r>
        <w:rPr>
          <w:rFonts w:hint="eastAsia" w:ascii="宋体" w:hAnsi="宋体" w:cs="宋体"/>
          <w:color w:val="auto"/>
          <w:kern w:val="0"/>
          <w:szCs w:val="21"/>
        </w:rPr>
        <w:t>已包含在本工程中标价即施工合同价中）。该费用根据《关于加强安全文明施工管理及措施费支付管理的通知》（穗开建管〔2015〕7号）及“穗建筑【2008】967号及“穗建筑【2018】981号”文规定，分阶段支付</w:t>
      </w:r>
      <w:r>
        <w:rPr>
          <w:rFonts w:hint="eastAsia" w:ascii="宋体" w:hAnsi="宋体"/>
          <w:color w:val="auto"/>
          <w:kern w:val="0"/>
          <w:szCs w:val="21"/>
          <w:u w:val="single"/>
        </w:rPr>
        <w:t>绿色施工安全防护措施费</w:t>
      </w:r>
      <w:r>
        <w:rPr>
          <w:rFonts w:hint="eastAsia" w:ascii="宋体" w:hAnsi="宋体" w:cs="宋体"/>
          <w:color w:val="auto"/>
          <w:kern w:val="0"/>
          <w:szCs w:val="21"/>
        </w:rPr>
        <w:t>：</w:t>
      </w:r>
    </w:p>
    <w:p>
      <w:pPr>
        <w:rPr>
          <w:rFonts w:ascii="宋体" w:hAnsi="宋体"/>
          <w:color w:val="auto"/>
          <w:sz w:val="22"/>
          <w:szCs w:val="28"/>
        </w:rPr>
      </w:pPr>
      <w:r>
        <w:rPr>
          <w:rFonts w:hint="eastAsia" w:ascii="宋体" w:hAnsi="宋体"/>
          <w:color w:val="auto"/>
          <w:sz w:val="22"/>
          <w:szCs w:val="28"/>
          <w:lang w:bidi="ar"/>
        </w:rPr>
        <w:t xml:space="preserve">   </w:t>
      </w:r>
      <w:r>
        <w:rPr>
          <w:rFonts w:ascii="宋体" w:hAnsi="宋体"/>
          <w:color w:val="auto"/>
          <w:sz w:val="22"/>
          <w:szCs w:val="28"/>
          <w:lang w:bidi="ar"/>
        </w:rPr>
        <w:t>1</w:t>
      </w:r>
      <w:r>
        <w:rPr>
          <w:rFonts w:hint="eastAsia" w:ascii="宋体" w:hAnsi="宋体" w:cs="宋体"/>
          <w:color w:val="auto"/>
          <w:sz w:val="22"/>
          <w:szCs w:val="28"/>
          <w:lang w:bidi="ar"/>
        </w:rPr>
        <w:t>、施工单位进场完成工地围墙、大门、临时设施、洗车槽、水枪、场内道路硬化、绿化、钢筋堆放点及加工场、垃圾收集点等部位的建设或布置后，由广州开发区安监机构、建设业主、代建单位（如有）、监理单位根据《广州市建设工程文明施工管理规定》、《广州市建设工程文明施工标准》等有关规定，对施工现场进行现场验收并拍照留存，《建设工程项目申办施工许可证安全文明施工现场查勘表》或者《建设工程项目安全生产及文明施工检查记录表》评为合格或以上且财政拨款到位后，支付绿色施工安全防护措施费的</w:t>
      </w:r>
      <w:r>
        <w:rPr>
          <w:rFonts w:ascii="宋体" w:hAnsi="宋体"/>
          <w:color w:val="auto"/>
          <w:sz w:val="22"/>
          <w:szCs w:val="28"/>
          <w:lang w:bidi="ar"/>
        </w:rPr>
        <w:t>50%</w:t>
      </w:r>
      <w:r>
        <w:rPr>
          <w:rFonts w:hint="eastAsia" w:ascii="宋体" w:hAnsi="宋体" w:cs="宋体"/>
          <w:color w:val="auto"/>
          <w:sz w:val="22"/>
          <w:szCs w:val="28"/>
          <w:lang w:bidi="ar"/>
        </w:rPr>
        <w:t>。</w:t>
      </w:r>
    </w:p>
    <w:p>
      <w:pPr>
        <w:rPr>
          <w:rFonts w:ascii="宋体" w:hAnsi="宋体"/>
          <w:color w:val="auto"/>
          <w:sz w:val="22"/>
          <w:szCs w:val="28"/>
        </w:rPr>
      </w:pPr>
      <w:r>
        <w:rPr>
          <w:rFonts w:hint="eastAsia" w:ascii="宋体" w:hAnsi="宋体"/>
          <w:color w:val="auto"/>
          <w:sz w:val="22"/>
          <w:szCs w:val="28"/>
          <w:lang w:bidi="ar"/>
        </w:rPr>
        <w:t xml:space="preserve">   </w:t>
      </w:r>
      <w:r>
        <w:rPr>
          <w:rFonts w:ascii="宋体" w:hAnsi="宋体"/>
          <w:color w:val="auto"/>
          <w:sz w:val="22"/>
          <w:szCs w:val="28"/>
          <w:lang w:bidi="ar"/>
        </w:rPr>
        <w:t>2</w:t>
      </w:r>
      <w:r>
        <w:rPr>
          <w:rFonts w:hint="eastAsia" w:ascii="宋体" w:hAnsi="宋体" w:cs="宋体"/>
          <w:color w:val="auto"/>
          <w:sz w:val="22"/>
          <w:szCs w:val="28"/>
          <w:lang w:bidi="ar"/>
        </w:rPr>
        <w:t>、房建工程完成主体结构封顶、市政工程完成路基工作、其它工程完成合同约定工程量的</w:t>
      </w:r>
      <w:r>
        <w:rPr>
          <w:rFonts w:ascii="宋体" w:hAnsi="宋体"/>
          <w:color w:val="auto"/>
          <w:sz w:val="22"/>
          <w:szCs w:val="28"/>
          <w:lang w:bidi="ar"/>
        </w:rPr>
        <w:t>60%</w:t>
      </w:r>
      <w:r>
        <w:rPr>
          <w:rFonts w:hint="eastAsia" w:ascii="宋体" w:hAnsi="宋体" w:cs="宋体"/>
          <w:color w:val="auto"/>
          <w:sz w:val="22"/>
          <w:szCs w:val="28"/>
          <w:lang w:bidi="ar"/>
        </w:rPr>
        <w:t>后，再次按上述要求进行现场验收并拍照留存，《建筑工程安全中间检查评价表》或者《建设工程项目安全生产及文明施工检查记录表》评为合格或以上且财政拨款到位后，再支付绿色施工安全防护措施费的</w:t>
      </w:r>
      <w:r>
        <w:rPr>
          <w:rFonts w:ascii="宋体" w:hAnsi="宋体"/>
          <w:color w:val="auto"/>
          <w:sz w:val="22"/>
          <w:szCs w:val="28"/>
          <w:lang w:bidi="ar"/>
        </w:rPr>
        <w:t>40%</w:t>
      </w:r>
      <w:r>
        <w:rPr>
          <w:rFonts w:hint="eastAsia" w:ascii="宋体" w:hAnsi="宋体" w:cs="宋体"/>
          <w:color w:val="auto"/>
          <w:sz w:val="22"/>
          <w:szCs w:val="28"/>
          <w:lang w:bidi="ar"/>
        </w:rPr>
        <w:t>。</w:t>
      </w:r>
    </w:p>
    <w:p>
      <w:pPr>
        <w:rPr>
          <w:rFonts w:ascii="宋体" w:hAnsi="宋体"/>
          <w:color w:val="auto"/>
          <w:sz w:val="22"/>
          <w:szCs w:val="28"/>
        </w:rPr>
      </w:pPr>
      <w:r>
        <w:rPr>
          <w:rFonts w:hint="eastAsia" w:ascii="宋体" w:hAnsi="宋体"/>
          <w:color w:val="auto"/>
          <w:sz w:val="22"/>
          <w:szCs w:val="28"/>
          <w:lang w:bidi="ar"/>
        </w:rPr>
        <w:t xml:space="preserve">    </w:t>
      </w:r>
      <w:r>
        <w:rPr>
          <w:rFonts w:ascii="宋体" w:hAnsi="宋体"/>
          <w:color w:val="auto"/>
          <w:sz w:val="22"/>
          <w:szCs w:val="28"/>
          <w:lang w:bidi="ar"/>
        </w:rPr>
        <w:t>3</w:t>
      </w:r>
      <w:r>
        <w:rPr>
          <w:rFonts w:hint="eastAsia" w:ascii="宋体" w:hAnsi="宋体" w:cs="宋体"/>
          <w:color w:val="auto"/>
          <w:sz w:val="22"/>
          <w:szCs w:val="28"/>
          <w:lang w:bidi="ar"/>
        </w:rPr>
        <w:t>、工程完工，《建设工程施工安全评价书》评为合格或以上后，再支付相应绿色施工安全防护措施费的</w:t>
      </w:r>
      <w:r>
        <w:rPr>
          <w:rFonts w:ascii="宋体" w:hAnsi="宋体"/>
          <w:color w:val="auto"/>
          <w:sz w:val="22"/>
          <w:szCs w:val="28"/>
          <w:lang w:bidi="ar"/>
        </w:rPr>
        <w:t>10%</w:t>
      </w:r>
      <w:r>
        <w:rPr>
          <w:rFonts w:hint="eastAsia" w:ascii="宋体" w:hAnsi="宋体" w:cs="宋体"/>
          <w:color w:val="auto"/>
          <w:sz w:val="22"/>
          <w:szCs w:val="28"/>
          <w:lang w:bidi="ar"/>
        </w:rPr>
        <w:t>。</w:t>
      </w:r>
    </w:p>
    <w:p>
      <w:pPr>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pPr>
        <w:snapToGrid w:val="0"/>
        <w:spacing w:line="360" w:lineRule="auto"/>
        <w:ind w:firstLine="420" w:firstLineChars="200"/>
        <w:rPr>
          <w:rFonts w:ascii="宋体" w:hAnsi="宋体" w:cs="宋体"/>
          <w:color w:val="auto"/>
          <w:kern w:val="0"/>
          <w:szCs w:val="21"/>
        </w:rPr>
      </w:pPr>
    </w:p>
    <w:p>
      <w:pPr>
        <w:snapToGrid w:val="0"/>
        <w:spacing w:line="440" w:lineRule="exact"/>
        <w:ind w:firstLine="397"/>
        <w:rPr>
          <w:rFonts w:ascii="宋体" w:hAnsi="宋体"/>
          <w:b/>
          <w:color w:val="auto"/>
          <w:sz w:val="24"/>
        </w:rPr>
      </w:pPr>
      <w:r>
        <w:rPr>
          <w:rFonts w:hint="eastAsia" w:ascii="宋体" w:hAnsi="宋体"/>
          <w:b/>
          <w:color w:val="auto"/>
          <w:sz w:val="24"/>
        </w:rPr>
        <w:t>七、材料设备供应</w:t>
      </w:r>
    </w:p>
    <w:p>
      <w:pPr>
        <w:snapToGrid w:val="0"/>
        <w:spacing w:line="440" w:lineRule="exact"/>
        <w:ind w:firstLine="397"/>
        <w:rPr>
          <w:rFonts w:ascii="宋体" w:hAnsi="宋体"/>
          <w:b/>
          <w:color w:val="auto"/>
          <w:sz w:val="24"/>
        </w:rPr>
      </w:pPr>
      <w:r>
        <w:rPr>
          <w:rFonts w:ascii="宋体" w:hAnsi="宋体"/>
          <w:b/>
          <w:color w:val="auto"/>
          <w:sz w:val="24"/>
        </w:rPr>
        <w:t>27</w:t>
      </w:r>
      <w:r>
        <w:rPr>
          <w:rFonts w:hint="eastAsia" w:ascii="宋体" w:hAnsi="宋体"/>
          <w:b/>
          <w:color w:val="auto"/>
          <w:sz w:val="24"/>
        </w:rPr>
        <w:t>、发包人供应材料设备</w:t>
      </w:r>
    </w:p>
    <w:p>
      <w:pPr>
        <w:snapToGrid w:val="0"/>
        <w:spacing w:line="440" w:lineRule="exact"/>
        <w:ind w:firstLine="397"/>
        <w:rPr>
          <w:rFonts w:ascii="宋体" w:hAnsi="宋体"/>
          <w:color w:val="auto"/>
          <w:szCs w:val="21"/>
        </w:rPr>
      </w:pPr>
      <w:r>
        <w:rPr>
          <w:rFonts w:ascii="宋体" w:hAnsi="宋体"/>
          <w:color w:val="auto"/>
          <w:szCs w:val="21"/>
        </w:rPr>
        <w:t>27.4</w:t>
      </w:r>
      <w:r>
        <w:rPr>
          <w:rFonts w:hint="eastAsia" w:ascii="宋体" w:hAnsi="宋体"/>
          <w:color w:val="auto"/>
          <w:szCs w:val="21"/>
        </w:rPr>
        <w:t>发包人供应的材料设备与一览表不符时，双方约定发包人承担责任如下：</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材料设备单价与一览表不符：</w:t>
      </w:r>
      <w:r>
        <w:rPr>
          <w:rFonts w:ascii="宋体" w:hAnsi="宋体"/>
          <w:color w:val="auto"/>
          <w:szCs w:val="21"/>
          <w:u w:val="single"/>
        </w:rPr>
        <mc:AlternateContent>
          <mc:Choice Requires="wps">
            <w:drawing>
              <wp:anchor distT="0" distB="0" distL="114300" distR="114300" simplePos="0" relativeHeight="251664384" behindDoc="0" locked="0" layoutInCell="0" allowOverlap="1">
                <wp:simplePos x="0" y="0"/>
                <wp:positionH relativeFrom="column">
                  <wp:posOffset>3556000</wp:posOffset>
                </wp:positionH>
                <wp:positionV relativeFrom="paragraph">
                  <wp:posOffset>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80pt;margin-top:0pt;height:0pt;width:0.05pt;z-index:25166438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DDV5a/fAQAApgMAAA4AAABkcnMvZTJvRG9jLnhtbK1TzY7TMBC+&#10;I/EOlu80bVFXEDXdQ6vlskClXR7AdZzGwvZYHrdJX4IXQOIGJ47ceZtdHoOx0xZ2ueyBHCzP3+f5&#10;vpnML3tr2F4F1OAqPhmNOVNOQq3dtuIfbq9evOIMo3C1MOBUxQ8K+eXi+bN550s1hRZMrQIjEIdl&#10;5yvexujLokDZKitwBF45CjYQrIhkhm1RB9ERujXFdDy+KDoItQ8gFSJ5V0OQHxHDUwChabRUK5A7&#10;q1wcUIMyIhIlbLVHvsjdNo2S8X3ToIrMVJyYxnzSI3TfpLNYzEW5DcK3Wh5bEE9p4REnK7SjR89Q&#10;KxEF2wX9D5TVMgBCE0cSbDEQyYoQi8n4kTY3rfAqcyGp0Z9Fx/8HK9/t14HpmjaBMycsDfz+84+7&#10;T19//fxC5/33b2ySROo8lpS7dOuQaMre3fhrkB+ROVi2wm1Vbvb24AkhVxQPSpKBnp7adG+hphyx&#10;i5AV65tgEyRpwfo8mMN5MKqPTJLz4uWMM3nyF6I8FfmA8Y0Cy9Kl4ka7pJcoxf4aI7VNqaeU5HZw&#10;pY3JMzeOdRV/PZvOcgGC0XUKpjQM283SBLYXaWvylzQgsAdpAXauHvzGUfjEcVBrA/VhHVI4+Wl8&#10;GeC4amk//rZz1p/fa/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OXkENMAAAAFAQAADwAAAAAA&#10;AAABACAAAAAiAAAAZHJzL2Rvd25yZXYueG1sUEsBAhQAFAAAAAgAh07iQDDV5a/fAQAApgMAAA4A&#10;AAAAAAAAAQAgAAAAIgEAAGRycy9lMm9Eb2MueG1sUEsFBgAAAAAGAAYAWQEAAHMFAAAAAA==&#10;">
                <v:fill on="f" focussize="0,0"/>
                <v:stroke color="#000000" joinstyle="round"/>
                <v:imagedata o:title=""/>
                <o:lock v:ext="edit" aspectratio="f"/>
              </v:line>
            </w:pict>
          </mc:Fallback>
        </mc:AlternateConten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材料设备的品种、规格、型号、质量等级与一览表不符：</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承包人可代为调剂串换的材料：</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到货地点与一览表不符：</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供应数量与一览表不符：</w:t>
      </w:r>
      <w:r>
        <w:rPr>
          <w:rFonts w:ascii="宋体" w:hAnsi="宋体"/>
          <w:color w:val="auto"/>
          <w:szCs w:val="21"/>
          <w:u w:val="single"/>
        </w:rPr>
        <w:t xml:space="preserve">   /   </w:t>
      </w:r>
      <w:r>
        <w:rPr>
          <w:rFonts w:hint="eastAsia" w:ascii="宋体" w:hAnsi="宋体"/>
          <w:color w:val="auto"/>
          <w:szCs w:val="21"/>
        </w:rPr>
        <w:t>。</w:t>
      </w:r>
    </w:p>
    <w:p>
      <w:pPr>
        <w:tabs>
          <w:tab w:val="left" w:pos="700"/>
        </w:tabs>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）到货时间与一览表不符；</w:t>
      </w:r>
      <w:r>
        <w:rPr>
          <w:rFonts w:ascii="宋体" w:hAnsi="宋体"/>
          <w:color w:val="auto"/>
          <w:szCs w:val="21"/>
          <w:u w:val="single"/>
        </w:rPr>
        <w:t xml:space="preserve">   /   </w:t>
      </w:r>
      <w:r>
        <w:rPr>
          <w:rFonts w:hint="eastAsia" w:ascii="宋体" w:hAnsi="宋体"/>
          <w:color w:val="auto"/>
          <w:szCs w:val="21"/>
        </w:rPr>
        <w:t>。</w:t>
      </w:r>
    </w:p>
    <w:p>
      <w:pPr>
        <w:tabs>
          <w:tab w:val="left" w:pos="700"/>
        </w:tabs>
        <w:snapToGrid w:val="0"/>
        <w:spacing w:line="440" w:lineRule="exact"/>
        <w:ind w:firstLine="397"/>
        <w:rPr>
          <w:rFonts w:ascii="宋体" w:hAnsi="宋体"/>
          <w:color w:val="auto"/>
          <w:szCs w:val="21"/>
        </w:rPr>
      </w:pPr>
      <w:r>
        <w:rPr>
          <w:rFonts w:ascii="宋体" w:hAnsi="宋体"/>
          <w:color w:val="auto"/>
          <w:szCs w:val="21"/>
        </w:rPr>
        <w:t>27.6</w:t>
      </w:r>
      <w:r>
        <w:rPr>
          <w:rFonts w:hint="eastAsia" w:ascii="宋体" w:hAnsi="宋体"/>
          <w:color w:val="auto"/>
          <w:szCs w:val="21"/>
        </w:rPr>
        <w:t>发包人供应材料设备的结算方法：</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28</w:t>
      </w:r>
      <w:r>
        <w:rPr>
          <w:rFonts w:hint="eastAsia" w:ascii="宋体" w:hAnsi="宋体"/>
          <w:b/>
          <w:color w:val="auto"/>
          <w:sz w:val="24"/>
        </w:rPr>
        <w:t>、承包人采购材料设备</w:t>
      </w:r>
    </w:p>
    <w:p>
      <w:pPr>
        <w:spacing w:line="500" w:lineRule="exact"/>
        <w:rPr>
          <w:rFonts w:ascii="宋体" w:hAnsi="宋体"/>
          <w:color w:val="auto"/>
          <w:szCs w:val="21"/>
          <w:u w:val="single"/>
        </w:rPr>
      </w:pPr>
      <w:r>
        <w:rPr>
          <w:rFonts w:ascii="宋体" w:hAnsi="宋体"/>
          <w:color w:val="auto"/>
          <w:szCs w:val="21"/>
        </w:rPr>
        <w:t>28.1</w:t>
      </w:r>
      <w:r>
        <w:rPr>
          <w:rFonts w:hint="eastAsia" w:ascii="宋体" w:hAnsi="宋体"/>
          <w:color w:val="auto"/>
          <w:szCs w:val="21"/>
        </w:rPr>
        <w:t>承包人采购材料设备的约定：</w:t>
      </w:r>
      <w:r>
        <w:rPr>
          <w:rFonts w:hint="eastAsia" w:ascii="宋体" w:hAnsi="宋体"/>
          <w:color w:val="auto"/>
          <w:szCs w:val="21"/>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pPr>
        <w:spacing w:line="500" w:lineRule="exact"/>
        <w:rPr>
          <w:rFonts w:ascii="宋体" w:hAnsi="宋体"/>
          <w:color w:val="auto"/>
          <w:szCs w:val="21"/>
          <w:u w:val="single"/>
        </w:rPr>
      </w:pPr>
      <w:r>
        <w:rPr>
          <w:rFonts w:hint="eastAsia" w:ascii="宋体" w:hAnsi="宋体"/>
          <w:color w:val="auto"/>
          <w:szCs w:val="21"/>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pPr>
        <w:spacing w:line="500" w:lineRule="exact"/>
        <w:rPr>
          <w:rFonts w:ascii="宋体" w:hAnsi="宋体"/>
          <w:color w:val="auto"/>
          <w:szCs w:val="21"/>
          <w:u w:val="single"/>
        </w:rPr>
      </w:pPr>
      <w:r>
        <w:rPr>
          <w:rFonts w:hint="eastAsia" w:ascii="宋体" w:hAnsi="宋体"/>
          <w:color w:val="auto"/>
          <w:szCs w:val="21"/>
          <w:u w:val="single"/>
        </w:rPr>
        <w:t>28.3所有材料、设备报价必须报监理、业主同意后方可使用。</w:t>
      </w:r>
    </w:p>
    <w:p>
      <w:pPr>
        <w:snapToGrid w:val="0"/>
        <w:spacing w:line="440" w:lineRule="exact"/>
        <w:ind w:firstLine="397"/>
        <w:rPr>
          <w:rFonts w:ascii="宋体" w:hAnsi="宋体"/>
          <w:b/>
          <w:color w:val="auto"/>
          <w:sz w:val="24"/>
        </w:rPr>
      </w:pPr>
      <w:r>
        <w:rPr>
          <w:rFonts w:hint="eastAsia" w:ascii="宋体" w:hAnsi="宋体"/>
          <w:b/>
          <w:color w:val="auto"/>
          <w:sz w:val="24"/>
        </w:rPr>
        <w:t>八、工程变更</w:t>
      </w:r>
    </w:p>
    <w:p>
      <w:pPr>
        <w:snapToGrid w:val="0"/>
        <w:spacing w:line="440" w:lineRule="exact"/>
        <w:ind w:firstLine="397"/>
        <w:rPr>
          <w:rFonts w:ascii="宋体" w:hAnsi="宋体"/>
          <w:b/>
          <w:color w:val="auto"/>
          <w:sz w:val="24"/>
        </w:rPr>
      </w:pPr>
      <w:r>
        <w:rPr>
          <w:rFonts w:ascii="宋体" w:hAnsi="宋体"/>
          <w:b/>
          <w:color w:val="auto"/>
          <w:sz w:val="24"/>
        </w:rPr>
        <w:t>29、工程设计变更</w:t>
      </w:r>
    </w:p>
    <w:p>
      <w:pPr>
        <w:snapToGrid w:val="0"/>
        <w:spacing w:line="440" w:lineRule="exact"/>
        <w:ind w:firstLine="397"/>
        <w:rPr>
          <w:rFonts w:ascii="宋体" w:hAnsi="宋体"/>
          <w:color w:val="auto"/>
          <w:szCs w:val="21"/>
          <w:u w:val="single"/>
        </w:rPr>
      </w:pPr>
      <w:r>
        <w:rPr>
          <w:rFonts w:ascii="宋体" w:hAnsi="宋体"/>
          <w:color w:val="auto"/>
          <w:szCs w:val="21"/>
        </w:rPr>
        <w:t>29.4</w:t>
      </w:r>
      <w:r>
        <w:rPr>
          <w:rFonts w:hint="eastAsia" w:ascii="宋体" w:hAnsi="宋体"/>
          <w:color w:val="auto"/>
          <w:szCs w:val="21"/>
          <w:u w:val="single"/>
        </w:rPr>
        <w:t>开工前，发包人组织承包人、监理单位、设计单位对施工图纸进行会审。如需实施工程变更签证，承包人需在实施相应变更签证2个月前向发包人提出（确属不可预见因素除外）。否则工程实施过程中每实施一项变更签证，承包人须按该变更签证工程价款的3%向发包人支付违约金，引起的工期延误不予顺延</w:t>
      </w:r>
      <w:r>
        <w:rPr>
          <w:rFonts w:hint="eastAsia" w:ascii="宋体" w:hAnsi="宋体"/>
          <w:color w:val="auto"/>
          <w:szCs w:val="21"/>
        </w:rPr>
        <w:t>。</w:t>
      </w:r>
      <w:bookmarkStart w:id="94" w:name="_GoBack"/>
      <w:bookmarkEnd w:id="94"/>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同时，如实施工程变更，承包人应以书面形式通知发包人和监理工程师，经监理工程师审查并报发包人同意后，由发包人与设计单位商定修改或变更设计方案进行实施</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29.5</w:t>
      </w:r>
      <w:r>
        <w:rPr>
          <w:rFonts w:hint="eastAsia" w:ascii="宋体" w:hAnsi="宋体"/>
          <w:color w:val="auto"/>
          <w:szCs w:val="21"/>
          <w:u w:val="single"/>
        </w:rPr>
        <w:t>变更应由监理工程师发出变更指令，没有监理工程师的指令，承包人不得进行上述变更</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29.6</w:t>
      </w:r>
      <w:r>
        <w:rPr>
          <w:rFonts w:hint="eastAsia" w:ascii="宋体" w:hAnsi="宋体"/>
          <w:color w:val="auto"/>
          <w:szCs w:val="21"/>
          <w:u w:val="single"/>
        </w:rPr>
        <w:t>按施工图纸实施使得工程量少于施工合同工程量清单中已确定或有规定的数量的，则该项工程量减少不需要任何指令</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29.7</w:t>
      </w:r>
      <w:r>
        <w:rPr>
          <w:rFonts w:hint="eastAsia" w:ascii="宋体" w:hAnsi="宋体"/>
          <w:color w:val="auto"/>
          <w:szCs w:val="21"/>
          <w:u w:val="single"/>
        </w:rPr>
        <w:t>所有涉及工期和工程量的变更均应获得发包人书面批准才能生效</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29.8</w:t>
      </w:r>
      <w:r>
        <w:rPr>
          <w:rFonts w:hint="eastAsia" w:ascii="宋体" w:hAnsi="宋体"/>
          <w:color w:val="auto"/>
          <w:szCs w:val="21"/>
          <w:u w:val="single"/>
        </w:rPr>
        <w:t>当发包人提出变更通知，承包人认为产生了增加费用，承包人应在发包人提出通知要求后</w:t>
      </w:r>
      <w:r>
        <w:rPr>
          <w:rFonts w:ascii="宋体" w:hAnsi="宋体"/>
          <w:color w:val="auto"/>
          <w:szCs w:val="21"/>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29.9</w:t>
      </w:r>
      <w:r>
        <w:rPr>
          <w:rFonts w:hint="eastAsia" w:ascii="宋体" w:hAnsi="宋体"/>
          <w:color w:val="auto"/>
          <w:szCs w:val="21"/>
          <w:u w:val="single"/>
        </w:rPr>
        <w:t>工程变更申报程序按广州开发区、黄埔区以及建设业主的有关规定执行</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29.10</w:t>
      </w:r>
      <w:r>
        <w:rPr>
          <w:rFonts w:ascii="宋体" w:hAnsi="宋体"/>
          <w:color w:val="auto"/>
          <w:szCs w:val="21"/>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30、其它变更</w:t>
      </w:r>
    </w:p>
    <w:p>
      <w:pPr>
        <w:snapToGrid w:val="0"/>
        <w:spacing w:line="440" w:lineRule="exact"/>
        <w:ind w:firstLine="397"/>
        <w:rPr>
          <w:rFonts w:ascii="宋体" w:hAnsi="宋体"/>
          <w:color w:val="auto"/>
          <w:szCs w:val="21"/>
        </w:rPr>
      </w:pPr>
      <w:r>
        <w:rPr>
          <w:rFonts w:ascii="宋体" w:hAnsi="宋体"/>
          <w:color w:val="auto"/>
          <w:szCs w:val="21"/>
        </w:rPr>
        <w:t>30.1工程现场签证：</w:t>
      </w:r>
      <w:r>
        <w:rPr>
          <w:rFonts w:hint="eastAsia" w:ascii="宋体" w:hAnsi="宋体"/>
          <w:color w:val="auto"/>
          <w:szCs w:val="21"/>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承包人需对施工图纸进行会审，如需对施工图纸工程量清单错漏申报进行确认，承包人需在前四分之一工期阶段内且最长不得超过中标通知书发出之日起6个月内向发包人提出，并按《广州开发区财政投资建设项目管理中心工程量清单错漏申报管理办法（2021年）》（穗开建管[2021]78号）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pPr>
        <w:snapToGrid w:val="0"/>
        <w:spacing w:line="440" w:lineRule="exact"/>
        <w:ind w:firstLine="397"/>
        <w:rPr>
          <w:rFonts w:ascii="宋体" w:hAnsi="宋体"/>
          <w:color w:val="auto"/>
          <w:szCs w:val="21"/>
          <w:u w:val="single"/>
        </w:rPr>
      </w:pPr>
      <w:r>
        <w:rPr>
          <w:rFonts w:ascii="宋体" w:hAnsi="宋体"/>
          <w:color w:val="auto"/>
          <w:szCs w:val="21"/>
        </w:rPr>
        <w:t>30.2签证的计价：</w:t>
      </w:r>
      <w:r>
        <w:rPr>
          <w:rFonts w:hint="eastAsia" w:ascii="宋体" w:hAnsi="宋体"/>
          <w:color w:val="auto"/>
          <w:szCs w:val="21"/>
          <w:u w:val="single"/>
        </w:rPr>
        <w:t>按招标文件及合同中关于工程变更的计价有关规定执行</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30.3签证实施前所需的施工方案：</w:t>
      </w:r>
      <w:r>
        <w:rPr>
          <w:rFonts w:hint="eastAsia" w:ascii="宋体" w:hAnsi="宋体"/>
          <w:color w:val="auto"/>
          <w:szCs w:val="21"/>
          <w:u w:val="single"/>
        </w:rPr>
        <w:t>若签证事件发生时，需使用没有被监理工程师批准过的施工方案，则必须将该施工方案提前报监理工程师和发包人批准，经批准后才能实施，否则发包人将按最经济的施工方案对该签证进行计价</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30.4</w:t>
      </w:r>
      <w:r>
        <w:rPr>
          <w:rFonts w:hint="eastAsia" w:ascii="宋体" w:hAnsi="宋体"/>
          <w:color w:val="auto"/>
          <w:szCs w:val="21"/>
          <w:u w:val="single"/>
        </w:rPr>
        <w:t>工程现场签证申报程序按广州开发区、黄埔区以及建设业主的有关规定执行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31、确定变更价款</w:t>
      </w:r>
    </w:p>
    <w:p>
      <w:pPr>
        <w:snapToGrid w:val="0"/>
        <w:spacing w:line="440" w:lineRule="exact"/>
        <w:ind w:firstLine="397"/>
        <w:rPr>
          <w:rFonts w:ascii="宋体" w:hAnsi="宋体"/>
          <w:color w:val="auto"/>
          <w:szCs w:val="21"/>
          <w:u w:val="single"/>
        </w:rPr>
      </w:pPr>
      <w:r>
        <w:rPr>
          <w:rFonts w:ascii="宋体" w:hAnsi="宋体"/>
          <w:color w:val="auto"/>
          <w:szCs w:val="21"/>
        </w:rPr>
        <w:t>31.1</w:t>
      </w:r>
      <w:r>
        <w:rPr>
          <w:rFonts w:ascii="宋体" w:hAnsi="宋体"/>
          <w:color w:val="auto"/>
          <w:szCs w:val="21"/>
          <w:u w:val="single"/>
        </w:rPr>
        <w:t>承包人在工程变更确定后14天内，提出变更工程价款的报告，经工程师确认后调整合同价款。</w:t>
      </w:r>
      <w:r>
        <w:rPr>
          <w:rFonts w:hint="eastAsia" w:ascii="宋体" w:hAnsi="宋体"/>
          <w:color w:val="auto"/>
          <w:szCs w:val="21"/>
          <w:u w:val="single"/>
        </w:rPr>
        <w:t>变更合同价款确定原则按本合同相关约定执行</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31.3</w:t>
      </w:r>
      <w:r>
        <w:rPr>
          <w:rFonts w:ascii="宋体" w:hAnsi="宋体"/>
          <w:color w:val="auto"/>
          <w:szCs w:val="21"/>
          <w:u w:val="single"/>
        </w:rPr>
        <w:t>所有变更工程价款的报告必须按规定程序报发包人审核确认</w:t>
      </w:r>
      <w:r>
        <w:rPr>
          <w:rFonts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31.5</w:t>
      </w:r>
      <w:r>
        <w:rPr>
          <w:rFonts w:ascii="宋体" w:hAnsi="宋体"/>
          <w:color w:val="auto"/>
          <w:szCs w:val="21"/>
          <w:u w:val="single"/>
        </w:rPr>
        <w:t>工程变更价款的支付按本合同相关约定支付</w:t>
      </w:r>
      <w:r>
        <w:rPr>
          <w:rFonts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31.7</w:t>
      </w:r>
      <w:r>
        <w:rPr>
          <w:rFonts w:hint="eastAsia" w:ascii="宋体" w:hAnsi="宋体"/>
          <w:color w:val="auto"/>
          <w:szCs w:val="21"/>
          <w:u w:val="single"/>
        </w:rPr>
        <w:t>发生上述规定的变更后，承包人在收到发包人变更通知的</w:t>
      </w:r>
      <w:r>
        <w:rPr>
          <w:rFonts w:ascii="宋体" w:hAnsi="宋体"/>
          <w:color w:val="auto"/>
          <w:szCs w:val="21"/>
          <w:u w:val="single"/>
        </w:rPr>
        <w:t>7天内按合同文件规定的计价方式内容编出变更工程建议送交监理单位</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31.8</w:t>
      </w:r>
      <w:r>
        <w:rPr>
          <w:rFonts w:hint="eastAsia" w:ascii="宋体" w:hAnsi="宋体"/>
          <w:color w:val="auto"/>
          <w:szCs w:val="21"/>
          <w:u w:val="single"/>
        </w:rPr>
        <w:t>在工程变更价款计算时，承包人应按招标文件相关规定编制变更工程的预算，提供变更依据及详细的计算资料，报监理单位和发包人批准</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31.9</w:t>
      </w:r>
      <w:r>
        <w:rPr>
          <w:rFonts w:hint="eastAsia" w:ascii="宋体" w:hAnsi="宋体"/>
          <w:color w:val="auto"/>
          <w:szCs w:val="21"/>
          <w:u w:val="single"/>
        </w:rPr>
        <w:t>工程变更、签证申报程序按广州开发区、黄埔区以及建设业主的有关规定执行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hint="eastAsia" w:ascii="宋体" w:hAnsi="宋体"/>
          <w:b/>
          <w:color w:val="auto"/>
          <w:sz w:val="24"/>
        </w:rPr>
        <w:t>九、竣工验收与结算</w:t>
      </w:r>
    </w:p>
    <w:p>
      <w:pPr>
        <w:snapToGrid w:val="0"/>
        <w:spacing w:line="440" w:lineRule="exact"/>
        <w:ind w:firstLine="397"/>
        <w:rPr>
          <w:rFonts w:ascii="宋体" w:hAnsi="宋体"/>
          <w:b/>
          <w:color w:val="auto"/>
          <w:sz w:val="24"/>
        </w:rPr>
      </w:pPr>
      <w:r>
        <w:rPr>
          <w:rFonts w:ascii="宋体" w:hAnsi="宋体"/>
          <w:b/>
          <w:color w:val="auto"/>
          <w:sz w:val="24"/>
        </w:rPr>
        <w:t>32</w:t>
      </w:r>
      <w:r>
        <w:rPr>
          <w:rFonts w:hint="eastAsia" w:ascii="宋体" w:hAnsi="宋体"/>
          <w:b/>
          <w:color w:val="auto"/>
          <w:sz w:val="24"/>
        </w:rPr>
        <w:t>、竣工验收</w:t>
      </w:r>
    </w:p>
    <w:p>
      <w:pPr>
        <w:snapToGrid w:val="0"/>
        <w:spacing w:line="440" w:lineRule="exact"/>
        <w:ind w:firstLine="397"/>
        <w:rPr>
          <w:rFonts w:ascii="宋体" w:hAnsi="宋体"/>
          <w:color w:val="auto"/>
          <w:szCs w:val="21"/>
          <w:u w:val="single"/>
        </w:rPr>
      </w:pPr>
      <w:r>
        <w:rPr>
          <w:rFonts w:ascii="宋体" w:hAnsi="宋体"/>
          <w:color w:val="auto"/>
          <w:szCs w:val="21"/>
        </w:rPr>
        <w:t>32.1</w:t>
      </w:r>
      <w:r>
        <w:rPr>
          <w:rFonts w:hint="eastAsia" w:ascii="宋体" w:hAnsi="宋体"/>
          <w:color w:val="auto"/>
          <w:szCs w:val="21"/>
        </w:rPr>
        <w:t>承包人提供竣工图纸的约定：</w:t>
      </w:r>
      <w:r>
        <w:rPr>
          <w:rFonts w:hint="eastAsia" w:ascii="宋体" w:hAnsi="宋体"/>
          <w:color w:val="auto"/>
          <w:szCs w:val="21"/>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32.6</w:t>
      </w:r>
      <w:r>
        <w:rPr>
          <w:rFonts w:hint="eastAsia" w:ascii="宋体" w:hAnsi="宋体"/>
          <w:color w:val="auto"/>
          <w:szCs w:val="21"/>
        </w:rPr>
        <w:t>中间交工工程的范围和竣工时间：</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33、竣工结算</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承发包双方一致同意不适用</w:t>
      </w:r>
      <w:r>
        <w:rPr>
          <w:rFonts w:hint="eastAsia" w:ascii="宋体" w:hAnsi="宋体"/>
          <w:color w:val="auto"/>
          <w:szCs w:val="21"/>
          <w:u w:val="single"/>
        </w:rPr>
        <w:t>通用条款</w:t>
      </w:r>
      <w:r>
        <w:rPr>
          <w:rFonts w:ascii="宋体" w:hAnsi="宋体"/>
          <w:color w:val="auto"/>
          <w:szCs w:val="21"/>
          <w:u w:val="single"/>
        </w:rPr>
        <w:t>33.2款、33.3款、33.4款</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竣工结算办法：</w:t>
      </w:r>
      <w:r>
        <w:rPr>
          <w:rFonts w:hint="eastAsia" w:ascii="宋体" w:hAnsi="宋体"/>
          <w:color w:val="auto"/>
          <w:szCs w:val="21"/>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olor w:val="auto"/>
          <w:szCs w:val="21"/>
        </w:rPr>
        <w:t>。</w:t>
      </w:r>
    </w:p>
    <w:p>
      <w:pPr>
        <w:snapToGrid w:val="0"/>
        <w:spacing w:line="360" w:lineRule="auto"/>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竣工结算提交时间：</w:t>
      </w:r>
      <w:r>
        <w:rPr>
          <w:rFonts w:hint="eastAsia" w:ascii="宋体" w:hAnsi="宋体"/>
          <w:color w:val="auto"/>
          <w:szCs w:val="21"/>
          <w:u w:val="single"/>
        </w:rPr>
        <w:t>承包人须按《广州开发区财政投资建设项目管理中心施工类合同结算编审指引（试行）》及区有关规定编制及办理建设项目工程结算</w:t>
      </w:r>
      <w:r>
        <w:rPr>
          <w:rFonts w:hint="eastAsia" w:ascii="宋体" w:hAnsi="宋体"/>
          <w:color w:val="auto"/>
          <w:szCs w:val="21"/>
        </w:rPr>
        <w:t>。</w:t>
      </w:r>
    </w:p>
    <w:p>
      <w:pPr>
        <w:spacing w:line="360" w:lineRule="auto"/>
        <w:rPr>
          <w:rFonts w:ascii="宋体" w:hAnsi="宋体"/>
          <w:color w:val="auto"/>
          <w:szCs w:val="21"/>
        </w:rPr>
      </w:pPr>
      <w:r>
        <w:rPr>
          <w:rFonts w:hint="eastAsia" w:ascii="宋体" w:hAnsi="宋体"/>
          <w:b/>
          <w:bCs/>
          <w:color w:val="auto"/>
          <w:szCs w:val="20"/>
        </w:rPr>
        <w:t xml:space="preserve">    </w:t>
      </w:r>
      <w:r>
        <w:rPr>
          <w:rFonts w:hint="eastAsia" w:ascii="宋体" w:hAnsi="宋体"/>
          <w:color w:val="auto"/>
          <w:szCs w:val="21"/>
          <w:u w:val="single"/>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pPr>
        <w:snapToGrid w:val="0"/>
        <w:spacing w:line="440" w:lineRule="exact"/>
        <w:ind w:firstLine="397"/>
        <w:rPr>
          <w:rFonts w:ascii="宋体" w:hAnsi="宋体"/>
          <w:b/>
          <w:color w:val="auto"/>
          <w:sz w:val="24"/>
        </w:rPr>
      </w:pPr>
      <w:r>
        <w:rPr>
          <w:rFonts w:hint="eastAsia" w:ascii="宋体" w:hAnsi="宋体"/>
          <w:b/>
          <w:color w:val="auto"/>
          <w:sz w:val="24"/>
        </w:rPr>
        <w:t>十、违约、索赔和争议</w:t>
      </w:r>
    </w:p>
    <w:p>
      <w:pPr>
        <w:snapToGrid w:val="0"/>
        <w:spacing w:line="440" w:lineRule="exact"/>
        <w:ind w:firstLine="397"/>
        <w:rPr>
          <w:rFonts w:ascii="宋体" w:hAnsi="宋体"/>
          <w:b/>
          <w:color w:val="auto"/>
          <w:sz w:val="24"/>
        </w:rPr>
      </w:pPr>
      <w:r>
        <w:rPr>
          <w:rFonts w:ascii="宋体" w:hAnsi="宋体"/>
          <w:b/>
          <w:color w:val="auto"/>
          <w:sz w:val="24"/>
        </w:rPr>
        <w:t>35</w:t>
      </w:r>
      <w:r>
        <w:rPr>
          <w:rFonts w:hint="eastAsia" w:ascii="宋体" w:hAnsi="宋体"/>
          <w:b/>
          <w:color w:val="auto"/>
          <w:sz w:val="24"/>
        </w:rPr>
        <w:t>、违约</w:t>
      </w:r>
    </w:p>
    <w:p>
      <w:pPr>
        <w:snapToGrid w:val="0"/>
        <w:spacing w:line="440" w:lineRule="exact"/>
        <w:ind w:firstLine="397"/>
        <w:rPr>
          <w:rFonts w:ascii="宋体" w:hAnsi="宋体"/>
          <w:color w:val="auto"/>
          <w:szCs w:val="21"/>
        </w:rPr>
      </w:pPr>
      <w:r>
        <w:rPr>
          <w:rFonts w:ascii="宋体" w:hAnsi="宋体"/>
          <w:color w:val="auto"/>
          <w:szCs w:val="21"/>
        </w:rPr>
        <w:t>35.1</w:t>
      </w:r>
      <w:r>
        <w:rPr>
          <w:rFonts w:hint="eastAsia" w:ascii="宋体" w:hAnsi="宋体"/>
          <w:color w:val="auto"/>
          <w:szCs w:val="21"/>
        </w:rPr>
        <w:t>本合同中关于发包人违约的具体责任如下：</w:t>
      </w:r>
    </w:p>
    <w:p>
      <w:pPr>
        <w:snapToGrid w:val="0"/>
        <w:spacing w:line="440" w:lineRule="exact"/>
        <w:ind w:firstLine="397"/>
        <w:rPr>
          <w:rFonts w:ascii="宋体" w:hAnsi="宋体"/>
          <w:color w:val="auto"/>
          <w:szCs w:val="21"/>
          <w:u w:val="single"/>
        </w:rPr>
      </w:pPr>
      <w:r>
        <w:rPr>
          <w:rFonts w:hint="eastAsia" w:ascii="宋体" w:hAnsi="宋体"/>
          <w:color w:val="auto"/>
          <w:szCs w:val="21"/>
        </w:rPr>
        <w:t>本合同通用条款第</w:t>
      </w:r>
      <w:r>
        <w:rPr>
          <w:rFonts w:ascii="宋体" w:hAnsi="宋体"/>
          <w:color w:val="auto"/>
          <w:szCs w:val="21"/>
        </w:rPr>
        <w:t>35.1条约定发包人违约应承担的责任：</w:t>
      </w:r>
      <w:r>
        <w:rPr>
          <w:rFonts w:hint="eastAsia" w:ascii="宋体" w:hAnsi="宋体"/>
          <w:color w:val="auto"/>
          <w:szCs w:val="21"/>
          <w:u w:val="single"/>
        </w:rPr>
        <w:t>顺延工期，但不作费用赔偿</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rPr>
        <w:t>双方约定的发包人其他违约责任：</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本合同中关于承包人违约的具体责任如下：</w:t>
      </w:r>
    </w:p>
    <w:p>
      <w:pPr>
        <w:snapToGrid w:val="0"/>
        <w:spacing w:line="440" w:lineRule="exact"/>
        <w:ind w:firstLine="397"/>
        <w:rPr>
          <w:rFonts w:ascii="宋体" w:hAnsi="宋体"/>
          <w:color w:val="auto"/>
          <w:szCs w:val="21"/>
        </w:rPr>
      </w:pPr>
      <w:r>
        <w:rPr>
          <w:rFonts w:ascii="宋体" w:hAnsi="宋体"/>
          <w:color w:val="auto"/>
          <w:szCs w:val="21"/>
        </w:rPr>
        <w:t>35.2.1工期延误的违约责任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承包人未按发包人或监理单位开工令要求时间开工的，每迟延开工</w:t>
      </w:r>
      <w:r>
        <w:rPr>
          <w:rFonts w:ascii="宋体" w:hAnsi="宋体"/>
          <w:color w:val="auto"/>
          <w:szCs w:val="21"/>
          <w:u w:val="single"/>
        </w:rPr>
        <w:t>1</w:t>
      </w:r>
      <w:r>
        <w:rPr>
          <w:rFonts w:hint="eastAsia" w:ascii="宋体" w:hAnsi="宋体"/>
          <w:color w:val="auto"/>
          <w:szCs w:val="21"/>
          <w:u w:val="single"/>
        </w:rPr>
        <w:t>天，应向发包人支付违约金</w:t>
      </w:r>
      <w:r>
        <w:rPr>
          <w:rFonts w:ascii="宋体" w:hAnsi="宋体"/>
          <w:color w:val="auto"/>
          <w:szCs w:val="21"/>
          <w:u w:val="single"/>
        </w:rPr>
        <w:t>5000元；迟延开工超过20</w:t>
      </w:r>
      <w:r>
        <w:rPr>
          <w:rFonts w:hint="eastAsia" w:ascii="宋体" w:hAnsi="宋体"/>
          <w:color w:val="auto"/>
          <w:szCs w:val="21"/>
          <w:u w:val="single"/>
        </w:rPr>
        <w:t>天的，发包人有权根据实际情况单方面解除合同</w:t>
      </w:r>
      <w:r>
        <w:rPr>
          <w:rFonts w:hint="eastAsia" w:ascii="宋体" w:hAnsi="宋体"/>
          <w:color w:val="auto"/>
          <w:szCs w:val="21"/>
        </w:rPr>
        <w:t>。</w:t>
      </w:r>
    </w:p>
    <w:p>
      <w:pPr>
        <w:spacing w:line="520" w:lineRule="exact"/>
        <w:ind w:firstLine="56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color w:val="auto"/>
          <w:szCs w:val="21"/>
          <w:u w:val="single"/>
        </w:rPr>
        <w:t>因承包人的原因造成工期延误，其中属节点工期延误，从延误的第一天起，每天支付违约金</w:t>
      </w:r>
      <w:r>
        <w:rPr>
          <w:rFonts w:ascii="宋体" w:hAnsi="宋体"/>
          <w:color w:val="auto"/>
          <w:szCs w:val="21"/>
          <w:u w:val="single"/>
        </w:rPr>
        <w:t>5000</w:t>
      </w:r>
      <w:r>
        <w:rPr>
          <w:rFonts w:hint="eastAsia" w:ascii="宋体" w:hAnsi="宋体"/>
          <w:color w:val="auto"/>
          <w:szCs w:val="21"/>
          <w:u w:val="single"/>
        </w:rPr>
        <w:t>元，如在下一个节点赶回工期，可免除上述违约金。属总工期延误，从总工期延误的第一天起，每天支付违约金</w:t>
      </w:r>
      <w:r>
        <w:rPr>
          <w:rFonts w:ascii="宋体" w:hAnsi="宋体"/>
          <w:color w:val="auto"/>
          <w:szCs w:val="21"/>
          <w:u w:val="single"/>
        </w:rPr>
        <w:t>20000元</w:t>
      </w:r>
      <w:r>
        <w:rPr>
          <w:rFonts w:hint="eastAsia" w:ascii="宋体" w:hAnsi="宋体"/>
          <w:color w:val="auto"/>
          <w:szCs w:val="21"/>
        </w:rPr>
        <w:t>。</w:t>
      </w:r>
      <w:r>
        <w:rPr>
          <w:rFonts w:hint="eastAsia" w:ascii="宋体" w:hAnsi="宋体"/>
          <w:color w:val="auto"/>
          <w:szCs w:val="21"/>
          <w:u w:val="single"/>
        </w:rPr>
        <w:t>延误工期超过20天的，发包人可视情况终止合同。</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szCs w:val="21"/>
          <w:u w:val="single"/>
        </w:rPr>
        <w:t>承包人必须按期完成主要工序的施工任务，若属承包人原因逾期达</w:t>
      </w:r>
      <w:r>
        <w:rPr>
          <w:rFonts w:ascii="宋体" w:hAnsi="宋体"/>
          <w:color w:val="auto"/>
          <w:szCs w:val="21"/>
          <w:u w:val="single"/>
        </w:rPr>
        <w:t>10天未完成主要节点的施工任务时，</w:t>
      </w:r>
      <w:r>
        <w:rPr>
          <w:rFonts w:hint="eastAsia" w:ascii="宋体" w:hAnsi="宋体"/>
          <w:color w:val="auto"/>
          <w:szCs w:val="21"/>
          <w:u w:val="single"/>
        </w:rPr>
        <w:t>除按第（2</w:t>
      </w:r>
      <w:r>
        <w:rPr>
          <w:rFonts w:ascii="宋体" w:hAnsi="宋体"/>
          <w:color w:val="auto"/>
          <w:szCs w:val="21"/>
          <w:u w:val="single"/>
        </w:rPr>
        <w:t>）项约定承担违约责任外，</w:t>
      </w:r>
      <w:r>
        <w:rPr>
          <w:rFonts w:hint="eastAsia" w:ascii="宋体" w:hAnsi="宋体"/>
          <w:color w:val="auto"/>
          <w:szCs w:val="21"/>
          <w:u w:val="single"/>
        </w:rPr>
        <w:t>发包人可要求撤换项目负责人，承包人应予以执行，并在总工期不调整的前提下自行消化节点工期的延误。逾期</w:t>
      </w:r>
      <w:r>
        <w:rPr>
          <w:rFonts w:ascii="宋体" w:hAnsi="宋体"/>
          <w:color w:val="auto"/>
          <w:szCs w:val="21"/>
          <w:u w:val="single"/>
        </w:rPr>
        <w:t>20天未完成主要节点的施工任务时，属承包人进度严重违约行为，发包人可</w:t>
      </w:r>
      <w:r>
        <w:rPr>
          <w:rFonts w:hint="eastAsia" w:ascii="宋体" w:hAnsi="宋体"/>
          <w:color w:val="auto"/>
          <w:szCs w:val="21"/>
          <w:u w:val="single"/>
        </w:rPr>
        <w:t>单方面终止合同，将承包人作不良纪录报区建设行政主管部门备案。并由承包人承担相应的进度严重违约责任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hint="eastAsia" w:ascii="宋体" w:hAnsi="宋体"/>
          <w:color w:val="auto"/>
          <w:szCs w:val="21"/>
          <w:u w:val="single"/>
        </w:rPr>
        <w:t>承包人承担的进度严重违约责任为：如果承包人出现进度严重违约事件，则须无条件接受发包人终止合同，并在接到终止合同通知书之日起</w:t>
      </w:r>
      <w:r>
        <w:rPr>
          <w:rFonts w:ascii="宋体" w:hAnsi="宋体"/>
          <w:color w:val="auto"/>
          <w:szCs w:val="21"/>
          <w:u w:val="single"/>
        </w:rPr>
        <w:t>5个</w:t>
      </w:r>
      <w:r>
        <w:rPr>
          <w:rFonts w:hint="eastAsia" w:ascii="宋体" w:hAnsi="宋体"/>
          <w:color w:val="auto"/>
          <w:szCs w:val="21"/>
          <w:u w:val="single"/>
        </w:rPr>
        <w:t>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(5</w:t>
      </w:r>
      <w:r>
        <w:rPr>
          <w:rFonts w:hint="eastAsia" w:ascii="宋体" w:hAnsi="宋体"/>
          <w:color w:val="auto"/>
          <w:szCs w:val="21"/>
        </w:rPr>
        <w:t>）</w:t>
      </w:r>
      <w:r>
        <w:rPr>
          <w:rFonts w:hint="eastAsia" w:ascii="宋体" w:hAnsi="宋体"/>
          <w:color w:val="auto"/>
          <w:szCs w:val="21"/>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Pr>
          <w:rFonts w:ascii="宋体" w:hAnsi="宋体"/>
          <w:color w:val="auto"/>
          <w:szCs w:val="21"/>
          <w:u w:val="single"/>
        </w:rPr>
        <w:t>5000元违约金</w:t>
      </w:r>
      <w:r>
        <w:rPr>
          <w:rFonts w:hint="eastAsia" w:ascii="宋体" w:hAnsi="宋体"/>
          <w:color w:val="auto"/>
          <w:szCs w:val="21"/>
        </w:rPr>
        <w:t>。</w:t>
      </w:r>
    </w:p>
    <w:p>
      <w:pPr>
        <w:snapToGrid w:val="0"/>
        <w:spacing w:line="440" w:lineRule="exact"/>
        <w:ind w:firstLine="397"/>
        <w:rPr>
          <w:rFonts w:ascii="宋体" w:hAnsi="宋体"/>
          <w:snapToGrid w:val="0"/>
          <w:color w:val="auto"/>
          <w:kern w:val="0"/>
          <w:szCs w:val="21"/>
        </w:rPr>
      </w:pPr>
      <w:r>
        <w:rPr>
          <w:rFonts w:hint="eastAsia" w:ascii="宋体" w:hAnsi="宋体"/>
          <w:snapToGrid w:val="0"/>
          <w:color w:val="auto"/>
          <w:kern w:val="0"/>
          <w:szCs w:val="21"/>
        </w:rPr>
        <w:t>（</w:t>
      </w:r>
      <w:r>
        <w:rPr>
          <w:rFonts w:ascii="宋体" w:hAnsi="宋体"/>
          <w:snapToGrid w:val="0"/>
          <w:color w:val="auto"/>
          <w:kern w:val="0"/>
          <w:szCs w:val="21"/>
        </w:rPr>
        <w:t>6</w:t>
      </w:r>
      <w:r>
        <w:rPr>
          <w:rFonts w:hint="eastAsia" w:ascii="宋体" w:hAnsi="宋体"/>
          <w:snapToGrid w:val="0"/>
          <w:color w:val="auto"/>
          <w:kern w:val="0"/>
          <w:szCs w:val="21"/>
        </w:rPr>
        <w:t>）</w:t>
      </w:r>
      <w:r>
        <w:rPr>
          <w:rFonts w:hint="eastAsia" w:ascii="宋体" w:hAnsi="宋体"/>
          <w:snapToGrid w:val="0"/>
          <w:color w:val="auto"/>
          <w:kern w:val="0"/>
          <w:szCs w:val="21"/>
          <w:u w:val="single"/>
        </w:rPr>
        <w:t>承包人违反合同专用条款的约定和发包人的规定，逾期完成竣工档案的整理、移交、送审备案工作的，每逾期</w:t>
      </w:r>
      <w:r>
        <w:rPr>
          <w:rFonts w:ascii="宋体" w:hAnsi="宋体"/>
          <w:snapToGrid w:val="0"/>
          <w:color w:val="auto"/>
          <w:kern w:val="0"/>
          <w:szCs w:val="21"/>
          <w:u w:val="single"/>
        </w:rPr>
        <w:t>1天，承包人支付违约金5000元</w:t>
      </w:r>
      <w:r>
        <w:rPr>
          <w:rFonts w:hint="eastAsia" w:ascii="宋体" w:hAnsi="宋体"/>
          <w:snapToGrid w:val="0"/>
          <w:color w:val="auto"/>
          <w:kern w:val="0"/>
          <w:szCs w:val="21"/>
        </w:rPr>
        <w:t>。</w:t>
      </w:r>
    </w:p>
    <w:p>
      <w:pPr>
        <w:snapToGrid w:val="0"/>
        <w:spacing w:line="440" w:lineRule="exact"/>
        <w:ind w:firstLine="397"/>
        <w:rPr>
          <w:rFonts w:ascii="宋体" w:hAnsi="宋体"/>
          <w:color w:val="auto"/>
          <w:szCs w:val="21"/>
        </w:rPr>
      </w:pPr>
      <w:r>
        <w:rPr>
          <w:rFonts w:ascii="宋体" w:hAnsi="宋体"/>
          <w:color w:val="auto"/>
          <w:szCs w:val="21"/>
        </w:rPr>
        <w:t>35.2.2</w:t>
      </w:r>
      <w:r>
        <w:rPr>
          <w:rFonts w:hint="eastAsia" w:ascii="宋体" w:hAnsi="宋体"/>
          <w:color w:val="auto"/>
          <w:szCs w:val="21"/>
        </w:rPr>
        <w:t>安全、文明施工要求及违约处理：</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hint="eastAsia" w:ascii="宋体" w:hAnsi="宋体"/>
          <w:color w:val="auto"/>
          <w:szCs w:val="21"/>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承包人需支付</w:t>
      </w:r>
      <w:r>
        <w:rPr>
          <w:rFonts w:ascii="宋体" w:hAnsi="宋体"/>
          <w:color w:val="auto"/>
          <w:szCs w:val="21"/>
          <w:u w:val="single"/>
        </w:rPr>
        <w:t>10000</w:t>
      </w:r>
      <w:r>
        <w:rPr>
          <w:rFonts w:hint="eastAsia" w:ascii="宋体" w:hAnsi="宋体"/>
          <w:color w:val="auto"/>
          <w:szCs w:val="21"/>
          <w:u w:val="single"/>
        </w:rPr>
        <w:t>元人民币违约金给发包人</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color w:val="auto"/>
          <w:szCs w:val="21"/>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w:t>
      </w:r>
      <w:r>
        <w:rPr>
          <w:rFonts w:ascii="宋体" w:hAnsi="宋体"/>
          <w:color w:val="auto"/>
          <w:szCs w:val="21"/>
          <w:u w:val="single"/>
        </w:rPr>
        <w:t>元违约金</w:t>
      </w:r>
      <w:r>
        <w:rPr>
          <w:rFonts w:hint="eastAsia" w:ascii="宋体" w:hAnsi="宋体"/>
          <w:color w:val="auto"/>
          <w:szCs w:val="21"/>
          <w:u w:val="single"/>
        </w:rPr>
        <w:t>，如发包人因此被相关部门处罚的，罚金由承包人承担</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u w:val="single"/>
        </w:rPr>
        <w:t>如果承包人未按招投标文件及本合同要求做好安全、文明施工相关措施，经监理工程师或发包人检查发现的，每发现一次，承包人支付</w:t>
      </w:r>
      <w:r>
        <w:rPr>
          <w:rFonts w:ascii="宋体" w:hAnsi="宋体"/>
          <w:color w:val="auto"/>
          <w:szCs w:val="21"/>
          <w:u w:val="single"/>
        </w:rPr>
        <w:t>5000元违约金，并按发包人或监理单位要求限期整改，未在限期内完成整改的，每延期一天，承包人支付</w:t>
      </w:r>
      <w:r>
        <w:rPr>
          <w:rFonts w:hint="eastAsia" w:ascii="宋体" w:hAnsi="宋体"/>
          <w:color w:val="auto"/>
          <w:szCs w:val="21"/>
          <w:u w:val="single"/>
        </w:rPr>
        <w:t>10000</w:t>
      </w:r>
      <w:r>
        <w:rPr>
          <w:rFonts w:ascii="宋体" w:hAnsi="宋体"/>
          <w:color w:val="auto"/>
          <w:szCs w:val="21"/>
          <w:u w:val="single"/>
        </w:rPr>
        <w:t>元违约金</w:t>
      </w:r>
      <w:r>
        <w:rPr>
          <w:rFonts w:hint="eastAsia" w:ascii="宋体" w:hAnsi="宋体"/>
          <w:color w:val="auto"/>
          <w:szCs w:val="21"/>
        </w:rPr>
        <w:t>。</w:t>
      </w:r>
    </w:p>
    <w:p>
      <w:pPr>
        <w:snapToGrid w:val="0"/>
        <w:spacing w:line="440" w:lineRule="exact"/>
        <w:ind w:firstLine="397"/>
        <w:rPr>
          <w:rFonts w:ascii="宋体" w:hAnsi="宋体"/>
          <w:snapToGrid w:val="0"/>
          <w:color w:val="auto"/>
          <w:kern w:val="0"/>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u w:val="single"/>
        </w:rPr>
        <w:t>在施工过程中发生安全事故的，除按照国家、省、市规定进行处理外。若导致人员伤亡的，承包人按下列办法支付违约金：如发生死亡事故，死亡</w:t>
      </w:r>
      <w:r>
        <w:rPr>
          <w:rFonts w:ascii="宋体" w:hAnsi="宋体"/>
          <w:color w:val="auto"/>
          <w:szCs w:val="21"/>
          <w:u w:val="single"/>
        </w:rPr>
        <w:t>1人，</w:t>
      </w:r>
      <w:r>
        <w:rPr>
          <w:rFonts w:hint="eastAsia" w:ascii="宋体" w:hAnsi="宋体"/>
          <w:color w:val="auto"/>
          <w:szCs w:val="21"/>
          <w:u w:val="single"/>
        </w:rPr>
        <w:t>支付</w:t>
      </w:r>
      <w:r>
        <w:rPr>
          <w:rFonts w:ascii="宋体" w:hAnsi="宋体"/>
          <w:color w:val="auto"/>
          <w:szCs w:val="21"/>
          <w:u w:val="single"/>
        </w:rPr>
        <w:t>20万元；死亡2人，</w:t>
      </w:r>
      <w:r>
        <w:rPr>
          <w:rFonts w:hint="eastAsia" w:ascii="宋体" w:hAnsi="宋体"/>
          <w:color w:val="auto"/>
          <w:szCs w:val="21"/>
          <w:u w:val="single"/>
        </w:rPr>
        <w:t>支付</w:t>
      </w:r>
      <w:r>
        <w:rPr>
          <w:rFonts w:ascii="宋体" w:hAnsi="宋体"/>
          <w:color w:val="auto"/>
          <w:szCs w:val="21"/>
          <w:u w:val="single"/>
        </w:rPr>
        <w:t>40万元；死亡3人或以上，</w:t>
      </w:r>
      <w:r>
        <w:rPr>
          <w:rFonts w:hint="eastAsia" w:ascii="宋体" w:hAnsi="宋体"/>
          <w:color w:val="auto"/>
          <w:szCs w:val="21"/>
          <w:u w:val="single"/>
        </w:rPr>
        <w:t>支付</w:t>
      </w:r>
      <w:r>
        <w:rPr>
          <w:rFonts w:ascii="宋体" w:hAnsi="宋体"/>
          <w:color w:val="auto"/>
          <w:szCs w:val="21"/>
          <w:u w:val="single"/>
        </w:rPr>
        <w:t>80万元。如发生重伤事故，重伤1人，</w:t>
      </w:r>
      <w:r>
        <w:rPr>
          <w:rFonts w:hint="eastAsia" w:ascii="宋体" w:hAnsi="宋体"/>
          <w:color w:val="auto"/>
          <w:szCs w:val="21"/>
          <w:u w:val="single"/>
        </w:rPr>
        <w:t>支付</w:t>
      </w:r>
      <w:r>
        <w:rPr>
          <w:rFonts w:ascii="宋体" w:hAnsi="宋体"/>
          <w:color w:val="auto"/>
          <w:szCs w:val="21"/>
          <w:u w:val="single"/>
        </w:rPr>
        <w:t>10万元；重伤2人，</w:t>
      </w:r>
      <w:r>
        <w:rPr>
          <w:rFonts w:hint="eastAsia" w:ascii="宋体" w:hAnsi="宋体"/>
          <w:color w:val="auto"/>
          <w:szCs w:val="21"/>
          <w:u w:val="single"/>
        </w:rPr>
        <w:t>支付</w:t>
      </w:r>
      <w:r>
        <w:rPr>
          <w:rFonts w:ascii="宋体" w:hAnsi="宋体"/>
          <w:color w:val="auto"/>
          <w:szCs w:val="21"/>
          <w:u w:val="single"/>
        </w:rPr>
        <w:t>20万元；重伤3人或以上，</w:t>
      </w:r>
      <w:r>
        <w:rPr>
          <w:rFonts w:hint="eastAsia" w:ascii="宋体" w:hAnsi="宋体"/>
          <w:color w:val="auto"/>
          <w:szCs w:val="21"/>
          <w:u w:val="single"/>
        </w:rPr>
        <w:t>支付</w:t>
      </w:r>
      <w:r>
        <w:rPr>
          <w:rFonts w:ascii="宋体" w:hAnsi="宋体"/>
          <w:color w:val="auto"/>
          <w:szCs w:val="21"/>
          <w:u w:val="single"/>
        </w:rPr>
        <w:t>40万元。因承包人原因发生一般安全事故，未造成人员伤亡</w:t>
      </w:r>
      <w:r>
        <w:rPr>
          <w:rFonts w:hint="eastAsia" w:ascii="宋体" w:hAnsi="宋体"/>
          <w:color w:val="auto"/>
          <w:szCs w:val="21"/>
          <w:u w:val="single"/>
        </w:rPr>
        <w:t>或造成人员轻伤及轻微财产损失的，每发生一次，承包人支付违约金</w:t>
      </w:r>
      <w:r>
        <w:rPr>
          <w:rFonts w:ascii="宋体" w:hAnsi="宋体"/>
          <w:color w:val="auto"/>
          <w:szCs w:val="21"/>
          <w:u w:val="single"/>
        </w:rPr>
        <w:t>5000元</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hint="eastAsia" w:ascii="宋体" w:hAnsi="宋体"/>
          <w:color w:val="auto"/>
          <w:szCs w:val="21"/>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w:t>
      </w:r>
      <w:r>
        <w:rPr>
          <w:rFonts w:ascii="宋体" w:hAnsi="宋体"/>
          <w:color w:val="auto"/>
          <w:szCs w:val="21"/>
          <w:u w:val="single"/>
        </w:rPr>
        <w:t>2008】60号）等广州市、</w:t>
      </w:r>
      <w:r>
        <w:rPr>
          <w:rFonts w:hint="eastAsia" w:ascii="宋体" w:hAnsi="宋体"/>
          <w:color w:val="auto"/>
          <w:szCs w:val="21"/>
          <w:u w:val="single"/>
        </w:rPr>
        <w:t>黄埔</w:t>
      </w:r>
      <w:r>
        <w:rPr>
          <w:rFonts w:ascii="宋体" w:hAnsi="宋体"/>
          <w:color w:val="auto"/>
          <w:szCs w:val="21"/>
          <w:u w:val="single"/>
        </w:rPr>
        <w:t>区相关管理规定的标准和要求，保证落实“</w:t>
      </w:r>
      <w:r>
        <w:rPr>
          <w:rFonts w:hint="eastAsia" w:ascii="宋体" w:hAnsi="宋体"/>
          <w:color w:val="auto"/>
          <w:szCs w:val="21"/>
          <w:u w:val="single"/>
        </w:rPr>
        <w:t>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Pr>
          <w:rFonts w:ascii="宋体" w:hAnsi="宋体"/>
          <w:color w:val="auto"/>
          <w:szCs w:val="21"/>
          <w:u w:val="single"/>
        </w:rPr>
        <w:t>5000元违约金。同时，发包人将根据承包人</w:t>
      </w:r>
      <w:r>
        <w:rPr>
          <w:rFonts w:hint="eastAsia" w:ascii="宋体" w:hAnsi="宋体"/>
          <w:color w:val="auto"/>
          <w:szCs w:val="21"/>
          <w:u w:val="single"/>
        </w:rPr>
        <w:t>违反余泥渣土运输管理有关规定而造成的不良后果的严重程度，上报区建设行政主管部门进行处理</w:t>
      </w:r>
      <w:r>
        <w:rPr>
          <w:rFonts w:hint="eastAsia" w:ascii="宋体" w:hAnsi="宋体"/>
          <w:color w:val="auto"/>
          <w:szCs w:val="21"/>
        </w:rPr>
        <w:t>。</w:t>
      </w:r>
    </w:p>
    <w:p>
      <w:pPr>
        <w:snapToGrid w:val="0"/>
        <w:spacing w:line="440" w:lineRule="exact"/>
        <w:ind w:firstLine="397"/>
        <w:rPr>
          <w:rFonts w:hAnsi="宋体"/>
          <w:color w:val="auto"/>
          <w:szCs w:val="21"/>
          <w:u w:val="single"/>
        </w:rPr>
      </w:pP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hint="eastAsia" w:ascii="宋体" w:hAnsi="宋体"/>
          <w:color w:val="auto"/>
          <w:szCs w:val="21"/>
          <w:u w:val="single"/>
        </w:rPr>
        <w:t>需取得“广东省市政工程安全生产文明施工示范工地”或以上级别的安全文明绿色施工奖项。安全及文明施工标准未达到的：如取得了“广州市安全文明绿色施工样板工地、广州市安全文明施工标准示范工地”奖项的，承包人需扣除</w:t>
      </w:r>
      <w:r>
        <w:rPr>
          <w:rFonts w:ascii="宋体" w:hAnsi="宋体"/>
          <w:color w:val="auto"/>
          <w:szCs w:val="21"/>
          <w:u w:val="single"/>
        </w:rPr>
        <w:t>300</w:t>
      </w:r>
      <w:r>
        <w:rPr>
          <w:rFonts w:hint="eastAsia" w:ascii="宋体" w:hAnsi="宋体"/>
          <w:color w:val="auto"/>
          <w:szCs w:val="21"/>
          <w:u w:val="single"/>
        </w:rPr>
        <w:t>万元承担违约金；未取得“广州市安全文明绿色施工样板工地、广州市安全文明施工标准示范工地”奖项的，承包人需扣除</w:t>
      </w:r>
      <w:r>
        <w:rPr>
          <w:rFonts w:ascii="宋体" w:hAnsi="宋体"/>
          <w:color w:val="auto"/>
          <w:szCs w:val="21"/>
          <w:u w:val="single"/>
        </w:rPr>
        <w:t>800</w:t>
      </w:r>
      <w:r>
        <w:rPr>
          <w:rFonts w:hint="eastAsia" w:ascii="宋体" w:hAnsi="宋体"/>
          <w:color w:val="auto"/>
          <w:szCs w:val="21"/>
          <w:u w:val="single"/>
        </w:rPr>
        <w:t>万元承担违约金。</w:t>
      </w:r>
    </w:p>
    <w:p>
      <w:pPr>
        <w:snapToGrid w:val="0"/>
        <w:spacing w:line="440" w:lineRule="exact"/>
        <w:ind w:firstLine="397"/>
        <w:rPr>
          <w:rFonts w:hAnsi="宋体"/>
          <w:color w:val="auto"/>
          <w:szCs w:val="21"/>
          <w:u w:val="single"/>
        </w:rPr>
      </w:pPr>
      <w:r>
        <w:rPr>
          <w:rFonts w:hint="eastAsia" w:ascii="宋体" w:hAnsi="宋体"/>
          <w:color w:val="auto"/>
          <w:szCs w:val="21"/>
          <w:u w:val="single"/>
        </w:rPr>
        <w:t>上述违约金由发包人直接从工程结算款中扣减。因非承包人原因导致本工程未能达到要求的安全及文明施工标准的除外。</w:t>
      </w:r>
    </w:p>
    <w:p>
      <w:pPr>
        <w:snapToGrid w:val="0"/>
        <w:spacing w:line="440" w:lineRule="exact"/>
        <w:ind w:firstLine="397"/>
        <w:rPr>
          <w:rFonts w:ascii="宋体" w:hAnsi="宋体"/>
          <w:color w:val="auto"/>
          <w:szCs w:val="21"/>
        </w:rPr>
      </w:pPr>
      <w:r>
        <w:rPr>
          <w:rFonts w:ascii="宋体" w:hAnsi="宋体"/>
          <w:color w:val="auto"/>
          <w:szCs w:val="21"/>
        </w:rPr>
        <w:t>35.2.3工程质量方面的违约责任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1）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（3）对施工质量问题存在争议，应请国家认可的第三方机构出具检测报告，检测费用由责任方承担。</w:t>
      </w:r>
    </w:p>
    <w:p>
      <w:pPr>
        <w:snapToGrid w:val="0"/>
        <w:spacing w:line="440" w:lineRule="exact"/>
        <w:ind w:firstLine="397"/>
        <w:rPr>
          <w:rFonts w:hAnsi="宋体"/>
          <w:color w:val="auto"/>
          <w:szCs w:val="21"/>
          <w:u w:val="single"/>
        </w:rPr>
      </w:pPr>
      <w:r>
        <w:rPr>
          <w:rFonts w:hint="eastAsia" w:ascii="宋体" w:hAnsi="宋体"/>
          <w:color w:val="auto"/>
          <w:szCs w:val="21"/>
          <w:u w:val="single"/>
        </w:rPr>
        <w:t>（</w:t>
      </w:r>
      <w:r>
        <w:rPr>
          <w:rFonts w:ascii="宋体" w:hAnsi="宋体"/>
          <w:color w:val="auto"/>
          <w:szCs w:val="21"/>
          <w:u w:val="single"/>
        </w:rPr>
        <w:t>4</w:t>
      </w:r>
      <w:r>
        <w:rPr>
          <w:rFonts w:hint="eastAsia" w:ascii="宋体" w:hAnsi="宋体"/>
          <w:color w:val="auto"/>
          <w:szCs w:val="21"/>
          <w:u w:val="single"/>
        </w:rPr>
        <w:t>）工程质量需取得“广东省市政优良样板工程”或上级别的工程质量奖。工程质量标准未达到的：如取得了“广州市建设工程优质奖”或“广州市建设工程质量五羊杯奖”的，承包人需按本工程结算价的</w:t>
      </w:r>
      <w:r>
        <w:rPr>
          <w:rFonts w:ascii="宋体" w:hAnsi="宋体"/>
          <w:color w:val="auto"/>
          <w:szCs w:val="21"/>
          <w:u w:val="single"/>
        </w:rPr>
        <w:t>0.5%</w:t>
      </w:r>
      <w:r>
        <w:rPr>
          <w:rFonts w:hint="eastAsia" w:ascii="宋体" w:hAnsi="宋体"/>
          <w:color w:val="auto"/>
          <w:szCs w:val="21"/>
          <w:u w:val="single"/>
        </w:rPr>
        <w:t>承担违约金；未取得“广州市建设工程优质奖”或“广州市建设工程质量五羊杯奖”的，承包人需按本工程结算价的</w:t>
      </w:r>
      <w:r>
        <w:rPr>
          <w:rFonts w:ascii="宋体" w:hAnsi="宋体"/>
          <w:color w:val="auto"/>
          <w:szCs w:val="21"/>
          <w:u w:val="single"/>
        </w:rPr>
        <w:t>1.5%</w:t>
      </w:r>
      <w:r>
        <w:rPr>
          <w:rFonts w:hint="eastAsia" w:ascii="宋体" w:hAnsi="宋体"/>
          <w:color w:val="auto"/>
          <w:szCs w:val="21"/>
          <w:u w:val="single"/>
        </w:rPr>
        <w:t>承担违约金。</w:t>
      </w:r>
    </w:p>
    <w:p>
      <w:pPr>
        <w:snapToGrid w:val="0"/>
        <w:spacing w:line="440" w:lineRule="exact"/>
        <w:ind w:firstLine="397"/>
        <w:rPr>
          <w:rFonts w:hAnsi="宋体"/>
          <w:color w:val="auto"/>
          <w:szCs w:val="21"/>
          <w:u w:val="single"/>
        </w:rPr>
      </w:pPr>
      <w:r>
        <w:rPr>
          <w:rFonts w:hint="eastAsia" w:ascii="宋体" w:hAnsi="宋体"/>
          <w:color w:val="auto"/>
          <w:szCs w:val="21"/>
          <w:u w:val="single"/>
        </w:rPr>
        <w:t>上述违约金由发包人直接从工程结算款中扣减。因非承包人原因导致本工程未能达到要求的工程质量标准的除外。</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35.2.4关于第三方质量安全评估的违约责任：</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承包人应严格遵守中心制定</w:t>
      </w:r>
      <w:r>
        <w:rPr>
          <w:rFonts w:hint="eastAsia" w:ascii="宋体" w:hAnsi="宋体"/>
          <w:color w:val="auto"/>
          <w:szCs w:val="21"/>
          <w:u w:val="single"/>
          <w:lang w:bidi="ar"/>
        </w:rPr>
        <w:t>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5</w:t>
      </w:r>
      <w:r>
        <w:rPr>
          <w:rFonts w:ascii="宋体" w:hAnsi="宋体"/>
          <w:color w:val="auto"/>
          <w:szCs w:val="21"/>
        </w:rPr>
        <w:t>关于农民工工资支付的违约责任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承包人拖欠农民工工资（含代发的分包单位工人工资），被农民工投诉属实的，承包人必须在</w:t>
      </w:r>
      <w:r>
        <w:rPr>
          <w:rFonts w:ascii="宋体" w:hAnsi="宋体"/>
          <w:color w:val="auto"/>
          <w:szCs w:val="21"/>
          <w:u w:val="single"/>
        </w:rPr>
        <w:t>3天内发放拖欠的款项。若继续拖延被投诉2次及以上，经查实，承包人除应立即支付拖欠款项外，还应支付10000</w:t>
      </w:r>
      <w:r>
        <w:rPr>
          <w:rFonts w:hint="eastAsia" w:ascii="宋体" w:hAnsi="宋体"/>
          <w:color w:val="auto"/>
          <w:szCs w:val="21"/>
          <w:u w:val="single"/>
        </w:rPr>
        <w:t>违约金给发包人。因承包人拖欠农民工工资，导致农民工采取停工、集聚围阻发包人办公地点甚至政府办公部门等过激行动的，承包人应支付</w:t>
      </w:r>
      <w:r>
        <w:rPr>
          <w:rFonts w:ascii="宋体" w:hAnsi="宋体"/>
          <w:color w:val="auto"/>
          <w:szCs w:val="21"/>
          <w:u w:val="single"/>
        </w:rPr>
        <w:t>50000</w:t>
      </w:r>
      <w:r>
        <w:rPr>
          <w:rFonts w:hint="eastAsia" w:ascii="宋体" w:hAnsi="宋体"/>
          <w:color w:val="auto"/>
          <w:szCs w:val="21"/>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6项目管理机构人员、机械设备、劳动力到位方面的违约责任：</w:t>
      </w:r>
    </w:p>
    <w:p>
      <w:pPr>
        <w:numPr>
          <w:ilvl w:val="0"/>
          <w:numId w:val="8"/>
        </w:numPr>
        <w:snapToGrid w:val="0"/>
        <w:spacing w:line="440" w:lineRule="exact"/>
        <w:rPr>
          <w:rFonts w:ascii="宋体" w:hAnsi="宋体"/>
          <w:color w:val="auto"/>
          <w:szCs w:val="21"/>
          <w:u w:val="single"/>
        </w:rPr>
      </w:pPr>
      <w:r>
        <w:rPr>
          <w:rFonts w:hint="eastAsia" w:ascii="宋体" w:hAnsi="宋体"/>
          <w:color w:val="auto"/>
          <w:szCs w:val="21"/>
          <w:u w:val="singl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Pr>
          <w:rFonts w:hint="eastAsia" w:ascii="宋体" w:hAnsi="宋体"/>
          <w:color w:val="auto"/>
          <w:szCs w:val="21"/>
        </w:rPr>
        <w:t>。但征得</w:t>
      </w:r>
      <w:r>
        <w:rPr>
          <w:rFonts w:hint="eastAsia" w:ascii="宋体" w:hAnsi="宋体"/>
          <w:color w:val="auto"/>
          <w:szCs w:val="21"/>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pPr>
        <w:snapToGrid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2</w:t>
      </w:r>
      <w:r>
        <w:rPr>
          <w:rFonts w:hint="eastAsia" w:ascii="宋体" w:hAnsi="宋体"/>
          <w:color w:val="auto"/>
          <w:szCs w:val="21"/>
        </w:rPr>
        <w:t>）</w:t>
      </w:r>
      <w:r>
        <w:rPr>
          <w:rFonts w:hint="eastAsia" w:ascii="宋体" w:hAnsi="宋体"/>
          <w:color w:val="auto"/>
          <w:szCs w:val="21"/>
          <w:u w:val="single"/>
        </w:rPr>
        <w:t>如果承包人未按投标文件中的机械设备投入计划投入机械设备，经监理工程师或发包人代表检查发现的，将书面告知限期整改，未在限期内完成整改的，每延期一天，承包人需支付10000</w:t>
      </w:r>
      <w:r>
        <w:rPr>
          <w:rFonts w:ascii="宋体" w:hAnsi="宋体"/>
          <w:color w:val="auto"/>
          <w:szCs w:val="21"/>
          <w:u w:val="single"/>
        </w:rPr>
        <w:t>元违约金给发包人</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szCs w:val="21"/>
          <w:u w:val="single"/>
        </w:rPr>
        <w:t>如果承包人未投标文件中的人力投入计划投入人力，经监理工程师和发包人代表检查发现的，每发现一次，承包人支付10000</w:t>
      </w:r>
      <w:r>
        <w:rPr>
          <w:rFonts w:ascii="宋体" w:hAnsi="宋体"/>
          <w:color w:val="auto"/>
          <w:szCs w:val="21"/>
          <w:u w:val="single"/>
        </w:rPr>
        <w:t>元违约金给发包人</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hint="eastAsia" w:ascii="宋体" w:hAnsi="宋体"/>
          <w:color w:val="auto"/>
          <w:szCs w:val="21"/>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Pr>
          <w:rFonts w:ascii="宋体" w:hAnsi="宋体"/>
          <w:color w:val="auto"/>
          <w:szCs w:val="21"/>
          <w:u w:val="single"/>
        </w:rPr>
        <w:t>10天，没有按发包人的意见撤换现场负责人；或者按发包人的意见撤换现场负责人后，仍然无法有效控制工程进度，</w:t>
      </w:r>
      <w:r>
        <w:rPr>
          <w:rFonts w:hint="eastAsia" w:ascii="宋体" w:hAnsi="宋体"/>
          <w:color w:val="auto"/>
          <w:szCs w:val="21"/>
          <w:u w:val="single"/>
        </w:rPr>
        <w:t>承包人除需按本条第（1）项支付违约金外，</w:t>
      </w:r>
      <w:r>
        <w:rPr>
          <w:rFonts w:ascii="宋体" w:hAnsi="宋体"/>
          <w:color w:val="auto"/>
          <w:szCs w:val="21"/>
          <w:u w:val="single"/>
        </w:rPr>
        <w:t>发包人将发出书面警告，警告发出后15</w:t>
      </w:r>
      <w:r>
        <w:rPr>
          <w:rFonts w:hint="eastAsia" w:ascii="宋体" w:hAnsi="宋体"/>
          <w:color w:val="auto"/>
          <w:szCs w:val="21"/>
          <w:u w:val="single"/>
        </w:rPr>
        <w:t>天内，主要工序的工期延误仍然超过</w:t>
      </w:r>
      <w:r>
        <w:rPr>
          <w:rFonts w:ascii="宋体" w:hAnsi="宋体"/>
          <w:color w:val="auto"/>
          <w:szCs w:val="21"/>
          <w:u w:val="single"/>
        </w:rPr>
        <w:t>10天，发包人将作为不良纪录报区建</w:t>
      </w:r>
      <w:r>
        <w:rPr>
          <w:rFonts w:hint="eastAsia" w:ascii="宋体" w:hAnsi="宋体"/>
          <w:color w:val="auto"/>
          <w:szCs w:val="21"/>
          <w:u w:val="single"/>
        </w:rPr>
        <w:t>设行政主管部门备案。对此，承包人不得有异议</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hint="eastAsia" w:ascii="宋体" w:hAnsi="宋体"/>
          <w:color w:val="auto"/>
          <w:szCs w:val="21"/>
          <w:u w:val="single"/>
        </w:rPr>
        <w:t>承包人的项目负责人、技术负责人、安全负责人、质量负责人、防火负责人等必须常驻施工现场，且须无条件参加每周的工地例会以及发包人书面通知的其它会议，如有缺席，则每人每缺席一次，承包人需支付5000</w:t>
      </w:r>
      <w:r>
        <w:rPr>
          <w:rFonts w:ascii="宋体" w:hAnsi="宋体"/>
          <w:color w:val="auto"/>
          <w:szCs w:val="21"/>
          <w:u w:val="single"/>
        </w:rPr>
        <w:t>元人民币违约金</w:t>
      </w:r>
      <w:r>
        <w:rPr>
          <w:rFonts w:hint="eastAsia" w:ascii="宋体" w:hAnsi="宋体"/>
          <w:color w:val="auto"/>
          <w:szCs w:val="21"/>
        </w:rPr>
        <w:t>。</w:t>
      </w:r>
    </w:p>
    <w:p>
      <w:pPr>
        <w:pStyle w:val="2"/>
        <w:rPr>
          <w:color w:val="auto"/>
        </w:rPr>
      </w:pPr>
    </w:p>
    <w:p>
      <w:pPr>
        <w:snapToGrid w:val="0"/>
        <w:spacing w:line="440" w:lineRule="exact"/>
        <w:rPr>
          <w:rFonts w:ascii="宋体" w:hAnsi="宋体"/>
          <w:color w:val="auto"/>
          <w:szCs w:val="21"/>
        </w:rPr>
      </w:pPr>
      <w:r>
        <w:rPr>
          <w:rFonts w:hint="eastAsia" w:ascii="宋体" w:hAnsi="宋体"/>
          <w:color w:val="auto"/>
          <w:szCs w:val="21"/>
        </w:rPr>
        <w:t xml:space="preserve">    </w:t>
      </w:r>
      <w:r>
        <w:rPr>
          <w:rFonts w:ascii="宋体" w:hAnsi="宋体"/>
          <w:color w:val="auto"/>
          <w:szCs w:val="21"/>
        </w:rPr>
        <w:t>35.2.</w:t>
      </w:r>
      <w:r>
        <w:rPr>
          <w:rFonts w:hint="eastAsia" w:ascii="宋体" w:hAnsi="宋体"/>
          <w:color w:val="auto"/>
          <w:szCs w:val="21"/>
        </w:rPr>
        <w:t>7</w:t>
      </w:r>
      <w:r>
        <w:rPr>
          <w:rFonts w:ascii="宋体" w:hAnsi="宋体"/>
          <w:color w:val="auto"/>
          <w:szCs w:val="21"/>
        </w:rPr>
        <w:t>工程转包违约责任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pPr>
        <w:snapToGrid w:val="0"/>
        <w:spacing w:line="440" w:lineRule="exact"/>
        <w:ind w:firstLine="397"/>
        <w:rPr>
          <w:rFonts w:ascii="宋体" w:hAnsi="宋体"/>
          <w:color w:val="auto"/>
          <w:szCs w:val="21"/>
        </w:rPr>
      </w:pPr>
      <w:r>
        <w:rPr>
          <w:rFonts w:ascii="宋体" w:hAnsi="宋体"/>
          <w:color w:val="auto"/>
          <w:szCs w:val="21"/>
        </w:rPr>
        <w:t>35.2.</w:t>
      </w:r>
      <w:r>
        <w:rPr>
          <w:rFonts w:hint="eastAsia" w:ascii="宋体" w:hAnsi="宋体"/>
          <w:color w:val="auto"/>
          <w:szCs w:val="21"/>
        </w:rPr>
        <w:t>8</w:t>
      </w:r>
      <w:r>
        <w:rPr>
          <w:rFonts w:ascii="宋体" w:hAnsi="宋体"/>
          <w:color w:val="auto"/>
          <w:szCs w:val="21"/>
        </w:rPr>
        <w:t>解除合同的违约责任</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35.2.8.2不适用通用条款44.6条的约定。</w:t>
      </w:r>
    </w:p>
    <w:p>
      <w:pPr>
        <w:tabs>
          <w:tab w:val="left" w:pos="8280"/>
        </w:tabs>
        <w:snapToGrid w:val="0"/>
        <w:spacing w:line="440" w:lineRule="exact"/>
        <w:ind w:firstLine="397"/>
        <w:rPr>
          <w:rFonts w:ascii="宋体" w:hAnsi="宋体"/>
          <w:color w:val="auto"/>
          <w:szCs w:val="21"/>
        </w:rPr>
      </w:pPr>
      <w:r>
        <w:rPr>
          <w:rFonts w:hint="eastAsia" w:ascii="宋体" w:hAnsi="宋体"/>
          <w:color w:val="auto"/>
          <w:szCs w:val="21"/>
        </w:rPr>
        <w:t>35.2.9办理结算的违约责任：</w:t>
      </w:r>
    </w:p>
    <w:p>
      <w:pPr>
        <w:tabs>
          <w:tab w:val="left" w:pos="8280"/>
        </w:tabs>
        <w:snapToGrid w:val="0"/>
        <w:spacing w:line="440" w:lineRule="exact"/>
        <w:ind w:firstLine="397"/>
        <w:rPr>
          <w:rFonts w:ascii="宋体" w:hAnsi="宋体"/>
          <w:color w:val="auto"/>
          <w:szCs w:val="21"/>
          <w:u w:val="single"/>
        </w:rPr>
      </w:pPr>
      <w:r>
        <w:rPr>
          <w:rFonts w:hint="eastAsia" w:ascii="宋体" w:hAnsi="宋体"/>
          <w:color w:val="auto"/>
          <w:szCs w:val="21"/>
          <w:u w:val="single"/>
        </w:rPr>
        <w:t>承包人不执行《广州开发区财政投资建设项目管理中心施工类合同结算编审指引（试行）》有关规定的，须按该指引有关规定承担违约责任</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35.2.10</w:t>
      </w:r>
      <w:r>
        <w:rPr>
          <w:rFonts w:hint="eastAsia" w:ascii="宋体" w:hAnsi="宋体"/>
          <w:color w:val="auto"/>
          <w:szCs w:val="21"/>
          <w:u w:val="single"/>
        </w:rPr>
        <w:t>除上述违约责任外，因承包人履行本合同不符合约定或相关规定，发包人可根据实际情况，给予承包人通报批评及作不良记录等处罚措施；情节严重的，可报请上级行政主管部门给予相应处罚</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35.2.11承包人违约责任的认定方式、送达程序及违约金的处理</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（1）认定方式：以发包人发出的通知、通报、会议纪要等书面文件确定的内容为准。</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（2）送达程序：发包人以下列方式之一将书面违约处理决定送达承包人：</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1）承包人现场管理机构工作人员签收。</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2）承包人其他工作人员签收。</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3）发包人邮寄送达。</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pPr>
        <w:snapToGrid w:val="0"/>
        <w:spacing w:line="440" w:lineRule="exact"/>
        <w:ind w:firstLine="397"/>
        <w:rPr>
          <w:rFonts w:ascii="宋体" w:hAnsi="宋体"/>
          <w:b/>
          <w:color w:val="auto"/>
          <w:sz w:val="24"/>
        </w:rPr>
      </w:pPr>
      <w:r>
        <w:rPr>
          <w:rFonts w:ascii="宋体" w:hAnsi="宋体"/>
          <w:b/>
          <w:color w:val="auto"/>
          <w:sz w:val="24"/>
        </w:rPr>
        <w:t>37</w:t>
      </w:r>
      <w:r>
        <w:rPr>
          <w:rFonts w:hint="eastAsia" w:ascii="宋体" w:hAnsi="宋体"/>
          <w:b/>
          <w:color w:val="auto"/>
          <w:sz w:val="24"/>
        </w:rPr>
        <w:t>、争议</w:t>
      </w:r>
    </w:p>
    <w:p>
      <w:pPr>
        <w:snapToGrid w:val="0"/>
        <w:spacing w:line="440" w:lineRule="exact"/>
        <w:ind w:firstLine="397"/>
        <w:rPr>
          <w:rFonts w:ascii="宋体" w:hAnsi="宋体"/>
          <w:color w:val="auto"/>
          <w:szCs w:val="21"/>
        </w:rPr>
      </w:pPr>
      <w:r>
        <w:rPr>
          <w:rFonts w:ascii="宋体" w:hAnsi="宋体"/>
          <w:color w:val="auto"/>
          <w:szCs w:val="21"/>
        </w:rPr>
        <w:t>37.1</w:t>
      </w:r>
      <w:r>
        <w:rPr>
          <w:rFonts w:hint="eastAsia" w:ascii="宋体" w:hAnsi="宋体"/>
          <w:color w:val="auto"/>
          <w:szCs w:val="21"/>
        </w:rPr>
        <w:t>双方约定，在履行合同过程中产生争议时：</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）由双方协商解决；</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）协商不成的，向</w:t>
      </w:r>
      <w:r>
        <w:rPr>
          <w:rFonts w:hint="eastAsia" w:ascii="宋体" w:hAnsi="宋体"/>
          <w:color w:val="auto"/>
          <w:szCs w:val="21"/>
          <w:u w:val="single"/>
        </w:rPr>
        <w:t>工程所在地</w:t>
      </w:r>
      <w:r>
        <w:rPr>
          <w:rFonts w:hint="eastAsia" w:ascii="宋体" w:hAnsi="宋体"/>
          <w:color w:val="auto"/>
          <w:szCs w:val="21"/>
        </w:rPr>
        <w:t>人民法院提起诉讼。</w:t>
      </w:r>
    </w:p>
    <w:p>
      <w:pPr>
        <w:snapToGrid w:val="0"/>
        <w:spacing w:line="440" w:lineRule="exact"/>
        <w:ind w:firstLine="397"/>
        <w:rPr>
          <w:rFonts w:ascii="宋体" w:hAnsi="宋体"/>
          <w:b/>
          <w:color w:val="auto"/>
          <w:sz w:val="24"/>
        </w:rPr>
      </w:pPr>
      <w:r>
        <w:rPr>
          <w:rFonts w:hint="eastAsia" w:ascii="宋体" w:hAnsi="宋体"/>
          <w:b/>
          <w:color w:val="auto"/>
          <w:sz w:val="24"/>
        </w:rPr>
        <w:t>十一、其他</w:t>
      </w:r>
    </w:p>
    <w:p>
      <w:pPr>
        <w:snapToGrid w:val="0"/>
        <w:spacing w:line="440" w:lineRule="exact"/>
        <w:ind w:firstLine="397"/>
        <w:rPr>
          <w:rFonts w:ascii="宋体" w:hAnsi="宋体"/>
          <w:b/>
          <w:color w:val="auto"/>
          <w:sz w:val="24"/>
        </w:rPr>
      </w:pPr>
      <w:r>
        <w:rPr>
          <w:rFonts w:ascii="宋体" w:hAnsi="宋体"/>
          <w:b/>
          <w:color w:val="auto"/>
          <w:sz w:val="24"/>
        </w:rPr>
        <w:t>38</w:t>
      </w:r>
      <w:r>
        <w:rPr>
          <w:rFonts w:hint="eastAsia" w:ascii="宋体" w:hAnsi="宋体"/>
          <w:b/>
          <w:color w:val="auto"/>
          <w:sz w:val="24"/>
        </w:rPr>
        <w:t>、工程分包</w:t>
      </w:r>
    </w:p>
    <w:p>
      <w:pPr>
        <w:snapToGrid w:val="0"/>
        <w:spacing w:line="440" w:lineRule="exact"/>
        <w:ind w:firstLine="397"/>
        <w:rPr>
          <w:rFonts w:ascii="宋体" w:hAnsi="宋体"/>
          <w:color w:val="auto"/>
          <w:szCs w:val="21"/>
        </w:rPr>
      </w:pPr>
      <w:r>
        <w:rPr>
          <w:rFonts w:hint="eastAsia" w:ascii="宋体" w:hAnsi="宋体"/>
          <w:color w:val="auto"/>
          <w:szCs w:val="21"/>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pPr>
        <w:snapToGrid w:val="0"/>
        <w:spacing w:line="440" w:lineRule="exact"/>
        <w:ind w:firstLine="397"/>
        <w:rPr>
          <w:rFonts w:ascii="宋体" w:hAnsi="宋体"/>
          <w:color w:val="auto"/>
          <w:sz w:val="28"/>
          <w:szCs w:val="28"/>
        </w:rPr>
      </w:pPr>
      <w:r>
        <w:rPr>
          <w:rFonts w:hint="eastAsia" w:ascii="宋体" w:hAnsi="宋体"/>
          <w:color w:val="auto"/>
          <w:szCs w:val="21"/>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pPr>
        <w:snapToGrid w:val="0"/>
        <w:spacing w:line="440" w:lineRule="exact"/>
        <w:ind w:firstLine="397"/>
        <w:rPr>
          <w:rFonts w:ascii="宋体" w:hAnsi="宋体"/>
          <w:b/>
          <w:color w:val="auto"/>
          <w:sz w:val="24"/>
        </w:rPr>
      </w:pPr>
      <w:r>
        <w:rPr>
          <w:rFonts w:ascii="宋体" w:hAnsi="宋体"/>
          <w:b/>
          <w:color w:val="auto"/>
          <w:sz w:val="24"/>
        </w:rPr>
        <w:t>39</w:t>
      </w:r>
      <w:r>
        <w:rPr>
          <w:rFonts w:hint="eastAsia" w:ascii="宋体" w:hAnsi="宋体"/>
          <w:b/>
          <w:color w:val="auto"/>
          <w:sz w:val="24"/>
        </w:rPr>
        <w:t>、不可抗力</w:t>
      </w:r>
    </w:p>
    <w:p>
      <w:pPr>
        <w:snapToGrid w:val="0"/>
        <w:spacing w:line="440" w:lineRule="exact"/>
        <w:ind w:firstLine="397"/>
        <w:rPr>
          <w:rFonts w:ascii="宋体" w:hAnsi="宋体"/>
          <w:color w:val="auto"/>
          <w:szCs w:val="21"/>
        </w:rPr>
      </w:pPr>
      <w:r>
        <w:rPr>
          <w:rFonts w:ascii="宋体" w:hAnsi="宋体"/>
          <w:color w:val="auto"/>
          <w:szCs w:val="21"/>
        </w:rPr>
        <w:t>39.1</w:t>
      </w:r>
      <w:r>
        <w:rPr>
          <w:rFonts w:hint="eastAsia" w:ascii="宋体" w:hAnsi="宋体"/>
          <w:color w:val="auto"/>
          <w:szCs w:val="21"/>
        </w:rPr>
        <w:t>双方关于不可抗力的约定：按本合同通用条款执行，自然灾害的范围及其认定方式，按下述约定执行：</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u w:val="single"/>
        </w:rPr>
        <w:t>异常天气：仅指</w:t>
      </w:r>
      <w:r>
        <w:rPr>
          <w:rFonts w:ascii="宋体" w:hAnsi="宋体"/>
          <w:color w:val="auto"/>
          <w:szCs w:val="21"/>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hAnsi="宋体"/>
          <w:color w:val="auto"/>
          <w:szCs w:val="21"/>
        </w:rPr>
        <w:t>。</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u w:val="single"/>
        </w:rPr>
        <w:t>里氏</w:t>
      </w:r>
      <w:r>
        <w:rPr>
          <w:rFonts w:ascii="宋体" w:hAnsi="宋体"/>
          <w:color w:val="auto"/>
          <w:szCs w:val="21"/>
          <w:u w:val="single"/>
        </w:rPr>
        <w:t>5级（含本数）以上地震</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ascii="宋体" w:hAnsi="宋体"/>
          <w:color w:val="auto"/>
          <w:szCs w:val="21"/>
        </w:rPr>
        <w:t>39.3双方关于不可抗力事件导致的</w:t>
      </w:r>
      <w:r>
        <w:rPr>
          <w:rFonts w:hint="eastAsia" w:ascii="宋体" w:hAnsi="宋体"/>
          <w:color w:val="auto"/>
          <w:szCs w:val="21"/>
        </w:rPr>
        <w:t>费用承担</w:t>
      </w:r>
      <w:r>
        <w:rPr>
          <w:rFonts w:hint="eastAsia" w:ascii="宋体" w:hAnsi="宋体"/>
          <w:color w:val="auto"/>
          <w:szCs w:val="21"/>
          <w:u w:val="single"/>
        </w:rPr>
        <w:t>按本专用条款</w:t>
      </w:r>
      <w:r>
        <w:rPr>
          <w:rFonts w:ascii="宋体" w:hAnsi="宋体"/>
          <w:color w:val="auto"/>
          <w:szCs w:val="21"/>
          <w:u w:val="single"/>
        </w:rPr>
        <w:t>12.3款约定</w:t>
      </w:r>
      <w:r>
        <w:rPr>
          <w:rFonts w:ascii="宋体" w:hAnsi="宋体"/>
          <w:color w:val="auto"/>
          <w:szCs w:val="21"/>
        </w:rPr>
        <w:t>执行</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40</w:t>
      </w:r>
      <w:r>
        <w:rPr>
          <w:rFonts w:hint="eastAsia" w:ascii="宋体" w:hAnsi="宋体"/>
          <w:b/>
          <w:color w:val="auto"/>
          <w:sz w:val="24"/>
        </w:rPr>
        <w:t>、保险</w:t>
      </w:r>
    </w:p>
    <w:p>
      <w:pPr>
        <w:snapToGrid w:val="0"/>
        <w:spacing w:line="440" w:lineRule="exact"/>
        <w:ind w:firstLine="397"/>
        <w:rPr>
          <w:rFonts w:ascii="宋体" w:hAnsi="宋体"/>
          <w:color w:val="auto"/>
          <w:szCs w:val="21"/>
        </w:rPr>
      </w:pPr>
      <w:r>
        <w:rPr>
          <w:rFonts w:ascii="宋体" w:hAnsi="宋体"/>
          <w:color w:val="auto"/>
          <w:szCs w:val="21"/>
        </w:rPr>
        <w:t>40.2承包人对其运至施工场地内用于工程的材料和待安装设备办理保险并支付保险费</w:t>
      </w:r>
      <w:r>
        <w:rPr>
          <w:rFonts w:hint="eastAsia" w:ascii="宋体" w:hAnsi="宋体"/>
          <w:color w:val="auto"/>
          <w:szCs w:val="21"/>
        </w:rPr>
        <w:t>用。</w:t>
      </w:r>
    </w:p>
    <w:p>
      <w:pPr>
        <w:snapToGrid w:val="0"/>
        <w:spacing w:line="440" w:lineRule="exact"/>
        <w:ind w:firstLine="397"/>
        <w:rPr>
          <w:rFonts w:ascii="宋体" w:hAnsi="宋体"/>
          <w:color w:val="auto"/>
          <w:szCs w:val="21"/>
        </w:rPr>
      </w:pPr>
      <w:r>
        <w:rPr>
          <w:rFonts w:ascii="宋体" w:hAnsi="宋体"/>
          <w:color w:val="auto"/>
          <w:szCs w:val="21"/>
        </w:rPr>
        <w:t>40.6</w:t>
      </w:r>
      <w:r>
        <w:rPr>
          <w:rFonts w:hint="eastAsia" w:ascii="宋体" w:hAnsi="宋体"/>
          <w:color w:val="auto"/>
          <w:szCs w:val="21"/>
        </w:rPr>
        <w:t>本工程双方约定投保内容如下：</w:t>
      </w:r>
    </w:p>
    <w:p>
      <w:pPr>
        <w:snapToGrid w:val="0"/>
        <w:spacing w:line="440" w:lineRule="exact"/>
        <w:ind w:left="397"/>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发包人投保内容：</w:t>
      </w:r>
      <w:r>
        <w:rPr>
          <w:rFonts w:hint="eastAsia" w:ascii="宋体" w:hAnsi="宋体"/>
          <w:color w:val="auto"/>
          <w:szCs w:val="21"/>
          <w:u w:val="single"/>
        </w:rPr>
        <w:t>按广州市建设项目劳动保险相关规定投保</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发包人委托承包人办理的保险事项：</w:t>
      </w:r>
      <w:r>
        <w:rPr>
          <w:rFonts w:ascii="宋体" w:hAnsi="宋体"/>
          <w:color w:val="auto"/>
          <w:szCs w:val="21"/>
          <w:u w:val="single"/>
        </w:rPr>
        <w:t xml:space="preserve">       /           </w:t>
      </w:r>
      <w:r>
        <w:rPr>
          <w:rFonts w:hint="eastAsia" w:ascii="宋体" w:hAnsi="宋体"/>
          <w:color w:val="auto"/>
          <w:szCs w:val="21"/>
        </w:rPr>
        <w:t>。</w:t>
      </w:r>
    </w:p>
    <w:p>
      <w:pPr>
        <w:snapToGrid w:val="0"/>
        <w:spacing w:line="440" w:lineRule="exact"/>
        <w:ind w:left="397"/>
        <w:rPr>
          <w:rFonts w:ascii="宋体" w:hAnsi="宋体"/>
          <w:color w:val="auto"/>
          <w:szCs w:val="21"/>
          <w:u w:val="single"/>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承包人投保内容：</w:t>
      </w:r>
      <w:r>
        <w:rPr>
          <w:rFonts w:hint="eastAsia" w:ascii="宋体" w:hAnsi="宋体"/>
          <w:color w:val="auto"/>
          <w:szCs w:val="21"/>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41</w:t>
      </w:r>
      <w:r>
        <w:rPr>
          <w:rFonts w:hint="eastAsia" w:ascii="宋体" w:hAnsi="宋体"/>
          <w:b/>
          <w:color w:val="auto"/>
          <w:sz w:val="24"/>
        </w:rPr>
        <w:t>、担保</w:t>
      </w:r>
    </w:p>
    <w:p>
      <w:pPr>
        <w:snapToGrid w:val="0"/>
        <w:spacing w:line="440" w:lineRule="exact"/>
        <w:ind w:firstLine="397"/>
        <w:rPr>
          <w:rFonts w:ascii="宋体" w:hAnsi="宋体"/>
          <w:color w:val="auto"/>
          <w:szCs w:val="21"/>
        </w:rPr>
      </w:pPr>
      <w:r>
        <w:rPr>
          <w:rFonts w:ascii="宋体" w:hAnsi="宋体"/>
          <w:color w:val="auto"/>
          <w:szCs w:val="21"/>
        </w:rPr>
        <w:t>41.1</w:t>
      </w:r>
      <w:r>
        <w:rPr>
          <w:rFonts w:hint="eastAsia" w:ascii="宋体" w:hAnsi="宋体"/>
          <w:color w:val="auto"/>
          <w:szCs w:val="21"/>
        </w:rPr>
        <w:t>本工程双方约定担保事项如下：</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发包人向承包人提供履约担保，担保方式为：</w:t>
      </w:r>
      <w:r>
        <w:rPr>
          <w:rFonts w:ascii="宋体" w:hAnsi="宋体"/>
          <w:color w:val="auto"/>
          <w:szCs w:val="21"/>
          <w:u w:val="single"/>
        </w:rPr>
        <w:t xml:space="preserve">   /   </w:t>
      </w:r>
      <w:r>
        <w:rPr>
          <w:rFonts w:hint="eastAsia" w:ascii="宋体" w:hAnsi="宋体"/>
          <w:color w:val="auto"/>
          <w:szCs w:val="21"/>
        </w:rPr>
        <w:t>，担保合同作为本合同附件。</w:t>
      </w:r>
    </w:p>
    <w:p>
      <w:pPr>
        <w:snapToGrid w:val="0"/>
        <w:spacing w:line="440" w:lineRule="exact"/>
        <w:ind w:firstLine="397"/>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承包人按如下方式向发包人提供履约担保：</w:t>
      </w:r>
    </w:p>
    <w:p>
      <w:pPr>
        <w:snapToGrid w:val="0"/>
        <w:spacing w:line="440" w:lineRule="exact"/>
        <w:ind w:firstLine="420" w:firstLineChars="200"/>
        <w:rPr>
          <w:rFonts w:ascii="宋体" w:hAnsi="宋体"/>
          <w:color w:val="auto"/>
          <w:szCs w:val="21"/>
        </w:rPr>
      </w:pPr>
      <w:r>
        <w:rPr>
          <w:rFonts w:hint="eastAsia" w:ascii="宋体" w:hAnsi="宋体"/>
          <w:color w:val="auto"/>
          <w:szCs w:val="21"/>
        </w:rPr>
        <w:t>① 履约担保：</w:t>
      </w:r>
      <w:r>
        <w:rPr>
          <w:rFonts w:hint="eastAsia" w:ascii="宋体" w:hAnsi="宋体"/>
          <w:color w:val="auto"/>
          <w:szCs w:val="21"/>
          <w:u w:val="single"/>
        </w:rPr>
        <w:t>承包人向发包人提交担保金额为中标价</w:t>
      </w:r>
      <w:r>
        <w:rPr>
          <w:rFonts w:ascii="宋体" w:hAnsi="宋体"/>
          <w:color w:val="auto"/>
          <w:szCs w:val="21"/>
          <w:u w:val="single"/>
        </w:rPr>
        <w:t>10%</w:t>
      </w:r>
      <w:r>
        <w:rPr>
          <w:rFonts w:hint="eastAsia" w:ascii="宋体" w:hAnsi="宋体"/>
          <w:color w:val="auto"/>
          <w:szCs w:val="21"/>
          <w:u w:val="single"/>
        </w:rPr>
        <w:t>的履约担保，以银行保函形式提交。履约担保为银行保函的，须广州市内分行以上的银行开具的无条件、不可撤销的保函，保函有效期至工程竣工验收合格之日。履约银行保函到期但工程尚未竣工的，承包人应自觉办理保函延期手续，确保担保期限不出现空缺，否则，发包人不予支付工程款</w:t>
      </w:r>
      <w:r>
        <w:rPr>
          <w:rFonts w:hint="eastAsia" w:ascii="宋体" w:hAnsi="宋体"/>
          <w:color w:val="auto"/>
          <w:szCs w:val="21"/>
        </w:rPr>
        <w:t>。</w:t>
      </w:r>
    </w:p>
    <w:p>
      <w:pPr>
        <w:snapToGrid w:val="0"/>
        <w:spacing w:line="440" w:lineRule="exact"/>
        <w:ind w:firstLine="296" w:firstLineChars="141"/>
        <w:rPr>
          <w:rFonts w:ascii="宋体" w:hAnsi="宋体"/>
          <w:color w:val="auto"/>
          <w:szCs w:val="21"/>
        </w:rPr>
      </w:pPr>
      <w:r>
        <w:rPr>
          <w:rFonts w:hint="eastAsia" w:ascii="宋体" w:hAnsi="宋体"/>
          <w:color w:val="auto"/>
          <w:szCs w:val="21"/>
        </w:rPr>
        <w:t>首次办理履约保函，如合同工期低于1年的，担保期限可按合同工期，如合同工期高于1年的，担保期限不低于1年。</w:t>
      </w:r>
    </w:p>
    <w:p>
      <w:pPr>
        <w:snapToGrid w:val="0"/>
        <w:spacing w:line="440" w:lineRule="exact"/>
        <w:ind w:firstLine="296" w:firstLineChars="141"/>
        <w:rPr>
          <w:rFonts w:ascii="宋体" w:hAnsi="宋体"/>
          <w:color w:val="auto"/>
          <w:szCs w:val="21"/>
        </w:rPr>
      </w:pPr>
      <w:r>
        <w:rPr>
          <w:rFonts w:hint="eastAsia" w:ascii="宋体" w:hAnsi="宋体"/>
          <w:color w:val="auto"/>
          <w:szCs w:val="21"/>
        </w:rPr>
        <w:t>履约保函</w:t>
      </w:r>
      <w:r>
        <w:rPr>
          <w:rFonts w:hint="eastAsia" w:ascii="宋体" w:hAnsi="宋体"/>
          <w:color w:val="auto"/>
          <w:szCs w:val="21"/>
          <w:u w:val="single"/>
        </w:rPr>
        <w:t>办理延期手续</w:t>
      </w:r>
      <w:r>
        <w:rPr>
          <w:rFonts w:hint="eastAsia" w:ascii="宋体" w:hAnsi="宋体"/>
          <w:color w:val="auto"/>
          <w:szCs w:val="21"/>
        </w:rPr>
        <w:t>时，若项目的完成工程量不足一半，担保金额按中标价的10%；若项目的完成工程量超过一半，担保金额可按中标价的5%；其他特殊情况需调整的，需报发包人审议同意。</w:t>
      </w:r>
    </w:p>
    <w:p>
      <w:pPr>
        <w:snapToGrid w:val="0"/>
        <w:spacing w:line="440" w:lineRule="exact"/>
        <w:ind w:firstLine="420" w:firstLineChars="200"/>
        <w:rPr>
          <w:rFonts w:ascii="宋体" w:hAnsi="宋体"/>
          <w:color w:val="auto"/>
          <w:szCs w:val="21"/>
          <w:u w:val="single"/>
        </w:rPr>
      </w:pPr>
      <w:r>
        <w:rPr>
          <w:rFonts w:hint="eastAsia" w:ascii="宋体" w:hAnsi="宋体"/>
          <w:color w:val="auto"/>
          <w:szCs w:val="21"/>
        </w:rPr>
        <w:t>② 履约担保的返还方式：</w:t>
      </w:r>
      <w:r>
        <w:rPr>
          <w:rFonts w:ascii="宋体" w:hAnsi="宋体"/>
          <w:color w:val="auto"/>
          <w:szCs w:val="21"/>
          <w:u w:val="single"/>
        </w:rPr>
        <w:t>履约担保为银行保函的，在工程验收合格</w:t>
      </w:r>
      <w:r>
        <w:rPr>
          <w:rFonts w:hint="eastAsia" w:ascii="宋体" w:hAnsi="宋体"/>
          <w:color w:val="auto"/>
          <w:szCs w:val="21"/>
          <w:u w:val="single"/>
        </w:rPr>
        <w:t>后返还承包人</w:t>
      </w:r>
      <w:r>
        <w:rPr>
          <w:rFonts w:hint="eastAsia" w:ascii="宋体" w:hAnsi="宋体"/>
          <w:color w:val="auto"/>
          <w:szCs w:val="21"/>
        </w:rPr>
        <w:t>。</w:t>
      </w:r>
    </w:p>
    <w:p>
      <w:pPr>
        <w:snapToGrid w:val="0"/>
        <w:spacing w:line="440" w:lineRule="exact"/>
        <w:ind w:firstLine="397"/>
        <w:rPr>
          <w:rFonts w:ascii="宋体" w:hAnsi="宋体"/>
          <w:color w:val="auto"/>
          <w:szCs w:val="21"/>
          <w:u w:val="single"/>
        </w:rPr>
      </w:pPr>
      <w:r>
        <w:rPr>
          <w:rFonts w:hint="eastAsia" w:ascii="宋体" w:hAnsi="宋体"/>
          <w:color w:val="auto"/>
          <w:szCs w:val="21"/>
          <w:u w:val="single"/>
        </w:rPr>
        <w:t>银行保函的管理和格式按《广州开发区财政投资建设项目管理中心建设工程保函管理细则》执行。</w:t>
      </w:r>
    </w:p>
    <w:p>
      <w:pPr>
        <w:snapToGrid w:val="0"/>
        <w:spacing w:line="440" w:lineRule="exact"/>
        <w:ind w:firstLine="397"/>
        <w:rPr>
          <w:rFonts w:ascii="宋体" w:hAnsi="宋体"/>
          <w:color w:val="auto"/>
          <w:szCs w:val="21"/>
        </w:rPr>
      </w:pPr>
      <w:r>
        <w:rPr>
          <w:rFonts w:hint="eastAsia" w:ascii="宋体" w:hAnsi="宋体"/>
          <w:color w:val="auto"/>
          <w:szCs w:val="21"/>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pPr>
        <w:snapToGrid w:val="0"/>
        <w:spacing w:line="440" w:lineRule="exact"/>
        <w:ind w:firstLine="397"/>
        <w:rPr>
          <w:rFonts w:ascii="宋体" w:hAnsi="宋体"/>
          <w:b/>
          <w:color w:val="auto"/>
          <w:sz w:val="24"/>
        </w:rPr>
      </w:pPr>
      <w:r>
        <w:rPr>
          <w:rFonts w:ascii="宋体" w:hAnsi="宋体"/>
          <w:b/>
          <w:color w:val="auto"/>
          <w:sz w:val="24"/>
        </w:rPr>
        <w:t>46</w:t>
      </w:r>
      <w:r>
        <w:rPr>
          <w:rFonts w:hint="eastAsia" w:ascii="宋体" w:hAnsi="宋体"/>
          <w:b/>
          <w:color w:val="auto"/>
          <w:sz w:val="24"/>
        </w:rPr>
        <w:t>、合同份数</w:t>
      </w:r>
    </w:p>
    <w:p>
      <w:pPr>
        <w:snapToGrid w:val="0"/>
        <w:spacing w:line="440" w:lineRule="exact"/>
        <w:ind w:firstLine="397"/>
        <w:rPr>
          <w:rFonts w:ascii="宋体" w:hAnsi="宋体"/>
          <w:color w:val="auto"/>
          <w:szCs w:val="21"/>
          <w:u w:val="single"/>
        </w:rPr>
      </w:pPr>
      <w:r>
        <w:rPr>
          <w:rFonts w:ascii="宋体" w:hAnsi="宋体"/>
          <w:color w:val="auto"/>
          <w:szCs w:val="21"/>
        </w:rPr>
        <w:t>46.1</w:t>
      </w:r>
      <w:r>
        <w:rPr>
          <w:rFonts w:hint="eastAsia" w:ascii="宋体" w:hAnsi="宋体"/>
          <w:color w:val="auto"/>
          <w:szCs w:val="21"/>
        </w:rPr>
        <w:t>双方约定合同正副本份数：</w:t>
      </w:r>
      <w:r>
        <w:rPr>
          <w:rFonts w:hint="eastAsia" w:ascii="宋体" w:hAnsi="宋体"/>
          <w:color w:val="auto"/>
          <w:szCs w:val="21"/>
          <w:u w:val="single"/>
        </w:rPr>
        <w:t>共拾份，正本一式贰份，发包人承包人各执壹份；副本捌份，发包人肆份，承包人叁份，监理人壹份</w:t>
      </w:r>
      <w:r>
        <w:rPr>
          <w:rFonts w:hint="eastAsia" w:ascii="宋体" w:hAnsi="宋体"/>
          <w:color w:val="auto"/>
          <w:szCs w:val="21"/>
        </w:rPr>
        <w:t>。</w:t>
      </w:r>
    </w:p>
    <w:p>
      <w:pPr>
        <w:snapToGrid w:val="0"/>
        <w:spacing w:line="440" w:lineRule="exact"/>
        <w:ind w:firstLine="397"/>
        <w:rPr>
          <w:rFonts w:ascii="宋体" w:hAnsi="宋体"/>
          <w:b/>
          <w:color w:val="auto"/>
          <w:sz w:val="24"/>
        </w:rPr>
      </w:pPr>
      <w:r>
        <w:rPr>
          <w:rFonts w:ascii="宋体" w:hAnsi="宋体"/>
          <w:b/>
          <w:color w:val="auto"/>
          <w:sz w:val="24"/>
        </w:rPr>
        <w:t>47</w:t>
      </w:r>
      <w:r>
        <w:rPr>
          <w:rFonts w:hint="eastAsia" w:ascii="宋体" w:hAnsi="宋体"/>
          <w:b/>
          <w:color w:val="auto"/>
          <w:sz w:val="24"/>
        </w:rPr>
        <w:t>、补充条款</w:t>
      </w:r>
    </w:p>
    <w:p>
      <w:pPr>
        <w:spacing w:line="44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b/>
          <w:color w:val="auto"/>
          <w:szCs w:val="21"/>
        </w:rPr>
        <w:t>安全、文明、科学、规范的施工要求</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u w:val="single"/>
        </w:rPr>
        <w:t>承包人在开工前，必须按照广州市、开发区有关要求办理好相应的施工手续方可开工</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u w:val="single"/>
        </w:rPr>
        <w:t>施工范围的具体位置及可交付承包人施工安排的用地范围，由承包人根据现场勘察情况报发包人同意确定，建筑轴线控制基点由承包人联系规划局提供</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u w:val="singl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47.4</w:t>
      </w:r>
      <w:r>
        <w:rPr>
          <w:rFonts w:hint="eastAsia" w:ascii="宋体" w:hAnsi="宋体"/>
          <w:color w:val="auto"/>
          <w:szCs w:val="21"/>
          <w:u w:val="single"/>
        </w:rPr>
        <w:t>承包人在施工期间要确保工程外场地清洁及道路畅通，如须使用他方道路，则还必须负责养护、保洁责任，否则责任自负。施工和警示标志明显，因施工造成人身损害和财产损失的，由承包人承担责任</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47.5</w:t>
      </w:r>
      <w:r>
        <w:rPr>
          <w:rFonts w:hint="eastAsia" w:ascii="宋体" w:hAnsi="宋体"/>
          <w:color w:val="auto"/>
          <w:szCs w:val="21"/>
          <w:u w:val="single"/>
        </w:rPr>
        <w:t>承包人必须考虑安全、环保等因素在局部施工范围进行围蔽施工，现场围蔽不符合国家有关安全措施及技术要求的，不得开展施工作业，由此造成的工期延长，由承包人自己负责，当作延误工期处理</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47.6</w:t>
      </w:r>
      <w:r>
        <w:rPr>
          <w:rFonts w:hint="eastAsia" w:ascii="宋体" w:hAnsi="宋体"/>
          <w:color w:val="auto"/>
          <w:szCs w:val="21"/>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47.7</w:t>
      </w:r>
      <w:r>
        <w:rPr>
          <w:rFonts w:hint="eastAsia" w:ascii="宋体" w:hAnsi="宋体"/>
          <w:color w:val="auto"/>
          <w:szCs w:val="21"/>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47.8</w:t>
      </w:r>
      <w:r>
        <w:rPr>
          <w:rFonts w:hint="eastAsia" w:ascii="宋体" w:hAnsi="宋体"/>
          <w:color w:val="auto"/>
          <w:szCs w:val="21"/>
          <w:u w:val="single"/>
        </w:rPr>
        <w:t>若遇阻碍施工需拆迁的旧建（构）筑物、地下孤石等障碍物，由承包人负责清障，所需清障费用经监理、发包人现场签证调整</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47.9</w:t>
      </w:r>
      <w:r>
        <w:rPr>
          <w:rFonts w:hint="eastAsia" w:ascii="宋体" w:hAnsi="宋体"/>
          <w:color w:val="auto"/>
          <w:szCs w:val="21"/>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rPr>
        <w:t>47.10</w:t>
      </w:r>
      <w:r>
        <w:rPr>
          <w:rFonts w:hint="eastAsia" w:ascii="宋体" w:hAnsi="宋体"/>
          <w:color w:val="auto"/>
          <w:szCs w:val="21"/>
          <w:u w:val="single"/>
        </w:rPr>
        <w:t>双方根据国家有关规定，结合具体工程约定质量缺陷责任期如下</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1、</w:t>
      </w:r>
      <w:r>
        <w:rPr>
          <w:rFonts w:hint="eastAsia" w:ascii="宋体" w:hAnsi="宋体"/>
          <w:color w:val="auto"/>
          <w:szCs w:val="21"/>
          <w:u w:val="single"/>
        </w:rPr>
        <w:t>基础设施工程、房屋建筑的地基基础工程和主体结构工程为</w:t>
      </w:r>
      <w:r>
        <w:rPr>
          <w:rFonts w:ascii="宋体" w:hAnsi="宋体"/>
          <w:color w:val="auto"/>
          <w:szCs w:val="21"/>
          <w:u w:val="single"/>
        </w:rPr>
        <w:t>2年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2、</w:t>
      </w:r>
      <w:r>
        <w:rPr>
          <w:rFonts w:hint="eastAsia" w:ascii="宋体" w:hAnsi="宋体"/>
          <w:color w:val="auto"/>
          <w:szCs w:val="21"/>
          <w:u w:val="single"/>
        </w:rPr>
        <w:t>屋面防水工程为</w:t>
      </w:r>
      <w:r>
        <w:rPr>
          <w:rFonts w:ascii="宋体" w:hAnsi="宋体"/>
          <w:color w:val="auto"/>
          <w:szCs w:val="21"/>
          <w:u w:val="single"/>
        </w:rPr>
        <w:t xml:space="preserve"> 2 </w:t>
      </w:r>
      <w:r>
        <w:rPr>
          <w:rFonts w:hint="eastAsia" w:ascii="宋体" w:hAnsi="宋体"/>
          <w:color w:val="auto"/>
          <w:szCs w:val="21"/>
          <w:u w:val="single"/>
        </w:rPr>
        <w:t>年，室外装饰工程为</w:t>
      </w:r>
      <w:r>
        <w:rPr>
          <w:rFonts w:ascii="宋体" w:hAnsi="宋体"/>
          <w:color w:val="auto"/>
          <w:szCs w:val="21"/>
          <w:u w:val="single"/>
        </w:rPr>
        <w:t xml:space="preserve"> 2</w:t>
      </w:r>
      <w:r>
        <w:rPr>
          <w:rFonts w:hint="eastAsia" w:ascii="宋体" w:hAnsi="宋体"/>
          <w:color w:val="auto"/>
          <w:szCs w:val="21"/>
          <w:u w:val="single"/>
        </w:rPr>
        <w:t xml:space="preserve">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3、</w:t>
      </w:r>
      <w:r>
        <w:rPr>
          <w:rFonts w:hint="eastAsia" w:ascii="宋体" w:hAnsi="宋体"/>
          <w:color w:val="auto"/>
          <w:szCs w:val="21"/>
          <w:u w:val="single"/>
        </w:rPr>
        <w:t>电力管线、上下水管线安装工程为</w:t>
      </w:r>
      <w:r>
        <w:rPr>
          <w:rFonts w:ascii="宋体" w:hAnsi="宋体"/>
          <w:color w:val="auto"/>
          <w:szCs w:val="21"/>
          <w:u w:val="single"/>
        </w:rPr>
        <w:t xml:space="preserve"> 2 </w:t>
      </w:r>
      <w:r>
        <w:rPr>
          <w:rFonts w:hint="eastAsia" w:ascii="宋体" w:hAnsi="宋体"/>
          <w:color w:val="auto"/>
          <w:szCs w:val="21"/>
          <w:u w:val="single"/>
        </w:rPr>
        <w:t>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w:t>
      </w:r>
      <w:r>
        <w:rPr>
          <w:rFonts w:hint="eastAsia" w:ascii="宋体" w:hAnsi="宋体"/>
          <w:color w:val="auto"/>
          <w:szCs w:val="21"/>
          <w:u w:val="single"/>
        </w:rPr>
        <w:t>供热及供冷为</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w:t>
      </w:r>
      <w:r>
        <w:rPr>
          <w:rFonts w:hint="eastAsia" w:ascii="宋体" w:hAnsi="宋体"/>
          <w:color w:val="auto"/>
          <w:szCs w:val="21"/>
          <w:u w:val="single"/>
        </w:rPr>
        <w:t>个采暖期及供冷期</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5、</w:t>
      </w:r>
      <w:r>
        <w:rPr>
          <w:rFonts w:hint="eastAsia" w:ascii="宋体" w:hAnsi="宋体"/>
          <w:color w:val="auto"/>
          <w:szCs w:val="21"/>
          <w:u w:val="single"/>
        </w:rPr>
        <w:t>室外的上下水和小区道路等市政公用工程为</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6、</w:t>
      </w:r>
      <w:r>
        <w:rPr>
          <w:rFonts w:hint="eastAsia" w:ascii="宋体" w:hAnsi="宋体"/>
          <w:color w:val="auto"/>
          <w:szCs w:val="21"/>
          <w:u w:val="single"/>
        </w:rPr>
        <w:t>市政道路排水工程为</w:t>
      </w:r>
      <w:r>
        <w:rPr>
          <w:rFonts w:ascii="宋体" w:hAnsi="宋体"/>
          <w:color w:val="auto"/>
          <w:szCs w:val="21"/>
          <w:u w:val="single"/>
        </w:rPr>
        <w:t xml:space="preserve"> 2 年，市政供水工程为 2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7、</w:t>
      </w:r>
      <w:r>
        <w:rPr>
          <w:rFonts w:hint="eastAsia" w:ascii="宋体" w:hAnsi="宋体"/>
          <w:color w:val="auto"/>
          <w:szCs w:val="21"/>
          <w:u w:val="single"/>
        </w:rPr>
        <w:t>市政供电工程为</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年，市政道路照明工程 </w:t>
      </w:r>
      <w:r>
        <w:rPr>
          <w:rFonts w:hint="eastAsia" w:ascii="宋体" w:hAnsi="宋体"/>
          <w:color w:val="auto"/>
          <w:szCs w:val="21"/>
          <w:u w:val="single"/>
        </w:rPr>
        <w:t>2</w:t>
      </w:r>
      <w:r>
        <w:rPr>
          <w:rFonts w:ascii="宋体" w:hAnsi="宋体"/>
          <w:color w:val="auto"/>
          <w:szCs w:val="21"/>
          <w:u w:val="single"/>
        </w:rPr>
        <w:t xml:space="preserve"> 年，市政交通设施工程为 </w:t>
      </w:r>
      <w:r>
        <w:rPr>
          <w:rFonts w:hint="eastAsia" w:ascii="宋体" w:hAnsi="宋体"/>
          <w:color w:val="auto"/>
          <w:szCs w:val="21"/>
          <w:u w:val="single"/>
        </w:rPr>
        <w:t>2</w:t>
      </w:r>
      <w:r>
        <w:rPr>
          <w:rFonts w:ascii="宋体" w:hAnsi="宋体"/>
          <w:color w:val="auto"/>
          <w:szCs w:val="21"/>
          <w:u w:val="single"/>
        </w:rPr>
        <w:t xml:space="preserve"> 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8、</w:t>
      </w:r>
      <w:r>
        <w:rPr>
          <w:rFonts w:hint="eastAsia" w:ascii="宋体" w:hAnsi="宋体"/>
          <w:color w:val="auto"/>
          <w:szCs w:val="21"/>
          <w:u w:val="single"/>
        </w:rPr>
        <w:t>园林建筑工程为</w:t>
      </w:r>
      <w:r>
        <w:rPr>
          <w:rFonts w:ascii="宋体" w:hAnsi="宋体"/>
          <w:color w:val="auto"/>
          <w:szCs w:val="21"/>
          <w:u w:val="single"/>
        </w:rPr>
        <w:t>1年，喷淋工程为2年，胸径15cm</w:t>
      </w:r>
      <w:r>
        <w:rPr>
          <w:rFonts w:hint="eastAsia" w:ascii="宋体" w:hAnsi="宋体"/>
          <w:color w:val="auto"/>
          <w:szCs w:val="21"/>
          <w:u w:val="single"/>
        </w:rPr>
        <w:t>以内（含</w:t>
      </w:r>
      <w:r>
        <w:rPr>
          <w:rFonts w:ascii="宋体" w:hAnsi="宋体"/>
          <w:color w:val="auto"/>
          <w:szCs w:val="21"/>
          <w:u w:val="single"/>
        </w:rPr>
        <w:t>15cm</w:t>
      </w:r>
      <w:r>
        <w:rPr>
          <w:rFonts w:hint="eastAsia" w:ascii="宋体" w:hAnsi="宋体"/>
          <w:color w:val="auto"/>
          <w:szCs w:val="21"/>
          <w:u w:val="single"/>
        </w:rPr>
        <w:t>）的苗木养护期为</w:t>
      </w:r>
      <w:r>
        <w:rPr>
          <w:rFonts w:ascii="宋体" w:hAnsi="宋体"/>
          <w:color w:val="auto"/>
          <w:szCs w:val="21"/>
          <w:u w:val="single"/>
        </w:rPr>
        <w:t>3个月，胸径15cm</w:t>
      </w:r>
      <w:r>
        <w:rPr>
          <w:rFonts w:hint="eastAsia" w:ascii="宋体" w:hAnsi="宋体"/>
          <w:color w:val="auto"/>
          <w:szCs w:val="21"/>
          <w:u w:val="single"/>
        </w:rPr>
        <w:t>以上的苗木养护期为</w:t>
      </w:r>
      <w:r>
        <w:rPr>
          <w:rFonts w:ascii="宋体" w:hAnsi="宋体"/>
          <w:color w:val="auto"/>
          <w:szCs w:val="21"/>
          <w:u w:val="single"/>
        </w:rPr>
        <w:t>1年</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9、</w:t>
      </w:r>
      <w:r>
        <w:rPr>
          <w:rFonts w:hint="eastAsia" w:ascii="宋体" w:hAnsi="宋体"/>
          <w:color w:val="auto"/>
          <w:szCs w:val="21"/>
          <w:u w:val="single"/>
        </w:rPr>
        <w:t>除上述专业工程外其它工程的质量缺陷责任期按相关规定或经双方另行协商确定</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47.1</w:t>
      </w:r>
      <w:r>
        <w:rPr>
          <w:rFonts w:hint="eastAsia" w:ascii="宋体" w:hAnsi="宋体"/>
          <w:color w:val="auto"/>
          <w:szCs w:val="21"/>
        </w:rPr>
        <w:t>1</w:t>
      </w:r>
      <w:r>
        <w:rPr>
          <w:rFonts w:hint="eastAsia" w:ascii="宋体" w:hAnsi="宋体"/>
          <w:color w:val="auto"/>
          <w:szCs w:val="21"/>
          <w:u w:val="single"/>
        </w:rPr>
        <w:t>本工程的保修期按本合同《工程质量保修责任书》规定的保修期限实行。在保修期内因施工质量而造成返修，其费用由承包人负责。工程质量按市政工程现行验评标准组织验收认定</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47.12施工现场生活区应设置信息公示栏，每月10日前将上月作业工人考勤和工资结算和支付信息在信息公示栏进行公示，公示期不少于5天。</w:t>
      </w:r>
    </w:p>
    <w:p>
      <w:pPr>
        <w:spacing w:line="440" w:lineRule="exact"/>
        <w:ind w:firstLine="420" w:firstLineChars="200"/>
        <w:rPr>
          <w:rFonts w:ascii="宋体" w:hAnsi="宋体"/>
          <w:color w:val="auto"/>
          <w:szCs w:val="21"/>
          <w:u w:val="single"/>
        </w:rPr>
      </w:pPr>
      <w:r>
        <w:rPr>
          <w:rFonts w:hint="eastAsia" w:ascii="宋体" w:hAnsi="宋体"/>
          <w:color w:val="auto"/>
          <w:szCs w:val="21"/>
        </w:rPr>
        <w:t>（</w:t>
      </w:r>
      <w:r>
        <w:rPr>
          <w:rFonts w:hint="eastAsia" w:ascii="宋体" w:hAnsi="宋体"/>
          <w:b/>
          <w:color w:val="auto"/>
          <w:szCs w:val="21"/>
        </w:rPr>
        <w:t>农民工佣工要求</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3</w:t>
      </w:r>
      <w:r>
        <w:rPr>
          <w:rFonts w:hint="eastAsia" w:ascii="宋体" w:hAnsi="宋体"/>
          <w:color w:val="auto"/>
          <w:szCs w:val="21"/>
          <w:u w:val="single"/>
        </w:rPr>
        <w:t>承包人必须按照穗开规『</w:t>
      </w:r>
      <w:r>
        <w:rPr>
          <w:rFonts w:ascii="宋体" w:hAnsi="宋体"/>
          <w:color w:val="auto"/>
          <w:szCs w:val="21"/>
          <w:u w:val="single"/>
        </w:rPr>
        <w:t>2004』58号文的有关要求及规定优先使用广州开发区的农民工</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4</w:t>
      </w:r>
      <w:r>
        <w:rPr>
          <w:rFonts w:hint="eastAsia" w:ascii="宋体" w:hAnsi="宋体"/>
          <w:color w:val="auto"/>
          <w:szCs w:val="21"/>
          <w:u w:val="single"/>
        </w:rPr>
        <w:t>承包人必须严格执行穗开纪</w:t>
      </w:r>
      <w:r>
        <w:rPr>
          <w:rFonts w:ascii="宋体" w:hAnsi="宋体"/>
          <w:color w:val="auto"/>
          <w:szCs w:val="21"/>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47.1</w:t>
      </w:r>
      <w:r>
        <w:rPr>
          <w:rFonts w:hint="eastAsia" w:ascii="宋体" w:hAnsi="宋体"/>
          <w:color w:val="auto"/>
          <w:szCs w:val="21"/>
        </w:rPr>
        <w:t>5</w:t>
      </w:r>
      <w:r>
        <w:rPr>
          <w:rFonts w:hint="eastAsia" w:ascii="宋体" w:hAnsi="宋体"/>
          <w:color w:val="auto"/>
          <w:szCs w:val="21"/>
          <w:u w:val="single"/>
        </w:rPr>
        <w:t>承包人应按照《广州市住房和城乡建设局关于印发广州市建筑施工实名制管理办法的通知》（穗建规字[2020]18号）、《关于印发广州市建设领域工人工资支付分账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账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pPr>
        <w:spacing w:line="440" w:lineRule="exact"/>
        <w:ind w:firstLine="420" w:firstLineChars="200"/>
        <w:rPr>
          <w:rFonts w:ascii="宋体" w:hAnsi="宋体"/>
          <w:b/>
          <w:color w:val="auto"/>
          <w:szCs w:val="21"/>
        </w:rPr>
      </w:pPr>
      <w:r>
        <w:rPr>
          <w:rFonts w:ascii="宋体" w:hAnsi="宋体"/>
          <w:color w:val="auto"/>
          <w:szCs w:val="21"/>
        </w:rPr>
        <w:t>47.1</w:t>
      </w:r>
      <w:r>
        <w:rPr>
          <w:rFonts w:hint="eastAsia" w:ascii="宋体" w:hAnsi="宋体"/>
          <w:color w:val="auto"/>
          <w:szCs w:val="21"/>
        </w:rPr>
        <w:t>6</w:t>
      </w:r>
      <w:r>
        <w:rPr>
          <w:rFonts w:hint="eastAsia" w:ascii="宋体" w:hAnsi="宋体"/>
          <w:color w:val="auto"/>
          <w:szCs w:val="21"/>
          <w:u w:val="single"/>
        </w:rPr>
        <w:t>若承包人在本工程内发生无故拖欠农民工工资现象，将被作不良记录，上报区建设行政主管部门</w:t>
      </w:r>
      <w:r>
        <w:rPr>
          <w:rFonts w:hint="eastAsia" w:ascii="宋体" w:hAnsi="宋体"/>
          <w:color w:val="auto"/>
          <w:szCs w:val="21"/>
        </w:rPr>
        <w:t>。</w:t>
      </w:r>
      <w:r>
        <w:rPr>
          <w:rFonts w:hint="eastAsia" w:ascii="宋体" w:hAnsi="宋体"/>
          <w:color w:val="auto"/>
          <w:szCs w:val="21"/>
          <w:u w:val="single"/>
        </w:rPr>
        <w:t>若承包人转包或者违法分包造成拖欠工人工资的，除上报区建设行政主管部门外，还将提请省建设行业主管部门禁止在广东省行政区域范围内承包工程。</w:t>
      </w:r>
    </w:p>
    <w:p>
      <w:pPr>
        <w:snapToGrid w:val="0"/>
        <w:spacing w:line="440" w:lineRule="exact"/>
        <w:ind w:firstLine="480"/>
        <w:rPr>
          <w:rFonts w:ascii="宋体" w:hAnsi="宋体"/>
          <w:color w:val="auto"/>
          <w:szCs w:val="21"/>
        </w:rPr>
      </w:pPr>
      <w:r>
        <w:rPr>
          <w:rFonts w:hint="eastAsia" w:ascii="宋体" w:hAnsi="宋体"/>
          <w:color w:val="auto"/>
          <w:szCs w:val="21"/>
        </w:rPr>
        <w:t>（</w:t>
      </w:r>
      <w:r>
        <w:rPr>
          <w:rFonts w:hint="eastAsia" w:ascii="宋体" w:hAnsi="宋体"/>
          <w:b/>
          <w:color w:val="auto"/>
          <w:szCs w:val="21"/>
        </w:rPr>
        <w:t>项目管理机构人员、机械设备、劳动力到位方面的要求</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7</w:t>
      </w:r>
      <w:r>
        <w:rPr>
          <w:rFonts w:hint="eastAsia" w:ascii="宋体" w:hAnsi="宋体"/>
          <w:color w:val="auto"/>
          <w:szCs w:val="21"/>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8</w:t>
      </w:r>
      <w:r>
        <w:rPr>
          <w:rFonts w:hint="eastAsia" w:ascii="宋体" w:hAnsi="宋体"/>
          <w:color w:val="auto"/>
          <w:szCs w:val="21"/>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47.1</w:t>
      </w:r>
      <w:r>
        <w:rPr>
          <w:rFonts w:hint="eastAsia" w:ascii="宋体" w:hAnsi="宋体"/>
          <w:color w:val="auto"/>
          <w:szCs w:val="21"/>
        </w:rPr>
        <w:t>9</w:t>
      </w:r>
      <w:r>
        <w:rPr>
          <w:rFonts w:hint="eastAsia" w:ascii="宋体" w:hAnsi="宋体"/>
          <w:color w:val="auto"/>
          <w:szCs w:val="21"/>
          <w:u w:val="single"/>
        </w:rPr>
        <w:t>现场施工时，施工员（技术员）不在施工现场不得施工，否则发包人可随时要求停工，工期延误由承包人负责</w:t>
      </w:r>
      <w:r>
        <w:rPr>
          <w:rFonts w:hint="eastAsia" w:ascii="宋体" w:hAnsi="宋体"/>
          <w:color w:val="auto"/>
          <w:szCs w:val="21"/>
        </w:rPr>
        <w:t>。</w:t>
      </w:r>
    </w:p>
    <w:p>
      <w:pPr>
        <w:snapToGrid w:val="0"/>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20</w:t>
      </w:r>
      <w:r>
        <w:rPr>
          <w:rFonts w:hint="eastAsia" w:ascii="宋体" w:hAnsi="宋体"/>
          <w:color w:val="auto"/>
          <w:szCs w:val="21"/>
          <w:u w:val="single"/>
        </w:rPr>
        <w:t>承包人派往现场的管理人员若因不负责任、或玩忽职守、或严重失职等给发包人造成经济损失，承包人承担相应的经济责任和连带法律责任</w:t>
      </w:r>
      <w:r>
        <w:rPr>
          <w:rFonts w:hint="eastAsia" w:ascii="宋体" w:hAnsi="宋体"/>
          <w:color w:val="auto"/>
          <w:szCs w:val="21"/>
        </w:rPr>
        <w:t>。</w:t>
      </w:r>
    </w:p>
    <w:p>
      <w:pPr>
        <w:snapToGrid w:val="0"/>
        <w:spacing w:line="44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b/>
          <w:color w:val="auto"/>
          <w:szCs w:val="21"/>
        </w:rPr>
        <w:t>投标报价及造价承包和变更结算方式的要求</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21</w:t>
      </w:r>
      <w:r>
        <w:rPr>
          <w:rFonts w:hint="eastAsia" w:ascii="宋体" w:hAnsi="宋体"/>
          <w:color w:val="auto"/>
          <w:szCs w:val="21"/>
          <w:u w:val="single"/>
        </w:rPr>
        <w:t>工程量清单报价中有关问题的说明：</w:t>
      </w:r>
    </w:p>
    <w:p>
      <w:pPr>
        <w:spacing w:line="440" w:lineRule="exact"/>
        <w:ind w:firstLine="420" w:firstLineChars="200"/>
        <w:rPr>
          <w:rFonts w:ascii="宋体" w:hAnsi="宋体"/>
          <w:color w:val="auto"/>
          <w:szCs w:val="21"/>
        </w:rPr>
      </w:pPr>
      <w:r>
        <w:rPr>
          <w:rFonts w:hint="eastAsia" w:ascii="宋体" w:hAnsi="宋体"/>
          <w:strike w:val="0"/>
          <w:dstrike w:val="0"/>
          <w:color w:val="auto"/>
          <w:szCs w:val="21"/>
        </w:rPr>
        <w:t>①</w:t>
      </w:r>
      <w:r>
        <w:rPr>
          <w:rFonts w:hint="eastAsia" w:ascii="宋体" w:hAnsi="宋体"/>
          <w:color w:val="auto"/>
          <w:szCs w:val="21"/>
          <w:u w:val="single"/>
        </w:rPr>
        <w:t>投标时</w:t>
      </w:r>
      <w:r>
        <w:rPr>
          <w:rFonts w:ascii="宋体" w:hAnsi="宋体"/>
          <w:color w:val="auto"/>
          <w:szCs w:val="21"/>
          <w:u w:val="single"/>
        </w:rPr>
        <w:t>,土</w:t>
      </w:r>
      <w:r>
        <w:rPr>
          <w:rFonts w:hint="eastAsia" w:ascii="宋体" w:hAnsi="宋体"/>
          <w:color w:val="auto"/>
          <w:szCs w:val="21"/>
          <w:u w:val="single"/>
        </w:rPr>
        <w:t>石</w:t>
      </w:r>
      <w:r>
        <w:rPr>
          <w:rFonts w:ascii="宋体" w:hAnsi="宋体"/>
          <w:color w:val="auto"/>
          <w:szCs w:val="21"/>
          <w:u w:val="single"/>
        </w:rPr>
        <w:t>方</w:t>
      </w:r>
      <w:r>
        <w:rPr>
          <w:rFonts w:hint="eastAsia" w:ascii="宋体" w:hAnsi="宋体"/>
          <w:color w:val="auto"/>
          <w:szCs w:val="21"/>
          <w:u w:val="single"/>
        </w:rPr>
        <w:t>的弃运距离暂按</w:t>
      </w:r>
      <w:r>
        <w:rPr>
          <w:rFonts w:ascii="宋体" w:hAnsi="宋体"/>
          <w:color w:val="auto"/>
          <w:szCs w:val="21"/>
          <w:u w:val="single"/>
        </w:rPr>
        <w:t>15km</w:t>
      </w:r>
      <w:r>
        <w:rPr>
          <w:rFonts w:hint="eastAsia" w:ascii="宋体" w:hAnsi="宋体"/>
          <w:color w:val="auto"/>
          <w:szCs w:val="21"/>
          <w:u w:val="single"/>
        </w:rPr>
        <w:t>内考虑，超过</w:t>
      </w:r>
      <w:r>
        <w:rPr>
          <w:rFonts w:ascii="宋体" w:hAnsi="宋体"/>
          <w:color w:val="auto"/>
          <w:szCs w:val="21"/>
          <w:u w:val="single"/>
        </w:rPr>
        <w:t>15km</w:t>
      </w:r>
      <w:r>
        <w:rPr>
          <w:rFonts w:hint="eastAsia" w:ascii="宋体" w:hAnsi="宋体"/>
          <w:color w:val="auto"/>
          <w:szCs w:val="21"/>
          <w:u w:val="single"/>
        </w:rPr>
        <w:t>按</w:t>
      </w:r>
      <w:r>
        <w:rPr>
          <w:rFonts w:ascii="宋体" w:hAnsi="宋体"/>
          <w:color w:val="auto"/>
          <w:szCs w:val="21"/>
          <w:u w:val="single"/>
        </w:rPr>
        <w:t>15km</w:t>
      </w:r>
      <w:r>
        <w:rPr>
          <w:rFonts w:hint="eastAsia" w:ascii="宋体" w:hAnsi="宋体"/>
          <w:color w:val="auto"/>
          <w:szCs w:val="21"/>
          <w:u w:val="single"/>
        </w:rPr>
        <w:t>计算，结算时按招标人确认的实际运距计算</w:t>
      </w:r>
      <w:r>
        <w:rPr>
          <w:rFonts w:ascii="宋体" w:hAnsi="宋体"/>
          <w:color w:val="auto"/>
          <w:szCs w:val="21"/>
          <w:u w:val="single"/>
        </w:rPr>
        <w:t>,实际运距超过15公里</w:t>
      </w:r>
      <w:r>
        <w:rPr>
          <w:rFonts w:hint="eastAsia" w:ascii="宋体" w:hAnsi="宋体"/>
          <w:color w:val="auto"/>
          <w:szCs w:val="21"/>
          <w:u w:val="single"/>
        </w:rPr>
        <w:t>时按</w:t>
      </w:r>
      <w:r>
        <w:rPr>
          <w:rFonts w:ascii="宋体" w:hAnsi="宋体"/>
          <w:color w:val="auto"/>
          <w:szCs w:val="21"/>
          <w:u w:val="single"/>
        </w:rPr>
        <w:t>15公里</w:t>
      </w:r>
      <w:r>
        <w:rPr>
          <w:rFonts w:hint="eastAsia" w:ascii="宋体" w:hAnsi="宋体"/>
          <w:color w:val="auto"/>
          <w:szCs w:val="21"/>
          <w:u w:val="single"/>
        </w:rPr>
        <w:t>包干。</w:t>
      </w:r>
    </w:p>
    <w:p>
      <w:pPr>
        <w:spacing w:line="440" w:lineRule="exact"/>
        <w:ind w:firstLine="420" w:firstLineChars="200"/>
        <w:rPr>
          <w:rFonts w:ascii="宋体" w:hAnsi="宋体"/>
          <w:color w:val="auto"/>
          <w:szCs w:val="21"/>
          <w:u w:val="single"/>
        </w:rPr>
      </w:pPr>
      <w:r>
        <w:rPr>
          <w:rFonts w:hint="eastAsia" w:ascii="宋体" w:hAnsi="宋体"/>
          <w:color w:val="auto"/>
          <w:szCs w:val="21"/>
        </w:rPr>
        <w:t>②</w:t>
      </w:r>
      <w:r>
        <w:rPr>
          <w:rFonts w:hint="eastAsia" w:ascii="宋体" w:hAnsi="宋体"/>
          <w:color w:val="auto"/>
          <w:szCs w:val="21"/>
          <w:u w:val="single"/>
        </w:rPr>
        <w:t xml:space="preserve"> 工程量清单中措施项目清单费计价表中的绿色施工安全防护措施费执行《广东省住房和城乡建设厅关于印发&lt;广东省建设工程计价依据（2018)&gt;的通知》（穗建市〔2019〕6号）文</w:t>
      </w:r>
      <w:r>
        <w:rPr>
          <w:rFonts w:ascii="宋体" w:hAnsi="宋体"/>
          <w:color w:val="auto"/>
          <w:szCs w:val="21"/>
          <w:u w:val="single"/>
        </w:rPr>
        <w:t>，</w:t>
      </w:r>
      <w:r>
        <w:rPr>
          <w:rFonts w:hint="eastAsia" w:ascii="宋体" w:hAnsi="宋体"/>
          <w:color w:val="auto"/>
          <w:szCs w:val="21"/>
          <w:u w:val="single"/>
        </w:rPr>
        <w:t>绿色施工安全防护措施费</w:t>
      </w:r>
      <w:r>
        <w:rPr>
          <w:rFonts w:ascii="宋体" w:hAnsi="宋体"/>
          <w:color w:val="auto"/>
          <w:szCs w:val="21"/>
          <w:u w:val="single"/>
        </w:rPr>
        <w:t>按</w:t>
      </w:r>
      <w:r>
        <w:rPr>
          <w:rFonts w:hint="eastAsia" w:ascii="宋体" w:hAnsi="宋体"/>
          <w:color w:val="auto"/>
          <w:szCs w:val="21"/>
          <w:u w:val="single"/>
        </w:rPr>
        <w:t>发包人公布的本工程招标控制价中的绿色施工安全防护措施费计取，作为非竞争费用，在投标报价中单列，不参与投标竞价，该费用从工程施工中标价中提取，专款专用</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47.2</w:t>
      </w:r>
      <w:r>
        <w:rPr>
          <w:rFonts w:hint="eastAsia" w:ascii="宋体" w:hAnsi="宋体"/>
          <w:color w:val="auto"/>
          <w:szCs w:val="21"/>
        </w:rPr>
        <w:t>2</w:t>
      </w:r>
      <w:r>
        <w:rPr>
          <w:rFonts w:hint="eastAsia" w:ascii="宋体" w:hAnsi="宋体"/>
          <w:color w:val="auto"/>
          <w:szCs w:val="21"/>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施工围蔽费用除外），且承包人不得以任何理由要求发包人另行增加该部分费用（承包人要充分考虑最不利因素影响而采用的施工方案所需的费用）</w:t>
      </w:r>
      <w:r>
        <w:rPr>
          <w:rFonts w:hint="eastAsia" w:ascii="宋体" w:hAnsi="宋体"/>
          <w:color w:val="auto"/>
          <w:szCs w:val="21"/>
        </w:rPr>
        <w:t>。</w:t>
      </w:r>
    </w:p>
    <w:p>
      <w:pPr>
        <w:pBdr>
          <w:top w:val="single" w:color="auto" w:sz="4" w:space="1"/>
          <w:bottom w:val="single" w:color="auto" w:sz="6" w:space="1"/>
        </w:pBdr>
        <w:spacing w:line="440" w:lineRule="exact"/>
        <w:ind w:firstLine="420" w:firstLineChars="200"/>
        <w:rPr>
          <w:rFonts w:ascii="宋体" w:hAnsi="宋体"/>
          <w:color w:val="auto"/>
          <w:szCs w:val="21"/>
          <w:u w:val="single"/>
        </w:rPr>
      </w:pPr>
      <w:r>
        <w:rPr>
          <w:rFonts w:hint="eastAsia" w:ascii="宋体" w:hAnsi="宋体"/>
          <w:color w:val="auto"/>
          <w:szCs w:val="21"/>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47.25承包人应使用绿色生产达标企业生产的混凝土，若不遵守承诺，自愿按不履行合同约定处理。</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47.26承包人人应按有关规定协助发包人完成公共排水设施竣工图纸备案工作。</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7</w:t>
      </w:r>
      <w:r>
        <w:rPr>
          <w:rFonts w:hint="eastAsia" w:ascii="宋体" w:hAnsi="宋体"/>
          <w:color w:val="auto"/>
          <w:szCs w:val="21"/>
          <w:u w:val="single"/>
        </w:rPr>
        <w:t>在整个合同执行期间发包人如发现有不合理投标报价的，发包人有权按有关规定和合同约定进行调整，并将书面通知承包人，并以此作为结算依据</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8</w:t>
      </w:r>
      <w:r>
        <w:rPr>
          <w:rFonts w:hint="eastAsia" w:ascii="宋体" w:hAnsi="宋体"/>
          <w:color w:val="auto"/>
          <w:szCs w:val="21"/>
          <w:u w:val="single"/>
        </w:rPr>
        <w:t>所有材料品牌选择均须报发包人、监理工程师确认，且经检验合格后方能使用。</w:t>
      </w:r>
    </w:p>
    <w:p>
      <w:pPr>
        <w:spacing w:line="440" w:lineRule="exact"/>
        <w:ind w:firstLine="420" w:firstLineChars="200"/>
        <w:rPr>
          <w:rFonts w:ascii="宋体" w:hAnsi="宋体"/>
          <w:color w:val="auto"/>
          <w:szCs w:val="21"/>
          <w:u w:val="single"/>
        </w:rPr>
      </w:pPr>
      <w:r>
        <w:rPr>
          <w:rFonts w:ascii="宋体" w:hAnsi="宋体"/>
          <w:color w:val="auto"/>
          <w:szCs w:val="21"/>
        </w:rPr>
        <w:t>47.2</w:t>
      </w:r>
      <w:r>
        <w:rPr>
          <w:rFonts w:hint="eastAsia" w:ascii="宋体" w:hAnsi="宋体"/>
          <w:color w:val="auto"/>
          <w:szCs w:val="21"/>
        </w:rPr>
        <w:t>9</w:t>
      </w:r>
      <w:r>
        <w:rPr>
          <w:rFonts w:hint="eastAsia" w:ascii="宋体" w:hAnsi="宋体"/>
          <w:color w:val="auto"/>
          <w:szCs w:val="21"/>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w:t>
      </w:r>
      <w:r>
        <w:rPr>
          <w:rFonts w:hint="eastAsia" w:ascii="宋体" w:hAnsi="宋体"/>
          <w:color w:val="auto"/>
          <w:szCs w:val="21"/>
        </w:rPr>
        <w:t>30</w:t>
      </w:r>
      <w:r>
        <w:rPr>
          <w:rFonts w:hint="eastAsia" w:ascii="宋体" w:hAnsi="宋体"/>
          <w:color w:val="auto"/>
          <w:szCs w:val="21"/>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31</w:t>
      </w:r>
      <w:r>
        <w:rPr>
          <w:rFonts w:hint="eastAsia" w:ascii="宋体" w:hAnsi="宋体"/>
          <w:color w:val="auto"/>
          <w:szCs w:val="21"/>
          <w:u w:val="single"/>
        </w:rPr>
        <w:t>承包人须按照发包人与监理人签订的委托监理合同接受监理人的全过程监理</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32</w:t>
      </w:r>
      <w:r>
        <w:rPr>
          <w:rFonts w:hint="eastAsia" w:ascii="宋体" w:hAnsi="宋体"/>
          <w:color w:val="auto"/>
          <w:szCs w:val="21"/>
          <w:u w:val="single"/>
        </w:rPr>
        <w:t>如广州开发区、黄埔区对工程竣工验收及备案有相关规定，则本合同执行该规定</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33</w:t>
      </w:r>
      <w:r>
        <w:rPr>
          <w:rFonts w:hint="eastAsia" w:ascii="宋体" w:hAnsi="宋体"/>
          <w:color w:val="auto"/>
          <w:szCs w:val="21"/>
          <w:u w:val="single"/>
        </w:rPr>
        <w:t>如果审计机关依法对本工程实施审计，发包人、承包人及监理单位应积极配合</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w:t>
      </w:r>
      <w:r>
        <w:rPr>
          <w:rFonts w:hint="eastAsia" w:ascii="宋体" w:hAnsi="宋体"/>
          <w:color w:val="auto"/>
          <w:szCs w:val="21"/>
        </w:rPr>
        <w:t>34</w:t>
      </w:r>
      <w:r>
        <w:rPr>
          <w:rFonts w:hint="eastAsia" w:ascii="宋体" w:hAnsi="宋体"/>
          <w:color w:val="auto"/>
          <w:szCs w:val="21"/>
          <w:u w:val="single"/>
        </w:rPr>
        <w:t>本合同在实施过程中所发生的文件来往，双方不得拒绝签收。如果发生类似事件，发文一方可以监理工程师签收为准，视为送达</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5</w:t>
      </w:r>
      <w:r>
        <w:rPr>
          <w:rFonts w:hint="eastAsia" w:ascii="宋体" w:hAnsi="宋体"/>
          <w:color w:val="auto"/>
          <w:szCs w:val="21"/>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6</w:t>
      </w:r>
      <w:r>
        <w:rPr>
          <w:rFonts w:hint="eastAsia" w:ascii="宋体" w:hAnsi="宋体"/>
          <w:color w:val="auto"/>
          <w:szCs w:val="21"/>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7</w:t>
      </w:r>
      <w:r>
        <w:rPr>
          <w:rFonts w:hint="eastAsia" w:ascii="宋体" w:hAnsi="宋体"/>
          <w:color w:val="auto"/>
          <w:szCs w:val="21"/>
          <w:u w:val="single"/>
        </w:rPr>
        <w:t>承包人施工过程中不得侵犯他人的专利权或者其他合法权益，否则由承包人承担相关责任，并保证不因该侵权行为影响工程建设</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ascii="宋体" w:hAnsi="宋体"/>
          <w:color w:val="auto"/>
          <w:szCs w:val="21"/>
        </w:rPr>
        <w:t>47.3</w:t>
      </w:r>
      <w:r>
        <w:rPr>
          <w:rFonts w:hint="eastAsia" w:ascii="宋体" w:hAnsi="宋体"/>
          <w:color w:val="auto"/>
          <w:szCs w:val="21"/>
        </w:rPr>
        <w:t>8</w:t>
      </w:r>
      <w:r>
        <w:rPr>
          <w:rFonts w:hint="eastAsia" w:ascii="宋体" w:hAnsi="宋体"/>
          <w:color w:val="auto"/>
          <w:szCs w:val="21"/>
          <w:u w:val="single"/>
        </w:rPr>
        <w:t>承包人与发包人签订合同时所提供的开户银行名称及帐号不得擅自变更，如需变更必须征得发包人的书面同意，否则发包人有权停止工程款的拨付，所造成的一切后果由承包人承担</w:t>
      </w:r>
      <w:r>
        <w:rPr>
          <w:rFonts w:hint="eastAsia" w:ascii="宋体" w:hAnsi="宋体"/>
          <w:color w:val="auto"/>
          <w:szCs w:val="21"/>
        </w:rPr>
        <w:t>。</w:t>
      </w:r>
    </w:p>
    <w:p>
      <w:pPr>
        <w:spacing w:line="440" w:lineRule="exact"/>
        <w:ind w:firstLine="420" w:firstLineChars="200"/>
        <w:rPr>
          <w:rFonts w:ascii="宋体" w:hAnsi="宋体"/>
          <w:color w:val="auto"/>
          <w:szCs w:val="21"/>
        </w:rPr>
      </w:pPr>
      <w:r>
        <w:rPr>
          <w:rFonts w:ascii="宋体" w:hAnsi="宋体"/>
          <w:color w:val="auto"/>
          <w:szCs w:val="21"/>
        </w:rPr>
        <w:t>47.3</w:t>
      </w:r>
      <w:r>
        <w:rPr>
          <w:rFonts w:hint="eastAsia" w:ascii="宋体" w:hAnsi="宋体"/>
          <w:color w:val="auto"/>
          <w:szCs w:val="21"/>
        </w:rPr>
        <w:t>9</w:t>
      </w:r>
      <w:r>
        <w:rPr>
          <w:rFonts w:hint="eastAsia" w:ascii="宋体" w:hAnsi="宋体"/>
          <w:color w:val="auto"/>
          <w:szCs w:val="21"/>
          <w:u w:val="single"/>
        </w:rPr>
        <w:t>如发包人为本工程的代建单位，则本工程建设业主同时享有本合同项下属发包人的权利，并且合同中约定需发包人审批的事项，必须经建设业主审批同意后方可实施</w:t>
      </w:r>
      <w:r>
        <w:rPr>
          <w:rFonts w:hint="eastAsia" w:ascii="宋体" w:hAnsi="宋体"/>
          <w:color w:val="auto"/>
          <w:szCs w:val="21"/>
        </w:rPr>
        <w:t>。</w:t>
      </w:r>
    </w:p>
    <w:p>
      <w:pPr>
        <w:spacing w:line="440" w:lineRule="exact"/>
        <w:ind w:firstLine="420" w:firstLineChars="200"/>
        <w:rPr>
          <w:rFonts w:ascii="宋体" w:hAnsi="宋体"/>
          <w:i/>
          <w:color w:val="auto"/>
          <w:szCs w:val="21"/>
        </w:rPr>
      </w:pPr>
      <w:r>
        <w:rPr>
          <w:rFonts w:hint="eastAsia" w:ascii="宋体" w:hAnsi="宋体"/>
          <w:color w:val="auto"/>
          <w:szCs w:val="21"/>
        </w:rPr>
        <w:t>47.40</w:t>
      </w:r>
      <w:r>
        <w:rPr>
          <w:rFonts w:hint="eastAsia" w:ascii="宋体" w:hAnsi="宋体"/>
          <w:color w:val="auto"/>
          <w:szCs w:val="21"/>
          <w:u w:val="single"/>
        </w:rPr>
        <w:t>《广州开发区财政投资建设项目管理中心 绿化景观工程计量管理办法》将作为合同附件，各相关单位须遵照执行</w:t>
      </w:r>
      <w:r>
        <w:rPr>
          <w:rFonts w:hint="eastAsia" w:ascii="宋体" w:hAnsi="宋体"/>
          <w:color w:val="auto"/>
          <w:szCs w:val="21"/>
        </w:rPr>
        <w:t>。</w:t>
      </w:r>
      <w:r>
        <w:rPr>
          <w:rFonts w:ascii="宋体" w:hAnsi="宋体"/>
          <w:i/>
          <w:color w:val="auto"/>
          <w:szCs w:val="21"/>
        </w:rPr>
        <w:t>(</w:t>
      </w:r>
      <w:r>
        <w:rPr>
          <w:rFonts w:hint="eastAsia" w:ascii="宋体" w:hAnsi="宋体"/>
          <w:i/>
          <w:color w:val="auto"/>
          <w:szCs w:val="21"/>
        </w:rPr>
        <w:t>注：该条款适用于绿化施工工程</w:t>
      </w:r>
      <w:r>
        <w:rPr>
          <w:rFonts w:ascii="宋体" w:hAnsi="宋体"/>
          <w:i/>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rPr>
        <w:t>47.41</w:t>
      </w:r>
      <w:r>
        <w:rPr>
          <w:rFonts w:hint="eastAsia" w:ascii="宋体" w:hAnsi="宋体"/>
          <w:color w:val="auto"/>
          <w:szCs w:val="21"/>
          <w:u w:val="single"/>
        </w:rPr>
        <w:t>工程获得国家、省级、市级所发奖项的，可给予通报表彰，但不给予任何物质奖励</w:t>
      </w:r>
      <w:r>
        <w:rPr>
          <w:rFonts w:hint="eastAsia" w:ascii="宋体" w:hAnsi="宋体"/>
          <w:color w:val="auto"/>
          <w:szCs w:val="21"/>
        </w:rPr>
        <w:t>。</w:t>
      </w:r>
    </w:p>
    <w:p>
      <w:pPr>
        <w:spacing w:line="440" w:lineRule="exact"/>
        <w:ind w:firstLine="420" w:firstLineChars="200"/>
        <w:rPr>
          <w:rFonts w:ascii="宋体" w:hAnsi="宋体"/>
          <w:color w:val="auto"/>
          <w:szCs w:val="21"/>
          <w:u w:val="single"/>
        </w:rPr>
      </w:pPr>
      <w:r>
        <w:rPr>
          <w:rFonts w:hint="eastAsia" w:ascii="宋体" w:hAnsi="宋体"/>
          <w:color w:val="auto"/>
          <w:szCs w:val="21"/>
        </w:rPr>
        <w:t>47.42</w:t>
      </w:r>
      <w:r>
        <w:rPr>
          <w:rFonts w:hint="eastAsia" w:ascii="宋体" w:hAnsi="宋体"/>
          <w:color w:val="auto"/>
          <w:szCs w:val="21"/>
          <w:u w:val="singl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pPr>
        <w:spacing w:line="440" w:lineRule="exact"/>
        <w:ind w:firstLine="420" w:firstLineChars="200"/>
        <w:rPr>
          <w:rFonts w:ascii="宋体" w:hAnsi="宋体" w:cs="宋体"/>
          <w:color w:val="auto"/>
          <w:sz w:val="21"/>
          <w:szCs w:val="21"/>
          <w:u w:val="single"/>
        </w:rPr>
      </w:pPr>
      <w:r>
        <w:rPr>
          <w:rFonts w:ascii="宋体" w:hAnsi="宋体" w:cs="宋体"/>
          <w:color w:val="auto"/>
          <w:sz w:val="21"/>
          <w:szCs w:val="21"/>
        </w:rPr>
        <w:t>47.4</w:t>
      </w:r>
      <w:r>
        <w:rPr>
          <w:rFonts w:hint="eastAsia" w:ascii="宋体" w:hAnsi="宋体" w:cs="宋体"/>
          <w:color w:val="auto"/>
          <w:sz w:val="21"/>
          <w:szCs w:val="21"/>
        </w:rPr>
        <w:t>6</w:t>
      </w:r>
      <w:r>
        <w:rPr>
          <w:rFonts w:ascii="宋体" w:hAnsi="宋体" w:cs="宋体"/>
          <w:color w:val="auto"/>
          <w:sz w:val="21"/>
          <w:szCs w:val="21"/>
          <w:u w:val="single"/>
        </w:rPr>
        <w:t>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pPr>
        <w:spacing w:line="440" w:lineRule="exact"/>
        <w:ind w:firstLine="420" w:firstLineChars="200"/>
        <w:rPr>
          <w:rFonts w:hint="eastAsia" w:ascii="宋体" w:hAnsi="宋体"/>
          <w:color w:val="auto"/>
          <w:sz w:val="21"/>
          <w:szCs w:val="21"/>
          <w:u w:val="single"/>
        </w:rPr>
      </w:pPr>
      <w:r>
        <w:rPr>
          <w:rFonts w:hint="eastAsia" w:ascii="宋体" w:hAnsi="宋体"/>
          <w:color w:val="auto"/>
          <w:sz w:val="21"/>
          <w:szCs w:val="21"/>
          <w:u w:val="single"/>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pPr>
        <w:spacing w:line="440" w:lineRule="exact"/>
        <w:ind w:firstLine="420" w:firstLineChars="200"/>
        <w:rPr>
          <w:rFonts w:hint="eastAsia" w:ascii="宋体" w:hAnsi="宋体"/>
          <w:color w:val="auto"/>
          <w:sz w:val="21"/>
          <w:szCs w:val="21"/>
          <w:u w:val="single"/>
        </w:rPr>
      </w:pPr>
      <w:r>
        <w:rPr>
          <w:rFonts w:hint="eastAsia" w:ascii="宋体" w:hAnsi="宋体"/>
          <w:color w:val="auto"/>
          <w:sz w:val="21"/>
          <w:szCs w:val="21"/>
          <w:u w:val="single"/>
        </w:rPr>
        <w:t>47.48 承包人应严格保护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pPr>
        <w:spacing w:line="440" w:lineRule="exact"/>
        <w:ind w:firstLine="420" w:firstLineChars="200"/>
        <w:rPr>
          <w:rFonts w:ascii="宋体" w:hAnsi="宋体"/>
          <w:color w:val="auto"/>
          <w:sz w:val="21"/>
          <w:szCs w:val="21"/>
          <w:u w:val="single"/>
        </w:rPr>
      </w:pPr>
      <w:r>
        <w:rPr>
          <w:rFonts w:hint="eastAsia" w:ascii="宋体" w:hAnsi="宋体"/>
          <w:color w:val="auto"/>
          <w:sz w:val="21"/>
          <w:szCs w:val="21"/>
          <w:u w:val="single"/>
        </w:rPr>
        <w:t xml:space="preserve">47.49 </w:t>
      </w:r>
      <w:r>
        <w:rPr>
          <w:rFonts w:ascii="宋体" w:hAnsi="宋体"/>
          <w:color w:val="auto"/>
          <w:sz w:val="21"/>
          <w:szCs w:val="21"/>
          <w:u w:val="single"/>
        </w:rPr>
        <w:t>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pPr>
        <w:spacing w:line="440" w:lineRule="exact"/>
        <w:ind w:firstLine="420" w:firstLineChars="200"/>
        <w:rPr>
          <w:rFonts w:ascii="宋体" w:hAnsi="宋体"/>
          <w:color w:val="auto"/>
          <w:szCs w:val="21"/>
          <w:u w:val="single"/>
        </w:rPr>
      </w:pPr>
      <w:r>
        <w:rPr>
          <w:rFonts w:hint="eastAsia" w:ascii="宋体" w:hAnsi="宋体"/>
          <w:color w:val="auto"/>
          <w:szCs w:val="21"/>
          <w:u w:val="single"/>
        </w:rPr>
        <w:t>47.</w:t>
      </w:r>
      <w:r>
        <w:rPr>
          <w:rFonts w:hint="eastAsia" w:ascii="宋体" w:hAnsi="宋体"/>
          <w:color w:val="auto"/>
          <w:szCs w:val="21"/>
          <w:u w:val="single"/>
          <w:lang w:val="en-US" w:eastAsia="zh-CN"/>
        </w:rPr>
        <w:t>50</w:t>
      </w:r>
      <w:r>
        <w:rPr>
          <w:rFonts w:hint="eastAsia" w:ascii="宋体" w:hAnsi="宋体"/>
          <w:color w:val="auto"/>
          <w:szCs w:val="21"/>
          <w:u w:val="single"/>
        </w:rPr>
        <w:t>未尽事宜，经双方友好协商解决。</w:t>
      </w:r>
    </w:p>
    <w:p>
      <w:pPr>
        <w:spacing w:line="440" w:lineRule="exact"/>
        <w:rPr>
          <w:rFonts w:ascii="宋体" w:hAnsi="宋体"/>
          <w:color w:val="auto"/>
          <w:szCs w:val="21"/>
          <w:u w:val="single"/>
        </w:rPr>
      </w:pPr>
    </w:p>
    <w:p>
      <w:pPr>
        <w:spacing w:line="440" w:lineRule="exact"/>
        <w:rPr>
          <w:rFonts w:ascii="宋体" w:hAnsi="宋体"/>
          <w:color w:val="auto"/>
          <w:szCs w:val="21"/>
          <w:u w:val="single"/>
        </w:rPr>
      </w:pPr>
    </w:p>
    <w:p>
      <w:pPr>
        <w:spacing w:line="440" w:lineRule="exact"/>
        <w:rPr>
          <w:rFonts w:ascii="宋体" w:hAnsi="宋体"/>
          <w:color w:val="auto"/>
          <w:szCs w:val="21"/>
        </w:rPr>
      </w:pPr>
      <w:r>
        <w:rPr>
          <w:rFonts w:hint="eastAsia" w:ascii="宋体" w:hAnsi="宋体"/>
          <w:color w:val="auto"/>
          <w:szCs w:val="21"/>
        </w:rPr>
        <w:t xml:space="preserve">                           </w:t>
      </w:r>
    </w:p>
    <w:p>
      <w:pPr>
        <w:spacing w:line="440" w:lineRule="exact"/>
        <w:jc w:val="center"/>
        <w:rPr>
          <w:rFonts w:ascii="宋体" w:hAnsi="宋体"/>
          <w:b/>
          <w:color w:val="auto"/>
          <w:sz w:val="24"/>
        </w:rPr>
      </w:pPr>
      <w:r>
        <w:rPr>
          <w:rFonts w:hint="eastAsia" w:ascii="宋体" w:hAnsi="宋体"/>
          <w:color w:val="auto"/>
          <w:szCs w:val="21"/>
        </w:rPr>
        <w:br w:type="page"/>
      </w:r>
      <w:r>
        <w:rPr>
          <w:rFonts w:hint="eastAsia" w:ascii="宋体" w:hAnsi="宋体"/>
          <w:b/>
          <w:color w:val="auto"/>
          <w:sz w:val="24"/>
        </w:rPr>
        <w:t>第四部分</w:t>
      </w:r>
      <w:r>
        <w:rPr>
          <w:rFonts w:ascii="宋体" w:hAnsi="宋体"/>
          <w:b/>
          <w:color w:val="auto"/>
          <w:sz w:val="24"/>
        </w:rPr>
        <w:t xml:space="preserve">  </w:t>
      </w:r>
      <w:r>
        <w:rPr>
          <w:rFonts w:hint="eastAsia" w:ascii="宋体" w:hAnsi="宋体"/>
          <w:b/>
          <w:color w:val="auto"/>
          <w:sz w:val="24"/>
        </w:rPr>
        <w:t>工程质量保修责任书</w:t>
      </w:r>
    </w:p>
    <w:p>
      <w:pPr>
        <w:snapToGrid w:val="0"/>
        <w:spacing w:line="440" w:lineRule="exact"/>
        <w:rPr>
          <w:rFonts w:ascii="宋体" w:hAnsi="宋体"/>
          <w:color w:val="auto"/>
          <w:sz w:val="24"/>
        </w:rPr>
      </w:pPr>
      <w:r>
        <w:rPr>
          <w:rFonts w:hint="eastAsia" w:ascii="宋体" w:hAnsi="宋体"/>
          <w:color w:val="auto"/>
          <w:sz w:val="24"/>
        </w:rPr>
        <w:t>发包人（全称）：</w:t>
      </w:r>
      <w:r>
        <w:rPr>
          <w:rFonts w:ascii="宋体" w:hAnsi="宋体"/>
          <w:color w:val="auto"/>
          <w:sz w:val="24"/>
          <w:u w:val="single"/>
        </w:rPr>
        <w:t xml:space="preserve">                             </w:t>
      </w:r>
      <w:r>
        <w:rPr>
          <w:rFonts w:hint="eastAsia" w:ascii="宋体" w:hAnsi="宋体"/>
          <w:color w:val="auto"/>
          <w:sz w:val="24"/>
        </w:rPr>
        <w:t>。</w:t>
      </w:r>
    </w:p>
    <w:p>
      <w:pPr>
        <w:snapToGrid w:val="0"/>
        <w:spacing w:line="440" w:lineRule="exact"/>
        <w:rPr>
          <w:rFonts w:ascii="宋体" w:hAnsi="宋体"/>
          <w:color w:val="auto"/>
          <w:sz w:val="24"/>
        </w:rPr>
      </w:pPr>
      <w:r>
        <w:rPr>
          <w:rFonts w:hint="eastAsia" w:ascii="宋体" w:hAnsi="宋体"/>
          <w:color w:val="auto"/>
          <w:sz w:val="24"/>
        </w:rPr>
        <w:t>承包人（全称）：</w:t>
      </w:r>
      <w:r>
        <w:rPr>
          <w:rFonts w:ascii="宋体" w:hAnsi="宋体"/>
          <w:color w:val="auto"/>
          <w:sz w:val="24"/>
          <w:u w:val="single"/>
        </w:rPr>
        <w:t xml:space="preserve">                             </w:t>
      </w:r>
      <w:r>
        <w:rPr>
          <w:rFonts w:hint="eastAsia" w:ascii="宋体" w:hAnsi="宋体"/>
          <w:color w:val="auto"/>
          <w:sz w:val="24"/>
        </w:rPr>
        <w:t>。</w:t>
      </w:r>
    </w:p>
    <w:p>
      <w:pPr>
        <w:snapToGrid w:val="0"/>
        <w:spacing w:line="440" w:lineRule="exact"/>
        <w:ind w:firstLine="480" w:firstLineChars="200"/>
        <w:rPr>
          <w:rFonts w:ascii="宋体" w:hAnsi="宋体"/>
          <w:color w:val="auto"/>
          <w:sz w:val="24"/>
        </w:rPr>
      </w:pPr>
      <w:r>
        <w:rPr>
          <w:rFonts w:hint="eastAsia" w:ascii="宋体" w:hAnsi="宋体"/>
          <w:color w:val="auto"/>
          <w:sz w:val="24"/>
        </w:rPr>
        <w:t>为保证</w:t>
      </w:r>
      <w:r>
        <w:rPr>
          <w:rFonts w:ascii="宋体" w:hAnsi="宋体"/>
          <w:color w:val="auto"/>
          <w:sz w:val="24"/>
          <w:u w:val="single"/>
        </w:rPr>
        <w:t xml:space="preserve">                工程</w:t>
      </w:r>
      <w:r>
        <w:rPr>
          <w:rFonts w:hint="eastAsia" w:ascii="宋体" w:hAnsi="宋体"/>
          <w:color w:val="auto"/>
          <w:sz w:val="24"/>
        </w:rPr>
        <w:t>在合理使用期限内正常使用，发包人承包人协商一致签订工程质量保修责任书。承包人在质量保修期内按照有关管理规定及双方约定承担本工程质量保修责任。</w:t>
      </w:r>
    </w:p>
    <w:p>
      <w:pPr>
        <w:numPr>
          <w:ilvl w:val="0"/>
          <w:numId w:val="9"/>
        </w:numPr>
        <w:tabs>
          <w:tab w:val="left" w:pos="1120"/>
        </w:tabs>
        <w:snapToGrid w:val="0"/>
        <w:spacing w:line="440" w:lineRule="exact"/>
        <w:ind w:hanging="240"/>
        <w:rPr>
          <w:rFonts w:ascii="宋体" w:hAnsi="宋体"/>
          <w:b/>
          <w:bCs/>
          <w:color w:val="auto"/>
          <w:sz w:val="24"/>
        </w:rPr>
      </w:pPr>
      <w:r>
        <w:rPr>
          <w:rFonts w:hint="eastAsia" w:ascii="宋体" w:hAnsi="宋体"/>
          <w:b/>
          <w:bCs/>
          <w:color w:val="auto"/>
          <w:sz w:val="24"/>
        </w:rPr>
        <w:t>工程质量保修范围和内容</w:t>
      </w:r>
    </w:p>
    <w:p>
      <w:pPr>
        <w:snapToGrid w:val="0"/>
        <w:spacing w:line="440" w:lineRule="exact"/>
        <w:ind w:firstLine="578" w:firstLineChars="241"/>
        <w:rPr>
          <w:rFonts w:ascii="宋体" w:hAnsi="宋体"/>
          <w:color w:val="auto"/>
          <w:sz w:val="24"/>
        </w:rPr>
      </w:pPr>
      <w:r>
        <w:rPr>
          <w:rFonts w:hint="eastAsia" w:ascii="宋体" w:hAnsi="宋体"/>
          <w:color w:val="auto"/>
          <w:sz w:val="24"/>
        </w:rPr>
        <w:t>质量保修范围包括基础工程、主体路基、路面、桥涵构造物工程、给排水、防护工程以及本建设工程施工合同中所含的其它项目。具体质量保修内容双方约定如下：</w:t>
      </w:r>
    </w:p>
    <w:p>
      <w:pPr>
        <w:snapToGrid w:val="0"/>
        <w:spacing w:line="440" w:lineRule="exact"/>
        <w:ind w:firstLine="578" w:firstLineChars="241"/>
        <w:rPr>
          <w:rFonts w:ascii="宋体" w:hAnsi="宋体"/>
          <w:color w:val="auto"/>
          <w:sz w:val="24"/>
          <w:u w:val="single"/>
        </w:rPr>
      </w:pPr>
      <w:r>
        <w:rPr>
          <w:rFonts w:hint="eastAsia" w:ascii="宋体" w:hAnsi="宋体"/>
          <w:color w:val="auto"/>
          <w:sz w:val="24"/>
          <w:u w:val="single"/>
        </w:rPr>
        <w:t>按施工合同约定的承包范围内的全部工程内容</w:t>
      </w:r>
      <w:r>
        <w:rPr>
          <w:rFonts w:hint="eastAsia" w:ascii="宋体" w:hAnsi="宋体"/>
          <w:color w:val="auto"/>
          <w:sz w:val="24"/>
        </w:rPr>
        <w:t>。</w:t>
      </w:r>
    </w:p>
    <w:p>
      <w:pPr>
        <w:numPr>
          <w:ilvl w:val="0"/>
          <w:numId w:val="9"/>
        </w:numPr>
        <w:tabs>
          <w:tab w:val="left" w:pos="1120"/>
        </w:tabs>
        <w:snapToGrid w:val="0"/>
        <w:spacing w:line="440" w:lineRule="exact"/>
        <w:ind w:hanging="240"/>
        <w:rPr>
          <w:rFonts w:ascii="宋体" w:hAnsi="宋体"/>
          <w:b/>
          <w:bCs/>
          <w:color w:val="auto"/>
          <w:sz w:val="24"/>
        </w:rPr>
      </w:pPr>
      <w:r>
        <w:rPr>
          <w:rFonts w:hint="eastAsia" w:ascii="宋体" w:hAnsi="宋体"/>
          <w:b/>
          <w:bCs/>
          <w:color w:val="auto"/>
          <w:sz w:val="24"/>
        </w:rPr>
        <w:t>质量保修期</w:t>
      </w:r>
    </w:p>
    <w:p>
      <w:pPr>
        <w:snapToGrid w:val="0"/>
        <w:spacing w:line="440" w:lineRule="exact"/>
        <w:ind w:firstLine="578" w:firstLineChars="241"/>
        <w:rPr>
          <w:rFonts w:ascii="宋体" w:hAnsi="宋体"/>
          <w:color w:val="auto"/>
          <w:sz w:val="24"/>
        </w:rPr>
      </w:pPr>
      <w:r>
        <w:rPr>
          <w:rFonts w:hint="eastAsia" w:ascii="宋体" w:hAnsi="宋体"/>
          <w:color w:val="auto"/>
          <w:sz w:val="24"/>
        </w:rPr>
        <w:t>质量保修期从广州开发区管委会或其相关职能部门批准的提前移交之日或者正式通过竣工验收之日（以先发生日期为准）算起。</w:t>
      </w:r>
    </w:p>
    <w:p>
      <w:pPr>
        <w:snapToGrid w:val="0"/>
        <w:spacing w:line="440" w:lineRule="exact"/>
        <w:ind w:firstLine="578" w:firstLineChars="241"/>
        <w:rPr>
          <w:rFonts w:ascii="宋体" w:hAnsi="宋体"/>
          <w:color w:val="auto"/>
          <w:sz w:val="24"/>
        </w:rPr>
      </w:pPr>
      <w:r>
        <w:rPr>
          <w:rFonts w:hint="eastAsia" w:ascii="宋体" w:hAnsi="宋体"/>
          <w:color w:val="auto"/>
          <w:sz w:val="24"/>
        </w:rPr>
        <w:t>双方根据国家有关规定，结合具体工程约定质量保修期如下：</w:t>
      </w:r>
    </w:p>
    <w:p>
      <w:pPr>
        <w:snapToGrid w:val="0"/>
        <w:spacing w:line="440" w:lineRule="exact"/>
        <w:ind w:firstLine="578" w:firstLineChars="241"/>
        <w:rPr>
          <w:rFonts w:ascii="宋体" w:hAnsi="宋体"/>
          <w:color w:val="auto"/>
          <w:sz w:val="24"/>
        </w:rPr>
      </w:pPr>
      <w:r>
        <w:rPr>
          <w:rFonts w:ascii="宋体" w:hAnsi="宋体"/>
          <w:color w:val="auto"/>
          <w:sz w:val="24"/>
        </w:rPr>
        <w:t>1、</w:t>
      </w:r>
      <w:r>
        <w:rPr>
          <w:rFonts w:hint="eastAsia" w:ascii="宋体" w:hAnsi="宋体"/>
          <w:color w:val="auto"/>
          <w:sz w:val="24"/>
        </w:rPr>
        <w:t>基础设施工程、房屋建筑的地基基础和主体结构工程为设计文件规定的该工程合理使用年限；</w:t>
      </w:r>
    </w:p>
    <w:p>
      <w:pPr>
        <w:snapToGrid w:val="0"/>
        <w:spacing w:line="440" w:lineRule="exact"/>
        <w:ind w:firstLine="578" w:firstLineChars="241"/>
        <w:rPr>
          <w:rFonts w:ascii="宋体" w:hAnsi="宋体"/>
          <w:color w:val="auto"/>
          <w:sz w:val="24"/>
        </w:rPr>
      </w:pPr>
      <w:r>
        <w:rPr>
          <w:rFonts w:hint="eastAsia" w:ascii="宋体" w:hAnsi="宋体"/>
          <w:color w:val="auto"/>
          <w:sz w:val="24"/>
        </w:rPr>
        <w:t>2、电力管线、上下水管线安装工程为</w:t>
      </w:r>
      <w:r>
        <w:rPr>
          <w:rFonts w:ascii="宋体" w:hAnsi="宋体"/>
          <w:color w:val="auto"/>
          <w:sz w:val="24"/>
          <w:u w:val="single"/>
        </w:rPr>
        <w:t xml:space="preserve"> 2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3</w:t>
      </w:r>
      <w:r>
        <w:rPr>
          <w:rFonts w:ascii="宋体" w:hAnsi="宋体"/>
          <w:color w:val="auto"/>
          <w:sz w:val="24"/>
        </w:rPr>
        <w:t>、供热及供冷为</w:t>
      </w:r>
      <w:r>
        <w:rPr>
          <w:rFonts w:ascii="宋体" w:hAnsi="宋体"/>
          <w:color w:val="auto"/>
          <w:sz w:val="24"/>
          <w:u w:val="single"/>
        </w:rPr>
        <w:t xml:space="preserve"> </w:t>
      </w:r>
      <w:r>
        <w:rPr>
          <w:rFonts w:hint="eastAsia" w:ascii="宋体" w:hAnsi="宋体"/>
          <w:color w:val="auto"/>
          <w:sz w:val="24"/>
          <w:u w:val="single"/>
        </w:rPr>
        <w:t>2</w:t>
      </w:r>
      <w:r>
        <w:rPr>
          <w:rFonts w:ascii="宋体" w:hAnsi="宋体"/>
          <w:color w:val="auto"/>
          <w:sz w:val="24"/>
          <w:u w:val="single"/>
        </w:rPr>
        <w:t xml:space="preserve"> </w:t>
      </w:r>
      <w:r>
        <w:rPr>
          <w:rFonts w:hint="eastAsia" w:ascii="宋体" w:hAnsi="宋体"/>
          <w:color w:val="auto"/>
          <w:sz w:val="24"/>
        </w:rPr>
        <w:t>个采暖期及供冷期；</w:t>
      </w:r>
    </w:p>
    <w:p>
      <w:pPr>
        <w:snapToGrid w:val="0"/>
        <w:spacing w:line="440" w:lineRule="exact"/>
        <w:ind w:firstLine="578" w:firstLineChars="241"/>
        <w:rPr>
          <w:rFonts w:ascii="宋体" w:hAnsi="宋体"/>
          <w:color w:val="auto"/>
          <w:sz w:val="24"/>
        </w:rPr>
      </w:pPr>
      <w:r>
        <w:rPr>
          <w:rFonts w:hint="eastAsia" w:ascii="宋体" w:hAnsi="宋体"/>
          <w:color w:val="auto"/>
          <w:sz w:val="24"/>
        </w:rPr>
        <w:t>4</w:t>
      </w:r>
      <w:r>
        <w:rPr>
          <w:rFonts w:ascii="宋体" w:hAnsi="宋体"/>
          <w:color w:val="auto"/>
          <w:sz w:val="24"/>
        </w:rPr>
        <w:t>、室外的上下水和小区道路等市政公用工程为</w:t>
      </w:r>
      <w:r>
        <w:rPr>
          <w:rFonts w:ascii="宋体" w:hAnsi="宋体"/>
          <w:color w:val="auto"/>
          <w:sz w:val="24"/>
          <w:u w:val="single"/>
        </w:rPr>
        <w:t xml:space="preserve">       </w:t>
      </w:r>
      <w:r>
        <w:rPr>
          <w:rFonts w:hint="eastAsia" w:ascii="宋体" w:hAnsi="宋体"/>
          <w:color w:val="auto"/>
          <w:sz w:val="24"/>
        </w:rPr>
        <w:t>年；</w:t>
      </w:r>
    </w:p>
    <w:p>
      <w:pPr>
        <w:snapToGrid w:val="0"/>
        <w:spacing w:line="440" w:lineRule="exact"/>
        <w:ind w:firstLine="578" w:firstLineChars="241"/>
        <w:rPr>
          <w:rFonts w:ascii="宋体" w:hAnsi="宋体"/>
          <w:color w:val="auto"/>
          <w:sz w:val="24"/>
          <w:u w:val="single"/>
        </w:rPr>
      </w:pPr>
      <w:r>
        <w:rPr>
          <w:rFonts w:hint="eastAsia" w:ascii="宋体" w:hAnsi="宋体"/>
          <w:color w:val="auto"/>
          <w:sz w:val="24"/>
        </w:rPr>
        <w:t>5</w:t>
      </w:r>
      <w:r>
        <w:rPr>
          <w:rFonts w:ascii="宋体" w:hAnsi="宋体"/>
          <w:color w:val="auto"/>
          <w:sz w:val="24"/>
        </w:rPr>
        <w:t>、市政道</w:t>
      </w:r>
      <w:r>
        <w:rPr>
          <w:rFonts w:hint="eastAsia" w:ascii="宋体" w:hAnsi="宋体"/>
          <w:color w:val="auto"/>
          <w:sz w:val="24"/>
        </w:rPr>
        <w:t>路</w:t>
      </w:r>
      <w:r>
        <w:rPr>
          <w:rFonts w:ascii="宋体" w:hAnsi="宋体"/>
          <w:color w:val="auto"/>
          <w:sz w:val="24"/>
        </w:rPr>
        <w:t>排水工程为</w:t>
      </w:r>
      <w:r>
        <w:rPr>
          <w:rFonts w:ascii="宋体" w:hAnsi="宋体"/>
          <w:color w:val="auto"/>
          <w:sz w:val="24"/>
          <w:u w:val="single"/>
        </w:rPr>
        <w:t xml:space="preserve"> 2 </w:t>
      </w:r>
      <w:r>
        <w:rPr>
          <w:rFonts w:hint="eastAsia" w:ascii="宋体" w:hAnsi="宋体"/>
          <w:color w:val="auto"/>
          <w:sz w:val="24"/>
        </w:rPr>
        <w:t>年，市政供水工程为</w:t>
      </w:r>
      <w:r>
        <w:rPr>
          <w:rFonts w:ascii="宋体" w:hAnsi="宋体"/>
          <w:color w:val="auto"/>
          <w:sz w:val="24"/>
          <w:u w:val="single"/>
        </w:rPr>
        <w:t xml:space="preserve"> 2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6、市政供电工程为</w:t>
      </w:r>
      <w:r>
        <w:rPr>
          <w:rFonts w:ascii="宋体" w:hAnsi="宋体"/>
          <w:color w:val="auto"/>
          <w:sz w:val="24"/>
          <w:u w:val="single"/>
        </w:rPr>
        <w:t xml:space="preserve"> 2 </w:t>
      </w:r>
      <w:r>
        <w:rPr>
          <w:rFonts w:hint="eastAsia" w:ascii="宋体" w:hAnsi="宋体"/>
          <w:color w:val="auto"/>
          <w:sz w:val="24"/>
        </w:rPr>
        <w:t>年，市政道路照明工程</w:t>
      </w:r>
      <w:r>
        <w:rPr>
          <w:rFonts w:ascii="宋体" w:hAnsi="宋体"/>
          <w:color w:val="auto"/>
          <w:sz w:val="24"/>
          <w:u w:val="single"/>
        </w:rPr>
        <w:t xml:space="preserve"> 2 </w:t>
      </w:r>
      <w:r>
        <w:rPr>
          <w:rFonts w:hint="eastAsia" w:ascii="宋体" w:hAnsi="宋体"/>
          <w:color w:val="auto"/>
          <w:sz w:val="24"/>
        </w:rPr>
        <w:t>年，市政交通设施工程为</w:t>
      </w:r>
      <w:r>
        <w:rPr>
          <w:rFonts w:ascii="宋体" w:hAnsi="宋体"/>
          <w:color w:val="auto"/>
          <w:sz w:val="24"/>
          <w:u w:val="single"/>
        </w:rPr>
        <w:t xml:space="preserve">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7、园林建筑工程为</w:t>
      </w:r>
      <w:r>
        <w:rPr>
          <w:rFonts w:ascii="宋体" w:hAnsi="宋体"/>
          <w:color w:val="auto"/>
          <w:sz w:val="24"/>
          <w:u w:val="single"/>
        </w:rPr>
        <w:t xml:space="preserve"> 1 </w:t>
      </w:r>
      <w:r>
        <w:rPr>
          <w:rFonts w:hint="eastAsia" w:ascii="宋体" w:hAnsi="宋体"/>
          <w:color w:val="auto"/>
          <w:sz w:val="24"/>
        </w:rPr>
        <w:t>年，喷淋工程为</w:t>
      </w:r>
      <w:r>
        <w:rPr>
          <w:rFonts w:ascii="宋体" w:hAnsi="宋体"/>
          <w:color w:val="auto"/>
          <w:sz w:val="24"/>
          <w:u w:val="single"/>
        </w:rPr>
        <w:t xml:space="preserve"> 2</w:t>
      </w:r>
      <w:r>
        <w:rPr>
          <w:rFonts w:hint="eastAsia" w:ascii="宋体" w:hAnsi="宋体"/>
          <w:color w:val="auto"/>
          <w:sz w:val="24"/>
          <w:u w:val="single"/>
        </w:rPr>
        <w:t xml:space="preserve"> </w:t>
      </w:r>
      <w:r>
        <w:rPr>
          <w:rFonts w:hint="eastAsia" w:ascii="宋体" w:hAnsi="宋体"/>
          <w:color w:val="auto"/>
          <w:sz w:val="24"/>
        </w:rPr>
        <w:t>年，胸径</w:t>
      </w:r>
      <w:r>
        <w:rPr>
          <w:rFonts w:ascii="宋体" w:hAnsi="宋体"/>
          <w:color w:val="auto"/>
          <w:sz w:val="24"/>
        </w:rPr>
        <w:t>15cm</w:t>
      </w:r>
      <w:r>
        <w:rPr>
          <w:rFonts w:hint="eastAsia" w:ascii="宋体" w:hAnsi="宋体"/>
          <w:color w:val="auto"/>
          <w:sz w:val="24"/>
        </w:rPr>
        <w:t>以内（含</w:t>
      </w:r>
      <w:r>
        <w:rPr>
          <w:rFonts w:ascii="宋体" w:hAnsi="宋体"/>
          <w:color w:val="auto"/>
          <w:sz w:val="24"/>
        </w:rPr>
        <w:t>15cm</w:t>
      </w:r>
      <w:r>
        <w:rPr>
          <w:rFonts w:hint="eastAsia" w:ascii="宋体" w:hAnsi="宋体"/>
          <w:color w:val="auto"/>
          <w:sz w:val="24"/>
        </w:rPr>
        <w:t>）的苗木养护期为</w:t>
      </w:r>
      <w:r>
        <w:rPr>
          <w:rFonts w:ascii="宋体" w:hAnsi="宋体"/>
          <w:color w:val="auto"/>
          <w:sz w:val="24"/>
          <w:u w:val="single"/>
        </w:rPr>
        <w:t xml:space="preserve"> 3</w:t>
      </w:r>
      <w:r>
        <w:rPr>
          <w:rFonts w:hint="eastAsia" w:ascii="宋体" w:hAnsi="宋体"/>
          <w:color w:val="auto"/>
          <w:sz w:val="24"/>
          <w:u w:val="single"/>
        </w:rPr>
        <w:t xml:space="preserve"> </w:t>
      </w:r>
      <w:r>
        <w:rPr>
          <w:rFonts w:hint="eastAsia" w:ascii="宋体" w:hAnsi="宋体"/>
          <w:color w:val="auto"/>
          <w:sz w:val="24"/>
        </w:rPr>
        <w:t>个月，胸径</w:t>
      </w:r>
      <w:r>
        <w:rPr>
          <w:rFonts w:ascii="宋体" w:hAnsi="宋体"/>
          <w:color w:val="auto"/>
          <w:sz w:val="24"/>
        </w:rPr>
        <w:t>15cm</w:t>
      </w:r>
      <w:r>
        <w:rPr>
          <w:rFonts w:hint="eastAsia" w:ascii="宋体" w:hAnsi="宋体"/>
          <w:color w:val="auto"/>
          <w:sz w:val="24"/>
        </w:rPr>
        <w:t>以上的苗木养护期为</w:t>
      </w:r>
      <w:r>
        <w:rPr>
          <w:rFonts w:ascii="宋体" w:hAnsi="宋体"/>
          <w:color w:val="auto"/>
          <w:sz w:val="24"/>
          <w:u w:val="single"/>
        </w:rPr>
        <w:t xml:space="preserve"> 1</w:t>
      </w:r>
      <w:r>
        <w:rPr>
          <w:rFonts w:hint="eastAsia" w:ascii="宋体" w:hAnsi="宋体"/>
          <w:color w:val="auto"/>
          <w:sz w:val="24"/>
          <w:u w:val="single"/>
        </w:rPr>
        <w:t xml:space="preserve"> </w:t>
      </w:r>
      <w:r>
        <w:rPr>
          <w:rFonts w:hint="eastAsia" w:ascii="宋体" w:hAnsi="宋体"/>
          <w:color w:val="auto"/>
          <w:sz w:val="24"/>
        </w:rPr>
        <w:t>年。</w:t>
      </w:r>
    </w:p>
    <w:p>
      <w:pPr>
        <w:snapToGrid w:val="0"/>
        <w:spacing w:line="440" w:lineRule="exact"/>
        <w:ind w:firstLine="578" w:firstLineChars="241"/>
        <w:rPr>
          <w:rFonts w:ascii="宋体" w:hAnsi="宋体"/>
          <w:color w:val="auto"/>
          <w:sz w:val="24"/>
        </w:rPr>
      </w:pPr>
      <w:r>
        <w:rPr>
          <w:rFonts w:hint="eastAsia" w:ascii="宋体" w:hAnsi="宋体"/>
          <w:color w:val="auto"/>
          <w:sz w:val="24"/>
        </w:rPr>
        <w:t>8、其他约定：</w:t>
      </w:r>
      <w:r>
        <w:rPr>
          <w:rFonts w:hint="eastAsia" w:ascii="宋体" w:hAnsi="宋体"/>
          <w:color w:val="auto"/>
          <w:sz w:val="24"/>
          <w:u w:val="single"/>
        </w:rPr>
        <w:t>按相关规定执行</w:t>
      </w:r>
      <w:r>
        <w:rPr>
          <w:rFonts w:hint="eastAsia" w:ascii="宋体" w:hAnsi="宋体"/>
          <w:color w:val="auto"/>
          <w:sz w:val="24"/>
        </w:rPr>
        <w:t>。</w:t>
      </w:r>
    </w:p>
    <w:p>
      <w:pPr>
        <w:numPr>
          <w:ilvl w:val="0"/>
          <w:numId w:val="9"/>
        </w:numPr>
        <w:tabs>
          <w:tab w:val="left" w:pos="1120"/>
        </w:tabs>
        <w:snapToGrid w:val="0"/>
        <w:spacing w:line="440" w:lineRule="exact"/>
        <w:ind w:hanging="420"/>
        <w:rPr>
          <w:rFonts w:ascii="宋体" w:hAnsi="宋体"/>
          <w:b/>
          <w:color w:val="auto"/>
          <w:sz w:val="24"/>
        </w:rPr>
      </w:pPr>
      <w:r>
        <w:rPr>
          <w:rFonts w:hint="eastAsia" w:ascii="宋体" w:hAnsi="宋体"/>
          <w:b/>
          <w:color w:val="auto"/>
          <w:sz w:val="24"/>
        </w:rPr>
        <w:t>质量保修责任</w:t>
      </w:r>
    </w:p>
    <w:p>
      <w:pPr>
        <w:tabs>
          <w:tab w:val="left" w:pos="980"/>
        </w:tabs>
        <w:snapToGrid w:val="0"/>
        <w:spacing w:line="440" w:lineRule="exact"/>
        <w:ind w:firstLine="480" w:firstLineChars="200"/>
        <w:rPr>
          <w:rFonts w:ascii="宋体" w:hAnsi="宋体"/>
          <w:color w:val="auto"/>
          <w:sz w:val="24"/>
        </w:rPr>
      </w:pPr>
      <w:r>
        <w:rPr>
          <w:rFonts w:ascii="宋体" w:hAnsi="宋体"/>
          <w:bCs/>
          <w:color w:val="auto"/>
          <w:sz w:val="24"/>
        </w:rPr>
        <w:t>1、</w:t>
      </w:r>
      <w:r>
        <w:rPr>
          <w:rFonts w:hint="eastAsia" w:ascii="宋体" w:hAnsi="宋体"/>
          <w:color w:val="auto"/>
          <w:sz w:val="24"/>
        </w:rPr>
        <w:t>属于保修范围的内容项目，承包人应在接到修理通知之日后七天内派人员修理。承包人不在约定期内派人修理，发包人可委托其他人员修理，修理费用从质量保修金内扣除。</w:t>
      </w:r>
    </w:p>
    <w:p>
      <w:pPr>
        <w:tabs>
          <w:tab w:val="left" w:pos="980"/>
        </w:tabs>
        <w:snapToGrid w:val="0"/>
        <w:spacing w:line="440" w:lineRule="exact"/>
        <w:ind w:firstLine="480" w:firstLineChars="200"/>
        <w:rPr>
          <w:rFonts w:ascii="宋体" w:hAnsi="宋体"/>
          <w:color w:val="auto"/>
          <w:sz w:val="24"/>
        </w:rPr>
      </w:pPr>
      <w:r>
        <w:rPr>
          <w:rFonts w:ascii="宋体" w:hAnsi="宋体"/>
          <w:color w:val="auto"/>
          <w:sz w:val="24"/>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440" w:lineRule="exact"/>
        <w:ind w:firstLine="480" w:firstLineChars="200"/>
        <w:rPr>
          <w:rFonts w:ascii="宋体" w:hAnsi="宋体"/>
          <w:color w:val="auto"/>
          <w:sz w:val="24"/>
        </w:rPr>
      </w:pPr>
      <w:r>
        <w:rPr>
          <w:rFonts w:ascii="宋体" w:hAnsi="宋体"/>
          <w:color w:val="auto"/>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9"/>
        </w:numPr>
        <w:tabs>
          <w:tab w:val="left" w:pos="1120"/>
        </w:tabs>
        <w:snapToGrid w:val="0"/>
        <w:spacing w:line="440" w:lineRule="exact"/>
        <w:ind w:hanging="420"/>
        <w:rPr>
          <w:rFonts w:ascii="宋体" w:hAnsi="宋体"/>
          <w:b/>
          <w:bCs/>
          <w:color w:val="auto"/>
          <w:sz w:val="24"/>
        </w:rPr>
      </w:pPr>
      <w:r>
        <w:rPr>
          <w:rFonts w:hint="eastAsia" w:ascii="宋体" w:hAnsi="宋体"/>
          <w:b/>
          <w:bCs/>
          <w:color w:val="auto"/>
          <w:sz w:val="24"/>
        </w:rPr>
        <w:t>质量保修金的支付</w:t>
      </w:r>
    </w:p>
    <w:p>
      <w:pPr>
        <w:snapToGrid w:val="0"/>
        <w:spacing w:line="440" w:lineRule="exact"/>
        <w:ind w:firstLine="480" w:firstLineChars="200"/>
        <w:rPr>
          <w:rFonts w:ascii="宋体" w:hAnsi="宋体"/>
          <w:color w:val="auto"/>
          <w:sz w:val="24"/>
        </w:rPr>
      </w:pPr>
      <w:r>
        <w:rPr>
          <w:rFonts w:hint="eastAsia" w:ascii="宋体" w:hAnsi="宋体"/>
          <w:color w:val="auto"/>
          <w:sz w:val="24"/>
        </w:rPr>
        <w:t>本工程约定的工程质量保修金为施工合同结算总价款的</w:t>
      </w:r>
      <w:r>
        <w:rPr>
          <w:rFonts w:hint="eastAsia" w:ascii="宋体" w:hAnsi="宋体"/>
          <w:color w:val="auto"/>
          <w:sz w:val="24"/>
          <w:u w:val="single"/>
        </w:rPr>
        <w:t>3</w:t>
      </w:r>
      <w:r>
        <w:rPr>
          <w:rFonts w:ascii="宋体" w:hAnsi="宋体"/>
          <w:color w:val="auto"/>
          <w:sz w:val="24"/>
        </w:rPr>
        <w:t>%。</w:t>
      </w:r>
    </w:p>
    <w:p>
      <w:pPr>
        <w:snapToGrid w:val="0"/>
        <w:spacing w:line="440" w:lineRule="exact"/>
        <w:ind w:firstLine="520" w:firstLineChars="250"/>
        <w:rPr>
          <w:rFonts w:ascii="宋体" w:hAnsi="宋体"/>
          <w:color w:val="auto"/>
          <w:spacing w:val="-32"/>
          <w:sz w:val="24"/>
        </w:rPr>
      </w:pPr>
      <w:r>
        <w:rPr>
          <w:rFonts w:hint="eastAsia" w:ascii="宋体" w:hAnsi="宋体"/>
          <w:color w:val="auto"/>
          <w:spacing w:val="-16"/>
          <w:sz w:val="24"/>
        </w:rPr>
        <w:t>本工程双方约定工程质量保修金金额为</w:t>
      </w:r>
      <w:r>
        <w:rPr>
          <w:rFonts w:ascii="宋体" w:hAnsi="宋体"/>
          <w:color w:val="auto"/>
          <w:sz w:val="24"/>
          <w:u w:val="single"/>
        </w:rPr>
        <w:t xml:space="preserve">(大写)    /      </w:t>
      </w:r>
      <w:r>
        <w:rPr>
          <w:rFonts w:hint="eastAsia" w:ascii="宋体" w:hAnsi="宋体"/>
          <w:color w:val="auto"/>
          <w:spacing w:val="-32"/>
          <w:sz w:val="24"/>
        </w:rPr>
        <w:t>。</w:t>
      </w:r>
    </w:p>
    <w:p>
      <w:pPr>
        <w:snapToGrid w:val="0"/>
        <w:spacing w:line="440" w:lineRule="exact"/>
        <w:ind w:firstLine="480" w:firstLineChars="200"/>
        <w:rPr>
          <w:rFonts w:ascii="宋体" w:hAnsi="宋体"/>
          <w:bCs/>
          <w:color w:val="auto"/>
          <w:sz w:val="24"/>
        </w:rPr>
      </w:pPr>
      <w:r>
        <w:rPr>
          <w:rFonts w:hint="eastAsia" w:ascii="宋体" w:hAnsi="宋体"/>
          <w:color w:val="auto"/>
          <w:sz w:val="24"/>
        </w:rPr>
        <w:t>质量保修金银行利率为</w:t>
      </w:r>
      <w:r>
        <w:rPr>
          <w:rFonts w:ascii="宋体" w:hAnsi="宋体"/>
          <w:color w:val="auto"/>
          <w:sz w:val="24"/>
          <w:u w:val="single"/>
        </w:rPr>
        <w:t xml:space="preserve">      /     </w:t>
      </w:r>
      <w:r>
        <w:rPr>
          <w:rFonts w:ascii="宋体" w:hAnsi="宋体"/>
          <w:color w:val="auto"/>
          <w:sz w:val="24"/>
        </w:rPr>
        <w:t>。</w:t>
      </w:r>
    </w:p>
    <w:p>
      <w:pPr>
        <w:numPr>
          <w:ilvl w:val="0"/>
          <w:numId w:val="9"/>
        </w:numPr>
        <w:tabs>
          <w:tab w:val="left" w:pos="1120"/>
        </w:tabs>
        <w:snapToGrid w:val="0"/>
        <w:spacing w:line="440" w:lineRule="exact"/>
        <w:ind w:hanging="420"/>
        <w:rPr>
          <w:rFonts w:ascii="宋体" w:hAnsi="宋体"/>
          <w:b/>
          <w:color w:val="auto"/>
          <w:sz w:val="24"/>
        </w:rPr>
      </w:pPr>
      <w:r>
        <w:rPr>
          <w:rFonts w:hint="eastAsia" w:ascii="宋体" w:hAnsi="宋体"/>
          <w:b/>
          <w:color w:val="auto"/>
          <w:sz w:val="24"/>
        </w:rPr>
        <w:t>其他</w:t>
      </w:r>
    </w:p>
    <w:p>
      <w:pPr>
        <w:tabs>
          <w:tab w:val="left" w:pos="980"/>
        </w:tabs>
        <w:spacing w:line="440" w:lineRule="exact"/>
        <w:ind w:firstLine="480" w:firstLineChars="200"/>
        <w:rPr>
          <w:rFonts w:ascii="宋体" w:hAnsi="宋体"/>
          <w:color w:val="auto"/>
          <w:sz w:val="24"/>
          <w:u w:val="single"/>
        </w:rPr>
      </w:pPr>
      <w:r>
        <w:rPr>
          <w:rFonts w:hint="eastAsia" w:ascii="宋体" w:hAnsi="宋体"/>
          <w:color w:val="auto"/>
          <w:sz w:val="24"/>
        </w:rPr>
        <w:t>双方约定的其他工程质量保修事项：</w:t>
      </w:r>
      <w:r>
        <w:rPr>
          <w:rFonts w:hint="eastAsia" w:ascii="宋体" w:hAnsi="宋体"/>
          <w:color w:val="auto"/>
          <w:sz w:val="24"/>
          <w:u w:val="single"/>
        </w:rPr>
        <w:t>保留经广州开发区财政局核定的结算总造价的3</w:t>
      </w:r>
      <w:r>
        <w:rPr>
          <w:rFonts w:ascii="宋体" w:hAnsi="宋体"/>
          <w:color w:val="auto"/>
          <w:sz w:val="24"/>
          <w:u w:val="single"/>
        </w:rPr>
        <w:t>%作为保修金，在</w:t>
      </w:r>
      <w:r>
        <w:rPr>
          <w:rFonts w:hint="eastAsia" w:ascii="宋体" w:hAnsi="宋体"/>
          <w:color w:val="auto"/>
          <w:sz w:val="24"/>
          <w:u w:val="single"/>
        </w:rPr>
        <w:t>质量缺陷责任</w:t>
      </w:r>
      <w:r>
        <w:rPr>
          <w:rFonts w:ascii="宋体" w:hAnsi="宋体"/>
          <w:color w:val="auto"/>
          <w:sz w:val="24"/>
          <w:u w:val="single"/>
        </w:rPr>
        <w:t>期满后结清（不计利息）。</w:t>
      </w:r>
    </w:p>
    <w:p>
      <w:pPr>
        <w:tabs>
          <w:tab w:val="left" w:pos="980"/>
        </w:tabs>
        <w:spacing w:line="440" w:lineRule="exact"/>
        <w:ind w:firstLine="480" w:firstLineChars="200"/>
        <w:rPr>
          <w:rFonts w:ascii="宋体" w:hAnsi="宋体"/>
          <w:color w:val="auto"/>
          <w:sz w:val="24"/>
        </w:rPr>
      </w:pPr>
      <w:r>
        <w:rPr>
          <w:rFonts w:hint="eastAsia" w:ascii="宋体" w:hAnsi="宋体"/>
          <w:color w:val="auto"/>
          <w:sz w:val="24"/>
        </w:rPr>
        <w:t>本工程质量保修责任书作为施工合同附件，由施工合同发包人与承包人双方共同签署。</w:t>
      </w:r>
    </w:p>
    <w:p>
      <w:pPr>
        <w:spacing w:line="440" w:lineRule="exact"/>
        <w:jc w:val="left"/>
        <w:rPr>
          <w:rFonts w:ascii="宋体" w:hAnsi="宋体"/>
          <w:color w:val="auto"/>
          <w:sz w:val="24"/>
          <w:szCs w:val="24"/>
        </w:rPr>
      </w:pPr>
    </w:p>
    <w:p>
      <w:pPr>
        <w:spacing w:line="440" w:lineRule="exact"/>
        <w:jc w:val="left"/>
        <w:rPr>
          <w:rFonts w:ascii="宋体" w:hAnsi="宋体"/>
          <w:color w:val="auto"/>
          <w:sz w:val="24"/>
          <w:szCs w:val="24"/>
        </w:rPr>
      </w:pPr>
    </w:p>
    <w:p>
      <w:pPr>
        <w:spacing w:line="440" w:lineRule="exact"/>
        <w:jc w:val="left"/>
        <w:rPr>
          <w:rFonts w:ascii="宋体" w:hAnsi="宋体"/>
          <w:color w:val="auto"/>
          <w:sz w:val="24"/>
          <w:szCs w:val="24"/>
        </w:rPr>
      </w:pPr>
    </w:p>
    <w:p>
      <w:pPr>
        <w:spacing w:line="440" w:lineRule="exact"/>
        <w:jc w:val="left"/>
        <w:rPr>
          <w:rFonts w:ascii="宋体" w:hAnsi="宋体"/>
          <w:color w:val="auto"/>
          <w:sz w:val="24"/>
          <w:szCs w:val="24"/>
        </w:rPr>
      </w:pPr>
    </w:p>
    <w:p>
      <w:pPr>
        <w:spacing w:line="440" w:lineRule="exact"/>
        <w:jc w:val="left"/>
        <w:rPr>
          <w:rFonts w:ascii="宋体" w:hAnsi="宋体"/>
          <w:color w:val="auto"/>
          <w:sz w:val="24"/>
          <w:szCs w:val="24"/>
        </w:rPr>
      </w:pPr>
    </w:p>
    <w:p>
      <w:pPr>
        <w:spacing w:line="440" w:lineRule="exact"/>
        <w:ind w:firstLine="397"/>
        <w:jc w:val="left"/>
        <w:rPr>
          <w:rFonts w:ascii="宋体" w:hAnsi="宋体"/>
          <w:color w:val="auto"/>
          <w:sz w:val="24"/>
          <w:szCs w:val="24"/>
        </w:rPr>
      </w:pPr>
      <w:r>
        <w:rPr>
          <w:rFonts w:hint="eastAsia" w:ascii="宋体" w:hAnsi="宋体"/>
          <w:color w:val="auto"/>
          <w:sz w:val="24"/>
          <w:szCs w:val="24"/>
        </w:rPr>
        <w:t>发包人（公章）：</w:t>
      </w:r>
      <w:r>
        <w:rPr>
          <w:rFonts w:ascii="宋体" w:hAnsi="宋体"/>
          <w:color w:val="auto"/>
          <w:sz w:val="24"/>
          <w:szCs w:val="24"/>
        </w:rPr>
        <w:t xml:space="preserve">                       </w:t>
      </w:r>
      <w:r>
        <w:rPr>
          <w:rFonts w:hint="eastAsia" w:ascii="宋体" w:hAnsi="宋体"/>
          <w:color w:val="auto"/>
          <w:sz w:val="24"/>
          <w:szCs w:val="24"/>
        </w:rPr>
        <w:t>承包人（公章）：</w:t>
      </w:r>
    </w:p>
    <w:p>
      <w:pPr>
        <w:spacing w:line="440" w:lineRule="exact"/>
        <w:ind w:firstLine="397"/>
        <w:jc w:val="left"/>
        <w:rPr>
          <w:rFonts w:ascii="宋体" w:hAnsi="宋体"/>
          <w:color w:val="auto"/>
          <w:sz w:val="24"/>
          <w:szCs w:val="24"/>
        </w:rPr>
      </w:pPr>
    </w:p>
    <w:p>
      <w:pPr>
        <w:spacing w:line="440" w:lineRule="exact"/>
        <w:ind w:firstLine="397"/>
        <w:jc w:val="left"/>
        <w:rPr>
          <w:rFonts w:ascii="宋体" w:hAnsi="宋体"/>
          <w:color w:val="auto"/>
          <w:sz w:val="24"/>
          <w:szCs w:val="24"/>
        </w:rPr>
      </w:pPr>
    </w:p>
    <w:p>
      <w:pPr>
        <w:spacing w:line="440" w:lineRule="exact"/>
        <w:ind w:firstLine="397"/>
        <w:jc w:val="left"/>
        <w:rPr>
          <w:rFonts w:ascii="宋体" w:hAnsi="宋体"/>
          <w:color w:val="auto"/>
          <w:sz w:val="24"/>
          <w:szCs w:val="24"/>
        </w:rPr>
      </w:pPr>
      <w:r>
        <w:rPr>
          <w:rFonts w:hint="eastAsia" w:ascii="宋体" w:hAnsi="宋体"/>
          <w:color w:val="auto"/>
          <w:sz w:val="24"/>
          <w:szCs w:val="24"/>
        </w:rPr>
        <w:t>法定代表人：</w:t>
      </w:r>
      <w:r>
        <w:rPr>
          <w:rFonts w:ascii="宋体" w:hAnsi="宋体"/>
          <w:color w:val="auto"/>
          <w:sz w:val="24"/>
          <w:szCs w:val="24"/>
        </w:rPr>
        <w:t xml:space="preserve">                          </w:t>
      </w:r>
      <w:r>
        <w:rPr>
          <w:rFonts w:hint="eastAsia" w:ascii="宋体" w:hAnsi="宋体"/>
          <w:color w:val="auto"/>
          <w:sz w:val="24"/>
          <w:szCs w:val="24"/>
        </w:rPr>
        <w:t>法定代表人：</w:t>
      </w:r>
    </w:p>
    <w:p>
      <w:pPr>
        <w:spacing w:line="440" w:lineRule="exact"/>
        <w:ind w:firstLine="397"/>
        <w:jc w:val="left"/>
        <w:rPr>
          <w:rFonts w:ascii="宋体" w:hAnsi="宋体"/>
          <w:color w:val="auto"/>
          <w:sz w:val="24"/>
          <w:szCs w:val="24"/>
        </w:rPr>
      </w:pPr>
    </w:p>
    <w:p>
      <w:pPr>
        <w:spacing w:line="440" w:lineRule="exact"/>
        <w:ind w:firstLine="397"/>
        <w:jc w:val="left"/>
        <w:rPr>
          <w:rFonts w:ascii="宋体" w:hAnsi="宋体"/>
          <w:color w:val="auto"/>
          <w:sz w:val="24"/>
          <w:szCs w:val="24"/>
        </w:rPr>
      </w:pPr>
    </w:p>
    <w:p>
      <w:pPr>
        <w:spacing w:line="440" w:lineRule="exact"/>
        <w:ind w:firstLine="397"/>
        <w:jc w:val="left"/>
        <w:rPr>
          <w:rFonts w:ascii="宋体" w:hAnsi="宋体"/>
          <w:color w:val="auto"/>
          <w:sz w:val="24"/>
          <w:szCs w:val="24"/>
        </w:rPr>
      </w:pPr>
      <w:r>
        <w:rPr>
          <w:rFonts w:hint="eastAsia" w:ascii="宋体" w:hAnsi="宋体"/>
          <w:color w:val="auto"/>
          <w:sz w:val="24"/>
          <w:szCs w:val="24"/>
        </w:rPr>
        <w:t>委托代理人：</w:t>
      </w:r>
      <w:r>
        <w:rPr>
          <w:rFonts w:ascii="宋体" w:hAnsi="宋体"/>
          <w:color w:val="auto"/>
          <w:sz w:val="24"/>
          <w:szCs w:val="24"/>
        </w:rPr>
        <w:t xml:space="preserve">                          </w:t>
      </w:r>
      <w:r>
        <w:rPr>
          <w:rFonts w:hint="eastAsia" w:ascii="宋体" w:hAnsi="宋体"/>
          <w:color w:val="auto"/>
          <w:sz w:val="24"/>
          <w:szCs w:val="24"/>
        </w:rPr>
        <w:t>委托代理人：</w:t>
      </w:r>
    </w:p>
    <w:p>
      <w:pPr>
        <w:spacing w:line="440" w:lineRule="exact"/>
        <w:ind w:firstLine="397"/>
        <w:jc w:val="left"/>
        <w:rPr>
          <w:rFonts w:ascii="宋体" w:hAnsi="宋体"/>
          <w:color w:val="auto"/>
          <w:sz w:val="24"/>
          <w:szCs w:val="24"/>
        </w:rPr>
      </w:pPr>
    </w:p>
    <w:p>
      <w:pPr>
        <w:spacing w:line="440" w:lineRule="exact"/>
        <w:ind w:firstLine="397"/>
        <w:jc w:val="left"/>
        <w:rPr>
          <w:rFonts w:ascii="宋体" w:hAnsi="宋体"/>
          <w:color w:val="auto"/>
          <w:sz w:val="24"/>
          <w:szCs w:val="24"/>
        </w:rPr>
      </w:pPr>
    </w:p>
    <w:p>
      <w:pPr>
        <w:spacing w:line="440" w:lineRule="exact"/>
        <w:ind w:firstLine="397"/>
        <w:jc w:val="left"/>
        <w:rPr>
          <w:rFonts w:ascii="宋体" w:hAnsi="宋体"/>
          <w:color w:val="auto"/>
          <w:sz w:val="24"/>
          <w:szCs w:val="24"/>
        </w:rPr>
      </w:pPr>
      <w:r>
        <w:rPr>
          <w:rFonts w:hint="eastAsia" w:ascii="宋体" w:hAnsi="宋体"/>
          <w:color w:val="auto"/>
          <w:sz w:val="24"/>
          <w:szCs w:val="24"/>
        </w:rPr>
        <w:t>签订时间：</w:t>
      </w:r>
      <w:r>
        <w:rPr>
          <w:rFonts w:ascii="宋体" w:hAnsi="宋体"/>
          <w:color w:val="auto"/>
          <w:sz w:val="24"/>
          <w:szCs w:val="24"/>
        </w:rPr>
        <w:t xml:space="preserve">   </w:t>
      </w: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40" w:lineRule="exact"/>
        <w:jc w:val="left"/>
        <w:rPr>
          <w:rFonts w:ascii="宋体" w:hAnsi="宋体" w:cs="宋体"/>
          <w:b/>
          <w:bCs/>
          <w:snapToGrid w:val="0"/>
          <w:color w:val="auto"/>
          <w:kern w:val="0"/>
          <w:sz w:val="30"/>
          <w:szCs w:val="30"/>
        </w:rPr>
      </w:pPr>
      <w:r>
        <w:rPr>
          <w:rFonts w:ascii="宋体" w:hAnsi="宋体"/>
          <w:color w:val="auto"/>
          <w:sz w:val="24"/>
          <w:szCs w:val="24"/>
        </w:rPr>
        <w:br w:type="page"/>
      </w:r>
      <w:r>
        <w:rPr>
          <w:rFonts w:hint="eastAsia" w:ascii="宋体" w:hAnsi="宋体" w:cs="宋体"/>
          <w:b/>
          <w:bCs/>
          <w:snapToGrid w:val="0"/>
          <w:color w:val="auto"/>
          <w:kern w:val="0"/>
          <w:sz w:val="30"/>
          <w:szCs w:val="30"/>
        </w:rPr>
        <w:t xml:space="preserve"> 附件：            </w:t>
      </w:r>
      <w:r>
        <w:rPr>
          <w:rFonts w:hint="eastAsia" w:ascii="宋体" w:hAnsi="宋体" w:cs="宋体"/>
          <w:snapToGrid w:val="0"/>
          <w:color w:val="auto"/>
          <w:kern w:val="0"/>
          <w:sz w:val="24"/>
          <w:szCs w:val="32"/>
        </w:rPr>
        <w:t xml:space="preserve">  </w:t>
      </w:r>
      <w:r>
        <w:rPr>
          <w:rFonts w:hint="eastAsia" w:ascii="宋体" w:hAnsi="宋体" w:cs="宋体"/>
          <w:b/>
          <w:bCs/>
          <w:snapToGrid w:val="0"/>
          <w:color w:val="auto"/>
          <w:kern w:val="0"/>
          <w:sz w:val="30"/>
          <w:szCs w:val="30"/>
        </w:rPr>
        <w:t>工程建设项目廉政责任书</w:t>
      </w:r>
    </w:p>
    <w:p>
      <w:pPr>
        <w:adjustRightInd w:val="0"/>
        <w:snapToGrid w:val="0"/>
        <w:spacing w:line="400" w:lineRule="exact"/>
        <w:rPr>
          <w:rFonts w:ascii="宋体" w:hAnsi="宋体"/>
          <w:snapToGrid w:val="0"/>
          <w:color w:val="auto"/>
          <w:kern w:val="0"/>
          <w:sz w:val="24"/>
          <w:szCs w:val="20"/>
        </w:rPr>
      </w:pPr>
    </w:p>
    <w:p>
      <w:pPr>
        <w:adjustRightInd w:val="0"/>
        <w:snapToGrid w:val="0"/>
        <w:spacing w:line="400" w:lineRule="exact"/>
        <w:ind w:left="495" w:hanging="495"/>
        <w:rPr>
          <w:rFonts w:ascii="宋体" w:hAnsi="宋体" w:cs="宋体"/>
          <w:snapToGrid w:val="0"/>
          <w:color w:val="auto"/>
          <w:kern w:val="0"/>
          <w:sz w:val="24"/>
          <w:szCs w:val="32"/>
          <w:u w:val="single"/>
        </w:rPr>
      </w:pPr>
      <w:r>
        <w:rPr>
          <w:rFonts w:hint="eastAsia" w:ascii="宋体" w:hAnsi="宋体" w:cs="宋体"/>
          <w:snapToGrid w:val="0"/>
          <w:color w:val="auto"/>
          <w:kern w:val="0"/>
          <w:sz w:val="24"/>
          <w:szCs w:val="32"/>
        </w:rPr>
        <w:t>工程项目名称：</w:t>
      </w:r>
      <w:r>
        <w:rPr>
          <w:rFonts w:hint="eastAsia" w:ascii="宋体" w:hAnsi="宋体" w:cs="宋体"/>
          <w:snapToGrid w:val="0"/>
          <w:color w:val="auto"/>
          <w:kern w:val="0"/>
          <w:sz w:val="24"/>
          <w:szCs w:val="32"/>
          <w:u w:val="single"/>
        </w:rPr>
        <w:t xml:space="preserve">                                </w:t>
      </w:r>
    </w:p>
    <w:p>
      <w:pPr>
        <w:adjustRightInd w:val="0"/>
        <w:snapToGrid w:val="0"/>
        <w:spacing w:line="400" w:lineRule="exact"/>
        <w:ind w:left="495" w:hanging="495"/>
        <w:rPr>
          <w:rFonts w:ascii="宋体" w:hAnsi="宋体" w:cs="宋体"/>
          <w:snapToGrid w:val="0"/>
          <w:color w:val="auto"/>
          <w:kern w:val="0"/>
          <w:sz w:val="24"/>
          <w:szCs w:val="32"/>
        </w:rPr>
      </w:pPr>
      <w:r>
        <w:rPr>
          <w:rFonts w:hint="eastAsia" w:ascii="宋体" w:hAnsi="宋体" w:cs="宋体"/>
          <w:snapToGrid w:val="0"/>
          <w:color w:val="auto"/>
          <w:kern w:val="0"/>
          <w:sz w:val="24"/>
          <w:szCs w:val="32"/>
        </w:rPr>
        <w:t>工程项目地址：</w:t>
      </w:r>
      <w:r>
        <w:rPr>
          <w:rFonts w:hint="eastAsia" w:ascii="宋体" w:hAnsi="宋体" w:cs="宋体"/>
          <w:snapToGrid w:val="0"/>
          <w:color w:val="auto"/>
          <w:kern w:val="0"/>
          <w:sz w:val="24"/>
          <w:szCs w:val="32"/>
          <w:u w:val="single"/>
        </w:rPr>
        <w:t xml:space="preserve">                                </w:t>
      </w:r>
    </w:p>
    <w:p>
      <w:pPr>
        <w:adjustRightInd w:val="0"/>
        <w:snapToGrid w:val="0"/>
        <w:spacing w:line="400" w:lineRule="exact"/>
        <w:rPr>
          <w:rFonts w:ascii="宋体" w:hAnsi="宋体" w:cs="宋体"/>
          <w:snapToGrid w:val="0"/>
          <w:color w:val="auto"/>
          <w:kern w:val="0"/>
          <w:sz w:val="24"/>
          <w:szCs w:val="32"/>
          <w:u w:val="single"/>
        </w:rPr>
      </w:pPr>
      <w:r>
        <w:rPr>
          <w:rFonts w:hint="eastAsia" w:ascii="宋体" w:hAnsi="宋体" w:cs="宋体"/>
          <w:snapToGrid w:val="0"/>
          <w:color w:val="auto"/>
          <w:kern w:val="0"/>
          <w:sz w:val="24"/>
          <w:szCs w:val="32"/>
        </w:rPr>
        <w:t xml:space="preserve">甲方： </w:t>
      </w:r>
      <w:r>
        <w:rPr>
          <w:rFonts w:hint="eastAsia" w:ascii="宋体" w:hAnsi="宋体" w:cs="宋体"/>
          <w:snapToGrid w:val="0"/>
          <w:color w:val="auto"/>
          <w:kern w:val="0"/>
          <w:sz w:val="24"/>
          <w:szCs w:val="32"/>
          <w:u w:val="single"/>
        </w:rPr>
        <w:t xml:space="preserve">                                       </w:t>
      </w:r>
    </w:p>
    <w:p>
      <w:pPr>
        <w:adjustRightInd w:val="0"/>
        <w:snapToGrid w:val="0"/>
        <w:spacing w:line="400" w:lineRule="exact"/>
        <w:rPr>
          <w:rFonts w:ascii="宋体" w:hAnsi="宋体" w:cs="宋体"/>
          <w:snapToGrid w:val="0"/>
          <w:color w:val="auto"/>
          <w:kern w:val="0"/>
          <w:sz w:val="24"/>
          <w:szCs w:val="32"/>
        </w:rPr>
      </w:pPr>
      <w:r>
        <w:rPr>
          <w:rFonts w:hint="eastAsia" w:ascii="宋体" w:hAnsi="宋体" w:cs="宋体"/>
          <w:snapToGrid w:val="0"/>
          <w:color w:val="auto"/>
          <w:kern w:val="0"/>
          <w:sz w:val="24"/>
          <w:szCs w:val="32"/>
        </w:rPr>
        <w:t xml:space="preserve">乙方： </w:t>
      </w:r>
      <w:r>
        <w:rPr>
          <w:rFonts w:hint="eastAsia" w:ascii="宋体" w:hAnsi="宋体" w:cs="宋体"/>
          <w:snapToGrid w:val="0"/>
          <w:color w:val="auto"/>
          <w:kern w:val="0"/>
          <w:sz w:val="24"/>
          <w:szCs w:val="32"/>
          <w:u w:val="single"/>
        </w:rPr>
        <w:t xml:space="preserve">                                       </w:t>
      </w:r>
    </w:p>
    <w:p>
      <w:pPr>
        <w:adjustRightInd w:val="0"/>
        <w:snapToGrid w:val="0"/>
        <w:spacing w:line="400" w:lineRule="exact"/>
        <w:rPr>
          <w:rFonts w:ascii="宋体" w:hAnsi="宋体" w:cs="宋体"/>
          <w:snapToGrid w:val="0"/>
          <w:color w:val="auto"/>
          <w:kern w:val="0"/>
          <w:sz w:val="24"/>
          <w:szCs w:val="32"/>
        </w:rPr>
      </w:pP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440" w:lineRule="exact"/>
        <w:ind w:firstLine="482"/>
        <w:rPr>
          <w:rFonts w:ascii="宋体" w:hAnsi="宋体" w:cs="宋体"/>
          <w:b/>
          <w:color w:val="auto"/>
          <w:kern w:val="0"/>
          <w:sz w:val="24"/>
        </w:rPr>
      </w:pPr>
      <w:r>
        <w:rPr>
          <w:rFonts w:hint="eastAsia" w:ascii="宋体" w:hAnsi="宋体" w:cs="宋体"/>
          <w:b/>
          <w:snapToGrid w:val="0"/>
          <w:color w:val="auto"/>
          <w:kern w:val="0"/>
          <w:sz w:val="24"/>
          <w:lang w:bidi="ar"/>
        </w:rPr>
        <w:t>第一条</w:t>
      </w:r>
      <w:r>
        <w:rPr>
          <w:rFonts w:hint="eastAsia" w:ascii="宋体" w:hAnsi="宋体" w:cs="宋体"/>
          <w:snapToGrid w:val="0"/>
          <w:color w:val="auto"/>
          <w:kern w:val="0"/>
          <w:sz w:val="24"/>
          <w:lang w:bidi="ar"/>
        </w:rPr>
        <w:t>甲、乙双方的责任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（一）应严格遵守国家关于市场准入、项目招标投标、</w:t>
      </w:r>
      <w:r>
        <w:rPr>
          <w:rFonts w:hint="eastAsia" w:ascii="宋体" w:hAnsi="宋体" w:cs="宋体"/>
          <w:color w:val="auto"/>
          <w:kern w:val="0"/>
          <w:sz w:val="24"/>
          <w:lang w:bidi="ar"/>
        </w:rPr>
        <w:t>工程建设和市场活动</w:t>
      </w:r>
      <w:r>
        <w:rPr>
          <w:rFonts w:hint="eastAsia" w:ascii="宋体" w:hAnsi="宋体" w:cs="宋体"/>
          <w:snapToGrid w:val="0"/>
          <w:color w:val="auto"/>
          <w:kern w:val="0"/>
          <w:sz w:val="24"/>
          <w:lang w:bidi="ar"/>
        </w:rPr>
        <w:t>等有关法律、法规、相关政策，以及廉政建设的各项规定。</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（二）严格执行建设工程项目承发包合同文件，自觉按合同办事。</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lang w:bidi="ar"/>
        </w:rPr>
        <w:t>违反工程建设过程管理的规章制度。</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（四）发现对方在业务活动中有违规、违纪、违法行为的，应及时提醒对方，情节严重的，应向其上级主管部门或纪检监察、司法等有关机关举报。</w:t>
      </w:r>
    </w:p>
    <w:p>
      <w:pPr>
        <w:adjustRightInd w:val="0"/>
        <w:snapToGrid w:val="0"/>
        <w:spacing w:line="440" w:lineRule="exact"/>
        <w:ind w:firstLine="482"/>
        <w:rPr>
          <w:rFonts w:ascii="宋体" w:hAnsi="宋体" w:cs="宋体"/>
          <w:color w:val="auto"/>
          <w:kern w:val="0"/>
          <w:sz w:val="24"/>
        </w:rPr>
      </w:pPr>
      <w:r>
        <w:rPr>
          <w:rFonts w:hint="eastAsia" w:ascii="宋体" w:hAnsi="宋体" w:cs="宋体"/>
          <w:b/>
          <w:snapToGrid w:val="0"/>
          <w:color w:val="auto"/>
          <w:kern w:val="0"/>
          <w:sz w:val="24"/>
          <w:lang w:bidi="ar"/>
        </w:rPr>
        <w:t>第二条</w:t>
      </w:r>
      <w:r>
        <w:rPr>
          <w:rFonts w:hint="eastAsia" w:ascii="宋体" w:hAnsi="宋体" w:cs="宋体"/>
          <w:snapToGrid w:val="0"/>
          <w:color w:val="auto"/>
          <w:kern w:val="0"/>
          <w:sz w:val="24"/>
          <w:lang w:bidi="ar"/>
        </w:rPr>
        <w:t>甲方的责任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甲方的领导和从事本建设工程项目的工作人员，在工程建设的事前、事中、事后应遵守以下规定：</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（一）不准向乙方和相关单位索要或接受回扣、礼金、有价证券、贵重物品和好处费、感谢费等。</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（二）不准在乙方和相关单位报销任何应由甲方或个人支付的费用。</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（三）不准要求、暗示或接受乙方和相关单位为个人装修住房、婚丧嫁娶、配偶子女的工作安排以及出国（境）、旅游等提供方便。</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（四）不准参加有可能影响公正执行公务的乙方及相关单位的宴请、健身、娱乐等活动。</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（五）不准向乙方介绍或为配偶、子女、亲属参与同甲方项目工程合同有关的设备、材料、工程分包、劳务等经济活动。不得以任何理由向乙方和相关单位推荐分包单位。</w:t>
      </w:r>
    </w:p>
    <w:p>
      <w:pPr>
        <w:adjustRightInd w:val="0"/>
        <w:snapToGrid w:val="0"/>
        <w:spacing w:line="440" w:lineRule="exact"/>
        <w:ind w:firstLine="482"/>
        <w:rPr>
          <w:rFonts w:ascii="宋体" w:hAnsi="宋体" w:cs="宋体"/>
          <w:color w:val="auto"/>
          <w:kern w:val="0"/>
          <w:sz w:val="24"/>
        </w:rPr>
      </w:pPr>
      <w:r>
        <w:rPr>
          <w:rFonts w:hint="eastAsia" w:ascii="宋体" w:hAnsi="宋体" w:cs="宋体"/>
          <w:b/>
          <w:snapToGrid w:val="0"/>
          <w:color w:val="auto"/>
          <w:kern w:val="0"/>
          <w:sz w:val="24"/>
          <w:lang w:bidi="ar"/>
        </w:rPr>
        <w:t>第三条</w:t>
      </w:r>
      <w:r>
        <w:rPr>
          <w:rFonts w:hint="eastAsia" w:ascii="宋体" w:hAnsi="宋体" w:cs="宋体"/>
          <w:snapToGrid w:val="0"/>
          <w:color w:val="auto"/>
          <w:kern w:val="0"/>
          <w:sz w:val="24"/>
          <w:lang w:bidi="ar"/>
        </w:rPr>
        <w:t>乙方的责任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应与甲方保持正常的业务交往，按照有关法律法规和程序开展业务工作，严格执行</w:t>
      </w:r>
      <w:r>
        <w:rPr>
          <w:rFonts w:hint="eastAsia" w:ascii="宋体" w:hAnsi="宋体" w:cs="宋体"/>
          <w:color w:val="auto"/>
          <w:kern w:val="0"/>
          <w:sz w:val="24"/>
          <w:lang w:bidi="ar"/>
        </w:rPr>
        <w:t>工程建设过程管理的有关方针、政策，尤其是强制性标准和规范</w:t>
      </w:r>
      <w:r>
        <w:rPr>
          <w:rFonts w:hint="eastAsia" w:ascii="宋体" w:hAnsi="宋体" w:cs="宋体"/>
          <w:snapToGrid w:val="0"/>
          <w:color w:val="auto"/>
          <w:kern w:val="0"/>
          <w:sz w:val="24"/>
          <w:lang w:bidi="ar"/>
        </w:rPr>
        <w:t>，并遵守以下规定：</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（一）不准以任何理由向甲方、相关单位及其工作人员索要、接受或赠送礼金、有价证券、贵重物品及回扣、好处费、感谢费等。</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（二）不准以任何理由为甲方和相关单位报销应由对方或个人支付的费用。</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（三）不准接受或暗示为甲方、相关单位或个人装修住房、婚丧嫁娶、配偶子女的工作安排以及出国（境）、旅游等提供方便。</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（四）不准以任何理由为甲方、相关单位或个人组织有可能影响公正执行公务的宴请、健身、娱乐等活动。</w:t>
      </w:r>
    </w:p>
    <w:p>
      <w:pPr>
        <w:adjustRightInd w:val="0"/>
        <w:snapToGrid w:val="0"/>
        <w:spacing w:line="440" w:lineRule="exact"/>
        <w:ind w:firstLine="482"/>
        <w:rPr>
          <w:rFonts w:ascii="宋体" w:hAnsi="宋体" w:cs="宋体"/>
          <w:color w:val="auto"/>
          <w:kern w:val="0"/>
          <w:sz w:val="24"/>
        </w:rPr>
      </w:pPr>
      <w:r>
        <w:rPr>
          <w:rFonts w:hint="eastAsia" w:ascii="宋体" w:hAnsi="宋体" w:cs="宋体"/>
          <w:b/>
          <w:snapToGrid w:val="0"/>
          <w:color w:val="auto"/>
          <w:kern w:val="0"/>
          <w:sz w:val="24"/>
          <w:lang w:bidi="ar"/>
        </w:rPr>
        <w:t>第四条</w:t>
      </w:r>
      <w:r>
        <w:rPr>
          <w:rFonts w:hint="eastAsia" w:ascii="宋体" w:hAnsi="宋体" w:cs="宋体"/>
          <w:snapToGrid w:val="0"/>
          <w:color w:val="auto"/>
          <w:kern w:val="0"/>
          <w:sz w:val="24"/>
          <w:lang w:bidi="ar"/>
        </w:rPr>
        <w:t>违约责任</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440" w:lineRule="exact"/>
        <w:ind w:firstLine="482"/>
        <w:rPr>
          <w:rFonts w:ascii="宋体" w:hAnsi="宋体" w:cs="宋体"/>
          <w:color w:val="auto"/>
          <w:kern w:val="0"/>
          <w:sz w:val="24"/>
        </w:rPr>
      </w:pPr>
      <w:r>
        <w:rPr>
          <w:rFonts w:hint="eastAsia" w:ascii="宋体" w:hAnsi="宋体" w:cs="宋体"/>
          <w:snapToGrid w:val="0"/>
          <w:color w:val="auto"/>
          <w:kern w:val="0"/>
          <w:sz w:val="24"/>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440" w:lineRule="exact"/>
        <w:ind w:firstLine="482"/>
        <w:rPr>
          <w:rFonts w:ascii="宋体" w:hAnsi="宋体" w:cs="宋体"/>
          <w:b/>
          <w:color w:val="auto"/>
          <w:kern w:val="0"/>
          <w:sz w:val="24"/>
        </w:rPr>
      </w:pPr>
      <w:r>
        <w:rPr>
          <w:rFonts w:hint="eastAsia" w:ascii="宋体" w:hAnsi="宋体" w:cs="宋体"/>
          <w:b/>
          <w:snapToGrid w:val="0"/>
          <w:color w:val="auto"/>
          <w:kern w:val="0"/>
          <w:sz w:val="24"/>
          <w:lang w:bidi="ar"/>
        </w:rPr>
        <w:t>第五条</w:t>
      </w:r>
      <w:r>
        <w:rPr>
          <w:rFonts w:hint="eastAsia" w:ascii="宋体" w:hAnsi="宋体" w:cs="宋体"/>
          <w:snapToGrid w:val="0"/>
          <w:color w:val="auto"/>
          <w:kern w:val="0"/>
          <w:sz w:val="24"/>
          <w:lang w:bidi="ar"/>
        </w:rPr>
        <w:t>本廉政责任书作为合同的附件，与合同具有同等法律效力。经双方签署后立即生效。</w:t>
      </w:r>
    </w:p>
    <w:p>
      <w:pPr>
        <w:adjustRightInd w:val="0"/>
        <w:snapToGrid w:val="0"/>
        <w:spacing w:line="440" w:lineRule="exact"/>
        <w:ind w:firstLine="482"/>
        <w:rPr>
          <w:rFonts w:ascii="宋体" w:hAnsi="宋体" w:cs="宋体"/>
          <w:b/>
          <w:color w:val="auto"/>
          <w:kern w:val="0"/>
          <w:sz w:val="24"/>
        </w:rPr>
      </w:pPr>
      <w:r>
        <w:rPr>
          <w:rFonts w:hint="eastAsia" w:ascii="宋体" w:hAnsi="宋体" w:cs="宋体"/>
          <w:b/>
          <w:snapToGrid w:val="0"/>
          <w:color w:val="auto"/>
          <w:kern w:val="0"/>
          <w:sz w:val="24"/>
          <w:lang w:bidi="ar"/>
        </w:rPr>
        <w:t>第六条</w:t>
      </w:r>
      <w:r>
        <w:rPr>
          <w:rFonts w:hint="eastAsia" w:ascii="宋体" w:hAnsi="宋体" w:cs="宋体"/>
          <w:snapToGrid w:val="0"/>
          <w:color w:val="auto"/>
          <w:kern w:val="0"/>
          <w:sz w:val="24"/>
          <w:lang w:bidi="ar"/>
        </w:rPr>
        <w:t>本廉政责任书的有效期与合同的有效期相同。</w:t>
      </w:r>
    </w:p>
    <w:p>
      <w:pPr>
        <w:adjustRightInd w:val="0"/>
        <w:snapToGrid w:val="0"/>
        <w:spacing w:line="440" w:lineRule="exact"/>
        <w:rPr>
          <w:rFonts w:ascii="宋体" w:hAnsi="宋体" w:cs="宋体"/>
          <w:color w:val="auto"/>
          <w:kern w:val="0"/>
          <w:sz w:val="24"/>
        </w:rPr>
      </w:pPr>
      <w:r>
        <w:rPr>
          <w:rFonts w:hint="eastAsia" w:ascii="宋体" w:hAnsi="宋体" w:cs="宋体"/>
          <w:b/>
          <w:color w:val="auto"/>
          <w:kern w:val="0"/>
          <w:sz w:val="24"/>
          <w:lang w:bidi="ar"/>
        </w:rPr>
        <w:t xml:space="preserve">    </w:t>
      </w:r>
      <w:r>
        <w:rPr>
          <w:rFonts w:hint="eastAsia" w:ascii="宋体" w:hAnsi="宋体" w:cs="宋体"/>
          <w:b/>
          <w:snapToGrid w:val="0"/>
          <w:color w:val="auto"/>
          <w:kern w:val="0"/>
          <w:sz w:val="24"/>
          <w:lang w:bidi="ar"/>
        </w:rPr>
        <w:t>第七条</w:t>
      </w:r>
      <w:r>
        <w:rPr>
          <w:rFonts w:hint="eastAsia" w:ascii="宋体" w:hAnsi="宋体" w:cs="宋体"/>
          <w:snapToGrid w:val="0"/>
          <w:color w:val="auto"/>
          <w:kern w:val="0"/>
          <w:sz w:val="24"/>
          <w:lang w:bidi="ar"/>
        </w:rPr>
        <w:t>本廉政责任书一式十份，</w:t>
      </w:r>
      <w:r>
        <w:rPr>
          <w:rFonts w:hint="eastAsia" w:ascii="宋体" w:hAnsi="宋体" w:cs="宋体"/>
          <w:bCs/>
          <w:color w:val="auto"/>
          <w:kern w:val="0"/>
          <w:sz w:val="24"/>
          <w:lang w:bidi="ar"/>
        </w:rPr>
        <w:t>甲方执六份，乙方执四份。</w:t>
      </w:r>
    </w:p>
    <w:p>
      <w:pPr>
        <w:adjustRightInd w:val="0"/>
        <w:snapToGrid w:val="0"/>
        <w:spacing w:line="380" w:lineRule="exact"/>
        <w:ind w:right="11"/>
        <w:rPr>
          <w:rFonts w:ascii="宋体" w:hAnsi="宋体" w:cs="宋体"/>
          <w:snapToGrid w:val="0"/>
          <w:color w:val="auto"/>
          <w:kern w:val="0"/>
          <w:sz w:val="24"/>
        </w:rPr>
      </w:pPr>
    </w:p>
    <w:p>
      <w:pPr>
        <w:adjustRightInd w:val="0"/>
        <w:snapToGrid w:val="0"/>
        <w:spacing w:line="360" w:lineRule="auto"/>
        <w:ind w:left="1920" w:right="11" w:hanging="1920" w:hangingChars="800"/>
        <w:rPr>
          <w:rFonts w:ascii="宋体" w:hAnsi="宋体" w:cs="宋体"/>
          <w:snapToGrid w:val="0"/>
          <w:color w:val="auto"/>
          <w:kern w:val="0"/>
          <w:sz w:val="24"/>
          <w:szCs w:val="32"/>
        </w:rPr>
      </w:pPr>
      <w:r>
        <w:rPr>
          <w:rFonts w:hint="eastAsia" w:ascii="宋体" w:hAnsi="宋体" w:cs="宋体"/>
          <w:snapToGrid w:val="0"/>
          <w:color w:val="auto"/>
          <w:kern w:val="0"/>
          <w:sz w:val="24"/>
          <w:szCs w:val="32"/>
        </w:rPr>
        <w:t xml:space="preserve">甲方：                                 乙方： </w:t>
      </w:r>
    </w:p>
    <w:p>
      <w:pPr>
        <w:adjustRightInd w:val="0"/>
        <w:snapToGrid w:val="0"/>
        <w:spacing w:line="360" w:lineRule="auto"/>
        <w:ind w:left="1917" w:leftChars="513" w:right="11" w:hanging="840" w:hangingChars="350"/>
        <w:rPr>
          <w:rFonts w:ascii="宋体" w:hAnsi="宋体" w:cs="宋体"/>
          <w:snapToGrid w:val="0"/>
          <w:color w:val="auto"/>
          <w:kern w:val="0"/>
          <w:sz w:val="24"/>
          <w:szCs w:val="32"/>
        </w:rPr>
      </w:pPr>
      <w:r>
        <w:rPr>
          <w:rFonts w:hint="eastAsia" w:ascii="宋体" w:hAnsi="宋体" w:cs="宋体"/>
          <w:snapToGrid w:val="0"/>
          <w:color w:val="auto"/>
          <w:kern w:val="0"/>
          <w:sz w:val="24"/>
          <w:szCs w:val="32"/>
        </w:rPr>
        <w:t xml:space="preserve">                          </w:t>
      </w:r>
    </w:p>
    <w:p>
      <w:pPr>
        <w:adjustRightInd w:val="0"/>
        <w:snapToGrid w:val="0"/>
        <w:spacing w:line="360" w:lineRule="auto"/>
        <w:ind w:right="11"/>
        <w:rPr>
          <w:rFonts w:ascii="宋体" w:hAnsi="宋体" w:cs="宋体"/>
          <w:snapToGrid w:val="0"/>
          <w:color w:val="auto"/>
          <w:kern w:val="0"/>
          <w:sz w:val="24"/>
          <w:szCs w:val="32"/>
        </w:rPr>
      </w:pPr>
      <w:r>
        <w:rPr>
          <w:rFonts w:hint="eastAsia" w:ascii="宋体" w:hAnsi="宋体" w:cs="宋体"/>
          <w:snapToGrid w:val="0"/>
          <w:color w:val="auto"/>
          <w:kern w:val="0"/>
          <w:sz w:val="24"/>
          <w:szCs w:val="32"/>
        </w:rPr>
        <w:t>法定代表人：                           法定代表人：</w:t>
      </w:r>
    </w:p>
    <w:p>
      <w:pPr>
        <w:tabs>
          <w:tab w:val="left" w:pos="5460"/>
        </w:tabs>
        <w:adjustRightInd w:val="0"/>
        <w:snapToGrid w:val="0"/>
        <w:spacing w:line="360" w:lineRule="auto"/>
        <w:ind w:left="-2" w:leftChars="-1" w:right="11"/>
        <w:rPr>
          <w:rFonts w:ascii="宋体" w:hAnsi="宋体" w:cs="宋体"/>
          <w:snapToGrid w:val="0"/>
          <w:color w:val="auto"/>
          <w:kern w:val="0"/>
          <w:sz w:val="24"/>
          <w:szCs w:val="32"/>
        </w:rPr>
      </w:pPr>
    </w:p>
    <w:p>
      <w:pPr>
        <w:tabs>
          <w:tab w:val="left" w:pos="5460"/>
        </w:tabs>
        <w:adjustRightInd w:val="0"/>
        <w:snapToGrid w:val="0"/>
        <w:spacing w:line="360" w:lineRule="auto"/>
        <w:ind w:left="-2" w:leftChars="-1" w:right="11"/>
        <w:rPr>
          <w:rFonts w:ascii="宋体" w:hAnsi="宋体" w:cs="宋体"/>
          <w:snapToGrid w:val="0"/>
          <w:color w:val="auto"/>
          <w:kern w:val="0"/>
          <w:sz w:val="24"/>
          <w:szCs w:val="32"/>
        </w:rPr>
      </w:pPr>
      <w:r>
        <w:rPr>
          <w:rFonts w:hint="eastAsia" w:ascii="宋体" w:hAnsi="宋体" w:cs="宋体"/>
          <w:snapToGrid w:val="0"/>
          <w:color w:val="auto"/>
          <w:kern w:val="0"/>
          <w:sz w:val="24"/>
          <w:szCs w:val="32"/>
        </w:rPr>
        <w:t>委托代理人：                           委托代理人：</w:t>
      </w:r>
    </w:p>
    <w:p>
      <w:pPr>
        <w:tabs>
          <w:tab w:val="left" w:pos="5460"/>
        </w:tabs>
        <w:adjustRightInd w:val="0"/>
        <w:snapToGrid w:val="0"/>
        <w:spacing w:line="400" w:lineRule="exact"/>
        <w:ind w:left="-2" w:leftChars="-1" w:right="11"/>
        <w:rPr>
          <w:rFonts w:ascii="宋体" w:hAnsi="宋体" w:cs="宋体"/>
          <w:snapToGrid w:val="0"/>
          <w:color w:val="auto"/>
          <w:kern w:val="0"/>
          <w:sz w:val="24"/>
          <w:szCs w:val="32"/>
        </w:rPr>
      </w:pPr>
    </w:p>
    <w:p>
      <w:pPr>
        <w:tabs>
          <w:tab w:val="left" w:pos="5460"/>
        </w:tabs>
        <w:adjustRightInd w:val="0"/>
        <w:snapToGrid w:val="0"/>
        <w:spacing w:line="400" w:lineRule="exact"/>
        <w:ind w:left="-2" w:leftChars="-1" w:right="11"/>
        <w:rPr>
          <w:rFonts w:ascii="宋体" w:hAnsi="宋体" w:cs="宋体"/>
          <w:snapToGrid w:val="0"/>
          <w:color w:val="auto"/>
          <w:kern w:val="0"/>
          <w:sz w:val="24"/>
          <w:szCs w:val="32"/>
        </w:rPr>
      </w:pPr>
      <w:r>
        <w:rPr>
          <w:rFonts w:hint="eastAsia" w:ascii="宋体" w:hAnsi="宋体" w:cs="宋体"/>
          <w:snapToGrid w:val="0"/>
          <w:color w:val="auto"/>
          <w:kern w:val="0"/>
          <w:sz w:val="24"/>
          <w:szCs w:val="32"/>
        </w:rPr>
        <w:t>签约日期：</w:t>
      </w:r>
      <w:r>
        <w:rPr>
          <w:rFonts w:hint="eastAsia" w:ascii="宋体" w:hAnsi="宋体" w:cs="宋体"/>
          <w:snapToGrid w:val="0"/>
          <w:color w:val="auto"/>
          <w:kern w:val="0"/>
          <w:sz w:val="24"/>
          <w:szCs w:val="32"/>
          <w:u w:val="single"/>
        </w:rPr>
        <w:t xml:space="preserve">    </w:t>
      </w:r>
      <w:r>
        <w:rPr>
          <w:rFonts w:hint="eastAsia" w:ascii="宋体" w:hAnsi="宋体" w:cs="宋体"/>
          <w:snapToGrid w:val="0"/>
          <w:color w:val="auto"/>
          <w:kern w:val="0"/>
          <w:sz w:val="24"/>
          <w:szCs w:val="32"/>
        </w:rPr>
        <w:t>年</w:t>
      </w:r>
      <w:r>
        <w:rPr>
          <w:rFonts w:hint="eastAsia" w:ascii="宋体" w:hAnsi="宋体" w:cs="宋体"/>
          <w:snapToGrid w:val="0"/>
          <w:color w:val="auto"/>
          <w:kern w:val="0"/>
          <w:sz w:val="24"/>
          <w:szCs w:val="32"/>
          <w:u w:val="single"/>
        </w:rPr>
        <w:t xml:space="preserve">   </w:t>
      </w:r>
      <w:r>
        <w:rPr>
          <w:rFonts w:hint="eastAsia" w:ascii="宋体" w:hAnsi="宋体" w:cs="宋体"/>
          <w:snapToGrid w:val="0"/>
          <w:color w:val="auto"/>
          <w:kern w:val="0"/>
          <w:sz w:val="24"/>
          <w:szCs w:val="32"/>
        </w:rPr>
        <w:t>月</w:t>
      </w:r>
      <w:r>
        <w:rPr>
          <w:rFonts w:hint="eastAsia" w:ascii="宋体" w:hAnsi="宋体" w:cs="宋体"/>
          <w:snapToGrid w:val="0"/>
          <w:color w:val="auto"/>
          <w:kern w:val="0"/>
          <w:sz w:val="24"/>
          <w:szCs w:val="32"/>
          <w:u w:val="single"/>
        </w:rPr>
        <w:t xml:space="preserve">   </w:t>
      </w:r>
      <w:r>
        <w:rPr>
          <w:rFonts w:hint="eastAsia" w:ascii="宋体" w:hAnsi="宋体" w:cs="宋体"/>
          <w:snapToGrid w:val="0"/>
          <w:color w:val="auto"/>
          <w:kern w:val="0"/>
          <w:sz w:val="24"/>
          <w:szCs w:val="32"/>
        </w:rPr>
        <w:t xml:space="preserve">日                      </w:t>
      </w:r>
    </w:p>
    <w:p>
      <w:pPr>
        <w:spacing w:line="400" w:lineRule="exact"/>
        <w:rPr>
          <w:rFonts w:ascii="宋体" w:hAnsi="宋体" w:cs="宋体"/>
          <w:snapToGrid w:val="0"/>
          <w:color w:val="auto"/>
          <w:kern w:val="0"/>
          <w:sz w:val="24"/>
          <w:szCs w:val="32"/>
        </w:rPr>
      </w:pPr>
      <w:r>
        <w:rPr>
          <w:rFonts w:hint="eastAsia" w:ascii="宋体" w:hAnsi="宋体" w:cs="宋体"/>
          <w:snapToGrid w:val="0"/>
          <w:color w:val="auto"/>
          <w:kern w:val="0"/>
          <w:sz w:val="24"/>
          <w:szCs w:val="32"/>
        </w:rPr>
        <w:t>签约地点：广东省广州市黄埔区。</w:t>
      </w:r>
    </w:p>
    <w:p>
      <w:pPr>
        <w:pStyle w:val="2"/>
        <w:rPr>
          <w:rFonts w:hAnsi="宋体" w:cs="宋体"/>
          <w:snapToGrid w:val="0"/>
          <w:color w:val="auto"/>
          <w:kern w:val="0"/>
          <w:sz w:val="24"/>
          <w:szCs w:val="32"/>
        </w:rPr>
      </w:pPr>
    </w:p>
    <w:p>
      <w:pPr>
        <w:rPr>
          <w:rFonts w:hint="eastAsia" w:ascii="宋体" w:hAnsi="宋体" w:cs="仿宋_GB2312"/>
          <w:b/>
          <w:bCs/>
          <w:color w:val="auto"/>
          <w:szCs w:val="21"/>
        </w:rPr>
      </w:pPr>
      <w:r>
        <w:rPr>
          <w:rFonts w:hint="eastAsia" w:ascii="宋体" w:hAnsi="宋体" w:cs="仿宋_GB2312"/>
          <w:b/>
          <w:bCs/>
          <w:color w:val="auto"/>
          <w:szCs w:val="21"/>
        </w:rPr>
        <w:br w:type="page"/>
      </w:r>
    </w:p>
    <w:p>
      <w:pPr>
        <w:jc w:val="center"/>
        <w:rPr>
          <w:rFonts w:ascii="宋体" w:hAnsi="宋体"/>
          <w:b/>
          <w:color w:val="auto"/>
          <w:szCs w:val="21"/>
        </w:rPr>
      </w:pPr>
      <w:r>
        <w:rPr>
          <w:rFonts w:hint="eastAsia" w:ascii="宋体" w:hAnsi="宋体" w:cs="仿宋_GB2312"/>
          <w:b/>
          <w:bCs/>
          <w:color w:val="auto"/>
          <w:szCs w:val="21"/>
        </w:rPr>
        <w:t>工程预付款资金共管协议</w:t>
      </w:r>
    </w:p>
    <w:p>
      <w:pPr>
        <w:jc w:val="center"/>
        <w:rPr>
          <w:rFonts w:ascii="宋体" w:hAnsi="宋体" w:cs="宋体"/>
          <w:b/>
          <w:color w:val="auto"/>
          <w:szCs w:val="21"/>
        </w:rPr>
      </w:pPr>
    </w:p>
    <w:p>
      <w:pPr>
        <w:jc w:val="center"/>
        <w:rPr>
          <w:rFonts w:ascii="宋体" w:hAnsi="宋体" w:cs="仿宋_GB2312"/>
          <w:b/>
          <w:color w:val="auto"/>
          <w:szCs w:val="21"/>
        </w:rPr>
      </w:pPr>
      <w:r>
        <w:rPr>
          <w:rFonts w:hint="eastAsia" w:ascii="宋体" w:hAnsi="宋体" w:cs="宋体"/>
          <w:b/>
          <w:color w:val="auto"/>
          <w:szCs w:val="21"/>
        </w:rPr>
        <w:t xml:space="preserve">                                              </w:t>
      </w:r>
      <w:r>
        <w:rPr>
          <w:rFonts w:hint="eastAsia" w:ascii="宋体" w:hAnsi="宋体" w:cs="仿宋_GB2312"/>
          <w:b/>
          <w:color w:val="auto"/>
          <w:szCs w:val="21"/>
        </w:rPr>
        <w:t>协议编号：建管共管协议[  ]号</w:t>
      </w:r>
    </w:p>
    <w:p>
      <w:pPr>
        <w:snapToGrid w:val="0"/>
        <w:spacing w:line="520" w:lineRule="exact"/>
        <w:rPr>
          <w:rFonts w:ascii="宋体" w:hAnsi="宋体"/>
          <w:color w:val="auto"/>
          <w:szCs w:val="21"/>
        </w:rPr>
      </w:pPr>
      <w:r>
        <w:rPr>
          <w:rFonts w:hint="eastAsia" w:ascii="宋体" w:hAnsi="宋体" w:cs="仿宋_GB2312"/>
          <w:b/>
          <w:color w:val="auto"/>
          <w:szCs w:val="21"/>
        </w:rPr>
        <w:t>甲      方：</w:t>
      </w:r>
      <w:r>
        <w:rPr>
          <w:rFonts w:hint="eastAsia" w:ascii="宋体" w:hAnsi="宋体"/>
          <w:color w:val="auto"/>
          <w:szCs w:val="21"/>
        </w:rPr>
        <w:t xml:space="preserve"> </w:t>
      </w:r>
    </w:p>
    <w:p>
      <w:pPr>
        <w:rPr>
          <w:rFonts w:ascii="宋体" w:hAnsi="宋体" w:cs="仿宋_GB2312"/>
          <w:b/>
          <w:color w:val="auto"/>
          <w:szCs w:val="21"/>
        </w:rPr>
      </w:pPr>
    </w:p>
    <w:p>
      <w:pPr>
        <w:rPr>
          <w:rFonts w:ascii="宋体" w:hAnsi="宋体" w:cs="仿宋_GB2312"/>
          <w:color w:val="auto"/>
          <w:szCs w:val="21"/>
        </w:rPr>
      </w:pPr>
      <w:r>
        <w:rPr>
          <w:rFonts w:hint="eastAsia" w:ascii="宋体" w:hAnsi="宋体" w:cs="仿宋_GB2312"/>
          <w:color w:val="auto"/>
          <w:szCs w:val="21"/>
        </w:rPr>
        <w:t xml:space="preserve">地      址： </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 xml:space="preserve">电      话： </w:t>
      </w:r>
    </w:p>
    <w:p>
      <w:pPr>
        <w:rPr>
          <w:rFonts w:ascii="宋体" w:hAnsi="宋体" w:cs="仿宋_GB2312"/>
          <w:color w:val="auto"/>
          <w:szCs w:val="21"/>
        </w:rPr>
      </w:pPr>
      <w:r>
        <w:rPr>
          <w:rFonts w:ascii="宋体" w:hAnsi="宋体" w:cs="仿宋_GB2312"/>
          <w:color w:val="auto"/>
          <w:szCs w:val="21"/>
        </w:rPr>
        <w:t xml:space="preserve"> </w:t>
      </w:r>
    </w:p>
    <w:p>
      <w:pPr>
        <w:rPr>
          <w:rFonts w:ascii="宋体" w:hAnsi="宋体" w:cs="仿宋_GB2312"/>
          <w:color w:val="auto"/>
          <w:szCs w:val="21"/>
        </w:rPr>
      </w:pPr>
      <w:r>
        <w:rPr>
          <w:rFonts w:hint="eastAsia" w:ascii="宋体" w:hAnsi="宋体" w:cs="仿宋_GB2312"/>
          <w:color w:val="auto"/>
          <w:szCs w:val="21"/>
        </w:rPr>
        <w:t>乙      方：</w:t>
      </w:r>
    </w:p>
    <w:p>
      <w:pPr>
        <w:snapToGrid w:val="0"/>
        <w:spacing w:line="520" w:lineRule="exact"/>
        <w:rPr>
          <w:rFonts w:ascii="宋体" w:hAnsi="宋体"/>
          <w:color w:val="auto"/>
          <w:szCs w:val="21"/>
        </w:rPr>
      </w:pPr>
      <w:r>
        <w:rPr>
          <w:rFonts w:hint="eastAsia" w:ascii="宋体" w:hAnsi="宋体" w:cs="仿宋_GB2312"/>
          <w:color w:val="auto"/>
          <w:szCs w:val="21"/>
        </w:rPr>
        <w:t>地      址：</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 xml:space="preserve">电      话： </w:t>
      </w:r>
    </w:p>
    <w:p>
      <w:pPr>
        <w:ind w:left="2415" w:hanging="2415" w:hangingChars="1150"/>
        <w:rPr>
          <w:rFonts w:ascii="宋体" w:hAnsi="宋体" w:cs="仿宋_GB2312"/>
          <w:color w:val="auto"/>
          <w:szCs w:val="21"/>
        </w:rPr>
      </w:pPr>
    </w:p>
    <w:p>
      <w:pPr>
        <w:ind w:left="2415" w:hanging="2415" w:hangingChars="1150"/>
        <w:rPr>
          <w:rFonts w:ascii="宋体" w:hAnsi="宋体" w:cs="仿宋_GB2312"/>
          <w:color w:val="auto"/>
          <w:szCs w:val="21"/>
        </w:rPr>
      </w:pPr>
      <w:r>
        <w:rPr>
          <w:rFonts w:hint="eastAsia" w:ascii="宋体" w:hAnsi="宋体" w:cs="仿宋_GB2312"/>
          <w:color w:val="auto"/>
          <w:szCs w:val="21"/>
        </w:rPr>
        <w:t xml:space="preserve">丙    方（共管银行）：  </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 xml:space="preserve">地      址：  </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 xml:space="preserve">电      话： </w:t>
      </w:r>
    </w:p>
    <w:p>
      <w:pPr>
        <w:snapToGrid w:val="0"/>
        <w:spacing w:line="500" w:lineRule="atLeast"/>
        <w:ind w:firstLine="420" w:firstLineChars="200"/>
        <w:rPr>
          <w:rFonts w:ascii="宋体" w:hAnsi="宋体"/>
          <w:bCs/>
          <w:color w:val="auto"/>
          <w:szCs w:val="21"/>
          <w:u w:val="single"/>
        </w:rPr>
      </w:pPr>
      <w:r>
        <w:rPr>
          <w:rFonts w:hint="eastAsia" w:ascii="宋体" w:hAnsi="宋体" w:cs="仿宋_GB2312"/>
          <w:color w:val="auto"/>
          <w:szCs w:val="21"/>
        </w:rPr>
        <w:t>根据甲乙双方签署的《    施工总承包合同 》（合同编号：    （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共管工程款使用监管办法》等有关规定，经甲、乙、丙三方在平等、自愿基础上协商一致，特订立本协议。</w:t>
      </w:r>
    </w:p>
    <w:p>
      <w:pPr>
        <w:rPr>
          <w:rFonts w:ascii="宋体" w:hAnsi="宋体" w:cs="仿宋_GB2312"/>
          <w:color w:val="auto"/>
          <w:szCs w:val="21"/>
        </w:rPr>
      </w:pPr>
      <w:r>
        <w:rPr>
          <w:rFonts w:ascii="宋体" w:hAnsi="宋体" w:cs="仿宋_GB2312"/>
          <w:color w:val="auto"/>
          <w:szCs w:val="21"/>
        </w:rPr>
        <w:t xml:space="preserve">    </w:t>
      </w:r>
    </w:p>
    <w:p>
      <w:pPr>
        <w:ind w:firstLine="420" w:firstLineChars="200"/>
        <w:rPr>
          <w:rFonts w:ascii="宋体" w:hAnsi="宋体" w:cs="仿宋_GB2312"/>
          <w:color w:val="auto"/>
          <w:szCs w:val="21"/>
        </w:rPr>
      </w:pPr>
      <w:r>
        <w:rPr>
          <w:rFonts w:hint="eastAsia" w:ascii="宋体" w:hAnsi="宋体" w:cs="仿宋_GB2312"/>
          <w:color w:val="auto"/>
          <w:szCs w:val="21"/>
        </w:rPr>
        <w:t>第一条 共管资金及共管账户</w:t>
      </w:r>
    </w:p>
    <w:p>
      <w:pPr>
        <w:ind w:left="1" w:firstLine="298" w:firstLineChars="142"/>
        <w:rPr>
          <w:rFonts w:ascii="宋体" w:hAnsi="宋体" w:cs="仿宋_GB2312"/>
          <w:color w:val="auto"/>
          <w:szCs w:val="21"/>
        </w:rPr>
      </w:pPr>
      <w:r>
        <w:rPr>
          <w:rFonts w:ascii="宋体" w:hAnsi="宋体" w:cs="仿宋_GB2312"/>
          <w:color w:val="auto"/>
          <w:szCs w:val="21"/>
        </w:rPr>
        <w:t xml:space="preserve"> 1. </w:t>
      </w:r>
      <w:r>
        <w:rPr>
          <w:rFonts w:hint="eastAsia" w:ascii="宋体" w:hAnsi="宋体" w:cs="仿宋_GB2312"/>
          <w:color w:val="auto"/>
          <w:szCs w:val="21"/>
        </w:rPr>
        <w:t>共管资金：指依据《施工合同》及《共管工程款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pPr>
        <w:numPr>
          <w:ilvl w:val="0"/>
          <w:numId w:val="10"/>
        </w:numPr>
        <w:ind w:left="1" w:firstLine="298" w:firstLineChars="142"/>
        <w:rPr>
          <w:rFonts w:ascii="宋体" w:hAnsi="宋体" w:cs="仿宋_GB2312"/>
          <w:color w:val="auto"/>
          <w:szCs w:val="21"/>
        </w:rPr>
      </w:pPr>
      <w:r>
        <w:rPr>
          <w:rFonts w:hint="eastAsia" w:ascii="宋体" w:hAnsi="宋体" w:cs="仿宋_GB2312"/>
          <w:color w:val="auto"/>
          <w:szCs w:val="21"/>
        </w:rPr>
        <w:t>共管账户：乙方应在本协议签订之日起五个工作日内，持本协议及其他开户资料在</w:t>
      </w:r>
      <w:r>
        <w:rPr>
          <w:rFonts w:hint="eastAsia" w:ascii="宋体" w:hAnsi="宋体" w:cs="仿宋_GB2312"/>
          <w:color w:val="auto"/>
          <w:szCs w:val="21"/>
          <w:u w:val="single"/>
        </w:rPr>
        <w:t>丙方辖区内分支机构开立资金共管账户，</w:t>
      </w:r>
      <w:r>
        <w:rPr>
          <w:rFonts w:hint="eastAsia" w:ascii="宋体" w:hAnsi="宋体" w:cs="仿宋_GB2312"/>
          <w:color w:val="auto"/>
          <w:szCs w:val="21"/>
        </w:rPr>
        <w:t>用于共管资金的转入及划转。</w:t>
      </w:r>
    </w:p>
    <w:p>
      <w:pPr>
        <w:numPr>
          <w:ilvl w:val="0"/>
          <w:numId w:val="10"/>
        </w:numPr>
        <w:ind w:left="1" w:firstLine="298" w:firstLineChars="142"/>
        <w:rPr>
          <w:rFonts w:ascii="宋体" w:hAnsi="宋体" w:cs="仿宋_GB2312"/>
          <w:color w:val="auto"/>
          <w:szCs w:val="21"/>
        </w:rPr>
      </w:pPr>
      <w:r>
        <w:rPr>
          <w:rFonts w:hint="eastAsia" w:ascii="宋体" w:hAnsi="宋体" w:cs="仿宋_GB2312"/>
          <w:color w:val="auto"/>
          <w:szCs w:val="21"/>
        </w:rPr>
        <w:t>该账户仅限于本协议约定之专项资金的共管和清算使用，不得用于除此之外的其它任何活动。共管账户由丙方管理，账户资金不得提现、通兑及透支，仅可开通查询版网银。</w:t>
      </w:r>
    </w:p>
    <w:p>
      <w:pPr>
        <w:ind w:firstLine="420" w:firstLineChars="200"/>
        <w:rPr>
          <w:rFonts w:ascii="宋体" w:hAnsi="宋体" w:cs="仿宋_GB2312"/>
          <w:color w:val="auto"/>
          <w:szCs w:val="21"/>
        </w:rPr>
      </w:pPr>
    </w:p>
    <w:p>
      <w:pPr>
        <w:ind w:firstLine="420" w:firstLineChars="200"/>
        <w:rPr>
          <w:rFonts w:ascii="宋体" w:hAnsi="宋体" w:cs="仿宋_GB2312"/>
          <w:color w:val="auto"/>
          <w:szCs w:val="21"/>
        </w:rPr>
      </w:pPr>
      <w:r>
        <w:rPr>
          <w:rFonts w:hint="eastAsia" w:ascii="宋体" w:hAnsi="宋体" w:cs="仿宋_GB2312"/>
          <w:color w:val="auto"/>
          <w:szCs w:val="21"/>
        </w:rPr>
        <w:t>第二条 合同各方的权利与义务</w:t>
      </w:r>
    </w:p>
    <w:p>
      <w:pPr>
        <w:ind w:left="1" w:firstLine="298" w:firstLineChars="142"/>
        <w:rPr>
          <w:rFonts w:ascii="宋体" w:hAnsi="宋体" w:cs="仿宋_GB2312"/>
          <w:color w:val="auto"/>
          <w:szCs w:val="21"/>
        </w:rPr>
      </w:pPr>
      <w:r>
        <w:rPr>
          <w:rFonts w:ascii="宋体" w:hAnsi="宋体" w:cs="仿宋_GB2312"/>
          <w:color w:val="auto"/>
          <w:szCs w:val="21"/>
        </w:rPr>
        <w:t xml:space="preserve">1. </w:t>
      </w:r>
      <w:r>
        <w:rPr>
          <w:rFonts w:hint="eastAsia" w:ascii="宋体" w:hAnsi="宋体" w:cs="仿宋_GB2312"/>
          <w:color w:val="auto"/>
          <w:szCs w:val="21"/>
        </w:rPr>
        <w:t>甲方的权利与义务</w:t>
      </w:r>
    </w:p>
    <w:p>
      <w:pPr>
        <w:ind w:firstLine="420" w:firstLineChars="200"/>
        <w:rPr>
          <w:rFonts w:ascii="宋体" w:hAnsi="宋体" w:cs="仿宋_GB2312"/>
          <w:color w:val="auto"/>
          <w:szCs w:val="21"/>
        </w:rPr>
      </w:pPr>
      <w:r>
        <w:rPr>
          <w:rFonts w:hint="eastAsia" w:ascii="宋体" w:hAnsi="宋体" w:cs="仿宋_GB2312"/>
          <w:color w:val="auto"/>
          <w:szCs w:val="21"/>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共管工程款使用监管办法》规定的其他所需材料，并出具《共管账户划款通知书》（格式见附件三）；</w:t>
      </w:r>
    </w:p>
    <w:p>
      <w:pPr>
        <w:ind w:firstLine="420" w:firstLineChars="200"/>
        <w:rPr>
          <w:rFonts w:ascii="宋体" w:hAnsi="宋体" w:cs="仿宋_GB2312"/>
          <w:color w:val="auto"/>
          <w:szCs w:val="21"/>
        </w:rPr>
      </w:pPr>
      <w:r>
        <w:rPr>
          <w:rFonts w:hint="eastAsia" w:ascii="宋体" w:hAnsi="宋体" w:cs="仿宋_GB2312"/>
          <w:color w:val="auto"/>
          <w:szCs w:val="21"/>
        </w:rPr>
        <w:t>（2）甲方向丙方提交预留关于《共管账户划款通知》中的印鉴样式。</w:t>
      </w:r>
    </w:p>
    <w:p>
      <w:pPr>
        <w:ind w:firstLine="420" w:firstLineChars="200"/>
        <w:rPr>
          <w:rFonts w:ascii="宋体" w:hAnsi="宋体" w:cs="仿宋_GB2312"/>
          <w:color w:val="auto"/>
          <w:szCs w:val="21"/>
        </w:rPr>
      </w:pPr>
      <w:r>
        <w:rPr>
          <w:rFonts w:ascii="宋体" w:hAnsi="宋体" w:cs="仿宋_GB2312"/>
          <w:color w:val="auto"/>
          <w:szCs w:val="21"/>
        </w:rPr>
        <w:t>（3）</w:t>
      </w:r>
      <w:r>
        <w:rPr>
          <w:rFonts w:hint="eastAsia" w:ascii="宋体" w:hAnsi="宋体" w:cs="仿宋_GB2312"/>
          <w:color w:val="auto"/>
          <w:szCs w:val="21"/>
        </w:rPr>
        <w:t>甲方有权按本协议约定查阅该共管账户的收支情况；甲方有权依本协议要求乙方提供资金流向支付凭证（包括但不仅限于合同、发票、采购清单等）和银行存款日记账等，要求丙方提供该账户余额、流水等信息。</w:t>
      </w:r>
    </w:p>
    <w:p>
      <w:pPr>
        <w:ind w:left="1" w:firstLine="298" w:firstLineChars="142"/>
        <w:rPr>
          <w:rFonts w:ascii="宋体" w:hAnsi="宋体" w:cs="仿宋_GB2312"/>
          <w:color w:val="auto"/>
          <w:szCs w:val="21"/>
        </w:rPr>
      </w:pPr>
      <w:r>
        <w:rPr>
          <w:rFonts w:ascii="宋体" w:hAnsi="宋体" w:cs="仿宋_GB2312"/>
          <w:color w:val="auto"/>
          <w:szCs w:val="21"/>
        </w:rPr>
        <w:t xml:space="preserve">2. </w:t>
      </w:r>
      <w:r>
        <w:rPr>
          <w:rFonts w:hint="eastAsia" w:ascii="宋体" w:hAnsi="宋体" w:cs="仿宋_GB2312"/>
          <w:color w:val="auto"/>
          <w:szCs w:val="21"/>
        </w:rPr>
        <w:t>乙方的权利与义务</w:t>
      </w:r>
    </w:p>
    <w:p>
      <w:pPr>
        <w:ind w:left="1" w:firstLine="298" w:firstLineChars="142"/>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1</w:t>
      </w:r>
      <w:r>
        <w:rPr>
          <w:rFonts w:hint="eastAsia" w:ascii="宋体" w:hAnsi="宋体" w:cs="仿宋_GB2312"/>
          <w:color w:val="auto"/>
          <w:szCs w:val="21"/>
        </w:rPr>
        <w:t>）乙方依据本协议约定向甲方提交《用款申请书》（格式见附件一）、《管理人员工资发放明细表》（含经乙方盖章核实的上期实际支付及本期支付计划）（格式见附件二）及相关文件凭证，相关材料必须真实、准确、合法；</w:t>
      </w:r>
    </w:p>
    <w:p>
      <w:pPr>
        <w:ind w:left="1" w:firstLine="298" w:firstLineChars="142"/>
        <w:rPr>
          <w:rFonts w:ascii="宋体" w:hAnsi="宋体" w:cs="仿宋_GB2312"/>
          <w:color w:val="auto"/>
          <w:szCs w:val="21"/>
        </w:rPr>
      </w:pPr>
      <w:r>
        <w:rPr>
          <w:rFonts w:hint="eastAsia" w:ascii="宋体" w:hAnsi="宋体" w:cs="仿宋_GB2312"/>
          <w:color w:val="auto"/>
          <w:szCs w:val="21"/>
        </w:rPr>
        <w:t>（</w:t>
      </w:r>
      <w:r>
        <w:rPr>
          <w:rFonts w:ascii="宋体" w:hAnsi="宋体" w:cs="仿宋_GB2312"/>
          <w:color w:val="auto"/>
          <w:szCs w:val="21"/>
        </w:rPr>
        <w:t>2</w:t>
      </w:r>
      <w:r>
        <w:rPr>
          <w:rFonts w:hint="eastAsia" w:ascii="宋体" w:hAnsi="宋体" w:cs="仿宋_GB2312"/>
          <w:color w:val="auto"/>
          <w:szCs w:val="21"/>
        </w:rPr>
        <w:t>）按照专款专用的原则使用共管资金，不得将资金挪作他用，未经甲方同意不得转入乙方其他银行账户。乙方接受甲方对共管资金使用情况的检查和监督，接受丙方对共管资金支出的监督；</w:t>
      </w:r>
    </w:p>
    <w:p>
      <w:pPr>
        <w:ind w:left="1" w:firstLine="298" w:firstLineChars="142"/>
        <w:rPr>
          <w:rFonts w:ascii="宋体" w:hAnsi="宋体" w:cs="仿宋_GB2312"/>
          <w:color w:val="auto"/>
          <w:szCs w:val="21"/>
        </w:rPr>
      </w:pPr>
      <w:r>
        <w:rPr>
          <w:rFonts w:hint="eastAsia" w:ascii="宋体" w:hAnsi="宋体" w:cs="仿宋_GB2312"/>
          <w:color w:val="auto"/>
          <w:szCs w:val="21"/>
        </w:rPr>
        <w:t>（3）向丙方支付共管资金划转所产生的业务手续费。</w:t>
      </w:r>
    </w:p>
    <w:p>
      <w:pPr>
        <w:ind w:left="1" w:firstLine="298" w:firstLineChars="142"/>
        <w:rPr>
          <w:rFonts w:ascii="宋体" w:hAnsi="宋体" w:cs="仿宋_GB2312"/>
          <w:color w:val="auto"/>
          <w:szCs w:val="21"/>
        </w:rPr>
      </w:pPr>
      <w:r>
        <w:rPr>
          <w:rFonts w:hint="eastAsia" w:ascii="宋体" w:hAnsi="宋体" w:cs="仿宋_GB2312"/>
          <w:color w:val="auto"/>
          <w:szCs w:val="21"/>
        </w:rPr>
        <w:t>（4）乙方应向丙方留存其预留印鉴样式。</w:t>
      </w:r>
    </w:p>
    <w:p>
      <w:pPr>
        <w:ind w:firstLine="422" w:firstLineChars="200"/>
        <w:rPr>
          <w:rFonts w:ascii="宋体" w:hAnsi="宋体" w:cs="仿宋_GB2312"/>
          <w:b/>
          <w:bCs/>
          <w:color w:val="auto"/>
          <w:szCs w:val="21"/>
        </w:rPr>
      </w:pPr>
      <w:r>
        <w:rPr>
          <w:rFonts w:hint="eastAsia" w:ascii="宋体" w:hAnsi="宋体" w:cs="仿宋_GB2312"/>
          <w:b/>
          <w:bCs/>
          <w:color w:val="auto"/>
          <w:szCs w:val="21"/>
        </w:rPr>
        <w:t>（5）区相关职能部门要求乙方退回预付款的，乙方同意按甲方通知的时间全额退回预付款项给甲方，乙方逾期退款的，对因此造成的损失甲方有权向乙方索赔。</w:t>
      </w:r>
    </w:p>
    <w:p>
      <w:pPr>
        <w:ind w:left="1" w:firstLine="298" w:firstLineChars="142"/>
        <w:rPr>
          <w:rFonts w:ascii="宋体" w:hAnsi="宋体" w:cs="仿宋_GB2312"/>
          <w:color w:val="auto"/>
          <w:szCs w:val="21"/>
        </w:rPr>
      </w:pPr>
    </w:p>
    <w:p>
      <w:pPr>
        <w:ind w:left="1" w:firstLine="403" w:firstLineChars="192"/>
        <w:rPr>
          <w:rFonts w:ascii="宋体" w:hAnsi="宋体" w:cs="仿宋_GB2312"/>
          <w:color w:val="auto"/>
          <w:szCs w:val="21"/>
        </w:rPr>
      </w:pPr>
      <w:r>
        <w:rPr>
          <w:rFonts w:hint="eastAsia" w:ascii="宋体" w:hAnsi="宋体" w:cs="仿宋_GB2312"/>
          <w:color w:val="auto"/>
          <w:szCs w:val="21"/>
        </w:rPr>
        <w:t>3.丙方权利与义务</w:t>
      </w:r>
    </w:p>
    <w:p>
      <w:pPr>
        <w:ind w:left="1" w:firstLine="298" w:firstLineChars="142"/>
        <w:rPr>
          <w:rFonts w:ascii="宋体" w:hAnsi="宋体" w:cs="仿宋_GB2312"/>
          <w:color w:val="auto"/>
          <w:szCs w:val="21"/>
        </w:rPr>
      </w:pPr>
      <w:r>
        <w:rPr>
          <w:rFonts w:hint="eastAsia" w:ascii="宋体" w:hAnsi="宋体" w:cs="仿宋_GB2312"/>
          <w:color w:val="auto"/>
          <w:szCs w:val="21"/>
        </w:rPr>
        <w:t>（1）依法为乙方开立工程款共管账户，</w:t>
      </w:r>
      <w:r>
        <w:rPr>
          <w:rFonts w:ascii="宋体" w:hAnsi="宋体" w:cs="仿宋_GB2312"/>
          <w:color w:val="auto"/>
          <w:szCs w:val="21"/>
        </w:rPr>
        <w:t>提供便捷有效的银行业务服务，</w:t>
      </w:r>
      <w:r>
        <w:rPr>
          <w:rFonts w:hint="eastAsia" w:ascii="宋体" w:hAnsi="宋体" w:cs="仿宋_GB2312"/>
          <w:color w:val="auto"/>
          <w:szCs w:val="21"/>
        </w:rPr>
        <w:t xml:space="preserve">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pPr>
        <w:ind w:firstLine="315" w:firstLineChars="150"/>
        <w:rPr>
          <w:rFonts w:ascii="宋体" w:hAnsi="宋体" w:cs="仿宋_GB2312"/>
          <w:color w:val="auto"/>
          <w:szCs w:val="21"/>
        </w:rPr>
      </w:pPr>
      <w:r>
        <w:rPr>
          <w:rFonts w:hint="eastAsia" w:ascii="宋体" w:hAnsi="宋体" w:cs="仿宋_GB2312"/>
          <w:color w:val="auto"/>
          <w:szCs w:val="21"/>
        </w:rPr>
        <w:t>（2）协助甲方审核用款申请文件，并出具意见。</w:t>
      </w:r>
    </w:p>
    <w:p>
      <w:pPr>
        <w:ind w:firstLine="315" w:firstLineChars="150"/>
        <w:rPr>
          <w:rFonts w:ascii="宋体" w:hAnsi="宋体" w:cs="仿宋_GB2312"/>
          <w:color w:val="auto"/>
          <w:szCs w:val="21"/>
        </w:rPr>
      </w:pPr>
      <w:r>
        <w:rPr>
          <w:rFonts w:hint="eastAsia" w:ascii="宋体" w:hAnsi="宋体" w:cs="仿宋_GB2312"/>
          <w:color w:val="auto"/>
          <w:szCs w:val="21"/>
        </w:rPr>
        <w:t>（3）对《用款申请书》、《共管资金划款通知书》等文件和预留印鉴进行一致性形式性的审查，并按约定将共管资金划入收款方。</w:t>
      </w:r>
    </w:p>
    <w:p>
      <w:pPr>
        <w:ind w:firstLine="315" w:firstLineChars="150"/>
        <w:rPr>
          <w:rFonts w:ascii="宋体" w:hAnsi="宋体" w:cs="仿宋_GB2312"/>
          <w:color w:val="auto"/>
          <w:szCs w:val="21"/>
        </w:rPr>
      </w:pPr>
      <w:r>
        <w:rPr>
          <w:rFonts w:hint="eastAsia" w:ascii="宋体" w:hAnsi="宋体" w:cs="仿宋_GB2312"/>
          <w:color w:val="auto"/>
          <w:szCs w:val="21"/>
        </w:rPr>
        <w:t>第三条</w:t>
      </w:r>
      <w:r>
        <w:rPr>
          <w:rFonts w:ascii="宋体" w:hAnsi="宋体" w:cs="仿宋_GB2312"/>
          <w:color w:val="auto"/>
          <w:szCs w:val="21"/>
        </w:rPr>
        <w:t xml:space="preserve"> </w:t>
      </w:r>
      <w:r>
        <w:rPr>
          <w:rFonts w:hint="eastAsia" w:ascii="宋体" w:hAnsi="宋体" w:cs="仿宋_GB2312"/>
          <w:color w:val="auto"/>
          <w:szCs w:val="21"/>
        </w:rPr>
        <w:t>共管资金的使用</w:t>
      </w:r>
    </w:p>
    <w:p>
      <w:pPr>
        <w:ind w:firstLine="420" w:firstLineChars="200"/>
        <w:rPr>
          <w:rFonts w:ascii="宋体" w:hAnsi="宋体" w:cs="仿宋_GB2312"/>
          <w:color w:val="auto"/>
          <w:szCs w:val="21"/>
        </w:rPr>
      </w:pPr>
      <w:r>
        <w:rPr>
          <w:rFonts w:ascii="宋体" w:hAnsi="宋体" w:cs="仿宋_GB2312"/>
          <w:color w:val="auto"/>
          <w:szCs w:val="21"/>
        </w:rPr>
        <w:t xml:space="preserve">1. </w:t>
      </w:r>
      <w:r>
        <w:rPr>
          <w:rFonts w:hint="eastAsia" w:ascii="宋体" w:hAnsi="宋体" w:cs="仿宋_GB2312"/>
          <w:color w:val="auto"/>
          <w:szCs w:val="21"/>
        </w:rPr>
        <w:t>共管资金指定用途为</w:t>
      </w:r>
      <w:r>
        <w:rPr>
          <w:rFonts w:hint="eastAsia" w:ascii="宋体" w:hAnsi="宋体"/>
          <w:bCs/>
          <w:color w:val="auto"/>
          <w:szCs w:val="21"/>
        </w:rPr>
        <w:t>《施工合同》</w:t>
      </w:r>
      <w:r>
        <w:rPr>
          <w:rFonts w:hint="eastAsia" w:ascii="宋体" w:hAnsi="宋体" w:cs="仿宋_GB2312"/>
          <w:color w:val="auto"/>
          <w:szCs w:val="21"/>
        </w:rPr>
        <w:t>工程实施支出；</w:t>
      </w:r>
    </w:p>
    <w:p>
      <w:pPr>
        <w:ind w:firstLine="420" w:firstLineChars="200"/>
        <w:rPr>
          <w:rFonts w:ascii="宋体" w:hAnsi="宋体" w:cs="仿宋_GB2312"/>
          <w:color w:val="auto"/>
          <w:szCs w:val="21"/>
        </w:rPr>
      </w:pPr>
      <w:r>
        <w:rPr>
          <w:rFonts w:hint="eastAsia" w:ascii="宋体" w:hAnsi="宋体" w:cs="仿宋_GB2312"/>
          <w:color w:val="auto"/>
          <w:szCs w:val="21"/>
        </w:rPr>
        <w:t>2.乙方申请支付共管资金，应在用款前按《共管工程款使用监管办法》规定，向甲、丙方提交《用款申请书》（格式见附件一）和《管理人员工资发放明细表》（含经乙方盖章核实的上期实际支付及本期支付计划）（格式见附件二）及《共管工程款使用监管办法》规定的其他资料。甲方应在预付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pPr>
        <w:ind w:firstLine="420" w:firstLineChars="200"/>
        <w:rPr>
          <w:rFonts w:ascii="宋体" w:hAnsi="宋体" w:cs="仿宋_GB2312"/>
          <w:color w:val="auto"/>
          <w:szCs w:val="21"/>
        </w:rPr>
      </w:pPr>
      <w:r>
        <w:rPr>
          <w:rFonts w:hint="eastAsia" w:ascii="宋体" w:hAnsi="宋体" w:cs="仿宋_GB2312"/>
          <w:color w:val="auto"/>
          <w:szCs w:val="21"/>
        </w:rPr>
        <w:t>3. 甲、丙方根据乙方提出的用款申请进行审核，如因乙方指令不合规或者提供的其它支付证明材料未符合甲、丙方要求，甲方有权拒绝支付；</w:t>
      </w:r>
    </w:p>
    <w:p>
      <w:pPr>
        <w:ind w:firstLine="420" w:firstLineChars="200"/>
        <w:rPr>
          <w:rFonts w:ascii="宋体" w:hAnsi="宋体" w:cs="仿宋_GB2312"/>
          <w:color w:val="auto"/>
          <w:szCs w:val="21"/>
        </w:rPr>
      </w:pPr>
      <w:r>
        <w:rPr>
          <w:rFonts w:hint="eastAsia" w:ascii="宋体" w:hAnsi="宋体" w:cs="仿宋_GB2312"/>
          <w:color w:val="auto"/>
          <w:szCs w:val="21"/>
        </w:rPr>
        <w:t>4. 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pPr>
        <w:ind w:firstLine="315" w:firstLineChars="150"/>
        <w:rPr>
          <w:rFonts w:ascii="宋体" w:hAnsi="宋体" w:cs="仿宋_GB2312"/>
          <w:color w:val="auto"/>
          <w:szCs w:val="21"/>
        </w:rPr>
      </w:pPr>
      <w:r>
        <w:rPr>
          <w:rFonts w:hint="eastAsia" w:ascii="宋体" w:hAnsi="宋体" w:cs="仿宋_GB2312"/>
          <w:color w:val="auto"/>
          <w:szCs w:val="21"/>
        </w:rPr>
        <w:t>5. 乙方办理共管资金支付每一笔款项，仅可通过丙方柜台转账方式，不能通过他行进行提出票处理，如未能遵守该约定造成损失及不良影响，则乙方自行承担。</w:t>
      </w:r>
    </w:p>
    <w:p>
      <w:pPr>
        <w:ind w:firstLine="315" w:firstLineChars="150"/>
        <w:rPr>
          <w:rFonts w:ascii="宋体" w:hAnsi="宋体" w:cs="仿宋_GB2312"/>
          <w:color w:val="auto"/>
          <w:szCs w:val="21"/>
        </w:rPr>
      </w:pPr>
    </w:p>
    <w:p>
      <w:pPr>
        <w:ind w:firstLine="420" w:firstLineChars="200"/>
        <w:rPr>
          <w:rFonts w:ascii="宋体" w:hAnsi="宋体" w:cs="仿宋_GB2312"/>
          <w:color w:val="auto"/>
          <w:szCs w:val="21"/>
        </w:rPr>
      </w:pPr>
      <w:r>
        <w:rPr>
          <w:rFonts w:hint="eastAsia" w:ascii="宋体" w:hAnsi="宋体" w:cs="仿宋_GB2312"/>
          <w:color w:val="auto"/>
          <w:szCs w:val="21"/>
        </w:rPr>
        <w:t>第四条</w:t>
      </w:r>
      <w:r>
        <w:rPr>
          <w:rFonts w:ascii="宋体" w:hAnsi="宋体" w:cs="仿宋_GB2312"/>
          <w:color w:val="auto"/>
          <w:szCs w:val="21"/>
        </w:rPr>
        <w:t xml:space="preserve">   </w:t>
      </w:r>
      <w:r>
        <w:rPr>
          <w:rFonts w:hint="eastAsia" w:ascii="宋体" w:hAnsi="宋体" w:cs="仿宋_GB2312"/>
          <w:color w:val="auto"/>
          <w:szCs w:val="21"/>
        </w:rPr>
        <w:t>共管资金的拒付</w:t>
      </w:r>
    </w:p>
    <w:p>
      <w:pPr>
        <w:ind w:firstLine="420" w:firstLineChars="200"/>
        <w:rPr>
          <w:rFonts w:ascii="宋体" w:hAnsi="宋体" w:cs="仿宋_GB2312"/>
          <w:color w:val="auto"/>
          <w:szCs w:val="21"/>
        </w:rPr>
      </w:pPr>
      <w:r>
        <w:rPr>
          <w:rFonts w:hint="eastAsia" w:ascii="宋体" w:hAnsi="宋体" w:cs="仿宋_GB2312"/>
          <w:color w:val="auto"/>
          <w:szCs w:val="21"/>
        </w:rPr>
        <w:t>具备下列情形之一的，丙方有权拒绝乙方从共管账户划款的请求，由此造成的后果由乙方承担：</w:t>
      </w:r>
    </w:p>
    <w:p>
      <w:pPr>
        <w:ind w:firstLine="420" w:firstLineChars="200"/>
        <w:rPr>
          <w:rFonts w:ascii="宋体" w:hAnsi="宋体" w:cs="仿宋_GB2312"/>
          <w:color w:val="auto"/>
          <w:szCs w:val="21"/>
        </w:rPr>
      </w:pPr>
      <w:r>
        <w:rPr>
          <w:rFonts w:ascii="宋体" w:hAnsi="宋体" w:cs="仿宋_GB2312"/>
          <w:color w:val="auto"/>
          <w:szCs w:val="21"/>
        </w:rPr>
        <w:t>1.</w:t>
      </w:r>
      <w:r>
        <w:rPr>
          <w:rFonts w:hint="eastAsia" w:ascii="宋体" w:hAnsi="宋体" w:cs="仿宋_GB2312"/>
          <w:color w:val="auto"/>
          <w:szCs w:val="21"/>
        </w:rPr>
        <w:t>《用款申请书》付款金额超出共管资金余额；</w:t>
      </w:r>
    </w:p>
    <w:p>
      <w:pPr>
        <w:ind w:firstLine="420" w:firstLineChars="200"/>
        <w:rPr>
          <w:rFonts w:ascii="宋体" w:hAnsi="宋体" w:cs="仿宋_GB2312"/>
          <w:color w:val="auto"/>
          <w:szCs w:val="21"/>
        </w:rPr>
      </w:pPr>
      <w:r>
        <w:rPr>
          <w:rFonts w:ascii="宋体" w:hAnsi="宋体" w:cs="仿宋_GB2312"/>
          <w:color w:val="auto"/>
          <w:szCs w:val="21"/>
        </w:rPr>
        <w:t>2.</w:t>
      </w:r>
      <w:r>
        <w:rPr>
          <w:rFonts w:hint="eastAsia" w:ascii="宋体" w:hAnsi="宋体" w:cs="仿宋_GB2312"/>
          <w:color w:val="auto"/>
          <w:szCs w:val="21"/>
        </w:rPr>
        <w:t>乙方提交的资料或证明文件不符合法律法规规定和本协议约定；</w:t>
      </w:r>
    </w:p>
    <w:p>
      <w:pPr>
        <w:ind w:firstLine="420" w:firstLineChars="200"/>
        <w:rPr>
          <w:rFonts w:ascii="宋体" w:hAnsi="宋体" w:cs="仿宋_GB2312"/>
          <w:color w:val="auto"/>
          <w:szCs w:val="21"/>
        </w:rPr>
      </w:pPr>
      <w:r>
        <w:rPr>
          <w:rFonts w:ascii="宋体" w:hAnsi="宋体" w:cs="仿宋_GB2312"/>
          <w:color w:val="auto"/>
          <w:szCs w:val="21"/>
        </w:rPr>
        <w:t>3.</w:t>
      </w:r>
      <w:r>
        <w:rPr>
          <w:rFonts w:hint="eastAsia" w:ascii="宋体" w:hAnsi="宋体" w:cs="仿宋_GB2312"/>
          <w:color w:val="auto"/>
          <w:szCs w:val="21"/>
        </w:rPr>
        <w:t>乙方应经甲、丙方等相关方同意而未经相关方出具同意意见或资金用途不符合相关约定或共管要求；</w:t>
      </w:r>
    </w:p>
    <w:p>
      <w:pPr>
        <w:ind w:firstLine="420" w:firstLineChars="200"/>
        <w:rPr>
          <w:rFonts w:ascii="宋体" w:hAnsi="宋体" w:cs="仿宋_GB2312"/>
          <w:color w:val="auto"/>
          <w:szCs w:val="21"/>
        </w:rPr>
      </w:pPr>
      <w:r>
        <w:rPr>
          <w:rFonts w:ascii="宋体" w:hAnsi="宋体" w:cs="仿宋_GB2312"/>
          <w:color w:val="auto"/>
          <w:szCs w:val="21"/>
        </w:rPr>
        <w:t xml:space="preserve"> 4.收款方与本工程项目没有直接的联系，与实际的施工方和材料的供应商不一致。</w:t>
      </w:r>
    </w:p>
    <w:p>
      <w:pPr>
        <w:ind w:firstLine="420" w:firstLineChars="200"/>
        <w:rPr>
          <w:rFonts w:ascii="宋体" w:hAnsi="宋体" w:cs="仿宋_GB2312"/>
          <w:color w:val="auto"/>
          <w:szCs w:val="21"/>
        </w:rPr>
      </w:pPr>
      <w:r>
        <w:rPr>
          <w:rFonts w:hint="eastAsia" w:ascii="宋体" w:hAnsi="宋体" w:cs="仿宋_GB2312"/>
          <w:color w:val="auto"/>
          <w:szCs w:val="21"/>
        </w:rPr>
        <w:t>5.乙方提供的《用款申请书》与甲方出具的《共管账户划款通知书》所载内容不一致。</w:t>
      </w:r>
    </w:p>
    <w:p>
      <w:pPr>
        <w:ind w:firstLine="420" w:firstLineChars="200"/>
        <w:rPr>
          <w:rFonts w:ascii="宋体" w:hAnsi="宋体" w:cs="仿宋_GB2312"/>
          <w:color w:val="auto"/>
          <w:szCs w:val="21"/>
        </w:rPr>
      </w:pPr>
      <w:r>
        <w:rPr>
          <w:rFonts w:ascii="宋体" w:hAnsi="宋体" w:cs="仿宋_GB2312"/>
          <w:color w:val="auto"/>
          <w:szCs w:val="21"/>
        </w:rPr>
        <w:t>第</w:t>
      </w:r>
      <w:r>
        <w:rPr>
          <w:rFonts w:hint="eastAsia" w:ascii="宋体" w:hAnsi="宋体" w:cs="仿宋_GB2312"/>
          <w:color w:val="auto"/>
          <w:szCs w:val="21"/>
        </w:rPr>
        <w:t>五</w:t>
      </w:r>
      <w:r>
        <w:rPr>
          <w:rFonts w:ascii="宋体" w:hAnsi="宋体" w:cs="仿宋_GB2312"/>
          <w:color w:val="auto"/>
          <w:szCs w:val="21"/>
        </w:rPr>
        <w:t>条</w:t>
      </w:r>
      <w:r>
        <w:rPr>
          <w:rFonts w:hint="eastAsia" w:ascii="宋体" w:hAnsi="宋体" w:cs="仿宋_GB2312"/>
          <w:color w:val="auto"/>
          <w:szCs w:val="21"/>
        </w:rPr>
        <w:t xml:space="preserve">  共管资金的冻结和止付</w:t>
      </w:r>
    </w:p>
    <w:p>
      <w:pPr>
        <w:ind w:firstLine="420" w:firstLineChars="200"/>
        <w:rPr>
          <w:rFonts w:ascii="宋体" w:hAnsi="宋体" w:cs="仿宋_GB2312"/>
          <w:color w:val="auto"/>
          <w:szCs w:val="21"/>
        </w:rPr>
      </w:pPr>
      <w:r>
        <w:rPr>
          <w:rFonts w:hint="eastAsia" w:ascii="宋体" w:hAnsi="宋体" w:cs="仿宋_GB2312"/>
          <w:color w:val="auto"/>
          <w:szCs w:val="21"/>
        </w:rPr>
        <w:t>1.本协议生效之日起，甲方</w:t>
      </w:r>
      <w:r>
        <w:rPr>
          <w:rFonts w:ascii="宋体" w:hAnsi="宋体" w:cs="仿宋_GB2312"/>
          <w:color w:val="auto"/>
          <w:szCs w:val="21"/>
        </w:rPr>
        <w:t>发现乙方将本项目资金挪用、转移或资金流向异常时，</w:t>
      </w:r>
      <w:r>
        <w:rPr>
          <w:rFonts w:hint="eastAsia" w:ascii="宋体" w:hAnsi="宋体" w:cs="仿宋_GB2312"/>
          <w:color w:val="auto"/>
          <w:szCs w:val="21"/>
        </w:rPr>
        <w:t>有权授权丙方在共管期间中止支付共管账户资金，直至乙方改正为止。</w:t>
      </w:r>
    </w:p>
    <w:p>
      <w:pPr>
        <w:ind w:firstLine="420" w:firstLineChars="200"/>
        <w:rPr>
          <w:rFonts w:ascii="宋体" w:hAnsi="宋体" w:cs="仿宋_GB2312"/>
          <w:color w:val="auto"/>
          <w:szCs w:val="21"/>
        </w:rPr>
      </w:pPr>
      <w:r>
        <w:rPr>
          <w:rFonts w:hint="eastAsia" w:ascii="宋体" w:hAnsi="宋体" w:cs="仿宋_GB2312"/>
          <w:color w:val="auto"/>
          <w:szCs w:val="21"/>
        </w:rPr>
        <w:t>2.共管账户资金只用于向乙方支付本协议中涉及的款项或退款，不得用于其他用途。</w:t>
      </w:r>
    </w:p>
    <w:p>
      <w:pPr>
        <w:ind w:left="567"/>
        <w:rPr>
          <w:rFonts w:ascii="宋体" w:hAnsi="宋体" w:cs="仿宋_GB2312"/>
          <w:color w:val="auto"/>
          <w:szCs w:val="21"/>
        </w:rPr>
      </w:pPr>
      <w:r>
        <w:rPr>
          <w:rFonts w:hint="eastAsia" w:ascii="宋体" w:hAnsi="宋体" w:cs="仿宋_GB2312"/>
          <w:color w:val="auto"/>
          <w:szCs w:val="21"/>
        </w:rPr>
        <w:t>第六条</w:t>
      </w:r>
      <w:r>
        <w:rPr>
          <w:rFonts w:ascii="宋体" w:hAnsi="宋体" w:cs="仿宋_GB2312"/>
          <w:color w:val="auto"/>
          <w:szCs w:val="21"/>
        </w:rPr>
        <w:t xml:space="preserve"> </w:t>
      </w:r>
      <w:r>
        <w:rPr>
          <w:rFonts w:hint="eastAsia" w:ascii="宋体" w:hAnsi="宋体" w:cs="仿宋_GB2312"/>
          <w:color w:val="auto"/>
          <w:szCs w:val="21"/>
        </w:rPr>
        <w:t>共管期间及协议终止</w:t>
      </w:r>
    </w:p>
    <w:p>
      <w:pPr>
        <w:ind w:firstLine="420" w:firstLineChars="200"/>
        <w:rPr>
          <w:rFonts w:ascii="宋体" w:hAnsi="宋体" w:cs="仿宋_GB2312"/>
          <w:color w:val="auto"/>
          <w:szCs w:val="21"/>
        </w:rPr>
      </w:pPr>
      <w:r>
        <w:rPr>
          <w:rFonts w:hint="eastAsia" w:ascii="宋体" w:hAnsi="宋体" w:cs="仿宋_GB2312"/>
          <w:color w:val="auto"/>
          <w:szCs w:val="21"/>
        </w:rPr>
        <w:t>共管期间为共管资金转入共管账户直至《施工合同》工程预付款抵扣完毕止。甲、乙、丙三方可协商缩短或延展共管期间或提前终止共管，但须达成书面补充协议。</w:t>
      </w:r>
    </w:p>
    <w:p>
      <w:pPr>
        <w:ind w:firstLine="420" w:firstLineChars="200"/>
        <w:rPr>
          <w:rFonts w:ascii="宋体" w:hAnsi="宋体" w:cs="仿宋_GB2312"/>
          <w:color w:val="auto"/>
          <w:szCs w:val="21"/>
        </w:rPr>
      </w:pPr>
      <w:r>
        <w:rPr>
          <w:rFonts w:hint="eastAsia" w:ascii="宋体" w:hAnsi="宋体" w:cs="仿宋_GB2312"/>
          <w:color w:val="auto"/>
          <w:szCs w:val="21"/>
        </w:rPr>
        <w:t>第七条  违约责任</w:t>
      </w:r>
    </w:p>
    <w:p>
      <w:pPr>
        <w:ind w:firstLine="420" w:firstLineChars="200"/>
        <w:rPr>
          <w:rFonts w:ascii="宋体" w:hAnsi="宋体" w:cs="仿宋_GB2312"/>
          <w:color w:val="auto"/>
          <w:szCs w:val="21"/>
        </w:rPr>
      </w:pPr>
      <w:r>
        <w:rPr>
          <w:rFonts w:hint="eastAsia" w:ascii="宋体" w:hAnsi="宋体" w:cs="仿宋_GB2312"/>
          <w:color w:val="auto"/>
          <w:szCs w:val="21"/>
        </w:rPr>
        <w:t>甲、乙、丙三方均应遵守并履行本协议约定的义务与责任，不得设置任何妨碍其他各方履行本协议的事实上或法律上的障碍，任何一方违反本协议的约定，应承担由此造成相应的经济损失的赔偿责任。</w:t>
      </w:r>
    </w:p>
    <w:p>
      <w:pPr>
        <w:ind w:firstLine="420" w:firstLineChars="200"/>
        <w:rPr>
          <w:rFonts w:ascii="宋体" w:hAnsi="宋体" w:cs="仿宋_GB2312"/>
          <w:color w:val="auto"/>
          <w:szCs w:val="21"/>
        </w:rPr>
      </w:pPr>
      <w:r>
        <w:rPr>
          <w:rFonts w:hint="eastAsia" w:ascii="宋体" w:hAnsi="宋体" w:cs="仿宋_GB2312"/>
          <w:color w:val="auto"/>
          <w:szCs w:val="21"/>
        </w:rPr>
        <w:t>第八条</w:t>
      </w:r>
      <w:r>
        <w:rPr>
          <w:rFonts w:ascii="宋体" w:hAnsi="宋体" w:cs="仿宋_GB2312"/>
          <w:color w:val="auto"/>
          <w:szCs w:val="21"/>
        </w:rPr>
        <w:t xml:space="preserve">  </w:t>
      </w:r>
      <w:r>
        <w:rPr>
          <w:rFonts w:hint="eastAsia" w:ascii="宋体" w:hAnsi="宋体" w:cs="仿宋_GB2312"/>
          <w:color w:val="auto"/>
          <w:szCs w:val="21"/>
        </w:rPr>
        <w:t>特别声明</w:t>
      </w:r>
    </w:p>
    <w:p>
      <w:pPr>
        <w:ind w:firstLine="420" w:firstLineChars="200"/>
        <w:rPr>
          <w:rFonts w:ascii="宋体" w:hAnsi="宋体" w:cs="仿宋_GB2312"/>
          <w:color w:val="auto"/>
          <w:szCs w:val="21"/>
        </w:rPr>
      </w:pPr>
      <w:r>
        <w:rPr>
          <w:rFonts w:ascii="宋体" w:hAnsi="宋体" w:cs="仿宋_GB2312"/>
          <w:color w:val="auto"/>
          <w:szCs w:val="21"/>
        </w:rPr>
        <w:t>1.</w:t>
      </w:r>
      <w:r>
        <w:rPr>
          <w:rFonts w:hint="eastAsia" w:ascii="宋体" w:hAnsi="宋体" w:cs="仿宋_GB2312"/>
          <w:color w:val="auto"/>
          <w:szCs w:val="21"/>
        </w:rPr>
        <w:t>乙方与其交易对象在签订和履行交易合同过程中出现任何问题和纠纷，均应自行协商或通过法律途径解决；</w:t>
      </w:r>
    </w:p>
    <w:p>
      <w:pPr>
        <w:ind w:firstLine="420" w:firstLineChars="200"/>
        <w:rPr>
          <w:rFonts w:ascii="宋体" w:hAnsi="宋体" w:cs="仿宋_GB2312"/>
          <w:color w:val="auto"/>
          <w:szCs w:val="21"/>
        </w:rPr>
      </w:pPr>
      <w:r>
        <w:rPr>
          <w:rFonts w:ascii="宋体" w:hAnsi="宋体" w:cs="仿宋_GB2312"/>
          <w:color w:val="auto"/>
          <w:szCs w:val="21"/>
        </w:rPr>
        <w:t>2.</w:t>
      </w:r>
      <w:r>
        <w:rPr>
          <w:rFonts w:hint="eastAsia" w:ascii="宋体" w:hAnsi="宋体" w:cs="仿宋_GB2312"/>
          <w:color w:val="auto"/>
          <w:szCs w:val="21"/>
        </w:rPr>
        <w:t xml:space="preserve"> 因国家政策或相关法律法规限制，或者共管资金在由丙方保管期间被有权机关托管、查封、止付、冻结、扣划，或存在其他情况，致使资金无法按协议约定划转的，甲方及（或）丙方不承担任何法律责任；</w:t>
      </w:r>
    </w:p>
    <w:p>
      <w:pPr>
        <w:ind w:firstLine="420" w:firstLineChars="200"/>
        <w:rPr>
          <w:rFonts w:ascii="宋体" w:hAnsi="宋体" w:cs="仿宋_GB2312"/>
          <w:color w:val="auto"/>
          <w:szCs w:val="21"/>
        </w:rPr>
      </w:pPr>
      <w:r>
        <w:rPr>
          <w:rFonts w:hint="eastAsia" w:ascii="宋体" w:hAnsi="宋体" w:cs="仿宋_GB2312"/>
          <w:color w:val="auto"/>
          <w:szCs w:val="21"/>
        </w:rPr>
        <w:t>3. 乙方承诺并保证共管资金的用途合法，乙方与其交易对象所从事的任何与本协议相关的活动均应符合法律法规，因违反法律法规并给甲方及（或）丙方造成任何损失的，应对甲方及（或）丙方的损失承担赔偿责任；</w:t>
      </w:r>
    </w:p>
    <w:p>
      <w:pPr>
        <w:ind w:firstLine="420" w:firstLineChars="200"/>
        <w:rPr>
          <w:rFonts w:ascii="宋体" w:hAnsi="宋体" w:cs="仿宋_GB2312"/>
          <w:color w:val="auto"/>
          <w:szCs w:val="21"/>
        </w:rPr>
      </w:pPr>
      <w:r>
        <w:rPr>
          <w:rFonts w:hint="eastAsia" w:ascii="宋体" w:hAnsi="宋体" w:cs="仿宋_GB2312"/>
          <w:color w:val="auto"/>
          <w:szCs w:val="21"/>
        </w:rPr>
        <w:t>4</w:t>
      </w:r>
      <w:r>
        <w:rPr>
          <w:rFonts w:ascii="宋体" w:hAnsi="宋体" w:cs="仿宋_GB2312"/>
          <w:color w:val="auto"/>
          <w:szCs w:val="21"/>
        </w:rPr>
        <w:t>.</w:t>
      </w:r>
      <w:r>
        <w:rPr>
          <w:rFonts w:hint="eastAsia" w:ascii="宋体" w:hAnsi="宋体" w:cs="仿宋_GB2312"/>
          <w:color w:val="auto"/>
          <w:szCs w:val="21"/>
        </w:rPr>
        <w:t xml:space="preserve"> 除法律、法规规定，以及因本项目专项资金共管业务的需要和三方特别约定外，未经三方一致同意，任何一方不得向外提供涉及三方商业秘密的资料。</w:t>
      </w:r>
    </w:p>
    <w:p>
      <w:pPr>
        <w:adjustRightInd w:val="0"/>
        <w:snapToGrid w:val="0"/>
        <w:ind w:firstLine="420" w:firstLineChars="200"/>
        <w:rPr>
          <w:rFonts w:ascii="宋体" w:hAnsi="宋体" w:cs="仿宋_GB2312"/>
          <w:color w:val="auto"/>
          <w:szCs w:val="21"/>
        </w:rPr>
      </w:pPr>
      <w:r>
        <w:rPr>
          <w:rFonts w:hint="eastAsia" w:ascii="宋体" w:hAnsi="宋体" w:cs="仿宋_GB2312"/>
          <w:color w:val="auto"/>
          <w:szCs w:val="21"/>
        </w:rPr>
        <w:t>第九条</w:t>
      </w:r>
      <w:r>
        <w:rPr>
          <w:rFonts w:ascii="宋体" w:hAnsi="宋体" w:cs="仿宋_GB2312"/>
          <w:color w:val="auto"/>
          <w:szCs w:val="21"/>
        </w:rPr>
        <w:t xml:space="preserve">  </w:t>
      </w:r>
      <w:r>
        <w:rPr>
          <w:rFonts w:hint="eastAsia" w:ascii="宋体" w:hAnsi="宋体" w:cs="仿宋_GB2312"/>
          <w:color w:val="auto"/>
          <w:szCs w:val="21"/>
        </w:rPr>
        <w:t>争议解决</w:t>
      </w:r>
    </w:p>
    <w:p>
      <w:pPr>
        <w:ind w:firstLine="420" w:firstLineChars="200"/>
        <w:rPr>
          <w:rFonts w:ascii="宋体" w:hAnsi="宋体" w:cs="仿宋_GB2312"/>
          <w:color w:val="auto"/>
          <w:szCs w:val="21"/>
        </w:rPr>
      </w:pPr>
      <w:r>
        <w:rPr>
          <w:rFonts w:hint="eastAsia" w:ascii="宋体" w:hAnsi="宋体" w:cs="仿宋_GB2312"/>
          <w:color w:val="auto"/>
          <w:szCs w:val="21"/>
        </w:rPr>
        <w:t>本协议在履行过程中需对协议进行修订、或需解除本协议时，均须三方协商一致，并达成书面协议。书面协议达成之前，不影响本协议条款效力。</w:t>
      </w:r>
    </w:p>
    <w:p>
      <w:pPr>
        <w:ind w:firstLine="420" w:firstLineChars="200"/>
        <w:rPr>
          <w:rFonts w:ascii="宋体" w:hAnsi="宋体" w:cs="仿宋_GB2312"/>
          <w:color w:val="auto"/>
          <w:szCs w:val="21"/>
        </w:rPr>
      </w:pPr>
      <w:r>
        <w:rPr>
          <w:rFonts w:hint="eastAsia" w:ascii="宋体" w:hAnsi="宋体" w:cs="仿宋_GB2312"/>
          <w:color w:val="auto"/>
          <w:szCs w:val="21"/>
        </w:rPr>
        <w:t>本协议未尽事宜，由三方协商解决，未能友好协商解决的，任何一方均有权向甲方所在地人民法院提起诉讼。</w:t>
      </w:r>
    </w:p>
    <w:p>
      <w:pPr>
        <w:adjustRightInd w:val="0"/>
        <w:snapToGrid w:val="0"/>
        <w:ind w:firstLine="415" w:firstLineChars="198"/>
        <w:rPr>
          <w:rFonts w:ascii="宋体" w:hAnsi="宋体" w:cs="仿宋_GB2312"/>
          <w:color w:val="auto"/>
          <w:szCs w:val="21"/>
        </w:rPr>
      </w:pPr>
      <w:r>
        <w:rPr>
          <w:rFonts w:hint="eastAsia" w:ascii="宋体" w:hAnsi="宋体" w:cs="仿宋_GB2312"/>
          <w:color w:val="auto"/>
          <w:szCs w:val="21"/>
        </w:rPr>
        <w:t>第十条 本协议的生效</w:t>
      </w:r>
    </w:p>
    <w:p>
      <w:pPr>
        <w:ind w:firstLine="420" w:firstLineChars="200"/>
        <w:rPr>
          <w:rFonts w:ascii="宋体" w:hAnsi="宋体" w:cs="仿宋_GB2312"/>
          <w:color w:val="auto"/>
          <w:szCs w:val="21"/>
        </w:rPr>
      </w:pPr>
      <w:r>
        <w:rPr>
          <w:rFonts w:hint="eastAsia" w:ascii="宋体" w:hAnsi="宋体" w:cs="仿宋_GB2312"/>
          <w:color w:val="auto"/>
          <w:szCs w:val="21"/>
        </w:rPr>
        <w:t>本协议自甲、乙、丙三方法定代表人（或负责人）或其授权代理人签字并加盖公章之日起生效。</w:t>
      </w:r>
    </w:p>
    <w:p>
      <w:pPr>
        <w:ind w:firstLine="420" w:firstLineChars="200"/>
        <w:rPr>
          <w:rFonts w:ascii="宋体" w:hAnsi="宋体" w:cs="仿宋_GB2312"/>
          <w:color w:val="auto"/>
          <w:szCs w:val="21"/>
        </w:rPr>
      </w:pPr>
      <w:r>
        <w:rPr>
          <w:rFonts w:hint="eastAsia" w:ascii="宋体" w:hAnsi="宋体" w:cs="仿宋_GB2312"/>
          <w:color w:val="auto"/>
          <w:szCs w:val="21"/>
        </w:rPr>
        <w:t>第十一条 附则</w:t>
      </w:r>
    </w:p>
    <w:p>
      <w:pPr>
        <w:ind w:firstLine="420" w:firstLineChars="200"/>
        <w:rPr>
          <w:rFonts w:ascii="宋体" w:hAnsi="宋体" w:cs="仿宋_GB2312"/>
          <w:color w:val="auto"/>
          <w:szCs w:val="21"/>
        </w:rPr>
      </w:pPr>
      <w:r>
        <w:rPr>
          <w:rFonts w:hint="eastAsia" w:ascii="宋体" w:hAnsi="宋体" w:cs="仿宋_GB2312"/>
          <w:color w:val="auto"/>
          <w:szCs w:val="21"/>
        </w:rPr>
        <w:t>本协议一式捌份，甲方执肆份，乙方、丙方各执贰份，具有同等法律效力。</w:t>
      </w:r>
    </w:p>
    <w:p>
      <w:pPr>
        <w:ind w:firstLine="420" w:firstLineChars="200"/>
        <w:rPr>
          <w:rFonts w:ascii="宋体" w:hAnsi="宋体" w:cs="仿宋_GB2312"/>
          <w:color w:val="auto"/>
          <w:szCs w:val="21"/>
        </w:rPr>
      </w:pPr>
    </w:p>
    <w:p>
      <w:pPr>
        <w:ind w:firstLine="420" w:firstLineChars="200"/>
        <w:rPr>
          <w:rFonts w:ascii="宋体" w:hAnsi="宋体" w:cs="仿宋_GB2312"/>
          <w:color w:val="auto"/>
          <w:szCs w:val="21"/>
        </w:rPr>
      </w:pPr>
      <w:r>
        <w:rPr>
          <w:rFonts w:hint="eastAsia" w:ascii="宋体" w:hAnsi="宋体" w:cs="仿宋_GB2312"/>
          <w:color w:val="auto"/>
          <w:szCs w:val="21"/>
        </w:rPr>
        <w:t>附件:</w:t>
      </w:r>
    </w:p>
    <w:p>
      <w:pPr>
        <w:ind w:firstLine="420" w:firstLineChars="200"/>
        <w:rPr>
          <w:rFonts w:ascii="宋体" w:hAnsi="宋体" w:cs="仿宋_GB2312"/>
          <w:color w:val="auto"/>
          <w:szCs w:val="21"/>
        </w:rPr>
      </w:pPr>
      <w:r>
        <w:rPr>
          <w:rFonts w:hint="eastAsia" w:ascii="宋体" w:hAnsi="宋体" w:cs="仿宋_GB2312"/>
          <w:color w:val="auto"/>
          <w:szCs w:val="21"/>
        </w:rPr>
        <w:t>一、《用款申请书》;</w:t>
      </w:r>
    </w:p>
    <w:p>
      <w:pPr>
        <w:ind w:firstLine="420" w:firstLineChars="200"/>
        <w:rPr>
          <w:rFonts w:ascii="宋体" w:hAnsi="宋体" w:cs="仿宋_GB2312"/>
          <w:b/>
          <w:bCs/>
          <w:color w:val="auto"/>
          <w:szCs w:val="21"/>
        </w:rPr>
      </w:pPr>
      <w:r>
        <w:rPr>
          <w:rFonts w:hint="eastAsia" w:ascii="宋体" w:hAnsi="宋体" w:cs="仿宋_GB2312"/>
          <w:color w:val="auto"/>
          <w:szCs w:val="21"/>
        </w:rPr>
        <w:t>二、《上期实际发放管理人员工资明细表》、《本期计划发放管理人员工资明细表</w:t>
      </w:r>
      <w:r>
        <w:rPr>
          <w:rFonts w:hint="eastAsia" w:ascii="宋体" w:hAnsi="宋体" w:cs="仿宋_GB2312"/>
          <w:b/>
          <w:bCs/>
          <w:color w:val="auto"/>
          <w:szCs w:val="21"/>
        </w:rPr>
        <w:t>》;</w:t>
      </w:r>
    </w:p>
    <w:p>
      <w:pPr>
        <w:ind w:firstLine="420" w:firstLineChars="200"/>
        <w:rPr>
          <w:rFonts w:ascii="宋体" w:hAnsi="宋体" w:cs="仿宋_GB2312"/>
          <w:color w:val="auto"/>
          <w:szCs w:val="21"/>
        </w:rPr>
      </w:pPr>
      <w:r>
        <w:rPr>
          <w:rFonts w:hint="eastAsia" w:ascii="宋体" w:hAnsi="宋体" w:cs="仿宋_GB2312"/>
          <w:color w:val="auto"/>
          <w:szCs w:val="21"/>
        </w:rPr>
        <w:t>三、《共管账户划款通知书》;</w:t>
      </w:r>
    </w:p>
    <w:p>
      <w:pPr>
        <w:ind w:firstLine="420" w:firstLineChars="200"/>
        <w:rPr>
          <w:rFonts w:ascii="宋体" w:hAnsi="宋体" w:cs="仿宋_GB2312"/>
          <w:color w:val="auto"/>
          <w:szCs w:val="21"/>
        </w:rPr>
      </w:pPr>
      <w:r>
        <w:rPr>
          <w:rFonts w:hint="eastAsia" w:ascii="宋体" w:hAnsi="宋体" w:cs="仿宋_GB2312"/>
          <w:color w:val="auto"/>
          <w:szCs w:val="21"/>
        </w:rPr>
        <w:t>四、项目资金支付审批流程概览;</w:t>
      </w:r>
    </w:p>
    <w:p>
      <w:pPr>
        <w:ind w:firstLine="420" w:firstLineChars="200"/>
        <w:rPr>
          <w:rFonts w:ascii="宋体" w:hAnsi="宋体" w:cs="仿宋_GB2312"/>
          <w:color w:val="auto"/>
          <w:szCs w:val="21"/>
        </w:rPr>
      </w:pPr>
      <w:r>
        <w:rPr>
          <w:rFonts w:hint="eastAsia" w:ascii="宋体" w:hAnsi="宋体" w:cs="仿宋_GB2312"/>
          <w:color w:val="auto"/>
          <w:szCs w:val="21"/>
        </w:rPr>
        <w:t>五、《共管工程预付款使用监管办法》</w:t>
      </w:r>
    </w:p>
    <w:p>
      <w:pPr>
        <w:ind w:firstLine="420" w:firstLineChars="200"/>
        <w:rPr>
          <w:rFonts w:ascii="宋体" w:hAnsi="宋体" w:cs="仿宋_GB2312"/>
          <w:color w:val="auto"/>
          <w:szCs w:val="21"/>
        </w:rPr>
      </w:pPr>
    </w:p>
    <w:p>
      <w:pPr>
        <w:ind w:firstLine="420" w:firstLineChars="200"/>
        <w:rPr>
          <w:rFonts w:ascii="宋体" w:hAnsi="宋体" w:cs="仿宋_GB2312"/>
          <w:color w:val="auto"/>
          <w:szCs w:val="21"/>
        </w:rPr>
      </w:pPr>
    </w:p>
    <w:p>
      <w:pPr>
        <w:ind w:firstLine="420" w:firstLineChars="200"/>
        <w:rPr>
          <w:rFonts w:ascii="宋体" w:hAnsi="宋体" w:cs="仿宋_GB2312"/>
          <w:color w:val="auto"/>
          <w:szCs w:val="21"/>
        </w:rPr>
      </w:pPr>
      <w:r>
        <w:rPr>
          <w:rFonts w:ascii="宋体" w:hAnsi="宋体" w:cs="仿宋_GB2312"/>
          <w:color w:val="auto"/>
          <w:szCs w:val="21"/>
        </w:rPr>
        <w:t>以下无正文</w:t>
      </w:r>
    </w:p>
    <w:p>
      <w:pPr>
        <w:rPr>
          <w:rFonts w:ascii="宋体" w:hAnsi="宋体" w:cs="仿宋_GB2312"/>
          <w:color w:val="auto"/>
          <w:szCs w:val="21"/>
        </w:rPr>
      </w:pP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甲方（盖公章）：</w:t>
      </w:r>
      <w:r>
        <w:rPr>
          <w:rFonts w:ascii="宋体" w:hAnsi="宋体" w:cs="仿宋_GB2312"/>
          <w:color w:val="auto"/>
          <w:szCs w:val="21"/>
        </w:rPr>
        <w:t xml:space="preserve"> </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法定代表人（授权代理人）：</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签订日期：</w:t>
      </w:r>
      <w:r>
        <w:rPr>
          <w:rFonts w:ascii="宋体" w:hAnsi="宋体" w:cs="仿宋_GB2312"/>
          <w:color w:val="auto"/>
          <w:szCs w:val="21"/>
        </w:rPr>
        <w:t xml:space="preserve">             </w:t>
      </w:r>
      <w:r>
        <w:rPr>
          <w:rFonts w:hint="eastAsia" w:ascii="宋体" w:hAnsi="宋体" w:cs="仿宋_GB2312"/>
          <w:color w:val="auto"/>
          <w:szCs w:val="21"/>
        </w:rPr>
        <w:t>年</w:t>
      </w:r>
      <w:r>
        <w:rPr>
          <w:rFonts w:ascii="宋体" w:hAnsi="宋体" w:cs="仿宋_GB2312"/>
          <w:color w:val="auto"/>
          <w:szCs w:val="21"/>
        </w:rPr>
        <w:t xml:space="preserve">     </w:t>
      </w:r>
      <w:r>
        <w:rPr>
          <w:rFonts w:hint="eastAsia" w:ascii="宋体" w:hAnsi="宋体" w:cs="仿宋_GB2312"/>
          <w:color w:val="auto"/>
          <w:szCs w:val="21"/>
        </w:rPr>
        <w:t>月</w:t>
      </w:r>
      <w:r>
        <w:rPr>
          <w:rFonts w:ascii="宋体" w:hAnsi="宋体" w:cs="仿宋_GB2312"/>
          <w:color w:val="auto"/>
          <w:szCs w:val="21"/>
        </w:rPr>
        <w:t xml:space="preserve">     </w:t>
      </w:r>
      <w:r>
        <w:rPr>
          <w:rFonts w:hint="eastAsia" w:ascii="宋体" w:hAnsi="宋体" w:cs="仿宋_GB2312"/>
          <w:color w:val="auto"/>
          <w:szCs w:val="21"/>
        </w:rPr>
        <w:t>日</w:t>
      </w:r>
    </w:p>
    <w:p>
      <w:pPr>
        <w:rPr>
          <w:rFonts w:ascii="宋体" w:hAnsi="宋体" w:cs="仿宋_GB2312"/>
          <w:color w:val="auto"/>
          <w:szCs w:val="21"/>
        </w:rPr>
      </w:pPr>
    </w:p>
    <w:p>
      <w:pPr>
        <w:ind w:right="-867" w:rightChars="-413"/>
        <w:rPr>
          <w:rFonts w:ascii="宋体" w:hAnsi="宋体" w:cs="仿宋_GB2312"/>
          <w:color w:val="auto"/>
          <w:szCs w:val="21"/>
        </w:rPr>
      </w:pPr>
    </w:p>
    <w:p>
      <w:pPr>
        <w:ind w:right="-867" w:rightChars="-413"/>
        <w:rPr>
          <w:rFonts w:ascii="宋体" w:hAnsi="宋体" w:cs="仿宋_GB2312"/>
          <w:color w:val="auto"/>
          <w:szCs w:val="21"/>
        </w:rPr>
      </w:pPr>
      <w:r>
        <w:rPr>
          <w:rFonts w:hint="eastAsia" w:ascii="宋体" w:hAnsi="宋体" w:cs="仿宋_GB2312"/>
          <w:color w:val="auto"/>
          <w:szCs w:val="21"/>
        </w:rPr>
        <w:t>乙方（盖公章）：</w:t>
      </w:r>
      <w:r>
        <w:rPr>
          <w:rFonts w:ascii="宋体" w:hAnsi="宋体" w:cs="仿宋_GB2312"/>
          <w:color w:val="auto"/>
          <w:szCs w:val="21"/>
        </w:rPr>
        <w:t xml:space="preserve">                   </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法定代表人（授权代理人）：</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签订日期：</w:t>
      </w:r>
      <w:r>
        <w:rPr>
          <w:rFonts w:ascii="宋体" w:hAnsi="宋体" w:cs="仿宋_GB2312"/>
          <w:color w:val="auto"/>
          <w:szCs w:val="21"/>
        </w:rPr>
        <w:t xml:space="preserve">             </w:t>
      </w:r>
      <w:r>
        <w:rPr>
          <w:rFonts w:hint="eastAsia" w:ascii="宋体" w:hAnsi="宋体" w:cs="仿宋_GB2312"/>
          <w:color w:val="auto"/>
          <w:szCs w:val="21"/>
        </w:rPr>
        <w:t>年</w:t>
      </w:r>
      <w:r>
        <w:rPr>
          <w:rFonts w:ascii="宋体" w:hAnsi="宋体" w:cs="仿宋_GB2312"/>
          <w:color w:val="auto"/>
          <w:szCs w:val="21"/>
        </w:rPr>
        <w:t xml:space="preserve">     </w:t>
      </w:r>
      <w:r>
        <w:rPr>
          <w:rFonts w:hint="eastAsia" w:ascii="宋体" w:hAnsi="宋体" w:cs="仿宋_GB2312"/>
          <w:color w:val="auto"/>
          <w:szCs w:val="21"/>
        </w:rPr>
        <w:t>月</w:t>
      </w:r>
      <w:r>
        <w:rPr>
          <w:rFonts w:ascii="宋体" w:hAnsi="宋体" w:cs="仿宋_GB2312"/>
          <w:color w:val="auto"/>
          <w:szCs w:val="21"/>
        </w:rPr>
        <w:t xml:space="preserve">     </w:t>
      </w:r>
      <w:r>
        <w:rPr>
          <w:rFonts w:hint="eastAsia" w:ascii="宋体" w:hAnsi="宋体" w:cs="仿宋_GB2312"/>
          <w:color w:val="auto"/>
          <w:szCs w:val="21"/>
        </w:rPr>
        <w:t>日</w:t>
      </w:r>
    </w:p>
    <w:p>
      <w:pPr>
        <w:rPr>
          <w:rFonts w:ascii="宋体" w:hAnsi="宋体" w:cs="仿宋_GB2312"/>
          <w:color w:val="auto"/>
          <w:szCs w:val="21"/>
        </w:rPr>
      </w:pPr>
    </w:p>
    <w:p>
      <w:pPr>
        <w:ind w:right="-867" w:rightChars="-413"/>
        <w:rPr>
          <w:rFonts w:ascii="宋体" w:hAnsi="宋体" w:cs="仿宋_GB2312"/>
          <w:color w:val="auto"/>
          <w:szCs w:val="21"/>
        </w:rPr>
      </w:pPr>
    </w:p>
    <w:p>
      <w:pPr>
        <w:ind w:right="-867" w:rightChars="-413"/>
        <w:rPr>
          <w:rFonts w:ascii="宋体" w:hAnsi="宋体" w:cs="仿宋_GB2312"/>
          <w:color w:val="auto"/>
          <w:szCs w:val="21"/>
        </w:rPr>
      </w:pPr>
      <w:r>
        <w:rPr>
          <w:rFonts w:hint="eastAsia" w:ascii="宋体" w:hAnsi="宋体" w:cs="仿宋_GB2312"/>
          <w:color w:val="auto"/>
          <w:szCs w:val="21"/>
        </w:rPr>
        <w:t>丙方（盖公章）：</w:t>
      </w:r>
      <w:r>
        <w:rPr>
          <w:rFonts w:ascii="宋体" w:hAnsi="宋体" w:cs="仿宋_GB2312"/>
          <w:color w:val="auto"/>
          <w:szCs w:val="21"/>
        </w:rPr>
        <w:t xml:space="preserve">                   </w:t>
      </w:r>
    </w:p>
    <w:p>
      <w:pPr>
        <w:rPr>
          <w:rFonts w:ascii="宋体" w:hAnsi="宋体" w:cs="仿宋_GB2312"/>
          <w:color w:val="auto"/>
          <w:szCs w:val="21"/>
        </w:rPr>
      </w:pPr>
    </w:p>
    <w:p>
      <w:pPr>
        <w:rPr>
          <w:rFonts w:ascii="宋体" w:hAnsi="宋体" w:cs="仿宋_GB2312"/>
          <w:color w:val="auto"/>
          <w:szCs w:val="21"/>
        </w:rPr>
      </w:pPr>
      <w:r>
        <w:rPr>
          <w:rFonts w:hint="eastAsia" w:ascii="宋体" w:hAnsi="宋体" w:cs="仿宋_GB2312"/>
          <w:color w:val="auto"/>
          <w:szCs w:val="21"/>
        </w:rPr>
        <w:t>法定代表人（授权代理人）：</w:t>
      </w:r>
    </w:p>
    <w:p>
      <w:pPr>
        <w:rPr>
          <w:rFonts w:ascii="宋体" w:hAnsi="宋体" w:cs="仿宋_GB2312"/>
          <w:color w:val="auto"/>
          <w:szCs w:val="21"/>
        </w:rPr>
      </w:pPr>
    </w:p>
    <w:p>
      <w:pPr>
        <w:rPr>
          <w:rFonts w:ascii="宋体" w:hAnsi="宋体" w:cs="仿宋_GB2312"/>
          <w:color w:val="auto"/>
          <w:szCs w:val="21"/>
        </w:rPr>
        <w:sectPr>
          <w:headerReference r:id="rId14" w:type="default"/>
          <w:pgSz w:w="11907" w:h="16840"/>
          <w:pgMar w:top="1134" w:right="1418" w:bottom="1134" w:left="1418" w:header="851" w:footer="992" w:gutter="0"/>
          <w:pgNumType w:fmt="decimal"/>
          <w:cols w:space="720" w:num="1"/>
          <w:docGrid w:linePitch="312" w:charSpace="0"/>
        </w:sectPr>
      </w:pPr>
      <w:r>
        <w:rPr>
          <w:rFonts w:hint="eastAsia" w:ascii="宋体" w:hAnsi="宋体" w:cs="仿宋_GB2312"/>
          <w:color w:val="auto"/>
          <w:szCs w:val="21"/>
        </w:rPr>
        <w:t>签订日期：</w:t>
      </w:r>
      <w:r>
        <w:rPr>
          <w:rFonts w:ascii="宋体" w:hAnsi="宋体" w:cs="仿宋_GB2312"/>
          <w:color w:val="auto"/>
          <w:szCs w:val="21"/>
        </w:rPr>
        <w:t xml:space="preserve">             </w:t>
      </w:r>
      <w:r>
        <w:rPr>
          <w:rFonts w:hint="eastAsia" w:ascii="宋体" w:hAnsi="宋体" w:cs="仿宋_GB2312"/>
          <w:color w:val="auto"/>
          <w:szCs w:val="21"/>
        </w:rPr>
        <w:t>年</w:t>
      </w:r>
      <w:r>
        <w:rPr>
          <w:rFonts w:ascii="宋体" w:hAnsi="宋体" w:cs="仿宋_GB2312"/>
          <w:color w:val="auto"/>
          <w:szCs w:val="21"/>
        </w:rPr>
        <w:t xml:space="preserve">     </w:t>
      </w:r>
      <w:r>
        <w:rPr>
          <w:rFonts w:hint="eastAsia" w:ascii="宋体" w:hAnsi="宋体" w:cs="仿宋_GB2312"/>
          <w:color w:val="auto"/>
          <w:szCs w:val="21"/>
        </w:rPr>
        <w:t>月</w:t>
      </w:r>
      <w:r>
        <w:rPr>
          <w:rFonts w:ascii="宋体" w:hAnsi="宋体" w:cs="仿宋_GB2312"/>
          <w:color w:val="auto"/>
          <w:szCs w:val="21"/>
        </w:rPr>
        <w:t xml:space="preserve">     </w:t>
      </w:r>
      <w:r>
        <w:rPr>
          <w:rFonts w:hint="eastAsia" w:ascii="宋体" w:hAnsi="宋体" w:cs="仿宋_GB2312"/>
          <w:color w:val="auto"/>
          <w:szCs w:val="21"/>
        </w:rPr>
        <w:t>日</w:t>
      </w:r>
    </w:p>
    <w:tbl>
      <w:tblPr>
        <w:tblStyle w:val="49"/>
        <w:tblW w:w="15507" w:type="dxa"/>
        <w:jc w:val="center"/>
        <w:tblLayout w:type="autofit"/>
        <w:tblCellMar>
          <w:top w:w="0" w:type="dxa"/>
          <w:left w:w="108" w:type="dxa"/>
          <w:bottom w:w="0" w:type="dxa"/>
          <w:right w:w="108" w:type="dxa"/>
        </w:tblCellMar>
      </w:tblPr>
      <w:tblGrid>
        <w:gridCol w:w="440"/>
        <w:gridCol w:w="1260"/>
        <w:gridCol w:w="887"/>
        <w:gridCol w:w="1035"/>
        <w:gridCol w:w="465"/>
        <w:gridCol w:w="480"/>
        <w:gridCol w:w="280"/>
        <w:gridCol w:w="480"/>
        <w:gridCol w:w="220"/>
        <w:gridCol w:w="1760"/>
        <w:gridCol w:w="480"/>
        <w:gridCol w:w="920"/>
        <w:gridCol w:w="480"/>
        <w:gridCol w:w="920"/>
        <w:gridCol w:w="480"/>
        <w:gridCol w:w="1115"/>
        <w:gridCol w:w="65"/>
        <w:gridCol w:w="480"/>
        <w:gridCol w:w="460"/>
        <w:gridCol w:w="940"/>
        <w:gridCol w:w="460"/>
        <w:gridCol w:w="1400"/>
      </w:tblGrid>
      <w:tr>
        <w:tblPrEx>
          <w:tblCellMar>
            <w:top w:w="0" w:type="dxa"/>
            <w:left w:w="108" w:type="dxa"/>
            <w:bottom w:w="0" w:type="dxa"/>
            <w:right w:w="108" w:type="dxa"/>
          </w:tblCellMar>
        </w:tblPrEx>
        <w:trPr>
          <w:trHeight w:val="315" w:hRule="atLeast"/>
          <w:jc w:val="center"/>
        </w:trPr>
        <w:tc>
          <w:tcPr>
            <w:tcW w:w="2587" w:type="dxa"/>
            <w:gridSpan w:val="3"/>
            <w:tcBorders>
              <w:top w:val="nil"/>
              <w:left w:val="nil"/>
              <w:bottom w:val="nil"/>
              <w:right w:val="nil"/>
            </w:tcBorders>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附件一：</w:t>
            </w:r>
          </w:p>
        </w:tc>
        <w:tc>
          <w:tcPr>
            <w:tcW w:w="1500" w:type="dxa"/>
            <w:gridSpan w:val="2"/>
            <w:tcBorders>
              <w:top w:val="nil"/>
              <w:left w:val="nil"/>
              <w:bottom w:val="nil"/>
              <w:right w:val="nil"/>
            </w:tcBorders>
            <w:vAlign w:val="center"/>
          </w:tcPr>
          <w:p>
            <w:pPr>
              <w:widowControl/>
              <w:jc w:val="center"/>
              <w:rPr>
                <w:rFonts w:ascii="宋体" w:hAnsi="宋体"/>
                <w:color w:val="auto"/>
                <w:kern w:val="0"/>
                <w:sz w:val="24"/>
                <w:szCs w:val="24"/>
              </w:rPr>
            </w:pPr>
          </w:p>
        </w:tc>
        <w:tc>
          <w:tcPr>
            <w:tcW w:w="760" w:type="dxa"/>
            <w:gridSpan w:val="2"/>
            <w:tcBorders>
              <w:top w:val="nil"/>
              <w:left w:val="nil"/>
              <w:bottom w:val="nil"/>
              <w:right w:val="nil"/>
            </w:tcBorders>
            <w:vAlign w:val="center"/>
          </w:tcPr>
          <w:p>
            <w:pPr>
              <w:widowControl/>
              <w:jc w:val="center"/>
              <w:rPr>
                <w:rFonts w:ascii="宋体" w:hAnsi="宋体"/>
                <w:color w:val="auto"/>
                <w:kern w:val="0"/>
                <w:sz w:val="24"/>
                <w:szCs w:val="24"/>
              </w:rPr>
            </w:pPr>
          </w:p>
        </w:tc>
        <w:tc>
          <w:tcPr>
            <w:tcW w:w="700" w:type="dxa"/>
            <w:gridSpan w:val="2"/>
            <w:tcBorders>
              <w:top w:val="nil"/>
              <w:left w:val="nil"/>
              <w:bottom w:val="nil"/>
              <w:right w:val="nil"/>
            </w:tcBorders>
            <w:vAlign w:val="center"/>
          </w:tcPr>
          <w:p>
            <w:pPr>
              <w:widowControl/>
              <w:jc w:val="center"/>
              <w:rPr>
                <w:rFonts w:ascii="宋体" w:hAnsi="宋体"/>
                <w:color w:val="auto"/>
                <w:kern w:val="0"/>
                <w:sz w:val="24"/>
                <w:szCs w:val="24"/>
              </w:rPr>
            </w:pPr>
          </w:p>
        </w:tc>
        <w:tc>
          <w:tcPr>
            <w:tcW w:w="1760" w:type="dxa"/>
            <w:tcBorders>
              <w:top w:val="nil"/>
              <w:left w:val="nil"/>
              <w:bottom w:val="nil"/>
              <w:right w:val="nil"/>
            </w:tcBorders>
            <w:vAlign w:val="center"/>
          </w:tcPr>
          <w:p>
            <w:pPr>
              <w:widowControl/>
              <w:jc w:val="center"/>
              <w:rPr>
                <w:rFonts w:ascii="宋体" w:hAnsi="宋体"/>
                <w:color w:val="auto"/>
                <w:kern w:val="0"/>
                <w:sz w:val="24"/>
                <w:szCs w:val="24"/>
              </w:rPr>
            </w:pPr>
          </w:p>
        </w:tc>
        <w:tc>
          <w:tcPr>
            <w:tcW w:w="1400" w:type="dxa"/>
            <w:gridSpan w:val="2"/>
            <w:tcBorders>
              <w:top w:val="nil"/>
              <w:left w:val="nil"/>
              <w:bottom w:val="nil"/>
              <w:right w:val="nil"/>
            </w:tcBorders>
            <w:vAlign w:val="center"/>
          </w:tcPr>
          <w:p>
            <w:pPr>
              <w:widowControl/>
              <w:jc w:val="center"/>
              <w:rPr>
                <w:rFonts w:ascii="宋体" w:hAnsi="宋体"/>
                <w:color w:val="auto"/>
                <w:kern w:val="0"/>
                <w:sz w:val="24"/>
                <w:szCs w:val="24"/>
              </w:rPr>
            </w:pPr>
          </w:p>
        </w:tc>
        <w:tc>
          <w:tcPr>
            <w:tcW w:w="1400" w:type="dxa"/>
            <w:gridSpan w:val="2"/>
            <w:tcBorders>
              <w:top w:val="nil"/>
              <w:left w:val="nil"/>
              <w:bottom w:val="nil"/>
              <w:right w:val="nil"/>
            </w:tcBorders>
            <w:vAlign w:val="center"/>
          </w:tcPr>
          <w:p>
            <w:pPr>
              <w:widowControl/>
              <w:jc w:val="center"/>
              <w:rPr>
                <w:rFonts w:ascii="宋体" w:hAnsi="宋体"/>
                <w:color w:val="auto"/>
                <w:kern w:val="0"/>
                <w:sz w:val="24"/>
                <w:szCs w:val="24"/>
              </w:rPr>
            </w:pPr>
          </w:p>
        </w:tc>
        <w:tc>
          <w:tcPr>
            <w:tcW w:w="1660" w:type="dxa"/>
            <w:gridSpan w:val="3"/>
            <w:tcBorders>
              <w:top w:val="nil"/>
              <w:left w:val="nil"/>
              <w:bottom w:val="nil"/>
              <w:right w:val="nil"/>
            </w:tcBorders>
            <w:vAlign w:val="center"/>
          </w:tcPr>
          <w:p>
            <w:pPr>
              <w:widowControl/>
              <w:jc w:val="center"/>
              <w:rPr>
                <w:rFonts w:ascii="宋体" w:hAnsi="宋体"/>
                <w:color w:val="auto"/>
                <w:kern w:val="0"/>
                <w:sz w:val="24"/>
                <w:szCs w:val="24"/>
              </w:rPr>
            </w:pPr>
          </w:p>
        </w:tc>
        <w:tc>
          <w:tcPr>
            <w:tcW w:w="480" w:type="dxa"/>
            <w:tcBorders>
              <w:top w:val="nil"/>
              <w:left w:val="nil"/>
              <w:bottom w:val="nil"/>
              <w:right w:val="nil"/>
            </w:tcBorders>
            <w:vAlign w:val="center"/>
          </w:tcPr>
          <w:p>
            <w:pPr>
              <w:widowControl/>
              <w:jc w:val="center"/>
              <w:rPr>
                <w:rFonts w:ascii="宋体" w:hAnsi="宋体"/>
                <w:color w:val="auto"/>
                <w:kern w:val="0"/>
                <w:sz w:val="24"/>
                <w:szCs w:val="24"/>
              </w:rPr>
            </w:pPr>
          </w:p>
        </w:tc>
        <w:tc>
          <w:tcPr>
            <w:tcW w:w="1400" w:type="dxa"/>
            <w:gridSpan w:val="2"/>
            <w:tcBorders>
              <w:top w:val="nil"/>
              <w:left w:val="nil"/>
              <w:bottom w:val="nil"/>
              <w:right w:val="nil"/>
            </w:tcBorders>
            <w:vAlign w:val="center"/>
          </w:tcPr>
          <w:p>
            <w:pPr>
              <w:widowControl/>
              <w:jc w:val="center"/>
              <w:rPr>
                <w:rFonts w:ascii="宋体" w:hAnsi="宋体"/>
                <w:color w:val="auto"/>
                <w:kern w:val="0"/>
                <w:sz w:val="24"/>
                <w:szCs w:val="24"/>
              </w:rPr>
            </w:pPr>
          </w:p>
        </w:tc>
        <w:tc>
          <w:tcPr>
            <w:tcW w:w="1860" w:type="dxa"/>
            <w:gridSpan w:val="2"/>
            <w:tcBorders>
              <w:top w:val="nil"/>
              <w:left w:val="nil"/>
              <w:bottom w:val="nil"/>
              <w:right w:val="nil"/>
            </w:tcBorders>
            <w:vAlign w:val="center"/>
          </w:tcPr>
          <w:p>
            <w:pPr>
              <w:widowControl/>
              <w:jc w:val="center"/>
              <w:rPr>
                <w:rFonts w:ascii="宋体" w:hAnsi="宋体"/>
                <w:color w:val="auto"/>
                <w:kern w:val="0"/>
                <w:sz w:val="24"/>
                <w:szCs w:val="24"/>
              </w:rPr>
            </w:pPr>
          </w:p>
        </w:tc>
      </w:tr>
      <w:tr>
        <w:tblPrEx>
          <w:tblCellMar>
            <w:top w:w="0" w:type="dxa"/>
            <w:left w:w="108" w:type="dxa"/>
            <w:bottom w:w="0" w:type="dxa"/>
            <w:right w:w="108" w:type="dxa"/>
          </w:tblCellMar>
        </w:tblPrEx>
        <w:trPr>
          <w:trHeight w:val="510" w:hRule="atLeast"/>
          <w:jc w:val="center"/>
        </w:trPr>
        <w:tc>
          <w:tcPr>
            <w:tcW w:w="15507" w:type="dxa"/>
            <w:gridSpan w:val="22"/>
            <w:tcBorders>
              <w:top w:val="nil"/>
              <w:left w:val="nil"/>
              <w:bottom w:val="nil"/>
              <w:right w:val="nil"/>
            </w:tcBorders>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工程</w:t>
            </w:r>
          </w:p>
        </w:tc>
      </w:tr>
      <w:tr>
        <w:tblPrEx>
          <w:tblCellMar>
            <w:top w:w="0" w:type="dxa"/>
            <w:left w:w="108" w:type="dxa"/>
            <w:bottom w:w="0" w:type="dxa"/>
            <w:right w:w="108" w:type="dxa"/>
          </w:tblCellMar>
        </w:tblPrEx>
        <w:trPr>
          <w:trHeight w:val="510" w:hRule="atLeast"/>
          <w:jc w:val="center"/>
        </w:trPr>
        <w:tc>
          <w:tcPr>
            <w:tcW w:w="15507" w:type="dxa"/>
            <w:gridSpan w:val="22"/>
            <w:tcBorders>
              <w:top w:val="nil"/>
              <w:left w:val="nil"/>
              <w:bottom w:val="single" w:color="auto" w:sz="4" w:space="0"/>
              <w:right w:val="nil"/>
            </w:tcBorders>
            <w:vAlign w:val="center"/>
          </w:tcPr>
          <w:p>
            <w:pPr>
              <w:widowControl/>
              <w:rPr>
                <w:rFonts w:ascii="宋体" w:hAnsi="宋体" w:cs="宋体"/>
                <w:b/>
                <w:bCs/>
                <w:color w:val="auto"/>
                <w:kern w:val="0"/>
                <w:sz w:val="22"/>
              </w:rPr>
            </w:pPr>
            <w:r>
              <w:rPr>
                <w:rFonts w:hint="eastAsia" w:ascii="宋体" w:hAnsi="宋体" w:cs="宋体"/>
                <w:b/>
                <w:bCs/>
                <w:color w:val="auto"/>
                <w:kern w:val="0"/>
                <w:sz w:val="22"/>
              </w:rPr>
              <w:t>申请编号：</w:t>
            </w:r>
            <w:r>
              <w:rPr>
                <w:rFonts w:ascii="宋体" w:hAnsi="宋体"/>
                <w:b/>
                <w:bCs/>
                <w:color w:val="auto"/>
                <w:kern w:val="0"/>
                <w:sz w:val="22"/>
              </w:rPr>
              <w:t xml:space="preserve">20  </w:t>
            </w:r>
            <w:r>
              <w:rPr>
                <w:rFonts w:hint="eastAsia" w:ascii="宋体" w:hAnsi="宋体" w:cs="宋体"/>
                <w:b/>
                <w:bCs/>
                <w:color w:val="auto"/>
                <w:kern w:val="0"/>
                <w:sz w:val="22"/>
              </w:rPr>
              <w:t>年第</w:t>
            </w:r>
            <w:r>
              <w:rPr>
                <w:rFonts w:ascii="宋体" w:hAnsi="宋体"/>
                <w:b/>
                <w:bCs/>
                <w:color w:val="auto"/>
                <w:kern w:val="0"/>
                <w:sz w:val="22"/>
              </w:rPr>
              <w:t xml:space="preserve">  </w:t>
            </w:r>
            <w:r>
              <w:rPr>
                <w:rFonts w:hint="eastAsia" w:ascii="宋体" w:hAnsi="宋体" w:cs="宋体"/>
                <w:b/>
                <w:bCs/>
                <w:color w:val="auto"/>
                <w:kern w:val="0"/>
                <w:sz w:val="22"/>
              </w:rPr>
              <w:t>次申请</w:t>
            </w:r>
            <w:r>
              <w:rPr>
                <w:rFonts w:ascii="宋体" w:hAnsi="宋体"/>
                <w:b/>
                <w:bCs/>
                <w:color w:val="auto"/>
                <w:kern w:val="0"/>
                <w:sz w:val="40"/>
                <w:szCs w:val="40"/>
              </w:rPr>
              <w:t xml:space="preserve">              </w:t>
            </w:r>
            <w:r>
              <w:rPr>
                <w:rFonts w:hint="eastAsia" w:ascii="宋体" w:hAnsi="宋体"/>
                <w:b/>
                <w:bCs/>
                <w:color w:val="auto"/>
                <w:kern w:val="0"/>
                <w:sz w:val="40"/>
                <w:szCs w:val="40"/>
              </w:rPr>
              <w:t xml:space="preserve">    </w:t>
            </w:r>
            <w:r>
              <w:rPr>
                <w:rFonts w:hint="eastAsia" w:ascii="宋体" w:hAnsi="宋体" w:cs="宋体"/>
                <w:b/>
                <w:bCs/>
                <w:color w:val="auto"/>
                <w:kern w:val="0"/>
                <w:sz w:val="40"/>
                <w:szCs w:val="40"/>
              </w:rPr>
              <w:t>用款申请书</w:t>
            </w:r>
            <w:r>
              <w:rPr>
                <w:rFonts w:ascii="宋体" w:hAnsi="宋体"/>
                <w:b/>
                <w:bCs/>
                <w:color w:val="auto"/>
                <w:kern w:val="0"/>
                <w:sz w:val="40"/>
                <w:szCs w:val="40"/>
              </w:rPr>
              <w:t xml:space="preserve">                  </w:t>
            </w:r>
            <w:r>
              <w:rPr>
                <w:rFonts w:hint="eastAsia" w:ascii="宋体" w:hAnsi="宋体" w:cs="宋体"/>
                <w:b/>
                <w:bCs/>
                <w:color w:val="auto"/>
                <w:kern w:val="0"/>
                <w:sz w:val="22"/>
              </w:rPr>
              <w:t>申请日期：</w:t>
            </w:r>
            <w:r>
              <w:rPr>
                <w:rFonts w:ascii="宋体" w:hAnsi="宋体"/>
                <w:b/>
                <w:bCs/>
                <w:color w:val="auto"/>
                <w:kern w:val="0"/>
                <w:sz w:val="22"/>
              </w:rPr>
              <w:t xml:space="preserve">    </w:t>
            </w:r>
            <w:r>
              <w:rPr>
                <w:rFonts w:hint="eastAsia" w:ascii="宋体" w:hAnsi="宋体" w:cs="宋体"/>
                <w:b/>
                <w:bCs/>
                <w:color w:val="auto"/>
                <w:kern w:val="0"/>
                <w:sz w:val="22"/>
              </w:rPr>
              <w:t>年</w:t>
            </w:r>
            <w:r>
              <w:rPr>
                <w:rFonts w:ascii="宋体" w:hAnsi="宋体"/>
                <w:b/>
                <w:bCs/>
                <w:color w:val="auto"/>
                <w:kern w:val="0"/>
                <w:sz w:val="22"/>
              </w:rPr>
              <w:t xml:space="preserve">   </w:t>
            </w:r>
            <w:r>
              <w:rPr>
                <w:rFonts w:hint="eastAsia" w:ascii="宋体" w:hAnsi="宋体" w:cs="宋体"/>
                <w:b/>
                <w:bCs/>
                <w:color w:val="auto"/>
                <w:kern w:val="0"/>
                <w:sz w:val="22"/>
              </w:rPr>
              <w:t>月</w:t>
            </w:r>
            <w:r>
              <w:rPr>
                <w:rFonts w:ascii="宋体" w:hAnsi="宋体"/>
                <w:b/>
                <w:bCs/>
                <w:color w:val="auto"/>
                <w:kern w:val="0"/>
                <w:sz w:val="22"/>
              </w:rPr>
              <w:t xml:space="preserve">   </w:t>
            </w:r>
            <w:r>
              <w:rPr>
                <w:rFonts w:hint="eastAsia" w:ascii="宋体" w:hAnsi="宋体" w:cs="宋体"/>
                <w:b/>
                <w:bCs/>
                <w:color w:val="auto"/>
                <w:kern w:val="0"/>
                <w:sz w:val="22"/>
              </w:rPr>
              <w:t>日</w:t>
            </w:r>
          </w:p>
        </w:tc>
      </w:tr>
      <w:tr>
        <w:tblPrEx>
          <w:tblCellMar>
            <w:top w:w="0" w:type="dxa"/>
            <w:left w:w="108" w:type="dxa"/>
            <w:bottom w:w="0" w:type="dxa"/>
            <w:right w:w="108" w:type="dxa"/>
          </w:tblCellMar>
        </w:tblPrEx>
        <w:trPr>
          <w:trHeight w:val="485" w:hRule="atLeast"/>
          <w:jc w:val="center"/>
        </w:trPr>
        <w:tc>
          <w:tcPr>
            <w:tcW w:w="17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申请单位全称</w:t>
            </w:r>
          </w:p>
        </w:tc>
        <w:tc>
          <w:tcPr>
            <w:tcW w:w="3627"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b/>
                <w:bCs/>
                <w:color w:val="auto"/>
                <w:kern w:val="0"/>
                <w:sz w:val="22"/>
              </w:rPr>
            </w:pPr>
            <w:r>
              <w:rPr>
                <w:rFonts w:ascii="宋体" w:hAnsi="宋体"/>
                <w:b/>
                <w:bCs/>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共管账户开户银行</w:t>
            </w:r>
          </w:p>
        </w:tc>
        <w:tc>
          <w:tcPr>
            <w:tcW w:w="280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共管账户银行账号</w:t>
            </w:r>
          </w:p>
        </w:tc>
        <w:tc>
          <w:tcPr>
            <w:tcW w:w="280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b/>
                <w:bCs/>
                <w:color w:val="auto"/>
                <w:kern w:val="0"/>
                <w:sz w:val="22"/>
              </w:rPr>
            </w:pPr>
            <w:r>
              <w:rPr>
                <w:rFonts w:ascii="宋体" w:hAnsi="宋体"/>
                <w:b/>
                <w:bCs/>
                <w:color w:val="auto"/>
                <w:kern w:val="0"/>
                <w:sz w:val="22"/>
              </w:rPr>
              <w:t>　</w:t>
            </w:r>
          </w:p>
        </w:tc>
      </w:tr>
      <w:tr>
        <w:tblPrEx>
          <w:tblCellMar>
            <w:top w:w="0" w:type="dxa"/>
            <w:left w:w="108" w:type="dxa"/>
            <w:bottom w:w="0" w:type="dxa"/>
            <w:right w:w="108" w:type="dxa"/>
          </w:tblCellMar>
        </w:tblPrEx>
        <w:trPr>
          <w:trHeight w:val="461" w:hRule="atLeast"/>
          <w:jc w:val="center"/>
        </w:trPr>
        <w:tc>
          <w:tcPr>
            <w:tcW w:w="2587"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本期审定应付金额（元）</w:t>
            </w:r>
          </w:p>
        </w:tc>
        <w:tc>
          <w:tcPr>
            <w:tcW w:w="2740" w:type="dxa"/>
            <w:gridSpan w:val="5"/>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共管帐户余额（元）</w:t>
            </w:r>
          </w:p>
        </w:tc>
        <w:tc>
          <w:tcPr>
            <w:tcW w:w="280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3520"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本次支付后共管账户余额（元）</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81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序号</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用款单位</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用款单位开户银行和账号</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合同            编号</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合同名称</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合同或结算金额（元）</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本次申请划款金额（元）</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划款用途</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至本次止累计划款（元）</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备注</w:t>
            </w:r>
          </w:p>
        </w:tc>
      </w:tr>
      <w:tr>
        <w:tblPrEx>
          <w:tblCellMar>
            <w:top w:w="0" w:type="dxa"/>
            <w:left w:w="108" w:type="dxa"/>
            <w:bottom w:w="0" w:type="dxa"/>
            <w:right w:w="108" w:type="dxa"/>
          </w:tblCellMar>
        </w:tblPrEx>
        <w:trPr>
          <w:trHeight w:val="463"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b/>
                <w:bCs/>
                <w:color w:val="auto"/>
                <w:kern w:val="0"/>
                <w:sz w:val="22"/>
              </w:rPr>
            </w:pPr>
            <w:r>
              <w:rPr>
                <w:rFonts w:ascii="宋体" w:hAnsi="宋体"/>
                <w:b/>
                <w:bCs/>
                <w:color w:val="auto"/>
                <w:kern w:val="0"/>
                <w:sz w:val="22"/>
              </w:rPr>
              <w:t>　</w:t>
            </w:r>
          </w:p>
        </w:tc>
        <w:tc>
          <w:tcPr>
            <w:tcW w:w="15067" w:type="dxa"/>
            <w:gridSpan w:val="21"/>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工程建设费用</w:t>
            </w:r>
          </w:p>
        </w:tc>
      </w:tr>
      <w:tr>
        <w:tblPrEx>
          <w:tblCellMar>
            <w:top w:w="0" w:type="dxa"/>
            <w:left w:w="108" w:type="dxa"/>
            <w:bottom w:w="0" w:type="dxa"/>
            <w:right w:w="108" w:type="dxa"/>
          </w:tblCellMar>
        </w:tblPrEx>
        <w:trPr>
          <w:trHeight w:val="452"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一</w:t>
            </w:r>
          </w:p>
        </w:tc>
        <w:tc>
          <w:tcPr>
            <w:tcW w:w="15067" w:type="dxa"/>
            <w:gridSpan w:val="21"/>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专业分包工程款</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1</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2</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89"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二</w:t>
            </w:r>
          </w:p>
        </w:tc>
        <w:tc>
          <w:tcPr>
            <w:tcW w:w="15067" w:type="dxa"/>
            <w:gridSpan w:val="21"/>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大型设备、大宗材料款</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1</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2</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453"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三</w:t>
            </w:r>
          </w:p>
        </w:tc>
        <w:tc>
          <w:tcPr>
            <w:tcW w:w="15067" w:type="dxa"/>
            <w:gridSpan w:val="21"/>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劳务班组费用款</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1</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2</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615"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四</w:t>
            </w:r>
          </w:p>
        </w:tc>
        <w:tc>
          <w:tcPr>
            <w:tcW w:w="13667" w:type="dxa"/>
            <w:gridSpan w:val="20"/>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一般材料费用、管理费、税金及其他费用</w:t>
            </w:r>
          </w:p>
        </w:tc>
        <w:tc>
          <w:tcPr>
            <w:tcW w:w="1400" w:type="dxa"/>
            <w:tcBorders>
              <w:top w:val="nil"/>
              <w:left w:val="nil"/>
              <w:bottom w:val="single" w:color="auto" w:sz="4" w:space="0"/>
              <w:right w:val="single" w:color="auto"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原则上不超过申请款的30%</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1</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2</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440" w:type="dxa"/>
            <w:tcBorders>
              <w:top w:val="nil"/>
              <w:left w:val="single" w:color="auto" w:sz="4" w:space="0"/>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w:t>
            </w:r>
          </w:p>
        </w:tc>
        <w:tc>
          <w:tcPr>
            <w:tcW w:w="214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980" w:type="dxa"/>
            <w:gridSpan w:val="3"/>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76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46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2120"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auto" w:sz="4" w:space="0"/>
            </w:tcBorders>
            <w:shd w:val="clear" w:color="auto" w:fill="FFCC99"/>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150" w:hRule="atLeast"/>
          <w:jc w:val="center"/>
        </w:trPr>
        <w:tc>
          <w:tcPr>
            <w:tcW w:w="15507" w:type="dxa"/>
            <w:gridSpan w:val="22"/>
            <w:tcBorders>
              <w:top w:val="single" w:color="auto" w:sz="4" w:space="0"/>
              <w:left w:val="single" w:color="auto" w:sz="4" w:space="0"/>
              <w:bottom w:val="single" w:color="auto" w:sz="4" w:space="0"/>
              <w:right w:val="single" w:color="000000" w:sz="4" w:space="0"/>
            </w:tcBorders>
            <w:shd w:val="clear" w:color="auto" w:fill="FFCC99"/>
            <w:vAlign w:val="center"/>
          </w:tcPr>
          <w:p>
            <w:pPr>
              <w:widowControl/>
              <w:jc w:val="center"/>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300" w:hRule="atLeast"/>
          <w:jc w:val="center"/>
        </w:trPr>
        <w:tc>
          <w:tcPr>
            <w:tcW w:w="9187" w:type="dxa"/>
            <w:gridSpan w:val="13"/>
            <w:tcBorders>
              <w:top w:val="single" w:color="auto" w:sz="4" w:space="0"/>
              <w:left w:val="single" w:color="auto" w:sz="4" w:space="0"/>
              <w:bottom w:val="single" w:color="auto" w:sz="4" w:space="0"/>
              <w:right w:val="single" w:color="auto" w:sz="4" w:space="0"/>
            </w:tcBorders>
            <w:shd w:val="clear" w:color="auto" w:fill="FFFF99"/>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本次申请划款合计（元）</w:t>
            </w:r>
          </w:p>
        </w:tc>
        <w:tc>
          <w:tcPr>
            <w:tcW w:w="1400" w:type="dxa"/>
            <w:gridSpan w:val="2"/>
            <w:tcBorders>
              <w:top w:val="nil"/>
              <w:left w:val="nil"/>
              <w:bottom w:val="single" w:color="auto" w:sz="4" w:space="0"/>
              <w:right w:val="single" w:color="auto" w:sz="4" w:space="0"/>
            </w:tcBorders>
            <w:shd w:val="clear" w:color="auto" w:fill="FFFF99"/>
            <w:vAlign w:val="center"/>
          </w:tcPr>
          <w:p>
            <w:pPr>
              <w:widowControl/>
              <w:jc w:val="center"/>
              <w:rPr>
                <w:rFonts w:ascii="宋体" w:hAnsi="宋体"/>
                <w:b/>
                <w:bCs/>
                <w:color w:val="auto"/>
                <w:kern w:val="0"/>
                <w:sz w:val="22"/>
                <w:u w:val="single"/>
              </w:rPr>
            </w:pPr>
            <w:r>
              <w:rPr>
                <w:rFonts w:ascii="宋体" w:hAnsi="宋体"/>
                <w:b/>
                <w:bCs/>
                <w:color w:val="auto"/>
                <w:kern w:val="0"/>
                <w:sz w:val="22"/>
                <w:u w:val="single"/>
              </w:rPr>
              <w:t>　</w:t>
            </w:r>
          </w:p>
        </w:tc>
        <w:tc>
          <w:tcPr>
            <w:tcW w:w="2120"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w:t>
            </w:r>
          </w:p>
        </w:tc>
        <w:tc>
          <w:tcPr>
            <w:tcW w:w="1400" w:type="dxa"/>
            <w:gridSpan w:val="2"/>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w:t>
            </w:r>
          </w:p>
        </w:tc>
        <w:tc>
          <w:tcPr>
            <w:tcW w:w="1400" w:type="dxa"/>
            <w:tcBorders>
              <w:top w:val="nil"/>
              <w:left w:val="nil"/>
              <w:bottom w:val="single" w:color="auto" w:sz="4" w:space="0"/>
              <w:right w:val="single" w:color="auto" w:sz="4" w:space="0"/>
            </w:tcBorders>
            <w:vAlign w:val="center"/>
          </w:tcPr>
          <w:p>
            <w:pPr>
              <w:widowControl/>
              <w:jc w:val="center"/>
              <w:rPr>
                <w:rFonts w:ascii="宋体" w:hAnsi="宋体"/>
                <w:color w:val="auto"/>
                <w:kern w:val="0"/>
                <w:sz w:val="22"/>
              </w:rPr>
            </w:pPr>
            <w:r>
              <w:rPr>
                <w:rFonts w:ascii="宋体" w:hAnsi="宋体"/>
                <w:color w:val="auto"/>
                <w:kern w:val="0"/>
                <w:sz w:val="22"/>
              </w:rPr>
              <w:t>/</w:t>
            </w:r>
          </w:p>
        </w:tc>
      </w:tr>
      <w:tr>
        <w:tblPrEx>
          <w:tblCellMar>
            <w:top w:w="0" w:type="dxa"/>
            <w:left w:w="108" w:type="dxa"/>
            <w:bottom w:w="0" w:type="dxa"/>
            <w:right w:w="108" w:type="dxa"/>
          </w:tblCellMar>
        </w:tblPrEx>
        <w:trPr>
          <w:trHeight w:val="285" w:hRule="atLeast"/>
          <w:jc w:val="center"/>
        </w:trPr>
        <w:tc>
          <w:tcPr>
            <w:tcW w:w="3622" w:type="dxa"/>
            <w:gridSpan w:val="4"/>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申请单位经办人及手机：</w:t>
            </w:r>
          </w:p>
        </w:tc>
        <w:tc>
          <w:tcPr>
            <w:tcW w:w="4165" w:type="dxa"/>
            <w:gridSpan w:val="7"/>
            <w:tcBorders>
              <w:top w:val="single" w:color="auto" w:sz="4" w:space="0"/>
              <w:left w:val="nil"/>
              <w:bottom w:val="single" w:color="auto" w:sz="4" w:space="0"/>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监理单位审核人：</w:t>
            </w:r>
          </w:p>
        </w:tc>
        <w:tc>
          <w:tcPr>
            <w:tcW w:w="3915" w:type="dxa"/>
            <w:gridSpan w:val="5"/>
            <w:tcBorders>
              <w:top w:val="single" w:color="auto" w:sz="4" w:space="0"/>
              <w:left w:val="nil"/>
              <w:bottom w:val="single" w:color="auto" w:sz="4" w:space="0"/>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代业主单位审核人：</w:t>
            </w:r>
          </w:p>
        </w:tc>
        <w:tc>
          <w:tcPr>
            <w:tcW w:w="3805" w:type="dxa"/>
            <w:gridSpan w:val="6"/>
            <w:tcBorders>
              <w:top w:val="single" w:color="auto" w:sz="4" w:space="0"/>
              <w:left w:val="nil"/>
              <w:bottom w:val="single" w:color="auto" w:sz="4" w:space="0"/>
              <w:right w:val="single" w:color="000000" w:sz="4" w:space="0"/>
            </w:tcBorders>
            <w:vAlign w:val="center"/>
          </w:tcPr>
          <w:p>
            <w:pPr>
              <w:widowControl/>
              <w:jc w:val="center"/>
              <w:rPr>
                <w:rFonts w:ascii="宋体" w:hAnsi="宋体" w:cs="宋体"/>
                <w:b/>
                <w:bCs/>
                <w:color w:val="auto"/>
                <w:kern w:val="0"/>
                <w:sz w:val="22"/>
              </w:rPr>
            </w:pPr>
            <w:r>
              <w:rPr>
                <w:rFonts w:hint="eastAsia" w:ascii="宋体" w:hAnsi="宋体" w:cs="宋体"/>
                <w:b/>
                <w:bCs/>
                <w:color w:val="auto"/>
                <w:kern w:val="0"/>
                <w:sz w:val="22"/>
              </w:rPr>
              <w:t>建设业主审核人：</w:t>
            </w:r>
          </w:p>
        </w:tc>
      </w:tr>
      <w:tr>
        <w:tblPrEx>
          <w:tblCellMar>
            <w:top w:w="0" w:type="dxa"/>
            <w:left w:w="108" w:type="dxa"/>
            <w:bottom w:w="0" w:type="dxa"/>
            <w:right w:w="108" w:type="dxa"/>
          </w:tblCellMar>
        </w:tblPrEx>
        <w:trPr>
          <w:trHeight w:val="810" w:hRule="atLeast"/>
          <w:jc w:val="center"/>
        </w:trPr>
        <w:tc>
          <w:tcPr>
            <w:tcW w:w="3622" w:type="dxa"/>
            <w:gridSpan w:val="4"/>
            <w:tcBorders>
              <w:top w:val="single" w:color="auto" w:sz="4" w:space="0"/>
              <w:left w:val="single" w:color="auto" w:sz="4" w:space="0"/>
              <w:bottom w:val="nil"/>
              <w:right w:val="single" w:color="000000" w:sz="4" w:space="0"/>
            </w:tcBorders>
            <w:vAlign w:val="center"/>
          </w:tcPr>
          <w:p>
            <w:pPr>
              <w:widowControl/>
              <w:jc w:val="left"/>
              <w:rPr>
                <w:rFonts w:ascii="宋体" w:hAnsi="宋体"/>
                <w:color w:val="auto"/>
                <w:kern w:val="0"/>
                <w:sz w:val="22"/>
              </w:rPr>
            </w:pPr>
            <w:r>
              <w:rPr>
                <w:rFonts w:ascii="宋体" w:hAnsi="宋体"/>
                <w:color w:val="auto"/>
                <w:kern w:val="0"/>
                <w:sz w:val="22"/>
              </w:rPr>
              <w:t>　</w:t>
            </w:r>
          </w:p>
        </w:tc>
        <w:tc>
          <w:tcPr>
            <w:tcW w:w="4165" w:type="dxa"/>
            <w:gridSpan w:val="7"/>
            <w:tcBorders>
              <w:top w:val="single" w:color="auto" w:sz="4" w:space="0"/>
              <w:left w:val="nil"/>
              <w:bottom w:val="nil"/>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tc>
        <w:tc>
          <w:tcPr>
            <w:tcW w:w="3915" w:type="dxa"/>
            <w:gridSpan w:val="5"/>
            <w:vMerge w:val="restart"/>
            <w:tcBorders>
              <w:top w:val="single" w:color="auto" w:sz="4" w:space="0"/>
              <w:left w:val="nil"/>
              <w:right w:val="single" w:color="000000" w:sz="4" w:space="0"/>
            </w:tcBorders>
            <w:vAlign w:val="center"/>
          </w:tcPr>
          <w:p>
            <w:pPr>
              <w:widowControl/>
              <w:jc w:val="center"/>
              <w:rPr>
                <w:rFonts w:ascii="宋体" w:hAnsi="宋体"/>
                <w:color w:val="auto"/>
                <w:kern w:val="0"/>
                <w:sz w:val="22"/>
              </w:rPr>
            </w:pPr>
            <w:r>
              <w:rPr>
                <w:rFonts w:ascii="宋体" w:hAnsi="宋体"/>
                <w:color w:val="auto"/>
                <w:kern w:val="0"/>
                <w:sz w:val="22"/>
              </w:rPr>
              <w:t>　</w:t>
            </w:r>
          </w:p>
          <w:p>
            <w:pPr>
              <w:widowControl/>
              <w:jc w:val="left"/>
              <w:rPr>
                <w:rFonts w:ascii="宋体" w:hAnsi="宋体"/>
                <w:color w:val="auto"/>
                <w:kern w:val="0"/>
                <w:sz w:val="22"/>
              </w:rPr>
            </w:pPr>
          </w:p>
          <w:p>
            <w:pPr>
              <w:widowControl/>
              <w:jc w:val="left"/>
              <w:rPr>
                <w:rFonts w:ascii="宋体" w:hAnsi="宋体" w:cs="宋体"/>
                <w:b/>
                <w:bCs/>
                <w:color w:val="auto"/>
                <w:kern w:val="0"/>
                <w:sz w:val="22"/>
              </w:rPr>
            </w:pPr>
            <w:r>
              <w:rPr>
                <w:rFonts w:hint="eastAsia" w:ascii="宋体" w:hAnsi="宋体" w:cs="宋体"/>
                <w:b/>
                <w:bCs/>
                <w:color w:val="auto"/>
                <w:kern w:val="0"/>
                <w:sz w:val="22"/>
              </w:rPr>
              <w:t>盖章：</w:t>
            </w:r>
          </w:p>
          <w:p>
            <w:pPr>
              <w:widowControl/>
              <w:jc w:val="left"/>
              <w:rPr>
                <w:rFonts w:ascii="宋体" w:hAnsi="宋体" w:cs="宋体"/>
                <w:b/>
                <w:bCs/>
                <w:color w:val="auto"/>
                <w:kern w:val="0"/>
                <w:sz w:val="22"/>
              </w:rPr>
            </w:pPr>
          </w:p>
          <w:p>
            <w:pPr>
              <w:widowControl/>
              <w:jc w:val="left"/>
              <w:rPr>
                <w:rFonts w:ascii="宋体" w:hAnsi="宋体"/>
                <w:color w:val="auto"/>
                <w:kern w:val="0"/>
                <w:sz w:val="22"/>
              </w:rPr>
            </w:pPr>
            <w:r>
              <w:rPr>
                <w:rFonts w:hint="eastAsia" w:ascii="宋体" w:hAnsi="宋体" w:cs="宋体"/>
                <w:b/>
                <w:bCs/>
                <w:color w:val="auto"/>
                <w:kern w:val="0"/>
                <w:sz w:val="22"/>
              </w:rPr>
              <w:t>日期：  年  月  日</w:t>
            </w:r>
          </w:p>
        </w:tc>
        <w:tc>
          <w:tcPr>
            <w:tcW w:w="3805" w:type="dxa"/>
            <w:gridSpan w:val="6"/>
            <w:tcBorders>
              <w:top w:val="single" w:color="auto" w:sz="4" w:space="0"/>
              <w:left w:val="nil"/>
              <w:bottom w:val="nil"/>
              <w:right w:val="single" w:color="000000" w:sz="4" w:space="0"/>
            </w:tcBorders>
            <w:vAlign w:val="center"/>
          </w:tcPr>
          <w:p>
            <w:pPr>
              <w:widowControl/>
              <w:jc w:val="left"/>
              <w:rPr>
                <w:rFonts w:ascii="宋体" w:hAnsi="宋体"/>
                <w:color w:val="auto"/>
                <w:kern w:val="0"/>
                <w:sz w:val="22"/>
              </w:rPr>
            </w:pPr>
            <w:r>
              <w:rPr>
                <w:rFonts w:ascii="宋体" w:hAnsi="宋体"/>
                <w:color w:val="auto"/>
                <w:kern w:val="0"/>
                <w:sz w:val="22"/>
              </w:rPr>
              <w:t>　</w:t>
            </w:r>
          </w:p>
        </w:tc>
      </w:tr>
      <w:tr>
        <w:tblPrEx>
          <w:tblCellMar>
            <w:top w:w="0" w:type="dxa"/>
            <w:left w:w="108" w:type="dxa"/>
            <w:bottom w:w="0" w:type="dxa"/>
            <w:right w:w="108" w:type="dxa"/>
          </w:tblCellMar>
        </w:tblPrEx>
        <w:trPr>
          <w:trHeight w:val="87" w:hRule="atLeast"/>
          <w:jc w:val="center"/>
        </w:trPr>
        <w:tc>
          <w:tcPr>
            <w:tcW w:w="3622" w:type="dxa"/>
            <w:gridSpan w:val="4"/>
            <w:tcBorders>
              <w:top w:val="nil"/>
              <w:left w:val="single" w:color="auto" w:sz="4" w:space="0"/>
              <w:bottom w:val="nil"/>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盖章：</w:t>
            </w:r>
          </w:p>
        </w:tc>
        <w:tc>
          <w:tcPr>
            <w:tcW w:w="4165" w:type="dxa"/>
            <w:gridSpan w:val="7"/>
            <w:tcBorders>
              <w:top w:val="nil"/>
              <w:left w:val="nil"/>
              <w:bottom w:val="nil"/>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盖章：</w:t>
            </w:r>
          </w:p>
        </w:tc>
        <w:tc>
          <w:tcPr>
            <w:tcW w:w="3915" w:type="dxa"/>
            <w:gridSpan w:val="5"/>
            <w:vMerge w:val="continue"/>
            <w:tcBorders>
              <w:left w:val="nil"/>
              <w:right w:val="single" w:color="000000" w:sz="4" w:space="0"/>
            </w:tcBorders>
            <w:noWrap/>
            <w:vAlign w:val="bottom"/>
          </w:tcPr>
          <w:p>
            <w:pPr>
              <w:jc w:val="left"/>
              <w:rPr>
                <w:rFonts w:ascii="宋体" w:hAnsi="宋体" w:cs="宋体"/>
                <w:b/>
                <w:bCs/>
                <w:color w:val="auto"/>
                <w:kern w:val="0"/>
                <w:sz w:val="22"/>
              </w:rPr>
            </w:pPr>
          </w:p>
        </w:tc>
        <w:tc>
          <w:tcPr>
            <w:tcW w:w="3805" w:type="dxa"/>
            <w:gridSpan w:val="6"/>
            <w:tcBorders>
              <w:top w:val="nil"/>
              <w:left w:val="nil"/>
              <w:bottom w:val="nil"/>
              <w:right w:val="single" w:color="000000" w:sz="4" w:space="0"/>
            </w:tcBorders>
            <w:noWrap/>
            <w:vAlign w:val="bottom"/>
          </w:tcPr>
          <w:p>
            <w:pPr>
              <w:widowControl/>
              <w:jc w:val="left"/>
              <w:rPr>
                <w:rFonts w:ascii="宋体" w:hAnsi="宋体" w:cs="宋体"/>
                <w:b/>
                <w:bCs/>
                <w:color w:val="auto"/>
                <w:kern w:val="0"/>
                <w:sz w:val="22"/>
              </w:rPr>
            </w:pPr>
            <w:r>
              <w:rPr>
                <w:rFonts w:hint="eastAsia" w:ascii="宋体" w:hAnsi="宋体" w:cs="宋体"/>
                <w:b/>
                <w:bCs/>
                <w:color w:val="auto"/>
                <w:kern w:val="0"/>
                <w:sz w:val="22"/>
              </w:rPr>
              <w:t>盖章：</w:t>
            </w:r>
          </w:p>
        </w:tc>
      </w:tr>
      <w:tr>
        <w:tblPrEx>
          <w:tblCellMar>
            <w:top w:w="0" w:type="dxa"/>
            <w:left w:w="108" w:type="dxa"/>
            <w:bottom w:w="0" w:type="dxa"/>
            <w:right w:w="108" w:type="dxa"/>
          </w:tblCellMar>
        </w:tblPrEx>
        <w:trPr>
          <w:trHeight w:val="314" w:hRule="atLeast"/>
          <w:jc w:val="center"/>
        </w:trPr>
        <w:tc>
          <w:tcPr>
            <w:tcW w:w="3622" w:type="dxa"/>
            <w:gridSpan w:val="4"/>
            <w:tcBorders>
              <w:top w:val="nil"/>
              <w:left w:val="single" w:color="auto" w:sz="4" w:space="0"/>
              <w:bottom w:val="single" w:color="auto" w:sz="4" w:space="0"/>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日期：  年  月  日</w:t>
            </w:r>
          </w:p>
        </w:tc>
        <w:tc>
          <w:tcPr>
            <w:tcW w:w="4165" w:type="dxa"/>
            <w:gridSpan w:val="7"/>
            <w:tcBorders>
              <w:top w:val="nil"/>
              <w:left w:val="nil"/>
              <w:bottom w:val="single" w:color="auto" w:sz="4" w:space="0"/>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日期：  年  月  日</w:t>
            </w:r>
          </w:p>
        </w:tc>
        <w:tc>
          <w:tcPr>
            <w:tcW w:w="3915" w:type="dxa"/>
            <w:gridSpan w:val="5"/>
            <w:vMerge w:val="continue"/>
            <w:tcBorders>
              <w:left w:val="nil"/>
              <w:bottom w:val="single" w:color="auto" w:sz="4" w:space="0"/>
              <w:right w:val="single" w:color="000000" w:sz="4" w:space="0"/>
            </w:tcBorders>
            <w:vAlign w:val="center"/>
          </w:tcPr>
          <w:p>
            <w:pPr>
              <w:widowControl/>
              <w:jc w:val="left"/>
              <w:rPr>
                <w:rFonts w:ascii="宋体" w:hAnsi="宋体" w:cs="宋体"/>
                <w:b/>
                <w:bCs/>
                <w:color w:val="auto"/>
                <w:kern w:val="0"/>
                <w:sz w:val="22"/>
              </w:rPr>
            </w:pPr>
          </w:p>
        </w:tc>
        <w:tc>
          <w:tcPr>
            <w:tcW w:w="3805" w:type="dxa"/>
            <w:gridSpan w:val="6"/>
            <w:tcBorders>
              <w:top w:val="nil"/>
              <w:left w:val="nil"/>
              <w:bottom w:val="single" w:color="auto" w:sz="4" w:space="0"/>
              <w:right w:val="single" w:color="000000" w:sz="4" w:space="0"/>
            </w:tcBorders>
            <w:vAlign w:val="center"/>
          </w:tcPr>
          <w:p>
            <w:pPr>
              <w:widowControl/>
              <w:jc w:val="left"/>
              <w:rPr>
                <w:rFonts w:ascii="宋体" w:hAnsi="宋体" w:cs="宋体"/>
                <w:b/>
                <w:bCs/>
                <w:color w:val="auto"/>
                <w:kern w:val="0"/>
                <w:sz w:val="22"/>
              </w:rPr>
            </w:pPr>
            <w:r>
              <w:rPr>
                <w:rFonts w:hint="eastAsia" w:ascii="宋体" w:hAnsi="宋体" w:cs="宋体"/>
                <w:b/>
                <w:bCs/>
                <w:color w:val="auto"/>
                <w:kern w:val="0"/>
                <w:sz w:val="22"/>
              </w:rPr>
              <w:t>日期：  年  月  日</w:t>
            </w:r>
          </w:p>
        </w:tc>
      </w:tr>
      <w:tr>
        <w:tblPrEx>
          <w:tblCellMar>
            <w:top w:w="0" w:type="dxa"/>
            <w:left w:w="108" w:type="dxa"/>
            <w:bottom w:w="0" w:type="dxa"/>
            <w:right w:w="108" w:type="dxa"/>
          </w:tblCellMar>
        </w:tblPrEx>
        <w:trPr>
          <w:trHeight w:val="1335" w:hRule="atLeast"/>
          <w:jc w:val="center"/>
        </w:trPr>
        <w:tc>
          <w:tcPr>
            <w:tcW w:w="15507" w:type="dxa"/>
            <w:gridSpan w:val="22"/>
            <w:tcBorders>
              <w:top w:val="single" w:color="auto" w:sz="4" w:space="0"/>
              <w:left w:val="nil"/>
              <w:bottom w:val="nil"/>
              <w:right w:val="nil"/>
            </w:tcBorders>
            <w:vAlign w:val="bottom"/>
          </w:tcPr>
          <w:p>
            <w:pPr>
              <w:widowControl/>
              <w:spacing w:after="240"/>
              <w:jc w:val="left"/>
              <w:rPr>
                <w:rFonts w:ascii="宋体" w:hAnsi="宋体" w:cs="宋体"/>
                <w:b/>
                <w:bCs/>
                <w:color w:val="auto"/>
                <w:kern w:val="0"/>
                <w:sz w:val="24"/>
                <w:szCs w:val="24"/>
              </w:rPr>
            </w:pPr>
            <w:r>
              <w:rPr>
                <w:rFonts w:hint="eastAsia" w:ascii="宋体" w:hAnsi="宋体" w:cs="宋体"/>
                <w:b/>
                <w:bCs/>
                <w:color w:val="auto"/>
                <w:kern w:val="0"/>
                <w:sz w:val="24"/>
                <w:szCs w:val="24"/>
              </w:rPr>
              <w:t>备注：本表根据本期审定资金额编制用款计划，加盖单位公章、一式六份</w:t>
            </w:r>
            <w:r>
              <w:rPr>
                <w:rFonts w:ascii="宋体" w:hAnsi="宋体"/>
                <w:b/>
                <w:bCs/>
                <w:color w:val="auto"/>
                <w:kern w:val="0"/>
                <w:sz w:val="24"/>
                <w:szCs w:val="24"/>
              </w:rPr>
              <w:t xml:space="preserve">         </w:t>
            </w:r>
          </w:p>
        </w:tc>
      </w:tr>
    </w:tbl>
    <w:p>
      <w:pPr>
        <w:rPr>
          <w:rFonts w:ascii="宋体" w:hAnsi="宋体"/>
          <w:color w:val="auto"/>
          <w:szCs w:val="21"/>
        </w:rPr>
      </w:pPr>
      <w:r>
        <w:rPr>
          <w:rFonts w:ascii="宋体" w:hAnsi="宋体"/>
          <w:color w:val="auto"/>
          <w:szCs w:val="21"/>
        </w:rPr>
        <w:br w:type="page"/>
      </w:r>
    </w:p>
    <w:tbl>
      <w:tblPr>
        <w:tblStyle w:val="49"/>
        <w:tblW w:w="14420" w:type="dxa"/>
        <w:jc w:val="center"/>
        <w:tblLayout w:type="autofit"/>
        <w:tblCellMar>
          <w:top w:w="0" w:type="dxa"/>
          <w:left w:w="108" w:type="dxa"/>
          <w:bottom w:w="0" w:type="dxa"/>
          <w:right w:w="108" w:type="dxa"/>
        </w:tblCellMar>
      </w:tblPr>
      <w:tblGrid>
        <w:gridCol w:w="1080"/>
        <w:gridCol w:w="1080"/>
        <w:gridCol w:w="733"/>
        <w:gridCol w:w="516"/>
        <w:gridCol w:w="1112"/>
        <w:gridCol w:w="259"/>
        <w:gridCol w:w="993"/>
        <w:gridCol w:w="87"/>
        <w:gridCol w:w="813"/>
        <w:gridCol w:w="267"/>
        <w:gridCol w:w="460"/>
        <w:gridCol w:w="893"/>
        <w:gridCol w:w="187"/>
        <w:gridCol w:w="1080"/>
        <w:gridCol w:w="2069"/>
        <w:gridCol w:w="631"/>
        <w:gridCol w:w="1080"/>
        <w:gridCol w:w="1080"/>
      </w:tblGrid>
      <w:tr>
        <w:tblPrEx>
          <w:tblCellMar>
            <w:top w:w="0" w:type="dxa"/>
            <w:left w:w="108" w:type="dxa"/>
            <w:bottom w:w="0" w:type="dxa"/>
            <w:right w:w="108" w:type="dxa"/>
          </w:tblCellMar>
        </w:tblPrEx>
        <w:trPr>
          <w:trHeight w:val="397" w:hRule="atLeast"/>
          <w:jc w:val="center"/>
        </w:trPr>
        <w:tc>
          <w:tcPr>
            <w:tcW w:w="14420" w:type="dxa"/>
            <w:gridSpan w:val="18"/>
            <w:noWrap/>
            <w:vAlign w:val="center"/>
          </w:tcPr>
          <w:p>
            <w:pPr>
              <w:widowControl/>
              <w:jc w:val="left"/>
              <w:rPr>
                <w:rFonts w:ascii="宋体" w:hAnsi="宋体" w:cs="宋体"/>
                <w:b/>
                <w:bCs/>
                <w:color w:val="auto"/>
                <w:kern w:val="0"/>
                <w:sz w:val="28"/>
                <w:szCs w:val="28"/>
              </w:rPr>
            </w:pPr>
            <w:r>
              <w:rPr>
                <w:rFonts w:hint="eastAsia" w:ascii="宋体" w:hAnsi="宋体" w:cs="宋体"/>
                <w:b/>
                <w:bCs/>
                <w:color w:val="auto"/>
                <w:kern w:val="0"/>
                <w:sz w:val="28"/>
                <w:szCs w:val="28"/>
              </w:rPr>
              <w:t>附件二：</w:t>
            </w:r>
          </w:p>
          <w:p>
            <w:pPr>
              <w:widowControl/>
              <w:jc w:val="center"/>
              <w:rPr>
                <w:rFonts w:ascii="宋体" w:hAnsi="宋体" w:cs="宋体"/>
                <w:b/>
                <w:bCs/>
                <w:snapToGrid w:val="0"/>
                <w:color w:val="auto"/>
                <w:kern w:val="0"/>
                <w:sz w:val="44"/>
                <w:szCs w:val="44"/>
              </w:rPr>
            </w:pPr>
            <w:r>
              <w:rPr>
                <w:rFonts w:hint="eastAsia" w:ascii="宋体" w:hAnsi="宋体" w:cs="宋体"/>
                <w:b/>
                <w:bCs/>
                <w:color w:val="auto"/>
                <w:kern w:val="0"/>
                <w:sz w:val="28"/>
                <w:szCs w:val="28"/>
              </w:rPr>
              <w:t>工程</w:t>
            </w:r>
          </w:p>
          <w:p>
            <w:pPr>
              <w:widowControl/>
              <w:jc w:val="center"/>
              <w:rPr>
                <w:rFonts w:ascii="宋体" w:hAnsi="宋体" w:cs="宋体"/>
                <w:b/>
                <w:bCs/>
                <w:snapToGrid w:val="0"/>
                <w:color w:val="auto"/>
                <w:kern w:val="0"/>
                <w:sz w:val="44"/>
                <w:szCs w:val="44"/>
              </w:rPr>
            </w:pPr>
            <w:r>
              <w:rPr>
                <w:rFonts w:hint="eastAsia" w:ascii="宋体" w:hAnsi="宋体" w:cs="宋体"/>
                <w:b/>
                <w:bCs/>
                <w:snapToGrid w:val="0"/>
                <w:color w:val="auto"/>
                <w:kern w:val="0"/>
                <w:sz w:val="44"/>
                <w:szCs w:val="44"/>
              </w:rPr>
              <w:t>上期实际发放管理人员工资明细表</w:t>
            </w:r>
          </w:p>
        </w:tc>
      </w:tr>
      <w:tr>
        <w:tblPrEx>
          <w:tblCellMar>
            <w:top w:w="0" w:type="dxa"/>
            <w:left w:w="108" w:type="dxa"/>
            <w:bottom w:w="0" w:type="dxa"/>
            <w:right w:w="108" w:type="dxa"/>
          </w:tblCellMar>
        </w:tblPrEx>
        <w:trPr>
          <w:trHeight w:val="397" w:hRule="atLeast"/>
          <w:jc w:val="center"/>
        </w:trPr>
        <w:tc>
          <w:tcPr>
            <w:tcW w:w="2893" w:type="dxa"/>
            <w:gridSpan w:val="3"/>
            <w:noWrap/>
            <w:vAlign w:val="center"/>
          </w:tcPr>
          <w:p>
            <w:pPr>
              <w:widowControl/>
              <w:jc w:val="left"/>
              <w:rPr>
                <w:rFonts w:ascii="宋体" w:hAnsi="宋体" w:cs="宋体"/>
                <w:snapToGrid w:val="0"/>
                <w:color w:val="auto"/>
                <w:kern w:val="0"/>
                <w:sz w:val="24"/>
              </w:rPr>
            </w:pPr>
            <w:r>
              <w:rPr>
                <w:rFonts w:hint="eastAsia" w:ascii="宋体" w:hAnsi="宋体" w:cs="宋体"/>
                <w:snapToGrid w:val="0"/>
                <w:color w:val="auto"/>
                <w:kern w:val="0"/>
                <w:sz w:val="24"/>
              </w:rPr>
              <w:t>施工单位名称（盖公章）：</w:t>
            </w:r>
          </w:p>
        </w:tc>
        <w:tc>
          <w:tcPr>
            <w:tcW w:w="516" w:type="dxa"/>
            <w:noWrap/>
            <w:vAlign w:val="center"/>
          </w:tcPr>
          <w:p>
            <w:pPr>
              <w:widowControl/>
              <w:jc w:val="left"/>
              <w:rPr>
                <w:rFonts w:ascii="宋体" w:hAnsi="宋体" w:cs="宋体"/>
                <w:snapToGrid w:val="0"/>
                <w:color w:val="auto"/>
                <w:kern w:val="0"/>
                <w:sz w:val="24"/>
              </w:rPr>
            </w:pPr>
          </w:p>
        </w:tc>
        <w:tc>
          <w:tcPr>
            <w:tcW w:w="1112" w:type="dxa"/>
            <w:noWrap/>
            <w:vAlign w:val="center"/>
          </w:tcPr>
          <w:p>
            <w:pPr>
              <w:widowControl/>
              <w:jc w:val="left"/>
              <w:rPr>
                <w:rFonts w:ascii="宋体" w:hAnsi="宋体" w:cs="宋体"/>
                <w:snapToGrid w:val="0"/>
                <w:color w:val="auto"/>
                <w:kern w:val="0"/>
                <w:sz w:val="24"/>
              </w:rPr>
            </w:pPr>
          </w:p>
        </w:tc>
        <w:tc>
          <w:tcPr>
            <w:tcW w:w="1252" w:type="dxa"/>
            <w:gridSpan w:val="2"/>
            <w:noWrap/>
            <w:vAlign w:val="center"/>
          </w:tcPr>
          <w:p>
            <w:pPr>
              <w:widowControl/>
              <w:jc w:val="left"/>
              <w:rPr>
                <w:rFonts w:ascii="宋体" w:hAnsi="宋体" w:cs="宋体"/>
                <w:snapToGrid w:val="0"/>
                <w:color w:val="auto"/>
                <w:kern w:val="0"/>
                <w:sz w:val="24"/>
              </w:rPr>
            </w:pPr>
          </w:p>
        </w:tc>
        <w:tc>
          <w:tcPr>
            <w:tcW w:w="2520" w:type="dxa"/>
            <w:gridSpan w:val="5"/>
            <w:noWrap/>
            <w:vAlign w:val="center"/>
          </w:tcPr>
          <w:p>
            <w:pPr>
              <w:widowControl/>
              <w:jc w:val="left"/>
              <w:rPr>
                <w:rFonts w:ascii="宋体" w:hAnsi="宋体" w:cs="宋体"/>
                <w:snapToGrid w:val="0"/>
                <w:color w:val="auto"/>
                <w:kern w:val="0"/>
                <w:sz w:val="24"/>
              </w:rPr>
            </w:pPr>
            <w:r>
              <w:rPr>
                <w:rFonts w:hint="eastAsia" w:ascii="宋体" w:hAnsi="宋体" w:cs="宋体"/>
                <w:snapToGrid w:val="0"/>
                <w:color w:val="auto"/>
                <w:kern w:val="0"/>
                <w:sz w:val="24"/>
              </w:rPr>
              <w:t>制表日期：</w:t>
            </w:r>
          </w:p>
        </w:tc>
        <w:tc>
          <w:tcPr>
            <w:tcW w:w="3336" w:type="dxa"/>
            <w:gridSpan w:val="3"/>
            <w:noWrap/>
            <w:vAlign w:val="center"/>
          </w:tcPr>
          <w:p>
            <w:pPr>
              <w:widowControl/>
              <w:jc w:val="left"/>
              <w:rPr>
                <w:rFonts w:ascii="宋体" w:hAnsi="宋体" w:cs="宋体"/>
                <w:snapToGrid w:val="0"/>
                <w:color w:val="auto"/>
                <w:kern w:val="0"/>
                <w:sz w:val="24"/>
              </w:rPr>
            </w:pPr>
          </w:p>
        </w:tc>
        <w:tc>
          <w:tcPr>
            <w:tcW w:w="2791" w:type="dxa"/>
            <w:gridSpan w:val="3"/>
            <w:noWrap/>
            <w:vAlign w:val="center"/>
          </w:tcPr>
          <w:p>
            <w:pPr>
              <w:widowControl/>
              <w:jc w:val="left"/>
              <w:rPr>
                <w:rFonts w:ascii="宋体" w:hAnsi="宋体" w:cs="宋体"/>
                <w:snapToGrid w:val="0"/>
                <w:color w:val="auto"/>
                <w:kern w:val="0"/>
                <w:sz w:val="24"/>
              </w:rPr>
            </w:pPr>
          </w:p>
        </w:tc>
      </w:tr>
      <w:tr>
        <w:tblPrEx>
          <w:tblCellMar>
            <w:top w:w="0" w:type="dxa"/>
            <w:left w:w="108" w:type="dxa"/>
            <w:bottom w:w="0" w:type="dxa"/>
            <w:right w:w="108" w:type="dxa"/>
          </w:tblCellMar>
        </w:tblPrEx>
        <w:trPr>
          <w:trHeight w:val="397" w:hRule="atLeast"/>
          <w:jc w:val="center"/>
        </w:trPr>
        <w:tc>
          <w:tcPr>
            <w:tcW w:w="2893" w:type="dxa"/>
            <w:gridSpan w:val="3"/>
            <w:noWrap/>
            <w:vAlign w:val="center"/>
          </w:tcPr>
          <w:p>
            <w:pPr>
              <w:widowControl/>
              <w:jc w:val="left"/>
              <w:rPr>
                <w:rFonts w:ascii="宋体" w:hAnsi="宋体" w:cs="宋体"/>
                <w:snapToGrid w:val="0"/>
                <w:color w:val="auto"/>
                <w:kern w:val="0"/>
                <w:sz w:val="24"/>
              </w:rPr>
            </w:pPr>
            <w:r>
              <w:rPr>
                <w:rFonts w:hint="eastAsia" w:ascii="宋体" w:hAnsi="宋体" w:cs="宋体"/>
                <w:snapToGrid w:val="0"/>
                <w:color w:val="auto"/>
                <w:kern w:val="0"/>
                <w:sz w:val="24"/>
              </w:rPr>
              <w:t>所属月份：</w:t>
            </w:r>
          </w:p>
        </w:tc>
        <w:tc>
          <w:tcPr>
            <w:tcW w:w="516" w:type="dxa"/>
            <w:noWrap/>
            <w:vAlign w:val="center"/>
          </w:tcPr>
          <w:p>
            <w:pPr>
              <w:widowControl/>
              <w:jc w:val="left"/>
              <w:rPr>
                <w:rFonts w:ascii="宋体" w:hAnsi="宋体" w:cs="宋体"/>
                <w:snapToGrid w:val="0"/>
                <w:color w:val="auto"/>
                <w:kern w:val="0"/>
                <w:sz w:val="24"/>
              </w:rPr>
            </w:pPr>
          </w:p>
        </w:tc>
        <w:tc>
          <w:tcPr>
            <w:tcW w:w="1112" w:type="dxa"/>
            <w:noWrap/>
            <w:vAlign w:val="center"/>
          </w:tcPr>
          <w:p>
            <w:pPr>
              <w:widowControl/>
              <w:jc w:val="left"/>
              <w:rPr>
                <w:rFonts w:ascii="宋体" w:hAnsi="宋体" w:cs="宋体"/>
                <w:snapToGrid w:val="0"/>
                <w:color w:val="auto"/>
                <w:kern w:val="0"/>
                <w:sz w:val="24"/>
              </w:rPr>
            </w:pPr>
          </w:p>
        </w:tc>
        <w:tc>
          <w:tcPr>
            <w:tcW w:w="1252" w:type="dxa"/>
            <w:gridSpan w:val="2"/>
            <w:noWrap/>
            <w:vAlign w:val="center"/>
          </w:tcPr>
          <w:p>
            <w:pPr>
              <w:widowControl/>
              <w:jc w:val="left"/>
              <w:rPr>
                <w:rFonts w:ascii="宋体" w:hAnsi="宋体" w:cs="宋体"/>
                <w:snapToGrid w:val="0"/>
                <w:color w:val="auto"/>
                <w:kern w:val="0"/>
                <w:sz w:val="24"/>
              </w:rPr>
            </w:pPr>
          </w:p>
        </w:tc>
        <w:tc>
          <w:tcPr>
            <w:tcW w:w="900" w:type="dxa"/>
            <w:gridSpan w:val="2"/>
            <w:noWrap/>
            <w:vAlign w:val="center"/>
          </w:tcPr>
          <w:p>
            <w:pPr>
              <w:widowControl/>
              <w:jc w:val="left"/>
              <w:rPr>
                <w:rFonts w:ascii="宋体" w:hAnsi="宋体" w:cs="宋体"/>
                <w:snapToGrid w:val="0"/>
                <w:color w:val="auto"/>
                <w:kern w:val="0"/>
                <w:sz w:val="24"/>
              </w:rPr>
            </w:pPr>
          </w:p>
        </w:tc>
        <w:tc>
          <w:tcPr>
            <w:tcW w:w="1620" w:type="dxa"/>
            <w:gridSpan w:val="3"/>
            <w:noWrap/>
            <w:vAlign w:val="center"/>
          </w:tcPr>
          <w:p>
            <w:pPr>
              <w:widowControl/>
              <w:jc w:val="left"/>
              <w:rPr>
                <w:rFonts w:ascii="宋体" w:hAnsi="宋体" w:cs="宋体"/>
                <w:snapToGrid w:val="0"/>
                <w:color w:val="auto"/>
                <w:kern w:val="0"/>
                <w:sz w:val="24"/>
              </w:rPr>
            </w:pPr>
          </w:p>
        </w:tc>
        <w:tc>
          <w:tcPr>
            <w:tcW w:w="3336" w:type="dxa"/>
            <w:gridSpan w:val="3"/>
            <w:noWrap/>
            <w:vAlign w:val="center"/>
          </w:tcPr>
          <w:p>
            <w:pPr>
              <w:widowControl/>
              <w:jc w:val="left"/>
              <w:rPr>
                <w:rFonts w:ascii="宋体" w:hAnsi="宋体" w:cs="宋体"/>
                <w:snapToGrid w:val="0"/>
                <w:color w:val="auto"/>
                <w:kern w:val="0"/>
                <w:sz w:val="24"/>
              </w:rPr>
            </w:pPr>
          </w:p>
        </w:tc>
        <w:tc>
          <w:tcPr>
            <w:tcW w:w="2791" w:type="dxa"/>
            <w:gridSpan w:val="3"/>
            <w:noWrap/>
            <w:vAlign w:val="center"/>
          </w:tcPr>
          <w:p>
            <w:pPr>
              <w:widowControl/>
              <w:jc w:val="left"/>
              <w:rPr>
                <w:rFonts w:ascii="宋体" w:hAnsi="宋体" w:cs="宋体"/>
                <w:snapToGrid w:val="0"/>
                <w:color w:val="auto"/>
                <w:kern w:val="0"/>
                <w:sz w:val="24"/>
              </w:rPr>
            </w:pPr>
          </w:p>
        </w:tc>
      </w:tr>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2620" w:type="dxa"/>
            <w:gridSpan w:val="4"/>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身份证号</w:t>
            </w:r>
          </w:p>
        </w:tc>
        <w:tc>
          <w:tcPr>
            <w:tcW w:w="1080" w:type="dxa"/>
            <w:gridSpan w:val="2"/>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金额</w:t>
            </w:r>
          </w:p>
        </w:tc>
        <w:tc>
          <w:tcPr>
            <w:tcW w:w="1080" w:type="dxa"/>
            <w:gridSpan w:val="2"/>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签  名</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2700" w:type="dxa"/>
            <w:gridSpan w:val="2"/>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身份证号</w:t>
            </w:r>
          </w:p>
        </w:tc>
        <w:tc>
          <w:tcPr>
            <w:tcW w:w="1080" w:type="dxa"/>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金额</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签  名</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429" w:hRule="atLeast"/>
          <w:jc w:val="center"/>
        </w:trPr>
        <w:tc>
          <w:tcPr>
            <w:tcW w:w="14420" w:type="dxa"/>
            <w:gridSpan w:val="18"/>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t>工资发放总额合计：</w:t>
            </w:r>
          </w:p>
        </w:tc>
      </w:tr>
      <w:tr>
        <w:tblPrEx>
          <w:tblCellMar>
            <w:top w:w="0" w:type="dxa"/>
            <w:left w:w="108" w:type="dxa"/>
            <w:bottom w:w="0" w:type="dxa"/>
            <w:right w:w="108" w:type="dxa"/>
          </w:tblCellMar>
        </w:tblPrEx>
        <w:trPr>
          <w:trHeight w:val="525" w:hRule="atLeast"/>
          <w:jc w:val="center"/>
        </w:trPr>
        <w:tc>
          <w:tcPr>
            <w:tcW w:w="14420" w:type="dxa"/>
            <w:gridSpan w:val="18"/>
            <w:tcBorders>
              <w:top w:val="single" w:color="auto" w:sz="4" w:space="0"/>
              <w:left w:val="nil"/>
              <w:bottom w:val="single" w:color="auto" w:sz="4" w:space="0"/>
              <w:right w:val="nil"/>
            </w:tcBorders>
            <w:noWrap/>
            <w:vAlign w:val="bottom"/>
          </w:tcPr>
          <w:p>
            <w:pPr>
              <w:widowControl/>
              <w:jc w:val="left"/>
              <w:rPr>
                <w:rFonts w:ascii="宋体" w:hAnsi="宋体" w:cs="宋体"/>
                <w:b/>
                <w:bCs/>
                <w:color w:val="auto"/>
                <w:kern w:val="0"/>
              </w:rPr>
            </w:pPr>
            <w:r>
              <w:rPr>
                <w:rFonts w:hint="eastAsia" w:ascii="宋体" w:hAnsi="宋体" w:cs="宋体"/>
                <w:b/>
                <w:bCs/>
                <w:color w:val="auto"/>
                <w:kern w:val="0"/>
              </w:rPr>
              <w:t>备注：本工资发放表按实际发放完成后，把本表复印一式六份并加盖公章，并提供一份原件核对。</w:t>
            </w:r>
          </w:p>
        </w:tc>
      </w:tr>
    </w:tbl>
    <w:p>
      <w:pPr>
        <w:rPr>
          <w:rFonts w:ascii="宋体" w:hAnsi="宋体"/>
          <w:color w:val="auto"/>
          <w:szCs w:val="21"/>
        </w:rPr>
      </w:pPr>
      <w:r>
        <w:rPr>
          <w:rFonts w:ascii="宋体" w:hAnsi="宋体"/>
          <w:color w:val="auto"/>
          <w:szCs w:val="21"/>
        </w:rPr>
        <w:br w:type="page"/>
      </w:r>
    </w:p>
    <w:tbl>
      <w:tblPr>
        <w:tblStyle w:val="49"/>
        <w:tblW w:w="14420" w:type="dxa"/>
        <w:jc w:val="center"/>
        <w:tblLayout w:type="autofit"/>
        <w:tblCellMar>
          <w:top w:w="0" w:type="dxa"/>
          <w:left w:w="108" w:type="dxa"/>
          <w:bottom w:w="0" w:type="dxa"/>
          <w:right w:w="108" w:type="dxa"/>
        </w:tblCellMar>
      </w:tblPr>
      <w:tblGrid>
        <w:gridCol w:w="1080"/>
        <w:gridCol w:w="1080"/>
        <w:gridCol w:w="733"/>
        <w:gridCol w:w="516"/>
        <w:gridCol w:w="1112"/>
        <w:gridCol w:w="259"/>
        <w:gridCol w:w="993"/>
        <w:gridCol w:w="900"/>
        <w:gridCol w:w="267"/>
        <w:gridCol w:w="460"/>
        <w:gridCol w:w="893"/>
        <w:gridCol w:w="187"/>
        <w:gridCol w:w="1080"/>
        <w:gridCol w:w="2069"/>
        <w:gridCol w:w="631"/>
        <w:gridCol w:w="1080"/>
        <w:gridCol w:w="1080"/>
      </w:tblGrid>
      <w:tr>
        <w:trPr>
          <w:trHeight w:val="397" w:hRule="atLeast"/>
          <w:jc w:val="center"/>
        </w:trPr>
        <w:tc>
          <w:tcPr>
            <w:tcW w:w="14420" w:type="dxa"/>
            <w:gridSpan w:val="17"/>
            <w:noWrap/>
            <w:vAlign w:val="center"/>
          </w:tcPr>
          <w:p>
            <w:pPr>
              <w:widowControl/>
              <w:jc w:val="center"/>
              <w:rPr>
                <w:rFonts w:ascii="宋体" w:hAnsi="宋体" w:cs="宋体"/>
                <w:b/>
                <w:bCs/>
                <w:snapToGrid w:val="0"/>
                <w:color w:val="auto"/>
                <w:kern w:val="0"/>
                <w:sz w:val="44"/>
                <w:szCs w:val="44"/>
              </w:rPr>
            </w:pPr>
            <w:r>
              <w:rPr>
                <w:rFonts w:hint="eastAsia" w:ascii="宋体" w:hAnsi="宋体" w:cs="宋体"/>
                <w:b/>
                <w:bCs/>
                <w:color w:val="auto"/>
                <w:kern w:val="0"/>
                <w:sz w:val="28"/>
                <w:szCs w:val="28"/>
              </w:rPr>
              <w:t>工程</w:t>
            </w:r>
          </w:p>
          <w:p>
            <w:pPr>
              <w:widowControl/>
              <w:jc w:val="center"/>
              <w:rPr>
                <w:rFonts w:ascii="宋体" w:hAnsi="宋体" w:cs="宋体"/>
                <w:b/>
                <w:bCs/>
                <w:snapToGrid w:val="0"/>
                <w:color w:val="auto"/>
                <w:kern w:val="0"/>
                <w:sz w:val="44"/>
                <w:szCs w:val="44"/>
              </w:rPr>
            </w:pPr>
            <w:r>
              <w:rPr>
                <w:rFonts w:hint="eastAsia" w:ascii="宋体" w:hAnsi="宋体" w:cs="宋体"/>
                <w:b/>
                <w:bCs/>
                <w:snapToGrid w:val="0"/>
                <w:color w:val="auto"/>
                <w:kern w:val="0"/>
                <w:sz w:val="44"/>
                <w:szCs w:val="44"/>
              </w:rPr>
              <w:t>本期计划发放管理人员工资明细表</w:t>
            </w:r>
          </w:p>
        </w:tc>
      </w:tr>
      <w:tr>
        <w:tblPrEx>
          <w:tblCellMar>
            <w:top w:w="0" w:type="dxa"/>
            <w:left w:w="108" w:type="dxa"/>
            <w:bottom w:w="0" w:type="dxa"/>
            <w:right w:w="108" w:type="dxa"/>
          </w:tblCellMar>
        </w:tblPrEx>
        <w:trPr>
          <w:trHeight w:val="397" w:hRule="atLeast"/>
          <w:jc w:val="center"/>
        </w:trPr>
        <w:tc>
          <w:tcPr>
            <w:tcW w:w="2893" w:type="dxa"/>
            <w:gridSpan w:val="3"/>
            <w:noWrap/>
            <w:vAlign w:val="center"/>
          </w:tcPr>
          <w:p>
            <w:pPr>
              <w:widowControl/>
              <w:jc w:val="left"/>
              <w:rPr>
                <w:rFonts w:ascii="宋体" w:hAnsi="宋体" w:cs="宋体"/>
                <w:snapToGrid w:val="0"/>
                <w:color w:val="auto"/>
                <w:kern w:val="0"/>
                <w:sz w:val="24"/>
              </w:rPr>
            </w:pPr>
            <w:r>
              <w:rPr>
                <w:rFonts w:hint="eastAsia" w:ascii="宋体" w:hAnsi="宋体" w:cs="宋体"/>
                <w:snapToGrid w:val="0"/>
                <w:color w:val="auto"/>
                <w:kern w:val="0"/>
                <w:sz w:val="24"/>
              </w:rPr>
              <w:t>施工单位名称（盖公章）：</w:t>
            </w:r>
          </w:p>
        </w:tc>
        <w:tc>
          <w:tcPr>
            <w:tcW w:w="516" w:type="dxa"/>
            <w:noWrap/>
            <w:vAlign w:val="center"/>
          </w:tcPr>
          <w:p>
            <w:pPr>
              <w:widowControl/>
              <w:jc w:val="left"/>
              <w:rPr>
                <w:rFonts w:ascii="宋体" w:hAnsi="宋体" w:cs="宋体"/>
                <w:snapToGrid w:val="0"/>
                <w:color w:val="auto"/>
                <w:kern w:val="0"/>
                <w:sz w:val="24"/>
              </w:rPr>
            </w:pPr>
          </w:p>
        </w:tc>
        <w:tc>
          <w:tcPr>
            <w:tcW w:w="1112" w:type="dxa"/>
            <w:noWrap/>
            <w:vAlign w:val="center"/>
          </w:tcPr>
          <w:p>
            <w:pPr>
              <w:widowControl/>
              <w:jc w:val="left"/>
              <w:rPr>
                <w:rFonts w:ascii="宋体" w:hAnsi="宋体" w:cs="宋体"/>
                <w:snapToGrid w:val="0"/>
                <w:color w:val="auto"/>
                <w:kern w:val="0"/>
                <w:sz w:val="24"/>
              </w:rPr>
            </w:pPr>
          </w:p>
        </w:tc>
        <w:tc>
          <w:tcPr>
            <w:tcW w:w="1252" w:type="dxa"/>
            <w:gridSpan w:val="2"/>
            <w:noWrap/>
            <w:vAlign w:val="center"/>
          </w:tcPr>
          <w:p>
            <w:pPr>
              <w:widowControl/>
              <w:jc w:val="left"/>
              <w:rPr>
                <w:rFonts w:ascii="宋体" w:hAnsi="宋体" w:cs="宋体"/>
                <w:snapToGrid w:val="0"/>
                <w:color w:val="auto"/>
                <w:kern w:val="0"/>
                <w:sz w:val="24"/>
              </w:rPr>
            </w:pPr>
          </w:p>
        </w:tc>
        <w:tc>
          <w:tcPr>
            <w:tcW w:w="2520" w:type="dxa"/>
            <w:gridSpan w:val="4"/>
            <w:noWrap/>
            <w:vAlign w:val="center"/>
          </w:tcPr>
          <w:p>
            <w:pPr>
              <w:widowControl/>
              <w:jc w:val="left"/>
              <w:rPr>
                <w:rFonts w:ascii="宋体" w:hAnsi="宋体" w:cs="宋体"/>
                <w:snapToGrid w:val="0"/>
                <w:color w:val="auto"/>
                <w:kern w:val="0"/>
                <w:sz w:val="24"/>
              </w:rPr>
            </w:pPr>
            <w:r>
              <w:rPr>
                <w:rFonts w:hint="eastAsia" w:ascii="宋体" w:hAnsi="宋体" w:cs="宋体"/>
                <w:snapToGrid w:val="0"/>
                <w:color w:val="auto"/>
                <w:kern w:val="0"/>
                <w:sz w:val="24"/>
              </w:rPr>
              <w:t>制表日期：</w:t>
            </w:r>
          </w:p>
        </w:tc>
        <w:tc>
          <w:tcPr>
            <w:tcW w:w="3336" w:type="dxa"/>
            <w:gridSpan w:val="3"/>
            <w:noWrap/>
            <w:vAlign w:val="center"/>
          </w:tcPr>
          <w:p>
            <w:pPr>
              <w:widowControl/>
              <w:jc w:val="left"/>
              <w:rPr>
                <w:rFonts w:ascii="宋体" w:hAnsi="宋体" w:cs="宋体"/>
                <w:snapToGrid w:val="0"/>
                <w:color w:val="auto"/>
                <w:kern w:val="0"/>
                <w:sz w:val="24"/>
              </w:rPr>
            </w:pPr>
          </w:p>
        </w:tc>
        <w:tc>
          <w:tcPr>
            <w:tcW w:w="2791" w:type="dxa"/>
            <w:gridSpan w:val="3"/>
            <w:noWrap/>
            <w:vAlign w:val="center"/>
          </w:tcPr>
          <w:p>
            <w:pPr>
              <w:widowControl/>
              <w:jc w:val="left"/>
              <w:rPr>
                <w:rFonts w:ascii="宋体" w:hAnsi="宋体" w:cs="宋体"/>
                <w:snapToGrid w:val="0"/>
                <w:color w:val="auto"/>
                <w:kern w:val="0"/>
                <w:sz w:val="24"/>
              </w:rPr>
            </w:pPr>
          </w:p>
        </w:tc>
      </w:tr>
      <w:tr>
        <w:tblPrEx>
          <w:tblCellMar>
            <w:top w:w="0" w:type="dxa"/>
            <w:left w:w="108" w:type="dxa"/>
            <w:bottom w:w="0" w:type="dxa"/>
            <w:right w:w="108" w:type="dxa"/>
          </w:tblCellMar>
        </w:tblPrEx>
        <w:trPr>
          <w:trHeight w:val="397" w:hRule="atLeast"/>
          <w:jc w:val="center"/>
        </w:trPr>
        <w:tc>
          <w:tcPr>
            <w:tcW w:w="2893" w:type="dxa"/>
            <w:gridSpan w:val="3"/>
            <w:noWrap/>
            <w:vAlign w:val="center"/>
          </w:tcPr>
          <w:p>
            <w:pPr>
              <w:widowControl/>
              <w:jc w:val="left"/>
              <w:rPr>
                <w:rFonts w:ascii="宋体" w:hAnsi="宋体" w:cs="宋体"/>
                <w:snapToGrid w:val="0"/>
                <w:color w:val="auto"/>
                <w:kern w:val="0"/>
                <w:sz w:val="24"/>
              </w:rPr>
            </w:pPr>
            <w:r>
              <w:rPr>
                <w:rFonts w:hint="eastAsia" w:ascii="宋体" w:hAnsi="宋体" w:cs="宋体"/>
                <w:snapToGrid w:val="0"/>
                <w:color w:val="auto"/>
                <w:kern w:val="0"/>
                <w:sz w:val="24"/>
              </w:rPr>
              <w:t>所属月份：</w:t>
            </w:r>
          </w:p>
        </w:tc>
        <w:tc>
          <w:tcPr>
            <w:tcW w:w="516" w:type="dxa"/>
            <w:noWrap/>
            <w:vAlign w:val="center"/>
          </w:tcPr>
          <w:p>
            <w:pPr>
              <w:widowControl/>
              <w:jc w:val="left"/>
              <w:rPr>
                <w:rFonts w:ascii="宋体" w:hAnsi="宋体" w:cs="宋体"/>
                <w:snapToGrid w:val="0"/>
                <w:color w:val="auto"/>
                <w:kern w:val="0"/>
                <w:sz w:val="24"/>
              </w:rPr>
            </w:pPr>
          </w:p>
        </w:tc>
        <w:tc>
          <w:tcPr>
            <w:tcW w:w="1112" w:type="dxa"/>
            <w:noWrap/>
            <w:vAlign w:val="center"/>
          </w:tcPr>
          <w:p>
            <w:pPr>
              <w:widowControl/>
              <w:jc w:val="left"/>
              <w:rPr>
                <w:rFonts w:ascii="宋体" w:hAnsi="宋体" w:cs="宋体"/>
                <w:snapToGrid w:val="0"/>
                <w:color w:val="auto"/>
                <w:kern w:val="0"/>
                <w:sz w:val="24"/>
              </w:rPr>
            </w:pPr>
          </w:p>
        </w:tc>
        <w:tc>
          <w:tcPr>
            <w:tcW w:w="1252" w:type="dxa"/>
            <w:gridSpan w:val="2"/>
            <w:noWrap/>
            <w:vAlign w:val="center"/>
          </w:tcPr>
          <w:p>
            <w:pPr>
              <w:widowControl/>
              <w:jc w:val="left"/>
              <w:rPr>
                <w:rFonts w:ascii="宋体" w:hAnsi="宋体" w:cs="宋体"/>
                <w:snapToGrid w:val="0"/>
                <w:color w:val="auto"/>
                <w:kern w:val="0"/>
                <w:sz w:val="24"/>
              </w:rPr>
            </w:pPr>
          </w:p>
        </w:tc>
        <w:tc>
          <w:tcPr>
            <w:tcW w:w="900" w:type="dxa"/>
            <w:noWrap/>
            <w:vAlign w:val="center"/>
          </w:tcPr>
          <w:p>
            <w:pPr>
              <w:widowControl/>
              <w:jc w:val="left"/>
              <w:rPr>
                <w:rFonts w:ascii="宋体" w:hAnsi="宋体" w:cs="宋体"/>
                <w:snapToGrid w:val="0"/>
                <w:color w:val="auto"/>
                <w:kern w:val="0"/>
                <w:sz w:val="24"/>
              </w:rPr>
            </w:pPr>
          </w:p>
        </w:tc>
        <w:tc>
          <w:tcPr>
            <w:tcW w:w="1620" w:type="dxa"/>
            <w:gridSpan w:val="3"/>
            <w:noWrap/>
            <w:vAlign w:val="center"/>
          </w:tcPr>
          <w:p>
            <w:pPr>
              <w:widowControl/>
              <w:jc w:val="left"/>
              <w:rPr>
                <w:rFonts w:ascii="宋体" w:hAnsi="宋体" w:cs="宋体"/>
                <w:snapToGrid w:val="0"/>
                <w:color w:val="auto"/>
                <w:kern w:val="0"/>
                <w:sz w:val="24"/>
              </w:rPr>
            </w:pPr>
          </w:p>
        </w:tc>
        <w:tc>
          <w:tcPr>
            <w:tcW w:w="3336" w:type="dxa"/>
            <w:gridSpan w:val="3"/>
            <w:noWrap/>
            <w:vAlign w:val="center"/>
          </w:tcPr>
          <w:p>
            <w:pPr>
              <w:widowControl/>
              <w:jc w:val="left"/>
              <w:rPr>
                <w:rFonts w:ascii="宋体" w:hAnsi="宋体" w:cs="宋体"/>
                <w:snapToGrid w:val="0"/>
                <w:color w:val="auto"/>
                <w:kern w:val="0"/>
                <w:sz w:val="24"/>
              </w:rPr>
            </w:pPr>
          </w:p>
        </w:tc>
        <w:tc>
          <w:tcPr>
            <w:tcW w:w="2791" w:type="dxa"/>
            <w:gridSpan w:val="3"/>
            <w:noWrap/>
            <w:vAlign w:val="center"/>
          </w:tcPr>
          <w:p>
            <w:pPr>
              <w:widowControl/>
              <w:jc w:val="left"/>
              <w:rPr>
                <w:rFonts w:ascii="宋体" w:hAnsi="宋体" w:cs="宋体"/>
                <w:snapToGrid w:val="0"/>
                <w:color w:val="auto"/>
                <w:kern w:val="0"/>
                <w:sz w:val="24"/>
              </w:rPr>
            </w:pPr>
          </w:p>
        </w:tc>
      </w:tr>
      <w:tr>
        <w:tblPrEx>
          <w:tblCellMar>
            <w:top w:w="0" w:type="dxa"/>
            <w:left w:w="108" w:type="dxa"/>
            <w:bottom w:w="0" w:type="dxa"/>
            <w:right w:w="108"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2620" w:type="dxa"/>
            <w:gridSpan w:val="4"/>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身份证号</w:t>
            </w:r>
          </w:p>
        </w:tc>
        <w:tc>
          <w:tcPr>
            <w:tcW w:w="2160" w:type="dxa"/>
            <w:gridSpan w:val="3"/>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金额</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single" w:color="auto" w:sz="4" w:space="0"/>
              <w:left w:val="single" w:color="auto" w:sz="4" w:space="0"/>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080" w:type="dxa"/>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姓  名</w:t>
            </w:r>
          </w:p>
        </w:tc>
        <w:tc>
          <w:tcPr>
            <w:tcW w:w="2700" w:type="dxa"/>
            <w:gridSpan w:val="2"/>
            <w:tcBorders>
              <w:top w:val="single" w:color="auto" w:sz="4" w:space="0"/>
              <w:left w:val="nil"/>
              <w:bottom w:val="single" w:color="auto" w:sz="4" w:space="0"/>
              <w:right w:val="single" w:color="auto" w:sz="4" w:space="0"/>
            </w:tcBorders>
            <w:noWrap/>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身份证号</w:t>
            </w:r>
          </w:p>
        </w:tc>
        <w:tc>
          <w:tcPr>
            <w:tcW w:w="2160" w:type="dxa"/>
            <w:gridSpan w:val="2"/>
            <w:tcBorders>
              <w:top w:val="single" w:color="auto" w:sz="4" w:space="0"/>
              <w:left w:val="nil"/>
              <w:bottom w:val="single" w:color="auto" w:sz="4" w:space="0"/>
              <w:right w:val="single" w:color="auto" w:sz="4" w:space="0"/>
            </w:tcBorders>
            <w:vAlign w:val="bottom"/>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金额</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285" w:hRule="atLeast"/>
          <w:jc w:val="center"/>
        </w:trPr>
        <w:tc>
          <w:tcPr>
            <w:tcW w:w="1080" w:type="dxa"/>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620" w:type="dxa"/>
            <w:gridSpan w:val="4"/>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160" w:type="dxa"/>
            <w:gridSpan w:val="3"/>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460" w:type="dxa"/>
            <w:tcBorders>
              <w:top w:val="nil"/>
              <w:left w:val="nil"/>
              <w:bottom w:val="nil"/>
              <w:right w:val="nil"/>
            </w:tcBorders>
            <w:noWrap/>
            <w:vAlign w:val="bottom"/>
          </w:tcPr>
          <w:p>
            <w:pPr>
              <w:widowControl/>
              <w:jc w:val="left"/>
              <w:rPr>
                <w:rFonts w:ascii="宋体" w:hAnsi="宋体" w:cs="宋体"/>
                <w:color w:val="auto"/>
                <w:kern w:val="0"/>
                <w:sz w:val="24"/>
                <w:szCs w:val="24"/>
              </w:rPr>
            </w:pPr>
          </w:p>
        </w:tc>
        <w:tc>
          <w:tcPr>
            <w:tcW w:w="1080" w:type="dxa"/>
            <w:gridSpan w:val="2"/>
            <w:tcBorders>
              <w:top w:val="nil"/>
              <w:left w:val="single" w:color="auto" w:sz="4" w:space="0"/>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2700" w:type="dxa"/>
            <w:gridSpan w:val="2"/>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c>
          <w:tcPr>
            <w:tcW w:w="1080" w:type="dxa"/>
            <w:tcBorders>
              <w:top w:val="nil"/>
              <w:left w:val="nil"/>
              <w:bottom w:val="single" w:color="auto" w:sz="4" w:space="0"/>
              <w:right w:val="single" w:color="auto" w:sz="4" w:space="0"/>
            </w:tcBorders>
            <w:noWrap/>
            <w:vAlign w:val="bottom"/>
          </w:tcPr>
          <w:p>
            <w:pPr>
              <w:widowControl/>
              <w:jc w:val="left"/>
              <w:rPr>
                <w:rFonts w:ascii="宋体" w:hAnsi="宋体" w:cs="宋体"/>
                <w:color w:val="auto"/>
                <w:kern w:val="0"/>
                <w:sz w:val="24"/>
                <w:szCs w:val="24"/>
              </w:rPr>
            </w:pPr>
            <w:r>
              <w:rPr>
                <w:rFonts w:hint="eastAsia" w:ascii="宋体" w:hAnsi="宋体" w:cs="宋体"/>
                <w:color w:val="auto"/>
                <w:kern w:val="0"/>
                <w:sz w:val="24"/>
                <w:szCs w:val="24"/>
              </w:rPr>
              <w:t>　</w:t>
            </w:r>
          </w:p>
        </w:tc>
      </w:tr>
      <w:tr>
        <w:tblPrEx>
          <w:tblCellMar>
            <w:top w:w="0" w:type="dxa"/>
            <w:left w:w="108" w:type="dxa"/>
            <w:bottom w:w="0" w:type="dxa"/>
            <w:right w:w="108" w:type="dxa"/>
          </w:tblCellMar>
        </w:tblPrEx>
        <w:trPr>
          <w:trHeight w:val="705" w:hRule="atLeast"/>
          <w:jc w:val="center"/>
        </w:trPr>
        <w:tc>
          <w:tcPr>
            <w:tcW w:w="14420" w:type="dxa"/>
            <w:gridSpan w:val="17"/>
            <w:tcBorders>
              <w:top w:val="single" w:color="auto" w:sz="4" w:space="0"/>
              <w:left w:val="single" w:color="auto" w:sz="4" w:space="0"/>
              <w:bottom w:val="single" w:color="auto" w:sz="4" w:space="0"/>
              <w:right w:val="single" w:color="auto" w:sz="4" w:space="0"/>
            </w:tcBorders>
            <w:noWrap/>
            <w:vAlign w:val="bottom"/>
          </w:tcPr>
          <w:p>
            <w:pPr>
              <w:widowControl/>
              <w:jc w:val="left"/>
              <w:rPr>
                <w:rFonts w:ascii="宋体" w:hAnsi="宋体" w:cs="宋体"/>
                <w:b/>
                <w:bCs/>
                <w:color w:val="auto"/>
                <w:kern w:val="0"/>
                <w:sz w:val="24"/>
                <w:szCs w:val="24"/>
              </w:rPr>
            </w:pPr>
            <w:r>
              <w:rPr>
                <w:rFonts w:hint="eastAsia" w:ascii="宋体" w:hAnsi="宋体" w:cs="宋体"/>
                <w:b/>
                <w:bCs/>
                <w:color w:val="auto"/>
                <w:kern w:val="0"/>
                <w:sz w:val="24"/>
                <w:szCs w:val="24"/>
              </w:rPr>
              <w:t>工资发放总额合计：</w:t>
            </w:r>
          </w:p>
        </w:tc>
      </w:tr>
      <w:tr>
        <w:tblPrEx>
          <w:tblCellMar>
            <w:top w:w="0" w:type="dxa"/>
            <w:left w:w="108" w:type="dxa"/>
            <w:bottom w:w="0" w:type="dxa"/>
            <w:right w:w="108" w:type="dxa"/>
          </w:tblCellMar>
        </w:tblPrEx>
        <w:trPr>
          <w:trHeight w:val="525" w:hRule="atLeast"/>
          <w:jc w:val="center"/>
        </w:trPr>
        <w:tc>
          <w:tcPr>
            <w:tcW w:w="14420" w:type="dxa"/>
            <w:gridSpan w:val="17"/>
            <w:tcBorders>
              <w:top w:val="single" w:color="auto" w:sz="4" w:space="0"/>
              <w:left w:val="nil"/>
              <w:bottom w:val="nil"/>
              <w:right w:val="nil"/>
            </w:tcBorders>
            <w:noWrap/>
            <w:vAlign w:val="bottom"/>
          </w:tcPr>
          <w:p>
            <w:pPr>
              <w:widowControl/>
              <w:jc w:val="left"/>
              <w:rPr>
                <w:rFonts w:ascii="宋体" w:hAnsi="宋体" w:cs="宋体"/>
                <w:b/>
                <w:bCs/>
                <w:color w:val="auto"/>
                <w:kern w:val="0"/>
              </w:rPr>
            </w:pPr>
            <w:r>
              <w:rPr>
                <w:rFonts w:hint="eastAsia" w:ascii="宋体" w:hAnsi="宋体" w:cs="宋体"/>
                <w:b/>
                <w:bCs/>
                <w:color w:val="auto"/>
                <w:kern w:val="0"/>
              </w:rPr>
              <w:t>注：本表一式六份并加盖公章。</w:t>
            </w:r>
          </w:p>
        </w:tc>
      </w:tr>
    </w:tbl>
    <w:p>
      <w:pPr>
        <w:rPr>
          <w:rFonts w:ascii="宋体" w:hAnsi="宋体"/>
          <w:color w:val="auto"/>
          <w:szCs w:val="21"/>
        </w:rPr>
        <w:sectPr>
          <w:pgSz w:w="16840" w:h="11907" w:orient="landscape"/>
          <w:pgMar w:top="1418" w:right="1134" w:bottom="1418" w:left="1134" w:header="851" w:footer="992" w:gutter="0"/>
          <w:pgNumType w:fmt="decimal"/>
          <w:cols w:space="720" w:num="1"/>
          <w:docGrid w:linePitch="312" w:charSpace="0"/>
        </w:sectPr>
      </w:pPr>
    </w:p>
    <w:p>
      <w:pPr>
        <w:rPr>
          <w:rFonts w:ascii="宋体" w:hAnsi="宋体"/>
          <w:color w:val="auto"/>
          <w:sz w:val="24"/>
          <w:szCs w:val="24"/>
        </w:rPr>
      </w:pPr>
      <w:r>
        <w:rPr>
          <w:rFonts w:hint="eastAsia" w:ascii="宋体" w:hAnsi="宋体"/>
          <w:color w:val="auto"/>
          <w:sz w:val="24"/>
          <w:szCs w:val="24"/>
        </w:rPr>
        <w:t>附件三：</w:t>
      </w:r>
    </w:p>
    <w:p>
      <w:pPr>
        <w:jc w:val="center"/>
        <w:rPr>
          <w:rFonts w:ascii="宋体" w:hAnsi="宋体"/>
          <w:color w:val="auto"/>
          <w:sz w:val="28"/>
          <w:szCs w:val="21"/>
        </w:rPr>
      </w:pPr>
      <w:r>
        <w:rPr>
          <w:rFonts w:hint="eastAsia" w:ascii="宋体" w:hAnsi="宋体"/>
          <w:b/>
          <w:color w:val="auto"/>
          <w:sz w:val="32"/>
          <w:szCs w:val="21"/>
        </w:rPr>
        <w:t>共管账户划款通知</w:t>
      </w:r>
    </w:p>
    <w:p>
      <w:pPr>
        <w:jc w:val="center"/>
        <w:rPr>
          <w:rFonts w:ascii="宋体" w:hAnsi="宋体"/>
          <w:color w:val="auto"/>
          <w:sz w:val="28"/>
          <w:szCs w:val="21"/>
        </w:rPr>
      </w:pPr>
      <w:r>
        <w:rPr>
          <w:rFonts w:hint="eastAsia" w:ascii="宋体" w:hAnsi="宋体"/>
          <w:color w:val="auto"/>
          <w:sz w:val="28"/>
          <w:szCs w:val="21"/>
        </w:rPr>
        <w:t>年</w:t>
      </w:r>
      <w:r>
        <w:rPr>
          <w:rFonts w:ascii="宋体" w:hAnsi="宋体"/>
          <w:color w:val="auto"/>
          <w:sz w:val="28"/>
          <w:szCs w:val="21"/>
        </w:rPr>
        <w:t xml:space="preserve">   </w:t>
      </w:r>
      <w:r>
        <w:rPr>
          <w:rFonts w:hint="eastAsia" w:ascii="宋体" w:hAnsi="宋体"/>
          <w:color w:val="auto"/>
          <w:sz w:val="28"/>
          <w:szCs w:val="21"/>
        </w:rPr>
        <w:t>月</w:t>
      </w:r>
      <w:r>
        <w:rPr>
          <w:rFonts w:ascii="宋体" w:hAnsi="宋体"/>
          <w:color w:val="auto"/>
          <w:sz w:val="28"/>
          <w:szCs w:val="21"/>
        </w:rPr>
        <w:t xml:space="preserve">    </w:t>
      </w:r>
      <w:r>
        <w:rPr>
          <w:rFonts w:hint="eastAsia" w:ascii="宋体" w:hAnsi="宋体"/>
          <w:color w:val="auto"/>
          <w:sz w:val="28"/>
          <w:szCs w:val="21"/>
        </w:rPr>
        <w:t>日</w:t>
      </w:r>
    </w:p>
    <w:tbl>
      <w:tblPr>
        <w:tblStyle w:val="4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88" w:type="dxa"/>
          </w:tcPr>
          <w:p>
            <w:pPr>
              <w:rPr>
                <w:rFonts w:ascii="宋体" w:hAnsi="宋体"/>
                <w:color w:val="auto"/>
                <w:sz w:val="28"/>
                <w:szCs w:val="21"/>
              </w:rPr>
            </w:pPr>
            <w:r>
              <w:rPr>
                <w:rFonts w:hint="eastAsia" w:ascii="宋体" w:hAnsi="宋体"/>
                <w:color w:val="auto"/>
                <w:sz w:val="28"/>
                <w:szCs w:val="21"/>
              </w:rPr>
              <w:t>账户名称</w:t>
            </w:r>
          </w:p>
        </w:tc>
        <w:tc>
          <w:tcPr>
            <w:tcW w:w="5040" w:type="dxa"/>
          </w:tcPr>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888" w:type="dxa"/>
          </w:tcPr>
          <w:p>
            <w:pPr>
              <w:rPr>
                <w:rFonts w:ascii="宋体" w:hAnsi="宋体"/>
                <w:color w:val="auto"/>
                <w:sz w:val="28"/>
                <w:szCs w:val="21"/>
              </w:rPr>
            </w:pPr>
            <w:r>
              <w:rPr>
                <w:rFonts w:hint="eastAsia" w:ascii="宋体" w:hAnsi="宋体"/>
                <w:color w:val="auto"/>
                <w:sz w:val="28"/>
                <w:szCs w:val="21"/>
              </w:rPr>
              <w:t>账户账号</w:t>
            </w:r>
          </w:p>
        </w:tc>
        <w:tc>
          <w:tcPr>
            <w:tcW w:w="5040" w:type="dxa"/>
          </w:tcPr>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3888" w:type="dxa"/>
          </w:tcPr>
          <w:p>
            <w:pPr>
              <w:rPr>
                <w:rFonts w:ascii="宋体" w:hAnsi="宋体"/>
                <w:color w:val="auto"/>
                <w:sz w:val="28"/>
                <w:szCs w:val="21"/>
              </w:rPr>
            </w:pPr>
            <w:r>
              <w:rPr>
                <w:rFonts w:hint="eastAsia" w:ascii="宋体" w:hAnsi="宋体"/>
                <w:color w:val="auto"/>
                <w:sz w:val="28"/>
                <w:szCs w:val="21"/>
              </w:rPr>
              <w:t>工程项目名称</w:t>
            </w:r>
          </w:p>
        </w:tc>
        <w:tc>
          <w:tcPr>
            <w:tcW w:w="5040" w:type="dxa"/>
          </w:tcPr>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8" w:type="dxa"/>
          </w:tcPr>
          <w:p>
            <w:pPr>
              <w:rPr>
                <w:rFonts w:ascii="宋体" w:hAnsi="宋体"/>
                <w:color w:val="auto"/>
                <w:sz w:val="28"/>
                <w:szCs w:val="21"/>
              </w:rPr>
            </w:pPr>
            <w:r>
              <w:rPr>
                <w:rFonts w:hint="eastAsia" w:ascii="宋体" w:hAnsi="宋体"/>
                <w:color w:val="auto"/>
                <w:sz w:val="28"/>
                <w:szCs w:val="21"/>
              </w:rPr>
              <w:t>本次申请使用款项金额</w:t>
            </w:r>
          </w:p>
        </w:tc>
        <w:tc>
          <w:tcPr>
            <w:tcW w:w="5040" w:type="dxa"/>
          </w:tcPr>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3888" w:type="dxa"/>
          </w:tcPr>
          <w:p>
            <w:pPr>
              <w:rPr>
                <w:rFonts w:ascii="宋体" w:hAnsi="宋体"/>
                <w:color w:val="auto"/>
                <w:sz w:val="28"/>
                <w:szCs w:val="21"/>
              </w:rPr>
            </w:pPr>
            <w:r>
              <w:rPr>
                <w:rFonts w:hint="eastAsia" w:ascii="宋体" w:hAnsi="宋体"/>
                <w:color w:val="auto"/>
                <w:sz w:val="28"/>
                <w:szCs w:val="21"/>
              </w:rPr>
              <w:t>本次用途</w:t>
            </w:r>
          </w:p>
        </w:tc>
        <w:tc>
          <w:tcPr>
            <w:tcW w:w="5040" w:type="dxa"/>
          </w:tcPr>
          <w:p>
            <w:pPr>
              <w:rPr>
                <w:rFonts w:ascii="宋体" w:hAnsi="宋体"/>
                <w:color w:val="auto"/>
                <w:sz w:val="28"/>
                <w:szCs w:val="21"/>
              </w:rPr>
            </w:pPr>
          </w:p>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888" w:type="dxa"/>
          </w:tcPr>
          <w:p>
            <w:pPr>
              <w:rPr>
                <w:rFonts w:ascii="宋体" w:hAnsi="宋体"/>
                <w:color w:val="auto"/>
                <w:sz w:val="28"/>
                <w:szCs w:val="21"/>
              </w:rPr>
            </w:pPr>
            <w:r>
              <w:rPr>
                <w:rFonts w:hint="eastAsia" w:ascii="宋体" w:hAnsi="宋体"/>
                <w:color w:val="auto"/>
                <w:sz w:val="28"/>
                <w:szCs w:val="21"/>
              </w:rPr>
              <w:t>累计用款额（万元）</w:t>
            </w:r>
          </w:p>
        </w:tc>
        <w:tc>
          <w:tcPr>
            <w:tcW w:w="5040" w:type="dxa"/>
          </w:tcPr>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3888" w:type="dxa"/>
            <w:vMerge w:val="restart"/>
          </w:tcPr>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r>
              <w:rPr>
                <w:rFonts w:hint="eastAsia" w:ascii="宋体" w:hAnsi="宋体"/>
                <w:color w:val="auto"/>
                <w:sz w:val="28"/>
                <w:szCs w:val="21"/>
              </w:rPr>
              <w:t>广州开发区财政投资建设项目管理中心审批意见</w:t>
            </w:r>
          </w:p>
        </w:tc>
        <w:tc>
          <w:tcPr>
            <w:tcW w:w="5040" w:type="dxa"/>
          </w:tcPr>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jc w:val="center"/>
              <w:rPr>
                <w:rFonts w:ascii="宋体" w:hAnsi="宋体"/>
                <w:color w:val="auto"/>
                <w:sz w:val="28"/>
                <w:szCs w:val="21"/>
              </w:rPr>
            </w:pPr>
            <w:r>
              <w:rPr>
                <w:rFonts w:hint="eastAsia" w:ascii="宋体" w:hAnsi="宋体"/>
                <w:color w:val="auto"/>
                <w:sz w:val="28"/>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3888" w:type="dxa"/>
            <w:vMerge w:val="continue"/>
          </w:tcPr>
          <w:p>
            <w:pPr>
              <w:rPr>
                <w:rFonts w:ascii="宋体" w:hAnsi="宋体"/>
                <w:color w:val="auto"/>
                <w:sz w:val="28"/>
                <w:szCs w:val="21"/>
              </w:rPr>
            </w:pPr>
          </w:p>
        </w:tc>
        <w:tc>
          <w:tcPr>
            <w:tcW w:w="5040" w:type="dxa"/>
          </w:tcPr>
          <w:p>
            <w:pPr>
              <w:rPr>
                <w:rFonts w:ascii="宋体" w:hAnsi="宋体"/>
                <w:color w:val="auto"/>
                <w:sz w:val="28"/>
                <w:szCs w:val="21"/>
              </w:rPr>
            </w:pPr>
          </w:p>
          <w:p>
            <w:pPr>
              <w:rPr>
                <w:rFonts w:ascii="宋体" w:hAnsi="宋体"/>
                <w:color w:val="auto"/>
                <w:sz w:val="28"/>
                <w:szCs w:val="21"/>
              </w:rPr>
            </w:pPr>
            <w:r>
              <w:rPr>
                <w:rFonts w:hint="eastAsia" w:ascii="宋体" w:hAnsi="宋体"/>
                <w:color w:val="auto"/>
                <w:sz w:val="28"/>
                <w:szCs w:val="21"/>
              </w:rPr>
              <w:t>经办人：</w:t>
            </w:r>
            <w:r>
              <w:rPr>
                <w:rFonts w:ascii="宋体" w:hAnsi="宋体"/>
                <w:color w:val="auto"/>
                <w:sz w:val="28"/>
                <w:szCs w:val="21"/>
              </w:rPr>
              <w:t xml:space="preserve"> </w:t>
            </w:r>
          </w:p>
          <w:p>
            <w:pPr>
              <w:rPr>
                <w:rFonts w:ascii="宋体" w:hAnsi="宋体"/>
                <w:color w:val="auto"/>
                <w:sz w:val="28"/>
                <w:szCs w:val="21"/>
              </w:rPr>
            </w:pPr>
          </w:p>
          <w:p>
            <w:pPr>
              <w:rPr>
                <w:rFonts w:ascii="宋体" w:hAnsi="宋体"/>
                <w:color w:val="auto"/>
                <w:sz w:val="28"/>
                <w:szCs w:val="21"/>
              </w:rPr>
            </w:pPr>
            <w:r>
              <w:rPr>
                <w:rFonts w:ascii="宋体" w:hAnsi="宋体"/>
                <w:color w:val="auto"/>
                <w:sz w:val="28"/>
                <w:szCs w:val="21"/>
              </w:rPr>
              <w:t>(</w:t>
            </w:r>
            <w:r>
              <w:rPr>
                <w:rFonts w:hint="eastAsia" w:ascii="宋体" w:hAnsi="宋体"/>
                <w:color w:val="auto"/>
                <w:sz w:val="28"/>
                <w:szCs w:val="21"/>
              </w:rPr>
              <w:t>联系电话及手机号码：</w:t>
            </w:r>
            <w:r>
              <w:rPr>
                <w:rFonts w:ascii="宋体" w:hAnsi="宋体"/>
                <w:color w:val="auto"/>
                <w:sz w:val="28"/>
                <w:szCs w:val="21"/>
              </w:rPr>
              <w:t>)</w:t>
            </w: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r>
              <w:rPr>
                <w:rFonts w:hint="eastAsia" w:ascii="宋体" w:hAnsi="宋体"/>
                <w:color w:val="auto"/>
                <w:sz w:val="28"/>
                <w:szCs w:val="21"/>
              </w:rPr>
              <w:t>负责人：</w:t>
            </w:r>
          </w:p>
          <w:p>
            <w:pPr>
              <w:rPr>
                <w:rFonts w:ascii="宋体" w:hAnsi="宋体"/>
                <w:color w:val="auto"/>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8" w:type="dxa"/>
          </w:tcPr>
          <w:p>
            <w:pPr>
              <w:rPr>
                <w:rFonts w:ascii="宋体" w:hAnsi="宋体"/>
                <w:color w:val="auto"/>
                <w:sz w:val="28"/>
                <w:szCs w:val="21"/>
              </w:rPr>
            </w:pPr>
            <w:r>
              <w:rPr>
                <w:rFonts w:hint="eastAsia" w:ascii="宋体" w:hAnsi="宋体"/>
                <w:color w:val="auto"/>
                <w:sz w:val="28"/>
                <w:szCs w:val="21"/>
              </w:rPr>
              <w:t>开户银行审批意见</w:t>
            </w:r>
          </w:p>
        </w:tc>
        <w:tc>
          <w:tcPr>
            <w:tcW w:w="5040" w:type="dxa"/>
          </w:tcPr>
          <w:p>
            <w:pPr>
              <w:rPr>
                <w:rFonts w:ascii="宋体" w:hAnsi="宋体"/>
                <w:color w:val="auto"/>
                <w:sz w:val="28"/>
                <w:szCs w:val="21"/>
              </w:rPr>
            </w:pPr>
          </w:p>
          <w:p>
            <w:pPr>
              <w:rPr>
                <w:rFonts w:ascii="宋体" w:hAnsi="宋体"/>
                <w:color w:val="auto"/>
                <w:sz w:val="28"/>
                <w:szCs w:val="21"/>
              </w:rPr>
            </w:pPr>
            <w:r>
              <w:rPr>
                <w:rFonts w:hint="eastAsia" w:ascii="宋体" w:hAnsi="宋体"/>
                <w:color w:val="auto"/>
                <w:sz w:val="28"/>
                <w:szCs w:val="21"/>
              </w:rPr>
              <w:t>经办人：</w:t>
            </w:r>
            <w:r>
              <w:rPr>
                <w:rFonts w:ascii="宋体" w:hAnsi="宋体"/>
                <w:color w:val="auto"/>
                <w:sz w:val="28"/>
                <w:szCs w:val="21"/>
              </w:rPr>
              <w:t xml:space="preserve"> </w:t>
            </w:r>
          </w:p>
          <w:p>
            <w:pPr>
              <w:rPr>
                <w:rFonts w:ascii="宋体" w:hAnsi="宋体"/>
                <w:color w:val="auto"/>
                <w:sz w:val="28"/>
                <w:szCs w:val="21"/>
              </w:rPr>
            </w:pPr>
          </w:p>
          <w:p>
            <w:pPr>
              <w:rPr>
                <w:rFonts w:ascii="宋体" w:hAnsi="宋体"/>
                <w:color w:val="auto"/>
                <w:sz w:val="28"/>
                <w:szCs w:val="21"/>
              </w:rPr>
            </w:pPr>
          </w:p>
          <w:p>
            <w:pPr>
              <w:rPr>
                <w:rFonts w:ascii="宋体" w:hAnsi="宋体"/>
                <w:color w:val="auto"/>
                <w:sz w:val="28"/>
                <w:szCs w:val="21"/>
              </w:rPr>
            </w:pPr>
            <w:r>
              <w:rPr>
                <w:rFonts w:hint="eastAsia" w:ascii="宋体" w:hAnsi="宋体"/>
                <w:color w:val="auto"/>
                <w:sz w:val="28"/>
                <w:szCs w:val="21"/>
              </w:rPr>
              <w:t>负责人：</w:t>
            </w:r>
          </w:p>
        </w:tc>
      </w:tr>
    </w:tbl>
    <w:p>
      <w:pPr>
        <w:rPr>
          <w:rFonts w:ascii="宋体" w:hAnsi="宋体"/>
          <w:color w:val="auto"/>
          <w:szCs w:val="21"/>
        </w:rPr>
      </w:pPr>
    </w:p>
    <w:p>
      <w:pPr>
        <w:ind w:left="1136" w:hanging="1136" w:hangingChars="539"/>
        <w:rPr>
          <w:rFonts w:ascii="宋体" w:hAnsi="宋体"/>
          <w:b/>
          <w:snapToGrid w:val="0"/>
          <w:color w:val="auto"/>
          <w:kern w:val="0"/>
          <w:szCs w:val="21"/>
        </w:rPr>
      </w:pPr>
      <w:r>
        <w:rPr>
          <w:rFonts w:hint="eastAsia" w:ascii="宋体" w:hAnsi="宋体"/>
          <w:b/>
          <w:snapToGrid w:val="0"/>
          <w:color w:val="auto"/>
          <w:kern w:val="0"/>
          <w:szCs w:val="21"/>
        </w:rPr>
        <w:t>备注： 1、本表适用甲方、乙方，一式六份。</w:t>
      </w:r>
    </w:p>
    <w:p>
      <w:pPr>
        <w:rPr>
          <w:rFonts w:ascii="宋体" w:hAnsi="宋体"/>
          <w:color w:val="auto"/>
          <w:sz w:val="24"/>
          <w:szCs w:val="24"/>
        </w:rPr>
      </w:pPr>
    </w:p>
    <w:p>
      <w:pPr>
        <w:rPr>
          <w:rFonts w:ascii="宋体" w:hAnsi="宋体"/>
          <w:color w:val="auto"/>
          <w:sz w:val="24"/>
          <w:szCs w:val="24"/>
        </w:rPr>
      </w:pPr>
    </w:p>
    <w:p>
      <w:pPr>
        <w:rPr>
          <w:rFonts w:ascii="宋体" w:hAnsi="宋体"/>
          <w:color w:val="auto"/>
          <w:sz w:val="24"/>
          <w:szCs w:val="24"/>
        </w:rPr>
      </w:pPr>
      <w:r>
        <w:rPr>
          <w:rFonts w:ascii="宋体" w:hAnsi="宋体"/>
          <w:color w:val="auto"/>
          <w:szCs w:val="21"/>
        </w:rPr>
        <w:br w:type="page"/>
      </w:r>
      <w:r>
        <w:rPr>
          <w:rFonts w:hint="eastAsia" w:ascii="宋体" w:hAnsi="宋体"/>
          <w:color w:val="auto"/>
          <w:sz w:val="24"/>
          <w:szCs w:val="24"/>
        </w:rPr>
        <w:t>附件四：</w:t>
      </w:r>
    </w:p>
    <w:p>
      <w:pPr>
        <w:jc w:val="center"/>
        <w:rPr>
          <w:rFonts w:ascii="宋体" w:hAnsi="宋体"/>
          <w:color w:val="auto"/>
          <w:sz w:val="24"/>
          <w:szCs w:val="24"/>
        </w:rPr>
      </w:pPr>
      <w:r>
        <w:rPr>
          <w:rFonts w:hint="eastAsia" w:ascii="宋体" w:hAnsi="宋体"/>
          <w:color w:val="auto"/>
          <w:sz w:val="24"/>
          <w:szCs w:val="24"/>
        </w:rPr>
        <w:t>项目资金支付审批流程概览</w:t>
      </w:r>
    </w:p>
    <w:p>
      <w:pPr>
        <w:rPr>
          <w:rFonts w:ascii="宋体" w:hAnsi="宋体"/>
          <w:color w:val="auto"/>
          <w:szCs w:val="21"/>
        </w:rPr>
      </w:pPr>
    </w:p>
    <w:p>
      <w:pPr>
        <w:rPr>
          <w:rFonts w:ascii="宋体" w:hAnsi="宋体"/>
          <w:color w:val="auto"/>
          <w:szCs w:val="21"/>
        </w:rPr>
        <w:sectPr>
          <w:pgSz w:w="11907" w:h="16840"/>
          <w:pgMar w:top="1134" w:right="1418" w:bottom="1134" w:left="1418" w:header="851" w:footer="992" w:gutter="0"/>
          <w:pgNumType w:fmt="decimal"/>
          <w:cols w:space="720" w:num="1"/>
          <w:docGrid w:linePitch="312" w:charSpace="0"/>
        </w:sectPr>
      </w:pPr>
      <w:r>
        <w:rPr>
          <w:rFonts w:ascii="宋体" w:hAnsi="宋体"/>
          <w:color w:val="auto"/>
          <w:sz w:val="24"/>
          <w:szCs w:val="24"/>
        </w:rPr>
        <mc:AlternateContent>
          <mc:Choice Requires="wpc">
            <w:drawing>
              <wp:inline distT="0" distB="0" distL="0" distR="0">
                <wp:extent cx="5875020" cy="8321040"/>
                <wp:effectExtent l="0" t="0" r="0" b="0"/>
                <wp:docPr id="47" name="画布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3086100" y="495300"/>
                            <a:ext cx="1257300" cy="826770"/>
                          </a:xfrm>
                          <a:prstGeom prst="rect">
                            <a:avLst/>
                          </a:prstGeom>
                          <a:solidFill>
                            <a:srgbClr val="FFFFFF"/>
                          </a:solidFill>
                          <a:ln w="9525">
                            <a:solidFill>
                              <a:srgbClr val="000000"/>
                            </a:solidFill>
                            <a:miter lim="800000"/>
                          </a:ln>
                          <a:effectLst/>
                        </wps:spPr>
                        <wps:txbx>
                          <w:txbxContent>
                            <w:p>
                              <w:pPr>
                                <w:rPr>
                                  <w:rFonts w:ascii="宋体" w:hAnsi="宋体"/>
                                  <w:sz w:val="24"/>
                                  <w:szCs w:val="24"/>
                                </w:rPr>
                              </w:pPr>
                              <w:r>
                                <w:rPr>
                                  <w:rFonts w:hint="eastAsia" w:ascii="宋体" w:hAnsi="宋体"/>
                                  <w:sz w:val="24"/>
                                  <w:szCs w:val="24"/>
                                </w:rPr>
                                <w:t>呈交每期资金使用计划</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800099" y="495300"/>
                            <a:ext cx="1028700" cy="396240"/>
                          </a:xfrm>
                          <a:prstGeom prst="rect">
                            <a:avLst/>
                          </a:prstGeom>
                          <a:solidFill>
                            <a:srgbClr val="FFFFFF"/>
                          </a:solidFill>
                          <a:ln w="9525">
                            <a:solidFill>
                              <a:srgbClr val="000000"/>
                            </a:solidFill>
                            <a:miter lim="800000"/>
                          </a:ln>
                          <a:effectLst/>
                        </wps:spPr>
                        <wps:txbx>
                          <w:txbxContent>
                            <w:p>
                              <w:pPr>
                                <w:jc w:val="center"/>
                                <w:rPr>
                                  <w:rFonts w:ascii="宋体" w:hAnsi="宋体"/>
                                  <w:sz w:val="24"/>
                                  <w:szCs w:val="24"/>
                                </w:rPr>
                              </w:pPr>
                              <w:r>
                                <w:rPr>
                                  <w:rFonts w:hint="eastAsia" w:ascii="宋体" w:hAnsi="宋体"/>
                                  <w:sz w:val="24"/>
                                  <w:szCs w:val="24"/>
                                </w:rPr>
                                <w:t>施工单位</w:t>
                              </w:r>
                            </w:p>
                          </w:txbxContent>
                        </wps:txbx>
                        <wps:bodyPr rot="0" vert="horz" wrap="square" lIns="91440" tIns="72000" rIns="91440" bIns="45720" anchor="t" anchorCtr="0" upright="1">
                          <a:noAutofit/>
                        </wps:bodyPr>
                      </wps:wsp>
                      <wps:wsp>
                        <wps:cNvPr id="4" name="Line 6"/>
                        <wps:cNvCnPr>
                          <a:cxnSpLocks noChangeShapeType="1"/>
                        </wps:cNvCnPr>
                        <wps:spPr bwMode="auto">
                          <a:xfrm>
                            <a:off x="1257300" y="891540"/>
                            <a:ext cx="635" cy="693420"/>
                          </a:xfrm>
                          <a:prstGeom prst="line">
                            <a:avLst/>
                          </a:prstGeom>
                          <a:noFill/>
                          <a:ln w="9525">
                            <a:solidFill>
                              <a:srgbClr val="000000"/>
                            </a:solidFill>
                            <a:round/>
                            <a:tailEnd type="triangle" w="med" len="med"/>
                          </a:ln>
                          <a:effectLst/>
                        </wps:spPr>
                        <wps:bodyPr/>
                      </wps:wsp>
                      <wps:wsp>
                        <wps:cNvPr id="5" name="Text Box 7"/>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pPr>
                                <w:jc w:val="center"/>
                                <w:rPr>
                                  <w:rFonts w:ascii="宋体" w:hAnsi="宋体"/>
                                  <w:sz w:val="24"/>
                                  <w:szCs w:val="24"/>
                                </w:rPr>
                              </w:pPr>
                              <w:r>
                                <w:rPr>
                                  <w:rFonts w:hint="eastAsia" w:ascii="宋体" w:hAnsi="宋体"/>
                                  <w:sz w:val="24"/>
                                  <w:szCs w:val="24"/>
                                </w:rPr>
                                <w:t>监理单位</w:t>
                              </w:r>
                            </w:p>
                          </w:txbxContent>
                        </wps:txbx>
                        <wps:bodyPr rot="0" vert="horz" wrap="square" lIns="91440" tIns="72000" rIns="91440" bIns="45720" anchor="t" anchorCtr="0" upright="1">
                          <a:noAutofit/>
                        </wps:bodyPr>
                      </wps:wsp>
                      <wps:wsp>
                        <wps:cNvPr id="6" name="Text Box 8"/>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pPr>
                                <w:jc w:val="center"/>
                                <w:rPr>
                                  <w:rFonts w:ascii="宋体" w:hAnsi="宋体"/>
                                  <w:sz w:val="24"/>
                                  <w:szCs w:val="24"/>
                                </w:rPr>
                              </w:pPr>
                              <w:r>
                                <w:rPr>
                                  <w:rFonts w:hint="eastAsia" w:ascii="宋体" w:hAnsi="宋体"/>
                                  <w:sz w:val="24"/>
                                  <w:szCs w:val="24"/>
                                </w:rPr>
                                <w:t>代业主单位（若有时）</w:t>
                              </w:r>
                            </w:p>
                            <w:p>
                              <w:pPr>
                                <w:rPr>
                                  <w:rFonts w:ascii="宋体" w:hAnsi="宋体"/>
                                  <w:sz w:val="24"/>
                                  <w:szCs w:val="24"/>
                                </w:rPr>
                              </w:pPr>
                            </w:p>
                          </w:txbxContent>
                        </wps:txbx>
                        <wps:bodyPr rot="0" vert="horz" wrap="square" lIns="91440" tIns="72000" rIns="91440" bIns="45720" anchor="t" anchorCtr="0" upright="1">
                          <a:noAutofit/>
                        </wps:bodyPr>
                      </wps:wsp>
                      <wps:wsp>
                        <wps:cNvPr id="16" name="Line 9"/>
                        <wps:cNvCnPr>
                          <a:cxnSpLocks noChangeShapeType="1"/>
                        </wps:cNvCnPr>
                        <wps:spPr bwMode="auto">
                          <a:xfrm>
                            <a:off x="1257300" y="3268980"/>
                            <a:ext cx="635" cy="693420"/>
                          </a:xfrm>
                          <a:prstGeom prst="line">
                            <a:avLst/>
                          </a:prstGeom>
                          <a:noFill/>
                          <a:ln w="9525">
                            <a:solidFill>
                              <a:srgbClr val="000000"/>
                            </a:solidFill>
                            <a:round/>
                            <a:tailEnd type="triangle" w="med" len="med"/>
                          </a:ln>
                          <a:effectLst/>
                        </wps:spPr>
                        <wps:bodyPr/>
                      </wps:wsp>
                      <wps:wsp>
                        <wps:cNvPr id="17" name="Line 10"/>
                        <wps:cNvCnPr>
                          <a:cxnSpLocks noChangeShapeType="1"/>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18" name="Line 11"/>
                        <wps:cNvCnPr>
                          <a:cxnSpLocks noChangeShapeType="1"/>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19" name="Line 12"/>
                        <wps:cNvCnPr>
                          <a:cxnSpLocks noChangeShapeType="1"/>
                        </wps:cNvCnPr>
                        <wps:spPr bwMode="auto">
                          <a:xfrm>
                            <a:off x="1714500" y="693420"/>
                            <a:ext cx="1371600" cy="635"/>
                          </a:xfrm>
                          <a:prstGeom prst="line">
                            <a:avLst/>
                          </a:prstGeom>
                          <a:noFill/>
                          <a:ln w="9525">
                            <a:solidFill>
                              <a:srgbClr val="000000"/>
                            </a:solidFill>
                            <a:round/>
                            <a:tailEnd type="triangle" w="med" len="med"/>
                          </a:ln>
                          <a:effectLst/>
                        </wps:spPr>
                        <wps:bodyPr/>
                      </wps:wsp>
                      <wps:wsp>
                        <wps:cNvPr id="20" name="Text Box 13"/>
                        <wps:cNvSpPr txBox="1">
                          <a:spLocks noChangeArrowheads="1"/>
                        </wps:cNvSpPr>
                        <wps:spPr bwMode="auto">
                          <a:xfrm>
                            <a:off x="2788920" y="1684020"/>
                            <a:ext cx="1501775" cy="647700"/>
                          </a:xfrm>
                          <a:prstGeom prst="rect">
                            <a:avLst/>
                          </a:prstGeom>
                          <a:solidFill>
                            <a:srgbClr val="FFFFFF"/>
                          </a:solidFill>
                          <a:ln w="9525">
                            <a:solidFill>
                              <a:srgbClr val="000000"/>
                            </a:solidFill>
                            <a:miter lim="800000"/>
                          </a:ln>
                          <a:effectLst/>
                        </wps:spPr>
                        <wps:txbx>
                          <w:txbxContent>
                            <w:p>
                              <w:pPr>
                                <w:rPr>
                                  <w:rFonts w:ascii="宋体" w:hAnsi="宋体"/>
                                  <w:sz w:val="24"/>
                                  <w:szCs w:val="24"/>
                                </w:rPr>
                              </w:pPr>
                              <w:r>
                                <w:rPr>
                                  <w:rFonts w:hint="eastAsia" w:ascii="宋体" w:hAnsi="宋体"/>
                                  <w:sz w:val="24"/>
                                  <w:szCs w:val="24"/>
                                </w:rPr>
                                <w:t>按照工程进度对资金使用计划初审</w:t>
                              </w:r>
                            </w:p>
                            <w:p>
                              <w:pPr>
                                <w:rPr>
                                  <w:rFonts w:ascii="宋体" w:hAnsi="宋体"/>
                                  <w:sz w:val="24"/>
                                  <w:szCs w:val="24"/>
                                </w:rPr>
                              </w:pPr>
                            </w:p>
                            <w:p>
                              <w:pPr>
                                <w:rPr>
                                  <w:rFonts w:ascii="宋体" w:hAnsi="宋体"/>
                                  <w:sz w:val="24"/>
                                  <w:szCs w:val="24"/>
                                </w:rPr>
                              </w:pPr>
                            </w:p>
                          </w:txbxContent>
                        </wps:txbx>
                        <wps:bodyPr rot="0" vert="horz" wrap="square" lIns="91440" tIns="45720" rIns="91440" bIns="45720" anchor="t" anchorCtr="0" upright="1">
                          <a:noAutofit/>
                        </wps:bodyPr>
                      </wps:wsp>
                      <wps:wsp>
                        <wps:cNvPr id="21" name="Text Box 14"/>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pPr>
                                <w:jc w:val="center"/>
                                <w:rPr>
                                  <w:rFonts w:ascii="宋体" w:hAnsi="宋体"/>
                                  <w:sz w:val="24"/>
                                  <w:szCs w:val="24"/>
                                </w:rPr>
                              </w:pPr>
                              <w:r>
                                <w:rPr>
                                  <w:rFonts w:hint="eastAsia" w:ascii="宋体" w:hAnsi="宋体"/>
                                  <w:sz w:val="24"/>
                                  <w:szCs w:val="24"/>
                                </w:rPr>
                                <w:t>区建管中心</w:t>
                              </w:r>
                            </w:p>
                          </w:txbxContent>
                        </wps:txbx>
                        <wps:bodyPr rot="0" vert="horz" wrap="square" lIns="91440" tIns="72000" rIns="91440" bIns="45720" anchor="t" anchorCtr="0" upright="1">
                          <a:noAutofit/>
                        </wps:bodyPr>
                      </wps:wsp>
                      <wps:wsp>
                        <wps:cNvPr id="25" name="Line 15"/>
                        <wps:cNvCnPr>
                          <a:cxnSpLocks noChangeShapeType="1"/>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26" name="Line 17"/>
                        <wps:cNvCnPr>
                          <a:cxnSpLocks noChangeShapeType="1"/>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27" name="Line 18"/>
                        <wps:cNvCnPr>
                          <a:cxnSpLocks noChangeShapeType="1"/>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28" name="Text Box 19"/>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pPr>
                                <w:jc w:val="center"/>
                                <w:rPr>
                                  <w:rFonts w:ascii="宋体" w:hAnsi="宋体"/>
                                  <w:sz w:val="24"/>
                                  <w:szCs w:val="24"/>
                                </w:rPr>
                              </w:pPr>
                              <w:r>
                                <w:rPr>
                                  <w:rFonts w:hint="eastAsia" w:ascii="宋体" w:hAnsi="宋体"/>
                                  <w:sz w:val="24"/>
                                  <w:szCs w:val="24"/>
                                </w:rPr>
                                <w:t>资金使用审批</w:t>
                              </w:r>
                            </w:p>
                          </w:txbxContent>
                        </wps:txbx>
                        <wps:bodyPr rot="0" vert="horz" wrap="square" lIns="91440" tIns="72000" rIns="91440" bIns="45720" anchor="t" anchorCtr="0" upright="1">
                          <a:noAutofit/>
                        </wps:bodyPr>
                      </wps:wsp>
                      <wps:wsp>
                        <wps:cNvPr id="29" name="Line 20"/>
                        <wps:cNvCnPr>
                          <a:cxnSpLocks noChangeShapeType="1"/>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30" name="Text Box 21"/>
                        <wps:cNvSpPr txBox="1">
                          <a:spLocks noChangeArrowheads="1"/>
                        </wps:cNvSpPr>
                        <wps:spPr bwMode="auto">
                          <a:xfrm>
                            <a:off x="3657600" y="6637020"/>
                            <a:ext cx="1211580" cy="396240"/>
                          </a:xfrm>
                          <a:prstGeom prst="rect">
                            <a:avLst/>
                          </a:prstGeom>
                          <a:solidFill>
                            <a:srgbClr val="FFFFFF"/>
                          </a:solidFill>
                          <a:ln w="9525">
                            <a:solidFill>
                              <a:srgbClr val="000000"/>
                            </a:solidFill>
                            <a:miter lim="800000"/>
                          </a:ln>
                          <a:effectLst/>
                        </wps:spPr>
                        <wps:txbx>
                          <w:txbxContent>
                            <w:p>
                              <w:pPr>
                                <w:jc w:val="center"/>
                                <w:rPr>
                                  <w:rFonts w:ascii="宋体" w:hAnsi="宋体"/>
                                  <w:sz w:val="24"/>
                                  <w:szCs w:val="24"/>
                                </w:rPr>
                              </w:pPr>
                              <w:r>
                                <w:rPr>
                                  <w:rFonts w:hint="eastAsia" w:ascii="宋体" w:hAnsi="宋体"/>
                                  <w:sz w:val="24"/>
                                  <w:szCs w:val="24"/>
                                </w:rPr>
                                <w:t>资金支付</w:t>
                              </w:r>
                            </w:p>
                          </w:txbxContent>
                        </wps:txbx>
                        <wps:bodyPr rot="0" vert="horz" wrap="square" lIns="91440" tIns="72000" rIns="91440" bIns="45720" anchor="t" anchorCtr="0" upright="1">
                          <a:noAutofit/>
                        </wps:bodyPr>
                      </wps:wsp>
                      <wps:wsp>
                        <wps:cNvPr id="31" name="Text Box 22"/>
                        <wps:cNvSpPr txBox="1">
                          <a:spLocks noChangeArrowheads="1"/>
                        </wps:cNvSpPr>
                        <wps:spPr bwMode="auto">
                          <a:xfrm>
                            <a:off x="3314700" y="5052060"/>
                            <a:ext cx="2286000" cy="1188720"/>
                          </a:xfrm>
                          <a:prstGeom prst="rect">
                            <a:avLst/>
                          </a:prstGeom>
                          <a:solidFill>
                            <a:srgbClr val="FFFFFF"/>
                          </a:solidFill>
                          <a:ln w="9525">
                            <a:solidFill>
                              <a:srgbClr val="000000"/>
                            </a:solidFill>
                            <a:miter lim="800000"/>
                          </a:ln>
                          <a:effectLst/>
                        </wps:spPr>
                        <wps:txbx>
                          <w:txbxContent>
                            <w:p>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wps:txbx>
                        <wps:bodyPr rot="0" vert="horz" wrap="square" lIns="91440" tIns="118800" rIns="91440" bIns="45720" anchor="t" anchorCtr="0" upright="1">
                          <a:noAutofit/>
                        </wps:bodyPr>
                      </wps:wsp>
                      <wps:wsp>
                        <wps:cNvPr id="32" name="Rectangle 26"/>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pPr>
                                <w:ind w:firstLine="600" w:firstLineChars="250"/>
                                <w:rPr>
                                  <w:rFonts w:ascii="宋体" w:hAnsi="宋体"/>
                                  <w:sz w:val="24"/>
                                  <w:szCs w:val="24"/>
                                </w:rPr>
                              </w:pPr>
                              <w:r>
                                <w:rPr>
                                  <w:rFonts w:hint="eastAsia" w:ascii="宋体" w:hAnsi="宋体"/>
                                  <w:sz w:val="24"/>
                                  <w:szCs w:val="24"/>
                                </w:rPr>
                                <w:t>开户行</w:t>
                              </w:r>
                            </w:p>
                          </w:txbxContent>
                        </wps:txbx>
                        <wps:bodyPr rot="0" vert="horz" wrap="square" lIns="91440" tIns="45720" rIns="91440" bIns="45720" anchor="t" anchorCtr="0" upright="1">
                          <a:noAutofit/>
                        </wps:bodyPr>
                      </wps:wsp>
                      <wps:wsp>
                        <wps:cNvPr id="33" name="Line 27"/>
                        <wps:cNvCnPr>
                          <a:cxnSpLocks noChangeShapeType="1"/>
                        </wps:cNvCnPr>
                        <wps:spPr bwMode="auto">
                          <a:xfrm>
                            <a:off x="4343400" y="6240780"/>
                            <a:ext cx="635" cy="396240"/>
                          </a:xfrm>
                          <a:prstGeom prst="line">
                            <a:avLst/>
                          </a:prstGeom>
                          <a:noFill/>
                          <a:ln w="9525">
                            <a:solidFill>
                              <a:srgbClr val="000000"/>
                            </a:solidFill>
                            <a:round/>
                            <a:tailEnd type="triangle" w="med" len="med"/>
                          </a:ln>
                          <a:effectLst/>
                        </wps:spPr>
                        <wps:bodyPr/>
                      </wps:wsp>
                      <wps:wsp>
                        <wps:cNvPr id="34" name="Rectangle 28"/>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r>
                                <w:rPr>
                                  <w:rFonts w:hint="eastAsia"/>
                                </w:rPr>
                                <w:t>出具划款通知书</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655.2pt;width:462.6pt;" coordsize="5875020,8321040" editas="canvas" o:gfxdata="UEsDBAoAAAAAAIdO4kAAAAAAAAAAAAAAAAAEAAAAZHJzL1BLAwQUAAAACACHTuJAdTqsRtgAAAAG&#10;AQAADwAAAGRycy9kb3ducmV2LnhtbE2PS0/DMBCE70j8B2uRuCBqJzwEIU4PlRAVQqpIH2c3XpKI&#10;eJ3GblL+PQsXuIy0mtHMt/n85Dox4hBaTxqSmQKBVHnbUq1hs36+fgARoiFrOk+o4QsDzIvzs9xk&#10;1k/0jmMZa8ElFDKjoYmxz6QMVYPOhJnvkdj78IMzkc+hlnYwE5e7TqZK3UtnWuKFxvS4aLD6LI9O&#10;w1Stxt367UWurnZLT4flYVFuX7W+vEjUE4iIp/gXhh98RoeCmfb+SDaITgM/En+Vvcf0LgWx59BN&#10;om5BFrn8j198A1BLAwQUAAAACACHTuJAqbj+eBYGAADhNQAADgAAAGRycy9lMm9Eb2MueG1s7Vtb&#10;bus2EP0v0D0Q+m8sUtTLiHNxm9ykBdI2aNIFyJJsC5VElaJjp7/dQhdToOspuo0OSUmWZfsmyI0V&#10;1FACJHpS5PDozJnh6PzDOkvRY8zLhOUTA5+ZBorzkEVJPp8Yvzxcf+MZqBRBHgUpy+OJ8RSXxoeL&#10;r786XxXjmLAFS6OYI2gkL8erYmIshCjGo1EZLuIsKM9YEedwcsZ4FgjY5fNRxIMVtJ6lI2KazmjF&#10;eFRwFsZlCUev9EmjapG/pEE2myVhfMXCZRbnQrfK4zQQMKRykRSlcaF6O5vFofhpNitjgdKJASMV&#10;6i88BLan8u/o4jwYz3lQLJKw6kLwki50xpQFSQ4PbZq6CkSAljzZaSpLQs5KNhNnIctGeiDKIjAK&#10;bHZsc8PZslBjmY9X86IxOkxUx+qvbjb88fGOoySaGNQ1UB5kMOP//vn3P3/9geAAWGdVzMdw0Q0v&#10;7os7Xh2Y6z054PWMZ/I/DAWtlV2fGrvGa4FCOGh7rm0SMHkI5zyLYJNWlg8XMD0794WLT8/cOaof&#10;PJL9a7qzKgCT5cZQ5ZcZ6n4RFLGyfyltUBmK1HZ6kOP7lq0R1YZSF0krIbGGw/ByKUiUxS0Lfy1R&#10;zi4XQT6PP3LOVos4iKB3WN4JY2hulQYvx6VsZLr6gUUwHcFSMNVQx9SW6TnYBKuCUalvW7Cp0Fxb&#10;HRPblQe11YnjuuqCxnTBuOCluIlZhuTGxODwtqgHBY+3pZAd21wip7hkaRJdJ2mqdvh8eply9BjA&#10;m3WtftRYOpelOVpNDN8mtrbFwSZM9bOviSwRQDhpkgF22heluexHrF7yqr+17bQVxXq6VoAtx1MW&#10;PYFJOdMEAPQHGwvGfzfQCl7+iVH+tgx4bKD0+xymxccUEIqE2qG2K7HL22em7TNBHkJTE0MYSG9e&#10;Cs0wy4In8wU8SQMhZx9hKmeJMq3squ5VBQDAre720QFs7QDYlnZvobAfAMvZ9P3D+DWJ59b4tXyH&#10;aNIY8GtI9/1y/AJ6pRVPB7+0xu9tksfIaWH3Mr/jkhTCdX7fYV3F5Q9PBRDqFunqW2rieJZ0G1KV&#10;nszHdu3IatJ1LFsTruNbFGhDs2jN3B3CTaH/nyPcnEm2hSaC8RvwKIiJPFKNiSBJP+UREsocgifg&#10;llIgP2DqLI6ABGNQhnJL9/5ZotU8Ji+WduyPyMDUWrE0nriSLI077YfIHM8GLlNEhm2P+k7XEw9M&#10;9iae+OSYzNkBsNdis/6kJHWwQ+FtAlIDn0vcLqth6mFqV8xmY1CezzDbICX3SsmTAzBuEKx8sd9C&#10;b7++2CKO52tUQkxQRY+DM+7RGeMmf6CggBVDVDHFkbCAZmlSfFeHV1UGoq3QsO9hUL8SlXtQsdFv&#10;h2OKQaK9NFm1P1mCIZuoNZpGhdLex0WFnOsaCy64rVqZeR7BO47NdKmU6SpHIulCK95Brx8lc4Yh&#10;2G+DgfTrLlpg2ERnG17AlosdCRaZpRywcOwsKhi6E7xhq4WH/sQvcT3PlxwA044dj8pM9ZbDwLaJ&#10;XbdSvw6FPOqgfodEagSxEt7F8PusBdgugFRDWGdKuxBuc9uQS331WsDJBXCwLrPlktsrAUdS7W19&#10;Vi9RAfVSy/acrj5rIrhBq/ewsLkdzENAB26wP63uU6tezrRMFxY3P8dhgz47tj7rhPPtxGTPxODa&#10;1OumdpoofxDrfZQ8NFF8s9ICsdyGHfoT65aFqVoUPpiqJhjWYKooblA6g9Jpyna2kw86yHsX72ZT&#10;6u1W67QV+tt7N0zkWyOl1+EqHlVcU4e2W5ed3tKxtZt+gGjuXRjNsV2VdpJZJ8dyd9MPA6MNq8f7&#10;ChGt3fQDaadU38cr26ZNzK52JwTkfJ1bxdiDReaaaA7k2ocV5L0ryNJ20o6nU81lNfW0P0P9qapE&#10;QqRd1CVhrBxXp6LrrepoW7kzKFM18U6o0fbMg6J8taI8vTrappBWrW2SfvMl1ILfKucra2PdLm6b&#10;3NlLMDusc3/ZOrfVFKW2WKydMzk2ixEb01pGQqmWA5qys4qFKQQdQ2AsQ77/y+cA6usW+PJHfYpR&#10;faUkPy1q76uq282XWR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HU6rEbYAAAABgEAAA8AAAAA&#10;AAAAAQAgAAAAIgAAAGRycy9kb3ducmV2LnhtbFBLAQIUABQAAAAIAIdO4kCpuP54FgYAAOE1AAAO&#10;AAAAAAAAAAEAIAAAACcBAABkcnMvZTJvRG9jLnhtbFBLBQYAAAAABgAGAFkBAACvCQAAAAA=&#10;">
                <o:lock v:ext="edit" aspectratio="f"/>
                <v:shape id="_x0000_s1026" o:spid="_x0000_s1026" style="position:absolute;left:0;top:0;height:8321040;width:5875020;" filled="f" stroked="f" coordsize="21600,21600" o:gfxdata="UEsDBAoAAAAAAIdO4kAAAAAAAAAAAAAAAAAEAAAAZHJzL1BLAwQUAAAACACHTuJAdTqsRtgAAAAG&#10;AQAADwAAAGRycy9kb3ducmV2LnhtbE2PS0/DMBCE70j8B2uRuCBqJzwEIU4PlRAVQqpIH2c3XpKI&#10;eJ3GblL+PQsXuIy0mtHMt/n85Dox4hBaTxqSmQKBVHnbUq1hs36+fgARoiFrOk+o4QsDzIvzs9xk&#10;1k/0jmMZa8ElFDKjoYmxz6QMVYPOhJnvkdj78IMzkc+hlnYwE5e7TqZK3UtnWuKFxvS4aLD6LI9O&#10;w1Stxt367UWurnZLT4flYVFuX7W+vEjUE4iIp/gXhh98RoeCmfb+SDaITgM/En+Vvcf0LgWx59BN&#10;om5BFrn8j198A1BLAwQUAAAACACHTuJArFd8BdIFAABcNQAADgAAAGRycy9lMm9Eb2MueG1s7Vtr&#10;b6s2GP4+af8B8X0NBnOLmh6dtTvbpO6itfsBDjgJGtjMkCbdr99rG6hDkrY7bagWkUopF8cY++F5&#10;n/fC5adtkVsPVFQZZzMbXTi2RVnC04wtZ/af91++i2yrqglLSc4ZndmPtLI/XX37zeWmnFKXr3ie&#10;UmFBJ6yabsqZvarrcjqZVMmKFqS64CVlcHLBRUFq2BXLSSrIBnov8onrOMFkw0VaCp7QqoKjN/qk&#10;3fQoXtMhXyyyhN7wZF1QVuteBc1JDbdUrbKysq/UaBcLmtS/LRYVra18ZsOd1uobLgLbc/k9ubok&#10;06Ug5SpLmiGQ1wyhd08FyRhctOvqhtTEWotsr6siSwSv+KK+SHgx0TeiZgTuAjm9ubkm7IHom0lg&#10;rtsBwtY79jtfynEz/iXLc5iNCfQ+lcfk/w2sNpWnc7bbSB9RbZs2mxLgUJUdMKq3DfFuRUqqlrGa&#10;Jr8+/C6sLJ3Zrm0xUgAo7+m2tr7nWwvLFZTXhkZ3JTSrt3AYcK1WoypvefJXZTF+vSJsST8LwTcr&#10;SlIYHZK/hDvofqr7qWQn880vPIXLkHXNVUfbhSjkDMCCWdC750QBcgBDjzMbx74HmwpIclSJvLrr&#10;h/KglUCDyA3CUDWYkGnbUSmq+kfKC0tuzGwBQFUXIg+3VS0HRqZtE3ndiudZKldI7Yjl/DoX1gMB&#10;UH9RH3UvvWY5szYzO/ZdX8/F0S4c9TnURZHV8KznWQF3YTbScKDq+WrGKydSzp2exXo73zYLM+fp&#10;I0yp4PrZA+aBjRUX/9jWBp67mV39vSaC2lb+M4NliRHG8kFVO9gPXdgR5pm5eYawBLqa2bVt6c3r&#10;Wj/c61JkyxVcSQOB8c+wlItMTa0cqh5VAwDArR72yQHs7QHYl/NuoHAYAMvVjOPj+HXcKGzx68WB&#10;C0uiQTni97/gF9ArZ/F88Itb/N5mjFqBgd1rJp99Mk227K7HuorL7x9LINQd0tU/aYnjRdLtSFVy&#10;aox8jUkybUk38HxNuEHsYaCNZwGbw/ifI9zOHkpL92YeFXzNUhgPmdYky39gqVWr6ahFBmYpB/ID&#10;pi5oCiRIQZTJLT36F4lW85hsLOdxOCKDqe5Z4tAAw3CWOIh84DJFZMiPcBz0LfHIZO9iic+OyYI9&#10;AEcfAmAcoADD0wSkBjbXDfushnCEsN8wm49Aeb7AbKOUPCglzw7AqEOwssWxgd5hbbHnBlGsUTka&#10;Y3B1hjfGKGzJTEEBKYZofIoTYcFa5Fn5U+teNW6xqdBQHCFQvxKVB1DxpN+O+8SjRHttnOhwsARB&#10;IE9rNI0Kpb1Piwq51i0WQjBbrTKLIhftGTYnxFKmqxiJ1O5a8R5xMEcwvBEM4OybYHCHNRcGGJ68&#10;sydeQF6IAgkWGS8bsXDqKCpMdM95Q56Bh+G8NzeMolhyACw7CiLsaLfdAIbvoDBs1G+AIY46qt8x&#10;kJqCr4T2MfwxuQA/RK2d05HSnubZ4bYxlvrVuYCzc+AgL7Njks1MwIlUu6nP2hQVUC/2/Cjo67Mu&#10;nDpq9QESm7vOPDh0oIaH0+ox9tp0pueEkNx8jsNGfXZqfdZz583A5MDEEPo46od2Oi9/FOtDlDx0&#10;XnxX84DMWN9wYt3zEFZJ4aOhahdBDqbx4kalMyqdrmxnN/ignbwPsW4+xtF+tc5pow/IlU+NlF7H&#10;q3hUcU3r2u40O7/UsbcffgBv7knvDMhogR+qsJOMOgVeuB9+GBltzB4fKkT09sMPrhlSHRDDhlX2&#10;Hd91+trddUHOt7FVhCJIMrdEcyTWPmaQD2aQ5dzJeTyfai6vq6f9A+pPVSWS5ZpFXRLGynD1Krre&#10;q47WiJ1BmaqD9lwN0zKPivKrFeX51dF2hbQqt+kOGy/BHvxJKpC6AWpjwz5uu9jZazA7pjbfltr0&#10;uqJUg8XMmMmpWcz1EW5lJJRqBaAppZw1slgIg9MxOsbS5fu/vA6g320pE/UqRvOCkHyrx9xXVbdP&#10;L0Vd/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DCAAAW0NvbnRlbnRfVHlwZXNdLnhtbFBLAQIUAAoAAAAAAIdO4kAAAAAAAAAAAAAAAAAGAAAA&#10;AAAAAAAAEAAAACUHAABfcmVscy9QSwECFAAUAAAACACHTuJAihRmPNEAAACUAQAACwAAAAAAAAAB&#10;ACAAAABJBwAAX3JlbHMvLnJlbHNQSwECFAAKAAAAAACHTuJAAAAAAAAAAAAAAAAABAAAAAAAAAAA&#10;ABAAAAAAAAAAZHJzL1BLAQIUABQAAAAIAIdO4kB1OqxG2AAAAAYBAAAPAAAAAAAAAAEAIAAAACIA&#10;AABkcnMvZG93bnJldi54bWxQSwECFAAUAAAACACHTuJArFd8BdIFAABcNQAADgAAAAAAAAABACAA&#10;AAAnAQAAZHJzL2Uyb0RvYy54bWxQSwUGAAAAAAYABgBZAQAAawkAAAAA&#10;">
                  <v:fill on="f" focussize="0,0"/>
                  <v:stroke on="f"/>
                  <v:imagedata o:title=""/>
                  <o:lock v:ext="edit" aspectratio="t"/>
                </v:shape>
                <v:shape id="Text Box 4" o:spid="_x0000_s1026" o:spt="202" type="#_x0000_t202" style="position:absolute;left:3086100;top:495300;height:826770;width:1257300;" fillcolor="#FFFFFF" filled="t" stroked="t" coordsize="21600,21600" o:gfxdata="UEsDBAoAAAAAAIdO4kAAAAAAAAAAAAAAAAAEAAAAZHJzL1BLAwQUAAAACACHTuJA/FMHvdcAAAAG&#10;AQAADwAAAGRycy9kb3ducmV2LnhtbE2PwU7DMBBE70j8g7VIXBC1k5bShjg9IIHgBqUqVzfeJhH2&#10;OsRuWv6ehQtcRlrNaOZtuTp5J0YcYhdIQzZRIJDqYDtqNGzeHq4XIGIyZI0LhBq+MMKqOj8rTWHD&#10;kV5xXKdGcAnFwmhoU+oLKWPdojdxEnok9vZh8CbxOTTSDubI5d7JXKm59KYjXmhNj/ct1h/rg9ew&#10;mD2N7/F5+rKt53u3TFe34+PnoPXlRabuQCQ8pb8w/OAzOlTMtAsHslE4DfxI+lX2lvlNDmLHoWmm&#10;ZiCrUv7Hr74BUEsDBBQAAAAIAIdO4kB3o4hSQQIAAJ8EAAAOAAAAZHJzL2Uyb0RvYy54bWytVNtu&#10;2zAMfR+wfxD0vtpxk6Yx6hRdiw4DugvQ7gMUWY6FSaJGKbG7rx8lp13QbUAf5geDlOjDw0PSF5ej&#10;NWyvMGhwDZ+dlJwpJ6HVbtvwbw+37845C1G4VhhwquGPKvDL9ds3F4OvVQU9mFYhIxAX6sE3vI/R&#10;10URZK+sCCfglaPLDtCKSC5uixbFQOjWFFVZnhUDYOsRpAqBTm+mS35AxNcAQtdpqW5A7qxycUJF&#10;ZUSkkkKvfeDrzLbrlIxfui6oyEzDqdKY35SE7E16F+sLUW9R+F7LAwXxGgovarJCO0r6DHUjomA7&#10;1H9AWS0RAnTxRIItpkKyIlTFrHyhzX0vvMq1kNTBP4se/h+s/Lz/iky3Da84c8JSwx/UGNl7GNk8&#10;qTP4UFPQvaewONIxzUyuNPg7kN8Dc3DdC7dVV4gw9Eq0xG6WviyOPp1wQgLZDJ+gpTRiFyEDjR3a&#10;JB2JwQj9tDw/m5XUn8eGz1eLUzJzkxIrmbJXi2U6ZJICzquz5TIHFKJ+AvIY4gcFliWj4UhDkBOJ&#10;/V2IiZion0JS3gBGt7famOzgdnNtkO0FDcxtfnItL8KMY0PDV4tqMWnxT4gyP3+DsDrSHhltqYrj&#10;IOMSD5Vn98A3CZm0m1SM42Y8NGYD7SNJijDNNW01GT3gT84GmumGhx87gYoz89FRW1az+TwtQXbm&#10;i2VFDh7fbI5vhJME1fDI2WRex2lxdh71tqdM0yA4uKJWdjpLm6hOrA4DQHObFT/sWFqMYz9H/f6v&#10;rH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MHvdcAAAAGAQAADwAAAAAAAAABACAAAAAiAAAA&#10;ZHJzL2Rvd25yZXYueG1sUEsBAhQAFAAAAAgAh07iQHejiFJBAgAAnwQAAA4AAAAAAAAAAQAgAAAA&#10;JgEAAGRycy9lMm9Eb2MueG1sUEsFBgAAAAAGAAYAWQEAANkFAAAAAA==&#10;">
                  <v:fill on="t" focussize="0,0"/>
                  <v:stroke color="#000000" miterlimit="8" joinstyle="miter"/>
                  <v:imagedata o:title=""/>
                  <o:lock v:ext="edit" aspectratio="f"/>
                  <v:textbox>
                    <w:txbxContent>
                      <w:p>
                        <w:pPr>
                          <w:rPr>
                            <w:rFonts w:ascii="宋体" w:hAnsi="宋体"/>
                            <w:sz w:val="24"/>
                            <w:szCs w:val="24"/>
                          </w:rPr>
                        </w:pPr>
                        <w:r>
                          <w:rPr>
                            <w:rFonts w:hint="eastAsia" w:ascii="宋体" w:hAnsi="宋体"/>
                            <w:sz w:val="24"/>
                            <w:szCs w:val="24"/>
                          </w:rPr>
                          <w:t>呈交每期资金使用计划</w:t>
                        </w:r>
                      </w:p>
                    </w:txbxContent>
                  </v:textbox>
                </v:shape>
                <v:shape id="Text Box 5" o:spid="_x0000_s1026" o:spt="202" type="#_x0000_t202" style="position:absolute;left:800099;top:495300;height:396240;width:102870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Dxe7tfQwIAAJ4EAAAOAAAAZHJzL2Uyb0RvYy54bWytVNtu2zAM&#10;fR+wfxD0vtpJk7Yx4hRdiw4DugvQ7gMUWY6FSaJGKbG7rx8lu13QbUAf5gdBlKjDw0PS68vBGnZQ&#10;GDS4ms9OSs6Uk9Bot6v5t4fbdxechShcIww4VfNHFfjl5u2bde8rNYcOTKOQEYgLVe9r3sXoq6II&#10;slNWhBPwytFlC2hFJBN3RYOiJ3RrinlZnhU9YOMRpAqBTm/GSz4h4msAoW21VDcg91a5OKKiMiJS&#10;SqHTPvBNZtu2SsYvbRtUZKbmlGnMKwWh/TatxWYtqh0K32k5URCvofAiJyu0o6DPUDciCrZH/QeU&#10;1RIhQBtPJNhiTCQrQlnMyhfa3HfCq5wLSR38s+jh/8HKz4evyHRT81POnLBU8Ac1RPYeBrZM6vQ+&#10;VOR078ktDnRMPZMzDf4O5PfAHFx3wu3UFSL0nRINsZull8XR0xEnJJBt/wkaCiP2ETLQ0KJN0pEY&#10;jNAvyrJcrTh7rPlitTwtpxolUjIFL+cX53TIJDmcrs7mi+xQiOoJx2OIHxRYljY1R+qBHEcc7kJM&#10;vET15JLCBjC6udXGZAN322uD7CCoX27zl1N54WYc62u+Ws6XoxT/hKBc6PsbhNWRxshoO2b87GRc&#10;4qFy6058k45JulHEOGyHqS5baB5JUYSxrWmoadMB/uSsp5auefixF6g4Mx8dVWU1W5BYLGbjnGaR&#10;DDy+2WZjsaQ7zoSTBFXz+LS9juPc7D3qXUeRxj5wcEWVbHWWNlEdWU31p7bNik8jlubi2M5ev38r&#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PCikJ1AAAAAYBAAAPAAAAAAAAAAEAIAAAACIAAABk&#10;cnMvZG93bnJldi54bWxQSwECFAAUAAAACACHTuJA8Xu7X0MCAACeBAAADgAAAAAAAAABACAAAAAj&#10;AQAAZHJzL2Uyb0RvYy54bWxQSwUGAAAAAAYABgBZAQAA2AUAAAAA&#10;">
                  <v:fill on="t" focussize="0,0"/>
                  <v:stroke color="#000000" miterlimit="8" joinstyle="miter"/>
                  <v:imagedata o:title=""/>
                  <o:lock v:ext="edit" aspectratio="f"/>
                  <v:textbox inset="2.54mm,2mm,2.54mm,1.27mm">
                    <w:txbxContent>
                      <w:p>
                        <w:pPr>
                          <w:jc w:val="center"/>
                          <w:rPr>
                            <w:rFonts w:ascii="宋体" w:hAnsi="宋体"/>
                            <w:sz w:val="24"/>
                            <w:szCs w:val="24"/>
                          </w:rPr>
                        </w:pPr>
                        <w:r>
                          <w:rPr>
                            <w:rFonts w:hint="eastAsia" w:ascii="宋体" w:hAnsi="宋体"/>
                            <w:sz w:val="24"/>
                            <w:szCs w:val="24"/>
                          </w:rPr>
                          <w:t>施工单位</w:t>
                        </w:r>
                      </w:p>
                    </w:txbxContent>
                  </v:textbox>
                </v:shape>
                <v:line id="Line 6" o:spid="_x0000_s1026" o:spt="20" style="position:absolute;left:1257300;top:891540;height:69342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kAaoRfYBAADnAwAADgAAAGRycy9lMm9Eb2MueG1srVNN&#10;bxshEL1X6n9A3Ov1d+OV1znYTS9paynpD8Aw60UFBgH22v++A7bTNL3k0D2sgJl5894bWN6frGFH&#10;CFGja/hoMOQMnESl3b7hP58fPt1xFpNwShh00PAzRH6/+vhh2fsaxtihURAYgbhY977hXUq+rqoo&#10;O7AiDtCDo2CLwYpE27CvVBA9oVtTjYfDedVjUD6ghBjpdHMJ8itieA8gtq2WsEF5sODSBTWAEYkk&#10;xU77yFeFbduCTD/aNkJipuGkNJU/NaH1Lv+r1VLU+yB8p+WVgngPhTearNCOmr5AbUQS7BD0P1BW&#10;y4AR2zSQaKuLkOIIqRgN33jz1AkPRQtZHf2L6fH/wcrvx21gWjV8ypkTlgb+qB2weXam97GmhLXb&#10;hqxNntyTf0T5KzKH6064PRSGz2dPZaNcUf1VkjfRE/6u/4aKcsQhYbHp1AabIckAdqLa8ezzZEgz&#10;OTf8bjGaTa+DgVNikuLzyYwzScH5YjIdl2Al6huIDzF9BbQsLxpuiH9pIo6PMWVSor6l5J4OH7Qx&#10;ZfDGsb7hi9l4VgoiGq1yMKfFsN+tTWBHka9O+YpCirxOC3hwqoAloc0Xp1gqdqSgySADPHewoDgz&#10;QO8try6UjMtdoNzRK8+bXxfnd6jO25CT8znNvyi53tV8wV7vS9af97n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hYutXYAAAABgEAAA8AAAAAAAAAAQAgAAAAIgAAAGRycy9kb3ducmV2LnhtbFBL&#10;AQIUABQAAAAIAIdO4kCQBqhF9gEAAOcDAAAOAAAAAAAAAAEAIAAAACcBAABkcnMvZTJvRG9jLnht&#10;bFBLBQYAAAAABgAGAFkBAACPBQAAAAA=&#10;">
                  <v:fill on="f" focussize="0,0"/>
                  <v:stroke color="#000000" joinstyle="round" endarrow="block"/>
                  <v:imagedata o:title=""/>
                  <o:lock v:ext="edit" aspectratio="f"/>
                </v:line>
                <v:shape id="Text Box 7" o:spid="_x0000_s1026" o:spt="202" type="#_x0000_t202" style="position:absolute;left:685800;top:1584960;height:396240;width:102870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BBCJl/RAIAAJ8EAAAOAAAAZHJzL2Uyb0RvYy54bWytVMFu2zAM&#10;vQ/YPwi6r3ayJE2MOkXXosOArhvQ7gMUWY6FSaJGKbG7rx8lu13RbUAP00EQLerx8ZH02flgDTsq&#10;DBpczWcnJWfKSWi029f82/31uzVnIQrXCANO1fxBBX6+ffvmrPeVmkMHplHICMSFqvc172L0VVEE&#10;2Skrwgl45eiyBbQikon7okHRE7o1xbwsV0UP2HgEqUKgr1fjJZ8Q8TWA0LZaqiuQB6tcHFFRGREp&#10;pdBpH/g2s21bJeOXtg0qMlNzyjTmnYLQeZf2Ynsmqj0K32k5URCvofAiJyu0o6BPUFciCnZA/QeU&#10;1RIhQBtPJNhiTCQrQlnMyhfa3HXCq5wLSR38k+jh/8HK2+NXZLqp+ZIzJywV/F4NkX2AgZ0mdXof&#10;KnK68+QWB/pMPZMzDf4G5PfAHFx2wu3VBSL0nRINsZull8WzpyNOSCC7/jM0FEYcImSgoUWbpCMx&#10;GKGv1st1SeV5IJjlerFZTUVKrGSKXs7Xp8lBksf7zWq+yA6FqB6BPIb4UYFl6VBzpCbIgcTxJsRE&#10;TFSPLiluAKOba21MNnC/uzTIjoIa5jqvnMsLN+NYX/PNcr4ctfgnRJnX3yCsjjRHRtuaU760Jifj&#10;Eg+Ve3fim4RM2o0qxmE3TIXZQfNAkiKMfU1TTYcO8CdnPfV0zcOPg0DFmfnkqCyb2YLEYjEbpzSM&#10;ZODzm102Fku640w4SVA1j4/HyzgOzsGj3ncUaWwEBxdUylZnaRPVkdXUANS3WfFpxtJgPLez1+//&#10;yv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wopCdQAAAAGAQAADwAAAAAAAAABACAAAAAiAAAA&#10;ZHJzL2Rvd25yZXYueG1sUEsBAhQAFAAAAAgAh07iQEEImX9EAgAAnwQAAA4AAAAAAAAAAQAgAAAA&#10;IwEAAGRycy9lMm9Eb2MueG1sUEsFBgAAAAAGAAYAWQEAANkFAAAAAA==&#10;">
                  <v:fill on="t" focussize="0,0"/>
                  <v:stroke color="#000000" miterlimit="8" joinstyle="miter"/>
                  <v:imagedata o:title=""/>
                  <o:lock v:ext="edit" aspectratio="f"/>
                  <v:textbox inset="2.54mm,2mm,2.54mm,1.27mm">
                    <w:txbxContent>
                      <w:p>
                        <w:pPr>
                          <w:jc w:val="center"/>
                          <w:rPr>
                            <w:rFonts w:ascii="宋体" w:hAnsi="宋体"/>
                            <w:sz w:val="24"/>
                            <w:szCs w:val="24"/>
                          </w:rPr>
                        </w:pPr>
                        <w:r>
                          <w:rPr>
                            <w:rFonts w:hint="eastAsia" w:ascii="宋体" w:hAnsi="宋体"/>
                            <w:sz w:val="24"/>
                            <w:szCs w:val="24"/>
                          </w:rPr>
                          <w:t>监理单位</w:t>
                        </w:r>
                      </w:p>
                    </w:txbxContent>
                  </v:textbox>
                </v:shape>
                <v:shape id="Text Box 8" o:spid="_x0000_s1026" o:spt="202" type="#_x0000_t202" style="position:absolute;left:461645;top:2872740;height:513080;width:1481455;"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AAUC0ERAIAAJ8EAAAOAAAAZHJzL2Uyb0RvYy54bWytVFFv0zAQ&#10;fkfiP1h+p2lK2nVR02l0GkIaA2njB7iO01jYPmO7Tcqv5+ykoyog7YE8WD77/N13391lddNrRQ7C&#10;eQmmovlkSokwHGppdhX99nz/bkmJD8zUTIERFT0KT2/Wb9+sOluKGbSgauEIghhfdraibQi2zDLP&#10;W6GZn4AVBi8bcJoFNN0uqx3rEF2rbDadLrIOXG0dcOE9nt4Nl3REdK8BhKaRXNwB32thwoDqhGIB&#10;U/KttJ6uE9umETx8aRovAlEVxUxDWjEI7rdxzdYrVu4cs63kIwX2GgoXOWkmDQZ9gbpjgZG9k39A&#10;ackdeGjChIPOhkSSIphFPr3Q5qllVqRcUGpvX0T3/w+WPx6+OiLrii4oMUxjwZ9FH8gH6MkyqtNZ&#10;X6LTk0W30OMx9kzK1NsH4N89MbBpmdmJW+egawWrkV0eX2ZnTwccH0G23WeoMQzbB0hAfeN0lA7F&#10;IIheLPJFMafkWNHZ8mp2VYxFiqx4jF4s82KODhw95vn76TI5ZKw8AVnnw0cBmsRNRR02QQrEDg8+&#10;RGKsPLnEuB6UrO+lUslwu+1GOXJg2DD36Uu5XLgpQ7qKXs9n80GLf0JM0/c3CC0DzpGSuqLLcydl&#10;Ig+RenfkG4WM2g0qhn7bj4XZQn1ESR0MfY1TjZsW3E9KOuzpivofe+YEJeqTwbJc5wWqSUIyrnAY&#10;0XDnN9tkFHO8o4QZjlAVDaftJgyDs7dO7lqMNDSCgVssZSOTtJHqwGpsAOzbpPg4Y3Ewzu3k9fu/&#10;sv4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wopCdQAAAAGAQAADwAAAAAAAAABACAAAAAiAAAA&#10;ZHJzL2Rvd25yZXYueG1sUEsBAhQAFAAAAAgAh07iQABQLQREAgAAnwQAAA4AAAAAAAAAAQAgAAAA&#10;IwEAAGRycy9lMm9Eb2MueG1sUEsFBgAAAAAGAAYAWQEAANkFAAAAAA==&#10;">
                  <v:fill on="t" focussize="0,0"/>
                  <v:stroke color="#000000" miterlimit="8" joinstyle="miter"/>
                  <v:imagedata o:title=""/>
                  <o:lock v:ext="edit" aspectratio="f"/>
                  <v:textbox inset="2.54mm,2mm,2.54mm,1.27mm">
                    <w:txbxContent>
                      <w:p>
                        <w:pPr>
                          <w:jc w:val="center"/>
                          <w:rPr>
                            <w:rFonts w:ascii="宋体" w:hAnsi="宋体"/>
                            <w:sz w:val="24"/>
                            <w:szCs w:val="24"/>
                          </w:rPr>
                        </w:pPr>
                        <w:r>
                          <w:rPr>
                            <w:rFonts w:hint="eastAsia" w:ascii="宋体" w:hAnsi="宋体"/>
                            <w:sz w:val="24"/>
                            <w:szCs w:val="24"/>
                          </w:rPr>
                          <w:t>代业主单位（若有时）</w:t>
                        </w:r>
                      </w:p>
                      <w:p>
                        <w:pPr>
                          <w:rPr>
                            <w:rFonts w:ascii="宋体" w:hAnsi="宋体"/>
                            <w:sz w:val="24"/>
                            <w:szCs w:val="24"/>
                          </w:rPr>
                        </w:pPr>
                      </w:p>
                    </w:txbxContent>
                  </v:textbox>
                </v:shape>
                <v:line id="Line 9" o:spid="_x0000_s1026" o:spt="20" style="position:absolute;left:1257300;top:3268980;height:69342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ZUjVjPgBAADpAwAADgAAAGRycy9lMm9Eb2MueG1srVNN&#10;kxohEL2nKv+B4h7Hj2h0ynEPms3FJFbt5gcg9DhUgKYAHf33adD9yOayh8xhCujXr/s9muXd2Rp2&#10;ghA1uoaPBkPOwElU2h0a/uvx/tOcs5iEU8Kgg4ZfIPK71ccPy97XMMYOjYLAiMTFuvcN71LydVVF&#10;2YEVcYAeHAVbDFYk2oZDpYLoid2aajwczqoeg/IBJcRIp5trkN8Yw3sIsW21hA3KowWXrqwBjEgk&#10;KXbaR74q3bYtyPSzbSMkZhpOSlP5UxFa7/O/Wi1FfQjCd1reWhDvaeGNJiu0o6LPVBuRBDsG/Q+V&#10;1TJgxDYNJNrqKqQ4QipGwzfePHTCQ9FCVkf/bHr8f7Tyx2kXmFY0CTPOnLB041vtgC2yNb2PNSHW&#10;bheyOHl2D36L8ndkDtedcAcoLT5ePKWNckb1V0reRE8F9v13VIQRx4TFp3MbbKYkB9iZcsfTL5Mh&#10;Xcql4ZPxbL6Y364GzolJAswmU84kRWeLyedxCVaifmLxIaZvgJblRcMNCShVxGkbU+5K1E+QXNTh&#10;vTamXL1xrG/4YjqeloSIRqsczLAYDvu1Cewk8vCUr0ikyGtYwKNThSwJbb46xVLxIwVNDhnguYIF&#10;xZkBenF5dW3JuFwFypTe+nwy7Gr9HtVlFzI4n9MEFCW3ac0j9npfUC8vdP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i61dgAAAAGAQAADwAAAAAAAAABACAAAAAiAAAAZHJzL2Rvd25yZXYueG1s&#10;UEsBAhQAFAAAAAgAh07iQGVI1Yz4AQAA6QMAAA4AAAAAAAAAAQAgAAAAJwEAAGRycy9lMm9Eb2Mu&#10;eG1sUEsFBgAAAAAGAAYAWQEAAJEFAAAAAA==&#10;">
                  <v:fill on="f" focussize="0,0"/>
                  <v:stroke color="#000000" joinstyle="round" endarrow="block"/>
                  <v:imagedata o:title=""/>
                  <o:lock v:ext="edit" aspectratio="f"/>
                </v:line>
                <v:line id="Line 10" o:spid="_x0000_s1026" o:spt="20" style="position:absolute;left:1257300;top:1981200;flip:x;height:891540;width:635;" filled="f" stroked="t" coordsize="21600,21600" o:gfxdata="UEsDBAoAAAAAAIdO4kAAAAAAAAAAAAAAAAAEAAAAZHJzL1BLAwQUAAAACACHTuJAcodWQNcAAAAG&#10;AQAADwAAAGRycy9kb3ducmV2LnhtbE2PwU7DMBBE70j8g7VI3Kid0KI2xOkBgcQJQYuQenNjk4TG&#10;62Bvm8LXs+UCl5FWM5p5Wy6PvhcHF1MXUEM2USAc1sF22Gh4XT9czUEkMmhNH9Bp+HIJltX5WWkK&#10;G0Z8cYcVNYJLMBVGQ0s0FFKmunXepEkYHLL3HqI3xGdspI1m5HLfy1ypG+lNh7zQmsHdta7erfZe&#10;w2I9zsJz3L1Ns+5z833/QcPjE2l9eZGpWxDkjvQXhhM+o0PFTNuwR5tEr4EfoV9lb5HPchBbDl1n&#10;agqyKuV//OoHUEsDBBQAAAAIAIdO4kDrUsw4/wEAAPQDAAAOAAAAZHJzL2Uyb0RvYy54bWytU8Fy&#10;2yAQvXem/8Bwr2U5dWJrLOdgN+3BbTKT9AMwrCymwDKALfvvu2A3SdNLDtWBYbXL232Px+L2aA07&#10;QIgaXcvr0ZgzcBKVdruW/3y6+zTjLCbhlDDooOUniPx2+fHDYvANTLBHoyAwAnGxGXzL+5R8U1VR&#10;9mBFHKEHR8kOgxWJwrCrVBADoVtTTcbj62rAoHxACTHS3/U5yS+I4T2A2HVawhrl3oJLZ9QARiSi&#10;FHvtI1+WabsOZLrvugiJmZYT01RWakL7bV6r5UI0uyB8r+VlBPGeEd5wskI7avoMtRZJsH3Q/0BZ&#10;LQNG7NJIoq3ORIoixKIev9HmsRceCheSOvpn0eP/g5U/Dg+BaUVOuOHMCUs3vtEOWF20GXxsqGTl&#10;HkJmJ4/u0W9Q/orM4aoXbgdlxqeTp3N1VrP660gOoqcO2+E7KqoR+4RFqGMXLOuM9t/ywQxOYrAj&#10;BZPpzdWY7udE+/msJs+cbwmOiUkquL6aciYpO5vX088lWYkm42UUH2L6CmhZ3rTcEJeCLg6bmPJ8&#10;LyW53OGdNqa4wDg2tHw+nUzLgYhGq5zMZTHstisT2EFkH5WvkKXM67KAe6cKWBLafHGKpaJMCpq0&#10;MsBzBwuKMwP0+PLuPJJxuQsUw17m/CNdtnJstqhODyEX54jMUJhcjJvd9jouVS+Pd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odWQNcAAAAGAQAADwAAAAAAAAABACAAAAAiAAAAZHJzL2Rvd25y&#10;ZXYueG1sUEsBAhQAFAAAAAgAh07iQOtSzDj/AQAA9AMAAA4AAAAAAAAAAQAgAAAAJgEAAGRycy9l&#10;Mm9Eb2MueG1sUEsFBgAAAAAGAAYAWQEAAJcFAAAAAA==&#10;">
                  <v:fill on="f" focussize="0,0"/>
                  <v:stroke color="#000000" joinstyle="round" endarrow="block"/>
                  <v:imagedata o:title=""/>
                  <o:lock v:ext="edit" aspectratio="f"/>
                </v:line>
                <v:line id="Line 11" o:spid="_x0000_s1026" o:spt="20" style="position:absolute;left:1714500;top:1882140;height:635;width:107442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ex+3p/QBAADrAwAADgAAAGRycy9lMm9Eb2MueG1srVPL&#10;btswELwX6D8QvNeSXDtJBcs52E0vbmsg6QfQ5MoiyhdI2pL/vktKTpr0kkN1EPiYnd2ZXa7uB63I&#10;GXyQ1jS0mpWUgOFWSHNs6K+nh093lITIjGDKGmjoBQK9X3/8sOpdDXPbWSXAEyQxoe5dQ7sYXV0U&#10;gXegWZhZBwYvW+s1i7j1x0J41iO7VsW8LG+K3nrhvOUQAp5ux0s6Mfr3ENq2lRy2lp80mDiyelAs&#10;oqTQSRfoOlfbtsDjz7YNEIlqKCqN+Y9JcH1I/2K9YvXRM9dJPpXA3lPCG02aSYNJn6m2LDJy8vIf&#10;Ki25t8G2ccatLkYh2RFUUZVvvHnsmIOsBa0O7tn08P9o+Y/z3hMpcBKw74Zp7PhOGiBVlbzpXagR&#10;sjF7n9TxwTy6neW/AzF20zFzhFzj08VhXI4oXoWkTXCY4dB/twIx7BRtNmpovU6UaAEZMPa2WixL&#10;7MolVXI3rxZTb2CIhCdAebtYzBHAEXHzeZmqK1h9pXE+xG9gNUmLhiqUkNOw8y7EEXqFpKzGPkil&#10;cvOVIX1DvyznyxwQrJIiXSZY8MfDRnlyZml88jflfQXz9mREJotMqq9GkJgNiV6iRQpoyqBBUKIA&#10;31xajSUpk7JAntOpzqtjo/cHKy57n8DpHGcgi57mNQ3Z3/uMenmj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YWLrV2AAAAAYBAAAPAAAAAAAAAAEAIAAAACIAAABkcnMvZG93bnJldi54bWxQSwEC&#10;FAAUAAAACACHTuJAex+3p/QBAADrAwAADgAAAAAAAAABACAAAAAnAQAAZHJzL2Uyb0RvYy54bWxQ&#10;SwUGAAAAAAYABgBZAQAAjQUAAAAA&#10;">
                  <v:fill on="f" focussize="0,0"/>
                  <v:stroke color="#000000" joinstyle="round" endarrow="block"/>
                  <v:imagedata o:title=""/>
                  <o:lock v:ext="edit" aspectratio="f"/>
                </v:line>
                <v:line id="Line 12" o:spid="_x0000_s1026" o:spt="20" style="position:absolute;left:1714500;top:693420;height:635;width:137160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1RqgRPUBAADqAwAADgAAAGRycy9lMm9Eb2MueG1srVPB&#10;ctowEL13pv+g0b0YQyDFg8kBml5oy0zSDxDyGmsqaTWSwPD3XQmTNuklh/rgkbS77+17Wi0fzkaz&#10;E/ig0Na8HI05AyuxUfZQ85/Pj58+cxaisI3QaKHmFwj8YfXxw7J3FUywQ92AZwRiQ9W7mncxuqoo&#10;guzAiDBCB5aCLXojIm39oWi86And6GIyHs+LHn3jPEoIgU431yAfEP17ALFtlYQNyqMBG6+oHrSI&#10;JCl0ygW+yt22Lcj4o20DRKZrTkpj/hMJrffpX6yWojp44TolhxbEe1p4o8kIZYn0BWojomBHr/6B&#10;Mkp6DNjGkURTXIVkR0hFOX7jzVMnHGQtZHVwL6aH/wcrv592nqmGJmHBmRWGbnyrLLBykrzpXago&#10;ZW13PqmTZ/vktih/BWZx3Ql7gNzj88VRXZkqilclaRMcMez7b9hQjjhGzEadW28SJFnAzlR7X97N&#10;xnQrl5rPF9O7yXA1cI5Mpvj0vpynuEwJ01mmEtUNxfkQvwIalhY116Qgs4jTNsTUlahuKYnU4qPS&#10;Ot+9tqyv+WI2meWCgFo1KZjSgj/s19qzk0jTk7+B91Wax6NtMlgUSn+xDYvZj+gVOaSBJwYDDWca&#10;6Mml1bUlbRML5DEd+rwZdrV+j81l51NyOqcRyEqGcU0z9vc+Z/15o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Fi61dgAAAAGAQAADwAAAAAAAAABACAAAAAiAAAAZHJzL2Rvd25yZXYueG1sUEsB&#10;AhQAFAAAAAgAh07iQNUaoET1AQAA6gMAAA4AAAAAAAAAAQAgAAAAJwEAAGRycy9lMm9Eb2MueG1s&#10;UEsFBgAAAAAGAAYAWQEAAI4FAAAAAA==&#10;">
                  <v:fill on="f" focussize="0,0"/>
                  <v:stroke color="#000000" joinstyle="round" endarrow="block"/>
                  <v:imagedata o:title=""/>
                  <o:lock v:ext="edit" aspectratio="f"/>
                </v:line>
                <v:shape id="Text Box 13" o:spid="_x0000_s1026" o:spt="202" type="#_x0000_t202" style="position:absolute;left:2788920;top:1684020;height:647700;width:1501775;" fillcolor="#FFFFFF" filled="t" stroked="t" coordsize="21600,21600" o:gfxdata="UEsDBAoAAAAAAIdO4kAAAAAAAAAAAAAAAAAEAAAAZHJzL1BLAwQUAAAACACHTuJA/FMHvdcAAAAG&#10;AQAADwAAAGRycy9kb3ducmV2LnhtbE2PwU7DMBBE70j8g7VIXBC1k5bShjg9IIHgBqUqVzfeJhH2&#10;OsRuWv6ehQtcRlrNaOZtuTp5J0YcYhdIQzZRIJDqYDtqNGzeHq4XIGIyZI0LhBq+MMKqOj8rTWHD&#10;kV5xXKdGcAnFwmhoU+oLKWPdojdxEnok9vZh8CbxOTTSDubI5d7JXKm59KYjXmhNj/ct1h/rg9ew&#10;mD2N7/F5+rKt53u3TFe34+PnoPXlRabuQCQ8pb8w/OAzOlTMtAsHslE4DfxI+lX2lvlNDmLHoWmm&#10;ZiCrUv7Hr74BUEsDBBQAAAAIAIdO4kAGhCAhQwIAAKIEAAAOAAAAZHJzL2Uyb0RvYy54bWytVMFu&#10;2zAMvQ/YPwi6r3aypEmNOkWXosOArhvQ7gMUWY6FSaJGKbG7rx8lp12QbUAP80GgJOrx8ZH05dVg&#10;DdsrDBpczSdnJWfKSWi029b82+PtuyVnIQrXCANO1fxJBX61evvmsveVmkIHplHICMSFqvc172L0&#10;VVEE2Skrwhl45eiyBbQi0ha3RYOiJ3RrimlZnhc9YOMRpAqBTm/GS35AxNcAQttqqW5A7qxycURF&#10;ZUSklEKnfeCrzLZtlYxf2jaoyEzNKdOYVwpC9iatxepSVFsUvtPyQEG8hsJJTlZoR0FfoG5EFGyH&#10;+g8oqyVCgDaeSbDFmEhWhLKYlCfaPHTCq5wLSR38i+jh/8HK+/1XZLqp+ZQkccJSxR/VENkHGNjk&#10;fdKn96EitwdPjnGgc+qanGvwdyC/B+Zg3Qm3VdeI0HdKNMRvkl4WR09HnJBANv1naCiO2EXIQEOL&#10;NolHcjBCny6Wy4tE54lwzpezkuxcp8RLpvDzcrJYzDmT5HE+WyzK7FCI6hnJY4gfFViWjJoj9UGO&#10;JPZ3ISZmonp2SYEDGN3camPyBrebtUG2F9Qzt/nLyZy4Gcf6ml/Mp/NRjH9ClPn7G4TVkUbJaFvz&#10;5bGTcYmHyu174JuUTOKNMsZhMxwqs4HmiTRFGFubBpuMDvAnZz21dc3Dj51AxZn55KguF5PZLM1B&#10;3szmiyQzHt9sjm+EkwRV88jZaK7jODs7j3rbUaSxExxcUy1bnaVNVEdWhw6g1s2KH8YszcbxPnv9&#10;/rW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8Uwe91wAAAAYBAAAPAAAAAAAAAAEAIAAAACIA&#10;AABkcnMvZG93bnJldi54bWxQSwECFAAUAAAACACHTuJABoQgIUMCAACiBAAADgAAAAAAAAABACAA&#10;AAAmAQAAZHJzL2Uyb0RvYy54bWxQSwUGAAAAAAYABgBZAQAA2wUAAAAA&#10;">
                  <v:fill on="t" focussize="0,0"/>
                  <v:stroke color="#000000" miterlimit="8" joinstyle="miter"/>
                  <v:imagedata o:title=""/>
                  <o:lock v:ext="edit" aspectratio="f"/>
                  <v:textbox>
                    <w:txbxContent>
                      <w:p>
                        <w:pPr>
                          <w:rPr>
                            <w:rFonts w:ascii="宋体" w:hAnsi="宋体"/>
                            <w:sz w:val="24"/>
                            <w:szCs w:val="24"/>
                          </w:rPr>
                        </w:pPr>
                        <w:r>
                          <w:rPr>
                            <w:rFonts w:hint="eastAsia" w:ascii="宋体" w:hAnsi="宋体"/>
                            <w:sz w:val="24"/>
                            <w:szCs w:val="24"/>
                          </w:rPr>
                          <w:t>按照工程进度对资金使用计划初审</w:t>
                        </w:r>
                      </w:p>
                      <w:p>
                        <w:pPr>
                          <w:rPr>
                            <w:rFonts w:ascii="宋体" w:hAnsi="宋体"/>
                            <w:sz w:val="24"/>
                            <w:szCs w:val="24"/>
                          </w:rPr>
                        </w:pPr>
                      </w:p>
                      <w:p>
                        <w:pPr>
                          <w:rPr>
                            <w:rFonts w:ascii="宋体" w:hAnsi="宋体"/>
                            <w:sz w:val="24"/>
                            <w:szCs w:val="24"/>
                          </w:rPr>
                        </w:pPr>
                      </w:p>
                    </w:txbxContent>
                  </v:textbox>
                </v:shape>
                <v:shape id="Text Box 14" o:spid="_x0000_s1026" o:spt="202" type="#_x0000_t202" style="position:absolute;left:571500;top:3962400;height:396240;width:137160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D1uvfgQQIAAKEEAAAOAAAAZHJzL2Uyb0RvYy54bWytVNtu2zAM&#10;fR+wfxD0vjpOk16MOkXXosOArhvQ7gMUWY6FSaJGKbG7rx8lO13WbUAf5geDtKjDw0PSF5eDNWyn&#10;MGhwNS+PZpwpJ6HRblPzr4+37844C1G4RhhwquZPKvDL1ds3F72v1Bw6MI1CRiAuVL2veRejr4oi&#10;yE5ZEY7AK0eHLaAVkVzcFA2KntCtKeaz2UnRAzYeQaoQ6OvNeMgnRHwNILStluoG5NYqF0dUVEZE&#10;Kil02ge+ymzbVsn4uW2DiszUnCqN+U1JyF6nd7G6ENUGhe+0nCiI11B4UZMV2lHSZ6gbEQXbov4D&#10;ymqJEKCNRxJsMRaSFaEqytkLbR464VWuhaQO/ln08P9g5f3uCzLd1HxecuaEpY4/qiGy9zCwcpH0&#10;6X2oKOzBU2Ac6DtNTa41+DuQ3wJzcN0Jt1FXiNB3SjTEr0w3i4OrI05IIOv+EzSUR2wjZKChRZvE&#10;IzkYoS9Py+WMGvRU8+Pzk/mC7NymREum7Men5UkKkM8ROZuo9kAeQ/ygwLJk1BxpDHIisbsLMRET&#10;1T4k5Q1gdHOrjckObtbXBtlO0Mjc5mdC/y3MONbX/Hw5X45a/BNilp+/QVgdaZOMtjU/OwwyLvFQ&#10;eXonvknIpN2oYhzWw9SYNTRPJCnCONm012R0gD8462mqax6+bwUqzsxHR205LxeLtAbZOaV1JAcP&#10;T9bZWSzpjDPhJEHVPO7N6ziuztaj3nSUaRwEB1fUylZnaRPVkdU0ADS5WfFpy9JqHPo56tefZf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wopCdQAAAAGAQAADwAAAAAAAAABACAAAAAiAAAAZHJz&#10;L2Rvd25yZXYueG1sUEsBAhQAFAAAAAgAh07iQPW69+BBAgAAoQQAAA4AAAAAAAAAAQAgAAAAIwEA&#10;AGRycy9lMm9Eb2MueG1sUEsFBgAAAAAGAAYAWQEAANYFAAAAAA==&#10;">
                  <v:fill on="t" focussize="0,0"/>
                  <v:stroke color="#000000" miterlimit="8" joinstyle="miter"/>
                  <v:imagedata o:title=""/>
                  <o:lock v:ext="edit" aspectratio="f"/>
                  <v:textbox inset="2.54mm,2mm,2.54mm,1.27mm">
                    <w:txbxContent>
                      <w:p>
                        <w:pPr>
                          <w:jc w:val="center"/>
                          <w:rPr>
                            <w:rFonts w:ascii="宋体" w:hAnsi="宋体"/>
                            <w:sz w:val="24"/>
                            <w:szCs w:val="24"/>
                          </w:rPr>
                        </w:pPr>
                        <w:r>
                          <w:rPr>
                            <w:rFonts w:hint="eastAsia" w:ascii="宋体" w:hAnsi="宋体"/>
                            <w:sz w:val="24"/>
                            <w:szCs w:val="24"/>
                          </w:rPr>
                          <w:t>区建管中心</w:t>
                        </w:r>
                      </w:p>
                    </w:txbxContent>
                  </v:textbox>
                </v:shape>
                <v:line id="Line 15" o:spid="_x0000_s1026" o:spt="20" style="position:absolute;left:1257300;top:4358640;height:89154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LpKKnPcBAADqAwAADgAAAGRycy9lMm9Eb2MueG1srVNN&#10;b9swDL0P2H8QdF+cj7pLjTg9JOsu2Rag3Q9QJDoWJouCpMTJvx8lJ+2WXXqYD4Yoko98j9Ti8dQZ&#10;dgQfNNqaT0ZjzsBKVNrua/7z5enTnLMQhVXCoIWanyHwx+XHD4veVTDFFo0CzwjEhqp3NW9jdFVR&#10;BNlCJ8IIHVhyNug7Ecn0+0J50RN6Z4rpeHxf9OiV8yghBLpdD05+QfTvAcSm0RLWKA8d2DigejAi&#10;EqXQahf4MnfbNCDjj6YJEJmpOTGN+U9F6LxL/2K5ENXeC9dqeWlBvKeFG06d0JaKvkKtRRTs4PU/&#10;UJ2WHgM2cSSxKwYiWRFiMRnfaPPcCgeZC0kd3Kvo4f/Byu/HrWda1XxacmZFRxPfaAtsUiZtehcq&#10;ClnZrU/s5Mk+uw3KX4FZXLXC7iH3+HJ2lDdJGcVfKckIjirs+m+oKEYcImahTo3vEiRJwE6UOy0/&#10;z8Y0lXPN72bl/P7uMhs4RSYp4H5G/Unyzh8m5eAsRHVFcT7Er4AdS4eaG2KQq4jjJsTUlaiuIamo&#10;xSdtTJ69sayv+UNJ9JMnoNEqObPh97uV8ewo0vbkL1O8CfN4sCqDRaHNF6tYzHpEr0khAzxV6EBx&#10;ZoCeXDoNLRmbqkBe00ufV8EG6XeozlufgtM9rUBmclnXtGN/2jnq7Yk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WLrV2AAAAAYBAAAPAAAAAAAAAAEAIAAAACIAAABkcnMvZG93bnJldi54bWxQ&#10;SwECFAAUAAAACACHTuJALpKKnPcBAADqAwAADgAAAAAAAAABACAAAAAnAQAAZHJzL2Uyb0RvYy54&#10;bWxQSwUGAAAAAAYABgBZAQAAkAUAAAAA&#10;">
                  <v:fill on="f" focussize="0,0"/>
                  <v:stroke color="#000000" joinstyle="round" endarrow="block"/>
                  <v:imagedata o:title=""/>
                  <o:lock v:ext="edit" aspectratio="f"/>
                </v:line>
                <v:line id="Line 17" o:spid="_x0000_s1026" o:spt="20" style="position:absolute;left:1943100;top:3070860;height:635;width:137160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BtGefvcBAADrAwAADgAAAGRycy9lMm9Eb2MueG1srVPB&#10;ctsgFLx3pv/AcK8l2bWdaCznYDe9uK1nkn4ABiQxBR4D2LL/vg8sp016yaE6aEDs2327PK0ezkaT&#10;k/RBgW1oNSkpkZaDULZr6M/nx093lITIrGAarGzoRQb6sP74YTW4Wk6hBy2kJ0hiQz24hvYxuroo&#10;Au+lYWECTlo8bMEbFnHru0J4NiC70cW0LBfFAF44D1yGgF+310M6Mvr3EELbKi63wI9G2nhl9VKz&#10;iJZCr1yg69xt20oef7RtkJHohqLTmN8ogutDehfrFas7z1yv+NgCe08LbzwZpiyKvlBtWWTk6NU/&#10;VEZxDwHaOOFgiquRnAi6qMo32Tz1zMnsBaMO7iX08P9o+ffT3hMlGjpdUGKZwRvfKStJtUzZDC7U&#10;CNnYvU/u+Nk+uR3wX4FY2PTMdjL3+HxxWFeliuJVSdoEhwqH4RsIxLBjhBzUufUmUWIE5Iy1959n&#10;VYm3cmnorFyWd4vxbuQ5Ep4As2W1SACOiMVsnrVYfaNxPsSvEgxJi4ZqtJBl2GkXYmqL1TdIUrXw&#10;qLTOl68tGRp6P5/Oc0EArUQ6TLDgu8NGe3JiaXzyM+q+gnk4WpHJIlP6ixUk5kCiVxiRljQpGCko&#10;0RL/ubS6tqRtUpF5Tsc+b4ldsz+AuOx9AqfvOAPZyTivacj+3mfUn390/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WLrV2AAAAAYBAAAPAAAAAAAAAAEAIAAAACIAAABkcnMvZG93bnJldi54bWxQ&#10;SwECFAAUAAAACACHTuJABtGefvcBAADrAwAADgAAAAAAAAABACAAAAAnAQAAZHJzL2Uyb0RvYy54&#10;bWxQSwUGAAAAAAYABgBZAQAAkAUAAAAA&#10;">
                  <v:fill on="f" focussize="0,0"/>
                  <v:stroke color="#000000" joinstyle="round" endarrow="block"/>
                  <v:imagedata o:title=""/>
                  <o:lock v:ext="edit" aspectratio="f"/>
                </v:line>
                <v:line id="Line 18" o:spid="_x0000_s1026" o:spt="20" style="position:absolute;left:1257300;top:4754880;height:635;width:1257300;"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khfoifIBAADrAwAADgAAAGRycy9lMm9Eb2MueG1srVPL&#10;ktowELynKv+g0j0Y2GUhLsweIJsLSajazQcIaYxVkTQqSWD4+4wE7CuXPcQHl2T1dE+3xvP7ozXs&#10;ACFqdA0fDYacgZOotNs1/PfTw5cZZzEJp4RBBw0/QeT3i8+f5r2vYYwdGgWBEYmLde8b3qXk66qK&#10;sgMr4gA9ODpsMViRaBt2lQqiJ3ZrqvFweFf1GJQPKCFG+ro6H/ILY/gIIbatlrBCubfg0pk1gBGJ&#10;LMVO+8gXpdu2BZl+tW2ExEzDyWkqbxKh9Ta/q8Vc1LsgfKflpQXxkRbeebJCOxJ9plqJJNg+6H+o&#10;rJYBI7ZpINFWZyMlEXIxGr7L5rETHooXijr659Dj/6OVPw+bwLRq+HjKmROWbnytHbDRLGfT+1gT&#10;ZOk2IbuTR/fo1yj/ROZw2Qm3g9Lj08lT3ShXVG9K8iZ6Utj2P1ARRuwTlqCObbCZkiJgR6odT6Y3&#10;Q7qVU8Nvp5Pb2exyN3BMTL4GSELc3UyKlqivND7E9B3QsrxouCELRUYc1jHltkR9hWRVhw/amHL5&#10;xrG+4V8n40kpiGi0yocZFsNuuzSBHUQen/JcdN/AAu6dKmRJaPPNKZZKICloisgAzwoWFGcG6J/L&#10;q3NLxmUVKHN66fOa2Dn7LarTJmRw/k4zUJxc5jUP2et9Qb38o4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Fi61dgAAAAGAQAADwAAAAAAAAABACAAAAAiAAAAZHJzL2Rvd25yZXYueG1sUEsBAhQA&#10;FAAAAAgAh07iQJIX6InyAQAA6wMAAA4AAAAAAAAAAQAgAAAAJwEAAGRycy9lMm9Eb2MueG1sUEsF&#10;BgAAAAAGAAYAWQEAAIsFAAAAAA==&#10;">
                  <v:fill on="f" focussize="0,0"/>
                  <v:stroke color="#000000" joinstyle="round" endarrow="block"/>
                  <v:imagedata o:title=""/>
                  <o:lock v:ext="edit" aspectratio="f"/>
                </v:line>
                <v:shape id="Text Box 19" o:spid="_x0000_s1026" o:spt="202" type="#_x0000_t202" style="position:absolute;left:3314700;top:2872740;height:396240;width:121158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C42iYxRAIAAKIEAAAOAAAAZHJzL2Uyb0RvYy54bWytVNtu2zAM&#10;fR+wfxD0vjh2kqYx4hRdig4DugvQ7gMUWY6FSaImKbGzrx8lu12QbUAf5gdBlKjDw0PS65teK3IU&#10;zkswFc0nU0qE4VBLs6/ot6f7d9eU+MBMzRQYUdGT8PRm8/bNurOlKKAFVQtHEMT4srMVbUOwZZZ5&#10;3grN/ASsMHjZgNMsoOn2We1Yh+haZcV0epV14GrrgAvv8fRuuKQjonsNIDSN5OIO+EELEwZUJxQL&#10;mJJvpfV0k9g2jeDhS9N4EYiqKGYa0opBcL+La7ZZs3LvmG0lHymw11C4yEkzaTDoC9QdC4wcnPwD&#10;SkvuwEMTJhx0NiSSFMEs8umFNo8tsyLlglJ7+yK6/3+w/PPxqyOyrmiBdTdMY8WfRB/Ie+hJvor6&#10;dNaX6PZo0TH0eI5dk3L19gH4d08MbFtm9uLWOehawWrkl8eX2dnTAcdHkF33CWqMww4BElDfOB3F&#10;QzkIos9m+Xw5xQqdIqtlsZyPdYq8eAxf5PniGh04esxWV8XgkLHyGck6Hz4I0CRuKuqwD1Ikdnzw&#10;ITJj5bNLDOxByfpeKpUMt99tlSNHhj1zn76UzIWbMqSr6GpRLAYx/gkxTd/fILQMOEpK6openzsp&#10;E3mI1L4j36hkFG+QMfS7fqzMDuoTaupgaG0cbNy04H5S0mFbV9T/ODAnKFEfDdZllc9RLBKSscR5&#10;RMOd3+ySMV/gHSXMcISqaHjebsMwOwfr5L7FSEMnGLjFWjYySRupDqzGDsDWTYqPYxZn49xOXr9/&#10;LZ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wopCdQAAAAGAQAADwAAAAAAAAABACAAAAAiAAAA&#10;ZHJzL2Rvd25yZXYueG1sUEsBAhQAFAAAAAgAh07iQLjaJjFEAgAAogQAAA4AAAAAAAAAAQAgAAAA&#10;IwEAAGRycy9lMm9Eb2MueG1sUEsFBgAAAAAGAAYAWQEAANkFAAAAAA==&#10;">
                  <v:fill on="t" focussize="0,0"/>
                  <v:stroke color="#000000" miterlimit="8" joinstyle="miter"/>
                  <v:imagedata o:title=""/>
                  <o:lock v:ext="edit" aspectratio="f"/>
                  <v:textbox inset="2.54mm,2mm,2.54mm,1.27mm">
                    <w:txbxContent>
                      <w:p>
                        <w:pPr>
                          <w:jc w:val="center"/>
                          <w:rPr>
                            <w:rFonts w:ascii="宋体" w:hAnsi="宋体"/>
                            <w:sz w:val="24"/>
                            <w:szCs w:val="24"/>
                          </w:rPr>
                        </w:pPr>
                        <w:r>
                          <w:rPr>
                            <w:rFonts w:hint="eastAsia" w:ascii="宋体" w:hAnsi="宋体"/>
                            <w:sz w:val="24"/>
                            <w:szCs w:val="24"/>
                          </w:rPr>
                          <w:t>资金使用审批</w:t>
                        </w:r>
                      </w:p>
                    </w:txbxContent>
                  </v:textbox>
                </v:shape>
                <v:line id="Line 20" o:spid="_x0000_s1026" o:spt="20" style="position:absolute;left:1943100;top:5448300;height:635;width:1371600;" filled="f" stroked="t" coordsize="21600,21600" o:gfxdata="UEsDBAoAAAAAAIdO4kAAAAAAAAAAAAAAAAAEAAAAZHJzL1BLAwQUAAAACACHTuJAJE2kH9YAAAAG&#10;AQAADwAAAGRycy9kb3ducmV2LnhtbE2PQU/DMAyF70j8h8hIXNCWtIMJStNJICEOnBhI7Jg1oa1o&#10;nC5x2/HvMVzGxZL1np+/V26OvheTi6kLqCFbKhAO62A7bDS8vz0tbkEkMmhNH9Bp+HYJNtX5WWkK&#10;G2Z8ddOWGsEhmAqjoSUaCilT3Tpv0jIMDln7DNEb4jU20kYzc7jvZa7UWnrTIX9ozeAeW1d/bUfP&#10;GNJH+nh+GceHqd7Nu/xAV6uD1pcXmboHQe5IJzP84vMNVMy0DyPaJHoNXIT+Jmt3+U0OYs+mVaau&#10;QVal/I9f/QBQSwMEFAAAAAgAh07iQLDJsDn3AQAA7AMAAA4AAABkcnMvZTJvRG9jLnhtbK1TTXPb&#10;IBC9d6b/geFey19xEo3lHOymF7f1TNIfgGFlMQWWAWzZ/74LtpMmveRQHTSseLy377GaPxytYQcI&#10;UaNr+Ggw5AycRKXdruG/nh+/3HEWk3BKGHTQ8BNE/rD4/Gne+xrG2KFREBiRuFj3vuFdSr6uqig7&#10;sCIO0IOjzRaDFYnKsKtUED2xW1ONh8NZ1WNQPqCEGOnr6rzJL4zhI4TYtlrCCuXegktn1gBGJLIU&#10;O+0jX5Ru2xZk+tm2ERIzDSenqbxJhNbb/K4Wc1HvgvCdlpcWxEdaeOfJCu1I9IVqJZJg+6D/obJa&#10;BozYpoFEW52NlETIxWj4LpunTngoXijq6F9Cj/+PVv44bALTquHje86csHTja+2AjUs2vY81QZZu&#10;E7I7eXRPfo3yd2QOl51wOyg9Pp88nRvlNKs3R3IRPSls+++oCCP2CUtQxzbYTEkRsCOdvZ9ORkO6&#10;lVPDb6bTuwmty93AMTGZAZPb0SwDJCFmk5uiJeorjQ8xfQO0LC8abshCkRGHdUy5LVFfIVnV4aM2&#10;pggYx3qiH98Sed6KaLTKu6UIu+3SBHYQeX7KcxF+Awu4d6qwJaHNV6dYKomkoCkjAzxLWFCcGaCf&#10;Lq/OPRmXVaAM6qXRa2R5hGO9RXXahAzOFQ1BsXIZ2Dxlf9cF9fqTLv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E2kH9YAAAAGAQAADwAAAAAAAAABACAAAAAiAAAAZHJzL2Rvd25yZXYueG1sUEsB&#10;AhQAFAAAAAgAh07iQLDJsDn3AQAA7AMAAA4AAAAAAAAAAQAgAAAAJQEAAGRycy9lMm9Eb2MueG1s&#10;UEsFBgAAAAAGAAYAWQEAAI4FAAAAAA==&#10;">
                  <v:fill on="f" focussize="0,0"/>
                  <v:stroke weight="1pt" color="#000000" joinstyle="round" endarrow="block"/>
                  <v:imagedata o:title=""/>
                  <o:lock v:ext="edit" aspectratio="f"/>
                </v:line>
                <v:shape id="Text Box 21" o:spid="_x0000_s1026" o:spt="202" type="#_x0000_t202" style="position:absolute;left:3657600;top:6637020;height:396240;width:1211580;" fillcolor="#FFFFFF" filled="t" stroked="t" coordsize="21600,21600" o:gfxdata="UEsDBAoAAAAAAIdO4kAAAAAAAAAAAAAAAAAEAAAAZHJzL1BLAwQUAAAACACHTuJAzwopCdQAAAAG&#10;AQAADwAAAGRycy9kb3ducmV2LnhtbE2PwU7DMBBE70j8g7VI3KidQCsIcXqo2ksPSKTlvomXJCJe&#10;R7GbpH+P4QKXkVYzmnmbbxfbi4lG3znWkKwUCOLamY4bDefT4eEZhA/IBnvHpOFKHrbF7U2OmXEz&#10;v9NUhkbEEvYZamhDGDIpfd2SRb9yA3H0Pt1oMcRzbKQZcY7ltpepUhtpseO40OJAu5bqr/JiNXys&#10;+bCU01sicYfVnngz709Hre/vEvUKItAS/sLwgx/RoYhMlbuw8aLXEB8Jvxq9l3Sdgqhi6DFRTyCL&#10;XP7HL74BUEsDBBQAAAAIAIdO4kDszwkRSAIAAKIEAAAOAAAAZHJzL2Uyb0RvYy54bWytVNtu1DAQ&#10;fUfiHyy/02Szl7arZqvSqgipFKSWD/A6zsbC9pixd5Py9Yyd3bIUkPpAHiJPfHzmzPFMLi4Ha9hO&#10;YdDgaj45KTlTTkKj3abmXx9v351xFqJwjTDgVM2fVOCXq7dvLnq/VBV0YBqFjEhcWPa+5l2MflkU&#10;QXbKinACXjnabAGtiBTipmhQ9MRuTVGV5aLoARuPIFUI9PVm3OR7RnwNIbStluoG5NYqF0dWVEZE&#10;Kil02ge+ymrbVsn4uW2DiszUnCqN+U1JaL1O72J1IZYbFL7Tci9BvEbCi5qs0I6SPlPdiCjYFvUf&#10;VFZLhABtPJFgi7GQ7AhVMSlfePPQCa9yLWR18M+mh/9HK+93X5DppuZTssQJSzf+qIbI3sPAqkny&#10;p/dhSbAHT8A40Hfqmlxr8HcgvwXm4LoTbqOuEKHvlGhIXz5ZHB0deUIiWfefoKE8YhshEw0t2mQe&#10;2cGIfbqYny5KkvNU88VielpW+3tKumRKX00m8zMCSEJMzxfVLAMKsTwweQzxgwLL0qLmSH2QM4nd&#10;XYhUE0EPkJQ4gNHNrTYmB7hZXxtkO0E9c5ufZAMd+Q1mHOtrfj6v5qMZ/6Qo8/M3CqsjjZLRtuZn&#10;xyDjkg6V23evNzmZzBttjMN62N/MGpon8hRhbG0abFp0gD8466mtax6+bwUqzsxHR/dyPpmRWSzm&#10;4JTmkQI83lnnYDanPc6Ek0RV83hYXsdxdrYe9aajTGMnOLiiu2x1tjZJHVWRaSmg1s327ccszcZx&#10;nFG/fi2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8KKQnUAAAABgEAAA8AAAAAAAAAAQAgAAAA&#10;IgAAAGRycy9kb3ducmV2LnhtbFBLAQIUABQAAAAIAIdO4kDszwkRSAIAAKIEAAAOAAAAAAAAAAEA&#10;IAAAACMBAABkcnMvZTJvRG9jLnhtbFBLBQYAAAAABgAGAFkBAADdBQAAAAA=&#10;">
                  <v:fill on="t" focussize="0,0"/>
                  <v:stroke color="#000000" miterlimit="8" joinstyle="miter"/>
                  <v:imagedata o:title=""/>
                  <o:lock v:ext="edit" aspectratio="f"/>
                  <v:textbox inset="2.54mm,2mm,2.54mm,1.27mm">
                    <w:txbxContent>
                      <w:p>
                        <w:pPr>
                          <w:jc w:val="center"/>
                          <w:rPr>
                            <w:rFonts w:ascii="宋体" w:hAnsi="宋体"/>
                            <w:sz w:val="24"/>
                            <w:szCs w:val="24"/>
                          </w:rPr>
                        </w:pPr>
                        <w:r>
                          <w:rPr>
                            <w:rFonts w:hint="eastAsia" w:ascii="宋体" w:hAnsi="宋体"/>
                            <w:sz w:val="24"/>
                            <w:szCs w:val="24"/>
                          </w:rPr>
                          <w:t>资金支付</w:t>
                        </w:r>
                      </w:p>
                    </w:txbxContent>
                  </v:textbox>
                </v:shape>
                <v:shape id="Text Box 22" o:spid="_x0000_s1026" o:spt="202" type="#_x0000_t202" style="position:absolute;left:3314700;top:5052060;height:1188720;width:2286000;" fillcolor="#FFFFFF" filled="t" stroked="t" coordsize="21600,21600" o:gfxdata="UEsDBAoAAAAAAIdO4kAAAAAAAAAAAAAAAAAEAAAAZHJzL1BLAwQUAAAACACHTuJAxwnRCtMAAAAG&#10;AQAADwAAAGRycy9kb3ducmV2LnhtbE2PwU7DMBBE70j8g7VI3KidUKo2xKlEgQ+gVOK6TZY4Il5H&#10;sZMWvp6FC1xGWs1o5m25PftezTTGLrCFbGFAEdeh6bi1cHh9vlmDigm5wT4wWfikCNvq8qLEogkn&#10;fqF5n1olJRwLtOBSGgqtY+3IY1yEgVi89zB6THKOrW5GPEm573VuzEp77FgWHA60c1R/7CdvYfNw&#10;QL1bvQW9fPqaHsO8dp2J1l5fZeYeVKJz+gvDD76gQyVMxzBxE1VvQR5JvyreJr/LQR0ldJuZJeiq&#10;1P/xq29QSwMEFAAAAAgAh07iQCjFKshJAgAApAQAAA4AAABkcnMvZTJvRG9jLnhtbK1Uy27bMBC8&#10;F+g/ELzXesR2HCFykMZwUSB9AEk/gKYoiyjJZUnaUvr1XVJy6qYokEN9ELjiaHZ2dtfXN4NW5Cic&#10;l2BqWsxySoTh0Eizr+m3x+27FSU+MNMwBUbU9El4erN+++a6t5UooQPVCEeQxPiqtzXtQrBVlnne&#10;Cc38DKwweNmC0yxg6PZZ41iP7FplZZ4vsx5cYx1w4T2+3YyXdGJ0ryGEtpVcbIAftDBhZHVCsYAl&#10;+U5aT9dJbdsKHr60rReBqJpipSE9MQmed/GZra9ZtXfMdpJPEthrJLyoSTNpMOkz1YYFRg5O/kWl&#10;JXfgoQ0zDjobC0mOYBVF/sKbh45ZkWpBq719Nt3/P1r++fjVEdnU9KKgxDCNHX8UQyDvYSBlGf3p&#10;ra8Q9mARGAZ8j1OTavX2Hvh3Twzcdczsxa1z0HeCNaiviF9mZ5+OPD6S7PpP0GAedgiQiIbW6Wge&#10;2kGQ/eKimF/m2KGnmi7yRZkvpz5FXRwBZbla5hHAEVEUq9VlmRAZq05U1vnwQYAm8VBTh4OQUrHj&#10;vQ9RGqtOkJjZg5LNViqVArff3SlHjgyHZpt+qZoXMGVIX9OrRbkY3fgnBUqNasesf2TSMuAuKalr&#10;ujoHKRN1iDS/k95oZXRv9DEMu2FqzQ6aJzTVwTjbuNl46MD9pKTHua6p/3FgTlCiPhpszFUxn8dF&#10;SEH0Lvrozq92KZgvoqmEGY5cNQ2n410Yt+dgndx3mGqcBQO32M1WJm+j1lHWNAM4vMnyadHidpzH&#10;CfX7z2X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cJ0QrTAAAABgEAAA8AAAAAAAAAAQAgAAAA&#10;IgAAAGRycy9kb3ducmV2LnhtbFBLAQIUABQAAAAIAIdO4kAoxSrISQIAAKQEAAAOAAAAAAAAAAEA&#10;IAAAACIBAABkcnMvZTJvRG9jLnhtbFBLBQYAAAAABgAGAFkBAADdBQAAAAA=&#10;">
                  <v:fill on="t" focussize="0,0"/>
                  <v:stroke color="#000000" miterlimit="8" joinstyle="miter"/>
                  <v:imagedata o:title=""/>
                  <o:lock v:ext="edit" aspectratio="f"/>
                  <v:textbox inset="2.54mm,3.3mm,2.54mm,1.27mm">
                    <w:txbxContent>
                      <w:p>
                        <w:pPr>
                          <w:rPr>
                            <w:rFonts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Rectangle 26" o:spid="_x0000_s1026" o:spt="1" style="position:absolute;left:571500;top:5250180;height:396240;width:1371600;" fillcolor="#FFFFFF" filled="t" stroked="t" coordsize="21600,21600" o:gfxdata="UEsDBAoAAAAAAIdO4kAAAAAAAAAAAAAAAAAEAAAAZHJzL1BLAwQUAAAACACHTuJAKhZ3rdUAAAAG&#10;AQAADwAAAGRycy9kb3ducmV2LnhtbE2PwU7DMBBE70j8g7VI3KidFBBN4/QAKhLHNr1w28QmSYnX&#10;Uey0ga9n4UIvI61mNPM238yuFyc7hs6ThmShQFiqvemo0XAot3dPIEJEMth7shq+bIBNcX2VY2b8&#10;mXb2tI+N4BIKGWpoYxwyKUPdWodh4QdL7H340WHkc2ykGfHM5a6XqVKP0mFHvNDiYJ9bW3/uJ6eh&#10;6tIDfu/KV+VW22V8m8vj9P6i9e1NotYgop3jfxh+8RkdCmaq/EQmiF4DPxL/lL1V+pCCqDi0TNQ9&#10;yCKXl/jFD1BLAwQUAAAACACHTuJAbvCeiz8CAACYBAAADgAAAGRycy9lMm9Eb2MueG1srVRNb9sw&#10;DL0P2H8QdF/90SZNjTpFkaDDgG4t1u0HKLIcC5NEjVLidL9+tOx2abdDD/PBEEP66b1HMpdXB2vY&#10;XmHQ4GpenOScKSeh0W5b8+/fbj4sOAtRuEYYcKrmjyrwq+X7d5e9r1QJHZhGISMQF6re17yL0VdZ&#10;FmSnrAgn4JWjZAtoRaQQt1mDoid0a7Iyz+dZD9h4BKlCoF/XY5JPiPgWQGhbLdUa5M4qF0dUVEZE&#10;khQ67QNfJrZtq2S8a9ugIjM1J6UxvekSOm+Gd7a8FNUWhe+0nCiIt1B4pckK7ejSZ6i1iILtUP8F&#10;ZbVECNDGEwk2G4UkR0hFkb/y5qETXiUtZHXwz6aH/wcrv+zvkemm5qclZ05Y6vhXck24rVGsnA8G&#10;9T5UVPfg73GQGPwtyB+BOVh1VKauEaHvlGiIVjHUZy8+GIJAn7JN/xkaghe7CMmrQ4t2ACQX2KHm&#10;s/NillNfHulYzvJiMXVHHSKTlC9Oz4v5UCCp4vRiXp6lgkxUT0AeQ/yowLLhUHMkHekisb8NcSAm&#10;qqeSJASMbm60MSnA7WZlkO0FTcpNepIW0ntcZhzra35BBBPyi1w4hsjT8y8IqyMtkNG25ovjIuMG&#10;HioN7cT3ybuxB/GwOUzt2EDzSJYijANN60yHDvAXZz0Nc83Dz51AxZn55KgtF8UZmcViCs5m5yUF&#10;eJzZHGeEkwRV88jZeFzFcWN2HvW2o5uKJN7BNbWy1cnagerIahoAGtjk+LRcw0Ycx6nqzx/K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qFnet1QAAAAYBAAAPAAAAAAAAAAEAIAAAACIAAABkcnMv&#10;ZG93bnJldi54bWxQSwECFAAUAAAACACHTuJAbvCeiz8CAACYBAAADgAAAAAAAAABACAAAAAkAQAA&#10;ZHJzL2Uyb0RvYy54bWxQSwUGAAAAAAYABgBZAQAA1QUAAAAA&#10;">
                  <v:fill on="t" focussize="0,0"/>
                  <v:stroke color="#000000" miterlimit="8" joinstyle="miter"/>
                  <v:imagedata o:title=""/>
                  <o:lock v:ext="edit" aspectratio="f"/>
                  <v:textbox>
                    <w:txbxContent>
                      <w:p>
                        <w:pPr>
                          <w:ind w:firstLine="600" w:firstLineChars="250"/>
                          <w:rPr>
                            <w:rFonts w:ascii="宋体" w:hAnsi="宋体"/>
                            <w:sz w:val="24"/>
                            <w:szCs w:val="24"/>
                          </w:rPr>
                        </w:pPr>
                        <w:r>
                          <w:rPr>
                            <w:rFonts w:hint="eastAsia" w:ascii="宋体" w:hAnsi="宋体"/>
                            <w:sz w:val="24"/>
                            <w:szCs w:val="24"/>
                          </w:rPr>
                          <w:t>开户行</w:t>
                        </w:r>
                      </w:p>
                    </w:txbxContent>
                  </v:textbox>
                </v:rect>
                <v:line id="Line 27" o:spid="_x0000_s1026" o:spt="20" style="position:absolute;left:4343400;top:6240780;height:396240;width:635;" filled="f" stroked="t" coordsize="21600,21600" o:gfxdata="UEsDBAoAAAAAAIdO4kAAAAAAAAAAAAAAAAAEAAAAZHJzL1BLAwQUAAAACACHTuJAmFi61dgAAAAG&#10;AQAADwAAAGRycy9kb3ducmV2LnhtbE2PzU7DMBCE70i8g7VI3KiT8KM0xOkBqVxaQG0RKjc3XpKI&#10;eB3ZThvenoULXEZazWjm23Ix2V4c0YfOkYJ0loBAqp3pqFHwulte5SBC1GR07wgVfGGARXV+VurC&#10;uBNt8LiNjeASCoVW0MY4FFKGukWrw8wNSOx9OG915NM30nh94nLbyyxJ7qTVHfFCqwd8aLH+3I5W&#10;wWa9XOVvq3Gq/ftj+rx7WT/tQ67U5UWa3IOIOMW/MPzgMzpUzHRwI5kgegX8SPxV9ubZbQbiwKHr&#10;NLkBWZXyP371DVBLAwQUAAAACACHTuJAogD8kfcBAADqAwAADgAAAGRycy9lMm9Eb2MueG1srVPB&#10;ctsgEL13pv/AcK8l27GTaCznYDe9uK1nkn4AhpXFFLEMYMv++y5YTpr0kkOlGQbY5b19j2XxcOoM&#10;O4IPGm3Nx6OSM7ASlbb7mv96fvxyx1mIwiph0ELNzxD4w/Lzp0XvKphgi0aBZwRiQ9W7mrcxuqoo&#10;gmyhE2GEDiwFG/SdiLT0+0J50RN6Z4pJWc6LHr1yHiWEQLvrS5APiP4jgNg0WsIa5aEDGy+oHoyI&#10;JCm02gW+zNU2Dcj4s2kCRGZqTkpjHomE5rs0FsuFqPZeuFbLoQTxkRLeaeqEtkT6ArUWUbCD1/9A&#10;dVp6DNjEkcSuuAjJjpCKcfnOm6dWOMhayOrgXkwP/w9W/jhuPdOq5tMpZ1Z0dOMbbYFNbpM3vQsV&#10;pazs1id18mSf3Abl78Asrlph95BrfD47OjdOJ4o3R9IiOGLY9d9RUY44RMxGnRrfJUiygJ1qfjOl&#10;v6RbOdd8Prkpb++Gu4FTZJIS5tMZZ5Ki0/sUz1SiuqI4H+I3wI6lSc0NKcgs4rgJMVUlqmtKIrX4&#10;qI3Jd28s62t+P5vM8oGARqsUTGnB73cr49lRpO7J38D7Js3jwaoMFoU2X61iMfsRvSaHDPDE0IHi&#10;zAA9uTS7lGRsYoHcpkOdV8Mu1u9Qnbc+Jad9aoGsZGjX1GN/r3PW6xNd/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WLrV2AAAAAYBAAAPAAAAAAAAAAEAIAAAACIAAABkcnMvZG93bnJldi54bWxQ&#10;SwECFAAUAAAACACHTuJAogD8kfcBAADqAwAADgAAAAAAAAABACAAAAAnAQAAZHJzL2Uyb0RvYy54&#10;bWxQSwUGAAAAAAYABgBZAQAAkAUAAAAA&#10;">
                  <v:fill on="f" focussize="0,0"/>
                  <v:stroke color="#000000" joinstyle="round" endarrow="block"/>
                  <v:imagedata o:title=""/>
                  <o:lock v:ext="edit" aspectratio="f"/>
                </v:line>
                <v:rect id="Rectangle 28" o:spid="_x0000_s1026" o:spt="1" style="position:absolute;left:2514600;top:4556760;height:396240;width:1143000;" fillcolor="#FFFFFF" filled="t" stroked="t" coordsize="21600,21600" o:gfxdata="UEsDBAoAAAAAAIdO4kAAAAAAAAAAAAAAAAAEAAAAZHJzL1BLAwQUAAAACACHTuJAKhZ3rdUAAAAG&#10;AQAADwAAAGRycy9kb3ducmV2LnhtbE2PwU7DMBBE70j8g7VI3KidFBBN4/QAKhLHNr1w28QmSYnX&#10;Uey0ga9n4UIvI61mNPM238yuFyc7hs6ThmShQFiqvemo0XAot3dPIEJEMth7shq+bIBNcX2VY2b8&#10;mXb2tI+N4BIKGWpoYxwyKUPdWodh4QdL7H340WHkc2ykGfHM5a6XqVKP0mFHvNDiYJ9bW3/uJ6eh&#10;6tIDfu/KV+VW22V8m8vj9P6i9e1NotYgop3jfxh+8RkdCmaq/EQmiF4DPxL/lL1V+pCCqDi0TNQ9&#10;yCKXl/jFD1BLAwQUAAAACACHTuJA/oY55EMCAACZBAAADgAAAGRycy9lMm9Eb2MueG1srVTLbtsw&#10;ELwX6D8QvDeyZNlxhNBB4CBFgbQNmvYDaIqyiPLVJW05/fouKSV10ksO9UHgmqPhzOxSl1dHo8lB&#10;QlDOMlqezSiRVrhW2R2jP77fflhREiK3LdfOSkYfZaBX6/fvLgffyMr1TrcSCJLY0Aye0T5G3xRF&#10;EL00PJw5Ly1udg4Mj1jCrmiBD8hudFHNZsticNB6cEKGgP/ejJt0YoS3ELquU0LeOLE30saRFaTm&#10;ES2FXvlA11lt10kRv3ZdkJFoRtFpzE88BNfb9CzWl7zZAfe9EpME/hYJrzwZriwe+kx1wyMne1D/&#10;UBklwAXXxTPhTDEayYmgi3L2KpuHnnuZvWDUwT+HHv4frfhyuAeiWkbnNSWWG+z4N0yN252WpFql&#10;gAYfGsQ9+HtIFoO/c+JnINZteoTJawA39JK3KKtM+OLFC6kI+CrZDp9di/R8H13O6tiBSYSYAjky&#10;Wi3KejnDxjwyWi8Wy/Pl1B55jEQgoCzr+SwBBCLmF8uqzoCCN09MHkL8KJ0hacEooJF8Ej/chZiU&#10;8eYJkp04rdpbpXUuYLfdaCAHjqNym3/ZDBo+hWlLBkYvFtUiM7/YC6cUqDSJHU99ATMq4g3SyjC6&#10;OgVpm3TIPLWT3qfwxibE4/Y49WPr2kfMFNw40XifcdE7+E3JgNPMaPi15yAp0Z8s9uWirDEsEnNR&#10;L84rLOB0Z3u6w61AKkYjJeNyE8crs/egdj2eVGbz1l1jLzuVo01SR1XTBODE5sSn25WuxGmdUX+/&#10;K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hZ3rdUAAAAGAQAADwAAAAAAAAABACAAAAAiAAAA&#10;ZHJzL2Rvd25yZXYueG1sUEsBAhQAFAAAAAgAh07iQP6GOeRDAgAAmQQAAA4AAAAAAAAAAQAgAAAA&#10;JAEAAGRycy9lMm9Eb2MueG1sUEsFBgAAAAAGAAYAWQEAANkFAAAAAA==&#10;">
                  <v:fill on="t" focussize="0,0"/>
                  <v:stroke color="#000000" miterlimit="8" joinstyle="miter"/>
                  <v:imagedata o:title=""/>
                  <o:lock v:ext="edit" aspectratio="f"/>
                  <v:textbox>
                    <w:txbxContent>
                      <w:p>
                        <w:r>
                          <w:rPr>
                            <w:rFonts w:hint="eastAsia"/>
                          </w:rPr>
                          <w:t>出具划款通知书</w:t>
                        </w:r>
                      </w:p>
                    </w:txbxContent>
                  </v:textbox>
                </v:rect>
                <w10:wrap type="none"/>
                <w10:anchorlock/>
              </v:group>
            </w:pict>
          </mc:Fallback>
        </mc:AlternateContent>
      </w:r>
    </w:p>
    <w:p>
      <w:pPr>
        <w:rPr>
          <w:rFonts w:ascii="宋体" w:hAnsi="宋体"/>
          <w:color w:val="auto"/>
          <w:sz w:val="24"/>
          <w:szCs w:val="24"/>
        </w:rPr>
      </w:pPr>
      <w:r>
        <w:rPr>
          <w:rFonts w:hint="eastAsia" w:ascii="宋体" w:hAnsi="宋体"/>
          <w:color w:val="auto"/>
          <w:sz w:val="24"/>
          <w:szCs w:val="24"/>
        </w:rPr>
        <w:t>附件五：</w:t>
      </w:r>
    </w:p>
    <w:p>
      <w:pPr>
        <w:autoSpaceDN w:val="0"/>
        <w:spacing w:line="360" w:lineRule="auto"/>
        <w:jc w:val="center"/>
        <w:rPr>
          <w:rFonts w:ascii="宋体" w:hAnsi="宋体" w:cs="仿宋_GB2312"/>
          <w:b/>
          <w:bCs/>
          <w:color w:val="auto"/>
          <w:sz w:val="30"/>
          <w:szCs w:val="30"/>
        </w:rPr>
      </w:pPr>
    </w:p>
    <w:p>
      <w:pPr>
        <w:autoSpaceDN w:val="0"/>
        <w:spacing w:line="360" w:lineRule="auto"/>
        <w:jc w:val="center"/>
        <w:rPr>
          <w:rFonts w:ascii="宋体" w:hAnsi="宋体" w:cs="仿宋_GB2312"/>
          <w:b/>
          <w:bCs/>
          <w:color w:val="auto"/>
          <w:sz w:val="30"/>
          <w:szCs w:val="30"/>
        </w:rPr>
      </w:pPr>
      <w:r>
        <w:rPr>
          <w:rFonts w:hint="eastAsia" w:ascii="宋体" w:hAnsi="宋体" w:cs="仿宋_GB2312"/>
          <w:b/>
          <w:bCs/>
          <w:color w:val="auto"/>
          <w:sz w:val="30"/>
          <w:szCs w:val="30"/>
        </w:rPr>
        <w:t>共管工程预付款使用监管办法（适用于无代建项目）</w:t>
      </w:r>
    </w:p>
    <w:p>
      <w:pPr>
        <w:autoSpaceDN w:val="0"/>
        <w:spacing w:line="360" w:lineRule="auto"/>
        <w:ind w:firstLine="555"/>
        <w:rPr>
          <w:rFonts w:ascii="宋体" w:hAnsi="宋体" w:cs="仿宋_GB2312"/>
          <w:color w:val="auto"/>
          <w:sz w:val="32"/>
          <w:szCs w:val="32"/>
        </w:rPr>
      </w:pPr>
    </w:p>
    <w:p>
      <w:pPr>
        <w:autoSpaceDN w:val="0"/>
        <w:spacing w:line="360" w:lineRule="auto"/>
        <w:rPr>
          <w:rFonts w:ascii="宋体" w:hAnsi="宋体"/>
          <w:color w:val="auto"/>
          <w:sz w:val="24"/>
          <w:szCs w:val="24"/>
        </w:rPr>
      </w:pPr>
      <w:r>
        <w:rPr>
          <w:rFonts w:hint="eastAsia" w:ascii="宋体" w:hAnsi="宋体"/>
          <w:color w:val="auto"/>
          <w:sz w:val="24"/>
          <w:szCs w:val="24"/>
        </w:rPr>
        <w:t xml:space="preserve">    鉴于       （下称“本工程”）建设业主（即发包人）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pPr>
        <w:autoSpaceDN w:val="0"/>
        <w:spacing w:line="360" w:lineRule="auto"/>
        <w:rPr>
          <w:rFonts w:ascii="宋体" w:hAnsi="宋体"/>
          <w:color w:val="auto"/>
          <w:sz w:val="24"/>
          <w:szCs w:val="24"/>
        </w:rPr>
      </w:pPr>
      <w:r>
        <w:rPr>
          <w:rFonts w:hint="eastAsia" w:ascii="宋体" w:hAnsi="宋体"/>
          <w:color w:val="auto"/>
          <w:sz w:val="24"/>
          <w:szCs w:val="24"/>
        </w:rPr>
        <w:t xml:space="preserve">    一、共管原则</w:t>
      </w:r>
    </w:p>
    <w:p>
      <w:pPr>
        <w:autoSpaceDN w:val="0"/>
        <w:spacing w:line="360" w:lineRule="auto"/>
        <w:rPr>
          <w:rFonts w:ascii="宋体" w:hAnsi="宋体"/>
          <w:color w:val="auto"/>
          <w:sz w:val="24"/>
          <w:szCs w:val="24"/>
        </w:rPr>
      </w:pPr>
      <w:r>
        <w:rPr>
          <w:rFonts w:hint="eastAsia" w:ascii="宋体" w:hAnsi="宋体"/>
          <w:color w:val="auto"/>
          <w:sz w:val="24"/>
          <w:szCs w:val="24"/>
        </w:rPr>
        <w:t xml:space="preserve">    本工程建设业主、施工承包人及共管银行签订三方资金共管账户合同，在共管银行设立户名为施工承包人的资金结算共管账户。建设业主按《》（以下简称施工合同）约定支付的工程预付款直接支付至上述共管账户（款项支付至共管账户，即视为发包人已按合同约定履行付款义务）。承包人就本工程需从上述账户中对外支付款项的，应按本办法规定报建设业主审核。建设业主审批同意承包人用款申请后，向银行出具书面同意支付通知，银行根据前述书面支付通知及承包人的申请，将相应资金从共管账户划转至指定收款方。</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二、工程预付款对外支付审批流程</w:t>
      </w: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预付款支出完毕。</w:t>
      </w:r>
    </w:p>
    <w:p>
      <w:pPr>
        <w:spacing w:line="360" w:lineRule="auto"/>
        <w:ind w:firstLine="480" w:firstLineChars="200"/>
        <w:rPr>
          <w:rFonts w:ascii="宋体" w:hAnsi="宋体"/>
          <w:color w:val="auto"/>
          <w:sz w:val="24"/>
          <w:szCs w:val="24"/>
        </w:rPr>
      </w:pPr>
      <w:r>
        <w:rPr>
          <w:rFonts w:hint="eastAsia" w:ascii="宋体" w:hAnsi="宋体"/>
          <w:color w:val="auto"/>
          <w:sz w:val="24"/>
          <w:szCs w:val="24"/>
        </w:rPr>
        <w:t xml:space="preserve"> （注：具体预付款支付次数及条件由工程部门结合项目实际确定。）</w:t>
      </w:r>
    </w:p>
    <w:p>
      <w:pPr>
        <w:autoSpaceDN w:val="0"/>
        <w:spacing w:line="360" w:lineRule="auto"/>
        <w:ind w:firstLine="480" w:firstLineChars="200"/>
        <w:rPr>
          <w:rFonts w:ascii="宋体" w:hAnsi="宋体"/>
          <w:color w:val="auto"/>
          <w:sz w:val="24"/>
          <w:szCs w:val="24"/>
          <w:u w:val="single"/>
        </w:rPr>
      </w:pPr>
      <w:r>
        <w:rPr>
          <w:rFonts w:hint="eastAsia" w:ascii="宋体" w:hAnsi="宋体"/>
          <w:color w:val="auto"/>
          <w:sz w:val="24"/>
          <w:szCs w:val="24"/>
          <w:u w:val="single"/>
        </w:rPr>
        <w:t>支付前置条件：签订施工合同，工程本次交地范围完成临时设施、安全文明措施，具备开工条件。</w:t>
      </w:r>
    </w:p>
    <w:p>
      <w:pPr>
        <w:autoSpaceDN w:val="0"/>
        <w:spacing w:line="360" w:lineRule="auto"/>
        <w:rPr>
          <w:rFonts w:ascii="宋体" w:hAnsi="宋体"/>
          <w:color w:val="auto"/>
          <w:sz w:val="24"/>
          <w:szCs w:val="24"/>
        </w:rPr>
      </w:pPr>
      <w:r>
        <w:rPr>
          <w:rFonts w:hint="eastAsia" w:ascii="宋体" w:hAnsi="宋体"/>
          <w:color w:val="auto"/>
          <w:sz w:val="24"/>
          <w:szCs w:val="24"/>
        </w:rPr>
        <w:t xml:space="preserve">    申请支付审批流程为：承包人提交申请材料→监理审核→建设业主审核并出具同意支付通知。</w:t>
      </w:r>
    </w:p>
    <w:p>
      <w:pPr>
        <w:autoSpaceDN w:val="0"/>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承包人申请款项支出应提供材料包括但不限于：</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1、填写建设业主统一提供的付款申请书；</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2、用款计划（内容包括款项用途、金额等）。</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三、监理单位、建设业主在审核承包人支付申请时，如发现支付申请不满足工程节点要求、支出金额不符合工程实际或有弄虚作假情况的，应拒绝承包人的支出申请。</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承包人的支出申请因上述情况被拒绝的，监理单位、建设业主不承担任何责任，承包人不得因此延误工程进度、或向相关方索赔。</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四、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五、监理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建设业主无关。</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六、本办法是本工程施工合同的组成部分，建设业主及承包人均应按本办法执行。</w:t>
      </w:r>
    </w:p>
    <w:p>
      <w:pPr>
        <w:widowControl/>
        <w:spacing w:line="480" w:lineRule="auto"/>
        <w:ind w:firstLine="537" w:firstLineChars="224"/>
        <w:jc w:val="center"/>
        <w:rPr>
          <w:rFonts w:ascii="宋体" w:hAnsi="宋体"/>
          <w:color w:val="auto"/>
          <w:sz w:val="24"/>
          <w:szCs w:val="24"/>
        </w:rPr>
      </w:pPr>
    </w:p>
    <w:p>
      <w:pPr>
        <w:autoSpaceDN w:val="0"/>
        <w:spacing w:line="360" w:lineRule="auto"/>
        <w:jc w:val="center"/>
        <w:rPr>
          <w:rFonts w:ascii="宋体" w:hAnsi="宋体" w:cs="仿宋_GB2312"/>
          <w:b/>
          <w:bCs/>
          <w:color w:val="auto"/>
          <w:sz w:val="30"/>
          <w:szCs w:val="30"/>
        </w:rPr>
      </w:pPr>
    </w:p>
    <w:p>
      <w:pPr>
        <w:autoSpaceDN w:val="0"/>
        <w:spacing w:line="360" w:lineRule="auto"/>
        <w:jc w:val="center"/>
        <w:rPr>
          <w:rFonts w:ascii="宋体" w:hAnsi="宋体" w:cs="仿宋_GB2312"/>
          <w:b/>
          <w:bCs/>
          <w:color w:val="auto"/>
          <w:sz w:val="30"/>
          <w:szCs w:val="30"/>
        </w:rPr>
      </w:pPr>
    </w:p>
    <w:p>
      <w:pPr>
        <w:autoSpaceDN w:val="0"/>
        <w:spacing w:line="360" w:lineRule="auto"/>
        <w:jc w:val="center"/>
        <w:rPr>
          <w:rFonts w:ascii="宋体" w:hAnsi="宋体" w:cs="仿宋_GB2312"/>
          <w:b/>
          <w:bCs/>
          <w:color w:val="auto"/>
          <w:sz w:val="30"/>
          <w:szCs w:val="30"/>
        </w:rPr>
      </w:pPr>
    </w:p>
    <w:p>
      <w:pPr>
        <w:autoSpaceDN w:val="0"/>
        <w:spacing w:line="360" w:lineRule="auto"/>
        <w:jc w:val="center"/>
        <w:rPr>
          <w:rFonts w:ascii="宋体" w:hAnsi="宋体" w:cs="仿宋_GB2312"/>
          <w:b/>
          <w:bCs/>
          <w:color w:val="auto"/>
          <w:sz w:val="30"/>
          <w:szCs w:val="30"/>
        </w:rPr>
      </w:pPr>
    </w:p>
    <w:p>
      <w:pPr>
        <w:autoSpaceDN w:val="0"/>
        <w:spacing w:line="360" w:lineRule="auto"/>
        <w:rPr>
          <w:rFonts w:ascii="宋体" w:hAnsi="宋体" w:cs="仿宋_GB2312"/>
          <w:b/>
          <w:bCs/>
          <w:color w:val="auto"/>
          <w:sz w:val="30"/>
          <w:szCs w:val="30"/>
        </w:rPr>
      </w:pPr>
    </w:p>
    <w:p>
      <w:pPr>
        <w:autoSpaceDN w:val="0"/>
        <w:spacing w:line="360" w:lineRule="auto"/>
        <w:jc w:val="center"/>
        <w:rPr>
          <w:rFonts w:ascii="宋体" w:hAnsi="宋体" w:cs="仿宋_GB2312"/>
          <w:b/>
          <w:bCs/>
          <w:color w:val="auto"/>
          <w:sz w:val="30"/>
          <w:szCs w:val="30"/>
        </w:rPr>
      </w:pPr>
    </w:p>
    <w:p>
      <w:pPr>
        <w:autoSpaceDN w:val="0"/>
        <w:spacing w:line="360" w:lineRule="auto"/>
        <w:jc w:val="center"/>
        <w:rPr>
          <w:rFonts w:ascii="宋体" w:hAnsi="宋体" w:cs="仿宋_GB2312"/>
          <w:b/>
          <w:bCs/>
          <w:color w:val="auto"/>
          <w:sz w:val="30"/>
          <w:szCs w:val="30"/>
        </w:rPr>
      </w:pPr>
      <w:r>
        <w:rPr>
          <w:rFonts w:hint="eastAsia" w:ascii="宋体" w:hAnsi="宋体" w:cs="仿宋_GB2312"/>
          <w:b/>
          <w:bCs/>
          <w:color w:val="auto"/>
          <w:sz w:val="30"/>
          <w:szCs w:val="30"/>
        </w:rPr>
        <w:t>共管工程预付款使用监管办法（适用于代建项目）</w:t>
      </w:r>
    </w:p>
    <w:p>
      <w:pPr>
        <w:autoSpaceDN w:val="0"/>
        <w:spacing w:line="360" w:lineRule="auto"/>
        <w:ind w:firstLine="555"/>
        <w:rPr>
          <w:rFonts w:ascii="宋体" w:hAnsi="宋体" w:cs="仿宋_GB2312"/>
          <w:color w:val="auto"/>
          <w:sz w:val="32"/>
          <w:szCs w:val="32"/>
        </w:rPr>
      </w:pPr>
    </w:p>
    <w:p>
      <w:pPr>
        <w:autoSpaceDN w:val="0"/>
        <w:spacing w:line="360" w:lineRule="auto"/>
        <w:ind w:firstLine="720" w:firstLineChars="300"/>
        <w:rPr>
          <w:rFonts w:ascii="宋体" w:hAnsi="宋体"/>
          <w:color w:val="auto"/>
          <w:sz w:val="24"/>
          <w:szCs w:val="24"/>
        </w:rPr>
      </w:pPr>
      <w:r>
        <w:rPr>
          <w:rFonts w:hint="eastAsia" w:ascii="宋体" w:hAnsi="宋体"/>
          <w:color w:val="auto"/>
          <w:sz w:val="24"/>
          <w:szCs w:val="24"/>
        </w:rPr>
        <w:t xml:space="preserve">  鉴于       （下称“本工程”）建设业主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pPr>
        <w:autoSpaceDN w:val="0"/>
        <w:spacing w:line="360" w:lineRule="auto"/>
        <w:rPr>
          <w:rFonts w:ascii="宋体" w:hAnsi="宋体"/>
          <w:color w:val="auto"/>
          <w:sz w:val="24"/>
          <w:szCs w:val="24"/>
        </w:rPr>
      </w:pPr>
      <w:r>
        <w:rPr>
          <w:rFonts w:hint="eastAsia" w:ascii="宋体" w:hAnsi="宋体"/>
          <w:color w:val="auto"/>
          <w:sz w:val="24"/>
          <w:szCs w:val="24"/>
        </w:rPr>
        <w:t xml:space="preserve">    一、共管原则</w:t>
      </w:r>
    </w:p>
    <w:p>
      <w:pPr>
        <w:autoSpaceDN w:val="0"/>
        <w:spacing w:line="360" w:lineRule="auto"/>
        <w:rPr>
          <w:rFonts w:ascii="宋体" w:hAnsi="宋体"/>
          <w:color w:val="auto"/>
          <w:sz w:val="24"/>
          <w:szCs w:val="24"/>
        </w:rPr>
      </w:pPr>
      <w:r>
        <w:rPr>
          <w:rFonts w:hint="eastAsia" w:ascii="宋体" w:hAnsi="宋体"/>
          <w:color w:val="auto"/>
          <w:sz w:val="24"/>
          <w:szCs w:val="24"/>
        </w:rPr>
        <w:t xml:space="preserve">    本工程建设业主、施工承包人及共管银行签订三方资金共管账户合同，在共管银行设立户名为施工承包人的资金结算共管账户。建设业主按《     合同》（以下简称施工合同）约定支付的工程预付款直接支付至上述共管账户（款项支付至共管账户，即视为建设业主已按合同约定履行付款义务）。施工承包人就本工程需从上述账户中对外支付款项的，应按本办法规定报建设业主审核。建设业主审批同意施工承包人用款申请后，向银行出具书面同意支付通知，银行根据前述书面支付通知及施工承包人的申请，将相应资金从共管账户划转至指定收款方。</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二、工程预付款对外支付审批流程</w:t>
      </w:r>
    </w:p>
    <w:p>
      <w:pPr>
        <w:autoSpaceDN w:val="0"/>
        <w:spacing w:line="360" w:lineRule="auto"/>
        <w:ind w:firstLine="480" w:firstLineChars="200"/>
        <w:rPr>
          <w:rFonts w:ascii="宋体" w:hAnsi="宋体"/>
          <w:color w:val="auto"/>
          <w:sz w:val="24"/>
          <w:szCs w:val="24"/>
          <w:u w:val="single"/>
        </w:rPr>
      </w:pPr>
      <w:r>
        <w:rPr>
          <w:rFonts w:hint="eastAsia" w:ascii="宋体" w:hAnsi="宋体"/>
          <w:color w:val="auto"/>
          <w:sz w:val="24"/>
          <w:szCs w:val="24"/>
          <w:u w:val="single"/>
        </w:rPr>
        <w:t>建设业主按施工合同约定支付工程预付款至共管账户后，承包人即可申请支出，每次支出金额不得超过帐户中工程预付款，且累计支出金额不得超过按本工程可开工部分工程量占本工程总工程量比例计算的预付款金额，直至工程预付款支出完毕。</w:t>
      </w:r>
    </w:p>
    <w:p>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 xml:space="preserve"> （注：具体预付款支付次数及条件由工程部门结合项目实际确定。）</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u w:val="single"/>
        </w:rPr>
        <w:t>支付前置条件：签订施工合同，工程本次交地范围完成临时设施、安全文明措施，具备开工条件</w:t>
      </w:r>
      <w:r>
        <w:rPr>
          <w:rFonts w:hint="eastAsia" w:ascii="宋体" w:hAnsi="宋体"/>
          <w:color w:val="auto"/>
          <w:sz w:val="24"/>
          <w:szCs w:val="24"/>
        </w:rPr>
        <w:t>。</w:t>
      </w:r>
    </w:p>
    <w:p>
      <w:pPr>
        <w:autoSpaceDN w:val="0"/>
        <w:spacing w:line="360" w:lineRule="auto"/>
        <w:rPr>
          <w:rFonts w:ascii="宋体" w:hAnsi="宋体"/>
          <w:color w:val="auto"/>
          <w:sz w:val="24"/>
          <w:szCs w:val="24"/>
        </w:rPr>
      </w:pPr>
      <w:r>
        <w:rPr>
          <w:rFonts w:hint="eastAsia" w:ascii="宋体" w:hAnsi="宋体"/>
          <w:color w:val="auto"/>
          <w:sz w:val="24"/>
          <w:szCs w:val="24"/>
        </w:rPr>
        <w:t xml:space="preserve">    申请支付审批流程为：承包人提交申请材料→监理审核→代建单位审核→建设业主审核并出具同意支付通知。</w:t>
      </w:r>
    </w:p>
    <w:p>
      <w:pPr>
        <w:autoSpaceDN w:val="0"/>
        <w:spacing w:line="360" w:lineRule="auto"/>
        <w:ind w:firstLine="360" w:firstLineChars="150"/>
        <w:rPr>
          <w:rFonts w:ascii="宋体" w:hAnsi="宋体"/>
          <w:color w:val="auto"/>
          <w:sz w:val="24"/>
          <w:szCs w:val="24"/>
        </w:rPr>
      </w:pPr>
      <w:r>
        <w:rPr>
          <w:rFonts w:hint="eastAsia" w:ascii="宋体" w:hAnsi="宋体"/>
          <w:color w:val="auto"/>
          <w:sz w:val="24"/>
          <w:szCs w:val="24"/>
        </w:rPr>
        <w:t xml:space="preserve"> 承包人申请款项支出应提供材料包括但不限于：</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1、填写建设业主统一提供的付款申请书；</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2、用款计划（内容包括款项用途、金额等）。</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三、监理单位、代建单位、建设业主在审核承包人支付申请时，如发现支付申请不满足工程节点要求、支出金额不符合工程实际或有弄虚作假情况的，应拒绝承包人的支出申请。</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承包人的支出申请因上述情况被拒绝的，监理单位、代建单位、建设业主不承担任何责任，承包人不得因此延误工程进度、或向相关方索赔。</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四、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pPr>
        <w:autoSpaceDN w:val="0"/>
        <w:spacing w:line="360" w:lineRule="auto"/>
        <w:ind w:firstLine="480" w:firstLineChars="200"/>
        <w:rPr>
          <w:rFonts w:ascii="宋体" w:hAnsi="宋体"/>
          <w:color w:val="auto"/>
          <w:sz w:val="24"/>
          <w:szCs w:val="24"/>
        </w:rPr>
      </w:pPr>
      <w:r>
        <w:rPr>
          <w:rFonts w:hint="eastAsia" w:ascii="宋体" w:hAnsi="宋体"/>
          <w:color w:val="auto"/>
          <w:sz w:val="24"/>
          <w:szCs w:val="24"/>
        </w:rPr>
        <w:t>五、监理单位、代建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代建单位、建设业主无关。</w:t>
      </w:r>
    </w:p>
    <w:p>
      <w:pPr>
        <w:rPr>
          <w:rFonts w:ascii="宋体" w:hAnsi="宋体"/>
          <w:color w:val="auto"/>
        </w:rPr>
      </w:pPr>
      <w:r>
        <w:rPr>
          <w:rFonts w:hint="eastAsia" w:ascii="宋体" w:hAnsi="宋体"/>
          <w:color w:val="auto"/>
          <w:sz w:val="24"/>
          <w:szCs w:val="24"/>
        </w:rPr>
        <w:t>六、本办法是本工程施工合同的组成部分，建设业主、代建单位及承包人均应按本办法执行。</w:t>
      </w:r>
    </w:p>
    <w:p>
      <w:pPr>
        <w:snapToGrid w:val="0"/>
        <w:spacing w:line="520" w:lineRule="exact"/>
        <w:rPr>
          <w:rFonts w:ascii="宋体" w:hAnsi="宋体"/>
          <w:b/>
          <w:color w:val="auto"/>
          <w:sz w:val="28"/>
          <w:szCs w:val="28"/>
        </w:rPr>
      </w:pPr>
    </w:p>
    <w:p>
      <w:pPr>
        <w:widowControl/>
        <w:jc w:val="left"/>
        <w:rPr>
          <w:rFonts w:hAnsi="宋体" w:cs="宋体"/>
          <w:snapToGrid w:val="0"/>
          <w:color w:val="auto"/>
          <w:kern w:val="0"/>
          <w:sz w:val="24"/>
          <w:szCs w:val="32"/>
        </w:rPr>
      </w:pPr>
      <w:r>
        <w:rPr>
          <w:rFonts w:ascii="宋体" w:hAnsi="宋体"/>
          <w:b/>
          <w:color w:val="auto"/>
          <w:sz w:val="28"/>
          <w:szCs w:val="28"/>
        </w:rPr>
        <w:br w:type="page"/>
      </w:r>
    </w:p>
    <w:p>
      <w:pPr>
        <w:pStyle w:val="3"/>
        <w:rPr>
          <w:color w:val="auto"/>
          <w:highlight w:val="none"/>
        </w:rPr>
      </w:pPr>
      <w:bookmarkStart w:id="47" w:name="_Toc888"/>
      <w:r>
        <w:rPr>
          <w:rFonts w:hint="eastAsia"/>
          <w:color w:val="auto"/>
          <w:highlight w:val="none"/>
        </w:rPr>
        <w:t>第四章 投标文件格式</w:t>
      </w:r>
      <w:bookmarkEnd w:id="46"/>
      <w:bookmarkEnd w:id="47"/>
    </w:p>
    <w:p>
      <w:pPr>
        <w:pStyle w:val="7"/>
        <w:rPr>
          <w:color w:val="auto"/>
          <w:highlight w:val="none"/>
        </w:rPr>
      </w:pPr>
      <w:bookmarkStart w:id="48" w:name="_Toc9577"/>
      <w:r>
        <w:rPr>
          <w:color w:val="auto"/>
          <w:highlight w:val="none"/>
        </w:rPr>
        <w:t>一、</w:t>
      </w:r>
      <w:r>
        <w:rPr>
          <w:rFonts w:hint="eastAsia"/>
          <w:color w:val="auto"/>
          <w:highlight w:val="none"/>
        </w:rPr>
        <w:t>技术标</w:t>
      </w:r>
      <w:r>
        <w:rPr>
          <w:color w:val="auto"/>
          <w:highlight w:val="none"/>
        </w:rPr>
        <w:t>投标文件格式</w:t>
      </w:r>
      <w:bookmarkEnd w:id="48"/>
    </w:p>
    <w:p>
      <w:pPr>
        <w:pStyle w:val="9"/>
        <w:rPr>
          <w:color w:val="auto"/>
          <w:highlight w:val="none"/>
        </w:rPr>
      </w:pPr>
      <w:bookmarkStart w:id="49" w:name="_Toc10309"/>
      <w:bookmarkStart w:id="50" w:name="_Toc60070621"/>
      <w:r>
        <w:rPr>
          <w:rFonts w:hint="eastAsia"/>
          <w:color w:val="auto"/>
          <w:highlight w:val="none"/>
        </w:rPr>
        <w:t>格式一：</w:t>
      </w:r>
      <w:bookmarkEnd w:id="49"/>
      <w:bookmarkEnd w:id="50"/>
    </w:p>
    <w:p>
      <w:pPr>
        <w:jc w:val="center"/>
        <w:rPr>
          <w:rFonts w:ascii="宋体" w:hAnsi="宋体" w:cs="宋体"/>
          <w:b/>
          <w:color w:val="auto"/>
          <w:sz w:val="36"/>
          <w:szCs w:val="36"/>
          <w:highlight w:val="none"/>
        </w:rPr>
      </w:pPr>
      <w:bookmarkStart w:id="51" w:name="_Toc58838587"/>
      <w:r>
        <w:rPr>
          <w:rFonts w:hint="eastAsia" w:ascii="宋体" w:hAnsi="宋体" w:cs="宋体"/>
          <w:b/>
          <w:color w:val="auto"/>
          <w:sz w:val="36"/>
          <w:szCs w:val="36"/>
          <w:highlight w:val="none"/>
        </w:rPr>
        <w:t>广州建设工程施工招标投标书（技术标）</w:t>
      </w:r>
      <w:bookmarkEnd w:id="51"/>
    </w:p>
    <w:tbl>
      <w:tblPr>
        <w:tblStyle w:val="4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bl>
    <w:p>
      <w:pPr>
        <w:autoSpaceDE w:val="0"/>
        <w:autoSpaceDN w:val="0"/>
        <w:adjustRightInd w:val="0"/>
        <w:spacing w:line="360" w:lineRule="auto"/>
        <w:rPr>
          <w:rFonts w:ascii="宋体" w:hAnsi="宋体" w:cs="宋体"/>
          <w:color w:val="auto"/>
          <w:sz w:val="24"/>
          <w:szCs w:val="24"/>
          <w:highlight w:val="none"/>
        </w:rPr>
      </w:pPr>
      <w:r>
        <w:rPr>
          <w:rFonts w:ascii="宋体" w:hAnsi="宋体"/>
          <w:b/>
          <w:color w:val="auto"/>
          <w:highlight w:val="none"/>
        </w:rPr>
        <w:br w:type="page"/>
      </w:r>
    </w:p>
    <w:p>
      <w:pPr>
        <w:pStyle w:val="9"/>
        <w:rPr>
          <w:color w:val="auto"/>
          <w:highlight w:val="none"/>
        </w:rPr>
      </w:pPr>
      <w:bookmarkStart w:id="52" w:name="_Toc60070622"/>
      <w:bookmarkStart w:id="53" w:name="_Toc27671"/>
      <w:r>
        <w:rPr>
          <w:rFonts w:hint="eastAsia"/>
          <w:color w:val="auto"/>
          <w:highlight w:val="none"/>
        </w:rPr>
        <w:t>格式二：</w:t>
      </w:r>
      <w:bookmarkEnd w:id="52"/>
      <w:bookmarkEnd w:id="5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投标函</w:t>
      </w:r>
    </w:p>
    <w:p>
      <w:pPr>
        <w:topLinePunct/>
        <w:adjustRightInd w:val="0"/>
        <w:snapToGrid w:val="0"/>
        <w:spacing w:line="360"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 （招标人名称） </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项目</w:t>
      </w:r>
      <w:r>
        <w:rPr>
          <w:rFonts w:hint="eastAsia" w:ascii="宋体" w:hAnsi="宋体" w:cs="宋体"/>
          <w:color w:val="auto"/>
          <w:sz w:val="24"/>
          <w:szCs w:val="24"/>
          <w:highlight w:val="none"/>
        </w:rPr>
        <w:t>的招标文件，并已详细审核了全部招标文件及有关附件。</w:t>
      </w:r>
    </w:p>
    <w:p>
      <w:pPr>
        <w:snapToGrid w:val="0"/>
        <w:spacing w:line="360"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保证金将不予退还，给贵方造成的损失超过我方投标保证金的，贵方还有权要求我方对超过部分进行赔偿。</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w:t>
      </w:r>
      <w:r>
        <w:rPr>
          <w:rFonts w:hint="eastAsia" w:ascii="宋体" w:hAnsi="宋体" w:cs="宋体"/>
          <w:b/>
          <w:color w:val="auto"/>
          <w:sz w:val="24"/>
          <w:szCs w:val="24"/>
          <w:highlight w:val="none"/>
        </w:rPr>
        <w:t>在</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日历天</w:t>
      </w:r>
      <w:r>
        <w:rPr>
          <w:rFonts w:hint="eastAsia" w:ascii="宋体" w:hAnsi="宋体" w:cs="宋体"/>
          <w:color w:val="auto"/>
          <w:sz w:val="24"/>
          <w:szCs w:val="24"/>
          <w:highlight w:val="none"/>
        </w:rPr>
        <w:t>内完成并移交本工程，质量标准达到招标文件中的要求。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360" w:lineRule="auto"/>
        <w:ind w:firstLine="480"/>
        <w:rPr>
          <w:rFonts w:ascii="宋体" w:hAnsi="宋体" w:cs="宋体"/>
          <w:color w:val="auto"/>
          <w:sz w:val="24"/>
          <w:szCs w:val="24"/>
          <w:highlight w:val="none"/>
        </w:rPr>
      </w:pPr>
      <w:r>
        <w:rPr>
          <w:rFonts w:hint="eastAsia" w:ascii="宋体" w:hAnsi="宋体" w:cs="宋体"/>
          <w:b/>
          <w:bCs/>
          <w:color w:val="auto"/>
          <w:sz w:val="24"/>
          <w:szCs w:val="24"/>
          <w:highlight w:val="none"/>
        </w:rPr>
        <w:t>9、</w:t>
      </w:r>
      <w:r>
        <w:rPr>
          <w:rFonts w:hint="eastAsia" w:ascii="宋体" w:hAnsi="宋体" w:cs="宋体"/>
          <w:b/>
          <w:bCs/>
          <w:color w:val="auto"/>
          <w:kern w:val="0"/>
          <w:sz w:val="24"/>
          <w:szCs w:val="24"/>
          <w:highlight w:val="none"/>
        </w:rPr>
        <w:t>如我方中标,我方承诺：须按《广州开发区财政投资建设项目管理中心施工类合同结算编审指引（试行）》（知识城项目则为《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spacing w:line="360" w:lineRule="auto"/>
        <w:ind w:firstLine="691" w:firstLineChars="279"/>
        <w:jc w:val="left"/>
        <w:rPr>
          <w:rFonts w:ascii="宋体" w:hAnsi="宋体" w:cs="宋体"/>
          <w:color w:val="auto"/>
          <w:sz w:val="24"/>
          <w:szCs w:val="20"/>
          <w:highlight w:val="none"/>
        </w:rPr>
      </w:pPr>
      <w:r>
        <w:rPr>
          <w:rFonts w:hint="eastAsia" w:ascii="宋体" w:hAnsi="宋体" w:cs="宋体"/>
          <w:snapToGrid w:val="0"/>
          <w:color w:val="auto"/>
          <w:spacing w:val="4"/>
          <w:kern w:val="0"/>
          <w:sz w:val="24"/>
          <w:szCs w:val="24"/>
          <w:highlight w:val="none"/>
        </w:rPr>
        <w:t>日    期：    年    月    日</w:t>
      </w:r>
    </w:p>
    <w:p>
      <w:pPr>
        <w:autoSpaceDN w:val="0"/>
        <w:jc w:val="center"/>
        <w:rPr>
          <w:rFonts w:ascii="宋体" w:hAnsi="宋体" w:cs="宋体"/>
          <w:color w:val="auto"/>
          <w:szCs w:val="20"/>
          <w:highlight w:val="none"/>
        </w:rPr>
      </w:pPr>
      <w:r>
        <w:rPr>
          <w:rFonts w:hint="eastAsia" w:ascii="宋体" w:hAnsi="宋体" w:cs="宋体"/>
          <w:color w:val="auto"/>
          <w:szCs w:val="20"/>
          <w:highlight w:val="none"/>
        </w:rPr>
        <w:br w:type="page"/>
      </w:r>
    </w:p>
    <w:p>
      <w:pPr>
        <w:pStyle w:val="9"/>
        <w:rPr>
          <w:snapToGrid w:val="0"/>
          <w:color w:val="auto"/>
          <w:spacing w:val="4"/>
          <w:highlight w:val="none"/>
        </w:rPr>
      </w:pPr>
      <w:bookmarkStart w:id="54" w:name="_Toc26662"/>
      <w:bookmarkStart w:id="55" w:name="_Toc60070623"/>
      <w:r>
        <w:rPr>
          <w:rFonts w:hint="eastAsia"/>
          <w:color w:val="auto"/>
          <w:highlight w:val="none"/>
        </w:rPr>
        <w:t>格式三：</w:t>
      </w:r>
      <w:bookmarkEnd w:id="54"/>
      <w:bookmarkEnd w:id="55"/>
    </w:p>
    <w:p>
      <w:pPr>
        <w:jc w:val="center"/>
        <w:rPr>
          <w:rFonts w:ascii="宋体" w:hAnsi="宋体"/>
          <w:b/>
          <w:color w:val="auto"/>
          <w:sz w:val="36"/>
          <w:szCs w:val="36"/>
          <w:highlight w:val="none"/>
        </w:rPr>
      </w:pPr>
      <w:r>
        <w:rPr>
          <w:rFonts w:hint="eastAsia" w:ascii="宋体" w:hAnsi="宋体"/>
          <w:b/>
          <w:color w:val="auto"/>
          <w:sz w:val="36"/>
          <w:szCs w:val="36"/>
          <w:highlight w:val="none"/>
        </w:rPr>
        <w:t>标函承诺书</w:t>
      </w:r>
    </w:p>
    <w:p>
      <w:pPr>
        <w:pStyle w:val="309"/>
        <w:spacing w:line="360" w:lineRule="auto"/>
        <w:ind w:left="339" w:leftChars="101" w:hanging="127" w:hangingChars="53"/>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致：（招标人）</w:t>
      </w:r>
    </w:p>
    <w:p>
      <w:pPr>
        <w:pStyle w:val="309"/>
        <w:spacing w:after="0" w:line="360" w:lineRule="auto"/>
        <w:ind w:left="357" w:leftChars="170"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如果在本招标工程中我司中标，我司将积极响应贵单位提出的合同条件及招标文件的要求，并做出如下承诺：</w:t>
      </w:r>
    </w:p>
    <w:p>
      <w:pPr>
        <w:pStyle w:val="309"/>
        <w:spacing w:after="0" w:line="360" w:lineRule="auto"/>
        <w:ind w:left="357" w:leftChars="170"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1、若我公司中标，我公司承诺按时交纳履约保证金。</w:t>
      </w:r>
    </w:p>
    <w:p>
      <w:pPr>
        <w:pStyle w:val="309"/>
        <w:spacing w:after="156" w:afterLines="50" w:line="360" w:lineRule="auto"/>
        <w:ind w:left="357" w:leftChars="170"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2、在本工程施工期间，拟投入的人力不少于下表中的人数</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113"/>
              <w:spacing w:line="240" w:lineRule="auto"/>
              <w:ind w:left="357" w:leftChars="170" w:firstLine="420" w:firstLine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r>
              <w:rPr>
                <w:rFonts w:hint="eastAsia" w:ascii="宋体" w:hAnsi="宋体"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left="357" w:leftChars="170" w:firstLine="420" w:firstLineChars="200"/>
              <w:jc w:val="center"/>
              <w:rPr>
                <w:rFonts w:ascii="宋体" w:hAnsi="宋体" w:cs="宋体"/>
                <w:color w:val="auto"/>
                <w:kern w:val="0"/>
                <w:szCs w:val="21"/>
                <w:highlight w:val="none"/>
                <w:u w:val="single"/>
              </w:rPr>
            </w:pPr>
          </w:p>
        </w:tc>
      </w:tr>
    </w:tbl>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3、在工程施工期间，拟投入的主要机械设备按投标文件所附的《拟投入本工程施工的主要机械设备配备表》</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4、所选用的主要材料品牌符合招标文件的要求。</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5、拟投入到本工程的主要技术人员、经济和管理人员如表：详见《施工项目管理团队人员信息表》</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7、本工程施工过程中，我司将严格按照国家、省、市有关施工及验收规范、标准进行施工，确保本工程质量</w:t>
      </w:r>
      <w:r>
        <w:rPr>
          <w:rFonts w:hint="eastAsia" w:ascii="宋体" w:hAnsi="宋体" w:cs="宋体"/>
          <w:b/>
          <w:color w:val="auto"/>
          <w:sz w:val="24"/>
          <w:szCs w:val="24"/>
          <w:highlight w:val="none"/>
          <w:u w:val="single"/>
        </w:rPr>
        <w:t xml:space="preserve">达到      </w:t>
      </w:r>
      <w:r>
        <w:rPr>
          <w:rFonts w:hint="eastAsia" w:ascii="宋体" w:hAnsi="宋体" w:cs="宋体"/>
          <w:color w:val="auto"/>
          <w:sz w:val="24"/>
          <w:szCs w:val="24"/>
          <w:highlight w:val="none"/>
          <w:u w:val="single"/>
        </w:rPr>
        <w:t>（要按本工程投标文件承诺的等级填写）等级。</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8、在确保工程质量的前提下，我司严格控制工程工期，确保工程 </w:t>
      </w:r>
      <w:r>
        <w:rPr>
          <w:rFonts w:ascii="宋体" w:hAnsi="宋体" w:cs="宋体"/>
          <w:color w:val="auto"/>
          <w:sz w:val="24"/>
          <w:szCs w:val="24"/>
          <w:highlight w:val="none"/>
          <w:u w:val="single"/>
        </w:rPr>
        <w:t xml:space="preserve">     </w:t>
      </w:r>
      <w:r>
        <w:rPr>
          <w:rFonts w:hint="eastAsia" w:ascii="宋体" w:hAnsi="宋体" w:cs="宋体"/>
          <w:b/>
          <w:color w:val="auto"/>
          <w:sz w:val="24"/>
          <w:szCs w:val="24"/>
          <w:highlight w:val="none"/>
          <w:u w:val="single"/>
        </w:rPr>
        <w:t>在      日历天</w:t>
      </w:r>
      <w:r>
        <w:rPr>
          <w:rFonts w:hint="eastAsia" w:ascii="宋体" w:hAnsi="宋体" w:cs="宋体"/>
          <w:color w:val="auto"/>
          <w:sz w:val="24"/>
          <w:szCs w:val="24"/>
          <w:highlight w:val="none"/>
          <w:u w:val="single"/>
        </w:rPr>
        <w:t>内完成。</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10、按照发包人、监理工程师的要求及时为各专业工程（电信、电力管线、电力走廊、煤气、道路绿化、路灯、交通设施等）提供工作面，并为专业工程穿插施工所需各项配合工作给予方便。</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5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 w:val="24"/>
                <w:szCs w:val="24"/>
                <w:highlight w:val="none"/>
                <w:u w:val="single"/>
              </w:rPr>
            </w:pPr>
          </w:p>
        </w:tc>
      </w:tr>
    </w:tbl>
    <w:p>
      <w:pPr>
        <w:tabs>
          <w:tab w:val="left" w:pos="645"/>
          <w:tab w:val="left" w:pos="930"/>
        </w:tabs>
        <w:spacing w:line="360" w:lineRule="auto"/>
        <w:ind w:left="420" w:leftChars="200" w:firstLine="480" w:firstLineChars="200"/>
        <w:rPr>
          <w:rFonts w:ascii="宋体" w:hAnsi="宋体" w:cs="宋体"/>
          <w:bCs/>
          <w:color w:val="auto"/>
          <w:sz w:val="24"/>
          <w:szCs w:val="24"/>
          <w:highlight w:val="none"/>
          <w:u w:val="single"/>
        </w:rPr>
      </w:pPr>
      <w:r>
        <w:rPr>
          <w:rFonts w:hint="eastAsia" w:ascii="宋体" w:hAnsi="宋体"/>
          <w:color w:val="auto"/>
          <w:sz w:val="24"/>
          <w:szCs w:val="24"/>
          <w:highlight w:val="none"/>
          <w:u w:val="single"/>
        </w:rPr>
        <w:t>12、我司保证在中标后，严格按照 《广州市住房和城乡建设局关于印发广州市建筑施工实名制管理办法的通知》（穗建规字[2020]18号）、《关于印发广州市建设领域工人工资支付分账管理实施细则的通知》（穗建规字[2020]37号）等最新规定及广州市黄埔区、开发区对应出台的相关文件规定办理建筑工地实名制管理和工人工资支付分账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tabs>
          <w:tab w:val="left" w:pos="315"/>
        </w:tabs>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13、我司保证在中标后，根据工程特点，编制本工程详细的施工组织设计和施工方案，并报监理和发包人审核批准，并严格按审批的意见和要求组织施工。</w:t>
      </w:r>
    </w:p>
    <w:p>
      <w:pPr>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14、我司承诺积极响应并接受招标文件中合同专用专款关于合同价款的调整办法。</w:t>
      </w:r>
    </w:p>
    <w:p>
      <w:pPr>
        <w:pStyle w:val="296"/>
        <w:spacing w:line="360" w:lineRule="auto"/>
        <w:ind w:left="420" w:leftChars="200"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15、我司保证在中标后，施工现场严格按照《广州市建设工程文明施工管理规定》（广州市人民政府令第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2018〕1008号）、《广州市建设工程绿色施工围蔽指导图集（V2.0版）的通知》(穂建质〔2020〕1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我司随时接受监理、业主、安监机构等相关部门监督和检查，对在检查中发现不符合绿色施工、安全文明施工要求的，无条件进行整改。如不及时按要求整改，发包人有权不支付绿色施工安全防护措施费，或另行委托单位实施，所发生的费用在本工程绿色施工安全防护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pStyle w:val="309"/>
        <w:spacing w:line="360" w:lineRule="auto"/>
        <w:ind w:firstLine="5040" w:firstLineChars="21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投标单位：（公章）</w:t>
      </w:r>
    </w:p>
    <w:p>
      <w:pPr>
        <w:pStyle w:val="309"/>
        <w:spacing w:line="360" w:lineRule="auto"/>
        <w:ind w:firstLine="5040" w:firstLineChars="21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法人代表：（签名或盖章）</w:t>
      </w:r>
    </w:p>
    <w:p>
      <w:pPr>
        <w:pStyle w:val="309"/>
        <w:spacing w:line="360" w:lineRule="auto"/>
        <w:ind w:right="560" w:firstLine="5040" w:firstLineChars="21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年  月  日</w:t>
      </w:r>
    </w:p>
    <w:p>
      <w:pPr>
        <w:tabs>
          <w:tab w:val="left" w:pos="720"/>
        </w:tabs>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pStyle w:val="9"/>
        <w:rPr>
          <w:color w:val="auto"/>
          <w:highlight w:val="none"/>
        </w:rPr>
      </w:pPr>
      <w:r>
        <w:rPr>
          <w:rFonts w:hint="eastAsia"/>
          <w:color w:val="auto"/>
          <w:highlight w:val="none"/>
        </w:rPr>
        <w:br w:type="page"/>
      </w:r>
      <w:bookmarkStart w:id="56" w:name="_Toc60070624"/>
      <w:bookmarkStart w:id="57" w:name="_Toc22360"/>
      <w:r>
        <w:rPr>
          <w:rFonts w:hint="eastAsia"/>
          <w:color w:val="auto"/>
          <w:highlight w:val="none"/>
        </w:rPr>
        <w:t>格式四</w:t>
      </w:r>
      <w:r>
        <w:rPr>
          <w:rFonts w:hint="eastAsia"/>
          <w:snapToGrid w:val="0"/>
          <w:color w:val="auto"/>
          <w:spacing w:val="4"/>
          <w:highlight w:val="none"/>
        </w:rPr>
        <w:t>：</w:t>
      </w:r>
      <w:bookmarkEnd w:id="56"/>
      <w:bookmarkEnd w:id="57"/>
    </w:p>
    <w:p>
      <w:pPr>
        <w:jc w:val="center"/>
        <w:rPr>
          <w:rFonts w:ascii="宋体" w:hAnsi="宋体"/>
          <w:b/>
          <w:color w:val="auto"/>
          <w:sz w:val="36"/>
          <w:szCs w:val="36"/>
          <w:highlight w:val="none"/>
        </w:rPr>
      </w:pPr>
      <w:r>
        <w:rPr>
          <w:rFonts w:hint="eastAsia" w:ascii="宋体" w:hAnsi="宋体"/>
          <w:b/>
          <w:color w:val="auto"/>
          <w:sz w:val="36"/>
          <w:szCs w:val="36"/>
          <w:highlight w:val="none"/>
        </w:rPr>
        <w:t>项目负责人驻场承诺书</w:t>
      </w:r>
    </w:p>
    <w:p>
      <w:pPr>
        <w:spacing w:line="336"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rPr>
          <w:rFonts w:ascii="宋体" w:hAnsi="宋体" w:cs="宋体"/>
          <w:color w:val="auto"/>
          <w:sz w:val="24"/>
          <w:szCs w:val="24"/>
          <w:highlight w:val="none"/>
          <w:u w:val="single"/>
        </w:rPr>
      </w:pPr>
    </w:p>
    <w:p>
      <w:pPr>
        <w:spacing w:line="336" w:lineRule="auto"/>
        <w:ind w:firstLine="523" w:firstLineChars="218"/>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2．如果本招标工程我公司中标，我本人保证在工程签订合同之日起至工程竣工验收完成期间只担任此工程的项目经理，不参加其他任何工程的登记和任何工作，不在其他任何工程担任任何职务。</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设管理等有关部门并接受上述部门给予的通报和相关职能部门给予的扣证等处罚。</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4．项目负责人本人身份证复印件和两寸相片：</w:t>
      </w:r>
    </w:p>
    <w:p>
      <w:pPr>
        <w:spacing w:line="336" w:lineRule="auto"/>
        <w:rPr>
          <w:rFonts w:ascii="宋体" w:hAnsi="宋体" w:cs="宋体"/>
          <w:color w:val="auto"/>
          <w:sz w:val="24"/>
          <w:szCs w:val="24"/>
          <w:highlight w:val="none"/>
          <w:u w:val="single"/>
        </w:rPr>
      </w:pP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身份证复印件</w:t>
            </w:r>
          </w:p>
        </w:tc>
        <w:tc>
          <w:tcPr>
            <w:tcW w:w="2492"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相片</w:t>
            </w:r>
          </w:p>
        </w:tc>
      </w:tr>
    </w:tbl>
    <w:p>
      <w:pPr>
        <w:spacing w:line="336" w:lineRule="auto"/>
        <w:rPr>
          <w:rFonts w:ascii="宋体" w:hAnsi="宋体" w:cs="宋体"/>
          <w:color w:val="auto"/>
          <w:sz w:val="24"/>
          <w:szCs w:val="24"/>
          <w:highlight w:val="none"/>
          <w:u w:val="single"/>
        </w:rPr>
      </w:pPr>
    </w:p>
    <w:p>
      <w:pPr>
        <w:spacing w:line="336"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tabs>
          <w:tab w:val="left" w:pos="720"/>
        </w:tabs>
        <w:snapToGrid w:val="0"/>
        <w:spacing w:line="336" w:lineRule="auto"/>
        <w:jc w:val="righ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     年   月    日</w:t>
      </w:r>
    </w:p>
    <w:p>
      <w:pPr>
        <w:pStyle w:val="2"/>
        <w:rPr>
          <w:rFonts w:hAnsi="宋体" w:cs="宋体"/>
          <w:color w:val="auto"/>
          <w:kern w:val="0"/>
          <w:sz w:val="27"/>
          <w:szCs w:val="27"/>
          <w:highlight w:val="none"/>
        </w:rPr>
      </w:pPr>
      <w:bookmarkStart w:id="58" w:name="_Toc60070625"/>
      <w:r>
        <w:rPr>
          <w:color w:val="auto"/>
          <w:highlight w:val="none"/>
        </w:rPr>
        <w:br w:type="page"/>
      </w:r>
    </w:p>
    <w:p>
      <w:pPr>
        <w:pStyle w:val="9"/>
        <w:rPr>
          <w:color w:val="auto"/>
          <w:highlight w:val="none"/>
        </w:rPr>
      </w:pPr>
      <w:bookmarkStart w:id="59" w:name="_Toc29141"/>
      <w:r>
        <w:rPr>
          <w:rFonts w:hint="eastAsia"/>
          <w:color w:val="auto"/>
          <w:highlight w:val="none"/>
        </w:rPr>
        <w:t>格式五：</w:t>
      </w:r>
      <w:bookmarkEnd w:id="58"/>
      <w:bookmarkEnd w:id="59"/>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施工项目管理团队人员信息表</w:t>
      </w:r>
    </w:p>
    <w:tbl>
      <w:tblPr>
        <w:tblStyle w:val="49"/>
        <w:tblW w:w="9180" w:type="dxa"/>
        <w:tblInd w:w="0" w:type="dxa"/>
        <w:tblLayout w:type="fixed"/>
        <w:tblCellMar>
          <w:top w:w="0" w:type="dxa"/>
          <w:left w:w="108" w:type="dxa"/>
          <w:bottom w:w="0" w:type="dxa"/>
          <w:right w:w="108" w:type="dxa"/>
        </w:tblCellMar>
      </w:tblPr>
      <w:tblGrid>
        <w:gridCol w:w="1242"/>
        <w:gridCol w:w="1744"/>
        <w:gridCol w:w="1549"/>
        <w:gridCol w:w="1417"/>
        <w:gridCol w:w="3228"/>
      </w:tblGrid>
      <w:tr>
        <w:tblPrEx>
          <w:tblCellMar>
            <w:top w:w="0" w:type="dxa"/>
            <w:left w:w="108" w:type="dxa"/>
            <w:bottom w:w="0" w:type="dxa"/>
            <w:right w:w="108" w:type="dxa"/>
          </w:tblCellMar>
        </w:tblPrEx>
        <w:trPr>
          <w:trHeight w:val="975" w:hRule="atLeast"/>
        </w:trPr>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7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5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322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3</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4</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5</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ascii="宋体" w:hAnsi="宋体" w:cs="宋体"/>
                <w:color w:val="auto"/>
                <w:kern w:val="0"/>
                <w:szCs w:val="21"/>
                <w:highlight w:val="none"/>
              </w:rPr>
              <w:t>6</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trPr>
        <w:tc>
          <w:tcPr>
            <w:tcW w:w="124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74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4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22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3787" w:hRule="atLeast"/>
        </w:trPr>
        <w:tc>
          <w:tcPr>
            <w:tcW w:w="918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备注：</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1、“岗位”要求</w:t>
            </w:r>
            <w:r>
              <w:rPr>
                <w:rFonts w:hint="eastAsia" w:ascii="宋体" w:hAnsi="宋体" w:cs="宋体"/>
                <w:b/>
                <w:bCs/>
                <w:color w:val="auto"/>
                <w:kern w:val="0"/>
                <w:szCs w:val="21"/>
                <w:highlight w:val="none"/>
              </w:rPr>
              <w:t>（除项目负责人和专职安全员外）</w:t>
            </w:r>
            <w:r>
              <w:rPr>
                <w:rFonts w:hint="eastAsia" w:ascii="宋体" w:hAnsi="宋体" w:cs="宋体"/>
                <w:color w:val="auto"/>
                <w:kern w:val="0"/>
                <w:szCs w:val="21"/>
                <w:highlight w:val="none"/>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pPr>
              <w:widowControl/>
              <w:jc w:val="left"/>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ascii="宋体" w:hAnsi="宋体" w:cs="宋体"/>
                <w:color w:val="auto"/>
                <w:kern w:val="0"/>
                <w:szCs w:val="21"/>
                <w:highlight w:val="none"/>
              </w:rPr>
            </w:pPr>
            <w:r>
              <w:rPr>
                <w:rFonts w:ascii="宋体" w:hAnsi="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pStyle w:val="181"/>
        <w:spacing w:line="240" w:lineRule="auto"/>
        <w:ind w:firstLine="0" w:firstLineChars="0"/>
        <w:rPr>
          <w:color w:val="auto"/>
          <w:highlight w:val="none"/>
        </w:rPr>
      </w:pPr>
      <w:r>
        <w:rPr>
          <w:rFonts w:hint="eastAsia"/>
          <w:color w:val="auto"/>
          <w:highlight w:val="none"/>
        </w:rPr>
        <w:t>注：附相关的证明材料。</w:t>
      </w:r>
    </w:p>
    <w:p>
      <w:pPr>
        <w:topLinePunct/>
        <w:adjustRightInd w:val="0"/>
        <w:snapToGrid w:val="0"/>
        <w:rPr>
          <w:rFonts w:ascii="宋体" w:hAnsi="宋体" w:cs="宋体"/>
          <w:color w:val="auto"/>
          <w:spacing w:val="4"/>
          <w:kern w:val="0"/>
          <w:szCs w:val="21"/>
          <w:highlight w:val="none"/>
        </w:rPr>
      </w:pPr>
    </w:p>
    <w:p>
      <w:pPr>
        <w:topLinePunct/>
        <w:adjustRightInd w:val="0"/>
        <w:snapToGrid w:val="0"/>
        <w:spacing w:line="360" w:lineRule="auto"/>
        <w:ind w:firstLine="3596" w:firstLineChars="145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topLinePunct/>
        <w:adjustRightInd w:val="0"/>
        <w:snapToGrid w:val="0"/>
        <w:spacing w:line="360" w:lineRule="auto"/>
        <w:ind w:firstLine="3596" w:firstLineChars="145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法定代表人或授权代理人(签字或盖章)：</w:t>
      </w:r>
    </w:p>
    <w:p>
      <w:pPr>
        <w:autoSpaceDE w:val="0"/>
        <w:autoSpaceDN w:val="0"/>
        <w:adjustRightInd w:val="0"/>
        <w:spacing w:line="360" w:lineRule="auto"/>
        <w:ind w:firstLine="3596" w:firstLineChars="1450"/>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日   期：    年    月    日</w:t>
      </w:r>
    </w:p>
    <w:p>
      <w:pPr>
        <w:jc w:val="center"/>
        <w:rPr>
          <w:rFonts w:ascii="宋体" w:hAnsi="宋体" w:cs="宋体"/>
          <w:b/>
          <w:color w:val="auto"/>
          <w:sz w:val="36"/>
          <w:szCs w:val="36"/>
          <w:highlight w:val="none"/>
        </w:rPr>
      </w:pPr>
      <w:r>
        <w:rPr>
          <w:rFonts w:hint="eastAsia" w:ascii="宋体" w:hAnsi="宋体"/>
          <w:color w:val="auto"/>
          <w:spacing w:val="4"/>
          <w:highlight w:val="none"/>
        </w:rPr>
        <w:br w:type="page"/>
      </w:r>
      <w:r>
        <w:rPr>
          <w:rFonts w:hint="eastAsia" w:ascii="宋体" w:hAnsi="宋体" w:cs="宋体"/>
          <w:b/>
          <w:color w:val="auto"/>
          <w:sz w:val="36"/>
          <w:szCs w:val="36"/>
          <w:highlight w:val="none"/>
        </w:rPr>
        <w:t>主要人员简历表</w:t>
      </w:r>
    </w:p>
    <w:tbl>
      <w:tblPr>
        <w:tblStyle w:val="49"/>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3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88" w:type="dxa"/>
            <w:vAlign w:val="center"/>
          </w:tcPr>
          <w:p>
            <w:pPr>
              <w:spacing w:line="360" w:lineRule="auto"/>
              <w:jc w:val="center"/>
              <w:rPr>
                <w:rFonts w:ascii="宋体" w:hAnsi="宋体" w:cs="宋体"/>
                <w:color w:val="auto"/>
                <w:szCs w:val="21"/>
                <w:highlight w:val="none"/>
              </w:rPr>
            </w:pPr>
          </w:p>
        </w:tc>
        <w:tc>
          <w:tcPr>
            <w:tcW w:w="15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1911" w:type="dxa"/>
            <w:vAlign w:val="center"/>
          </w:tcPr>
          <w:p>
            <w:pPr>
              <w:spacing w:line="360" w:lineRule="auto"/>
              <w:jc w:val="center"/>
              <w:rPr>
                <w:rFonts w:ascii="宋体" w:hAnsi="宋体" w:cs="宋体"/>
                <w:color w:val="auto"/>
                <w:szCs w:val="21"/>
                <w:highlight w:val="none"/>
              </w:rPr>
            </w:pPr>
          </w:p>
        </w:tc>
        <w:tc>
          <w:tcPr>
            <w:tcW w:w="136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582"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88" w:type="dxa"/>
            <w:vAlign w:val="center"/>
          </w:tcPr>
          <w:p>
            <w:pPr>
              <w:spacing w:line="360" w:lineRule="auto"/>
              <w:jc w:val="center"/>
              <w:rPr>
                <w:rFonts w:ascii="宋体" w:hAnsi="宋体" w:cs="宋体"/>
                <w:color w:val="auto"/>
                <w:szCs w:val="21"/>
                <w:highlight w:val="none"/>
              </w:rPr>
            </w:pPr>
          </w:p>
        </w:tc>
        <w:tc>
          <w:tcPr>
            <w:tcW w:w="15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911" w:type="dxa"/>
            <w:vAlign w:val="center"/>
          </w:tcPr>
          <w:p>
            <w:pPr>
              <w:spacing w:line="360" w:lineRule="auto"/>
              <w:jc w:val="center"/>
              <w:rPr>
                <w:rFonts w:ascii="宋体" w:hAnsi="宋体" w:cs="宋体"/>
                <w:color w:val="auto"/>
                <w:szCs w:val="21"/>
                <w:highlight w:val="none"/>
              </w:rPr>
            </w:pPr>
          </w:p>
        </w:tc>
        <w:tc>
          <w:tcPr>
            <w:tcW w:w="136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582" w:type="dxa"/>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参加工作时间</w:t>
            </w:r>
          </w:p>
        </w:tc>
        <w:tc>
          <w:tcPr>
            <w:tcW w:w="1534" w:type="dxa"/>
            <w:vAlign w:val="center"/>
          </w:tcPr>
          <w:p>
            <w:pPr>
              <w:spacing w:line="360" w:lineRule="auto"/>
              <w:jc w:val="center"/>
              <w:rPr>
                <w:rFonts w:ascii="宋体" w:hAnsi="宋体" w:cs="宋体"/>
                <w:color w:val="auto"/>
                <w:szCs w:val="21"/>
                <w:highlight w:val="none"/>
              </w:rPr>
            </w:pPr>
          </w:p>
        </w:tc>
        <w:tc>
          <w:tcPr>
            <w:tcW w:w="191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担任相应职务年限</w:t>
            </w:r>
          </w:p>
        </w:tc>
        <w:tc>
          <w:tcPr>
            <w:tcW w:w="2943" w:type="dxa"/>
            <w:gridSpan w:val="2"/>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资格证书号</w:t>
            </w:r>
          </w:p>
        </w:tc>
        <w:tc>
          <w:tcPr>
            <w:tcW w:w="6388" w:type="dxa"/>
            <w:gridSpan w:val="4"/>
            <w:vAlign w:val="center"/>
          </w:tcPr>
          <w:p>
            <w:pPr>
              <w:spacing w:line="360" w:lineRule="auto"/>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9210" w:type="dxa"/>
            <w:gridSpan w:val="6"/>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建设单位</w:t>
            </w:r>
          </w:p>
        </w:tc>
        <w:tc>
          <w:tcPr>
            <w:tcW w:w="148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1534"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建设规模</w:t>
            </w:r>
          </w:p>
        </w:tc>
        <w:tc>
          <w:tcPr>
            <w:tcW w:w="191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开、竣工日期</w:t>
            </w:r>
          </w:p>
        </w:tc>
        <w:tc>
          <w:tcPr>
            <w:tcW w:w="136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在建或已完工程质量</w:t>
            </w:r>
          </w:p>
        </w:tc>
        <w:tc>
          <w:tcPr>
            <w:tcW w:w="15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left"/>
              <w:rPr>
                <w:rFonts w:ascii="宋体" w:hAnsi="宋体" w:cs="宋体"/>
                <w:color w:val="auto"/>
                <w:szCs w:val="21"/>
                <w:highlight w:val="none"/>
              </w:rPr>
            </w:pPr>
          </w:p>
        </w:tc>
        <w:tc>
          <w:tcPr>
            <w:tcW w:w="1488" w:type="dxa"/>
            <w:vAlign w:val="center"/>
          </w:tcPr>
          <w:p>
            <w:pPr>
              <w:spacing w:line="360" w:lineRule="auto"/>
              <w:jc w:val="left"/>
              <w:rPr>
                <w:rFonts w:ascii="宋体" w:hAnsi="宋体" w:cs="宋体"/>
                <w:color w:val="auto"/>
                <w:szCs w:val="21"/>
                <w:highlight w:val="none"/>
              </w:rPr>
            </w:pPr>
          </w:p>
        </w:tc>
        <w:tc>
          <w:tcPr>
            <w:tcW w:w="1534" w:type="dxa"/>
            <w:vAlign w:val="center"/>
          </w:tcPr>
          <w:p>
            <w:pPr>
              <w:spacing w:line="360" w:lineRule="auto"/>
              <w:jc w:val="left"/>
              <w:rPr>
                <w:rFonts w:ascii="宋体" w:hAnsi="宋体" w:cs="宋体"/>
                <w:color w:val="auto"/>
                <w:szCs w:val="21"/>
                <w:highlight w:val="none"/>
              </w:rPr>
            </w:pPr>
          </w:p>
        </w:tc>
        <w:tc>
          <w:tcPr>
            <w:tcW w:w="1911" w:type="dxa"/>
            <w:vAlign w:val="center"/>
          </w:tcPr>
          <w:p>
            <w:pPr>
              <w:spacing w:line="360" w:lineRule="auto"/>
              <w:jc w:val="left"/>
              <w:rPr>
                <w:rFonts w:ascii="宋体" w:hAnsi="宋体" w:cs="宋体"/>
                <w:color w:val="auto"/>
                <w:szCs w:val="21"/>
                <w:highlight w:val="none"/>
              </w:rPr>
            </w:pPr>
          </w:p>
        </w:tc>
        <w:tc>
          <w:tcPr>
            <w:tcW w:w="1361" w:type="dxa"/>
            <w:vAlign w:val="center"/>
          </w:tcPr>
          <w:p>
            <w:pPr>
              <w:spacing w:line="360" w:lineRule="auto"/>
              <w:jc w:val="left"/>
              <w:rPr>
                <w:rFonts w:ascii="宋体" w:hAnsi="宋体" w:cs="宋体"/>
                <w:color w:val="auto"/>
                <w:szCs w:val="21"/>
                <w:highlight w:val="none"/>
              </w:rPr>
            </w:pPr>
          </w:p>
        </w:tc>
        <w:tc>
          <w:tcPr>
            <w:tcW w:w="1582" w:type="dxa"/>
            <w:vAlign w:val="center"/>
          </w:tcPr>
          <w:p>
            <w:pPr>
              <w:spacing w:line="360" w:lineRule="auto"/>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left"/>
              <w:rPr>
                <w:rFonts w:ascii="宋体" w:hAnsi="宋体" w:cs="宋体"/>
                <w:color w:val="auto"/>
                <w:szCs w:val="21"/>
                <w:highlight w:val="none"/>
              </w:rPr>
            </w:pPr>
          </w:p>
        </w:tc>
        <w:tc>
          <w:tcPr>
            <w:tcW w:w="1488" w:type="dxa"/>
            <w:vAlign w:val="center"/>
          </w:tcPr>
          <w:p>
            <w:pPr>
              <w:spacing w:line="360" w:lineRule="auto"/>
              <w:jc w:val="left"/>
              <w:rPr>
                <w:rFonts w:ascii="宋体" w:hAnsi="宋体" w:cs="宋体"/>
                <w:color w:val="auto"/>
                <w:szCs w:val="21"/>
                <w:highlight w:val="none"/>
              </w:rPr>
            </w:pPr>
          </w:p>
        </w:tc>
        <w:tc>
          <w:tcPr>
            <w:tcW w:w="1534" w:type="dxa"/>
            <w:vAlign w:val="center"/>
          </w:tcPr>
          <w:p>
            <w:pPr>
              <w:spacing w:line="360" w:lineRule="auto"/>
              <w:jc w:val="left"/>
              <w:rPr>
                <w:rFonts w:ascii="宋体" w:hAnsi="宋体" w:cs="宋体"/>
                <w:color w:val="auto"/>
                <w:szCs w:val="21"/>
                <w:highlight w:val="none"/>
              </w:rPr>
            </w:pPr>
          </w:p>
        </w:tc>
        <w:tc>
          <w:tcPr>
            <w:tcW w:w="1911" w:type="dxa"/>
            <w:vAlign w:val="center"/>
          </w:tcPr>
          <w:p>
            <w:pPr>
              <w:spacing w:line="360" w:lineRule="auto"/>
              <w:jc w:val="left"/>
              <w:rPr>
                <w:rFonts w:ascii="宋体" w:hAnsi="宋体" w:cs="宋体"/>
                <w:color w:val="auto"/>
                <w:szCs w:val="21"/>
                <w:highlight w:val="none"/>
              </w:rPr>
            </w:pPr>
          </w:p>
        </w:tc>
        <w:tc>
          <w:tcPr>
            <w:tcW w:w="1361" w:type="dxa"/>
            <w:vAlign w:val="center"/>
          </w:tcPr>
          <w:p>
            <w:pPr>
              <w:spacing w:line="360" w:lineRule="auto"/>
              <w:jc w:val="left"/>
              <w:rPr>
                <w:rFonts w:ascii="宋体" w:hAnsi="宋体" w:cs="宋体"/>
                <w:color w:val="auto"/>
                <w:szCs w:val="21"/>
                <w:highlight w:val="none"/>
              </w:rPr>
            </w:pPr>
          </w:p>
        </w:tc>
        <w:tc>
          <w:tcPr>
            <w:tcW w:w="1582" w:type="dxa"/>
            <w:vAlign w:val="center"/>
          </w:tcPr>
          <w:p>
            <w:pPr>
              <w:spacing w:line="360" w:lineRule="auto"/>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vAlign w:val="center"/>
          </w:tcPr>
          <w:p>
            <w:pPr>
              <w:spacing w:line="360" w:lineRule="auto"/>
              <w:jc w:val="left"/>
              <w:rPr>
                <w:rFonts w:ascii="宋体" w:hAnsi="宋体" w:cs="宋体"/>
                <w:color w:val="auto"/>
                <w:szCs w:val="21"/>
                <w:highlight w:val="none"/>
              </w:rPr>
            </w:pPr>
          </w:p>
        </w:tc>
        <w:tc>
          <w:tcPr>
            <w:tcW w:w="1488" w:type="dxa"/>
            <w:vAlign w:val="center"/>
          </w:tcPr>
          <w:p>
            <w:pPr>
              <w:spacing w:line="360" w:lineRule="auto"/>
              <w:jc w:val="left"/>
              <w:rPr>
                <w:rFonts w:ascii="宋体" w:hAnsi="宋体" w:cs="宋体"/>
                <w:color w:val="auto"/>
                <w:szCs w:val="21"/>
                <w:highlight w:val="none"/>
              </w:rPr>
            </w:pPr>
          </w:p>
        </w:tc>
        <w:tc>
          <w:tcPr>
            <w:tcW w:w="1534" w:type="dxa"/>
            <w:vAlign w:val="center"/>
          </w:tcPr>
          <w:p>
            <w:pPr>
              <w:spacing w:line="360" w:lineRule="auto"/>
              <w:jc w:val="left"/>
              <w:rPr>
                <w:rFonts w:ascii="宋体" w:hAnsi="宋体" w:cs="宋体"/>
                <w:color w:val="auto"/>
                <w:szCs w:val="21"/>
                <w:highlight w:val="none"/>
              </w:rPr>
            </w:pPr>
          </w:p>
        </w:tc>
        <w:tc>
          <w:tcPr>
            <w:tcW w:w="1911" w:type="dxa"/>
            <w:vAlign w:val="center"/>
          </w:tcPr>
          <w:p>
            <w:pPr>
              <w:spacing w:line="360" w:lineRule="auto"/>
              <w:jc w:val="left"/>
              <w:rPr>
                <w:rFonts w:ascii="宋体" w:hAnsi="宋体" w:cs="宋体"/>
                <w:color w:val="auto"/>
                <w:szCs w:val="21"/>
                <w:highlight w:val="none"/>
              </w:rPr>
            </w:pPr>
          </w:p>
        </w:tc>
        <w:tc>
          <w:tcPr>
            <w:tcW w:w="1361" w:type="dxa"/>
            <w:vAlign w:val="center"/>
          </w:tcPr>
          <w:p>
            <w:pPr>
              <w:spacing w:line="360" w:lineRule="auto"/>
              <w:jc w:val="left"/>
              <w:rPr>
                <w:rFonts w:ascii="宋体" w:hAnsi="宋体" w:cs="宋体"/>
                <w:color w:val="auto"/>
                <w:szCs w:val="21"/>
                <w:highlight w:val="none"/>
              </w:rPr>
            </w:pPr>
          </w:p>
        </w:tc>
        <w:tc>
          <w:tcPr>
            <w:tcW w:w="1582" w:type="dxa"/>
            <w:vAlign w:val="center"/>
          </w:tcPr>
          <w:p>
            <w:pPr>
              <w:spacing w:line="360" w:lineRule="auto"/>
              <w:jc w:val="left"/>
              <w:rPr>
                <w:rFonts w:ascii="宋体" w:hAnsi="宋体" w:cs="宋体"/>
                <w:color w:val="auto"/>
                <w:szCs w:val="21"/>
                <w:highlight w:val="none"/>
              </w:rPr>
            </w:pPr>
          </w:p>
        </w:tc>
      </w:tr>
    </w:tbl>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pPr>
        <w:autoSpaceDE w:val="0"/>
        <w:autoSpaceDN w:val="0"/>
        <w:adjustRightInd w:val="0"/>
        <w:spacing w:line="360" w:lineRule="auto"/>
        <w:ind w:firstLine="565" w:firstLineChars="228"/>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（盖章）</w:t>
      </w:r>
    </w:p>
    <w:p>
      <w:pPr>
        <w:autoSpaceDE w:val="0"/>
        <w:autoSpaceDN w:val="0"/>
        <w:adjustRightInd w:val="0"/>
        <w:spacing w:line="360" w:lineRule="auto"/>
        <w:ind w:firstLine="565" w:firstLineChars="228"/>
        <w:jc w:val="left"/>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法定代表人或授权代理人(签字或盖章)：</w:t>
      </w:r>
    </w:p>
    <w:p>
      <w:pPr>
        <w:autoSpaceDE w:val="0"/>
        <w:autoSpaceDN w:val="0"/>
        <w:adjustRightInd w:val="0"/>
        <w:spacing w:line="360" w:lineRule="auto"/>
        <w:ind w:firstLine="565" w:firstLineChars="228"/>
        <w:jc w:val="left"/>
        <w:rPr>
          <w:rFonts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pPr>
        <w:autoSpaceDE w:val="0"/>
        <w:autoSpaceDN w:val="0"/>
        <w:adjustRightInd w:val="0"/>
        <w:jc w:val="right"/>
        <w:rPr>
          <w:rFonts w:ascii="宋体" w:hAnsi="宋体" w:cs="宋体"/>
          <w:color w:val="auto"/>
          <w:sz w:val="24"/>
          <w:szCs w:val="24"/>
          <w:highlight w:val="none"/>
        </w:rPr>
      </w:pPr>
    </w:p>
    <w:p>
      <w:pPr>
        <w:pStyle w:val="9"/>
        <w:rPr>
          <w:color w:val="auto"/>
          <w:highlight w:val="none"/>
        </w:rPr>
      </w:pPr>
      <w:r>
        <w:rPr>
          <w:rFonts w:hint="eastAsia"/>
          <w:color w:val="auto"/>
          <w:highlight w:val="none"/>
        </w:rPr>
        <w:br w:type="page"/>
      </w:r>
    </w:p>
    <w:p>
      <w:pPr>
        <w:pStyle w:val="9"/>
        <w:rPr>
          <w:strike w:val="0"/>
          <w:dstrike w:val="0"/>
          <w:color w:val="auto"/>
          <w:highlight w:val="none"/>
        </w:rPr>
      </w:pPr>
      <w:bookmarkStart w:id="60" w:name="_Toc29588"/>
      <w:bookmarkStart w:id="61" w:name="_Toc60070626"/>
      <w:r>
        <w:rPr>
          <w:rFonts w:hint="eastAsia"/>
          <w:strike w:val="0"/>
          <w:dstrike w:val="0"/>
          <w:color w:val="auto"/>
          <w:highlight w:val="none"/>
        </w:rPr>
        <w:t>格式六：</w:t>
      </w:r>
      <w:bookmarkEnd w:id="60"/>
      <w:bookmarkEnd w:id="61"/>
    </w:p>
    <w:p>
      <w:pPr>
        <w:jc w:val="center"/>
        <w:rPr>
          <w:rFonts w:ascii="宋体" w:hAnsi="宋体" w:cs="宋体"/>
          <w:b/>
          <w:strike w:val="0"/>
          <w:dstrike w:val="0"/>
          <w:color w:val="auto"/>
          <w:sz w:val="36"/>
          <w:szCs w:val="36"/>
          <w:highlight w:val="none"/>
        </w:rPr>
      </w:pPr>
      <w:r>
        <w:rPr>
          <w:rFonts w:hint="eastAsia" w:ascii="宋体" w:hAnsi="宋体" w:cs="宋体"/>
          <w:b/>
          <w:strike w:val="0"/>
          <w:dstrike w:val="0"/>
          <w:color w:val="auto"/>
          <w:sz w:val="36"/>
          <w:szCs w:val="36"/>
          <w:highlight w:val="none"/>
        </w:rPr>
        <w:t>企业业绩信息表</w:t>
      </w:r>
    </w:p>
    <w:p>
      <w:pPr>
        <w:rPr>
          <w:rFonts w:ascii="宋体" w:hAnsi="宋体"/>
          <w:strike w:val="0"/>
          <w:dstrike w:val="0"/>
          <w:color w:val="auto"/>
          <w:sz w:val="24"/>
          <w:szCs w:val="24"/>
          <w:highlight w:val="none"/>
        </w:rPr>
      </w:pPr>
    </w:p>
    <w:tbl>
      <w:tblPr>
        <w:tblStyle w:val="49"/>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63"/>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strike w:val="0"/>
                <w:dstrike w:val="0"/>
                <w:color w:val="auto"/>
                <w:sz w:val="24"/>
                <w:szCs w:val="24"/>
                <w:highlight w:val="none"/>
                <w:lang w:val="zh-CN"/>
              </w:rPr>
            </w:pPr>
            <w:r>
              <w:rPr>
                <w:rFonts w:hint="eastAsia" w:ascii="宋体" w:hAnsi="宋体" w:cs="宋体"/>
                <w:bCs/>
                <w:strike w:val="0"/>
                <w:dstrike w:val="0"/>
                <w:color w:val="auto"/>
                <w:sz w:val="24"/>
                <w:szCs w:val="24"/>
                <w:highlight w:val="none"/>
                <w:lang w:val="zh-CN"/>
              </w:rPr>
              <w:t>类似工程业绩</w:t>
            </w:r>
          </w:p>
        </w:tc>
        <w:tc>
          <w:tcPr>
            <w:tcW w:w="216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strike w:val="0"/>
                <w:dstrike w:val="0"/>
                <w:color w:val="auto"/>
                <w:sz w:val="24"/>
                <w:szCs w:val="24"/>
                <w:highlight w:val="none"/>
              </w:rPr>
            </w:pPr>
            <w:r>
              <w:rPr>
                <w:rFonts w:hint="eastAsia" w:ascii="宋体" w:hAnsi="宋体"/>
                <w:strike w:val="0"/>
                <w:dstrike w:val="0"/>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r>
              <w:rPr>
                <w:rFonts w:hint="eastAsia" w:ascii="宋体" w:hAnsi="宋体" w:cs="宋体"/>
                <w:bCs/>
                <w:strike w:val="0"/>
                <w:dstrike w:val="0"/>
                <w:color w:val="auto"/>
                <w:sz w:val="24"/>
                <w:szCs w:val="24"/>
                <w:highlight w:val="none"/>
                <w:lang w:val="zh-CN"/>
              </w:rPr>
              <w:t xml:space="preserve"> 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r>
              <w:rPr>
                <w:rFonts w:hint="eastAsia" w:ascii="宋体" w:hAnsi="宋体" w:cs="宋体"/>
                <w:bCs/>
                <w:strike w:val="0"/>
                <w:dstrike w:val="0"/>
                <w:color w:val="auto"/>
                <w:sz w:val="24"/>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trike w:val="0"/>
                <w:dstrike w:val="0"/>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trike w:val="0"/>
                <w:dstrike w:val="0"/>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left w:val="single" w:color="auto" w:sz="4" w:space="0"/>
              <w:right w:val="single" w:color="auto" w:sz="4" w:space="0"/>
            </w:tcBorders>
            <w:vAlign w:val="center"/>
          </w:tcPr>
          <w:p>
            <w:pPr>
              <w:widowControl/>
              <w:jc w:val="center"/>
              <w:rPr>
                <w:rFonts w:ascii="宋体" w:hAnsi="宋体" w:cs="宋体"/>
                <w:bCs/>
                <w:strike w:val="0"/>
                <w:dstrike w:val="0"/>
                <w:color w:val="auto"/>
                <w:sz w:val="24"/>
                <w:szCs w:val="24"/>
                <w:highlight w:val="none"/>
                <w:lang w:val="zh-CN"/>
              </w:rPr>
            </w:pPr>
            <w:r>
              <w:rPr>
                <w:rFonts w:hint="eastAsia" w:ascii="宋体" w:hAnsi="宋体" w:cs="宋体"/>
                <w:bCs/>
                <w:strike w:val="0"/>
                <w:dstrike w:val="0"/>
                <w:color w:val="auto"/>
                <w:sz w:val="24"/>
                <w:szCs w:val="24"/>
                <w:highlight w:val="none"/>
                <w:lang w:val="zh-CN"/>
              </w:rPr>
              <w:t>获奖情况</w:t>
            </w: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strike w:val="0"/>
                <w:dstrike w:val="0"/>
                <w:color w:val="auto"/>
                <w:sz w:val="24"/>
                <w:szCs w:val="24"/>
                <w:highlight w:val="none"/>
              </w:rPr>
            </w:pPr>
            <w:r>
              <w:rPr>
                <w:rFonts w:hint="eastAsia" w:ascii="宋体" w:hAnsi="宋体"/>
                <w:strike w:val="0"/>
                <w:dstrike w:val="0"/>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r>
              <w:rPr>
                <w:rFonts w:hint="eastAsia" w:ascii="宋体" w:hAnsi="宋体" w:cs="宋体"/>
                <w:bCs/>
                <w:strike w:val="0"/>
                <w:dstrike w:val="0"/>
                <w:color w:val="auto"/>
                <w:sz w:val="24"/>
                <w:szCs w:val="24"/>
                <w:highlight w:val="none"/>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r>
              <w:rPr>
                <w:rFonts w:hint="eastAsia" w:ascii="宋体" w:hAnsi="宋体" w:cs="宋体"/>
                <w:bCs/>
                <w:strike w:val="0"/>
                <w:dstrike w:val="0"/>
                <w:color w:val="auto"/>
                <w:sz w:val="24"/>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trike w:val="0"/>
                <w:dstrike w:val="0"/>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strike w:val="0"/>
                <w:dstrike w:val="0"/>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trike w:val="0"/>
                <w:dstrike w:val="0"/>
                <w:color w:val="auto"/>
                <w:sz w:val="24"/>
                <w:szCs w:val="24"/>
                <w:highlight w:val="none"/>
                <w:lang w:val="zh-CN"/>
              </w:rPr>
            </w:pPr>
          </w:p>
        </w:tc>
      </w:tr>
    </w:tbl>
    <w:p>
      <w:pPr>
        <w:spacing w:line="360" w:lineRule="auto"/>
        <w:jc w:val="left"/>
        <w:rPr>
          <w:rFonts w:ascii="宋体" w:hAnsi="宋体" w:cs="宋体"/>
          <w:bCs/>
          <w:color w:val="auto"/>
          <w:szCs w:val="24"/>
          <w:highlight w:val="none"/>
        </w:rPr>
      </w:pPr>
    </w:p>
    <w:p>
      <w:pPr>
        <w:autoSpaceDE w:val="0"/>
        <w:autoSpaceDN w:val="0"/>
        <w:adjustRightInd w:val="0"/>
        <w:spacing w:line="360" w:lineRule="auto"/>
        <w:rPr>
          <w:rFonts w:ascii="宋体" w:hAnsi="宋体" w:cs="宋体"/>
          <w:color w:val="auto"/>
          <w:sz w:val="24"/>
          <w:szCs w:val="24"/>
          <w:highlight w:val="none"/>
        </w:rPr>
      </w:pPr>
    </w:p>
    <w:p>
      <w:pPr>
        <w:pStyle w:val="9"/>
        <w:rPr>
          <w:color w:val="auto"/>
          <w:highlight w:val="none"/>
        </w:rPr>
      </w:pPr>
      <w:r>
        <w:rPr>
          <w:rFonts w:hint="eastAsia"/>
          <w:color w:val="auto"/>
          <w:highlight w:val="none"/>
        </w:rPr>
        <w:br w:type="page"/>
      </w:r>
    </w:p>
    <w:p>
      <w:pPr>
        <w:pStyle w:val="9"/>
        <w:rPr>
          <w:bCs/>
          <w:color w:val="auto"/>
          <w:highlight w:val="none"/>
          <w:lang w:val="zh-CN"/>
        </w:rPr>
      </w:pPr>
      <w:bookmarkStart w:id="62" w:name="_Toc7782"/>
      <w:bookmarkStart w:id="63" w:name="_Toc60070629"/>
      <w:r>
        <w:rPr>
          <w:rFonts w:hint="eastAsia"/>
          <w:color w:val="auto"/>
          <w:highlight w:val="none"/>
        </w:rPr>
        <w:t>格式七：</w:t>
      </w:r>
      <w:bookmarkEnd w:id="62"/>
      <w:bookmarkEnd w:id="63"/>
    </w:p>
    <w:p>
      <w:pP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bl>
    <w:p>
      <w:pPr>
        <w:tabs>
          <w:tab w:val="left" w:pos="720"/>
        </w:tabs>
        <w:snapToGrid w:val="0"/>
        <w:spacing w:line="360" w:lineRule="auto"/>
        <w:rPr>
          <w:rFonts w:ascii="宋体" w:hAnsi="宋体"/>
          <w:color w:val="auto"/>
          <w:highlight w:val="none"/>
        </w:rPr>
      </w:pPr>
    </w:p>
    <w:p>
      <w:pPr>
        <w:tabs>
          <w:tab w:val="left" w:pos="720"/>
        </w:tabs>
        <w:snapToGrid w:val="0"/>
        <w:spacing w:line="360" w:lineRule="auto"/>
        <w:rPr>
          <w:rFonts w:ascii="宋体" w:hAnsi="宋体" w:cs="宋体"/>
          <w:b/>
          <w:color w:val="auto"/>
          <w:szCs w:val="21"/>
          <w:highlight w:val="none"/>
        </w:rPr>
      </w:pPr>
      <w:r>
        <w:rPr>
          <w:rFonts w:hint="eastAsia" w:ascii="宋体" w:hAnsi="宋体"/>
          <w:color w:val="auto"/>
          <w:highlight w:val="none"/>
        </w:rPr>
        <w:t>注：设备名称及要求数量由投标人视本工程具体情况结合招标人对本工程的具体要求自行配备。</w:t>
      </w:r>
    </w:p>
    <w:p>
      <w:pPr>
        <w:ind w:right="-130" w:rightChars="-62"/>
        <w:rPr>
          <w:rFonts w:ascii="宋体" w:hAnsi="宋体"/>
          <w:color w:val="auto"/>
          <w:highlight w:val="none"/>
        </w:rPr>
      </w:pPr>
    </w:p>
    <w:p>
      <w:pPr>
        <w:topLinePunct/>
        <w:adjustRightInd w:val="0"/>
        <w:snapToGrid w:val="0"/>
        <w:spacing w:line="360" w:lineRule="auto"/>
        <w:ind w:firstLine="3161" w:firstLineChars="1450"/>
        <w:rPr>
          <w:rFonts w:ascii="宋体" w:hAnsi="宋体"/>
          <w:snapToGrid w:val="0"/>
          <w:color w:val="auto"/>
          <w:spacing w:val="4"/>
          <w:kern w:val="0"/>
          <w:szCs w:val="21"/>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360" w:lineRule="auto"/>
        <w:ind w:firstLine="691" w:firstLineChars="279"/>
        <w:jc w:val="left"/>
        <w:rPr>
          <w:rFonts w:ascii="宋体" w:hAnsi="宋体"/>
          <w:snapToGrid w:val="0"/>
          <w:color w:val="auto"/>
          <w:spacing w:val="4"/>
          <w:kern w:val="0"/>
          <w:szCs w:val="21"/>
          <w:highlight w:val="none"/>
        </w:rPr>
      </w:pPr>
      <w:r>
        <w:rPr>
          <w:rFonts w:hint="eastAsia" w:ascii="宋体" w:hAnsi="宋体" w:cs="宋体"/>
          <w:snapToGrid w:val="0"/>
          <w:color w:val="auto"/>
          <w:spacing w:val="4"/>
          <w:kern w:val="0"/>
          <w:sz w:val="24"/>
          <w:szCs w:val="24"/>
          <w:highlight w:val="none"/>
        </w:rPr>
        <w:t>日    期：    年    月    日</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9"/>
        <w:rPr>
          <w:color w:val="auto"/>
          <w:highlight w:val="none"/>
        </w:rPr>
      </w:pPr>
      <w:bookmarkStart w:id="64" w:name="_Toc60070630"/>
      <w:bookmarkStart w:id="65" w:name="_Toc25262"/>
      <w:bookmarkStart w:id="66" w:name="_Toc58838602"/>
      <w:r>
        <w:rPr>
          <w:rFonts w:hint="eastAsia"/>
          <w:color w:val="auto"/>
          <w:highlight w:val="none"/>
        </w:rPr>
        <w:t>格式八：</w:t>
      </w:r>
      <w:bookmarkEnd w:id="64"/>
      <w:bookmarkEnd w:id="65"/>
    </w:p>
    <w:p>
      <w:pPr>
        <w:jc w:val="center"/>
        <w:rPr>
          <w:rFonts w:ascii="宋体" w:hAnsi="宋体"/>
          <w:b/>
          <w:color w:val="auto"/>
          <w:sz w:val="36"/>
          <w:szCs w:val="36"/>
          <w:highlight w:val="none"/>
        </w:rPr>
      </w:pPr>
      <w:r>
        <w:rPr>
          <w:rFonts w:hint="eastAsia" w:ascii="宋体" w:hAnsi="宋体"/>
          <w:b/>
          <w:color w:val="auto"/>
          <w:sz w:val="36"/>
          <w:szCs w:val="36"/>
          <w:highlight w:val="none"/>
        </w:rPr>
        <w:t>危险性较大的分部分项工程安全管理措施</w:t>
      </w:r>
      <w:bookmarkEnd w:id="66"/>
    </w:p>
    <w:p>
      <w:pPr>
        <w:numPr>
          <w:ilvl w:val="0"/>
          <w:numId w:val="11"/>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11"/>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pPr>
        <w:numPr>
          <w:ilvl w:val="0"/>
          <w:numId w:val="12"/>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投标单位同意招标人在清单中标识的该项请在对应项打“</w:t>
      </w:r>
      <w:r>
        <w:rPr>
          <w:rFonts w:hint="eastAsia" w:ascii="宋体" w:hAnsi="宋体"/>
          <w:color w:val="auto"/>
          <w:sz w:val="24"/>
          <w:szCs w:val="36"/>
          <w:highlight w:val="none"/>
        </w:rPr>
        <w:t>√”标识，并在投标文件中提供相应的安全管理措施。</w:t>
      </w:r>
    </w:p>
    <w:p>
      <w:pPr>
        <w:numPr>
          <w:ilvl w:val="0"/>
          <w:numId w:val="12"/>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√”标识，并在投标文件中提供相应的安全管理措施。</w:t>
      </w:r>
    </w:p>
    <w:p>
      <w:pPr>
        <w:numPr>
          <w:ilvl w:val="0"/>
          <w:numId w:val="12"/>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投标单位不同意招标人</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pPr>
        <w:numPr>
          <w:ilvl w:val="0"/>
          <w:numId w:val="11"/>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投标单位应当在投标时根据招标人提供的下述第5点清单，在投标文件中编制专项施工方案。</w:t>
      </w:r>
    </w:p>
    <w:p>
      <w:pPr>
        <w:numPr>
          <w:ilvl w:val="0"/>
          <w:numId w:val="11"/>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11"/>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w:t>
      </w:r>
    </w:p>
    <w:p>
      <w:pPr>
        <w:widowControl/>
        <w:jc w:val="left"/>
        <w:rPr>
          <w:rFonts w:ascii="宋体" w:hAnsi="宋体"/>
          <w:color w:val="auto"/>
          <w:sz w:val="24"/>
          <w:szCs w:val="28"/>
          <w:highlight w:val="none"/>
        </w:rPr>
      </w:pPr>
      <w:r>
        <w:rPr>
          <w:rFonts w:ascii="宋体" w:hAnsi="宋体"/>
          <w:color w:val="auto"/>
          <w:sz w:val="24"/>
          <w:szCs w:val="28"/>
          <w:highlight w:val="none"/>
        </w:rPr>
        <w:br w:type="page"/>
      </w:r>
    </w:p>
    <w:tbl>
      <w:tblPr>
        <w:tblStyle w:val="49"/>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86" w:type="dxa"/>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highlight w:val="none"/>
              </w:rPr>
            </w:pPr>
            <w:r>
              <w:rPr>
                <w:rFonts w:hint="eastAsia" w:ascii="宋体" w:hAnsi="宋体"/>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786" w:type="dxa"/>
            <w:tcBorders>
              <w:top w:val="single" w:color="auto" w:sz="4" w:space="0"/>
              <w:left w:val="single" w:color="auto" w:sz="4" w:space="0"/>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投标单位</w:t>
            </w:r>
          </w:p>
        </w:tc>
        <w:tc>
          <w:tcPr>
            <w:tcW w:w="1063" w:type="dxa"/>
            <w:tcBorders>
              <w:top w:val="single" w:color="auto" w:sz="4" w:space="0"/>
              <w:left w:val="nil"/>
              <w:bottom w:val="single" w:color="auto" w:sz="4" w:space="0"/>
              <w:right w:val="single" w:color="auto" w:sz="4" w:space="0"/>
            </w:tcBorders>
            <w:shd w:val="clear" w:color="auto" w:fill="D8D8D8"/>
            <w:vAlign w:val="center"/>
          </w:tcPr>
          <w:p>
            <w:pPr>
              <w:jc w:val="center"/>
              <w:rPr>
                <w:rFonts w:ascii="宋体" w:hAnsi="宋体"/>
                <w:b/>
                <w:color w:val="auto"/>
                <w:highlight w:val="none"/>
              </w:rPr>
            </w:pPr>
            <w:r>
              <w:rPr>
                <w:rFonts w:hint="eastAsia" w:ascii="宋体" w:hAnsi="宋体"/>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b/>
                <w:color w:val="auto"/>
                <w:highlight w:val="none"/>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highlight w:val="none"/>
              </w:rPr>
            </w:pPr>
            <w:r>
              <w:rPr>
                <w:rFonts w:hint="eastAsia" w:ascii="宋体" w:hAnsi="宋体"/>
                <w:b/>
                <w:color w:val="auto"/>
                <w:highlight w:val="none"/>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c>
          <w:tcPr>
            <w:tcW w:w="1063" w:type="dxa"/>
            <w:tcBorders>
              <w:top w:val="single" w:color="auto" w:sz="4" w:space="0"/>
              <w:left w:val="nil"/>
              <w:bottom w:val="single" w:color="auto" w:sz="4" w:space="0"/>
              <w:right w:val="single" w:color="auto" w:sz="4" w:space="0"/>
            </w:tcBorders>
            <w:vAlign w:val="center"/>
          </w:tcPr>
          <w:p>
            <w:pPr>
              <w:jc w:val="center"/>
              <w:rPr>
                <w:rFonts w:ascii="宋体" w:hAnsi="宋体"/>
                <w:color w:val="auto"/>
                <w:highlight w:val="none"/>
              </w:rPr>
            </w:pPr>
          </w:p>
        </w:tc>
      </w:tr>
    </w:tbl>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360"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autoSpaceDE w:val="0"/>
        <w:autoSpaceDN w:val="0"/>
        <w:adjustRightInd w:val="0"/>
        <w:spacing w:line="360" w:lineRule="auto"/>
        <w:ind w:firstLine="691" w:firstLineChars="279"/>
        <w:rPr>
          <w:rFonts w:ascii="宋体" w:hAnsi="宋体" w:cs="宋体"/>
          <w:bCs/>
          <w:color w:val="auto"/>
          <w:sz w:val="24"/>
          <w:szCs w:val="24"/>
          <w:highlight w:val="none"/>
        </w:rPr>
      </w:pPr>
      <w:r>
        <w:rPr>
          <w:rFonts w:hint="eastAsia" w:ascii="宋体" w:hAnsi="宋体" w:cs="宋体"/>
          <w:snapToGrid w:val="0"/>
          <w:color w:val="auto"/>
          <w:spacing w:val="4"/>
          <w:kern w:val="0"/>
          <w:sz w:val="24"/>
          <w:szCs w:val="24"/>
          <w:highlight w:val="none"/>
        </w:rPr>
        <w:t>日    期：    年    月    日</w:t>
      </w:r>
    </w:p>
    <w:p>
      <w:pPr>
        <w:ind w:right="-130" w:rightChars="-62"/>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9"/>
        <w:rPr>
          <w:color w:val="auto"/>
          <w:highlight w:val="none"/>
        </w:rPr>
      </w:pPr>
      <w:bookmarkStart w:id="67" w:name="_Toc58838603"/>
      <w:bookmarkStart w:id="68" w:name="_Toc2250"/>
      <w:bookmarkStart w:id="69" w:name="_Toc60070631"/>
      <w:r>
        <w:rPr>
          <w:rFonts w:hint="eastAsia"/>
          <w:color w:val="auto"/>
          <w:highlight w:val="none"/>
        </w:rPr>
        <w:t>格式九：</w:t>
      </w:r>
      <w:bookmarkEnd w:id="67"/>
      <w:bookmarkEnd w:id="68"/>
      <w:bookmarkEnd w:id="69"/>
    </w:p>
    <w:p>
      <w:pPr>
        <w:jc w:val="center"/>
        <w:rPr>
          <w:rFonts w:ascii="宋体" w:hAnsi="宋体"/>
          <w:b/>
          <w:color w:val="auto"/>
          <w:sz w:val="36"/>
          <w:szCs w:val="36"/>
          <w:highlight w:val="none"/>
        </w:rPr>
      </w:pPr>
      <w:r>
        <w:rPr>
          <w:rFonts w:hint="eastAsia" w:ascii="宋体" w:hAnsi="宋体"/>
          <w:b/>
          <w:color w:val="auto"/>
          <w:sz w:val="36"/>
          <w:szCs w:val="36"/>
          <w:highlight w:val="none"/>
        </w:rPr>
        <w:t>参与编制技术标投标文件人员名单</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bl>
    <w:p>
      <w:pPr>
        <w:autoSpaceDE w:val="0"/>
        <w:autoSpaceDN w:val="0"/>
        <w:adjustRightIn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7"/>
        <w:rPr>
          <w:bCs/>
          <w:color w:val="auto"/>
          <w:highlight w:val="none"/>
        </w:rPr>
      </w:pPr>
      <w:bookmarkStart w:id="70" w:name="_Toc58838604"/>
      <w:bookmarkStart w:id="71" w:name="_Toc14857"/>
      <w:r>
        <w:rPr>
          <w:rFonts w:hint="eastAsia"/>
          <w:color w:val="auto"/>
          <w:highlight w:val="none"/>
        </w:rPr>
        <w:t>二、经济标投标文件格式</w:t>
      </w:r>
      <w:bookmarkEnd w:id="70"/>
      <w:bookmarkEnd w:id="71"/>
    </w:p>
    <w:p>
      <w:pPr>
        <w:pStyle w:val="9"/>
        <w:rPr>
          <w:b/>
          <w:bCs/>
          <w:color w:val="auto"/>
          <w:sz w:val="44"/>
          <w:szCs w:val="44"/>
          <w:highlight w:val="none"/>
          <w:lang w:val="zh-CN"/>
        </w:rPr>
      </w:pPr>
      <w:bookmarkStart w:id="72" w:name="_Toc6493862"/>
      <w:bookmarkStart w:id="73" w:name="_Toc58838605"/>
      <w:bookmarkStart w:id="74" w:name="_Toc1604"/>
      <w:bookmarkStart w:id="75" w:name="_Toc60070633"/>
      <w:r>
        <w:rPr>
          <w:rFonts w:hint="eastAsia"/>
          <w:snapToGrid w:val="0"/>
          <w:color w:val="auto"/>
          <w:highlight w:val="none"/>
        </w:rPr>
        <w:t>格式十</w:t>
      </w:r>
      <w:bookmarkEnd w:id="72"/>
      <w:bookmarkEnd w:id="73"/>
      <w:r>
        <w:rPr>
          <w:rFonts w:hint="eastAsia"/>
          <w:snapToGrid w:val="0"/>
          <w:color w:val="auto"/>
          <w:highlight w:val="none"/>
        </w:rPr>
        <w:t>：</w:t>
      </w:r>
      <w:bookmarkEnd w:id="74"/>
      <w:bookmarkEnd w:id="75"/>
    </w:p>
    <w:p>
      <w:pPr>
        <w:jc w:val="center"/>
        <w:rPr>
          <w:rFonts w:ascii="宋体" w:hAnsi="宋体"/>
          <w:b/>
          <w:color w:val="auto"/>
          <w:sz w:val="36"/>
          <w:szCs w:val="36"/>
          <w:highlight w:val="none"/>
        </w:rPr>
      </w:pPr>
      <w:bookmarkStart w:id="76" w:name="_Toc58838606"/>
      <w:r>
        <w:rPr>
          <w:rFonts w:hint="eastAsia" w:ascii="宋体" w:hAnsi="宋体"/>
          <w:b/>
          <w:color w:val="auto"/>
          <w:sz w:val="36"/>
          <w:szCs w:val="36"/>
          <w:highlight w:val="none"/>
        </w:rPr>
        <w:t>广州建设工程施工招标投标书（经济标）</w:t>
      </w:r>
      <w:bookmarkEnd w:id="76"/>
    </w:p>
    <w:tbl>
      <w:tblPr>
        <w:tblStyle w:val="49"/>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 暂列金额</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bl>
    <w:p>
      <w:pPr>
        <w:pStyle w:val="9"/>
        <w:rPr>
          <w:bCs/>
          <w:color w:val="auto"/>
          <w:highlight w:val="none"/>
        </w:rPr>
      </w:pPr>
      <w:r>
        <w:rPr>
          <w:color w:val="auto"/>
          <w:highlight w:val="none"/>
        </w:rPr>
        <w:br w:type="page"/>
      </w:r>
      <w:bookmarkStart w:id="77" w:name="_Toc58838607"/>
      <w:bookmarkStart w:id="78" w:name="_Toc6493863"/>
      <w:bookmarkStart w:id="79" w:name="_Toc24989"/>
      <w:bookmarkStart w:id="80" w:name="_Toc60070634"/>
      <w:r>
        <w:rPr>
          <w:rFonts w:hint="eastAsia"/>
          <w:snapToGrid w:val="0"/>
          <w:color w:val="auto"/>
          <w:highlight w:val="none"/>
        </w:rPr>
        <w:t>格式十</w:t>
      </w:r>
      <w:bookmarkEnd w:id="77"/>
      <w:bookmarkEnd w:id="78"/>
      <w:r>
        <w:rPr>
          <w:rFonts w:hint="eastAsia"/>
          <w:snapToGrid w:val="0"/>
          <w:color w:val="auto"/>
          <w:highlight w:val="none"/>
        </w:rPr>
        <w:t>一：</w:t>
      </w:r>
      <w:bookmarkEnd w:id="79"/>
      <w:bookmarkEnd w:id="80"/>
    </w:p>
    <w:p>
      <w:pPr>
        <w:jc w:val="center"/>
        <w:rPr>
          <w:rFonts w:ascii="宋体" w:hAnsi="宋体"/>
          <w:b/>
          <w:color w:val="auto"/>
          <w:sz w:val="36"/>
          <w:szCs w:val="36"/>
          <w:highlight w:val="none"/>
        </w:rPr>
      </w:pPr>
      <w:bookmarkStart w:id="81" w:name="_Toc58838608"/>
      <w:r>
        <w:rPr>
          <w:rFonts w:hint="eastAsia" w:ascii="宋体" w:hAnsi="宋体"/>
          <w:b/>
          <w:color w:val="auto"/>
          <w:sz w:val="36"/>
          <w:szCs w:val="36"/>
          <w:highlight w:val="none"/>
        </w:rPr>
        <w:t>参与编制经济标投标文件人员名单</w:t>
      </w:r>
      <w:bookmarkEnd w:id="81"/>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所承担工作</w:t>
            </w: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身份证号码</w:t>
            </w: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bl>
    <w:p>
      <w:pPr>
        <w:tabs>
          <w:tab w:val="left" w:pos="720"/>
        </w:tabs>
        <w:snapToGrid w:val="0"/>
        <w:spacing w:line="360" w:lineRule="auto"/>
        <w:rPr>
          <w:rFonts w:ascii="宋体" w:hAnsi="宋体"/>
          <w:color w:val="auto"/>
          <w:sz w:val="24"/>
          <w:szCs w:val="24"/>
          <w:highlight w:val="none"/>
        </w:rPr>
      </w:pPr>
    </w:p>
    <w:p>
      <w:pPr>
        <w:rPr>
          <w:rFonts w:ascii="宋体" w:hAnsi="宋体"/>
          <w:color w:val="auto"/>
          <w:highlight w:val="none"/>
        </w:rPr>
      </w:pPr>
      <w:r>
        <w:rPr>
          <w:rFonts w:hint="eastAsia" w:ascii="宋体" w:hAnsi="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widowControl/>
        <w:jc w:val="left"/>
        <w:rPr>
          <w:rFonts w:ascii="宋体" w:hAnsi="宋体" w:cs="宋体"/>
          <w:b/>
          <w:color w:val="auto"/>
          <w:kern w:val="0"/>
          <w:sz w:val="24"/>
          <w:szCs w:val="24"/>
          <w:highlight w:val="none"/>
        </w:rPr>
      </w:pPr>
      <w:r>
        <w:rPr>
          <w:rFonts w:ascii="宋体" w:hAnsi="宋体"/>
          <w:color w:val="auto"/>
          <w:highlight w:val="none"/>
        </w:rPr>
        <w:br w:type="page"/>
      </w:r>
    </w:p>
    <w:p>
      <w:pPr>
        <w:pStyle w:val="9"/>
        <w:rPr>
          <w:color w:val="auto"/>
          <w:highlight w:val="none"/>
        </w:rPr>
      </w:pPr>
      <w:bookmarkStart w:id="82" w:name="_Toc60070635"/>
      <w:bookmarkStart w:id="83" w:name="_Toc12195"/>
      <w:r>
        <w:rPr>
          <w:rFonts w:hint="eastAsia"/>
          <w:color w:val="auto"/>
          <w:highlight w:val="none"/>
        </w:rPr>
        <w:t>格式</w:t>
      </w:r>
      <w:r>
        <w:rPr>
          <w:rFonts w:hint="eastAsia"/>
          <w:snapToGrid w:val="0"/>
          <w:color w:val="auto"/>
          <w:highlight w:val="none"/>
        </w:rPr>
        <w:t>十二</w:t>
      </w:r>
      <w:r>
        <w:rPr>
          <w:rFonts w:hint="eastAsia"/>
          <w:color w:val="auto"/>
          <w:kern w:val="2"/>
          <w:highlight w:val="none"/>
        </w:rPr>
        <w:t>：</w:t>
      </w:r>
      <w:bookmarkEnd w:id="82"/>
      <w:bookmarkEnd w:id="83"/>
    </w:p>
    <w:p>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w:t>
      </w:r>
      <w:r>
        <w:rPr>
          <w:rFonts w:hint="eastAsia" w:ascii="宋体" w:hAnsi="宋体"/>
          <w:color w:val="auto"/>
          <w:sz w:val="24"/>
          <w:szCs w:val="24"/>
          <w:highlight w:val="none"/>
        </w:rPr>
        <w:t>技术方案文件、</w:t>
      </w:r>
      <w:r>
        <w:rPr>
          <w:rFonts w:hint="eastAsia" w:ascii="宋体" w:hAnsi="宋体" w:cs="宋体"/>
          <w:color w:val="auto"/>
          <w:sz w:val="24"/>
          <w:szCs w:val="24"/>
          <w:highlight w:val="none"/>
        </w:rPr>
        <w:t>工程量清单、以及投标文件的加密打包的理解；</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color w:val="auto"/>
          <w:sz w:val="24"/>
          <w:szCs w:val="24"/>
          <w:highlight w:val="none"/>
        </w:rPr>
      </w:pP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投 标 人：    （盖章）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法定代表人或授权代理人（签字或盖章）：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pPr>
        <w:pStyle w:val="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49"/>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电脑类型</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pStyle w:val="3"/>
        <w:rPr>
          <w:rStyle w:val="93"/>
          <w:b w:val="0"/>
          <w:color w:val="auto"/>
          <w:highlight w:val="none"/>
        </w:rPr>
      </w:pPr>
      <w:bookmarkStart w:id="84" w:name="_Toc2272568"/>
      <w:bookmarkStart w:id="85" w:name="_Toc1231"/>
      <w:r>
        <w:rPr>
          <w:rFonts w:hint="eastAsia"/>
          <w:color w:val="auto"/>
          <w:highlight w:val="none"/>
        </w:rPr>
        <w:t>第五章 技术条件（工程建设标准）</w:t>
      </w:r>
      <w:bookmarkEnd w:id="84"/>
      <w:bookmarkEnd w:id="85"/>
    </w:p>
    <w:p>
      <w:pPr>
        <w:pStyle w:val="7"/>
        <w:rPr>
          <w:color w:val="auto"/>
          <w:highlight w:val="none"/>
        </w:rPr>
      </w:pPr>
      <w:bookmarkStart w:id="86" w:name="_Toc60070637"/>
      <w:bookmarkStart w:id="87" w:name="_Toc26948"/>
      <w:r>
        <w:rPr>
          <w:rFonts w:hint="eastAsia"/>
          <w:color w:val="auto"/>
          <w:highlight w:val="none"/>
        </w:rPr>
        <w:t>一、标准</w:t>
      </w:r>
      <w:bookmarkEnd w:id="86"/>
      <w:bookmarkEnd w:id="87"/>
    </w:p>
    <w:p>
      <w:pPr>
        <w:spacing w:line="360" w:lineRule="auto"/>
        <w:ind w:firstLine="240" w:firstLineChars="100"/>
        <w:rPr>
          <w:rFonts w:ascii="宋体" w:hAnsi="宋体" w:cs="宋体"/>
          <w:color w:val="auto"/>
          <w:sz w:val="24"/>
          <w:szCs w:val="24"/>
          <w:highlight w:val="none"/>
        </w:rPr>
      </w:pPr>
      <w:r>
        <w:rPr>
          <w:rFonts w:hint="eastAsia" w:ascii="宋体" w:hAnsi="宋体" w:cs="宋体"/>
          <w:color w:val="auto"/>
          <w:sz w:val="24"/>
          <w:szCs w:val="24"/>
          <w:highlight w:val="none"/>
        </w:rPr>
        <w:t>以现行的中华人民共和国及有关部委颁布的标准、规范、和规程。若施工时期建设主管部门颁布新的规范、标准，则按照新的规范、标准执行。</w:t>
      </w:r>
    </w:p>
    <w:p>
      <w:pPr>
        <w:widowControl/>
        <w:jc w:val="left"/>
        <w:rPr>
          <w:rFonts w:ascii="Arial" w:hAnsi="Arial"/>
          <w:b/>
          <w:color w:val="auto"/>
          <w:sz w:val="24"/>
          <w:szCs w:val="24"/>
          <w:highlight w:val="none"/>
        </w:rPr>
      </w:pPr>
      <w:r>
        <w:rPr>
          <w:color w:val="auto"/>
          <w:highlight w:val="none"/>
        </w:rPr>
        <w:br w:type="page"/>
      </w:r>
    </w:p>
    <w:p>
      <w:pPr>
        <w:pStyle w:val="3"/>
        <w:rPr>
          <w:color w:val="auto"/>
          <w:highlight w:val="none"/>
        </w:rPr>
      </w:pPr>
      <w:bookmarkStart w:id="88" w:name="_Toc2272569"/>
      <w:bookmarkStart w:id="89" w:name="_Toc27367"/>
      <w:r>
        <w:rPr>
          <w:rFonts w:hint="eastAsia"/>
          <w:color w:val="auto"/>
          <w:highlight w:val="none"/>
        </w:rPr>
        <w:t>第六章 图纸及勘察资料</w:t>
      </w:r>
      <w:bookmarkEnd w:id="88"/>
      <w:bookmarkEnd w:id="89"/>
    </w:p>
    <w:p>
      <w:pPr>
        <w:pStyle w:val="3"/>
        <w:rPr>
          <w:color w:val="auto"/>
          <w:highlight w:val="none"/>
        </w:rPr>
      </w:pPr>
      <w:bookmarkStart w:id="90" w:name="_Toc2087"/>
      <w:r>
        <w:rPr>
          <w:rFonts w:hint="eastAsia" w:ascii="宋体" w:hAnsi="宋体" w:cs="宋体"/>
          <w:color w:val="auto"/>
          <w:sz w:val="24"/>
          <w:szCs w:val="24"/>
          <w:highlight w:val="none"/>
          <w:u w:val="single"/>
        </w:rPr>
        <w:t>（另册）</w:t>
      </w:r>
      <w:r>
        <w:rPr>
          <w:rFonts w:hint="eastAsia"/>
          <w:color w:val="auto"/>
          <w:sz w:val="24"/>
          <w:szCs w:val="24"/>
          <w:highlight w:val="none"/>
        </w:rPr>
        <w:br w:type="page"/>
      </w:r>
      <w:bookmarkStart w:id="91" w:name="_Toc2272570"/>
      <w:r>
        <w:rPr>
          <w:rFonts w:hint="eastAsia"/>
          <w:color w:val="auto"/>
          <w:highlight w:val="none"/>
        </w:rPr>
        <w:t>第七章 工程量清单</w:t>
      </w:r>
      <w:bookmarkEnd w:id="90"/>
      <w:bookmarkEnd w:id="91"/>
    </w:p>
    <w:p>
      <w:pPr>
        <w:jc w:val="center"/>
        <w:rPr>
          <w:rFonts w:ascii="宋体" w:hAnsi="宋体" w:cs="宋体"/>
          <w:b/>
          <w:color w:val="auto"/>
          <w:sz w:val="24"/>
          <w:szCs w:val="24"/>
          <w:highlight w:val="none"/>
        </w:rPr>
      </w:pPr>
      <w:r>
        <w:rPr>
          <w:rFonts w:hint="eastAsia" w:ascii="宋体" w:hAnsi="宋体" w:cs="宋体"/>
          <w:color w:val="auto"/>
          <w:sz w:val="24"/>
          <w:szCs w:val="24"/>
          <w:highlight w:val="none"/>
          <w:u w:val="single"/>
        </w:rPr>
        <w:t>（另册）</w:t>
      </w:r>
    </w:p>
    <w:p>
      <w:pPr>
        <w:pStyle w:val="5"/>
        <w:spacing w:after="0" w:line="360" w:lineRule="auto"/>
        <w:ind w:left="-2" w:leftChars="-1" w:firstLine="960" w:firstLineChars="400"/>
        <w:rPr>
          <w:rFonts w:ascii="宋体" w:hAnsi="宋体" w:cs="宋体"/>
          <w:color w:val="auto"/>
          <w:sz w:val="24"/>
          <w:highlight w:val="none"/>
        </w:rPr>
      </w:pPr>
    </w:p>
    <w:p>
      <w:pPr>
        <w:pStyle w:val="3"/>
        <w:rPr>
          <w:color w:val="auto"/>
          <w:highlight w:val="none"/>
        </w:rPr>
      </w:pPr>
      <w:r>
        <w:rPr>
          <w:rFonts w:hint="eastAsia"/>
          <w:color w:val="auto"/>
          <w:sz w:val="24"/>
          <w:szCs w:val="24"/>
          <w:highlight w:val="none"/>
        </w:rPr>
        <w:br w:type="page"/>
      </w:r>
      <w:bookmarkStart w:id="92" w:name="_Toc31835"/>
      <w:bookmarkStart w:id="93" w:name="_Toc2272571"/>
      <w:r>
        <w:rPr>
          <w:rFonts w:hint="eastAsia"/>
          <w:color w:val="auto"/>
          <w:highlight w:val="none"/>
        </w:rPr>
        <w:t>第八章 最高投标限价</w:t>
      </w:r>
      <w:bookmarkEnd w:id="92"/>
      <w:bookmarkEnd w:id="93"/>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cs="宋体"/>
          <w:color w:val="auto"/>
          <w:sz w:val="24"/>
          <w:szCs w:val="24"/>
          <w:highlight w:val="none"/>
          <w:u w:val="single"/>
        </w:rPr>
      </w:pPr>
    </w:p>
    <w:p>
      <w:pPr>
        <w:jc w:val="center"/>
        <w:rPr>
          <w:color w:val="auto"/>
          <w:highlight w:val="none"/>
        </w:rPr>
      </w:pPr>
      <w:r>
        <w:rPr>
          <w:rFonts w:hint="eastAsia" w:ascii="宋体" w:hAnsi="宋体" w:cs="宋体"/>
          <w:color w:val="auto"/>
          <w:sz w:val="24"/>
          <w:szCs w:val="24"/>
          <w:highlight w:val="none"/>
          <w:u w:val="single"/>
        </w:rPr>
        <w:t>（另册）</w:t>
      </w:r>
    </w:p>
    <w:sectPr>
      <w:footerReference r:id="rId18" w:type="first"/>
      <w:headerReference r:id="rId15" w:type="default"/>
      <w:headerReference r:id="rId16" w:type="even"/>
      <w:footerReference r:id="rId1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Proxy 9">
    <w:altName w:val="Segoe Print"/>
    <w:panose1 w:val="00000400000000000000"/>
    <w:charset w:val="00"/>
    <w:family w:val="auto"/>
    <w:pitch w:val="default"/>
    <w:sig w:usb0="00000000" w:usb1="00000000" w:usb2="00000000" w:usb3="00000000" w:csb0="0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DejaVu Sans">
    <w:altName w:val="Courier New"/>
    <w:panose1 w:val="00000000000000000000"/>
    <w:charset w:val="00"/>
    <w:family w:val="swiss"/>
    <w:pitch w:val="default"/>
    <w:sig w:usb0="00000000" w:usb1="00000000" w:usb2="0A246029" w:usb3="00000000" w:csb0="000001FF" w:csb1="00000000"/>
  </w:font>
  <w:font w:name="Helvetica Neue">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default" w:eastAsia="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92"/>
      <w:rPr>
        <w:rStyle w:val="54"/>
      </w:rPr>
    </w:pPr>
    <w:r>
      <w:fldChar w:fldCharType="begin"/>
    </w:r>
    <w:r>
      <w:rPr>
        <w:rStyle w:val="54"/>
      </w:rPr>
      <w:instrText xml:space="preserve">PAGE  </w:instrText>
    </w:r>
    <w:r>
      <w:fldChar w:fldCharType="separate"/>
    </w:r>
    <w:r>
      <w:rPr>
        <w:rStyle w:val="54"/>
        <w:rFonts w:hint="eastAsia"/>
      </w:rPr>
      <w:t>一</w:t>
    </w:r>
    <w:r>
      <w:rPr>
        <w:rStyle w:val="54"/>
      </w:rPr>
      <w:t>–2</w:t>
    </w:r>
    <w:r>
      <w:fldChar w:fldCharType="end"/>
    </w:r>
  </w:p>
  <w:p>
    <w:pPr>
      <w:pStyle w:val="32"/>
      <w:ind w:firstLine="392"/>
    </w:pP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7662591"/>
                          </w:sdtPr>
                          <w:sdtContent>
                            <w:p>
                              <w:pPr>
                                <w:pStyle w:val="32"/>
                                <w:jc w:val="center"/>
                              </w:pPr>
                              <w:r>
                                <w:fldChar w:fldCharType="begin"/>
                              </w:r>
                              <w:r>
                                <w:instrText xml:space="preserve">PAGE   \* MERGEFORMAT</w:instrText>
                              </w:r>
                              <w:r>
                                <w:fldChar w:fldCharType="separate"/>
                              </w:r>
                              <w:r>
                                <w:rPr>
                                  <w:lang w:val="zh-CN"/>
                                </w:rPr>
                                <w:t>1</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sdt>
                    <w:sdtPr>
                      <w:id w:val="697662591"/>
                    </w:sdtPr>
                    <w:sdtContent>
                      <w:p>
                        <w:pPr>
                          <w:pStyle w:val="32"/>
                          <w:jc w:val="center"/>
                        </w:pPr>
                        <w:r>
                          <w:fldChar w:fldCharType="begin"/>
                        </w:r>
                        <w:r>
                          <w:instrText xml:space="preserve">PAGE   \* MERGEFORMAT</w:instrText>
                        </w:r>
                        <w:r>
                          <w:fldChar w:fldCharType="separate"/>
                        </w:r>
                        <w:r>
                          <w:rPr>
                            <w:lang w:val="zh-CN"/>
                          </w:rPr>
                          <w:t>1</w:t>
                        </w:r>
                        <w:r>
                          <w:fldChar w:fldCharType="end"/>
                        </w:r>
                      </w:p>
                    </w:sdtContent>
                  </w:sdt>
                  <w:p>
                    <w:pPr>
                      <w:pStyle w:val="2"/>
                    </w:pPr>
                  </w:p>
                </w:txbxContent>
              </v:textbox>
            </v:shape>
          </w:pict>
        </mc:Fallback>
      </mc:AlternateContent>
    </w:r>
  </w:p>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4"/>
      </w:rPr>
    </w:pPr>
    <w:r>
      <w:fldChar w:fldCharType="begin"/>
    </w:r>
    <w:r>
      <w:rPr>
        <w:rStyle w:val="54"/>
      </w:rPr>
      <w:instrText xml:space="preserve">PAGE  </w:instrText>
    </w:r>
    <w:r>
      <w:fldChar w:fldCharType="separate"/>
    </w:r>
    <w:r>
      <w:rPr>
        <w:rStyle w:val="54"/>
        <w:rFonts w:hint="eastAsia"/>
      </w:rPr>
      <w:t>一</w:t>
    </w:r>
    <w:r>
      <w:rPr>
        <w:rStyle w:val="54"/>
      </w:rPr>
      <w:t>–2</w:t>
    </w:r>
    <w:r>
      <w:fldChar w:fldCharType="end"/>
    </w:r>
  </w:p>
  <w:p>
    <w:pPr>
      <w:pStyle w:val="32"/>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outside" w:y="1"/>
      <w:rPr>
        <w:rStyle w:val="54"/>
      </w:rPr>
    </w:pPr>
    <w:r>
      <w:rPr>
        <w:rStyle w:val="54"/>
      </w:rPr>
      <w:fldChar w:fldCharType="begin"/>
    </w:r>
    <w:r>
      <w:rPr>
        <w:rStyle w:val="54"/>
      </w:rPr>
      <w:instrText xml:space="preserve">PAGE  </w:instrText>
    </w:r>
    <w:r>
      <w:rPr>
        <w:rStyle w:val="54"/>
      </w:rPr>
      <w:fldChar w:fldCharType="separate"/>
    </w:r>
    <w:r>
      <w:rPr>
        <w:rStyle w:val="54"/>
        <w:rFonts w:hint="eastAsia"/>
      </w:rPr>
      <w:t>一</w:t>
    </w:r>
    <w:r>
      <w:rPr>
        <w:rStyle w:val="54"/>
      </w:rPr>
      <w:t>–2</w:t>
    </w:r>
    <w:r>
      <w:rPr>
        <w:rStyle w:val="54"/>
      </w:rPr>
      <w:fldChar w:fldCharType="end"/>
    </w:r>
  </w:p>
  <w:p>
    <w:pPr>
      <w:pStyle w:val="32"/>
      <w:ind w:right="360" w:firstLine="360"/>
      <w:jc w:val="center"/>
    </w:pPr>
    <w:r>
      <w:rPr>
        <w:kern w:val="0"/>
        <w:sz w:val="20"/>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Style w:val="54"/>
      </w:rPr>
      <w:fldChar w:fldCharType="begin"/>
    </w:r>
    <w:r>
      <w:rPr>
        <w:rStyle w:val="54"/>
      </w:rPr>
      <w:instrText xml:space="preserve"> PAGE </w:instrText>
    </w:r>
    <w:r>
      <w:rPr>
        <w:rStyle w:val="54"/>
      </w:rPr>
      <w:fldChar w:fldCharType="separate"/>
    </w:r>
    <w:r>
      <w:rPr>
        <w:rStyle w:val="54"/>
      </w:rPr>
      <w:t>66</w:t>
    </w:r>
    <w:r>
      <w:rPr>
        <w:rStyle w:val="5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92"/>
    </w:pPr>
    <w:r>
      <w:rPr>
        <w:rFonts w:hint="eastAsia"/>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rPr>
        <w:rFonts w:hint="default"/>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849F2"/>
    <w:multiLevelType w:val="singleLevel"/>
    <w:tmpl w:val="9B7849F2"/>
    <w:lvl w:ilvl="0" w:tentative="0">
      <w:start w:val="1"/>
      <w:numFmt w:val="decimal"/>
      <w:suff w:val="nothing"/>
      <w:lvlText w:val="（%1）"/>
      <w:lvlJc w:val="left"/>
    </w:lvl>
  </w:abstractNum>
  <w:abstractNum w:abstractNumId="1">
    <w:nsid w:val="9BDC324B"/>
    <w:multiLevelType w:val="singleLevel"/>
    <w:tmpl w:val="9BDC324B"/>
    <w:lvl w:ilvl="0" w:tentative="0">
      <w:start w:val="2"/>
      <w:numFmt w:val="chineseCounting"/>
      <w:suff w:val="nothing"/>
      <w:lvlText w:val="%1、"/>
      <w:lvlJc w:val="left"/>
      <w:rPr>
        <w:rFonts w:hint="eastAsia"/>
      </w:rPr>
    </w:lvl>
  </w:abstractNum>
  <w:abstractNum w:abstractNumId="2">
    <w:nsid w:val="F0F4748A"/>
    <w:multiLevelType w:val="singleLevel"/>
    <w:tmpl w:val="F0F4748A"/>
    <w:lvl w:ilvl="0" w:tentative="0">
      <w:start w:val="5"/>
      <w:numFmt w:val="chineseCounting"/>
      <w:suff w:val="nothing"/>
      <w:lvlText w:val="%1、"/>
      <w:lvlJc w:val="left"/>
      <w:rPr>
        <w:rFonts w:hint="eastAsia"/>
      </w:rPr>
    </w:lvl>
  </w:abstractNum>
  <w:abstractNum w:abstractNumId="3">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00000008"/>
    <w:multiLevelType w:val="singleLevel"/>
    <w:tmpl w:val="00000008"/>
    <w:lvl w:ilvl="0" w:tentative="0">
      <w:start w:val="1"/>
      <w:numFmt w:val="japaneseCounting"/>
      <w:lvlText w:val="%1、"/>
      <w:lvlJc w:val="left"/>
      <w:pPr>
        <w:tabs>
          <w:tab w:val="left" w:pos="960"/>
        </w:tabs>
        <w:ind w:left="960" w:hanging="480"/>
      </w:pPr>
    </w:lvl>
  </w:abstractNum>
  <w:abstractNum w:abstractNumId="5">
    <w:nsid w:val="0000000B"/>
    <w:multiLevelType w:val="singleLevel"/>
    <w:tmpl w:val="0000000B"/>
    <w:lvl w:ilvl="0" w:tentative="0">
      <w:start w:val="1"/>
      <w:numFmt w:val="decimal"/>
      <w:suff w:val="nothing"/>
      <w:lvlText w:val="（%1）"/>
      <w:lvlJc w:val="left"/>
    </w:lvl>
  </w:abstractNum>
  <w:abstractNum w:abstractNumId="6">
    <w:nsid w:val="0000000C"/>
    <w:multiLevelType w:val="singleLevel"/>
    <w:tmpl w:val="0000000C"/>
    <w:lvl w:ilvl="0" w:tentative="0">
      <w:start w:val="1"/>
      <w:numFmt w:val="decimal"/>
      <w:suff w:val="nothing"/>
      <w:lvlText w:val="（%1）"/>
      <w:lvlJc w:val="left"/>
    </w:lvl>
  </w:abstractNum>
  <w:abstractNum w:abstractNumId="7">
    <w:nsid w:val="0A8FB768"/>
    <w:multiLevelType w:val="singleLevel"/>
    <w:tmpl w:val="0A8FB768"/>
    <w:lvl w:ilvl="0" w:tentative="0">
      <w:start w:val="1"/>
      <w:numFmt w:val="decimal"/>
      <w:suff w:val="nothing"/>
      <w:lvlText w:val="%1、"/>
      <w:lvlJc w:val="left"/>
    </w:lvl>
  </w:abstractNum>
  <w:abstractNum w:abstractNumId="8">
    <w:nsid w:val="259905B5"/>
    <w:multiLevelType w:val="multilevel"/>
    <w:tmpl w:val="259905B5"/>
    <w:lvl w:ilvl="0" w:tentative="0">
      <w:start w:val="1"/>
      <w:numFmt w:val="chineseCountingThousand"/>
      <w:pStyle w:val="11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9">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44649A8"/>
    <w:multiLevelType w:val="singleLevel"/>
    <w:tmpl w:val="544649A8"/>
    <w:lvl w:ilvl="0" w:tentative="0">
      <w:start w:val="2"/>
      <w:numFmt w:val="decimal"/>
      <w:suff w:val="space"/>
      <w:lvlText w:val="%1."/>
      <w:lvlJc w:val="left"/>
    </w:lvl>
  </w:abstractNum>
  <w:abstractNum w:abstractNumId="1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8"/>
  </w:num>
  <w:num w:numId="2">
    <w:abstractNumId w:val="11"/>
  </w:num>
  <w:num w:numId="3">
    <w:abstractNumId w:val="1"/>
  </w:num>
  <w:num w:numId="4">
    <w:abstractNumId w:val="0"/>
  </w:num>
  <w:num w:numId="5">
    <w:abstractNumId w:val="7"/>
  </w:num>
  <w:num w:numId="6">
    <w:abstractNumId w:val="2"/>
  </w:num>
  <w:num w:numId="7">
    <w:abstractNumId w:val="6"/>
  </w:num>
  <w:num w:numId="8">
    <w:abstractNumId w:val="5"/>
  </w:num>
  <w:num w:numId="9">
    <w:abstractNumId w:val="4"/>
  </w:num>
  <w:num w:numId="10">
    <w:abstractNumId w:val="1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ZjJlNWM3NDg3N2M1MWJjMDhkY2FlMDIyZjE4ZjIifQ=="/>
  </w:docVars>
  <w:rsids>
    <w:rsidRoot w:val="00106A70"/>
    <w:rsid w:val="00005EC1"/>
    <w:rsid w:val="0001065C"/>
    <w:rsid w:val="00022426"/>
    <w:rsid w:val="0002445C"/>
    <w:rsid w:val="000267AF"/>
    <w:rsid w:val="00056180"/>
    <w:rsid w:val="00063D8C"/>
    <w:rsid w:val="00072402"/>
    <w:rsid w:val="000733AF"/>
    <w:rsid w:val="000844DA"/>
    <w:rsid w:val="000876AE"/>
    <w:rsid w:val="00095BA9"/>
    <w:rsid w:val="00097A92"/>
    <w:rsid w:val="000D44B5"/>
    <w:rsid w:val="000D4F60"/>
    <w:rsid w:val="000D6806"/>
    <w:rsid w:val="000E54A4"/>
    <w:rsid w:val="000F5231"/>
    <w:rsid w:val="000F7EA9"/>
    <w:rsid w:val="0010098B"/>
    <w:rsid w:val="00106A70"/>
    <w:rsid w:val="00112FF4"/>
    <w:rsid w:val="00113577"/>
    <w:rsid w:val="00137831"/>
    <w:rsid w:val="0014090E"/>
    <w:rsid w:val="00140D80"/>
    <w:rsid w:val="00155C5A"/>
    <w:rsid w:val="00156F51"/>
    <w:rsid w:val="00177E92"/>
    <w:rsid w:val="00181E1D"/>
    <w:rsid w:val="00182042"/>
    <w:rsid w:val="00182DE3"/>
    <w:rsid w:val="00193459"/>
    <w:rsid w:val="00195566"/>
    <w:rsid w:val="001A6201"/>
    <w:rsid w:val="001B0C38"/>
    <w:rsid w:val="001F4C40"/>
    <w:rsid w:val="0020345A"/>
    <w:rsid w:val="00213850"/>
    <w:rsid w:val="002171C1"/>
    <w:rsid w:val="0022100E"/>
    <w:rsid w:val="00227243"/>
    <w:rsid w:val="00230BE3"/>
    <w:rsid w:val="00241756"/>
    <w:rsid w:val="002426CF"/>
    <w:rsid w:val="00242D35"/>
    <w:rsid w:val="00252964"/>
    <w:rsid w:val="002549CD"/>
    <w:rsid w:val="0025694A"/>
    <w:rsid w:val="00264D57"/>
    <w:rsid w:val="0026505D"/>
    <w:rsid w:val="00276FB4"/>
    <w:rsid w:val="002A333F"/>
    <w:rsid w:val="002A3FA2"/>
    <w:rsid w:val="002A6CC8"/>
    <w:rsid w:val="002B038D"/>
    <w:rsid w:val="002B1E93"/>
    <w:rsid w:val="002B374F"/>
    <w:rsid w:val="002C2790"/>
    <w:rsid w:val="002E2687"/>
    <w:rsid w:val="002E6150"/>
    <w:rsid w:val="002F5543"/>
    <w:rsid w:val="00300054"/>
    <w:rsid w:val="003037E2"/>
    <w:rsid w:val="00304652"/>
    <w:rsid w:val="00323F2F"/>
    <w:rsid w:val="00325E96"/>
    <w:rsid w:val="00326C00"/>
    <w:rsid w:val="00335BD3"/>
    <w:rsid w:val="00351A93"/>
    <w:rsid w:val="00354C41"/>
    <w:rsid w:val="00356A44"/>
    <w:rsid w:val="00364AA0"/>
    <w:rsid w:val="0037273F"/>
    <w:rsid w:val="00373EF6"/>
    <w:rsid w:val="00376258"/>
    <w:rsid w:val="00376C23"/>
    <w:rsid w:val="00383CEB"/>
    <w:rsid w:val="00387B10"/>
    <w:rsid w:val="00390C85"/>
    <w:rsid w:val="003B0476"/>
    <w:rsid w:val="003B7254"/>
    <w:rsid w:val="003E413E"/>
    <w:rsid w:val="003E7068"/>
    <w:rsid w:val="00400119"/>
    <w:rsid w:val="004368E1"/>
    <w:rsid w:val="00440C26"/>
    <w:rsid w:val="004415E6"/>
    <w:rsid w:val="004435E8"/>
    <w:rsid w:val="00450953"/>
    <w:rsid w:val="00452B76"/>
    <w:rsid w:val="00464D7C"/>
    <w:rsid w:val="00467D6C"/>
    <w:rsid w:val="00475E95"/>
    <w:rsid w:val="00484211"/>
    <w:rsid w:val="004931DB"/>
    <w:rsid w:val="004C41DD"/>
    <w:rsid w:val="004D33F6"/>
    <w:rsid w:val="004F006D"/>
    <w:rsid w:val="004F319F"/>
    <w:rsid w:val="004F6DC0"/>
    <w:rsid w:val="0050317D"/>
    <w:rsid w:val="00510DF0"/>
    <w:rsid w:val="00514EA1"/>
    <w:rsid w:val="0055283C"/>
    <w:rsid w:val="00552AEF"/>
    <w:rsid w:val="0056326F"/>
    <w:rsid w:val="00564D16"/>
    <w:rsid w:val="00572B75"/>
    <w:rsid w:val="00575273"/>
    <w:rsid w:val="00577F75"/>
    <w:rsid w:val="00584859"/>
    <w:rsid w:val="00585880"/>
    <w:rsid w:val="005959F6"/>
    <w:rsid w:val="00597BE7"/>
    <w:rsid w:val="005A3ABF"/>
    <w:rsid w:val="005A3F9A"/>
    <w:rsid w:val="005A4F2C"/>
    <w:rsid w:val="005B497B"/>
    <w:rsid w:val="005C01D7"/>
    <w:rsid w:val="005C1D65"/>
    <w:rsid w:val="005C6375"/>
    <w:rsid w:val="005D3B63"/>
    <w:rsid w:val="005F3D11"/>
    <w:rsid w:val="005F58A7"/>
    <w:rsid w:val="00602352"/>
    <w:rsid w:val="006049D1"/>
    <w:rsid w:val="00605BF6"/>
    <w:rsid w:val="006071D2"/>
    <w:rsid w:val="00614095"/>
    <w:rsid w:val="00620AAD"/>
    <w:rsid w:val="006212CF"/>
    <w:rsid w:val="006231C4"/>
    <w:rsid w:val="006251D0"/>
    <w:rsid w:val="00633297"/>
    <w:rsid w:val="00647BC3"/>
    <w:rsid w:val="006627C5"/>
    <w:rsid w:val="00673A0D"/>
    <w:rsid w:val="00686120"/>
    <w:rsid w:val="006A20B8"/>
    <w:rsid w:val="006A38FE"/>
    <w:rsid w:val="006A660D"/>
    <w:rsid w:val="006C2C6D"/>
    <w:rsid w:val="006C5562"/>
    <w:rsid w:val="006C7559"/>
    <w:rsid w:val="006C7A89"/>
    <w:rsid w:val="006E0CE0"/>
    <w:rsid w:val="006E7DA7"/>
    <w:rsid w:val="006F27F9"/>
    <w:rsid w:val="00724A3E"/>
    <w:rsid w:val="00730B59"/>
    <w:rsid w:val="00735E0E"/>
    <w:rsid w:val="00737DC1"/>
    <w:rsid w:val="00744B3D"/>
    <w:rsid w:val="007620A9"/>
    <w:rsid w:val="0076712F"/>
    <w:rsid w:val="00772656"/>
    <w:rsid w:val="00773A2A"/>
    <w:rsid w:val="0077478A"/>
    <w:rsid w:val="007816EB"/>
    <w:rsid w:val="00781CE6"/>
    <w:rsid w:val="007860A3"/>
    <w:rsid w:val="007A4679"/>
    <w:rsid w:val="007A52FD"/>
    <w:rsid w:val="007A5427"/>
    <w:rsid w:val="007C1F1A"/>
    <w:rsid w:val="007D3984"/>
    <w:rsid w:val="007D6DBC"/>
    <w:rsid w:val="007E5587"/>
    <w:rsid w:val="007F0C98"/>
    <w:rsid w:val="007F2196"/>
    <w:rsid w:val="00805381"/>
    <w:rsid w:val="00805988"/>
    <w:rsid w:val="008207C6"/>
    <w:rsid w:val="00822016"/>
    <w:rsid w:val="008246B0"/>
    <w:rsid w:val="008372B0"/>
    <w:rsid w:val="00860F2A"/>
    <w:rsid w:val="00865D80"/>
    <w:rsid w:val="0087608F"/>
    <w:rsid w:val="008801F1"/>
    <w:rsid w:val="00887303"/>
    <w:rsid w:val="0089198B"/>
    <w:rsid w:val="008A65E7"/>
    <w:rsid w:val="008B09DA"/>
    <w:rsid w:val="008B1128"/>
    <w:rsid w:val="008B2F44"/>
    <w:rsid w:val="008B4319"/>
    <w:rsid w:val="008E2906"/>
    <w:rsid w:val="008E7AC4"/>
    <w:rsid w:val="008F269F"/>
    <w:rsid w:val="009022CC"/>
    <w:rsid w:val="0090553D"/>
    <w:rsid w:val="00910BB1"/>
    <w:rsid w:val="0091216D"/>
    <w:rsid w:val="00917485"/>
    <w:rsid w:val="00925619"/>
    <w:rsid w:val="009309BA"/>
    <w:rsid w:val="00934B26"/>
    <w:rsid w:val="00945BD0"/>
    <w:rsid w:val="0095268A"/>
    <w:rsid w:val="00954ABC"/>
    <w:rsid w:val="0096765A"/>
    <w:rsid w:val="00980D98"/>
    <w:rsid w:val="00990897"/>
    <w:rsid w:val="009A12E1"/>
    <w:rsid w:val="009A14B7"/>
    <w:rsid w:val="009B63BA"/>
    <w:rsid w:val="009C3154"/>
    <w:rsid w:val="009D2BC0"/>
    <w:rsid w:val="009D4F9C"/>
    <w:rsid w:val="009D7CB7"/>
    <w:rsid w:val="009E5795"/>
    <w:rsid w:val="00A026D3"/>
    <w:rsid w:val="00A07368"/>
    <w:rsid w:val="00A15D52"/>
    <w:rsid w:val="00A21DDF"/>
    <w:rsid w:val="00A30FEF"/>
    <w:rsid w:val="00A35EA4"/>
    <w:rsid w:val="00A52B27"/>
    <w:rsid w:val="00A54824"/>
    <w:rsid w:val="00A54B81"/>
    <w:rsid w:val="00A6079C"/>
    <w:rsid w:val="00A630D5"/>
    <w:rsid w:val="00A71A73"/>
    <w:rsid w:val="00A735DB"/>
    <w:rsid w:val="00A900B5"/>
    <w:rsid w:val="00A97C52"/>
    <w:rsid w:val="00AC43F7"/>
    <w:rsid w:val="00AC4BC8"/>
    <w:rsid w:val="00AD24A0"/>
    <w:rsid w:val="00AD6DF9"/>
    <w:rsid w:val="00AE7F1A"/>
    <w:rsid w:val="00AF462C"/>
    <w:rsid w:val="00AF5B9A"/>
    <w:rsid w:val="00AF5EF0"/>
    <w:rsid w:val="00B04039"/>
    <w:rsid w:val="00B0528B"/>
    <w:rsid w:val="00B163B8"/>
    <w:rsid w:val="00B17D06"/>
    <w:rsid w:val="00B24461"/>
    <w:rsid w:val="00B36E67"/>
    <w:rsid w:val="00B41536"/>
    <w:rsid w:val="00B51003"/>
    <w:rsid w:val="00B624E3"/>
    <w:rsid w:val="00B63D6F"/>
    <w:rsid w:val="00B733E6"/>
    <w:rsid w:val="00B75CBC"/>
    <w:rsid w:val="00B91B67"/>
    <w:rsid w:val="00B9694C"/>
    <w:rsid w:val="00BA1454"/>
    <w:rsid w:val="00BB0C3E"/>
    <w:rsid w:val="00BB50F0"/>
    <w:rsid w:val="00BB6347"/>
    <w:rsid w:val="00BC4B44"/>
    <w:rsid w:val="00BE0720"/>
    <w:rsid w:val="00BE3D9B"/>
    <w:rsid w:val="00BF77E0"/>
    <w:rsid w:val="00C02588"/>
    <w:rsid w:val="00C10F84"/>
    <w:rsid w:val="00C15D4E"/>
    <w:rsid w:val="00C210DB"/>
    <w:rsid w:val="00C2570B"/>
    <w:rsid w:val="00C3663E"/>
    <w:rsid w:val="00C45782"/>
    <w:rsid w:val="00C460B7"/>
    <w:rsid w:val="00C540C5"/>
    <w:rsid w:val="00C570C3"/>
    <w:rsid w:val="00C57421"/>
    <w:rsid w:val="00C57A8B"/>
    <w:rsid w:val="00C60D1A"/>
    <w:rsid w:val="00C67582"/>
    <w:rsid w:val="00C72889"/>
    <w:rsid w:val="00C72CDC"/>
    <w:rsid w:val="00C743D2"/>
    <w:rsid w:val="00C848CF"/>
    <w:rsid w:val="00CA0F9A"/>
    <w:rsid w:val="00CA28BC"/>
    <w:rsid w:val="00CA2BD0"/>
    <w:rsid w:val="00CB4B2C"/>
    <w:rsid w:val="00CC0041"/>
    <w:rsid w:val="00CC0B81"/>
    <w:rsid w:val="00CC4A2C"/>
    <w:rsid w:val="00CC4A3B"/>
    <w:rsid w:val="00CC5452"/>
    <w:rsid w:val="00CC761D"/>
    <w:rsid w:val="00CE4C51"/>
    <w:rsid w:val="00CE6725"/>
    <w:rsid w:val="00CF252D"/>
    <w:rsid w:val="00D0267E"/>
    <w:rsid w:val="00D12933"/>
    <w:rsid w:val="00D26848"/>
    <w:rsid w:val="00D30EAB"/>
    <w:rsid w:val="00D317C3"/>
    <w:rsid w:val="00D33D89"/>
    <w:rsid w:val="00D34C79"/>
    <w:rsid w:val="00D36ED5"/>
    <w:rsid w:val="00D36FC7"/>
    <w:rsid w:val="00D40450"/>
    <w:rsid w:val="00D40460"/>
    <w:rsid w:val="00D432CC"/>
    <w:rsid w:val="00D51E20"/>
    <w:rsid w:val="00D573B0"/>
    <w:rsid w:val="00D63D1A"/>
    <w:rsid w:val="00D6431A"/>
    <w:rsid w:val="00D67C2A"/>
    <w:rsid w:val="00D753B6"/>
    <w:rsid w:val="00D80EEC"/>
    <w:rsid w:val="00D816DA"/>
    <w:rsid w:val="00DA2320"/>
    <w:rsid w:val="00DA770E"/>
    <w:rsid w:val="00DB19E9"/>
    <w:rsid w:val="00DB2194"/>
    <w:rsid w:val="00DB7882"/>
    <w:rsid w:val="00DC18A7"/>
    <w:rsid w:val="00DC466F"/>
    <w:rsid w:val="00DD0619"/>
    <w:rsid w:val="00DD09CF"/>
    <w:rsid w:val="00DD691C"/>
    <w:rsid w:val="00DE60BB"/>
    <w:rsid w:val="00DE6BEF"/>
    <w:rsid w:val="00DF10AA"/>
    <w:rsid w:val="00DF5225"/>
    <w:rsid w:val="00E14D3A"/>
    <w:rsid w:val="00E16892"/>
    <w:rsid w:val="00E22D1A"/>
    <w:rsid w:val="00E3103A"/>
    <w:rsid w:val="00E31FBD"/>
    <w:rsid w:val="00E36B5F"/>
    <w:rsid w:val="00E42E7B"/>
    <w:rsid w:val="00E50307"/>
    <w:rsid w:val="00E62305"/>
    <w:rsid w:val="00E66486"/>
    <w:rsid w:val="00E84FC5"/>
    <w:rsid w:val="00E8751A"/>
    <w:rsid w:val="00E9080F"/>
    <w:rsid w:val="00E9353C"/>
    <w:rsid w:val="00E949DF"/>
    <w:rsid w:val="00EC63D6"/>
    <w:rsid w:val="00EC737E"/>
    <w:rsid w:val="00EE0DE9"/>
    <w:rsid w:val="00EE7EEF"/>
    <w:rsid w:val="00EF6AAB"/>
    <w:rsid w:val="00F03595"/>
    <w:rsid w:val="00F13910"/>
    <w:rsid w:val="00F24F96"/>
    <w:rsid w:val="00F40DB9"/>
    <w:rsid w:val="00F43FB9"/>
    <w:rsid w:val="00F64455"/>
    <w:rsid w:val="00F6639E"/>
    <w:rsid w:val="00F6676E"/>
    <w:rsid w:val="00F8575A"/>
    <w:rsid w:val="00F87F94"/>
    <w:rsid w:val="00F92518"/>
    <w:rsid w:val="00F93EAC"/>
    <w:rsid w:val="00F942D2"/>
    <w:rsid w:val="00FA3750"/>
    <w:rsid w:val="00FA6691"/>
    <w:rsid w:val="00FA67AB"/>
    <w:rsid w:val="00FA72FC"/>
    <w:rsid w:val="00FB0358"/>
    <w:rsid w:val="00FB2966"/>
    <w:rsid w:val="00FB49CB"/>
    <w:rsid w:val="00FC4E30"/>
    <w:rsid w:val="00FD6327"/>
    <w:rsid w:val="00FE4330"/>
    <w:rsid w:val="00FF3E86"/>
    <w:rsid w:val="00FF5BA6"/>
    <w:rsid w:val="00FF7350"/>
    <w:rsid w:val="013755F2"/>
    <w:rsid w:val="021509CB"/>
    <w:rsid w:val="03CD6A75"/>
    <w:rsid w:val="04965C63"/>
    <w:rsid w:val="05DA1884"/>
    <w:rsid w:val="061C612A"/>
    <w:rsid w:val="090E0C1F"/>
    <w:rsid w:val="09BF629F"/>
    <w:rsid w:val="0A507DAD"/>
    <w:rsid w:val="0B554EF9"/>
    <w:rsid w:val="0BD6694B"/>
    <w:rsid w:val="0E6C5BDD"/>
    <w:rsid w:val="0E9B2EC6"/>
    <w:rsid w:val="0FE124EA"/>
    <w:rsid w:val="109A449A"/>
    <w:rsid w:val="133B05A8"/>
    <w:rsid w:val="13402F9F"/>
    <w:rsid w:val="14CF5B64"/>
    <w:rsid w:val="167F160F"/>
    <w:rsid w:val="16DA2361"/>
    <w:rsid w:val="17B50AEA"/>
    <w:rsid w:val="19466646"/>
    <w:rsid w:val="1A0751C0"/>
    <w:rsid w:val="1D6C1273"/>
    <w:rsid w:val="1E34713F"/>
    <w:rsid w:val="1FE10954"/>
    <w:rsid w:val="20EC75B1"/>
    <w:rsid w:val="21570ECE"/>
    <w:rsid w:val="24195ACA"/>
    <w:rsid w:val="24D111DA"/>
    <w:rsid w:val="2551591F"/>
    <w:rsid w:val="25773AFA"/>
    <w:rsid w:val="25EA73A4"/>
    <w:rsid w:val="26C83C17"/>
    <w:rsid w:val="27B423B9"/>
    <w:rsid w:val="27FA39D0"/>
    <w:rsid w:val="285F4565"/>
    <w:rsid w:val="2AB90E86"/>
    <w:rsid w:val="2C785D1F"/>
    <w:rsid w:val="2CDB2CF3"/>
    <w:rsid w:val="318A4A5A"/>
    <w:rsid w:val="32942504"/>
    <w:rsid w:val="32D7512E"/>
    <w:rsid w:val="32F970BB"/>
    <w:rsid w:val="33FB0FD2"/>
    <w:rsid w:val="36AA560A"/>
    <w:rsid w:val="392811FF"/>
    <w:rsid w:val="39E64EDC"/>
    <w:rsid w:val="3A661D2A"/>
    <w:rsid w:val="3B1A1699"/>
    <w:rsid w:val="3B822100"/>
    <w:rsid w:val="3D6B3E59"/>
    <w:rsid w:val="3E0F3D2C"/>
    <w:rsid w:val="3E187D71"/>
    <w:rsid w:val="3E395CF5"/>
    <w:rsid w:val="40C870CD"/>
    <w:rsid w:val="417B430D"/>
    <w:rsid w:val="42B00439"/>
    <w:rsid w:val="439C027C"/>
    <w:rsid w:val="45EF562A"/>
    <w:rsid w:val="4754401C"/>
    <w:rsid w:val="47E43B96"/>
    <w:rsid w:val="47F50F2D"/>
    <w:rsid w:val="4A301CD1"/>
    <w:rsid w:val="4AD75027"/>
    <w:rsid w:val="4EC1308C"/>
    <w:rsid w:val="4F993212"/>
    <w:rsid w:val="4FE319FB"/>
    <w:rsid w:val="50FA7E11"/>
    <w:rsid w:val="51760779"/>
    <w:rsid w:val="51DA2063"/>
    <w:rsid w:val="51DE3FF6"/>
    <w:rsid w:val="5228722A"/>
    <w:rsid w:val="53785583"/>
    <w:rsid w:val="54AA67E8"/>
    <w:rsid w:val="56737ECA"/>
    <w:rsid w:val="56916124"/>
    <w:rsid w:val="572B7BB5"/>
    <w:rsid w:val="57DA5ED8"/>
    <w:rsid w:val="587207E8"/>
    <w:rsid w:val="58CD6F99"/>
    <w:rsid w:val="59345C5B"/>
    <w:rsid w:val="59E511B1"/>
    <w:rsid w:val="5A6B5887"/>
    <w:rsid w:val="5B9A437A"/>
    <w:rsid w:val="5BFD3E45"/>
    <w:rsid w:val="5E5C753E"/>
    <w:rsid w:val="5F3610D8"/>
    <w:rsid w:val="60D51636"/>
    <w:rsid w:val="62022DBF"/>
    <w:rsid w:val="6204548A"/>
    <w:rsid w:val="635556CF"/>
    <w:rsid w:val="63F476EE"/>
    <w:rsid w:val="640C206E"/>
    <w:rsid w:val="657A291F"/>
    <w:rsid w:val="65831DCF"/>
    <w:rsid w:val="661158D7"/>
    <w:rsid w:val="665F70F3"/>
    <w:rsid w:val="68C674D7"/>
    <w:rsid w:val="6AD82ABC"/>
    <w:rsid w:val="6BE60821"/>
    <w:rsid w:val="6C506A9C"/>
    <w:rsid w:val="6D550C5A"/>
    <w:rsid w:val="6DDE15FC"/>
    <w:rsid w:val="6EE8383A"/>
    <w:rsid w:val="6EFA0DA6"/>
    <w:rsid w:val="7084798E"/>
    <w:rsid w:val="729D6528"/>
    <w:rsid w:val="760A678D"/>
    <w:rsid w:val="7C376B80"/>
    <w:rsid w:val="7CEB22FD"/>
    <w:rsid w:val="7D6050C0"/>
    <w:rsid w:val="7D836911"/>
    <w:rsid w:val="7F0A1A12"/>
    <w:rsid w:val="7F8A3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93"/>
    <w:qFormat/>
    <w:uiPriority w:val="0"/>
    <w:pPr>
      <w:keepNext/>
      <w:keepLines/>
      <w:spacing w:after="120" w:line="360" w:lineRule="auto"/>
      <w:outlineLvl w:val="0"/>
    </w:pPr>
    <w:rPr>
      <w:kern w:val="44"/>
      <w:sz w:val="28"/>
      <w:szCs w:val="28"/>
    </w:rPr>
  </w:style>
  <w:style w:type="paragraph" w:styleId="7">
    <w:name w:val="heading 2"/>
    <w:basedOn w:val="1"/>
    <w:next w:val="8"/>
    <w:link w:val="94"/>
    <w:qFormat/>
    <w:uiPriority w:val="0"/>
    <w:pPr>
      <w:keepNext/>
      <w:keepLines/>
      <w:spacing w:before="120" w:after="120" w:line="415" w:lineRule="auto"/>
      <w:jc w:val="center"/>
      <w:outlineLvl w:val="1"/>
    </w:pPr>
    <w:rPr>
      <w:rFonts w:ascii="Arial" w:hAnsi="Arial"/>
      <w:b/>
      <w:color w:val="000000"/>
      <w:sz w:val="24"/>
      <w:szCs w:val="24"/>
    </w:rPr>
  </w:style>
  <w:style w:type="paragraph" w:styleId="9">
    <w:name w:val="heading 3"/>
    <w:basedOn w:val="1"/>
    <w:next w:val="1"/>
    <w:link w:val="90"/>
    <w:qFormat/>
    <w:uiPriority w:val="0"/>
    <w:pPr>
      <w:widowControl/>
      <w:spacing w:line="360" w:lineRule="auto"/>
      <w:jc w:val="left"/>
      <w:outlineLvl w:val="2"/>
    </w:pPr>
    <w:rPr>
      <w:rFonts w:ascii="宋体" w:hAnsi="宋体" w:cs="宋体"/>
      <w:kern w:val="0"/>
      <w:sz w:val="24"/>
      <w:szCs w:val="24"/>
    </w:rPr>
  </w:style>
  <w:style w:type="paragraph" w:styleId="10">
    <w:name w:val="heading 4"/>
    <w:basedOn w:val="9"/>
    <w:next w:val="8"/>
    <w:link w:val="95"/>
    <w:qFormat/>
    <w:uiPriority w:val="0"/>
    <w:pPr>
      <w:keepNext/>
      <w:keepLines/>
      <w:widowControl w:val="0"/>
      <w:numPr>
        <w:ilvl w:val="3"/>
        <w:numId w:val="1"/>
      </w:numPr>
      <w:spacing w:beforeLines="50" w:afterLines="50"/>
      <w:outlineLvl w:val="3"/>
    </w:pPr>
    <w:rPr>
      <w:rFonts w:ascii="Arial" w:hAnsi="Arial" w:cs="Times New Roman"/>
      <w:color w:val="000000"/>
      <w:kern w:val="2"/>
      <w:sz w:val="21"/>
      <w:szCs w:val="21"/>
    </w:rPr>
  </w:style>
  <w:style w:type="paragraph" w:styleId="11">
    <w:name w:val="heading 5"/>
    <w:basedOn w:val="10"/>
    <w:next w:val="8"/>
    <w:link w:val="96"/>
    <w:qFormat/>
    <w:uiPriority w:val="0"/>
    <w:pPr>
      <w:numPr>
        <w:ilvl w:val="4"/>
      </w:numPr>
      <w:spacing w:line="240" w:lineRule="exact"/>
      <w:outlineLvl w:val="4"/>
    </w:pPr>
  </w:style>
  <w:style w:type="paragraph" w:styleId="12">
    <w:name w:val="heading 6"/>
    <w:basedOn w:val="1"/>
    <w:next w:val="1"/>
    <w:link w:val="97"/>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98"/>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99"/>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100"/>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107"/>
    <w:qFormat/>
    <w:uiPriority w:val="0"/>
    <w:rPr>
      <w:rFonts w:ascii="宋体" w:hAnsi="Courier New"/>
      <w:szCs w:val="20"/>
    </w:rPr>
  </w:style>
  <w:style w:type="paragraph" w:styleId="4">
    <w:name w:val="Title"/>
    <w:basedOn w:val="1"/>
    <w:link w:val="101"/>
    <w:qFormat/>
    <w:uiPriority w:val="0"/>
    <w:pPr>
      <w:spacing w:before="120" w:after="60"/>
      <w:jc w:val="center"/>
    </w:pPr>
    <w:rPr>
      <w:rFonts w:ascii="Arial" w:hAnsi="Arial"/>
      <w:b/>
      <w:sz w:val="44"/>
      <w:szCs w:val="20"/>
    </w:rPr>
  </w:style>
  <w:style w:type="paragraph" w:styleId="5">
    <w:name w:val="Body Text First Indent"/>
    <w:basedOn w:val="6"/>
    <w:link w:val="103"/>
    <w:qFormat/>
    <w:uiPriority w:val="0"/>
    <w:pPr>
      <w:ind w:firstLine="420"/>
    </w:pPr>
    <w:rPr>
      <w:rFonts w:ascii="Times New Roman" w:hAnsi="Times New Roman"/>
      <w:szCs w:val="20"/>
    </w:rPr>
  </w:style>
  <w:style w:type="paragraph" w:styleId="6">
    <w:name w:val="Body Text"/>
    <w:basedOn w:val="1"/>
    <w:link w:val="75"/>
    <w:unhideWhenUsed/>
    <w:qFormat/>
    <w:uiPriority w:val="0"/>
    <w:pPr>
      <w:spacing w:after="120"/>
    </w:pPr>
  </w:style>
  <w:style w:type="paragraph" w:styleId="8">
    <w:name w:val="Normal Indent"/>
    <w:basedOn w:val="1"/>
    <w:link w:val="133"/>
    <w:qFormat/>
    <w:uiPriority w:val="0"/>
    <w:pPr>
      <w:ind w:firstLine="420"/>
    </w:pPr>
    <w:rPr>
      <w:rFonts w:ascii="Times New Roman" w:hAnsi="Times New Roman"/>
      <w:szCs w:val="20"/>
    </w:rPr>
  </w:style>
  <w:style w:type="paragraph" w:styleId="16">
    <w:name w:val="toc 7"/>
    <w:basedOn w:val="1"/>
    <w:next w:val="1"/>
    <w:qFormat/>
    <w:uiPriority w:val="0"/>
    <w:pPr>
      <w:ind w:left="1200" w:leftChars="1200"/>
    </w:pPr>
    <w:rPr>
      <w:rFonts w:ascii="Times New Roman" w:hAnsi="Times New Roman"/>
    </w:rPr>
  </w:style>
  <w:style w:type="paragraph" w:styleId="17">
    <w:name w:val="caption"/>
    <w:basedOn w:val="1"/>
    <w:next w:val="1"/>
    <w:qFormat/>
    <w:uiPriority w:val="0"/>
    <w:rPr>
      <w:rFonts w:ascii="Arial" w:hAnsi="Arial" w:eastAsia="黑体" w:cs="Arial"/>
      <w:sz w:val="20"/>
      <w:szCs w:val="20"/>
    </w:rPr>
  </w:style>
  <w:style w:type="paragraph" w:styleId="18">
    <w:name w:val="List Bullet"/>
    <w:basedOn w:val="1"/>
    <w:qFormat/>
    <w:uiPriority w:val="0"/>
    <w:pPr>
      <w:tabs>
        <w:tab w:val="left" w:pos="360"/>
      </w:tabs>
      <w:ind w:left="360" w:hanging="360"/>
    </w:pPr>
    <w:rPr>
      <w:rFonts w:ascii="Times New Roman" w:hAnsi="Times New Roman"/>
      <w:szCs w:val="24"/>
    </w:rPr>
  </w:style>
  <w:style w:type="paragraph" w:styleId="19">
    <w:name w:val="Document Map"/>
    <w:basedOn w:val="1"/>
    <w:link w:val="106"/>
    <w:qFormat/>
    <w:uiPriority w:val="0"/>
    <w:pPr>
      <w:shd w:val="clear" w:color="auto" w:fill="000080"/>
    </w:pPr>
    <w:rPr>
      <w:rFonts w:ascii="Times New Roman" w:hAnsi="Times New Roman"/>
      <w:szCs w:val="20"/>
    </w:rPr>
  </w:style>
  <w:style w:type="paragraph" w:styleId="20">
    <w:name w:val="annotation text"/>
    <w:basedOn w:val="1"/>
    <w:link w:val="125"/>
    <w:qFormat/>
    <w:uiPriority w:val="0"/>
    <w:pPr>
      <w:spacing w:line="360" w:lineRule="auto"/>
      <w:ind w:firstLine="523" w:firstLineChars="218"/>
      <w:jc w:val="left"/>
    </w:pPr>
    <w:rPr>
      <w:rFonts w:ascii="宋体" w:hAnsi="宋体"/>
      <w:sz w:val="24"/>
      <w:szCs w:val="24"/>
    </w:rPr>
  </w:style>
  <w:style w:type="paragraph" w:styleId="21">
    <w:name w:val="Body Text 3"/>
    <w:basedOn w:val="1"/>
    <w:link w:val="144"/>
    <w:qFormat/>
    <w:uiPriority w:val="0"/>
    <w:rPr>
      <w:rFonts w:ascii="宋体" w:hAnsi="宋体"/>
      <w:sz w:val="24"/>
      <w:szCs w:val="20"/>
    </w:rPr>
  </w:style>
  <w:style w:type="paragraph" w:styleId="22">
    <w:name w:val="Body Text Indent"/>
    <w:basedOn w:val="1"/>
    <w:link w:val="105"/>
    <w:qFormat/>
    <w:uiPriority w:val="0"/>
    <w:pPr>
      <w:ind w:firstLine="570"/>
    </w:pPr>
    <w:rPr>
      <w:rFonts w:ascii="Times New Roman" w:hAnsi="Times New Roman"/>
      <w:sz w:val="28"/>
      <w:szCs w:val="20"/>
    </w:rPr>
  </w:style>
  <w:style w:type="paragraph" w:styleId="23">
    <w:name w:val="List 2"/>
    <w:basedOn w:val="1"/>
    <w:qFormat/>
    <w:uiPriority w:val="0"/>
    <w:pPr>
      <w:ind w:left="200" w:leftChars="200" w:hanging="200" w:hangingChars="200"/>
    </w:pPr>
    <w:rPr>
      <w:rFonts w:ascii="Times New Roman" w:hAnsi="Times New Roman" w:eastAsia="楷体_GB2312"/>
      <w:szCs w:val="20"/>
    </w:rPr>
  </w:style>
  <w:style w:type="paragraph" w:styleId="24">
    <w:name w:val="List Bullet 2"/>
    <w:basedOn w:val="18"/>
    <w:qFormat/>
    <w:uiPriority w:val="0"/>
    <w:pPr>
      <w:widowControl/>
      <w:tabs>
        <w:tab w:val="left" w:pos="432"/>
        <w:tab w:val="clear" w:pos="360"/>
      </w:tabs>
      <w:spacing w:after="220" w:line="220" w:lineRule="atLeast"/>
      <w:ind w:left="2160" w:right="720" w:hanging="432"/>
      <w:jc w:val="left"/>
    </w:pPr>
    <w:rPr>
      <w:kern w:val="0"/>
      <w:szCs w:val="20"/>
    </w:rPr>
  </w:style>
  <w:style w:type="paragraph" w:styleId="25">
    <w:name w:val="toc 5"/>
    <w:basedOn w:val="1"/>
    <w:next w:val="1"/>
    <w:qFormat/>
    <w:uiPriority w:val="0"/>
    <w:pPr>
      <w:ind w:left="800" w:leftChars="800"/>
    </w:pPr>
    <w:rPr>
      <w:rFonts w:ascii="Times New Roman" w:hAnsi="Times New Roman"/>
    </w:rPr>
  </w:style>
  <w:style w:type="paragraph" w:styleId="26">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7">
    <w:name w:val="toc 8"/>
    <w:basedOn w:val="1"/>
    <w:next w:val="1"/>
    <w:qFormat/>
    <w:uiPriority w:val="0"/>
    <w:pPr>
      <w:ind w:left="1400" w:leftChars="1400"/>
    </w:pPr>
    <w:rPr>
      <w:rFonts w:ascii="Times New Roman" w:hAnsi="Times New Roman"/>
    </w:rPr>
  </w:style>
  <w:style w:type="paragraph" w:styleId="28">
    <w:name w:val="Date"/>
    <w:basedOn w:val="1"/>
    <w:next w:val="1"/>
    <w:link w:val="104"/>
    <w:qFormat/>
    <w:uiPriority w:val="0"/>
    <w:rPr>
      <w:rFonts w:ascii="Times New Roman" w:hAnsi="Times New Roman"/>
      <w:szCs w:val="20"/>
    </w:rPr>
  </w:style>
  <w:style w:type="paragraph" w:styleId="29">
    <w:name w:val="Body Text Indent 2"/>
    <w:basedOn w:val="1"/>
    <w:link w:val="108"/>
    <w:qFormat/>
    <w:uiPriority w:val="0"/>
    <w:pPr>
      <w:spacing w:line="400" w:lineRule="exact"/>
      <w:ind w:left="425"/>
    </w:pPr>
    <w:rPr>
      <w:rFonts w:ascii="Times New Roman" w:hAnsi="Times New Roman"/>
      <w:color w:val="000000"/>
      <w:sz w:val="24"/>
      <w:szCs w:val="20"/>
    </w:rPr>
  </w:style>
  <w:style w:type="paragraph" w:styleId="30">
    <w:name w:val="endnote text"/>
    <w:basedOn w:val="1"/>
    <w:link w:val="114"/>
    <w:qFormat/>
    <w:uiPriority w:val="0"/>
    <w:pPr>
      <w:snapToGrid w:val="0"/>
      <w:jc w:val="left"/>
    </w:pPr>
    <w:rPr>
      <w:rFonts w:ascii="Times New Roman" w:hAnsi="Times New Roman"/>
      <w:szCs w:val="20"/>
    </w:rPr>
  </w:style>
  <w:style w:type="paragraph" w:styleId="31">
    <w:name w:val="Balloon Text"/>
    <w:basedOn w:val="1"/>
    <w:link w:val="123"/>
    <w:qFormat/>
    <w:uiPriority w:val="0"/>
    <w:rPr>
      <w:rFonts w:ascii="Times New Roman" w:hAnsi="Times New Roman"/>
      <w:sz w:val="18"/>
      <w:szCs w:val="18"/>
    </w:rPr>
  </w:style>
  <w:style w:type="paragraph" w:styleId="32">
    <w:name w:val="footer"/>
    <w:basedOn w:val="1"/>
    <w:link w:val="92"/>
    <w:unhideWhenUsed/>
    <w:qFormat/>
    <w:uiPriority w:val="99"/>
    <w:pPr>
      <w:tabs>
        <w:tab w:val="center" w:pos="4153"/>
        <w:tab w:val="right" w:pos="8306"/>
      </w:tabs>
      <w:snapToGrid w:val="0"/>
      <w:jc w:val="left"/>
    </w:pPr>
    <w:rPr>
      <w:sz w:val="18"/>
      <w:szCs w:val="18"/>
    </w:rPr>
  </w:style>
  <w:style w:type="paragraph" w:styleId="33">
    <w:name w:val="header"/>
    <w:basedOn w:val="1"/>
    <w:link w:val="91"/>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35">
    <w:name w:val="toc 4"/>
    <w:basedOn w:val="1"/>
    <w:next w:val="1"/>
    <w:qFormat/>
    <w:uiPriority w:val="0"/>
    <w:pPr>
      <w:ind w:left="600" w:leftChars="600"/>
    </w:pPr>
    <w:rPr>
      <w:rFonts w:ascii="Times New Roman" w:hAnsi="Times New Roman"/>
    </w:rPr>
  </w:style>
  <w:style w:type="paragraph" w:styleId="36">
    <w:name w:val="Subtitle"/>
    <w:basedOn w:val="1"/>
    <w:next w:val="1"/>
    <w:link w:val="154"/>
    <w:qFormat/>
    <w:uiPriority w:val="0"/>
    <w:pPr>
      <w:widowControl/>
      <w:spacing w:after="60"/>
      <w:jc w:val="center"/>
      <w:outlineLvl w:val="1"/>
    </w:pPr>
    <w:rPr>
      <w:rFonts w:ascii="Arial" w:hAnsi="Arial" w:eastAsia="黑体"/>
      <w:b/>
      <w:bCs/>
      <w:sz w:val="32"/>
      <w:szCs w:val="32"/>
    </w:rPr>
  </w:style>
  <w:style w:type="paragraph" w:styleId="37">
    <w:name w:val="List"/>
    <w:basedOn w:val="6"/>
    <w:qFormat/>
    <w:uiPriority w:val="0"/>
    <w:pPr>
      <w:suppressAutoHyphens/>
      <w:spacing w:after="0"/>
    </w:pPr>
    <w:rPr>
      <w:rFonts w:ascii="Times New Roman" w:eastAsia="黑体"/>
      <w:kern w:val="0"/>
      <w:sz w:val="24"/>
      <w:szCs w:val="20"/>
      <w:lang w:eastAsia="ar-SA"/>
    </w:rPr>
  </w:style>
  <w:style w:type="paragraph" w:styleId="38">
    <w:name w:val="footnote text"/>
    <w:basedOn w:val="1"/>
    <w:link w:val="126"/>
    <w:qFormat/>
    <w:uiPriority w:val="0"/>
    <w:pPr>
      <w:snapToGrid w:val="0"/>
      <w:spacing w:line="360" w:lineRule="auto"/>
      <w:ind w:firstLine="523" w:firstLineChars="218"/>
      <w:jc w:val="left"/>
    </w:pPr>
    <w:rPr>
      <w:rFonts w:ascii="宋体" w:hAnsi="宋体"/>
      <w:sz w:val="18"/>
      <w:szCs w:val="18"/>
    </w:rPr>
  </w:style>
  <w:style w:type="paragraph" w:styleId="39">
    <w:name w:val="toc 6"/>
    <w:basedOn w:val="1"/>
    <w:next w:val="1"/>
    <w:qFormat/>
    <w:uiPriority w:val="0"/>
    <w:pPr>
      <w:ind w:left="1000" w:leftChars="1000"/>
    </w:pPr>
    <w:rPr>
      <w:rFonts w:ascii="Times New Roman" w:hAnsi="Times New Roman"/>
    </w:rPr>
  </w:style>
  <w:style w:type="paragraph" w:styleId="40">
    <w:name w:val="Body Text Indent 3"/>
    <w:basedOn w:val="1"/>
    <w:link w:val="109"/>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41">
    <w:name w:val="table of figures"/>
    <w:basedOn w:val="1"/>
    <w:next w:val="1"/>
    <w:qFormat/>
    <w:uiPriority w:val="0"/>
    <w:pPr>
      <w:ind w:left="200" w:leftChars="200" w:hanging="200" w:hangingChars="200"/>
    </w:pPr>
    <w:rPr>
      <w:rFonts w:ascii="Times New Roman" w:hAnsi="Times New Roman"/>
    </w:rPr>
  </w:style>
  <w:style w:type="paragraph" w:styleId="4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3">
    <w:name w:val="toc 9"/>
    <w:basedOn w:val="1"/>
    <w:next w:val="1"/>
    <w:qFormat/>
    <w:uiPriority w:val="0"/>
    <w:pPr>
      <w:ind w:left="1600" w:leftChars="1600"/>
    </w:pPr>
    <w:rPr>
      <w:rFonts w:ascii="Times New Roman" w:hAnsi="Times New Roman"/>
    </w:rPr>
  </w:style>
  <w:style w:type="paragraph" w:styleId="44">
    <w:name w:val="Body Text 2"/>
    <w:basedOn w:val="1"/>
    <w:link w:val="112"/>
    <w:qFormat/>
    <w:uiPriority w:val="0"/>
    <w:rPr>
      <w:rFonts w:ascii="宋体" w:hAnsi="宋体"/>
      <w:szCs w:val="24"/>
      <w:u w:val="single"/>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rPr>
      <w:rFonts w:ascii="Times New Roman" w:hAnsi="Times New Roman" w:eastAsia="仿宋_GB2312"/>
      <w:sz w:val="28"/>
      <w:szCs w:val="20"/>
    </w:rPr>
  </w:style>
  <w:style w:type="paragraph" w:styleId="47">
    <w:name w:val="annotation subject"/>
    <w:basedOn w:val="20"/>
    <w:next w:val="20"/>
    <w:link w:val="127"/>
    <w:qFormat/>
    <w:uiPriority w:val="0"/>
    <w:rPr>
      <w:b/>
      <w:bCs/>
    </w:rPr>
  </w:style>
  <w:style w:type="paragraph" w:styleId="48">
    <w:name w:val="Body Text First Indent 2"/>
    <w:basedOn w:val="22"/>
    <w:link w:val="466"/>
    <w:semiHidden/>
    <w:unhideWhenUsed/>
    <w:qFormat/>
    <w:uiPriority w:val="99"/>
    <w:pPr>
      <w:spacing w:after="120"/>
      <w:ind w:left="420" w:leftChars="200" w:firstLine="420" w:firstLineChars="200"/>
    </w:pPr>
    <w:rPr>
      <w:rFonts w:ascii="Calibri" w:hAnsi="Calibri"/>
      <w:sz w:val="21"/>
      <w:szCs w:val="22"/>
    </w:rPr>
  </w:style>
  <w:style w:type="table" w:styleId="50">
    <w:name w:val="Table Grid"/>
    <w:basedOn w:val="4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b/>
    </w:rPr>
  </w:style>
  <w:style w:type="character" w:styleId="53">
    <w:name w:val="endnote reference"/>
    <w:qFormat/>
    <w:uiPriority w:val="0"/>
    <w:rPr>
      <w:vertAlign w:val="superscript"/>
    </w:rPr>
  </w:style>
  <w:style w:type="character" w:styleId="54">
    <w:name w:val="page number"/>
    <w:qFormat/>
    <w:uiPriority w:val="0"/>
    <w:rPr>
      <w:rFonts w:cs="Times New Roman"/>
    </w:rPr>
  </w:style>
  <w:style w:type="character" w:styleId="55">
    <w:name w:val="FollowedHyperlink"/>
    <w:unhideWhenUsed/>
    <w:qFormat/>
    <w:uiPriority w:val="0"/>
    <w:rPr>
      <w:color w:val="954F72"/>
      <w:u w:val="single"/>
    </w:rPr>
  </w:style>
  <w:style w:type="character" w:styleId="56">
    <w:name w:val="Emphasis"/>
    <w:qFormat/>
    <w:uiPriority w:val="0"/>
    <w:rPr>
      <w:color w:val="CC0000"/>
    </w:rPr>
  </w:style>
  <w:style w:type="character" w:styleId="57">
    <w:name w:val="HTML Definition"/>
    <w:unhideWhenUsed/>
    <w:qFormat/>
    <w:uiPriority w:val="99"/>
    <w:rPr>
      <w:i/>
      <w:iCs/>
    </w:rPr>
  </w:style>
  <w:style w:type="character" w:styleId="58">
    <w:name w:val="Hyperlink"/>
    <w:qFormat/>
    <w:uiPriority w:val="99"/>
    <w:rPr>
      <w:color w:val="0000FF"/>
      <w:u w:val="single"/>
    </w:rPr>
  </w:style>
  <w:style w:type="character" w:styleId="59">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60">
    <w:name w:val="annotation reference"/>
    <w:qFormat/>
    <w:uiPriority w:val="99"/>
    <w:rPr>
      <w:sz w:val="21"/>
      <w:szCs w:val="21"/>
    </w:rPr>
  </w:style>
  <w:style w:type="character" w:styleId="61">
    <w:name w:val="footnote reference"/>
    <w:qFormat/>
    <w:uiPriority w:val="0"/>
    <w:rPr>
      <w:vertAlign w:val="superscript"/>
    </w:rPr>
  </w:style>
  <w:style w:type="character" w:styleId="62">
    <w:name w:val="HTML Keyboard"/>
    <w:unhideWhenUsed/>
    <w:qFormat/>
    <w:uiPriority w:val="99"/>
    <w:rPr>
      <w:rFonts w:hint="default" w:ascii="Consolas" w:hAnsi="Consolas" w:eastAsia="Consolas" w:cs="Consolas"/>
      <w:color w:val="FFFFFF"/>
      <w:sz w:val="21"/>
      <w:szCs w:val="21"/>
      <w:shd w:val="clear" w:color="auto" w:fill="333333"/>
    </w:rPr>
  </w:style>
  <w:style w:type="character" w:styleId="63">
    <w:name w:val="HTML Sample"/>
    <w:unhideWhenUsed/>
    <w:qFormat/>
    <w:uiPriority w:val="99"/>
    <w:rPr>
      <w:rFonts w:ascii="Consolas" w:hAnsi="Consolas" w:eastAsia="Consolas" w:cs="Consolas"/>
      <w:sz w:val="21"/>
      <w:szCs w:val="21"/>
    </w:rPr>
  </w:style>
  <w:style w:type="character" w:customStyle="1" w:styleId="64">
    <w:name w:val="标题 1 字符"/>
    <w:basedOn w:val="51"/>
    <w:qFormat/>
    <w:uiPriority w:val="9"/>
    <w:rPr>
      <w:rFonts w:ascii="Calibri" w:hAnsi="Calibri" w:eastAsia="宋体" w:cs="Times New Roman"/>
      <w:b/>
      <w:bCs/>
      <w:kern w:val="44"/>
      <w:sz w:val="44"/>
      <w:szCs w:val="44"/>
    </w:rPr>
  </w:style>
  <w:style w:type="character" w:customStyle="1" w:styleId="65">
    <w:name w:val="标题 2 字符"/>
    <w:basedOn w:val="51"/>
    <w:qFormat/>
    <w:uiPriority w:val="9"/>
    <w:rPr>
      <w:rFonts w:asciiTheme="majorHAnsi" w:hAnsiTheme="majorHAnsi" w:eastAsiaTheme="majorEastAsia" w:cstheme="majorBidi"/>
      <w:b/>
      <w:bCs/>
      <w:sz w:val="32"/>
      <w:szCs w:val="32"/>
    </w:rPr>
  </w:style>
  <w:style w:type="character" w:customStyle="1" w:styleId="66">
    <w:name w:val="标题 3 字符"/>
    <w:basedOn w:val="51"/>
    <w:qFormat/>
    <w:uiPriority w:val="9"/>
    <w:rPr>
      <w:rFonts w:ascii="Calibri" w:hAnsi="Calibri" w:eastAsia="宋体" w:cs="Times New Roman"/>
      <w:b/>
      <w:bCs/>
      <w:sz w:val="32"/>
      <w:szCs w:val="32"/>
    </w:rPr>
  </w:style>
  <w:style w:type="character" w:customStyle="1" w:styleId="67">
    <w:name w:val="标题 4 字符"/>
    <w:basedOn w:val="51"/>
    <w:qFormat/>
    <w:uiPriority w:val="9"/>
    <w:rPr>
      <w:rFonts w:asciiTheme="majorHAnsi" w:hAnsiTheme="majorHAnsi" w:eastAsiaTheme="majorEastAsia" w:cstheme="majorBidi"/>
      <w:b/>
      <w:bCs/>
      <w:sz w:val="28"/>
      <w:szCs w:val="28"/>
    </w:rPr>
  </w:style>
  <w:style w:type="character" w:customStyle="1" w:styleId="68">
    <w:name w:val="标题 5 字符"/>
    <w:basedOn w:val="51"/>
    <w:qFormat/>
    <w:uiPriority w:val="9"/>
    <w:rPr>
      <w:rFonts w:ascii="Calibri" w:hAnsi="Calibri" w:eastAsia="宋体" w:cs="Times New Roman"/>
      <w:b/>
      <w:bCs/>
      <w:sz w:val="28"/>
      <w:szCs w:val="28"/>
    </w:rPr>
  </w:style>
  <w:style w:type="character" w:customStyle="1" w:styleId="69">
    <w:name w:val="标题 6 字符"/>
    <w:basedOn w:val="51"/>
    <w:qFormat/>
    <w:uiPriority w:val="9"/>
    <w:rPr>
      <w:rFonts w:asciiTheme="majorHAnsi" w:hAnsiTheme="majorHAnsi" w:eastAsiaTheme="majorEastAsia" w:cstheme="majorBidi"/>
      <w:b/>
      <w:bCs/>
      <w:sz w:val="24"/>
      <w:szCs w:val="24"/>
    </w:rPr>
  </w:style>
  <w:style w:type="character" w:customStyle="1" w:styleId="70">
    <w:name w:val="标题 7 字符"/>
    <w:basedOn w:val="51"/>
    <w:qFormat/>
    <w:uiPriority w:val="9"/>
    <w:rPr>
      <w:rFonts w:ascii="Calibri" w:hAnsi="Calibri" w:eastAsia="宋体" w:cs="Times New Roman"/>
      <w:b/>
      <w:bCs/>
      <w:sz w:val="24"/>
      <w:szCs w:val="24"/>
    </w:rPr>
  </w:style>
  <w:style w:type="character" w:customStyle="1" w:styleId="71">
    <w:name w:val="标题 8 字符"/>
    <w:basedOn w:val="51"/>
    <w:qFormat/>
    <w:uiPriority w:val="9"/>
    <w:rPr>
      <w:rFonts w:asciiTheme="majorHAnsi" w:hAnsiTheme="majorHAnsi" w:eastAsiaTheme="majorEastAsia" w:cstheme="majorBidi"/>
      <w:sz w:val="24"/>
      <w:szCs w:val="24"/>
    </w:rPr>
  </w:style>
  <w:style w:type="character" w:customStyle="1" w:styleId="72">
    <w:name w:val="标题 9 字符"/>
    <w:basedOn w:val="51"/>
    <w:qFormat/>
    <w:uiPriority w:val="9"/>
    <w:rPr>
      <w:rFonts w:asciiTheme="majorHAnsi" w:hAnsiTheme="majorHAnsi" w:eastAsiaTheme="majorEastAsia" w:cstheme="majorBidi"/>
      <w:szCs w:val="21"/>
    </w:rPr>
  </w:style>
  <w:style w:type="character" w:customStyle="1" w:styleId="73">
    <w:name w:val="纯文本 字符"/>
    <w:basedOn w:val="51"/>
    <w:qFormat/>
    <w:uiPriority w:val="0"/>
    <w:rPr>
      <w:rFonts w:hAnsi="Courier New" w:cs="Courier New" w:asciiTheme="minorEastAsia"/>
    </w:rPr>
  </w:style>
  <w:style w:type="character" w:customStyle="1" w:styleId="74">
    <w:name w:val="标题 字符"/>
    <w:basedOn w:val="51"/>
    <w:qFormat/>
    <w:uiPriority w:val="10"/>
    <w:rPr>
      <w:rFonts w:asciiTheme="majorHAnsi" w:hAnsiTheme="majorHAnsi" w:eastAsiaTheme="majorEastAsia" w:cstheme="majorBidi"/>
      <w:b/>
      <w:bCs/>
      <w:sz w:val="32"/>
      <w:szCs w:val="32"/>
    </w:rPr>
  </w:style>
  <w:style w:type="character" w:customStyle="1" w:styleId="75">
    <w:name w:val="正文文本 字符"/>
    <w:basedOn w:val="51"/>
    <w:link w:val="6"/>
    <w:qFormat/>
    <w:uiPriority w:val="99"/>
    <w:rPr>
      <w:rFonts w:ascii="Calibri" w:hAnsi="Calibri" w:eastAsia="宋体" w:cs="Times New Roman"/>
    </w:rPr>
  </w:style>
  <w:style w:type="character" w:customStyle="1" w:styleId="76">
    <w:name w:val="正文首行缩进 字符"/>
    <w:basedOn w:val="75"/>
    <w:qFormat/>
    <w:uiPriority w:val="99"/>
    <w:rPr>
      <w:rFonts w:ascii="Calibri" w:hAnsi="Calibri" w:eastAsia="宋体" w:cs="Times New Roman"/>
    </w:rPr>
  </w:style>
  <w:style w:type="character" w:customStyle="1" w:styleId="77">
    <w:name w:val="文档结构图 字符"/>
    <w:basedOn w:val="51"/>
    <w:qFormat/>
    <w:uiPriority w:val="99"/>
    <w:rPr>
      <w:rFonts w:ascii="Microsoft YaHei UI" w:hAnsi="Calibri" w:eastAsia="Microsoft YaHei UI" w:cs="Times New Roman"/>
      <w:sz w:val="18"/>
      <w:szCs w:val="18"/>
    </w:rPr>
  </w:style>
  <w:style w:type="character" w:customStyle="1" w:styleId="78">
    <w:name w:val="批注文字 字符"/>
    <w:basedOn w:val="51"/>
    <w:qFormat/>
    <w:uiPriority w:val="99"/>
    <w:rPr>
      <w:rFonts w:ascii="Calibri" w:hAnsi="Calibri" w:eastAsia="宋体" w:cs="Times New Roman"/>
    </w:rPr>
  </w:style>
  <w:style w:type="character" w:customStyle="1" w:styleId="79">
    <w:name w:val="正文文本缩进 字符"/>
    <w:basedOn w:val="51"/>
    <w:qFormat/>
    <w:uiPriority w:val="99"/>
    <w:rPr>
      <w:rFonts w:ascii="Calibri" w:hAnsi="Calibri" w:eastAsia="宋体" w:cs="Times New Roman"/>
    </w:rPr>
  </w:style>
  <w:style w:type="character" w:customStyle="1" w:styleId="80">
    <w:name w:val="日期 字符"/>
    <w:basedOn w:val="51"/>
    <w:qFormat/>
    <w:uiPriority w:val="99"/>
    <w:rPr>
      <w:rFonts w:ascii="Calibri" w:hAnsi="Calibri" w:eastAsia="宋体" w:cs="Times New Roman"/>
    </w:rPr>
  </w:style>
  <w:style w:type="character" w:customStyle="1" w:styleId="81">
    <w:name w:val="正文文本缩进 2 字符"/>
    <w:basedOn w:val="51"/>
    <w:qFormat/>
    <w:uiPriority w:val="99"/>
    <w:rPr>
      <w:rFonts w:ascii="Calibri" w:hAnsi="Calibri" w:eastAsia="宋体" w:cs="Times New Roman"/>
    </w:rPr>
  </w:style>
  <w:style w:type="character" w:customStyle="1" w:styleId="82">
    <w:name w:val="尾注文本 字符"/>
    <w:basedOn w:val="51"/>
    <w:qFormat/>
    <w:uiPriority w:val="99"/>
    <w:rPr>
      <w:rFonts w:ascii="Calibri" w:hAnsi="Calibri" w:eastAsia="宋体" w:cs="Times New Roman"/>
    </w:rPr>
  </w:style>
  <w:style w:type="character" w:customStyle="1" w:styleId="83">
    <w:name w:val="批注框文本 字符"/>
    <w:basedOn w:val="51"/>
    <w:qFormat/>
    <w:uiPriority w:val="99"/>
    <w:rPr>
      <w:rFonts w:ascii="Calibri" w:hAnsi="Calibri" w:eastAsia="宋体" w:cs="Times New Roman"/>
      <w:sz w:val="18"/>
      <w:szCs w:val="18"/>
    </w:rPr>
  </w:style>
  <w:style w:type="character" w:customStyle="1" w:styleId="84">
    <w:name w:val="页脚 字符"/>
    <w:basedOn w:val="51"/>
    <w:qFormat/>
    <w:uiPriority w:val="99"/>
    <w:rPr>
      <w:rFonts w:ascii="Calibri" w:hAnsi="Calibri" w:eastAsia="宋体" w:cs="Times New Roman"/>
      <w:sz w:val="18"/>
      <w:szCs w:val="18"/>
    </w:rPr>
  </w:style>
  <w:style w:type="character" w:customStyle="1" w:styleId="85">
    <w:name w:val="页眉 字符"/>
    <w:basedOn w:val="51"/>
    <w:qFormat/>
    <w:uiPriority w:val="99"/>
    <w:rPr>
      <w:rFonts w:ascii="Calibri" w:hAnsi="Calibri" w:eastAsia="宋体" w:cs="Times New Roman"/>
      <w:sz w:val="18"/>
      <w:szCs w:val="18"/>
    </w:rPr>
  </w:style>
  <w:style w:type="character" w:customStyle="1" w:styleId="86">
    <w:name w:val="脚注文本 字符"/>
    <w:basedOn w:val="51"/>
    <w:qFormat/>
    <w:uiPriority w:val="99"/>
    <w:rPr>
      <w:rFonts w:ascii="Calibri" w:hAnsi="Calibri" w:eastAsia="宋体" w:cs="Times New Roman"/>
      <w:sz w:val="18"/>
      <w:szCs w:val="18"/>
    </w:rPr>
  </w:style>
  <w:style w:type="character" w:customStyle="1" w:styleId="87">
    <w:name w:val="正文文本缩进 3 字符"/>
    <w:basedOn w:val="51"/>
    <w:qFormat/>
    <w:uiPriority w:val="99"/>
    <w:rPr>
      <w:rFonts w:ascii="Calibri" w:hAnsi="Calibri" w:eastAsia="宋体" w:cs="Times New Roman"/>
      <w:sz w:val="16"/>
      <w:szCs w:val="16"/>
    </w:rPr>
  </w:style>
  <w:style w:type="character" w:customStyle="1" w:styleId="88">
    <w:name w:val="正文文本 2 字符"/>
    <w:basedOn w:val="51"/>
    <w:qFormat/>
    <w:uiPriority w:val="99"/>
    <w:rPr>
      <w:rFonts w:ascii="Calibri" w:hAnsi="Calibri" w:eastAsia="宋体" w:cs="Times New Roman"/>
    </w:rPr>
  </w:style>
  <w:style w:type="character" w:customStyle="1" w:styleId="89">
    <w:name w:val="批注主题 字符"/>
    <w:basedOn w:val="78"/>
    <w:qFormat/>
    <w:uiPriority w:val="99"/>
    <w:rPr>
      <w:rFonts w:ascii="Calibri" w:hAnsi="Calibri" w:eastAsia="宋体" w:cs="Times New Roman"/>
      <w:b/>
      <w:bCs/>
    </w:rPr>
  </w:style>
  <w:style w:type="character" w:customStyle="1" w:styleId="90">
    <w:name w:val="标题 3 字符1"/>
    <w:link w:val="9"/>
    <w:qFormat/>
    <w:uiPriority w:val="0"/>
    <w:rPr>
      <w:rFonts w:ascii="宋体" w:hAnsi="宋体" w:eastAsia="宋体" w:cs="宋体"/>
      <w:kern w:val="0"/>
      <w:sz w:val="24"/>
      <w:szCs w:val="24"/>
    </w:rPr>
  </w:style>
  <w:style w:type="character" w:customStyle="1" w:styleId="91">
    <w:name w:val="页眉 字符1"/>
    <w:link w:val="33"/>
    <w:qFormat/>
    <w:uiPriority w:val="0"/>
    <w:rPr>
      <w:rFonts w:ascii="Calibri" w:hAnsi="Calibri" w:eastAsia="宋体" w:cs="Times New Roman"/>
      <w:sz w:val="18"/>
      <w:szCs w:val="18"/>
    </w:rPr>
  </w:style>
  <w:style w:type="character" w:customStyle="1" w:styleId="92">
    <w:name w:val="页脚 字符1"/>
    <w:link w:val="32"/>
    <w:qFormat/>
    <w:uiPriority w:val="0"/>
    <w:rPr>
      <w:rFonts w:ascii="Calibri" w:hAnsi="Calibri" w:eastAsia="宋体" w:cs="Times New Roman"/>
      <w:sz w:val="18"/>
      <w:szCs w:val="18"/>
    </w:rPr>
  </w:style>
  <w:style w:type="character" w:customStyle="1" w:styleId="93">
    <w:name w:val="标题 1 字符1"/>
    <w:link w:val="3"/>
    <w:qFormat/>
    <w:uiPriority w:val="0"/>
    <w:rPr>
      <w:rFonts w:ascii="Arial" w:hAnsi="Arial" w:eastAsia="宋体" w:cs="Times New Roman"/>
      <w:b/>
      <w:kern w:val="44"/>
      <w:sz w:val="28"/>
      <w:szCs w:val="28"/>
    </w:rPr>
  </w:style>
  <w:style w:type="character" w:customStyle="1" w:styleId="94">
    <w:name w:val="标题 2 字符1"/>
    <w:link w:val="7"/>
    <w:qFormat/>
    <w:uiPriority w:val="0"/>
    <w:rPr>
      <w:rFonts w:ascii="Arial" w:hAnsi="Arial" w:eastAsia="宋体" w:cs="Times New Roman"/>
      <w:b/>
      <w:color w:val="000000"/>
      <w:sz w:val="24"/>
      <w:szCs w:val="24"/>
    </w:rPr>
  </w:style>
  <w:style w:type="character" w:customStyle="1" w:styleId="95">
    <w:name w:val="标题 4 字符1"/>
    <w:link w:val="10"/>
    <w:qFormat/>
    <w:uiPriority w:val="0"/>
    <w:rPr>
      <w:rFonts w:ascii="Arial" w:hAnsi="Arial" w:eastAsia="宋体" w:cs="Times New Roman"/>
      <w:color w:val="000000"/>
      <w:szCs w:val="21"/>
    </w:rPr>
  </w:style>
  <w:style w:type="character" w:customStyle="1" w:styleId="96">
    <w:name w:val="标题 5 字符1"/>
    <w:link w:val="11"/>
    <w:qFormat/>
    <w:uiPriority w:val="0"/>
    <w:rPr>
      <w:rFonts w:ascii="Arial" w:hAnsi="Arial" w:eastAsia="宋体" w:cs="Times New Roman"/>
      <w:color w:val="000000"/>
      <w:szCs w:val="21"/>
    </w:rPr>
  </w:style>
  <w:style w:type="character" w:customStyle="1" w:styleId="97">
    <w:name w:val="标题 6 字符1"/>
    <w:link w:val="12"/>
    <w:qFormat/>
    <w:uiPriority w:val="0"/>
    <w:rPr>
      <w:rFonts w:ascii="Arial" w:hAnsi="Arial" w:eastAsia="黑体" w:cs="Times New Roman"/>
      <w:b/>
      <w:bCs/>
      <w:sz w:val="24"/>
      <w:szCs w:val="24"/>
    </w:rPr>
  </w:style>
  <w:style w:type="character" w:customStyle="1" w:styleId="98">
    <w:name w:val="标题 7 字符1"/>
    <w:link w:val="13"/>
    <w:qFormat/>
    <w:uiPriority w:val="0"/>
    <w:rPr>
      <w:rFonts w:ascii="Times New Roman" w:hAnsi="Times New Roman" w:eastAsia="宋体" w:cs="Times New Roman"/>
      <w:b/>
      <w:sz w:val="24"/>
      <w:szCs w:val="20"/>
    </w:rPr>
  </w:style>
  <w:style w:type="character" w:customStyle="1" w:styleId="99">
    <w:name w:val="标题 8 字符1"/>
    <w:link w:val="14"/>
    <w:qFormat/>
    <w:uiPriority w:val="0"/>
    <w:rPr>
      <w:rFonts w:ascii="Arial" w:hAnsi="Arial" w:eastAsia="黑体" w:cs="Times New Roman"/>
      <w:sz w:val="24"/>
      <w:szCs w:val="20"/>
    </w:rPr>
  </w:style>
  <w:style w:type="character" w:customStyle="1" w:styleId="100">
    <w:name w:val="标题 9 字符1"/>
    <w:link w:val="15"/>
    <w:qFormat/>
    <w:uiPriority w:val="0"/>
    <w:rPr>
      <w:rFonts w:ascii="Arial" w:hAnsi="Arial" w:eastAsia="黑体" w:cs="Times New Roman"/>
      <w:szCs w:val="20"/>
    </w:rPr>
  </w:style>
  <w:style w:type="character" w:customStyle="1" w:styleId="101">
    <w:name w:val="标题 字符1"/>
    <w:link w:val="4"/>
    <w:qFormat/>
    <w:uiPriority w:val="0"/>
    <w:rPr>
      <w:rFonts w:ascii="Arial" w:hAnsi="Arial" w:eastAsia="宋体" w:cs="Times New Roman"/>
      <w:b/>
      <w:sz w:val="44"/>
      <w:szCs w:val="20"/>
    </w:rPr>
  </w:style>
  <w:style w:type="character" w:customStyle="1" w:styleId="102">
    <w:name w:val="正文文本 字符1"/>
    <w:qFormat/>
    <w:uiPriority w:val="0"/>
    <w:rPr>
      <w:rFonts w:ascii="Times New Roman" w:hAnsi="Times New Roman" w:eastAsia="宋体" w:cs="Times New Roman"/>
      <w:szCs w:val="20"/>
    </w:rPr>
  </w:style>
  <w:style w:type="character" w:customStyle="1" w:styleId="103">
    <w:name w:val="正文首行缩进 字符1"/>
    <w:link w:val="5"/>
    <w:qFormat/>
    <w:uiPriority w:val="0"/>
    <w:rPr>
      <w:rFonts w:ascii="Times New Roman" w:hAnsi="Times New Roman" w:eastAsia="宋体" w:cs="Times New Roman"/>
      <w:szCs w:val="20"/>
    </w:rPr>
  </w:style>
  <w:style w:type="character" w:customStyle="1" w:styleId="104">
    <w:name w:val="日期 字符1"/>
    <w:link w:val="28"/>
    <w:qFormat/>
    <w:uiPriority w:val="0"/>
    <w:rPr>
      <w:rFonts w:ascii="Times New Roman" w:hAnsi="Times New Roman" w:eastAsia="宋体" w:cs="Times New Roman"/>
      <w:szCs w:val="20"/>
    </w:rPr>
  </w:style>
  <w:style w:type="character" w:customStyle="1" w:styleId="105">
    <w:name w:val="正文文本缩进 字符1"/>
    <w:link w:val="22"/>
    <w:qFormat/>
    <w:uiPriority w:val="0"/>
    <w:rPr>
      <w:rFonts w:ascii="Times New Roman" w:hAnsi="Times New Roman" w:eastAsia="宋体" w:cs="Times New Roman"/>
      <w:sz w:val="28"/>
      <w:szCs w:val="20"/>
    </w:rPr>
  </w:style>
  <w:style w:type="character" w:customStyle="1" w:styleId="106">
    <w:name w:val="文档结构图 字符1"/>
    <w:link w:val="19"/>
    <w:qFormat/>
    <w:uiPriority w:val="0"/>
    <w:rPr>
      <w:rFonts w:ascii="Times New Roman" w:hAnsi="Times New Roman" w:eastAsia="宋体" w:cs="Times New Roman"/>
      <w:szCs w:val="20"/>
      <w:shd w:val="clear" w:color="auto" w:fill="000080"/>
    </w:rPr>
  </w:style>
  <w:style w:type="character" w:customStyle="1" w:styleId="107">
    <w:name w:val="纯文本 字符1"/>
    <w:link w:val="2"/>
    <w:qFormat/>
    <w:uiPriority w:val="0"/>
    <w:rPr>
      <w:rFonts w:ascii="宋体" w:hAnsi="Courier New" w:eastAsia="宋体" w:cs="Times New Roman"/>
      <w:szCs w:val="20"/>
    </w:rPr>
  </w:style>
  <w:style w:type="character" w:customStyle="1" w:styleId="108">
    <w:name w:val="正文文本缩进 2 字符1"/>
    <w:link w:val="29"/>
    <w:qFormat/>
    <w:uiPriority w:val="0"/>
    <w:rPr>
      <w:rFonts w:ascii="Times New Roman" w:hAnsi="Times New Roman" w:eastAsia="宋体" w:cs="Times New Roman"/>
      <w:color w:val="000000"/>
      <w:sz w:val="24"/>
      <w:szCs w:val="20"/>
    </w:rPr>
  </w:style>
  <w:style w:type="character" w:customStyle="1" w:styleId="109">
    <w:name w:val="正文文本缩进 3 字符1"/>
    <w:link w:val="40"/>
    <w:qFormat/>
    <w:uiPriority w:val="0"/>
    <w:rPr>
      <w:rFonts w:ascii="Times New Roman" w:hAnsi="Times New Roman" w:eastAsia="宋体" w:cs="Times New Roman"/>
      <w:color w:val="000000"/>
      <w:sz w:val="24"/>
      <w:szCs w:val="20"/>
    </w:rPr>
  </w:style>
  <w:style w:type="paragraph" w:customStyle="1" w:styleId="110">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1">
    <w:name w:val="_Style 69"/>
    <w:qFormat/>
    <w:uiPriority w:val="0"/>
    <w:rPr>
      <w:rFonts w:ascii="等线" w:hAnsi="等线" w:eastAsia="等线" w:cs="Times New Roman"/>
      <w:lang w:val="en-US" w:eastAsia="zh-CN" w:bidi="ar-SA"/>
    </w:rPr>
  </w:style>
  <w:style w:type="character" w:customStyle="1" w:styleId="112">
    <w:name w:val="正文文本 2 字符1"/>
    <w:link w:val="44"/>
    <w:qFormat/>
    <w:uiPriority w:val="0"/>
    <w:rPr>
      <w:rFonts w:ascii="宋体" w:hAnsi="宋体" w:eastAsia="宋体" w:cs="Times New Roman"/>
      <w:szCs w:val="24"/>
      <w:u w:val="single"/>
    </w:rPr>
  </w:style>
  <w:style w:type="paragraph" w:customStyle="1" w:styleId="113">
    <w:name w:val="表头"/>
    <w:basedOn w:val="1"/>
    <w:qFormat/>
    <w:uiPriority w:val="0"/>
    <w:pPr>
      <w:spacing w:line="360" w:lineRule="auto"/>
      <w:jc w:val="center"/>
    </w:pPr>
    <w:rPr>
      <w:rFonts w:ascii="黑体" w:hAnsi="Times New Roman" w:eastAsia="黑体"/>
      <w:kern w:val="0"/>
      <w:sz w:val="24"/>
      <w:szCs w:val="20"/>
    </w:rPr>
  </w:style>
  <w:style w:type="character" w:customStyle="1" w:styleId="114">
    <w:name w:val="尾注文本 字符1"/>
    <w:link w:val="30"/>
    <w:qFormat/>
    <w:uiPriority w:val="0"/>
    <w:rPr>
      <w:rFonts w:ascii="Times New Roman" w:hAnsi="Times New Roman" w:eastAsia="宋体" w:cs="Times New Roman"/>
      <w:szCs w:val="20"/>
    </w:rPr>
  </w:style>
  <w:style w:type="paragraph" w:customStyle="1" w:styleId="115">
    <w:name w:val="Char"/>
    <w:basedOn w:val="1"/>
    <w:link w:val="203"/>
    <w:qFormat/>
    <w:uiPriority w:val="0"/>
    <w:rPr>
      <w:rFonts w:ascii="Tahoma" w:hAnsi="Tahoma"/>
      <w:sz w:val="24"/>
      <w:szCs w:val="20"/>
    </w:rPr>
  </w:style>
  <w:style w:type="paragraph" w:customStyle="1" w:styleId="116">
    <w:name w:val="Char1"/>
    <w:basedOn w:val="1"/>
    <w:qFormat/>
    <w:uiPriority w:val="0"/>
    <w:pPr>
      <w:numPr>
        <w:ilvl w:val="0"/>
        <w:numId w:val="1"/>
      </w:numPr>
    </w:pPr>
    <w:rPr>
      <w:rFonts w:ascii="Times New Roman" w:hAnsi="Times New Roman"/>
      <w:sz w:val="24"/>
      <w:szCs w:val="24"/>
    </w:rPr>
  </w:style>
  <w:style w:type="paragraph" w:customStyle="1" w:styleId="117">
    <w:name w:val="公文抬头"/>
    <w:basedOn w:val="8"/>
    <w:qFormat/>
    <w:uiPriority w:val="0"/>
    <w:pPr>
      <w:ind w:firstLine="0"/>
    </w:pPr>
    <w:rPr>
      <w:rFonts w:ascii="仿宋_GB2312" w:eastAsia="仿宋_GB2312"/>
      <w:sz w:val="30"/>
      <w:szCs w:val="24"/>
    </w:rPr>
  </w:style>
  <w:style w:type="paragraph" w:customStyle="1" w:styleId="118">
    <w:name w:val="Char Char Char1 Char"/>
    <w:basedOn w:val="19"/>
    <w:qFormat/>
    <w:uiPriority w:val="0"/>
    <w:rPr>
      <w:rFonts w:ascii="Tahoma" w:hAnsi="Tahoma"/>
      <w:sz w:val="24"/>
      <w:szCs w:val="24"/>
    </w:rPr>
  </w:style>
  <w:style w:type="paragraph" w:customStyle="1" w:styleId="1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0">
    <w:name w:val="公文标题"/>
    <w:basedOn w:val="9"/>
    <w:qFormat/>
    <w:uiPriority w:val="0"/>
    <w:pPr>
      <w:keepNext/>
      <w:keepLines/>
      <w:widowControl w:val="0"/>
      <w:ind w:left="1469" w:right="1542"/>
    </w:pPr>
    <w:rPr>
      <w:rFonts w:hAnsi="Times New Roman" w:cs="Times New Roman"/>
      <w:b/>
      <w:kern w:val="2"/>
      <w:sz w:val="44"/>
      <w:szCs w:val="21"/>
    </w:rPr>
  </w:style>
  <w:style w:type="paragraph" w:customStyle="1" w:styleId="121">
    <w:name w:val="发文落款"/>
    <w:basedOn w:val="119"/>
    <w:qFormat/>
    <w:uiPriority w:val="0"/>
    <w:pPr>
      <w:ind w:left="4094" w:right="607" w:firstLine="0"/>
      <w:jc w:val="center"/>
    </w:pPr>
  </w:style>
  <w:style w:type="paragraph" w:customStyle="1" w:styleId="122">
    <w:name w:val="Char Char Char Char"/>
    <w:basedOn w:val="1"/>
    <w:qFormat/>
    <w:uiPriority w:val="0"/>
    <w:rPr>
      <w:rFonts w:ascii="Times New Roman" w:hAnsi="Times New Roman"/>
      <w:sz w:val="30"/>
      <w:szCs w:val="24"/>
    </w:rPr>
  </w:style>
  <w:style w:type="character" w:customStyle="1" w:styleId="123">
    <w:name w:val="批注框文本 字符1"/>
    <w:link w:val="31"/>
    <w:qFormat/>
    <w:uiPriority w:val="0"/>
    <w:rPr>
      <w:rFonts w:ascii="Times New Roman" w:hAnsi="Times New Roman" w:eastAsia="宋体" w:cs="Times New Roman"/>
      <w:sz w:val="18"/>
      <w:szCs w:val="18"/>
    </w:rPr>
  </w:style>
  <w:style w:type="paragraph" w:customStyle="1" w:styleId="124">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25">
    <w:name w:val="批注文字 字符1"/>
    <w:link w:val="20"/>
    <w:qFormat/>
    <w:uiPriority w:val="0"/>
    <w:rPr>
      <w:rFonts w:ascii="宋体" w:hAnsi="宋体" w:eastAsia="宋体" w:cs="Times New Roman"/>
      <w:sz w:val="24"/>
      <w:szCs w:val="24"/>
    </w:rPr>
  </w:style>
  <w:style w:type="character" w:customStyle="1" w:styleId="126">
    <w:name w:val="脚注文本 字符1"/>
    <w:link w:val="38"/>
    <w:qFormat/>
    <w:uiPriority w:val="0"/>
    <w:rPr>
      <w:rFonts w:ascii="宋体" w:hAnsi="宋体" w:eastAsia="宋体" w:cs="Times New Roman"/>
      <w:sz w:val="18"/>
      <w:szCs w:val="18"/>
    </w:rPr>
  </w:style>
  <w:style w:type="character" w:customStyle="1" w:styleId="127">
    <w:name w:val="批注主题 字符1"/>
    <w:link w:val="47"/>
    <w:qFormat/>
    <w:uiPriority w:val="0"/>
    <w:rPr>
      <w:rFonts w:ascii="宋体" w:hAnsi="宋体" w:eastAsia="宋体" w:cs="Times New Roman"/>
      <w:b/>
      <w:bCs/>
      <w:sz w:val="24"/>
      <w:szCs w:val="24"/>
    </w:rPr>
  </w:style>
  <w:style w:type="paragraph" w:styleId="128">
    <w:name w:val="List Paragraph"/>
    <w:basedOn w:val="1"/>
    <w:qFormat/>
    <w:uiPriority w:val="34"/>
    <w:pPr>
      <w:ind w:firstLine="420" w:firstLineChars="200"/>
    </w:pPr>
    <w:rPr>
      <w:rFonts w:ascii="Times New Roman" w:hAnsi="Times New Roman"/>
      <w:szCs w:val="20"/>
    </w:rPr>
  </w:style>
  <w:style w:type="paragraph" w:customStyle="1" w:styleId="129">
    <w:name w:val="修订1"/>
    <w:hidden/>
    <w:semiHidden/>
    <w:qFormat/>
    <w:uiPriority w:val="99"/>
    <w:rPr>
      <w:rFonts w:ascii="Times New Roman" w:hAnsi="Times New Roman" w:eastAsia="宋体" w:cs="Times New Roman"/>
      <w:kern w:val="2"/>
      <w:sz w:val="21"/>
      <w:lang w:val="en-US" w:eastAsia="zh-CN" w:bidi="ar-SA"/>
    </w:rPr>
  </w:style>
  <w:style w:type="character" w:customStyle="1" w:styleId="130">
    <w:name w:val="纯文本 Char"/>
    <w:qFormat/>
    <w:uiPriority w:val="0"/>
    <w:rPr>
      <w:rFonts w:ascii="宋体" w:hAnsi="Courier New" w:eastAsia="宋体" w:cs="Times New Roman"/>
      <w:szCs w:val="20"/>
    </w:rPr>
  </w:style>
  <w:style w:type="character" w:customStyle="1" w:styleId="131">
    <w:name w:val="标题 1 Char"/>
    <w:qFormat/>
    <w:uiPriority w:val="0"/>
    <w:rPr>
      <w:rFonts w:ascii="Arial" w:hAnsi="Arial" w:eastAsia="宋体" w:cs="Times New Roman"/>
      <w:b/>
      <w:kern w:val="44"/>
      <w:sz w:val="28"/>
      <w:szCs w:val="28"/>
    </w:rPr>
  </w:style>
  <w:style w:type="character" w:customStyle="1" w:styleId="132">
    <w:name w:val="标题 2 Char"/>
    <w:qFormat/>
    <w:uiPriority w:val="0"/>
    <w:rPr>
      <w:rFonts w:ascii="Arial" w:hAnsi="Arial" w:eastAsia="宋体" w:cs="Times New Roman"/>
      <w:b/>
      <w:color w:val="000000"/>
      <w:sz w:val="24"/>
      <w:szCs w:val="24"/>
    </w:rPr>
  </w:style>
  <w:style w:type="character" w:customStyle="1" w:styleId="133">
    <w:name w:val="正文缩进 字符"/>
    <w:link w:val="8"/>
    <w:qFormat/>
    <w:uiPriority w:val="0"/>
    <w:rPr>
      <w:rFonts w:ascii="Times New Roman" w:hAnsi="Times New Roman" w:eastAsia="宋体" w:cs="Times New Roman"/>
      <w:szCs w:val="20"/>
    </w:rPr>
  </w:style>
  <w:style w:type="character" w:customStyle="1" w:styleId="134">
    <w:name w:val="标题 3 Char"/>
    <w:qFormat/>
    <w:uiPriority w:val="0"/>
    <w:rPr>
      <w:rFonts w:ascii="宋体" w:hAnsi="宋体" w:eastAsia="宋体" w:cs="宋体"/>
      <w:kern w:val="0"/>
      <w:sz w:val="27"/>
      <w:szCs w:val="27"/>
    </w:rPr>
  </w:style>
  <w:style w:type="character" w:customStyle="1" w:styleId="135">
    <w:name w:val="标题 4 Char"/>
    <w:qFormat/>
    <w:uiPriority w:val="0"/>
    <w:rPr>
      <w:rFonts w:ascii="Arial" w:hAnsi="Arial" w:eastAsia="宋体" w:cs="Times New Roman"/>
      <w:color w:val="000000"/>
      <w:szCs w:val="21"/>
    </w:rPr>
  </w:style>
  <w:style w:type="character" w:customStyle="1" w:styleId="136">
    <w:name w:val="标题 5 Char"/>
    <w:qFormat/>
    <w:uiPriority w:val="0"/>
    <w:rPr>
      <w:rFonts w:ascii="Arial" w:hAnsi="Arial" w:eastAsia="宋体" w:cs="Times New Roman"/>
      <w:color w:val="000000"/>
      <w:szCs w:val="21"/>
    </w:rPr>
  </w:style>
  <w:style w:type="character" w:customStyle="1" w:styleId="137">
    <w:name w:val="标题 6 Char"/>
    <w:qFormat/>
    <w:uiPriority w:val="0"/>
    <w:rPr>
      <w:rFonts w:ascii="Arial" w:hAnsi="Arial" w:eastAsia="黑体" w:cs="Times New Roman"/>
      <w:b/>
      <w:bCs/>
      <w:sz w:val="24"/>
      <w:szCs w:val="24"/>
    </w:rPr>
  </w:style>
  <w:style w:type="character" w:customStyle="1" w:styleId="138">
    <w:name w:val="标题 7 Char"/>
    <w:qFormat/>
    <w:uiPriority w:val="0"/>
    <w:rPr>
      <w:rFonts w:ascii="Times New Roman" w:hAnsi="Times New Roman" w:eastAsia="宋体" w:cs="Times New Roman"/>
      <w:b/>
      <w:sz w:val="24"/>
      <w:szCs w:val="20"/>
    </w:rPr>
  </w:style>
  <w:style w:type="character" w:customStyle="1" w:styleId="139">
    <w:name w:val="标题 8 Char"/>
    <w:qFormat/>
    <w:uiPriority w:val="0"/>
    <w:rPr>
      <w:rFonts w:ascii="Arial" w:hAnsi="Arial" w:eastAsia="黑体" w:cs="Times New Roman"/>
      <w:sz w:val="24"/>
      <w:szCs w:val="20"/>
    </w:rPr>
  </w:style>
  <w:style w:type="character" w:customStyle="1" w:styleId="140">
    <w:name w:val="标题 9 Char"/>
    <w:qFormat/>
    <w:uiPriority w:val="0"/>
    <w:rPr>
      <w:rFonts w:ascii="Arial" w:hAnsi="Arial" w:eastAsia="黑体" w:cs="Times New Roman"/>
      <w:szCs w:val="20"/>
    </w:rPr>
  </w:style>
  <w:style w:type="character" w:customStyle="1" w:styleId="141">
    <w:name w:val="文档结构图 Char"/>
    <w:qFormat/>
    <w:uiPriority w:val="0"/>
    <w:rPr>
      <w:rFonts w:ascii="Times New Roman" w:hAnsi="Times New Roman" w:eastAsia="宋体" w:cs="Times New Roman"/>
      <w:szCs w:val="20"/>
      <w:shd w:val="clear" w:color="auto" w:fill="000080"/>
    </w:rPr>
  </w:style>
  <w:style w:type="character" w:customStyle="1" w:styleId="142">
    <w:name w:val="批注文字 Char"/>
    <w:qFormat/>
    <w:uiPriority w:val="0"/>
    <w:rPr>
      <w:rFonts w:ascii="宋体" w:hAnsi="宋体" w:eastAsia="宋体" w:cs="Times New Roman"/>
      <w:sz w:val="24"/>
      <w:szCs w:val="24"/>
    </w:rPr>
  </w:style>
  <w:style w:type="character" w:customStyle="1" w:styleId="143">
    <w:name w:val="正文文本 3 字符"/>
    <w:basedOn w:val="51"/>
    <w:qFormat/>
    <w:uiPriority w:val="99"/>
    <w:rPr>
      <w:rFonts w:ascii="Calibri" w:hAnsi="Calibri" w:eastAsia="宋体" w:cs="Times New Roman"/>
      <w:sz w:val="16"/>
      <w:szCs w:val="16"/>
    </w:rPr>
  </w:style>
  <w:style w:type="character" w:customStyle="1" w:styleId="144">
    <w:name w:val="正文文本 3 字符1"/>
    <w:link w:val="21"/>
    <w:qFormat/>
    <w:uiPriority w:val="0"/>
    <w:rPr>
      <w:rFonts w:ascii="宋体" w:hAnsi="宋体" w:eastAsia="宋体" w:cs="Times New Roman"/>
      <w:sz w:val="24"/>
      <w:szCs w:val="20"/>
    </w:rPr>
  </w:style>
  <w:style w:type="character" w:customStyle="1" w:styleId="145">
    <w:name w:val="正文文本 Char"/>
    <w:qFormat/>
    <w:uiPriority w:val="0"/>
    <w:rPr>
      <w:rFonts w:ascii="Times New Roman" w:hAnsi="Times New Roman" w:eastAsia="宋体" w:cs="Times New Roman"/>
      <w:szCs w:val="20"/>
    </w:rPr>
  </w:style>
  <w:style w:type="character" w:customStyle="1" w:styleId="146">
    <w:name w:val="正文文本缩进 Char"/>
    <w:qFormat/>
    <w:uiPriority w:val="0"/>
    <w:rPr>
      <w:rFonts w:ascii="Times New Roman" w:hAnsi="Times New Roman" w:eastAsia="宋体" w:cs="Times New Roman"/>
      <w:sz w:val="28"/>
      <w:szCs w:val="20"/>
    </w:rPr>
  </w:style>
  <w:style w:type="character" w:customStyle="1" w:styleId="147">
    <w:name w:val="日期 Char"/>
    <w:qFormat/>
    <w:uiPriority w:val="0"/>
    <w:rPr>
      <w:rFonts w:ascii="Times New Roman" w:hAnsi="Times New Roman" w:eastAsia="宋体" w:cs="Times New Roman"/>
      <w:szCs w:val="20"/>
    </w:rPr>
  </w:style>
  <w:style w:type="character" w:customStyle="1" w:styleId="148">
    <w:name w:val="正文文本缩进 2 Char"/>
    <w:qFormat/>
    <w:uiPriority w:val="0"/>
    <w:rPr>
      <w:rFonts w:ascii="Times New Roman" w:hAnsi="Times New Roman" w:eastAsia="宋体" w:cs="Times New Roman"/>
      <w:color w:val="000000"/>
      <w:sz w:val="24"/>
      <w:szCs w:val="20"/>
    </w:rPr>
  </w:style>
  <w:style w:type="character" w:customStyle="1" w:styleId="149">
    <w:name w:val="尾注文本 Char"/>
    <w:qFormat/>
    <w:uiPriority w:val="0"/>
    <w:rPr>
      <w:rFonts w:ascii="Times New Roman" w:hAnsi="Times New Roman" w:eastAsia="宋体" w:cs="Times New Roman"/>
      <w:szCs w:val="20"/>
    </w:rPr>
  </w:style>
  <w:style w:type="character" w:customStyle="1" w:styleId="150">
    <w:name w:val="批注框文本 Char"/>
    <w:qFormat/>
    <w:uiPriority w:val="0"/>
    <w:rPr>
      <w:rFonts w:ascii="Times New Roman" w:hAnsi="Times New Roman" w:eastAsia="宋体" w:cs="Times New Roman"/>
      <w:sz w:val="18"/>
      <w:szCs w:val="18"/>
    </w:rPr>
  </w:style>
  <w:style w:type="character" w:customStyle="1" w:styleId="151">
    <w:name w:val="页脚 Char"/>
    <w:qFormat/>
    <w:uiPriority w:val="99"/>
    <w:rPr>
      <w:rFonts w:ascii="Calibri" w:hAnsi="Calibri" w:eastAsia="宋体" w:cs="Times New Roman"/>
      <w:sz w:val="18"/>
      <w:szCs w:val="18"/>
    </w:rPr>
  </w:style>
  <w:style w:type="character" w:customStyle="1" w:styleId="152">
    <w:name w:val="页眉 Char"/>
    <w:qFormat/>
    <w:uiPriority w:val="0"/>
    <w:rPr>
      <w:rFonts w:ascii="Calibri" w:hAnsi="Calibri" w:eastAsia="宋体" w:cs="Times New Roman"/>
      <w:sz w:val="18"/>
      <w:szCs w:val="18"/>
    </w:rPr>
  </w:style>
  <w:style w:type="character" w:customStyle="1" w:styleId="153">
    <w:name w:val="副标题 字符"/>
    <w:basedOn w:val="51"/>
    <w:qFormat/>
    <w:uiPriority w:val="11"/>
    <w:rPr>
      <w:b/>
      <w:bCs/>
      <w:kern w:val="28"/>
      <w:sz w:val="32"/>
      <w:szCs w:val="32"/>
    </w:rPr>
  </w:style>
  <w:style w:type="character" w:customStyle="1" w:styleId="154">
    <w:name w:val="副标题 字符1"/>
    <w:link w:val="36"/>
    <w:qFormat/>
    <w:uiPriority w:val="0"/>
    <w:rPr>
      <w:rFonts w:ascii="Arial" w:hAnsi="Arial" w:eastAsia="黑体" w:cs="Times New Roman"/>
      <w:b/>
      <w:bCs/>
      <w:sz w:val="32"/>
      <w:szCs w:val="32"/>
    </w:rPr>
  </w:style>
  <w:style w:type="character" w:customStyle="1" w:styleId="155">
    <w:name w:val="脚注文本 Char"/>
    <w:qFormat/>
    <w:uiPriority w:val="0"/>
    <w:rPr>
      <w:rFonts w:ascii="宋体" w:hAnsi="宋体" w:eastAsia="宋体" w:cs="Times New Roman"/>
      <w:sz w:val="18"/>
      <w:szCs w:val="18"/>
    </w:rPr>
  </w:style>
  <w:style w:type="character" w:customStyle="1" w:styleId="156">
    <w:name w:val="正文文本缩进 3 Char"/>
    <w:qFormat/>
    <w:uiPriority w:val="0"/>
    <w:rPr>
      <w:rFonts w:ascii="Times New Roman" w:hAnsi="Times New Roman" w:eastAsia="宋体" w:cs="Times New Roman"/>
      <w:color w:val="000000"/>
      <w:sz w:val="24"/>
      <w:szCs w:val="20"/>
    </w:rPr>
  </w:style>
  <w:style w:type="character" w:customStyle="1" w:styleId="157">
    <w:name w:val="正文文本 2 Char"/>
    <w:qFormat/>
    <w:uiPriority w:val="0"/>
    <w:rPr>
      <w:rFonts w:ascii="宋体" w:hAnsi="宋体" w:eastAsia="宋体" w:cs="Times New Roman"/>
      <w:szCs w:val="24"/>
      <w:u w:val="single"/>
    </w:rPr>
  </w:style>
  <w:style w:type="character" w:customStyle="1" w:styleId="158">
    <w:name w:val="标题 Char"/>
    <w:qFormat/>
    <w:uiPriority w:val="0"/>
    <w:rPr>
      <w:rFonts w:ascii="Arial" w:hAnsi="Arial" w:eastAsia="宋体" w:cs="Times New Roman"/>
      <w:b/>
      <w:sz w:val="44"/>
      <w:szCs w:val="20"/>
    </w:rPr>
  </w:style>
  <w:style w:type="character" w:customStyle="1" w:styleId="159">
    <w:name w:val="批注主题 Char"/>
    <w:qFormat/>
    <w:uiPriority w:val="0"/>
    <w:rPr>
      <w:rFonts w:ascii="宋体" w:hAnsi="宋体" w:eastAsia="宋体" w:cs="Times New Roman"/>
      <w:b/>
      <w:bCs/>
      <w:sz w:val="24"/>
      <w:szCs w:val="24"/>
    </w:rPr>
  </w:style>
  <w:style w:type="character" w:customStyle="1" w:styleId="160">
    <w:name w:val="正文首行缩进 Char"/>
    <w:qFormat/>
    <w:uiPriority w:val="0"/>
  </w:style>
  <w:style w:type="character" w:customStyle="1" w:styleId="161">
    <w:name w:val="username"/>
    <w:qFormat/>
    <w:uiPriority w:val="0"/>
  </w:style>
  <w:style w:type="character" w:customStyle="1" w:styleId="162">
    <w:name w:val="title2"/>
    <w:qFormat/>
    <w:uiPriority w:val="0"/>
  </w:style>
  <w:style w:type="character" w:customStyle="1" w:styleId="163">
    <w:name w:val="msointensereference"/>
    <w:qFormat/>
    <w:uiPriority w:val="0"/>
    <w:rPr>
      <w:b/>
      <w:sz w:val="24"/>
      <w:u w:val="single"/>
    </w:rPr>
  </w:style>
  <w:style w:type="character" w:customStyle="1" w:styleId="164">
    <w:name w:val="font6"/>
    <w:qFormat/>
    <w:uiPriority w:val="0"/>
  </w:style>
  <w:style w:type="character" w:customStyle="1" w:styleId="165">
    <w:name w:val="Char Char10"/>
    <w:qFormat/>
    <w:uiPriority w:val="0"/>
    <w:rPr>
      <w:rFonts w:hint="default" w:ascii="Cambria" w:hAnsi="Cambria" w:eastAsia="宋体"/>
      <w:b/>
      <w:bCs/>
      <w:i/>
      <w:iCs/>
      <w:sz w:val="28"/>
      <w:szCs w:val="28"/>
    </w:rPr>
  </w:style>
  <w:style w:type="character" w:customStyle="1" w:styleId="166">
    <w:name w:val="Char Char16"/>
    <w:qFormat/>
    <w:uiPriority w:val="0"/>
    <w:rPr>
      <w:rFonts w:hint="default" w:ascii="Arial" w:hAnsi="Arial" w:eastAsia="黑体" w:cs="Arial"/>
      <w:b/>
      <w:bCs/>
      <w:sz w:val="24"/>
      <w:szCs w:val="24"/>
      <w:lang w:val="en-US" w:eastAsia="zh-CN" w:bidi="ar-SA"/>
    </w:rPr>
  </w:style>
  <w:style w:type="character" w:customStyle="1" w:styleId="167">
    <w:name w:val="WW8Num9z0"/>
    <w:qFormat/>
    <w:uiPriority w:val="0"/>
    <w:rPr>
      <w:rFonts w:hint="default" w:ascii="Wingdings" w:hAnsi="Wingdings"/>
    </w:rPr>
  </w:style>
  <w:style w:type="character" w:customStyle="1" w:styleId="168">
    <w:name w:val="副标题 Char3"/>
    <w:qFormat/>
    <w:uiPriority w:val="11"/>
    <w:rPr>
      <w:rFonts w:ascii="Cambria" w:hAnsi="Cambria" w:cs="Times New Roman"/>
      <w:b/>
      <w:bCs/>
      <w:kern w:val="28"/>
      <w:sz w:val="32"/>
      <w:szCs w:val="32"/>
    </w:rPr>
  </w:style>
  <w:style w:type="character" w:customStyle="1" w:styleId="169">
    <w:name w:val="明显引用 Char1"/>
    <w:qFormat/>
    <w:uiPriority w:val="0"/>
    <w:rPr>
      <w:rFonts w:hint="eastAsia" w:ascii="仿宋_GB2312" w:eastAsia="仿宋_GB2312"/>
      <w:b/>
      <w:bCs/>
      <w:i/>
      <w:iCs/>
      <w:color w:val="4F81BD"/>
      <w:kern w:val="2"/>
      <w:sz w:val="21"/>
      <w:szCs w:val="32"/>
    </w:rPr>
  </w:style>
  <w:style w:type="character" w:customStyle="1" w:styleId="170">
    <w:name w:val="正文首行缩进 Char Char"/>
    <w:qFormat/>
    <w:uiPriority w:val="0"/>
    <w:rPr>
      <w:rFonts w:ascii="宋体" w:eastAsia="宋体"/>
      <w:kern w:val="2"/>
      <w:sz w:val="34"/>
      <w:lang w:val="en-US" w:eastAsia="zh-CN" w:bidi="ar-SA"/>
    </w:rPr>
  </w:style>
  <w:style w:type="character" w:customStyle="1" w:styleId="171">
    <w:name w:val="批注框文本 Char Char"/>
    <w:qFormat/>
    <w:uiPriority w:val="0"/>
    <w:rPr>
      <w:kern w:val="2"/>
      <w:sz w:val="18"/>
      <w:szCs w:val="18"/>
    </w:rPr>
  </w:style>
  <w:style w:type="character" w:customStyle="1" w:styleId="172">
    <w:name w:val="font41"/>
    <w:qFormat/>
    <w:uiPriority w:val="0"/>
    <w:rPr>
      <w:rFonts w:hint="eastAsia" w:ascii="宋体" w:hAnsi="宋体" w:eastAsia="宋体"/>
      <w:strike/>
      <w:color w:val="000000"/>
      <w:sz w:val="24"/>
      <w:szCs w:val="24"/>
    </w:rPr>
  </w:style>
  <w:style w:type="character" w:customStyle="1" w:styleId="173">
    <w:name w:val="msosubtleemphasis"/>
    <w:qFormat/>
    <w:uiPriority w:val="0"/>
    <w:rPr>
      <w:i/>
      <w:color w:val="5A5A5A"/>
    </w:rPr>
  </w:style>
  <w:style w:type="character" w:customStyle="1" w:styleId="174">
    <w:name w:val="引用 Char1"/>
    <w:qFormat/>
    <w:uiPriority w:val="0"/>
    <w:rPr>
      <w:rFonts w:hint="eastAsia" w:ascii="仿宋_GB2312" w:eastAsia="仿宋_GB2312"/>
      <w:i/>
      <w:iCs/>
      <w:color w:val="000000"/>
      <w:kern w:val="2"/>
      <w:sz w:val="21"/>
      <w:szCs w:val="32"/>
    </w:rPr>
  </w:style>
  <w:style w:type="character" w:customStyle="1" w:styleId="175">
    <w:name w:val="标题 5 Char Char"/>
    <w:qFormat/>
    <w:uiPriority w:val="0"/>
    <w:rPr>
      <w:rFonts w:hint="eastAsia" w:ascii="仿宋_GB2312" w:eastAsia="仿宋_GB2312"/>
      <w:b/>
      <w:bCs/>
      <w:kern w:val="2"/>
      <w:sz w:val="28"/>
      <w:szCs w:val="28"/>
    </w:rPr>
  </w:style>
  <w:style w:type="character" w:customStyle="1" w:styleId="176">
    <w:name w:val="textcontents1"/>
    <w:qFormat/>
    <w:uiPriority w:val="0"/>
    <w:rPr>
      <w:color w:val="000000"/>
      <w:sz w:val="22"/>
      <w:szCs w:val="22"/>
    </w:rPr>
  </w:style>
  <w:style w:type="character" w:customStyle="1" w:styleId="177">
    <w:name w:val="标题 9 Char Char"/>
    <w:qFormat/>
    <w:uiPriority w:val="0"/>
    <w:rPr>
      <w:rFonts w:hint="default" w:ascii="Cambria" w:hAnsi="Cambria" w:eastAsia="宋体" w:cs="Times New Roman"/>
      <w:kern w:val="2"/>
      <w:sz w:val="21"/>
      <w:szCs w:val="21"/>
    </w:rPr>
  </w:style>
  <w:style w:type="character" w:customStyle="1" w:styleId="178">
    <w:name w:val="副标题 Char2"/>
    <w:qFormat/>
    <w:uiPriority w:val="0"/>
    <w:rPr>
      <w:rFonts w:hint="default" w:ascii="Cambria" w:hAnsi="Cambria" w:cs="Times New Roman"/>
      <w:b/>
      <w:bCs/>
      <w:kern w:val="28"/>
      <w:sz w:val="32"/>
      <w:szCs w:val="32"/>
    </w:rPr>
  </w:style>
  <w:style w:type="character" w:customStyle="1" w:styleId="179">
    <w:name w:val="Char Char23"/>
    <w:qFormat/>
    <w:uiPriority w:val="0"/>
    <w:rPr>
      <w:rFonts w:hint="default" w:ascii="Times New Roman" w:hAnsi="Times New Roman" w:cs="Times New Roman"/>
      <w:b/>
      <w:color w:val="000000"/>
      <w:kern w:val="2"/>
      <w:sz w:val="24"/>
      <w:szCs w:val="24"/>
    </w:rPr>
  </w:style>
  <w:style w:type="character" w:customStyle="1" w:styleId="180">
    <w:name w:val="文一 Char Char"/>
    <w:link w:val="181"/>
    <w:qFormat/>
    <w:uiPriority w:val="0"/>
    <w:rPr>
      <w:rFonts w:ascii="宋体" w:hAnsi="宋体"/>
      <w:spacing w:val="4"/>
      <w:sz w:val="24"/>
      <w:szCs w:val="24"/>
    </w:rPr>
  </w:style>
  <w:style w:type="paragraph" w:customStyle="1" w:styleId="181">
    <w:name w:val="文一"/>
    <w:basedOn w:val="1"/>
    <w:link w:val="180"/>
    <w:qFormat/>
    <w:uiPriority w:val="0"/>
    <w:pPr>
      <w:topLinePunct/>
      <w:adjustRightInd w:val="0"/>
      <w:snapToGrid w:val="0"/>
      <w:spacing w:line="360" w:lineRule="auto"/>
      <w:ind w:firstLine="200" w:firstLineChars="200"/>
    </w:pPr>
    <w:rPr>
      <w:rFonts w:ascii="宋体" w:hAnsi="宋体" w:eastAsiaTheme="minorEastAsia" w:cstheme="minorBidi"/>
      <w:spacing w:val="4"/>
      <w:sz w:val="24"/>
      <w:szCs w:val="24"/>
    </w:rPr>
  </w:style>
  <w:style w:type="character" w:customStyle="1" w:styleId="182">
    <w:name w:val="页脚 Char Char"/>
    <w:qFormat/>
    <w:uiPriority w:val="0"/>
    <w:rPr>
      <w:sz w:val="18"/>
      <w:szCs w:val="18"/>
    </w:rPr>
  </w:style>
  <w:style w:type="character" w:customStyle="1" w:styleId="183">
    <w:name w:val="正文文本缩进 3 Char Char"/>
    <w:qFormat/>
    <w:uiPriority w:val="0"/>
    <w:rPr>
      <w:kern w:val="2"/>
      <w:sz w:val="16"/>
      <w:szCs w:val="16"/>
    </w:rPr>
  </w:style>
  <w:style w:type="character" w:customStyle="1" w:styleId="184">
    <w:name w:val="样式 Char Char"/>
    <w:link w:val="185"/>
    <w:qFormat/>
    <w:uiPriority w:val="0"/>
  </w:style>
  <w:style w:type="paragraph" w:customStyle="1" w:styleId="185">
    <w:name w:val="样式"/>
    <w:basedOn w:val="186"/>
    <w:link w:val="184"/>
    <w:qFormat/>
    <w:uiPriority w:val="0"/>
    <w:pPr>
      <w:tabs>
        <w:tab w:val="left" w:pos="2310"/>
        <w:tab w:val="left" w:pos="2730"/>
      </w:tabs>
      <w:outlineLvl w:val="9"/>
    </w:pPr>
    <w:rPr>
      <w:rFonts w:asciiTheme="minorHAnsi" w:hAnsiTheme="minorHAnsi" w:eastAsiaTheme="minorEastAsia" w:cstheme="minorBidi"/>
      <w:bCs w:val="0"/>
      <w:sz w:val="21"/>
      <w:szCs w:val="22"/>
    </w:rPr>
  </w:style>
  <w:style w:type="paragraph" w:customStyle="1" w:styleId="186">
    <w:name w:val="标题5"/>
    <w:basedOn w:val="11"/>
    <w:link w:val="187"/>
    <w:qFormat/>
    <w:uiPriority w:val="0"/>
    <w:pPr>
      <w:keepNext w:val="0"/>
      <w:keepLines w:val="0"/>
      <w:widowControl/>
      <w:numPr>
        <w:ilvl w:val="0"/>
        <w:numId w:val="0"/>
      </w:numPr>
      <w:tabs>
        <w:tab w:val="left" w:pos="2310"/>
      </w:tabs>
      <w:spacing w:before="240" w:after="60" w:line="240" w:lineRule="auto"/>
      <w:jc w:val="center"/>
    </w:pPr>
    <w:rPr>
      <w:rFonts w:eastAsia="黑体"/>
      <w:bCs/>
      <w:color w:val="auto"/>
      <w:sz w:val="24"/>
      <w:szCs w:val="32"/>
    </w:rPr>
  </w:style>
  <w:style w:type="character" w:customStyle="1" w:styleId="187">
    <w:name w:val="标题5 Char Char"/>
    <w:link w:val="186"/>
    <w:qFormat/>
    <w:uiPriority w:val="0"/>
    <w:rPr>
      <w:rFonts w:ascii="Arial" w:hAnsi="Arial" w:eastAsia="黑体" w:cs="Times New Roman"/>
      <w:bCs/>
      <w:sz w:val="24"/>
      <w:szCs w:val="32"/>
    </w:rPr>
  </w:style>
  <w:style w:type="character" w:customStyle="1" w:styleId="188">
    <w:name w:val="title24"/>
    <w:qFormat/>
    <w:uiPriority w:val="0"/>
  </w:style>
  <w:style w:type="character" w:customStyle="1" w:styleId="189">
    <w:name w:val="正文文本缩进 2 Char Char"/>
    <w:qFormat/>
    <w:uiPriority w:val="0"/>
    <w:rPr>
      <w:rFonts w:hint="default" w:ascii="Times New Roman" w:hAnsi="Times New Roman" w:cs="Times New Roman"/>
      <w:color w:val="000000"/>
      <w:sz w:val="24"/>
    </w:rPr>
  </w:style>
  <w:style w:type="character" w:customStyle="1" w:styleId="190">
    <w:name w:val="!我的正文 Ctr+Q Char Char"/>
    <w:link w:val="191"/>
    <w:qFormat/>
    <w:uiPriority w:val="0"/>
    <w:rPr>
      <w:rFonts w:ascii="Arial" w:hAnsi="Arial"/>
      <w:sz w:val="24"/>
      <w:szCs w:val="21"/>
    </w:rPr>
  </w:style>
  <w:style w:type="paragraph" w:customStyle="1" w:styleId="191">
    <w:name w:val="!我的正文 Ctr+Q"/>
    <w:basedOn w:val="1"/>
    <w:link w:val="190"/>
    <w:qFormat/>
    <w:uiPriority w:val="0"/>
    <w:pPr>
      <w:adjustRightInd w:val="0"/>
      <w:snapToGrid w:val="0"/>
      <w:spacing w:line="360" w:lineRule="auto"/>
      <w:ind w:firstLine="480" w:firstLineChars="200"/>
    </w:pPr>
    <w:rPr>
      <w:rFonts w:ascii="Arial" w:hAnsi="Arial" w:eastAsiaTheme="minorEastAsia" w:cstheme="minorBidi"/>
      <w:sz w:val="24"/>
      <w:szCs w:val="21"/>
    </w:rPr>
  </w:style>
  <w:style w:type="character" w:customStyle="1" w:styleId="192">
    <w:name w:val="rightspan"/>
    <w:qFormat/>
    <w:uiPriority w:val="0"/>
  </w:style>
  <w:style w:type="character" w:customStyle="1" w:styleId="193">
    <w:name w:val="WW8Num4z0"/>
    <w:qFormat/>
    <w:uiPriority w:val="0"/>
    <w:rPr>
      <w:rFonts w:hint="default" w:ascii="Courier New" w:hAnsi="Courier New" w:cs="Courier New"/>
      <w:sz w:val="22"/>
    </w:rPr>
  </w:style>
  <w:style w:type="character" w:customStyle="1" w:styleId="194">
    <w:name w:val="样式 正文缩进正文（首行缩进两字）特点ALT+Z表正文正文非缩进四号段1Normal Indent Char2... Char Char"/>
    <w:qFormat/>
    <w:uiPriority w:val="0"/>
    <w:rPr>
      <w:rFonts w:hint="eastAsia" w:ascii="宋体" w:hAnsi="宋体" w:eastAsia="黑体"/>
      <w:b/>
      <w:sz w:val="32"/>
      <w:lang w:val="en-US" w:eastAsia="zh-CN"/>
    </w:rPr>
  </w:style>
  <w:style w:type="character" w:customStyle="1" w:styleId="195">
    <w:name w:val="Char Char15"/>
    <w:qFormat/>
    <w:uiPriority w:val="0"/>
  </w:style>
  <w:style w:type="character" w:customStyle="1" w:styleId="196">
    <w:name w:val="引用 字符1"/>
    <w:link w:val="197"/>
    <w:qFormat/>
    <w:uiPriority w:val="0"/>
    <w:rPr>
      <w:i/>
      <w:sz w:val="24"/>
    </w:rPr>
  </w:style>
  <w:style w:type="paragraph" w:styleId="197">
    <w:name w:val="Quote"/>
    <w:basedOn w:val="1"/>
    <w:link w:val="196"/>
    <w:qFormat/>
    <w:uiPriority w:val="0"/>
    <w:rPr>
      <w:rFonts w:asciiTheme="minorHAnsi" w:hAnsiTheme="minorHAnsi" w:eastAsiaTheme="minorEastAsia" w:cstheme="minorBidi"/>
      <w:i/>
      <w:sz w:val="24"/>
    </w:rPr>
  </w:style>
  <w:style w:type="character" w:customStyle="1" w:styleId="198">
    <w:name w:val="引用 字符"/>
    <w:basedOn w:val="51"/>
    <w:qFormat/>
    <w:uiPriority w:val="29"/>
    <w:rPr>
      <w:rFonts w:ascii="Calibri" w:hAnsi="Calibri" w:eastAsia="宋体" w:cs="Times New Roman"/>
      <w:i/>
      <w:iCs/>
      <w:color w:val="404040" w:themeColor="text1" w:themeTint="BF"/>
      <w14:textFill>
        <w14:solidFill>
          <w14:schemeClr w14:val="tx1">
            <w14:lumMod w14:val="75000"/>
            <w14:lumOff w14:val="25000"/>
          </w14:schemeClr>
        </w14:solidFill>
      </w14:textFill>
    </w:rPr>
  </w:style>
  <w:style w:type="character" w:customStyle="1" w:styleId="199">
    <w:name w:val="标题 Char3"/>
    <w:qFormat/>
    <w:uiPriority w:val="0"/>
    <w:rPr>
      <w:rFonts w:hint="default" w:ascii="Cambria" w:hAnsi="Cambria" w:cs="Times New Roman"/>
      <w:b/>
      <w:bCs/>
      <w:kern w:val="2"/>
      <w:sz w:val="32"/>
      <w:szCs w:val="32"/>
    </w:rPr>
  </w:style>
  <w:style w:type="character" w:customStyle="1" w:styleId="200">
    <w:name w:val="明显引用 字符1"/>
    <w:link w:val="201"/>
    <w:qFormat/>
    <w:uiPriority w:val="0"/>
    <w:rPr>
      <w:b/>
      <w:i/>
      <w:sz w:val="24"/>
    </w:rPr>
  </w:style>
  <w:style w:type="paragraph" w:styleId="201">
    <w:name w:val="Intense Quote"/>
    <w:basedOn w:val="1"/>
    <w:link w:val="200"/>
    <w:qFormat/>
    <w:uiPriority w:val="0"/>
    <w:rPr>
      <w:rFonts w:asciiTheme="minorHAnsi" w:hAnsiTheme="minorHAnsi" w:eastAsiaTheme="minorEastAsia" w:cstheme="minorBidi"/>
      <w:b/>
      <w:i/>
      <w:sz w:val="24"/>
    </w:rPr>
  </w:style>
  <w:style w:type="character" w:customStyle="1" w:styleId="202">
    <w:name w:val="明显引用 字符"/>
    <w:basedOn w:val="51"/>
    <w:qFormat/>
    <w:uiPriority w:val="30"/>
    <w:rPr>
      <w:rFonts w:ascii="Calibri" w:hAnsi="Calibri" w:eastAsia="宋体" w:cs="Times New Roman"/>
      <w:i/>
      <w:iCs/>
      <w:color w:val="5B9BD5" w:themeColor="accent1"/>
      <w14:textFill>
        <w14:solidFill>
          <w14:schemeClr w14:val="accent1"/>
        </w14:solidFill>
      </w14:textFill>
    </w:rPr>
  </w:style>
  <w:style w:type="character" w:customStyle="1" w:styleId="203">
    <w:name w:val="Char Char4"/>
    <w:link w:val="115"/>
    <w:qFormat/>
    <w:uiPriority w:val="0"/>
    <w:rPr>
      <w:rFonts w:ascii="Tahoma" w:hAnsi="Tahoma" w:eastAsia="宋体" w:cs="Times New Roman"/>
      <w:sz w:val="24"/>
      <w:szCs w:val="20"/>
    </w:rPr>
  </w:style>
  <w:style w:type="character" w:customStyle="1" w:styleId="204">
    <w:name w:val="Char Char8"/>
    <w:qFormat/>
    <w:uiPriority w:val="0"/>
    <w:rPr>
      <w:rFonts w:hint="default" w:ascii="Arial" w:hAnsi="Arial" w:eastAsia="黑体" w:cs="Arial"/>
      <w:b/>
      <w:bCs/>
      <w:kern w:val="2"/>
      <w:sz w:val="32"/>
      <w:szCs w:val="32"/>
      <w:lang w:val="en-US" w:eastAsia="zh-CN" w:bidi="ar-SA"/>
    </w:rPr>
  </w:style>
  <w:style w:type="character" w:customStyle="1" w:styleId="205">
    <w:name w:val="明显引用 Char2"/>
    <w:qFormat/>
    <w:uiPriority w:val="99"/>
    <w:rPr>
      <w:b/>
      <w:bCs/>
      <w:i/>
      <w:iCs/>
      <w:color w:val="4F81BD"/>
      <w:kern w:val="2"/>
      <w:sz w:val="21"/>
      <w:szCs w:val="22"/>
    </w:rPr>
  </w:style>
  <w:style w:type="character" w:customStyle="1" w:styleId="206">
    <w:name w:val="副标题 Char1"/>
    <w:qFormat/>
    <w:uiPriority w:val="0"/>
    <w:rPr>
      <w:rFonts w:hint="default" w:ascii="Cambria" w:hAnsi="Cambria" w:cs="Times New Roman"/>
      <w:b/>
      <w:bCs/>
      <w:kern w:val="28"/>
      <w:sz w:val="32"/>
      <w:szCs w:val="32"/>
    </w:rPr>
  </w:style>
  <w:style w:type="character" w:customStyle="1" w:styleId="207">
    <w:name w:val="正文文本 3 Char1"/>
    <w:semiHidden/>
    <w:qFormat/>
    <w:uiPriority w:val="99"/>
    <w:rPr>
      <w:kern w:val="2"/>
      <w:sz w:val="16"/>
      <w:szCs w:val="16"/>
    </w:rPr>
  </w:style>
  <w:style w:type="character" w:customStyle="1" w:styleId="208">
    <w:name w:val="font31"/>
    <w:qFormat/>
    <w:uiPriority w:val="0"/>
    <w:rPr>
      <w:rFonts w:hint="eastAsia" w:ascii="宋体" w:hAnsi="宋体" w:eastAsia="宋体"/>
      <w:color w:val="000000"/>
      <w:sz w:val="24"/>
      <w:szCs w:val="24"/>
      <w:u w:val="single"/>
    </w:rPr>
  </w:style>
  <w:style w:type="character" w:customStyle="1" w:styleId="209">
    <w:name w:val="标题6 Char Char"/>
    <w:link w:val="210"/>
    <w:qFormat/>
    <w:uiPriority w:val="0"/>
    <w:rPr>
      <w:rFonts w:ascii="宋体" w:hAnsi="宋体" w:eastAsia="黑体"/>
      <w:sz w:val="32"/>
      <w:szCs w:val="32"/>
    </w:rPr>
  </w:style>
  <w:style w:type="paragraph" w:customStyle="1" w:styleId="210">
    <w:name w:val="标题6"/>
    <w:basedOn w:val="1"/>
    <w:link w:val="209"/>
    <w:qFormat/>
    <w:uiPriority w:val="0"/>
    <w:pPr>
      <w:keepNext/>
      <w:keepLines/>
      <w:spacing w:line="400" w:lineRule="exact"/>
      <w:jc w:val="center"/>
      <w:outlineLvl w:val="2"/>
    </w:pPr>
    <w:rPr>
      <w:rFonts w:ascii="宋体" w:hAnsi="宋体" w:eastAsia="黑体" w:cstheme="minorBidi"/>
      <w:sz w:val="32"/>
      <w:szCs w:val="32"/>
    </w:rPr>
  </w:style>
  <w:style w:type="character" w:customStyle="1" w:styleId="211">
    <w:name w:val="纯文本 Char Char"/>
    <w:qFormat/>
    <w:uiPriority w:val="0"/>
    <w:rPr>
      <w:rFonts w:ascii="宋体" w:hAnsi="Courier New"/>
      <w:kern w:val="2"/>
      <w:sz w:val="24"/>
    </w:rPr>
  </w:style>
  <w:style w:type="character" w:customStyle="1" w:styleId="212">
    <w:name w:val="正文缩进2格 Char Char"/>
    <w:link w:val="213"/>
    <w:qFormat/>
    <w:uiPriority w:val="0"/>
    <w:rPr>
      <w:rFonts w:ascii="仿宋_GB2312" w:hAnsi="宋体" w:eastAsia="仿宋_GB2312"/>
      <w:sz w:val="31"/>
      <w:szCs w:val="31"/>
    </w:rPr>
  </w:style>
  <w:style w:type="paragraph" w:customStyle="1" w:styleId="213">
    <w:name w:val="正文缩进2格"/>
    <w:basedOn w:val="1"/>
    <w:link w:val="212"/>
    <w:qFormat/>
    <w:uiPriority w:val="0"/>
    <w:pPr>
      <w:widowControl/>
      <w:spacing w:line="600" w:lineRule="exact"/>
      <w:ind w:firstLine="639" w:firstLineChars="206"/>
      <w:jc w:val="left"/>
    </w:pPr>
    <w:rPr>
      <w:rFonts w:ascii="仿宋_GB2312" w:hAnsi="宋体" w:eastAsia="仿宋_GB2312" w:cstheme="minorBidi"/>
      <w:sz w:val="31"/>
      <w:szCs w:val="31"/>
    </w:rPr>
  </w:style>
  <w:style w:type="character" w:customStyle="1" w:styleId="214">
    <w:name w:val="文一 Char"/>
    <w:qFormat/>
    <w:uiPriority w:val="0"/>
    <w:rPr>
      <w:spacing w:val="4"/>
      <w:sz w:val="24"/>
      <w:szCs w:val="24"/>
    </w:rPr>
  </w:style>
  <w:style w:type="character" w:customStyle="1" w:styleId="215">
    <w:name w:val="msosubtlereference"/>
    <w:qFormat/>
    <w:uiPriority w:val="0"/>
    <w:rPr>
      <w:sz w:val="30"/>
      <w:szCs w:val="24"/>
      <w:u w:val="none"/>
    </w:rPr>
  </w:style>
  <w:style w:type="character" w:customStyle="1" w:styleId="216">
    <w:name w:val="默认段落字体1"/>
    <w:qFormat/>
    <w:uiPriority w:val="0"/>
  </w:style>
  <w:style w:type="character" w:customStyle="1" w:styleId="217">
    <w:name w:val="页眉 Char Char"/>
    <w:qFormat/>
    <w:uiPriority w:val="0"/>
    <w:rPr>
      <w:sz w:val="18"/>
      <w:szCs w:val="18"/>
    </w:rPr>
  </w:style>
  <w:style w:type="character" w:customStyle="1" w:styleId="218">
    <w:name w:val="引用 Char2"/>
    <w:qFormat/>
    <w:uiPriority w:val="99"/>
    <w:rPr>
      <w:i/>
      <w:iCs/>
      <w:color w:val="000000"/>
      <w:kern w:val="2"/>
      <w:sz w:val="21"/>
      <w:szCs w:val="22"/>
    </w:rPr>
  </w:style>
  <w:style w:type="character" w:customStyle="1" w:styleId="219">
    <w:name w:val="样式 标题 3h3section:3Level 3 HeadH3level_3PIM 33rd level3H... Char Char"/>
    <w:link w:val="220"/>
    <w:qFormat/>
    <w:uiPriority w:val="0"/>
    <w:rPr>
      <w:rFonts w:ascii="Arial" w:hAnsi="Arial"/>
      <w:b/>
      <w:sz w:val="24"/>
      <w:szCs w:val="28"/>
    </w:rPr>
  </w:style>
  <w:style w:type="paragraph" w:customStyle="1" w:styleId="220">
    <w:name w:val="样式 标题 3h3section:3Level 3 HeadH3level_3PIM 33rd level3H..."/>
    <w:basedOn w:val="9"/>
    <w:link w:val="219"/>
    <w:qFormat/>
    <w:uiPriority w:val="0"/>
    <w:pPr>
      <w:keepNext/>
      <w:tabs>
        <w:tab w:val="left" w:pos="1680"/>
        <w:tab w:val="left" w:pos="2310"/>
      </w:tabs>
      <w:adjustRightInd w:val="0"/>
      <w:spacing w:before="240" w:after="60" w:line="416" w:lineRule="atLeast"/>
      <w:ind w:left="2310" w:hanging="420"/>
    </w:pPr>
    <w:rPr>
      <w:rFonts w:ascii="Arial" w:hAnsi="Arial" w:eastAsiaTheme="minorEastAsia" w:cstheme="minorBidi"/>
      <w:b/>
      <w:kern w:val="2"/>
      <w:szCs w:val="28"/>
    </w:rPr>
  </w:style>
  <w:style w:type="character" w:customStyle="1" w:styleId="221">
    <w:name w:val="正文文本 (3)_"/>
    <w:link w:val="222"/>
    <w:qFormat/>
    <w:uiPriority w:val="0"/>
    <w:rPr>
      <w:rFonts w:ascii="Arial Unicode MS" w:hAnsi="Arial Unicode MS" w:eastAsia="Arial Unicode MS"/>
      <w:spacing w:val="10"/>
      <w:sz w:val="17"/>
      <w:szCs w:val="17"/>
      <w:shd w:val="clear" w:color="auto" w:fill="FFFFFF"/>
    </w:rPr>
  </w:style>
  <w:style w:type="paragraph" w:customStyle="1" w:styleId="222">
    <w:name w:val="正文文本 (3)"/>
    <w:basedOn w:val="1"/>
    <w:link w:val="221"/>
    <w:qFormat/>
    <w:uiPriority w:val="0"/>
    <w:pPr>
      <w:shd w:val="clear" w:color="auto" w:fill="FFFFFF"/>
      <w:spacing w:after="60" w:line="0" w:lineRule="atLeast"/>
      <w:ind w:hanging="940"/>
      <w:jc w:val="left"/>
    </w:pPr>
    <w:rPr>
      <w:rFonts w:ascii="Arial Unicode MS" w:hAnsi="Arial Unicode MS" w:eastAsia="Arial Unicode MS" w:cstheme="minorBidi"/>
      <w:spacing w:val="10"/>
      <w:sz w:val="17"/>
      <w:szCs w:val="17"/>
      <w:shd w:val="clear" w:color="auto" w:fill="FFFFFF"/>
    </w:rPr>
  </w:style>
  <w:style w:type="character" w:customStyle="1" w:styleId="223">
    <w:name w:val="Char Char Char"/>
    <w:qFormat/>
    <w:uiPriority w:val="0"/>
    <w:rPr>
      <w:rFonts w:hint="eastAsia" w:ascii="楷体_GB2312" w:eastAsia="楷体_GB2312"/>
      <w:b/>
      <w:kern w:val="2"/>
      <w:sz w:val="21"/>
    </w:rPr>
  </w:style>
  <w:style w:type="character" w:customStyle="1" w:styleId="224">
    <w:name w:val="标题 2 Char1"/>
    <w:qFormat/>
    <w:uiPriority w:val="0"/>
    <w:rPr>
      <w:rFonts w:hint="default" w:ascii="Arial" w:hAnsi="Arial" w:eastAsia="黑体" w:cs="Arial"/>
      <w:b/>
      <w:bCs/>
      <w:sz w:val="32"/>
      <w:szCs w:val="32"/>
    </w:rPr>
  </w:style>
  <w:style w:type="character" w:customStyle="1" w:styleId="225">
    <w:name w:val="正文文本 Char1"/>
    <w:qFormat/>
    <w:uiPriority w:val="0"/>
    <w:rPr>
      <w:rFonts w:hint="eastAsia" w:ascii="仿宋_GB2312" w:eastAsia="宋体"/>
      <w:kern w:val="2"/>
      <w:sz w:val="21"/>
      <w:szCs w:val="32"/>
      <w:lang w:val="en-US" w:eastAsia="zh-CN" w:bidi="ar-SA"/>
    </w:rPr>
  </w:style>
  <w:style w:type="character" w:customStyle="1" w:styleId="226">
    <w:name w:val="正文文本_"/>
    <w:link w:val="227"/>
    <w:qFormat/>
    <w:uiPriority w:val="0"/>
    <w:rPr>
      <w:rFonts w:ascii="MingLiU" w:hAnsi="MingLiU" w:eastAsia="MingLiU"/>
      <w:spacing w:val="20"/>
      <w:shd w:val="clear" w:color="auto" w:fill="FFFFFF"/>
    </w:rPr>
  </w:style>
  <w:style w:type="paragraph" w:customStyle="1" w:styleId="227">
    <w:name w:val="正文文本1"/>
    <w:basedOn w:val="1"/>
    <w:link w:val="226"/>
    <w:qFormat/>
    <w:uiPriority w:val="0"/>
    <w:pPr>
      <w:shd w:val="clear" w:color="auto" w:fill="FFFFFF"/>
      <w:spacing w:before="300" w:line="0" w:lineRule="atLeast"/>
      <w:ind w:hanging="580"/>
      <w:jc w:val="left"/>
    </w:pPr>
    <w:rPr>
      <w:rFonts w:ascii="MingLiU" w:hAnsi="MingLiU" w:eastAsia="MingLiU" w:cstheme="minorBidi"/>
      <w:spacing w:val="20"/>
      <w:shd w:val="clear" w:color="auto" w:fill="FFFFFF"/>
    </w:rPr>
  </w:style>
  <w:style w:type="character" w:customStyle="1" w:styleId="228">
    <w:name w:val="Char Char24"/>
    <w:qFormat/>
    <w:uiPriority w:val="0"/>
    <w:rPr>
      <w:rFonts w:hint="default" w:ascii="Arial" w:hAnsi="Arial" w:cs="Times New Roman"/>
      <w:b/>
      <w:color w:val="000000"/>
      <w:kern w:val="2"/>
      <w:sz w:val="24"/>
      <w:szCs w:val="24"/>
    </w:rPr>
  </w:style>
  <w:style w:type="character" w:customStyle="1" w:styleId="229">
    <w:name w:val="普通文字 Char Char"/>
    <w:qFormat/>
    <w:uiPriority w:val="0"/>
    <w:rPr>
      <w:rFonts w:hint="default" w:ascii="Courier New" w:hAnsi="Courier New" w:eastAsia="宋体" w:cs="Proxy 9"/>
      <w:kern w:val="2"/>
      <w:sz w:val="21"/>
      <w:lang w:val="en-US" w:eastAsia="zh-CN" w:bidi="ar-SA"/>
    </w:rPr>
  </w:style>
  <w:style w:type="character" w:customStyle="1" w:styleId="230">
    <w:name w:val="标题 3 Char Char"/>
    <w:qFormat/>
    <w:uiPriority w:val="0"/>
    <w:rPr>
      <w:rFonts w:ascii="宋体" w:hAnsi="宋体" w:eastAsia="宋体"/>
      <w:b/>
      <w:bCs/>
      <w:color w:val="FF0000"/>
      <w:kern w:val="2"/>
      <w:sz w:val="24"/>
      <w:szCs w:val="24"/>
      <w:lang w:val="zh-CN" w:eastAsia="zh-CN" w:bidi="ar-SA"/>
    </w:rPr>
  </w:style>
  <w:style w:type="character" w:customStyle="1" w:styleId="231">
    <w:name w:val="Char Char11"/>
    <w:qFormat/>
    <w:uiPriority w:val="0"/>
    <w:rPr>
      <w:rFonts w:hint="default" w:ascii="Cambria" w:hAnsi="Cambria" w:eastAsia="宋体"/>
      <w:b/>
      <w:bCs/>
      <w:kern w:val="32"/>
      <w:sz w:val="32"/>
      <w:szCs w:val="32"/>
    </w:rPr>
  </w:style>
  <w:style w:type="character" w:customStyle="1" w:styleId="232">
    <w:name w:val="WW8Num1z0"/>
    <w:qFormat/>
    <w:uiPriority w:val="0"/>
    <w:rPr>
      <w:sz w:val="24"/>
    </w:rPr>
  </w:style>
  <w:style w:type="character" w:customStyle="1" w:styleId="233">
    <w:name w:val="font21"/>
    <w:qFormat/>
    <w:uiPriority w:val="0"/>
    <w:rPr>
      <w:rFonts w:hint="eastAsia" w:ascii="宋体" w:hAnsi="宋体" w:eastAsia="宋体"/>
      <w:color w:val="000000"/>
      <w:sz w:val="24"/>
      <w:szCs w:val="24"/>
      <w:u w:val="none"/>
    </w:rPr>
  </w:style>
  <w:style w:type="character" w:customStyle="1" w:styleId="234">
    <w:name w:val="textcontents"/>
    <w:qFormat/>
    <w:uiPriority w:val="0"/>
  </w:style>
  <w:style w:type="character" w:customStyle="1" w:styleId="235">
    <w:name w:val="font11"/>
    <w:qFormat/>
    <w:uiPriority w:val="0"/>
    <w:rPr>
      <w:rFonts w:hint="eastAsia" w:ascii="宋体" w:hAnsi="宋体" w:eastAsia="宋体"/>
      <w:color w:val="000000"/>
      <w:sz w:val="24"/>
      <w:szCs w:val="24"/>
      <w:u w:val="single"/>
    </w:rPr>
  </w:style>
  <w:style w:type="character" w:customStyle="1" w:styleId="236">
    <w:name w:val="style6"/>
    <w:qFormat/>
    <w:uiPriority w:val="0"/>
  </w:style>
  <w:style w:type="character" w:customStyle="1" w:styleId="237">
    <w:name w:val="Endnote Text Char"/>
    <w:qFormat/>
    <w:uiPriority w:val="0"/>
    <w:rPr>
      <w:rFonts w:hint="default" w:ascii="Times New Roman" w:hAnsi="Times New Roman" w:cs="Times New Roman"/>
      <w:kern w:val="2"/>
      <w:sz w:val="21"/>
    </w:rPr>
  </w:style>
  <w:style w:type="character" w:customStyle="1" w:styleId="238">
    <w:name w:val="Variable"/>
    <w:qFormat/>
    <w:uiPriority w:val="0"/>
    <w:rPr>
      <w:i/>
    </w:rPr>
  </w:style>
  <w:style w:type="character" w:customStyle="1" w:styleId="239">
    <w:name w:val="Char Char2"/>
    <w:qFormat/>
    <w:uiPriority w:val="0"/>
    <w:rPr>
      <w:rFonts w:hint="eastAsia" w:ascii="宋体" w:hAnsi="宋体" w:eastAsia="宋体"/>
      <w:kern w:val="2"/>
      <w:sz w:val="21"/>
      <w:szCs w:val="24"/>
      <w:lang w:val="en-US" w:eastAsia="zh-CN" w:bidi="ar-SA"/>
    </w:rPr>
  </w:style>
  <w:style w:type="character" w:customStyle="1" w:styleId="240">
    <w:name w:val="标题 1 Char_0"/>
    <w:qFormat/>
    <w:uiPriority w:val="0"/>
    <w:rPr>
      <w:rFonts w:ascii="仿宋_GB2312" w:hAnsi="宋体" w:eastAsia="仿宋_GB2312" w:cs="宋体"/>
      <w:b/>
      <w:bCs/>
      <w:kern w:val="2"/>
      <w:sz w:val="30"/>
      <w:szCs w:val="30"/>
      <w:lang w:val="en-US" w:eastAsia="zh-CN" w:bidi="ar-SA"/>
    </w:rPr>
  </w:style>
  <w:style w:type="character" w:customStyle="1" w:styleId="241">
    <w:name w:val="批注主题 Char Char"/>
    <w:qFormat/>
    <w:uiPriority w:val="0"/>
    <w:rPr>
      <w:rFonts w:hint="default" w:ascii="Times New Roman" w:hAnsi="Times New Roman" w:cs="Times New Roman"/>
      <w:b/>
      <w:bCs/>
      <w:kern w:val="2"/>
      <w:sz w:val="21"/>
      <w:szCs w:val="24"/>
    </w:rPr>
  </w:style>
  <w:style w:type="character" w:customStyle="1" w:styleId="242">
    <w:name w:val="标题 Char Char Char"/>
    <w:qFormat/>
    <w:uiPriority w:val="0"/>
    <w:rPr>
      <w:rFonts w:hint="default" w:ascii="Arial" w:hAnsi="Arial" w:cs="Arial"/>
      <w:b/>
      <w:sz w:val="32"/>
    </w:rPr>
  </w:style>
  <w:style w:type="character" w:customStyle="1" w:styleId="243">
    <w:name w:val="纯文本 Char1"/>
    <w:qFormat/>
    <w:uiPriority w:val="0"/>
    <w:rPr>
      <w:rFonts w:ascii="宋体" w:hAnsi="Courier New" w:eastAsia="宋体"/>
      <w:kern w:val="2"/>
      <w:sz w:val="21"/>
      <w:lang w:bidi="ar-SA"/>
    </w:rPr>
  </w:style>
  <w:style w:type="character" w:customStyle="1" w:styleId="244">
    <w:name w:val="font51"/>
    <w:qFormat/>
    <w:uiPriority w:val="0"/>
    <w:rPr>
      <w:rFonts w:hint="eastAsia" w:ascii="宋体" w:hAnsi="宋体" w:eastAsia="宋体"/>
      <w:color w:val="000000"/>
      <w:sz w:val="24"/>
      <w:szCs w:val="24"/>
      <w:u w:val="none"/>
    </w:rPr>
  </w:style>
  <w:style w:type="character" w:customStyle="1" w:styleId="245">
    <w:name w:val="WW8Num8z0"/>
    <w:qFormat/>
    <w:uiPriority w:val="0"/>
    <w:rPr>
      <w:sz w:val="24"/>
    </w:rPr>
  </w:style>
  <w:style w:type="character" w:customStyle="1" w:styleId="246">
    <w:name w:val="尾注文本 Char Char Char"/>
    <w:qFormat/>
    <w:uiPriority w:val="0"/>
    <w:rPr>
      <w:kern w:val="2"/>
      <w:sz w:val="21"/>
      <w:szCs w:val="24"/>
    </w:rPr>
  </w:style>
  <w:style w:type="character" w:customStyle="1" w:styleId="247">
    <w:name w:val="WW8Num15z1"/>
    <w:qFormat/>
    <w:uiPriority w:val="0"/>
    <w:rPr>
      <w:rFonts w:hint="default" w:ascii="Times New Roman" w:hAnsi="Times New Roman" w:cs="Times New Roman"/>
      <w:color w:val="auto"/>
    </w:rPr>
  </w:style>
  <w:style w:type="character" w:customStyle="1" w:styleId="248">
    <w:name w:val="msobooktitle"/>
    <w:qFormat/>
    <w:uiPriority w:val="0"/>
    <w:rPr>
      <w:rFonts w:hint="default" w:ascii="Cambria" w:hAnsi="Cambria" w:eastAsia="宋体"/>
      <w:b/>
      <w:i/>
      <w:sz w:val="24"/>
      <w:szCs w:val="24"/>
    </w:rPr>
  </w:style>
  <w:style w:type="character" w:customStyle="1" w:styleId="249">
    <w:name w:val="页码1"/>
    <w:qFormat/>
    <w:uiPriority w:val="0"/>
  </w:style>
  <w:style w:type="character" w:customStyle="1" w:styleId="250">
    <w:name w:val="WW8Num3z0"/>
    <w:qFormat/>
    <w:uiPriority w:val="0"/>
    <w:rPr>
      <w:sz w:val="24"/>
      <w:szCs w:val="24"/>
    </w:rPr>
  </w:style>
  <w:style w:type="character" w:customStyle="1" w:styleId="251">
    <w:name w:val="font7"/>
    <w:qFormat/>
    <w:uiPriority w:val="0"/>
  </w:style>
  <w:style w:type="character" w:customStyle="1" w:styleId="252">
    <w:name w:val="font161"/>
    <w:qFormat/>
    <w:uiPriority w:val="0"/>
    <w:rPr>
      <w:b/>
      <w:bCs/>
      <w:sz w:val="32"/>
      <w:szCs w:val="32"/>
    </w:rPr>
  </w:style>
  <w:style w:type="character" w:customStyle="1" w:styleId="253">
    <w:name w:val="日期 Char Char"/>
    <w:qFormat/>
    <w:uiPriority w:val="0"/>
    <w:rPr>
      <w:kern w:val="2"/>
      <w:sz w:val="24"/>
    </w:rPr>
  </w:style>
  <w:style w:type="character" w:customStyle="1" w:styleId="254">
    <w:name w:val="标提1 Char Char"/>
    <w:link w:val="255"/>
    <w:qFormat/>
    <w:uiPriority w:val="0"/>
    <w:rPr>
      <w:rFonts w:ascii="黑体" w:hAnsi="黑体" w:eastAsia="黑体"/>
      <w:b/>
      <w:kern w:val="44"/>
      <w:sz w:val="24"/>
      <w:szCs w:val="24"/>
    </w:rPr>
  </w:style>
  <w:style w:type="paragraph" w:customStyle="1" w:styleId="255">
    <w:name w:val="标提1"/>
    <w:basedOn w:val="3"/>
    <w:next w:val="1"/>
    <w:link w:val="254"/>
    <w:qFormat/>
    <w:uiPriority w:val="0"/>
    <w:pPr>
      <w:spacing w:before="0" w:after="0" w:line="240" w:lineRule="auto"/>
      <w:jc w:val="both"/>
    </w:pPr>
    <w:rPr>
      <w:rFonts w:ascii="黑体" w:hAnsi="黑体" w:eastAsia="黑体" w:cstheme="minorBidi"/>
      <w:sz w:val="24"/>
      <w:szCs w:val="24"/>
    </w:rPr>
  </w:style>
  <w:style w:type="character" w:customStyle="1" w:styleId="256">
    <w:name w:val="标题 Char Char"/>
    <w:qFormat/>
    <w:uiPriority w:val="0"/>
    <w:rPr>
      <w:rFonts w:hint="default" w:ascii="Arial" w:hAnsi="Arial" w:eastAsia="楷体_GB2312" w:cs="Arial"/>
      <w:b/>
      <w:kern w:val="2"/>
      <w:sz w:val="44"/>
      <w:szCs w:val="24"/>
      <w:lang w:val="en-US" w:eastAsia="zh-CN" w:bidi="ar-SA"/>
    </w:rPr>
  </w:style>
  <w:style w:type="character" w:customStyle="1" w:styleId="257">
    <w:name w:val="标题 Char1"/>
    <w:qFormat/>
    <w:uiPriority w:val="0"/>
    <w:rPr>
      <w:rFonts w:hint="default" w:ascii="Arial" w:hAnsi="Arial" w:cs="Arial"/>
      <w:b/>
      <w:sz w:val="44"/>
    </w:rPr>
  </w:style>
  <w:style w:type="character" w:customStyle="1" w:styleId="258">
    <w:name w:val="msointenseemphasis"/>
    <w:qFormat/>
    <w:uiPriority w:val="0"/>
    <w:rPr>
      <w:b/>
      <w:i/>
      <w:sz w:val="24"/>
      <w:szCs w:val="24"/>
      <w:u w:val="single"/>
    </w:rPr>
  </w:style>
  <w:style w:type="character" w:customStyle="1" w:styleId="259">
    <w:name w:val="无间隔 字符"/>
    <w:link w:val="260"/>
    <w:qFormat/>
    <w:uiPriority w:val="0"/>
    <w:rPr>
      <w:sz w:val="22"/>
    </w:rPr>
  </w:style>
  <w:style w:type="paragraph" w:styleId="260">
    <w:name w:val="No Spacing"/>
    <w:basedOn w:val="1"/>
    <w:link w:val="259"/>
    <w:qFormat/>
    <w:uiPriority w:val="0"/>
    <w:rPr>
      <w:rFonts w:asciiTheme="minorHAnsi" w:hAnsiTheme="minorHAnsi" w:eastAsiaTheme="minorEastAsia" w:cstheme="minorBidi"/>
      <w:sz w:val="22"/>
    </w:rPr>
  </w:style>
  <w:style w:type="character" w:customStyle="1" w:styleId="261">
    <w:name w:val="标题 1 Char Char"/>
    <w:qFormat/>
    <w:uiPriority w:val="0"/>
    <w:rPr>
      <w:rFonts w:hint="eastAsia" w:ascii="仿宋_GB2312" w:eastAsia="仿宋_GB2312"/>
      <w:b/>
      <w:bCs/>
      <w:kern w:val="44"/>
      <w:sz w:val="44"/>
      <w:szCs w:val="44"/>
    </w:rPr>
  </w:style>
  <w:style w:type="character" w:customStyle="1" w:styleId="262">
    <w:name w:val="列出段落 Char"/>
    <w:link w:val="263"/>
    <w:qFormat/>
    <w:uiPriority w:val="0"/>
  </w:style>
  <w:style w:type="paragraph" w:customStyle="1" w:styleId="263">
    <w:name w:val="列出段落1"/>
    <w:basedOn w:val="1"/>
    <w:link w:val="262"/>
    <w:qFormat/>
    <w:uiPriority w:val="0"/>
    <w:pPr>
      <w:ind w:firstLine="420" w:firstLineChars="200"/>
    </w:pPr>
    <w:rPr>
      <w:rFonts w:asciiTheme="minorHAnsi" w:hAnsiTheme="minorHAnsi" w:eastAsiaTheme="minorEastAsia" w:cstheme="minorBidi"/>
    </w:rPr>
  </w:style>
  <w:style w:type="character" w:customStyle="1" w:styleId="264">
    <w:name w:val="Char Char25"/>
    <w:qFormat/>
    <w:uiPriority w:val="0"/>
    <w:rPr>
      <w:rFonts w:hint="default" w:ascii="Arial" w:hAnsi="Arial" w:cs="Arial"/>
      <w:b/>
      <w:bCs/>
      <w:color w:val="000000"/>
      <w:kern w:val="44"/>
      <w:sz w:val="30"/>
      <w:szCs w:val="30"/>
    </w:rPr>
  </w:style>
  <w:style w:type="paragraph" w:customStyle="1" w:styleId="265">
    <w:name w:val="样式 正文缩进正文（首行缩进两字）特点ALT+Z表正文正文非缩进四号段1Normal Indent Char2..."/>
    <w:basedOn w:val="7"/>
    <w:next w:val="9"/>
    <w:qFormat/>
    <w:uiPriority w:val="0"/>
    <w:pPr>
      <w:tabs>
        <w:tab w:val="left" w:pos="840"/>
      </w:tabs>
      <w:spacing w:before="240" w:line="400" w:lineRule="exact"/>
      <w:ind w:left="840" w:hanging="420"/>
    </w:pPr>
    <w:rPr>
      <w:rFonts w:hint="eastAsia" w:ascii="宋体" w:hAnsi="宋体" w:eastAsia="黑体"/>
      <w:b w:val="0"/>
      <w:color w:val="auto"/>
      <w:kern w:val="0"/>
      <w:szCs w:val="20"/>
    </w:rPr>
  </w:style>
  <w:style w:type="paragraph" w:customStyle="1" w:styleId="266">
    <w:name w:val="ÕýÎÄ"/>
    <w:qFormat/>
    <w:uiPriority w:val="0"/>
    <w:pPr>
      <w:widowControl w:val="0"/>
      <w:overflowPunct w:val="0"/>
      <w:autoSpaceDE w:val="0"/>
      <w:autoSpaceDN w:val="0"/>
      <w:adjustRightInd w:val="0"/>
      <w:spacing w:line="357" w:lineRule="atLeast"/>
      <w:jc w:val="both"/>
    </w:pPr>
    <w:rPr>
      <w:rFonts w:ascii="Times New Roman" w:hAnsi="Times New Roman" w:eastAsia="宋体" w:cs="Times New Roman"/>
      <w:color w:val="000000"/>
      <w:sz w:val="21"/>
      <w:lang w:val="en-US" w:eastAsia="zh-CN" w:bidi="ar-SA"/>
    </w:rPr>
  </w:style>
  <w:style w:type="paragraph" w:customStyle="1" w:styleId="267">
    <w:name w:val="样式 正文缩进正文（首行缩进两字）特点ALT+Z表正文正文非缩进四号段1Normal Indent Char2...4"/>
    <w:basedOn w:val="22"/>
    <w:qFormat/>
    <w:uiPriority w:val="0"/>
    <w:pPr>
      <w:tabs>
        <w:tab w:val="left" w:pos="510"/>
        <w:tab w:val="left" w:pos="2520"/>
      </w:tabs>
      <w:spacing w:line="300" w:lineRule="auto"/>
      <w:ind w:left="2520" w:hanging="420"/>
    </w:pPr>
    <w:rPr>
      <w:rFonts w:ascii="Calibri" w:hAnsi="宋体"/>
      <w:kern w:val="0"/>
      <w:sz w:val="24"/>
      <w:szCs w:val="22"/>
    </w:rPr>
  </w:style>
  <w:style w:type="paragraph" w:customStyle="1" w:styleId="268">
    <w:name w:val="纯文本1"/>
    <w:basedOn w:val="1"/>
    <w:qFormat/>
    <w:uiPriority w:val="0"/>
    <w:pPr>
      <w:suppressAutoHyphens/>
    </w:pPr>
    <w:rPr>
      <w:rFonts w:ascii="宋体" w:hAnsi="宋体"/>
      <w:szCs w:val="20"/>
      <w:lang w:eastAsia="ar-SA"/>
    </w:rPr>
  </w:style>
  <w:style w:type="paragraph" w:customStyle="1" w:styleId="269">
    <w:name w:val="目录 1_0"/>
    <w:basedOn w:val="270"/>
    <w:next w:val="270"/>
    <w:qFormat/>
    <w:uiPriority w:val="0"/>
    <w:pPr>
      <w:tabs>
        <w:tab w:val="right" w:leader="dot" w:pos="8493"/>
      </w:tabs>
      <w:adjustRightInd w:val="0"/>
      <w:spacing w:line="360" w:lineRule="auto"/>
      <w:jc w:val="left"/>
    </w:pPr>
    <w:rPr>
      <w:rFonts w:ascii="宋体" w:hAnsi="宋体"/>
      <w:b/>
      <w:caps/>
      <w:kern w:val="0"/>
      <w:sz w:val="24"/>
      <w:szCs w:val="32"/>
    </w:rPr>
  </w:style>
  <w:style w:type="paragraph" w:customStyle="1" w:styleId="270">
    <w:name w:val="正文_0"/>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1">
    <w:name w:val="Char Char Char Char Char Char1 Char"/>
    <w:basedOn w:val="1"/>
    <w:qFormat/>
    <w:uiPriority w:val="0"/>
    <w:pPr>
      <w:widowControl/>
      <w:spacing w:after="160" w:line="240" w:lineRule="exact"/>
      <w:jc w:val="left"/>
    </w:pPr>
    <w:rPr>
      <w:rFonts w:ascii="Verdana" w:hAnsi="Verdana" w:eastAsia="仿宋_GB2312"/>
      <w:kern w:val="0"/>
      <w:sz w:val="24"/>
      <w:szCs w:val="32"/>
      <w:lang w:eastAsia="en-US"/>
    </w:rPr>
  </w:style>
  <w:style w:type="paragraph" w:customStyle="1" w:styleId="272">
    <w:name w:val="封一"/>
    <w:basedOn w:val="181"/>
    <w:next w:val="181"/>
    <w:qFormat/>
    <w:uiPriority w:val="0"/>
    <w:pPr>
      <w:ind w:firstLine="0" w:firstLineChars="0"/>
      <w:jc w:val="center"/>
    </w:pPr>
    <w:rPr>
      <w:rFonts w:eastAsia="黑体"/>
      <w:b/>
      <w:sz w:val="84"/>
      <w:szCs w:val="84"/>
    </w:rPr>
  </w:style>
  <w:style w:type="paragraph" w:customStyle="1" w:styleId="273">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4">
    <w:name w:val="Char1 Char Char Char Char Char Char1"/>
    <w:basedOn w:val="275"/>
    <w:qFormat/>
    <w:uiPriority w:val="0"/>
  </w:style>
  <w:style w:type="paragraph" w:customStyle="1" w:styleId="275">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76">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7">
    <w:name w:val="正文文本 21"/>
    <w:basedOn w:val="1"/>
    <w:qFormat/>
    <w:uiPriority w:val="0"/>
    <w:pPr>
      <w:suppressAutoHyphens/>
    </w:pPr>
    <w:rPr>
      <w:rFonts w:ascii="Times New Roman" w:hAnsi="Times New Roman" w:eastAsia="楷体_GB2312"/>
      <w:b/>
      <w:szCs w:val="20"/>
      <w:lang w:eastAsia="ar-SA"/>
    </w:rPr>
  </w:style>
  <w:style w:type="paragraph" w:customStyle="1" w:styleId="278">
    <w:name w:val="msoquote"/>
    <w:basedOn w:val="1"/>
    <w:next w:val="1"/>
    <w:qFormat/>
    <w:uiPriority w:val="0"/>
    <w:pPr>
      <w:widowControl/>
      <w:jc w:val="left"/>
    </w:pPr>
    <w:rPr>
      <w:rFonts w:ascii="Times New Roman" w:hAnsi="Times New Roman"/>
      <w:i/>
      <w:kern w:val="0"/>
      <w:sz w:val="24"/>
    </w:rPr>
  </w:style>
  <w:style w:type="paragraph" w:customStyle="1" w:styleId="279">
    <w:name w:val="_Style 7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0">
    <w:name w:val="正文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1">
    <w:name w:val="Char5 Char Char"/>
    <w:basedOn w:val="1"/>
    <w:qFormat/>
    <w:uiPriority w:val="0"/>
    <w:pPr>
      <w:ind w:left="567" w:hanging="279"/>
    </w:pPr>
    <w:rPr>
      <w:rFonts w:ascii="Times New Roman" w:hAnsi="Times New Roman"/>
      <w:sz w:val="24"/>
      <w:szCs w:val="24"/>
    </w:rPr>
  </w:style>
  <w:style w:type="paragraph" w:customStyle="1" w:styleId="282">
    <w:name w:val="正文首行缩进 New"/>
    <w:basedOn w:val="283"/>
    <w:qFormat/>
    <w:uiPriority w:val="0"/>
    <w:pPr>
      <w:ind w:firstLine="420" w:firstLineChars="100"/>
    </w:pPr>
  </w:style>
  <w:style w:type="paragraph" w:customStyle="1" w:styleId="283">
    <w:name w:val="正文文本 New"/>
    <w:basedOn w:val="284"/>
    <w:qFormat/>
    <w:uiPriority w:val="0"/>
    <w:pPr>
      <w:spacing w:after="120"/>
    </w:pPr>
    <w:rPr>
      <w:rFonts w:eastAsia="宋体"/>
      <w:kern w:val="2"/>
      <w:sz w:val="30"/>
      <w:szCs w:val="24"/>
    </w:rPr>
  </w:style>
  <w:style w:type="paragraph" w:customStyle="1" w:styleId="284">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85">
    <w:name w:val="正文文本缩进 21"/>
    <w:basedOn w:val="1"/>
    <w:qFormat/>
    <w:uiPriority w:val="0"/>
    <w:pPr>
      <w:suppressAutoHyphens/>
      <w:spacing w:after="120" w:line="480" w:lineRule="auto"/>
      <w:ind w:left="420"/>
    </w:pPr>
    <w:rPr>
      <w:rFonts w:ascii="Times New Roman" w:hAnsi="Times New Roman"/>
      <w:szCs w:val="20"/>
      <w:lang w:eastAsia="ar-SA"/>
    </w:rPr>
  </w:style>
  <w:style w:type="paragraph" w:customStyle="1" w:styleId="286">
    <w:name w:val="默认段落字体 Para Char"/>
    <w:basedOn w:val="1"/>
    <w:qFormat/>
    <w:uiPriority w:val="0"/>
    <w:pPr>
      <w:spacing w:line="360" w:lineRule="auto"/>
      <w:jc w:val="left"/>
    </w:pPr>
    <w:rPr>
      <w:rFonts w:ascii="Times New Roman" w:hAnsi="Times New Roman" w:eastAsia="仿宋_GB2312"/>
      <w:b/>
      <w:sz w:val="32"/>
      <w:szCs w:val="24"/>
    </w:rPr>
  </w:style>
  <w:style w:type="paragraph" w:customStyle="1" w:styleId="287">
    <w:name w:val="纯文本2"/>
    <w:basedOn w:val="1"/>
    <w:qFormat/>
    <w:uiPriority w:val="0"/>
    <w:rPr>
      <w:rFonts w:ascii="宋体" w:hAnsi="Courier New"/>
      <w:sz w:val="24"/>
      <w:szCs w:val="20"/>
    </w:rPr>
  </w:style>
  <w:style w:type="paragraph" w:customStyle="1" w:styleId="288">
    <w:name w:val="Char4 Char Char Char"/>
    <w:basedOn w:val="1"/>
    <w:qFormat/>
    <w:uiPriority w:val="0"/>
    <w:pPr>
      <w:ind w:left="567" w:hanging="279"/>
    </w:pPr>
    <w:rPr>
      <w:rFonts w:ascii="Times New Roman" w:hAnsi="Times New Roman"/>
      <w:sz w:val="24"/>
      <w:szCs w:val="24"/>
    </w:rPr>
  </w:style>
  <w:style w:type="paragraph" w:customStyle="1" w:styleId="289">
    <w:name w:val="页眉 New"/>
    <w:basedOn w:val="290"/>
    <w:qFormat/>
    <w:uiPriority w:val="0"/>
    <w:pPr>
      <w:pBdr>
        <w:bottom w:val="single" w:color="auto" w:sz="6" w:space="1"/>
      </w:pBdr>
      <w:tabs>
        <w:tab w:val="center" w:pos="4153"/>
        <w:tab w:val="right" w:pos="8306"/>
      </w:tabs>
      <w:snapToGrid w:val="0"/>
      <w:jc w:val="center"/>
    </w:pPr>
    <w:rPr>
      <w:sz w:val="18"/>
    </w:rPr>
  </w:style>
  <w:style w:type="paragraph" w:customStyle="1" w:styleId="290">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1">
    <w:name w:val="页眉 New New"/>
    <w:basedOn w:val="292"/>
    <w:qFormat/>
    <w:uiPriority w:val="0"/>
    <w:pPr>
      <w:pBdr>
        <w:bottom w:val="single" w:color="auto" w:sz="6" w:space="1"/>
      </w:pBdr>
      <w:tabs>
        <w:tab w:val="center" w:pos="4153"/>
        <w:tab w:val="right" w:pos="8306"/>
      </w:tabs>
      <w:snapToGrid w:val="0"/>
      <w:jc w:val="center"/>
    </w:pPr>
    <w:rPr>
      <w:sz w:val="18"/>
    </w:rPr>
  </w:style>
  <w:style w:type="paragraph" w:customStyle="1" w:styleId="292">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表格"/>
    <w:basedOn w:val="1"/>
    <w:qFormat/>
    <w:uiPriority w:val="0"/>
    <w:pPr>
      <w:jc w:val="center"/>
    </w:pPr>
    <w:rPr>
      <w:rFonts w:ascii="华文细黑" w:hAnsi="华文细黑"/>
      <w:kern w:val="0"/>
      <w:szCs w:val="20"/>
    </w:rPr>
  </w:style>
  <w:style w:type="paragraph" w:customStyle="1" w:styleId="294">
    <w:name w:val="Normal_0"/>
    <w:qFormat/>
    <w:uiPriority w:val="0"/>
    <w:rPr>
      <w:rFonts w:ascii="Times New Roman" w:hAnsi="Times New Roman" w:eastAsia="Times New Roman" w:cs="Times New Roman"/>
      <w:sz w:val="24"/>
      <w:szCs w:val="24"/>
      <w:lang w:val="en-US" w:eastAsia="zh-CN" w:bidi="ar-SA"/>
    </w:rPr>
  </w:style>
  <w:style w:type="paragraph" w:customStyle="1" w:styleId="295">
    <w:name w:val="页脚 New New"/>
    <w:basedOn w:val="292"/>
    <w:qFormat/>
    <w:uiPriority w:val="0"/>
    <w:pPr>
      <w:tabs>
        <w:tab w:val="center" w:pos="4153"/>
        <w:tab w:val="right" w:pos="8306"/>
      </w:tabs>
      <w:snapToGrid w:val="0"/>
      <w:jc w:val="left"/>
    </w:pPr>
    <w:rPr>
      <w:sz w:val="18"/>
    </w:rPr>
  </w:style>
  <w:style w:type="paragraph" w:customStyle="1" w:styleId="296">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97">
    <w:name w:val="2"/>
    <w:next w:val="298"/>
    <w:qFormat/>
    <w:uiPriority w:val="0"/>
    <w:pPr>
      <w:widowControl w:val="0"/>
      <w:jc w:val="both"/>
    </w:pPr>
    <w:rPr>
      <w:rFonts w:ascii="仿宋_GB2312" w:hAnsi="Times New Roman" w:eastAsia="宋体" w:cs="Times New Roman"/>
      <w:kern w:val="2"/>
      <w:sz w:val="21"/>
      <w:szCs w:val="32"/>
      <w:lang w:val="en-US" w:eastAsia="zh-CN" w:bidi="ar-SA"/>
    </w:rPr>
  </w:style>
  <w:style w:type="paragraph" w:customStyle="1" w:styleId="298">
    <w:name w:val="访问过的超链接1"/>
    <w:basedOn w:val="1"/>
    <w:qFormat/>
    <w:uiPriority w:val="0"/>
    <w:rPr>
      <w:rFonts w:ascii="仿宋_GB2312" w:hAnsi="Times New Roman"/>
      <w:szCs w:val="32"/>
    </w:rPr>
  </w:style>
  <w:style w:type="paragraph" w:customStyle="1" w:styleId="299">
    <w:name w:val="Address"/>
    <w:basedOn w:val="1"/>
    <w:next w:val="1"/>
    <w:qFormat/>
    <w:uiPriority w:val="0"/>
    <w:pPr>
      <w:widowControl/>
      <w:autoSpaceDE w:val="0"/>
      <w:autoSpaceDN w:val="0"/>
      <w:adjustRightInd w:val="0"/>
      <w:jc w:val="left"/>
    </w:pPr>
    <w:rPr>
      <w:rFonts w:ascii="Times New Roman" w:hAnsi="Times New Roman"/>
      <w:i/>
      <w:kern w:val="0"/>
      <w:sz w:val="24"/>
      <w:szCs w:val="20"/>
    </w:rPr>
  </w:style>
  <w:style w:type="paragraph" w:customStyle="1" w:styleId="300">
    <w:name w:val="文提"/>
    <w:basedOn w:val="181"/>
    <w:qFormat/>
    <w:uiPriority w:val="0"/>
    <w:pPr>
      <w:ind w:firstLine="0" w:firstLineChars="0"/>
    </w:pPr>
    <w:rPr>
      <w:rFonts w:eastAsia="黑体" w:cs="宋体"/>
      <w:b/>
    </w:rPr>
  </w:style>
  <w:style w:type="paragraph" w:customStyle="1" w:styleId="301">
    <w:name w:val="尾注文本 New"/>
    <w:basedOn w:val="302"/>
    <w:qFormat/>
    <w:uiPriority w:val="0"/>
    <w:pPr>
      <w:snapToGrid w:val="0"/>
      <w:jc w:val="left"/>
    </w:pPr>
    <w:rPr>
      <w:rFonts w:ascii="宋体" w:hAnsi="宋体" w:eastAsia="宋体"/>
      <w:szCs w:val="24"/>
    </w:rPr>
  </w:style>
  <w:style w:type="paragraph" w:customStyle="1" w:styleId="302">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3">
    <w:name w:val="正文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4">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05">
    <w:name w:val="标题1"/>
    <w:basedOn w:val="1"/>
    <w:next w:val="6"/>
    <w:qFormat/>
    <w:uiPriority w:val="0"/>
    <w:pPr>
      <w:keepNext/>
      <w:suppressAutoHyphens/>
      <w:spacing w:before="240" w:after="120"/>
    </w:pPr>
    <w:rPr>
      <w:rFonts w:ascii="DejaVu Sans" w:hAnsi="DejaVu Sans" w:eastAsia="DejaVu Sans" w:cs="DejaVu Sans"/>
      <w:sz w:val="28"/>
      <w:szCs w:val="28"/>
      <w:lang w:eastAsia="ar-SA"/>
    </w:rPr>
  </w:style>
  <w:style w:type="paragraph" w:customStyle="1" w:styleId="306">
    <w:name w:val="普通(网站)1"/>
    <w:basedOn w:val="1"/>
    <w:qFormat/>
    <w:uiPriority w:val="0"/>
    <w:pPr>
      <w:widowControl/>
      <w:suppressAutoHyphens/>
      <w:spacing w:before="284" w:after="280" w:line="360" w:lineRule="auto"/>
      <w:jc w:val="left"/>
    </w:pPr>
    <w:rPr>
      <w:rFonts w:ascii="宋体" w:hAnsi="宋体"/>
      <w:sz w:val="24"/>
      <w:szCs w:val="20"/>
      <w:lang w:eastAsia="ar-SA"/>
    </w:rPr>
  </w:style>
  <w:style w:type="paragraph" w:customStyle="1" w:styleId="30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cjk"/>
    <w:basedOn w:val="1"/>
    <w:qFormat/>
    <w:uiPriority w:val="0"/>
    <w:pPr>
      <w:widowControl/>
      <w:spacing w:before="284" w:after="100" w:afterAutospacing="1" w:line="360" w:lineRule="auto"/>
      <w:jc w:val="left"/>
    </w:pPr>
    <w:rPr>
      <w:rFonts w:ascii="宋体" w:hAnsi="宋体"/>
      <w:kern w:val="0"/>
      <w:sz w:val="22"/>
    </w:rPr>
  </w:style>
  <w:style w:type="paragraph" w:customStyle="1" w:styleId="309">
    <w:name w:val="正文文本缩进 New New"/>
    <w:basedOn w:val="1"/>
    <w:qFormat/>
    <w:uiPriority w:val="0"/>
    <w:pPr>
      <w:spacing w:after="120"/>
      <w:ind w:left="420" w:leftChars="200"/>
    </w:pPr>
    <w:rPr>
      <w:rFonts w:ascii="Times New Roman" w:hAnsi="Times New Roman" w:eastAsia="楷体_GB2312"/>
      <w:szCs w:val="20"/>
    </w:rPr>
  </w:style>
  <w:style w:type="paragraph" w:customStyle="1" w:styleId="310">
    <w:name w:val="样式8"/>
    <w:basedOn w:val="1"/>
    <w:qFormat/>
    <w:uiPriority w:val="0"/>
    <w:pPr>
      <w:keepNext/>
      <w:keepLines/>
      <w:widowControl/>
      <w:spacing w:before="260" w:after="260"/>
      <w:jc w:val="center"/>
      <w:outlineLvl w:val="1"/>
    </w:pPr>
    <w:rPr>
      <w:rFonts w:ascii="Arial" w:hAnsi="Arial" w:eastAsia="黑体"/>
      <w:b/>
      <w:bCs/>
      <w:kern w:val="0"/>
      <w:sz w:val="72"/>
      <w:szCs w:val="32"/>
    </w:rPr>
  </w:style>
  <w:style w:type="paragraph" w:customStyle="1" w:styleId="311">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2">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3">
    <w:name w:val="章节三"/>
    <w:basedOn w:val="181"/>
    <w:next w:val="181"/>
    <w:qFormat/>
    <w:uiPriority w:val="0"/>
    <w:pPr>
      <w:spacing w:beforeLines="50" w:line="240" w:lineRule="auto"/>
      <w:ind w:firstLine="0" w:firstLineChars="0"/>
      <w:jc w:val="left"/>
      <w:outlineLvl w:val="2"/>
    </w:pPr>
    <w:rPr>
      <w:rFonts w:ascii="黑体" w:eastAsia="黑体"/>
      <w:b/>
    </w:rPr>
  </w:style>
  <w:style w:type="paragraph" w:customStyle="1" w:styleId="314">
    <w:name w:val="Char1 Char Char Char Char Char Char11"/>
    <w:basedOn w:val="1"/>
    <w:qFormat/>
    <w:uiPriority w:val="0"/>
    <w:rPr>
      <w:rFonts w:ascii="Times New Roman" w:hAnsi="Times New Roman"/>
      <w:szCs w:val="20"/>
    </w:rPr>
  </w:style>
  <w:style w:type="paragraph" w:customStyle="1" w:styleId="315">
    <w:name w:val="Normal_1"/>
    <w:qFormat/>
    <w:uiPriority w:val="0"/>
    <w:rPr>
      <w:rFonts w:ascii="Times New Roman" w:hAnsi="Times New Roman" w:eastAsia="Times New Roman" w:cs="Times New Roman"/>
      <w:sz w:val="24"/>
      <w:szCs w:val="24"/>
      <w:lang w:val="en-US" w:eastAsia="zh-CN" w:bidi="ar-SA"/>
    </w:rPr>
  </w:style>
  <w:style w:type="paragraph" w:customStyle="1" w:styleId="31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7">
    <w:name w:val="1"/>
    <w:basedOn w:val="1"/>
    <w:next w:val="1"/>
    <w:qFormat/>
    <w:uiPriority w:val="0"/>
    <w:rPr>
      <w:rFonts w:ascii="Times New Roman" w:hAnsi="Times New Roman"/>
    </w:rPr>
  </w:style>
  <w:style w:type="paragraph" w:customStyle="1" w:styleId="318">
    <w:name w:val="Char5 Char Char Char Char Char Char Char Char Char Char Char Char Char Char Char Char Char Char Char Char1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9">
    <w:name w:val="内容目录 10"/>
    <w:basedOn w:val="320"/>
    <w:qFormat/>
    <w:uiPriority w:val="0"/>
    <w:pPr>
      <w:tabs>
        <w:tab w:val="right" w:leader="dot" w:pos="9637"/>
      </w:tabs>
      <w:ind w:left="2547"/>
    </w:pPr>
  </w:style>
  <w:style w:type="paragraph" w:customStyle="1" w:styleId="320">
    <w:name w:val="目录"/>
    <w:basedOn w:val="1"/>
    <w:qFormat/>
    <w:uiPriority w:val="0"/>
    <w:pPr>
      <w:suppressLineNumbers/>
      <w:suppressAutoHyphens/>
    </w:pPr>
    <w:rPr>
      <w:rFonts w:ascii="Times New Roman" w:hAnsi="Times New Roman"/>
      <w:szCs w:val="20"/>
      <w:lang w:eastAsia="ar-SA"/>
    </w:rPr>
  </w:style>
  <w:style w:type="paragraph" w:customStyle="1" w:styleId="321">
    <w:name w:val="正文_1"/>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2">
    <w:name w:val="msonospacing"/>
    <w:qFormat/>
    <w:uiPriority w:val="0"/>
    <w:rPr>
      <w:rFonts w:ascii="Times New Roman" w:hAnsi="Times New Roman" w:eastAsia="Times New Roman" w:cs="Times New Roman"/>
      <w:kern w:val="2"/>
      <w:sz w:val="22"/>
      <w:lang w:val="en-US" w:eastAsia="zh-CN" w:bidi="ar-SA"/>
    </w:rPr>
  </w:style>
  <w:style w:type="paragraph" w:customStyle="1" w:styleId="323">
    <w:name w:val="Char Char Char1 Char1"/>
    <w:basedOn w:val="1"/>
    <w:qFormat/>
    <w:uiPriority w:val="0"/>
    <w:rPr>
      <w:rFonts w:ascii="宋体" w:hAnsi="Times New Roman"/>
      <w:kern w:val="0"/>
      <w:sz w:val="34"/>
      <w:szCs w:val="20"/>
    </w:rPr>
  </w:style>
  <w:style w:type="paragraph" w:customStyle="1" w:styleId="324">
    <w:name w:val="Normal_3"/>
    <w:qFormat/>
    <w:uiPriority w:val="0"/>
    <w:rPr>
      <w:rFonts w:ascii="Times New Roman" w:hAnsi="Times New Roman" w:eastAsia="Times New Roman" w:cs="Times New Roman"/>
      <w:sz w:val="24"/>
      <w:szCs w:val="24"/>
      <w:lang w:val="en-US" w:eastAsia="zh-CN" w:bidi="ar-SA"/>
    </w:rPr>
  </w:style>
  <w:style w:type="paragraph" w:customStyle="1" w:styleId="325">
    <w:name w:val="样式 标题 1 + 宋体 居中 段前: 48 磅 段后: 12 磅 行距: 1.5 倍行距"/>
    <w:basedOn w:val="3"/>
    <w:qFormat/>
    <w:uiPriority w:val="0"/>
    <w:pPr>
      <w:snapToGrid w:val="0"/>
      <w:spacing w:before="1560" w:after="240"/>
    </w:pPr>
    <w:rPr>
      <w:rFonts w:ascii="宋体" w:hAnsi="宋体"/>
      <w:bCs/>
      <w:kern w:val="2"/>
      <w:sz w:val="36"/>
      <w:szCs w:val="20"/>
    </w:rPr>
  </w:style>
  <w:style w:type="paragraph" w:customStyle="1" w:styleId="326">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327">
    <w:name w:val="Char2"/>
    <w:basedOn w:val="1"/>
    <w:qFormat/>
    <w:uiPriority w:val="0"/>
    <w:pPr>
      <w:tabs>
        <w:tab w:val="left" w:pos="1500"/>
      </w:tabs>
      <w:ind w:left="567" w:hanging="279"/>
    </w:pPr>
    <w:rPr>
      <w:rFonts w:ascii="Times New Roman" w:hAnsi="Times New Roman"/>
      <w:sz w:val="24"/>
      <w:szCs w:val="24"/>
    </w:rPr>
  </w:style>
  <w:style w:type="paragraph" w:customStyle="1" w:styleId="328">
    <w:name w:val="正文首行缩进1"/>
    <w:basedOn w:val="6"/>
    <w:qFormat/>
    <w:uiPriority w:val="0"/>
    <w:pPr>
      <w:ind w:firstLine="420" w:firstLineChars="100"/>
    </w:pPr>
    <w:rPr>
      <w:rFonts w:ascii="Times New Roman"/>
      <w:kern w:val="0"/>
      <w:sz w:val="30"/>
      <w:szCs w:val="24"/>
    </w:rPr>
  </w:style>
  <w:style w:type="paragraph" w:customStyle="1" w:styleId="329">
    <w:name w:val="样式1"/>
    <w:basedOn w:val="9"/>
    <w:qFormat/>
    <w:uiPriority w:val="0"/>
    <w:pPr>
      <w:keepNext/>
      <w:keepLines/>
      <w:widowControl w:val="0"/>
      <w:spacing w:before="260" w:after="260" w:line="412" w:lineRule="auto"/>
      <w:jc w:val="both"/>
    </w:pPr>
    <w:rPr>
      <w:rFonts w:ascii="Calibri" w:hAnsi="Calibri" w:eastAsia="Arial" w:cs="Times New Roman"/>
      <w:b/>
      <w:kern w:val="2"/>
      <w:sz w:val="32"/>
      <w:szCs w:val="22"/>
    </w:rPr>
  </w:style>
  <w:style w:type="paragraph" w:customStyle="1" w:styleId="330">
    <w:name w:val="正文文本缩进1"/>
    <w:basedOn w:val="1"/>
    <w:qFormat/>
    <w:uiPriority w:val="0"/>
    <w:pPr>
      <w:ind w:firstLine="480"/>
    </w:pPr>
    <w:rPr>
      <w:rFonts w:ascii="Times New Roman" w:hAnsi="Times New Roman"/>
      <w:sz w:val="24"/>
      <w:szCs w:val="20"/>
    </w:rPr>
  </w:style>
  <w:style w:type="paragraph" w:customStyle="1" w:styleId="331">
    <w:name w:val="样式3"/>
    <w:basedOn w:val="9"/>
    <w:qFormat/>
    <w:uiPriority w:val="0"/>
    <w:pPr>
      <w:keepNext/>
      <w:keepLines/>
      <w:widowControl w:val="0"/>
      <w:spacing w:before="260" w:after="260" w:line="412" w:lineRule="auto"/>
      <w:jc w:val="both"/>
    </w:pPr>
    <w:rPr>
      <w:rFonts w:ascii="Calibri" w:hAnsi="Calibri" w:eastAsia="Arial" w:cs="Times New Roman"/>
      <w:b/>
      <w:kern w:val="2"/>
      <w:sz w:val="32"/>
      <w:szCs w:val="22"/>
    </w:rPr>
  </w:style>
  <w:style w:type="paragraph" w:customStyle="1" w:styleId="332">
    <w:name w:val="Char Char Char Char Char Char Char Char Char Char Char Char Char"/>
    <w:basedOn w:val="19"/>
    <w:qFormat/>
    <w:uiPriority w:val="0"/>
    <w:rPr>
      <w:rFonts w:ascii="Tahoma" w:hAnsi="Tahoma"/>
      <w:kern w:val="0"/>
      <w:sz w:val="24"/>
      <w:szCs w:val="24"/>
      <w:shd w:val="clear" w:color="auto" w:fill="000080"/>
    </w:rPr>
  </w:style>
  <w:style w:type="paragraph" w:customStyle="1" w:styleId="3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4">
    <w:name w:val="Char2 Char Char Char"/>
    <w:basedOn w:val="1"/>
    <w:qFormat/>
    <w:uiPriority w:val="0"/>
    <w:pPr>
      <w:tabs>
        <w:tab w:val="left" w:pos="1350"/>
      </w:tabs>
      <w:ind w:left="1350" w:hanging="720"/>
    </w:pPr>
    <w:rPr>
      <w:rFonts w:ascii="Times New Roman" w:hAnsi="Times New Roman"/>
      <w:sz w:val="24"/>
      <w:szCs w:val="24"/>
    </w:rPr>
  </w:style>
  <w:style w:type="paragraph" w:customStyle="1" w:styleId="335">
    <w:name w:val="封二"/>
    <w:basedOn w:val="181"/>
    <w:next w:val="181"/>
    <w:qFormat/>
    <w:uiPriority w:val="0"/>
    <w:pPr>
      <w:ind w:firstLine="0" w:firstLineChars="0"/>
      <w:jc w:val="center"/>
    </w:pPr>
    <w:rPr>
      <w:rFonts w:eastAsia="黑体"/>
      <w:b/>
      <w:sz w:val="36"/>
      <w:szCs w:val="36"/>
    </w:rPr>
  </w:style>
  <w:style w:type="paragraph" w:customStyle="1" w:styleId="336">
    <w:name w:val="正文缩进_0"/>
    <w:basedOn w:val="270"/>
    <w:qFormat/>
    <w:uiPriority w:val="0"/>
    <w:pPr>
      <w:ind w:firstLine="420"/>
    </w:pPr>
  </w:style>
  <w:style w:type="paragraph" w:customStyle="1" w:styleId="337">
    <w:name w:val="样式2"/>
    <w:basedOn w:val="9"/>
    <w:qFormat/>
    <w:uiPriority w:val="0"/>
    <w:pPr>
      <w:keepNext/>
      <w:keepLines/>
      <w:widowControl w:val="0"/>
      <w:spacing w:before="260" w:after="260" w:line="412" w:lineRule="auto"/>
      <w:jc w:val="both"/>
    </w:pPr>
    <w:rPr>
      <w:rFonts w:ascii="Calibri" w:hAnsi="Calibri" w:cs="Times New Roman"/>
      <w:b/>
      <w:kern w:val="2"/>
      <w:sz w:val="32"/>
      <w:szCs w:val="22"/>
    </w:rPr>
  </w:style>
  <w:style w:type="paragraph" w:customStyle="1" w:styleId="338">
    <w:name w:val="标题 3_0"/>
    <w:basedOn w:val="270"/>
    <w:next w:val="336"/>
    <w:qFormat/>
    <w:uiPriority w:val="0"/>
    <w:pPr>
      <w:keepNext/>
      <w:keepLines/>
      <w:spacing w:line="360" w:lineRule="auto"/>
      <w:jc w:val="center"/>
      <w:outlineLvl w:val="2"/>
    </w:pPr>
    <w:rPr>
      <w:rFonts w:ascii="仿宋_GB2312" w:hAnsi="宋体" w:eastAsia="仿宋_GB2312" w:cs="宋体"/>
      <w:b/>
      <w:sz w:val="30"/>
      <w:szCs w:val="30"/>
    </w:rPr>
  </w:style>
  <w:style w:type="paragraph" w:customStyle="1" w:styleId="339">
    <w:name w:val="正文文本缩进 31"/>
    <w:basedOn w:val="1"/>
    <w:qFormat/>
    <w:uiPriority w:val="0"/>
    <w:pPr>
      <w:suppressAutoHyphens/>
      <w:spacing w:after="120"/>
      <w:ind w:left="420"/>
    </w:pPr>
    <w:rPr>
      <w:rFonts w:ascii="Times New Roman" w:hAnsi="Times New Roman"/>
      <w:sz w:val="16"/>
      <w:szCs w:val="20"/>
      <w:lang w:eastAsia="ar-SA"/>
    </w:rPr>
  </w:style>
  <w:style w:type="paragraph" w:customStyle="1" w:styleId="340">
    <w:name w:val="表格文字"/>
    <w:basedOn w:val="1"/>
    <w:qFormat/>
    <w:uiPriority w:val="0"/>
    <w:pPr>
      <w:adjustRightInd w:val="0"/>
      <w:spacing w:line="420" w:lineRule="atLeast"/>
      <w:jc w:val="left"/>
    </w:pPr>
    <w:rPr>
      <w:rFonts w:ascii="Times New Roman" w:hAnsi="Times New Roman"/>
      <w:kern w:val="0"/>
      <w:szCs w:val="20"/>
    </w:rPr>
  </w:style>
  <w:style w:type="paragraph" w:customStyle="1" w:styleId="341">
    <w:name w:val="TOC 标题2"/>
    <w:basedOn w:val="3"/>
    <w:next w:val="1"/>
    <w:qFormat/>
    <w:uiPriority w:val="0"/>
    <w:pPr>
      <w:widowControl/>
      <w:spacing w:before="480" w:after="0" w:line="276" w:lineRule="auto"/>
      <w:jc w:val="left"/>
      <w:outlineLvl w:val="9"/>
    </w:pPr>
    <w:rPr>
      <w:rFonts w:ascii="Cambria" w:hAnsi="Cambria"/>
      <w:b w:val="0"/>
      <w:color w:val="365F91"/>
      <w:kern w:val="0"/>
    </w:rPr>
  </w:style>
  <w:style w:type="paragraph" w:customStyle="1" w:styleId="342">
    <w:name w:val="Char Char Char Char1"/>
    <w:basedOn w:val="1"/>
    <w:qFormat/>
    <w:uiPriority w:val="0"/>
    <w:pPr>
      <w:widowControl/>
      <w:spacing w:after="160" w:line="240" w:lineRule="exact"/>
      <w:jc w:val="left"/>
    </w:pPr>
    <w:rPr>
      <w:rFonts w:ascii="Times New Roman" w:hAnsi="Times New Roman"/>
      <w:szCs w:val="20"/>
    </w:rPr>
  </w:style>
  <w:style w:type="paragraph" w:customStyle="1" w:styleId="34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4">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5">
    <w:name w:val="纯文本 New"/>
    <w:basedOn w:val="284"/>
    <w:qFormat/>
    <w:uiPriority w:val="0"/>
    <w:rPr>
      <w:rFonts w:ascii="宋体" w:hAnsi="Courier New" w:eastAsia="宋体"/>
      <w:kern w:val="2"/>
      <w:sz w:val="24"/>
    </w:rPr>
  </w:style>
  <w:style w:type="paragraph" w:customStyle="1" w:styleId="346">
    <w:name w:val="xl4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34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8">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9">
    <w:name w:val="封四"/>
    <w:basedOn w:val="181"/>
    <w:next w:val="181"/>
    <w:qFormat/>
    <w:uiPriority w:val="0"/>
    <w:pPr>
      <w:jc w:val="left"/>
    </w:pPr>
    <w:rPr>
      <w:sz w:val="30"/>
      <w:szCs w:val="30"/>
    </w:rPr>
  </w:style>
  <w:style w:type="paragraph" w:customStyle="1" w:styleId="350">
    <w:name w:val="正文文本缩进 22"/>
    <w:basedOn w:val="1"/>
    <w:qFormat/>
    <w:uiPriority w:val="0"/>
    <w:pPr>
      <w:spacing w:line="420" w:lineRule="exact"/>
      <w:ind w:firstLine="480"/>
    </w:pPr>
    <w:rPr>
      <w:rFonts w:ascii="Times New Roman" w:hAnsi="Times New Roman"/>
      <w:b/>
      <w:sz w:val="24"/>
      <w:szCs w:val="20"/>
    </w:rPr>
  </w:style>
  <w:style w:type="paragraph" w:customStyle="1" w:styleId="351">
    <w:name w:val="页脚 New"/>
    <w:basedOn w:val="290"/>
    <w:qFormat/>
    <w:uiPriority w:val="0"/>
    <w:pPr>
      <w:tabs>
        <w:tab w:val="center" w:pos="4153"/>
        <w:tab w:val="right" w:pos="8306"/>
      </w:tabs>
      <w:snapToGrid w:val="0"/>
      <w:jc w:val="left"/>
    </w:pPr>
    <w:rPr>
      <w:sz w:val="18"/>
    </w:rPr>
  </w:style>
  <w:style w:type="paragraph" w:customStyle="1" w:styleId="352">
    <w:name w:val="msonormalcxspmidd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3">
    <w:name w:val="正文1"/>
    <w:qFormat/>
    <w:uiPriority w:val="0"/>
    <w:rPr>
      <w:rFonts w:ascii="Times New Roman" w:hAnsi="Times New Roman" w:eastAsia="Times New Roman" w:cs="Times New Roman"/>
      <w:sz w:val="24"/>
      <w:szCs w:val="24"/>
      <w:lang w:val="en-US" w:eastAsia="zh-CN" w:bidi="ar-SA"/>
    </w:rPr>
  </w:style>
  <w:style w:type="paragraph" w:customStyle="1" w:styleId="354">
    <w:name w:val="Char14"/>
    <w:basedOn w:val="19"/>
    <w:qFormat/>
    <w:uiPriority w:val="0"/>
    <w:rPr>
      <w:rFonts w:ascii="Tahoma" w:hAnsi="Tahoma"/>
      <w:kern w:val="0"/>
      <w:sz w:val="24"/>
      <w:szCs w:val="24"/>
      <w:shd w:val="clear" w:color="auto" w:fill="000080"/>
    </w:rPr>
  </w:style>
  <w:style w:type="paragraph" w:customStyle="1" w:styleId="355">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56">
    <w:name w:val="Char1 Char Char Char Char Char Char1 Char Char Char"/>
    <w:basedOn w:val="1"/>
    <w:qFormat/>
    <w:uiPriority w:val="0"/>
    <w:rPr>
      <w:rFonts w:ascii="Times New Roman" w:hAnsi="Times New Roman"/>
      <w:sz w:val="30"/>
      <w:szCs w:val="24"/>
    </w:rPr>
  </w:style>
  <w:style w:type="paragraph" w:customStyle="1" w:styleId="357">
    <w:name w:val="列表项目符号 21"/>
    <w:basedOn w:val="358"/>
    <w:qFormat/>
    <w:uiPriority w:val="0"/>
    <w:pPr>
      <w:widowControl/>
      <w:tabs>
        <w:tab w:val="left" w:pos="360"/>
      </w:tabs>
      <w:spacing w:after="220" w:line="220" w:lineRule="atLeast"/>
      <w:ind w:left="360" w:right="720"/>
      <w:jc w:val="left"/>
    </w:pPr>
  </w:style>
  <w:style w:type="paragraph" w:customStyle="1" w:styleId="358">
    <w:name w:val="列表项目符号1"/>
    <w:basedOn w:val="1"/>
    <w:qFormat/>
    <w:uiPriority w:val="0"/>
    <w:pPr>
      <w:tabs>
        <w:tab w:val="left" w:pos="360"/>
      </w:tabs>
      <w:suppressAutoHyphens/>
    </w:pPr>
    <w:rPr>
      <w:rFonts w:ascii="Times New Roman" w:hAnsi="Times New Roman"/>
      <w:szCs w:val="20"/>
      <w:lang w:eastAsia="ar-SA"/>
    </w:rPr>
  </w:style>
  <w:style w:type="paragraph" w:customStyle="1" w:styleId="359">
    <w:name w:val="样式 标题 1 + 黑体 三号 非加粗 居中 段前: 6 磅 段后: 6 磅 行距: 固定值 20 磅"/>
    <w:basedOn w:val="3"/>
    <w:qFormat/>
    <w:uiPriority w:val="0"/>
    <w:pPr>
      <w:spacing w:before="0" w:line="400" w:lineRule="exact"/>
    </w:pPr>
    <w:rPr>
      <w:rFonts w:ascii="黑体" w:hAnsi="黑体" w:eastAsia="黑体"/>
      <w:bCs/>
      <w:sz w:val="32"/>
      <w:szCs w:val="20"/>
    </w:rPr>
  </w:style>
  <w:style w:type="paragraph" w:customStyle="1" w:styleId="360">
    <w:name w:val="Normal_2"/>
    <w:qFormat/>
    <w:uiPriority w:val="0"/>
    <w:rPr>
      <w:rFonts w:ascii="Times New Roman" w:hAnsi="Times New Roman" w:eastAsia="Times New Roman" w:cs="Times New Roman"/>
      <w:sz w:val="24"/>
      <w:szCs w:val="24"/>
      <w:lang w:val="en-US" w:eastAsia="zh-CN" w:bidi="ar-SA"/>
    </w:rPr>
  </w:style>
  <w:style w:type="paragraph" w:customStyle="1" w:styleId="361">
    <w:name w:val="文档结构图1"/>
    <w:basedOn w:val="1"/>
    <w:qFormat/>
    <w:uiPriority w:val="0"/>
    <w:pPr>
      <w:shd w:val="clear" w:color="auto" w:fill="000080"/>
      <w:suppressAutoHyphens/>
    </w:pPr>
    <w:rPr>
      <w:rFonts w:ascii="Times New Roman" w:hAnsi="Times New Roman"/>
      <w:szCs w:val="20"/>
      <w:lang w:eastAsia="ar-SA"/>
    </w:rPr>
  </w:style>
  <w:style w:type="paragraph" w:customStyle="1" w:styleId="362">
    <w:name w:val="方框图"/>
    <w:basedOn w:val="1"/>
    <w:qFormat/>
    <w:uiPriority w:val="0"/>
    <w:pPr>
      <w:jc w:val="center"/>
    </w:pPr>
    <w:rPr>
      <w:rFonts w:ascii="Times New Roman" w:hAnsi="Times New Roman"/>
      <w:bCs/>
      <w:szCs w:val="24"/>
    </w:rPr>
  </w:style>
  <w:style w:type="paragraph" w:customStyle="1" w:styleId="363">
    <w:name w:val="6'"/>
    <w:basedOn w:val="1"/>
    <w:qFormat/>
    <w:uiPriority w:val="0"/>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364">
    <w:name w:val="样式4"/>
    <w:basedOn w:val="9"/>
    <w:qFormat/>
    <w:uiPriority w:val="0"/>
    <w:pPr>
      <w:keepNext/>
      <w:keepLines/>
      <w:widowControl w:val="0"/>
      <w:spacing w:before="260" w:after="260" w:line="412" w:lineRule="auto"/>
      <w:jc w:val="both"/>
    </w:pPr>
    <w:rPr>
      <w:rFonts w:ascii="Calibri" w:hAnsi="Calibri" w:eastAsia="Arial" w:cs="Times New Roman"/>
      <w:b/>
      <w:kern w:val="2"/>
      <w:sz w:val="32"/>
      <w:szCs w:val="22"/>
    </w:rPr>
  </w:style>
  <w:style w:type="paragraph" w:customStyle="1" w:styleId="365">
    <w:name w:val="Char13 Char Char Char Char Char"/>
    <w:basedOn w:val="1"/>
    <w:qFormat/>
    <w:uiPriority w:val="0"/>
    <w:pPr>
      <w:ind w:left="567" w:hanging="279"/>
    </w:pPr>
    <w:rPr>
      <w:rFonts w:ascii="Times New Roman" w:hAnsi="Times New Roman"/>
      <w:kern w:val="0"/>
      <w:sz w:val="20"/>
      <w:szCs w:val="20"/>
    </w:rPr>
  </w:style>
  <w:style w:type="paragraph" w:customStyle="1" w:styleId="366">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样式 正文缩进正文（首行缩进两字）特点ALT+Z表正文正文非缩进四号段1Normal Indent Char2...1"/>
    <w:basedOn w:val="7"/>
    <w:qFormat/>
    <w:uiPriority w:val="0"/>
    <w:pPr>
      <w:tabs>
        <w:tab w:val="left" w:pos="1260"/>
      </w:tabs>
      <w:spacing w:before="1320" w:after="240" w:line="300" w:lineRule="auto"/>
      <w:ind w:left="1260" w:hanging="420"/>
    </w:pPr>
    <w:rPr>
      <w:rFonts w:hint="eastAsia" w:ascii="黑体" w:hAnsi="黑体" w:eastAsia="黑体"/>
      <w:b w:val="0"/>
      <w:color w:val="auto"/>
      <w:kern w:val="0"/>
      <w:szCs w:val="20"/>
    </w:rPr>
  </w:style>
  <w:style w:type="paragraph" w:customStyle="1" w:styleId="368">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9">
    <w:name w:val="标题 2 New"/>
    <w:basedOn w:val="355"/>
    <w:next w:val="355"/>
    <w:qFormat/>
    <w:uiPriority w:val="0"/>
    <w:pPr>
      <w:keepNext/>
      <w:keepLines/>
      <w:spacing w:before="260" w:after="260" w:line="416" w:lineRule="auto"/>
      <w:outlineLvl w:val="1"/>
    </w:pPr>
    <w:rPr>
      <w:rFonts w:ascii="Arial" w:hAnsi="Arial" w:eastAsia="仿宋_GB2312"/>
      <w:b/>
      <w:bCs/>
      <w:sz w:val="32"/>
    </w:rPr>
  </w:style>
  <w:style w:type="paragraph" w:customStyle="1" w:styleId="370">
    <w:name w:val="正文缩进 New"/>
    <w:basedOn w:val="355"/>
    <w:qFormat/>
    <w:uiPriority w:val="0"/>
    <w:pPr>
      <w:ind w:firstLine="420"/>
    </w:pPr>
    <w:rPr>
      <w:rFonts w:ascii="Times New Roman" w:hAnsi="Times New Roman" w:cs="Times New Roman"/>
      <w:snapToGrid/>
      <w:kern w:val="2"/>
      <w:szCs w:val="20"/>
    </w:rPr>
  </w:style>
  <w:style w:type="paragraph" w:customStyle="1" w:styleId="371">
    <w:name w:val="批注文字1"/>
    <w:basedOn w:val="1"/>
    <w:qFormat/>
    <w:uiPriority w:val="0"/>
    <w:pPr>
      <w:suppressAutoHyphens/>
      <w:jc w:val="left"/>
    </w:pPr>
    <w:rPr>
      <w:rFonts w:ascii="Times New Roman" w:hAnsi="Times New Roman"/>
      <w:szCs w:val="20"/>
      <w:lang w:eastAsia="ar-SA"/>
    </w:rPr>
  </w:style>
  <w:style w:type="paragraph" w:customStyle="1" w:styleId="372">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3">
    <w:name w:val="页脚 New New New"/>
    <w:basedOn w:val="372"/>
    <w:qFormat/>
    <w:uiPriority w:val="0"/>
    <w:pPr>
      <w:tabs>
        <w:tab w:val="center" w:pos="4153"/>
        <w:tab w:val="right" w:pos="8306"/>
      </w:tabs>
      <w:snapToGrid w:val="0"/>
      <w:jc w:val="left"/>
    </w:pPr>
    <w:rPr>
      <w:sz w:val="18"/>
      <w:szCs w:val="18"/>
    </w:rPr>
  </w:style>
  <w:style w:type="paragraph" w:customStyle="1" w:styleId="374">
    <w:name w:val="msolistparagraph"/>
    <w:basedOn w:val="1"/>
    <w:qFormat/>
    <w:uiPriority w:val="0"/>
    <w:pPr>
      <w:ind w:firstLine="420" w:firstLineChars="200"/>
    </w:pPr>
    <w:rPr>
      <w:rFonts w:ascii="Times New Roman" w:hAnsi="Times New Roman"/>
    </w:rPr>
  </w:style>
  <w:style w:type="paragraph" w:customStyle="1" w:styleId="37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6">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7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37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9">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0">
    <w:name w:val="目录文字"/>
    <w:basedOn w:val="1"/>
    <w:qFormat/>
    <w:uiPriority w:val="0"/>
    <w:pPr>
      <w:widowControl/>
      <w:spacing w:line="480" w:lineRule="auto"/>
      <w:jc w:val="left"/>
    </w:pPr>
    <w:rPr>
      <w:rFonts w:ascii="宋体" w:hAnsi="宋体"/>
      <w:kern w:val="0"/>
      <w:sz w:val="24"/>
      <w:szCs w:val="20"/>
    </w:rPr>
  </w:style>
  <w:style w:type="paragraph" w:customStyle="1" w:styleId="381">
    <w:name w:val="标签"/>
    <w:basedOn w:val="1"/>
    <w:qFormat/>
    <w:uiPriority w:val="0"/>
    <w:pPr>
      <w:suppressLineNumbers/>
      <w:suppressAutoHyphens/>
      <w:spacing w:before="120" w:after="120"/>
    </w:pPr>
    <w:rPr>
      <w:rFonts w:ascii="Times New Roman" w:hAnsi="Times New Roman"/>
      <w:i/>
      <w:iCs/>
      <w:sz w:val="24"/>
      <w:szCs w:val="24"/>
      <w:lang w:eastAsia="ar-SA"/>
    </w:rPr>
  </w:style>
  <w:style w:type="paragraph" w:customStyle="1" w:styleId="382">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3">
    <w:name w:val="表格内容"/>
    <w:basedOn w:val="1"/>
    <w:qFormat/>
    <w:uiPriority w:val="0"/>
    <w:pPr>
      <w:suppressLineNumbers/>
      <w:suppressAutoHyphens/>
    </w:pPr>
    <w:rPr>
      <w:rFonts w:ascii="Times New Roman" w:hAnsi="Times New Roman"/>
      <w:szCs w:val="20"/>
      <w:lang w:eastAsia="ar-SA"/>
    </w:rPr>
  </w:style>
  <w:style w:type="paragraph" w:customStyle="1" w:styleId="38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5">
    <w:name w:val="正题"/>
    <w:basedOn w:val="181"/>
    <w:next w:val="181"/>
    <w:qFormat/>
    <w:uiPriority w:val="0"/>
    <w:pPr>
      <w:ind w:firstLine="0" w:firstLineChars="0"/>
      <w:jc w:val="center"/>
    </w:pPr>
    <w:rPr>
      <w:rFonts w:eastAsia="黑体"/>
      <w:b/>
      <w:sz w:val="36"/>
      <w:szCs w:val="36"/>
    </w:rPr>
  </w:style>
  <w:style w:type="paragraph" w:customStyle="1" w:styleId="386">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87">
    <w:name w:val="样式 标题 3 + (中文) 黑体 小四 非加粗 段前: 7.8 磅 段后: 0 磅 行距: 固定值 20 磅"/>
    <w:basedOn w:val="9"/>
    <w:qFormat/>
    <w:uiPriority w:val="0"/>
    <w:pPr>
      <w:keepNext/>
      <w:keepLines/>
      <w:widowControl w:val="0"/>
      <w:spacing w:beforeLines="50" w:line="400" w:lineRule="exact"/>
      <w:jc w:val="both"/>
    </w:pPr>
    <w:rPr>
      <w:rFonts w:ascii="Calibri" w:hAnsi="Calibri" w:eastAsia="黑体" w:cs="Times New Roman"/>
      <w:bCs/>
      <w:kern w:val="2"/>
      <w:szCs w:val="20"/>
    </w:rPr>
  </w:style>
  <w:style w:type="paragraph" w:customStyle="1" w:styleId="388">
    <w:name w:val="msointensequote"/>
    <w:basedOn w:val="1"/>
    <w:next w:val="1"/>
    <w:qFormat/>
    <w:uiPriority w:val="0"/>
    <w:pPr>
      <w:widowControl/>
      <w:ind w:left="720" w:right="720"/>
      <w:jc w:val="left"/>
    </w:pPr>
    <w:rPr>
      <w:rFonts w:ascii="Times New Roman" w:hAnsi="Times New Roman"/>
      <w:b/>
      <w:i/>
      <w:kern w:val="0"/>
      <w:sz w:val="24"/>
    </w:rPr>
  </w:style>
  <w:style w:type="paragraph" w:customStyle="1" w:styleId="389">
    <w:name w:val="正文文本缩进 32"/>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390">
    <w:name w:val="样式 标题 2 + Times New Roman 四号 非加粗 段前: 5 磅 段后: 0 磅 行距: 固定值 20..."/>
    <w:basedOn w:val="7"/>
    <w:qFormat/>
    <w:uiPriority w:val="0"/>
    <w:pPr>
      <w:spacing w:before="100" w:after="0" w:line="400" w:lineRule="exact"/>
      <w:jc w:val="both"/>
    </w:pPr>
    <w:rPr>
      <w:rFonts w:hint="eastAsia" w:ascii="Times New Roman" w:hAnsi="Times New Roman" w:eastAsia="黑体" w:cs="宋体"/>
      <w:color w:val="auto"/>
      <w:kern w:val="0"/>
      <w:sz w:val="28"/>
      <w:szCs w:val="20"/>
    </w:rPr>
  </w:style>
  <w:style w:type="paragraph" w:customStyle="1" w:styleId="391">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92">
    <w:name w:val="表格标题"/>
    <w:basedOn w:val="383"/>
    <w:qFormat/>
    <w:uiPriority w:val="0"/>
    <w:pPr>
      <w:jc w:val="center"/>
    </w:pPr>
    <w:rPr>
      <w:b/>
      <w:bCs/>
    </w:rPr>
  </w:style>
  <w:style w:type="paragraph" w:customStyle="1" w:styleId="393">
    <w:name w:val="文二"/>
    <w:basedOn w:val="1"/>
    <w:qFormat/>
    <w:uiPriority w:val="0"/>
    <w:pPr>
      <w:jc w:val="left"/>
    </w:pPr>
    <w:rPr>
      <w:rFonts w:ascii="宋体" w:hAnsi="宋体"/>
      <w:szCs w:val="21"/>
    </w:rPr>
  </w:style>
  <w:style w:type="paragraph" w:customStyle="1" w:styleId="394">
    <w:name w:val="文档结构图2"/>
    <w:basedOn w:val="1"/>
    <w:qFormat/>
    <w:uiPriority w:val="0"/>
    <w:pPr>
      <w:shd w:val="clear" w:color="auto" w:fill="000080"/>
    </w:pPr>
    <w:rPr>
      <w:rFonts w:ascii="Times New Roman" w:hAnsi="Times New Roman"/>
      <w:sz w:val="30"/>
      <w:szCs w:val="24"/>
    </w:rPr>
  </w:style>
  <w:style w:type="paragraph" w:customStyle="1" w:styleId="395">
    <w:name w:val="修订2"/>
    <w:qFormat/>
    <w:uiPriority w:val="0"/>
    <w:rPr>
      <w:rFonts w:ascii="Times New Roman" w:hAnsi="Times New Roman" w:eastAsia="宋体" w:cs="Times New Roman"/>
      <w:kern w:val="2"/>
      <w:sz w:val="21"/>
      <w:lang w:val="en-US" w:eastAsia="zh-CN" w:bidi="ar-SA"/>
    </w:rPr>
  </w:style>
  <w:style w:type="paragraph" w:customStyle="1" w:styleId="396">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7">
    <w:name w:val="msotocheading"/>
    <w:basedOn w:val="3"/>
    <w:next w:val="1"/>
    <w:qFormat/>
    <w:uiPriority w:val="0"/>
    <w:pPr>
      <w:widowControl/>
      <w:spacing w:before="480" w:after="0" w:line="276" w:lineRule="auto"/>
      <w:jc w:val="left"/>
      <w:outlineLvl w:val="9"/>
    </w:pPr>
    <w:rPr>
      <w:rFonts w:ascii="Cambria" w:hAnsi="Cambria"/>
      <w:b w:val="0"/>
      <w:bCs/>
      <w:color w:val="365F91"/>
      <w:kern w:val="0"/>
    </w:rPr>
  </w:style>
  <w:style w:type="paragraph" w:customStyle="1" w:styleId="398">
    <w:name w:val="正文缩进1"/>
    <w:basedOn w:val="1"/>
    <w:qFormat/>
    <w:uiPriority w:val="0"/>
    <w:pPr>
      <w:ind w:firstLine="420" w:firstLineChars="200"/>
    </w:pPr>
    <w:rPr>
      <w:rFonts w:ascii="Times New Roman" w:hAnsi="Times New Roman"/>
      <w:sz w:val="30"/>
      <w:szCs w:val="24"/>
    </w:rPr>
  </w:style>
  <w:style w:type="paragraph" w:customStyle="1" w:styleId="399">
    <w:name w:val="日期1"/>
    <w:basedOn w:val="1"/>
    <w:next w:val="1"/>
    <w:qFormat/>
    <w:uiPriority w:val="0"/>
    <w:pPr>
      <w:suppressAutoHyphens/>
      <w:ind w:left="100"/>
    </w:pPr>
    <w:rPr>
      <w:rFonts w:ascii="Times New Roman" w:hAnsi="Times New Roman"/>
      <w:szCs w:val="20"/>
      <w:lang w:eastAsia="ar-SA"/>
    </w:rPr>
  </w:style>
  <w:style w:type="paragraph" w:customStyle="1" w:styleId="400">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样式 正文缩进正文（首行缩进两字）特点ALT+Z表正文正文非缩进四号段1Normal Indent Char2...2"/>
    <w:basedOn w:val="9"/>
    <w:qFormat/>
    <w:uiPriority w:val="0"/>
    <w:pPr>
      <w:keepNext/>
      <w:keepLines/>
      <w:widowControl w:val="0"/>
      <w:tabs>
        <w:tab w:val="left" w:pos="1680"/>
      </w:tabs>
      <w:spacing w:before="360" w:after="120"/>
      <w:ind w:left="1680" w:hanging="420"/>
      <w:jc w:val="center"/>
    </w:pPr>
    <w:rPr>
      <w:rFonts w:cs="Times New Roman"/>
      <w:b/>
      <w:bCs/>
      <w:sz w:val="28"/>
      <w:szCs w:val="20"/>
    </w:rPr>
  </w:style>
  <w:style w:type="paragraph" w:customStyle="1" w:styleId="40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03">
    <w:name w:val="_Style 25"/>
    <w:basedOn w:val="1"/>
    <w:next w:val="1"/>
    <w:qFormat/>
    <w:uiPriority w:val="0"/>
    <w:rPr>
      <w:rFonts w:ascii="Times New Roman" w:hAnsi="Times New Roman"/>
    </w:rPr>
  </w:style>
  <w:style w:type="paragraph" w:customStyle="1" w:styleId="404">
    <w:name w:val="章节二"/>
    <w:basedOn w:val="181"/>
    <w:next w:val="181"/>
    <w:qFormat/>
    <w:uiPriority w:val="0"/>
    <w:pPr>
      <w:spacing w:beforeLines="50" w:line="240" w:lineRule="auto"/>
      <w:ind w:firstLine="0" w:firstLineChars="0"/>
      <w:jc w:val="center"/>
      <w:outlineLvl w:val="1"/>
    </w:pPr>
    <w:rPr>
      <w:rFonts w:eastAsia="黑体"/>
      <w:b/>
      <w:sz w:val="30"/>
      <w:szCs w:val="30"/>
    </w:rPr>
  </w:style>
  <w:style w:type="character" w:customStyle="1" w:styleId="405">
    <w:name w:val="列出段落 Char Char"/>
    <w:qFormat/>
    <w:uiPriority w:val="0"/>
  </w:style>
  <w:style w:type="character" w:customStyle="1" w:styleId="406">
    <w:name w:val="正文文本缩进 Char1"/>
    <w:basedOn w:val="51"/>
    <w:semiHidden/>
    <w:qFormat/>
    <w:uiPriority w:val="99"/>
    <w:rPr>
      <w:rFonts w:ascii="Calibri" w:hAnsi="Calibri" w:eastAsia="宋体" w:cs="Times New Roman"/>
    </w:rPr>
  </w:style>
  <w:style w:type="character" w:customStyle="1" w:styleId="407">
    <w:name w:val="正文文本缩进 3 Char1"/>
    <w:basedOn w:val="51"/>
    <w:semiHidden/>
    <w:qFormat/>
    <w:uiPriority w:val="99"/>
    <w:rPr>
      <w:rFonts w:ascii="Calibri" w:hAnsi="Calibri" w:eastAsia="宋体" w:cs="Times New Roman"/>
      <w:sz w:val="16"/>
      <w:szCs w:val="16"/>
    </w:rPr>
  </w:style>
  <w:style w:type="character" w:customStyle="1" w:styleId="408">
    <w:name w:val="日期 Char1"/>
    <w:basedOn w:val="51"/>
    <w:semiHidden/>
    <w:qFormat/>
    <w:uiPriority w:val="99"/>
    <w:rPr>
      <w:rFonts w:ascii="Calibri" w:hAnsi="Calibri" w:eastAsia="宋体" w:cs="Times New Roman"/>
    </w:rPr>
  </w:style>
  <w:style w:type="character" w:customStyle="1" w:styleId="409">
    <w:name w:val="批注文字 Char1"/>
    <w:basedOn w:val="51"/>
    <w:semiHidden/>
    <w:qFormat/>
    <w:uiPriority w:val="99"/>
    <w:rPr>
      <w:rFonts w:ascii="Calibri" w:hAnsi="Calibri" w:eastAsia="宋体" w:cs="Times New Roman"/>
    </w:rPr>
  </w:style>
  <w:style w:type="character" w:customStyle="1" w:styleId="410">
    <w:name w:val="文档结构图 Char1"/>
    <w:basedOn w:val="51"/>
    <w:semiHidden/>
    <w:qFormat/>
    <w:uiPriority w:val="99"/>
    <w:rPr>
      <w:rFonts w:ascii="宋体" w:hAnsi="Calibri" w:eastAsia="宋体" w:cs="Times New Roman"/>
      <w:sz w:val="18"/>
      <w:szCs w:val="18"/>
    </w:rPr>
  </w:style>
  <w:style w:type="character" w:customStyle="1" w:styleId="411">
    <w:name w:val="尾注文本 Char1"/>
    <w:basedOn w:val="51"/>
    <w:semiHidden/>
    <w:qFormat/>
    <w:uiPriority w:val="99"/>
    <w:rPr>
      <w:rFonts w:ascii="Calibri" w:hAnsi="Calibri" w:eastAsia="宋体" w:cs="Times New Roman"/>
    </w:rPr>
  </w:style>
  <w:style w:type="character" w:customStyle="1" w:styleId="412">
    <w:name w:val="正文首行缩进 Char1"/>
    <w:basedOn w:val="225"/>
    <w:semiHidden/>
    <w:qFormat/>
    <w:uiPriority w:val="99"/>
    <w:rPr>
      <w:rFonts w:hint="eastAsia" w:ascii="Calibri" w:hAnsi="Calibri" w:eastAsia="宋体" w:cs="Times New Roman"/>
      <w:kern w:val="2"/>
      <w:sz w:val="21"/>
      <w:szCs w:val="32"/>
      <w:lang w:val="en-US" w:eastAsia="zh-CN" w:bidi="ar-SA"/>
    </w:rPr>
  </w:style>
  <w:style w:type="character" w:customStyle="1" w:styleId="413">
    <w:name w:val="脚注文本 Char1"/>
    <w:basedOn w:val="51"/>
    <w:semiHidden/>
    <w:qFormat/>
    <w:uiPriority w:val="99"/>
    <w:rPr>
      <w:rFonts w:ascii="Calibri" w:hAnsi="Calibri" w:eastAsia="宋体" w:cs="Times New Roman"/>
      <w:sz w:val="18"/>
      <w:szCs w:val="18"/>
    </w:rPr>
  </w:style>
  <w:style w:type="character" w:customStyle="1" w:styleId="414">
    <w:name w:val="批注框文本 Char1"/>
    <w:basedOn w:val="51"/>
    <w:semiHidden/>
    <w:qFormat/>
    <w:uiPriority w:val="99"/>
    <w:rPr>
      <w:rFonts w:ascii="Calibri" w:hAnsi="Calibri" w:eastAsia="宋体" w:cs="Times New Roman"/>
      <w:sz w:val="18"/>
      <w:szCs w:val="18"/>
    </w:rPr>
  </w:style>
  <w:style w:type="character" w:customStyle="1" w:styleId="415">
    <w:name w:val="批注主题 Char1"/>
    <w:basedOn w:val="409"/>
    <w:semiHidden/>
    <w:qFormat/>
    <w:uiPriority w:val="99"/>
    <w:rPr>
      <w:rFonts w:ascii="Calibri" w:hAnsi="Calibri" w:eastAsia="宋体" w:cs="Times New Roman"/>
      <w:b/>
      <w:bCs/>
    </w:rPr>
  </w:style>
  <w:style w:type="character" w:customStyle="1" w:styleId="416">
    <w:name w:val="正文文本 2 Char1"/>
    <w:basedOn w:val="51"/>
    <w:semiHidden/>
    <w:qFormat/>
    <w:uiPriority w:val="99"/>
    <w:rPr>
      <w:rFonts w:ascii="Calibri" w:hAnsi="Calibri" w:eastAsia="宋体" w:cs="Times New Roman"/>
    </w:rPr>
  </w:style>
  <w:style w:type="character" w:customStyle="1" w:styleId="417">
    <w:name w:val="正文文本缩进 2 Char1"/>
    <w:basedOn w:val="51"/>
    <w:semiHidden/>
    <w:qFormat/>
    <w:uiPriority w:val="99"/>
    <w:rPr>
      <w:rFonts w:ascii="Calibri" w:hAnsi="Calibri" w:eastAsia="宋体" w:cs="Times New Roman"/>
    </w:rPr>
  </w:style>
  <w:style w:type="paragraph" w:customStyle="1" w:styleId="418">
    <w:name w:val="_Style 251"/>
    <w:basedOn w:val="1"/>
    <w:next w:val="1"/>
    <w:qFormat/>
    <w:uiPriority w:val="0"/>
    <w:rPr>
      <w:rFonts w:ascii="Times New Roman" w:hAnsi="Times New Roman"/>
    </w:rPr>
  </w:style>
  <w:style w:type="paragraph" w:customStyle="1" w:styleId="419">
    <w:name w:val="p1"/>
    <w:basedOn w:val="1"/>
    <w:qFormat/>
    <w:uiPriority w:val="0"/>
    <w:pPr>
      <w:spacing w:line="380" w:lineRule="atLeast"/>
      <w:jc w:val="left"/>
    </w:pPr>
    <w:rPr>
      <w:rFonts w:ascii="Helvetica Neue" w:hAnsi="Helvetica Neue" w:eastAsia="Helvetica Neue"/>
      <w:color w:val="000000"/>
      <w:kern w:val="0"/>
      <w:sz w:val="26"/>
      <w:szCs w:val="26"/>
    </w:rPr>
  </w:style>
  <w:style w:type="character" w:customStyle="1" w:styleId="420">
    <w:name w:val="正文文本首行缩进 字符"/>
    <w:qFormat/>
    <w:locked/>
    <w:uiPriority w:val="0"/>
    <w:rPr>
      <w:rFonts w:ascii="Times New Roman" w:hAnsi="Times New Roman" w:eastAsia="宋体" w:cs="Times New Roman"/>
      <w:sz w:val="20"/>
    </w:rPr>
  </w:style>
  <w:style w:type="paragraph" w:customStyle="1" w:styleId="421">
    <w:name w:val="页脚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2">
    <w:name w:val="页脚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3">
    <w:name w:val="页脚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4">
    <w:name w:val="页脚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5">
    <w:name w:val="页脚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6">
    <w:name w:val="页脚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7">
    <w:name w:val="页脚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8">
    <w:name w:val="页脚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29">
    <w:name w:val="页脚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0">
    <w:name w:val="页脚 New New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1">
    <w:name w:val="页脚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2">
    <w:name w:val="页脚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3">
    <w:name w:val="页脚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4">
    <w:name w:val="页脚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5">
    <w:name w:val="页脚 New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6">
    <w:name w:val="页脚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7">
    <w:name w:val="页脚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8">
    <w:name w:val="页脚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39">
    <w:name w:val="页脚 New New New New New New New New New New New New New New New New New New New"/>
    <w:basedOn w:val="1"/>
    <w:qFormat/>
    <w:uiPriority w:val="0"/>
    <w:pPr>
      <w:tabs>
        <w:tab w:val="center" w:pos="4153"/>
        <w:tab w:val="right" w:pos="8306"/>
      </w:tabs>
      <w:snapToGrid w:val="0"/>
      <w:jc w:val="left"/>
    </w:pPr>
    <w:rPr>
      <w:rFonts w:ascii="Times New Roman" w:hAnsi="Times New Roman"/>
      <w:sz w:val="18"/>
      <w:szCs w:val="18"/>
    </w:rPr>
  </w:style>
  <w:style w:type="paragraph" w:customStyle="1" w:styleId="440">
    <w:name w:val="文档结构图3"/>
    <w:basedOn w:val="1"/>
    <w:qFormat/>
    <w:uiPriority w:val="0"/>
    <w:pPr>
      <w:shd w:val="clear" w:color="auto" w:fill="000080"/>
    </w:pPr>
    <w:rPr>
      <w:rFonts w:ascii="Times New Roman" w:hAnsi="Times New Roman"/>
      <w:sz w:val="30"/>
      <w:szCs w:val="24"/>
    </w:rPr>
  </w:style>
  <w:style w:type="paragraph" w:customStyle="1" w:styleId="441">
    <w:name w:val="正文文本缩进 33"/>
    <w:basedOn w:val="1"/>
    <w:qFormat/>
    <w:uiPriority w:val="0"/>
    <w:pPr>
      <w:snapToGrid w:val="0"/>
      <w:spacing w:line="360" w:lineRule="auto"/>
      <w:ind w:left="20" w:firstLine="529" w:firstLineChars="189"/>
    </w:pPr>
    <w:rPr>
      <w:rFonts w:ascii="仿宋_GB2312" w:hAnsi="Times New Roman" w:eastAsia="仿宋_GB2312"/>
      <w:sz w:val="28"/>
      <w:szCs w:val="24"/>
    </w:rPr>
  </w:style>
  <w:style w:type="character" w:customStyle="1" w:styleId="442">
    <w:name w:val="页脚 Char1"/>
    <w:basedOn w:val="51"/>
    <w:semiHidden/>
    <w:qFormat/>
    <w:uiPriority w:val="99"/>
    <w:rPr>
      <w:rFonts w:ascii="Calibri" w:hAnsi="Calibri"/>
      <w:kern w:val="2"/>
      <w:sz w:val="18"/>
      <w:szCs w:val="18"/>
    </w:rPr>
  </w:style>
  <w:style w:type="character" w:customStyle="1" w:styleId="443">
    <w:name w:val="页眉 Char1"/>
    <w:basedOn w:val="51"/>
    <w:semiHidden/>
    <w:qFormat/>
    <w:uiPriority w:val="99"/>
    <w:rPr>
      <w:rFonts w:ascii="Calibri" w:hAnsi="Calibri"/>
      <w:kern w:val="2"/>
      <w:sz w:val="18"/>
      <w:szCs w:val="18"/>
    </w:rPr>
  </w:style>
  <w:style w:type="paragraph" w:customStyle="1" w:styleId="444">
    <w:name w:val="正文2"/>
    <w:qFormat/>
    <w:uiPriority w:val="0"/>
    <w:rPr>
      <w:rFonts w:ascii="Times New Roman" w:hAnsi="Times New Roman" w:eastAsia="Times New Roman" w:cs="Times New Roman"/>
      <w:sz w:val="24"/>
      <w:szCs w:val="24"/>
      <w:lang w:val="en-US" w:eastAsia="zh-CN" w:bidi="ar-SA"/>
    </w:rPr>
  </w:style>
  <w:style w:type="paragraph" w:customStyle="1" w:styleId="445">
    <w:name w:val="正文文本缩进 23"/>
    <w:basedOn w:val="1"/>
    <w:qFormat/>
    <w:uiPriority w:val="0"/>
    <w:pPr>
      <w:spacing w:line="420" w:lineRule="exact"/>
      <w:ind w:firstLine="480"/>
    </w:pPr>
    <w:rPr>
      <w:rFonts w:ascii="Times New Roman" w:hAnsi="Times New Roman"/>
      <w:b/>
      <w:sz w:val="24"/>
      <w:szCs w:val="20"/>
    </w:rPr>
  </w:style>
  <w:style w:type="paragraph" w:customStyle="1" w:styleId="446">
    <w:name w:val="纯文本3"/>
    <w:basedOn w:val="1"/>
    <w:qFormat/>
    <w:uiPriority w:val="0"/>
    <w:rPr>
      <w:rFonts w:ascii="宋体" w:hAnsi="Courier New"/>
      <w:sz w:val="24"/>
      <w:szCs w:val="20"/>
    </w:rPr>
  </w:style>
  <w:style w:type="paragraph" w:customStyle="1" w:styleId="447">
    <w:name w:val="正文首行缩进2"/>
    <w:basedOn w:val="6"/>
    <w:qFormat/>
    <w:uiPriority w:val="0"/>
    <w:pPr>
      <w:ind w:firstLine="420" w:firstLineChars="100"/>
    </w:pPr>
    <w:rPr>
      <w:rFonts w:ascii="Times New Roman"/>
      <w:kern w:val="0"/>
      <w:sz w:val="30"/>
      <w:szCs w:val="24"/>
    </w:rPr>
  </w:style>
  <w:style w:type="paragraph" w:customStyle="1" w:styleId="448">
    <w:name w:val="正文文本缩进2"/>
    <w:basedOn w:val="1"/>
    <w:qFormat/>
    <w:uiPriority w:val="0"/>
    <w:pPr>
      <w:ind w:firstLine="480"/>
    </w:pPr>
    <w:rPr>
      <w:rFonts w:ascii="Times New Roman" w:hAnsi="Times New Roman"/>
      <w:sz w:val="24"/>
      <w:szCs w:val="20"/>
    </w:rPr>
  </w:style>
  <w:style w:type="paragraph" w:customStyle="1" w:styleId="449">
    <w:name w:val="正文缩进2"/>
    <w:basedOn w:val="1"/>
    <w:qFormat/>
    <w:uiPriority w:val="0"/>
    <w:pPr>
      <w:ind w:firstLine="420" w:firstLineChars="200"/>
    </w:pPr>
    <w:rPr>
      <w:rFonts w:ascii="Times New Roman" w:hAnsi="Times New Roman"/>
      <w:sz w:val="30"/>
      <w:szCs w:val="24"/>
    </w:rPr>
  </w:style>
  <w:style w:type="paragraph" w:customStyle="1" w:styleId="450">
    <w:name w:val="表格文字缩进"/>
    <w:basedOn w:val="326"/>
    <w:qFormat/>
    <w:uiPriority w:val="0"/>
    <w:pPr>
      <w:widowControl/>
      <w:tabs>
        <w:tab w:val="clear" w:pos="720"/>
        <w:tab w:val="clear" w:pos="900"/>
      </w:tabs>
      <w:adjustRightInd/>
      <w:snapToGrid/>
      <w:spacing w:beforeLines="0" w:afterLines="0" w:line="240" w:lineRule="atLeast"/>
      <w:ind w:firstLine="360" w:firstLineChars="200"/>
      <w:jc w:val="left"/>
    </w:pPr>
    <w:rPr>
      <w:rFonts w:ascii="Times New Roman" w:hAnsi="Times New Roman" w:cs="宋体"/>
      <w:color w:val="000000"/>
      <w:sz w:val="21"/>
      <w:szCs w:val="18"/>
    </w:rPr>
  </w:style>
  <w:style w:type="paragraph" w:customStyle="1" w:styleId="451">
    <w:name w:val="正文文本3"/>
    <w:basedOn w:val="1"/>
    <w:qFormat/>
    <w:uiPriority w:val="0"/>
    <w:pPr>
      <w:shd w:val="clear" w:color="auto" w:fill="FFFFFF"/>
      <w:spacing w:line="0" w:lineRule="atLeast"/>
      <w:jc w:val="left"/>
    </w:pPr>
    <w:rPr>
      <w:rFonts w:ascii="宋体" w:hAnsi="宋体"/>
      <w:kern w:val="0"/>
      <w:sz w:val="19"/>
      <w:szCs w:val="19"/>
    </w:rPr>
  </w:style>
  <w:style w:type="paragraph" w:customStyle="1" w:styleId="452">
    <w:name w:val="正文缩进3"/>
    <w:basedOn w:val="1"/>
    <w:qFormat/>
    <w:uiPriority w:val="0"/>
    <w:pPr>
      <w:ind w:firstLine="420" w:firstLineChars="200"/>
    </w:pPr>
    <w:rPr>
      <w:rFonts w:ascii="Times New Roman" w:hAnsi="Times New Roman"/>
      <w:sz w:val="30"/>
      <w:szCs w:val="24"/>
    </w:rPr>
  </w:style>
  <w:style w:type="character" w:customStyle="1" w:styleId="453">
    <w:name w:val="页码2"/>
    <w:basedOn w:val="51"/>
    <w:qFormat/>
    <w:uiPriority w:val="0"/>
  </w:style>
  <w:style w:type="paragraph" w:customStyle="1" w:styleId="454">
    <w:name w:val="正文文本缩进3"/>
    <w:basedOn w:val="1"/>
    <w:qFormat/>
    <w:uiPriority w:val="0"/>
    <w:pPr>
      <w:ind w:firstLine="480"/>
    </w:pPr>
    <w:rPr>
      <w:rFonts w:ascii="Times New Roman" w:hAnsi="Times New Roman"/>
      <w:sz w:val="24"/>
      <w:szCs w:val="20"/>
    </w:rPr>
  </w:style>
  <w:style w:type="paragraph" w:customStyle="1" w:styleId="455">
    <w:name w:val="普通(网站)3"/>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456">
    <w:name w:val="正文文本缩进 34"/>
    <w:basedOn w:val="1"/>
    <w:qFormat/>
    <w:uiPriority w:val="0"/>
    <w:pPr>
      <w:snapToGrid w:val="0"/>
      <w:spacing w:line="360" w:lineRule="auto"/>
      <w:ind w:left="20" w:firstLine="529" w:firstLineChars="189"/>
    </w:pPr>
    <w:rPr>
      <w:rFonts w:ascii="仿宋_GB2312" w:hAnsi="Times New Roman" w:eastAsia="仿宋_GB2312"/>
      <w:sz w:val="28"/>
      <w:szCs w:val="24"/>
    </w:rPr>
  </w:style>
  <w:style w:type="paragraph" w:customStyle="1" w:styleId="457">
    <w:name w:val="正文文本缩进 24"/>
    <w:basedOn w:val="1"/>
    <w:qFormat/>
    <w:uiPriority w:val="0"/>
    <w:pPr>
      <w:spacing w:line="420" w:lineRule="exact"/>
      <w:ind w:firstLine="480"/>
    </w:pPr>
    <w:rPr>
      <w:rFonts w:ascii="Times New Roman" w:hAnsi="Times New Roman"/>
      <w:b/>
      <w:sz w:val="24"/>
      <w:szCs w:val="20"/>
    </w:rPr>
  </w:style>
  <w:style w:type="paragraph" w:customStyle="1" w:styleId="458">
    <w:name w:val="纯文本4"/>
    <w:basedOn w:val="1"/>
    <w:qFormat/>
    <w:uiPriority w:val="0"/>
    <w:rPr>
      <w:rFonts w:ascii="宋体" w:hAnsi="Courier New"/>
      <w:sz w:val="24"/>
      <w:szCs w:val="20"/>
    </w:rPr>
  </w:style>
  <w:style w:type="paragraph" w:customStyle="1" w:styleId="459">
    <w:name w:val="正文首行缩进3"/>
    <w:basedOn w:val="6"/>
    <w:qFormat/>
    <w:uiPriority w:val="0"/>
    <w:pPr>
      <w:ind w:firstLine="420" w:firstLineChars="100"/>
    </w:pPr>
    <w:rPr>
      <w:rFonts w:ascii="Times New Roman" w:hAnsi="Times New Roman"/>
      <w:sz w:val="30"/>
      <w:szCs w:val="24"/>
    </w:rPr>
  </w:style>
  <w:style w:type="paragraph" w:customStyle="1" w:styleId="460">
    <w:name w:val="文档结构图4"/>
    <w:basedOn w:val="1"/>
    <w:qFormat/>
    <w:uiPriority w:val="0"/>
    <w:pPr>
      <w:shd w:val="clear" w:color="auto" w:fill="000080"/>
    </w:pPr>
    <w:rPr>
      <w:rFonts w:ascii="Times New Roman" w:hAnsi="Times New Roman"/>
      <w:sz w:val="30"/>
      <w:szCs w:val="24"/>
    </w:rPr>
  </w:style>
  <w:style w:type="character" w:styleId="461">
    <w:name w:val="Placeholder Text"/>
    <w:basedOn w:val="51"/>
    <w:semiHidden/>
    <w:qFormat/>
    <w:uiPriority w:val="99"/>
    <w:rPr>
      <w:color w:val="808080"/>
    </w:rPr>
  </w:style>
  <w:style w:type="paragraph" w:customStyle="1" w:styleId="462">
    <w:name w:val="PlainText"/>
    <w:basedOn w:val="1"/>
    <w:qFormat/>
    <w:uiPriority w:val="0"/>
    <w:rPr>
      <w:rFonts w:ascii="宋体" w:hAnsi="Courier New"/>
      <w:kern w:val="0"/>
      <w:sz w:val="20"/>
      <w:szCs w:val="20"/>
    </w:rPr>
  </w:style>
  <w:style w:type="character" w:customStyle="1" w:styleId="463">
    <w:name w:val="NormalCharacter"/>
    <w:qFormat/>
    <w:uiPriority w:val="0"/>
    <w:rPr>
      <w:kern w:val="2"/>
      <w:sz w:val="21"/>
      <w:szCs w:val="22"/>
      <w:lang w:val="en-US" w:eastAsia="zh-CN" w:bidi="ar-SA"/>
    </w:rPr>
  </w:style>
  <w:style w:type="paragraph" w:customStyle="1" w:styleId="464">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465">
    <w:name w:val="15"/>
    <w:qFormat/>
    <w:uiPriority w:val="0"/>
    <w:rPr>
      <w:rFonts w:hint="eastAsia" w:ascii="等线" w:hAnsi="等线" w:eastAsia="等线" w:cs="Times New Roman"/>
    </w:rPr>
  </w:style>
  <w:style w:type="character" w:customStyle="1" w:styleId="466">
    <w:name w:val="正文首行缩进 2 字符"/>
    <w:basedOn w:val="105"/>
    <w:link w:val="48"/>
    <w:semiHidden/>
    <w:qFormat/>
    <w:uiPriority w:val="99"/>
    <w:rPr>
      <w:rFonts w:ascii="Calibri" w:hAnsi="Calibri" w:eastAsia="宋体" w:cs="Times New Roman"/>
      <w:sz w:val="28"/>
      <w:szCs w:val="20"/>
    </w:rPr>
  </w:style>
  <w:style w:type="paragraph" w:customStyle="1" w:styleId="467">
    <w:name w:val="修订3"/>
    <w:hidden/>
    <w:semiHidden/>
    <w:qFormat/>
    <w:uiPriority w:val="99"/>
    <w:rPr>
      <w:rFonts w:ascii="Calibri" w:hAnsi="Calibri" w:eastAsia="宋体" w:cs="Times New Roman"/>
      <w:kern w:val="2"/>
      <w:sz w:val="21"/>
      <w:szCs w:val="22"/>
      <w:lang w:val="en-US" w:eastAsia="zh-CN" w:bidi="ar-SA"/>
    </w:rPr>
  </w:style>
  <w:style w:type="paragraph" w:customStyle="1" w:styleId="468">
    <w:name w:val="修订4"/>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8.emf"/><Relationship Id="rId26" Type="http://schemas.openxmlformats.org/officeDocument/2006/relationships/image" Target="media/image7.emf"/><Relationship Id="rId25" Type="http://schemas.openxmlformats.org/officeDocument/2006/relationships/image" Target="media/image6.emf"/><Relationship Id="rId24" Type="http://schemas.openxmlformats.org/officeDocument/2006/relationships/image" Target="media/image5.emf"/><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160</Pages>
  <Words>113819</Words>
  <Characters>119109</Characters>
  <Lines>959</Lines>
  <Paragraphs>270</Paragraphs>
  <TotalTime>12</TotalTime>
  <ScaleCrop>false</ScaleCrop>
  <LinksUpToDate>false</LinksUpToDate>
  <CharactersWithSpaces>124863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2022-05-31T08:22:00Z</dcterms:created>
  <dc:creator>Admin</dc:creator>
  <cp:lastModifiedBy>CLH</cp:lastModifiedBy>
  <cp:lastPrinted>2023-04-03T04:43:00Z</cp:lastPrinted>
  <dcterms:modified xsi:type="dcterms:W3CDTF">2023-04-04T11:14:44Z</dcterms:modified>
  <dc:title>黄埔区科学城连接知识城快速通道（南段）工程施工总承包</dc:title>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FBAC9703C4CA440A8A15801D944A174B</vt:lpwstr>
  </property>
</Properties>
</file>